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E649" w14:textId="5D022DD4" w:rsidR="00705B44" w:rsidRDefault="005E517D" w:rsidP="00705B44">
      <w:pPr>
        <w:pStyle w:val="CoversheetTitle"/>
      </w:pPr>
      <w:r>
        <w:rPr>
          <w:noProof/>
        </w:rPr>
        <w:drawing>
          <wp:inline distT="0" distB="0" distL="0" distR="0" wp14:anchorId="669E407B" wp14:editId="4327FE87">
            <wp:extent cx="2820743" cy="1162050"/>
            <wp:effectExtent l="0" t="0" r="0" b="0"/>
            <wp:docPr id="1508901944" name="Picture 1" descr="Our Businesses - Travis Perkins | Travis Per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Businesses - Travis Perkins | Travis Perki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6470" cy="1172649"/>
                    </a:xfrm>
                    <a:prstGeom prst="rect">
                      <a:avLst/>
                    </a:prstGeom>
                    <a:noFill/>
                    <a:ln>
                      <a:noFill/>
                    </a:ln>
                  </pic:spPr>
                </pic:pic>
              </a:graphicData>
            </a:graphic>
          </wp:inline>
        </w:drawing>
      </w:r>
    </w:p>
    <w:p w14:paraId="182B6B78" w14:textId="77777777" w:rsidR="00705B44" w:rsidRDefault="00705B44" w:rsidP="00705B44">
      <w:pPr>
        <w:pStyle w:val="CoversheetTitle"/>
      </w:pPr>
    </w:p>
    <w:p w14:paraId="687AF92C" w14:textId="55D77C7A" w:rsidR="00B53E1B" w:rsidRDefault="00B3401C" w:rsidP="00B53E1B">
      <w:pPr>
        <w:pStyle w:val="CoversheetTitle"/>
      </w:pPr>
      <w:proofErr w:type="spellStart"/>
      <w:r w:rsidRPr="00B3401C">
        <w:t>travis</w:t>
      </w:r>
      <w:proofErr w:type="spellEnd"/>
      <w:r w:rsidRPr="00B3401C">
        <w:t xml:space="preserve"> </w:t>
      </w:r>
      <w:proofErr w:type="spellStart"/>
      <w:r w:rsidRPr="00B3401C">
        <w:t>perkins</w:t>
      </w:r>
      <w:proofErr w:type="spellEnd"/>
      <w:r w:rsidRPr="00B3401C">
        <w:t xml:space="preserve"> plc</w:t>
      </w:r>
    </w:p>
    <w:p w14:paraId="54C6921D" w14:textId="518E6BBA" w:rsidR="00705B44" w:rsidRPr="0006114E" w:rsidRDefault="005E517D" w:rsidP="00B53E1B">
      <w:pPr>
        <w:pStyle w:val="CoversheetTitle"/>
      </w:pPr>
      <w:r>
        <w:t>performance share</w:t>
      </w:r>
      <w:r w:rsidR="00B53E1B" w:rsidRPr="0006114E">
        <w:t xml:space="preserve"> plan</w:t>
      </w:r>
    </w:p>
    <w:p w14:paraId="2B3661F2" w14:textId="77777777" w:rsidR="00705B44" w:rsidRPr="0006114E" w:rsidRDefault="00705B44" w:rsidP="00705B44">
      <w:pPr>
        <w:pStyle w:val="CoversheetTitle"/>
      </w:pPr>
    </w:p>
    <w:p w14:paraId="6058380F" w14:textId="77777777" w:rsidR="00705B44" w:rsidRPr="002A55C0" w:rsidRDefault="00705B44" w:rsidP="00705B44">
      <w:pPr>
        <w:pStyle w:val="CoversheetTitle"/>
        <w:rPr>
          <w:sz w:val="28"/>
          <w:szCs w:val="28"/>
        </w:rPr>
      </w:pPr>
      <w:r w:rsidRPr="002A55C0">
        <w:rPr>
          <w:sz w:val="28"/>
          <w:szCs w:val="28"/>
        </w:rPr>
        <w:t>adopted by the board on [</w:t>
      </w:r>
      <w:r w:rsidRPr="002A55C0">
        <w:rPr>
          <w:sz w:val="28"/>
          <w:szCs w:val="28"/>
          <w:highlight w:val="yellow"/>
        </w:rPr>
        <w:t>insert date</w:t>
      </w:r>
      <w:r w:rsidRPr="002A55C0">
        <w:rPr>
          <w:sz w:val="28"/>
          <w:szCs w:val="28"/>
        </w:rPr>
        <w:t>]</w:t>
      </w:r>
    </w:p>
    <w:p w14:paraId="75E4A8A7" w14:textId="5902A9E4" w:rsidR="00C10741" w:rsidRPr="00AE6443" w:rsidRDefault="00C10741" w:rsidP="006A1CE1">
      <w:pPr>
        <w:pStyle w:val="CoversheetTitle"/>
        <w:rPr>
          <w:sz w:val="28"/>
          <w:szCs w:val="28"/>
        </w:rPr>
      </w:pPr>
      <w:r w:rsidRPr="00AE6443">
        <w:rPr>
          <w:sz w:val="28"/>
          <w:szCs w:val="28"/>
        </w:rPr>
        <w:t>approved by share</w:t>
      </w:r>
      <w:r w:rsidR="005537C3" w:rsidRPr="00AE6443">
        <w:rPr>
          <w:sz w:val="28"/>
          <w:szCs w:val="28"/>
        </w:rPr>
        <w:t>h</w:t>
      </w:r>
      <w:r w:rsidRPr="00AE6443">
        <w:rPr>
          <w:sz w:val="28"/>
          <w:szCs w:val="28"/>
        </w:rPr>
        <w:t>olders on [</w:t>
      </w:r>
      <w:r w:rsidRPr="00AE6443">
        <w:rPr>
          <w:sz w:val="28"/>
          <w:szCs w:val="28"/>
          <w:highlight w:val="yellow"/>
        </w:rPr>
        <w:t>insert date</w:t>
      </w:r>
      <w:r w:rsidRPr="00AE6443">
        <w:rPr>
          <w:sz w:val="28"/>
          <w:szCs w:val="28"/>
        </w:rPr>
        <w:t>]</w:t>
      </w:r>
    </w:p>
    <w:p w14:paraId="3C17B4F3" w14:textId="77777777" w:rsidR="001163FC" w:rsidRPr="00AE6443" w:rsidRDefault="001163FC" w:rsidP="006A1CE1">
      <w:pPr>
        <w:pStyle w:val="CoversheetTitle"/>
        <w:rPr>
          <w:sz w:val="28"/>
          <w:szCs w:val="28"/>
        </w:rPr>
      </w:pPr>
      <w:r w:rsidRPr="00AE6443">
        <w:rPr>
          <w:sz w:val="28"/>
          <w:szCs w:val="28"/>
        </w:rPr>
        <w:t>expiry date: [</w:t>
      </w:r>
      <w:r w:rsidRPr="00AE6443">
        <w:rPr>
          <w:sz w:val="28"/>
          <w:szCs w:val="28"/>
          <w:highlight w:val="yellow"/>
        </w:rPr>
        <w:t>insert date]</w:t>
      </w:r>
    </w:p>
    <w:p w14:paraId="74859A8D" w14:textId="77777777" w:rsidR="00A50EC7" w:rsidRDefault="00A50EC7" w:rsidP="006A1CE1">
      <w:pPr>
        <w:pStyle w:val="CoversheetTitle"/>
      </w:pPr>
    </w:p>
    <w:p w14:paraId="13C5A73F" w14:textId="77777777" w:rsidR="00BC6C23" w:rsidRDefault="00BC6C23" w:rsidP="006A1CE1">
      <w:pPr>
        <w:pStyle w:val="CoversheetTitle"/>
      </w:pPr>
    </w:p>
    <w:p w14:paraId="56712D61" w14:textId="6878C1EA" w:rsidR="009A23B0" w:rsidRPr="0006114E" w:rsidRDefault="00BC70ED" w:rsidP="006A1CE1">
      <w:pPr>
        <w:pStyle w:val="CoversheetTitle"/>
        <w:sectPr w:rsidR="009A23B0" w:rsidRPr="0006114E" w:rsidSect="00944C9B">
          <w:headerReference w:type="default" r:id="rId19"/>
          <w:footerReference w:type="default" r:id="rId20"/>
          <w:type w:val="continuous"/>
          <w:pgSz w:w="12240" w:h="15840"/>
          <w:pgMar w:top="1440" w:right="1440" w:bottom="1440" w:left="1440" w:header="720" w:footer="720" w:gutter="0"/>
          <w:cols w:space="720"/>
        </w:sectPr>
      </w:pPr>
      <w:r w:rsidRPr="0006114E">
        <w:rPr>
          <w:noProof/>
        </w:rPr>
        <w:drawing>
          <wp:inline distT="0" distB="0" distL="0" distR="0" wp14:anchorId="7BB42763" wp14:editId="49580B0F">
            <wp:extent cx="2228850" cy="12382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6486" cy="1242492"/>
                    </a:xfrm>
                    <a:prstGeom prst="rect">
                      <a:avLst/>
                    </a:prstGeom>
                    <a:noFill/>
                    <a:ln>
                      <a:noFill/>
                    </a:ln>
                  </pic:spPr>
                </pic:pic>
              </a:graphicData>
            </a:graphic>
          </wp:inline>
        </w:drawing>
      </w:r>
    </w:p>
    <w:p w14:paraId="56712D62"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lastRenderedPageBreak/>
        <w:t>CONTENTS</w:t>
      </w:r>
    </w:p>
    <w:p w14:paraId="56712D63"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t>____________________________________________________________</w:t>
      </w:r>
    </w:p>
    <w:p w14:paraId="56712D64" w14:textId="77777777" w:rsidR="007B4FB5" w:rsidRPr="0006114E" w:rsidRDefault="00D8597D" w:rsidP="006A1CE1">
      <w:pPr>
        <w:pStyle w:val="HeadingLevel2"/>
        <w:spacing w:line="240" w:lineRule="auto"/>
        <w:rPr>
          <w:rFonts w:ascii="Arial" w:hAnsi="Arial" w:cs="Arial"/>
          <w:sz w:val="20"/>
        </w:rPr>
      </w:pPr>
      <w:r w:rsidRPr="0006114E">
        <w:rPr>
          <w:rFonts w:ascii="Arial" w:hAnsi="Arial" w:cs="Arial"/>
          <w:sz w:val="20"/>
        </w:rPr>
        <w:t>CLAUSE</w:t>
      </w:r>
    </w:p>
    <w:p w14:paraId="368597B7" w14:textId="308EA66B" w:rsidR="00411A9C" w:rsidRDefault="00D8597D">
      <w:pPr>
        <w:pStyle w:val="TOC1"/>
        <w:rPr>
          <w:rFonts w:eastAsiaTheme="minorEastAsia"/>
          <w:noProof/>
          <w:kern w:val="2"/>
          <w:sz w:val="24"/>
          <w:szCs w:val="24"/>
          <w14:ligatures w14:val="standardContextual"/>
        </w:rPr>
      </w:pPr>
      <w:r w:rsidRPr="0006114E">
        <w:rPr>
          <w:rFonts w:ascii="Arial" w:hAnsi="Arial" w:cs="Arial"/>
          <w:b/>
          <w:caps/>
          <w:sz w:val="20"/>
          <w:szCs w:val="20"/>
        </w:rPr>
        <w:fldChar w:fldCharType="begin"/>
      </w:r>
      <w:r w:rsidRPr="0006114E">
        <w:rPr>
          <w:rFonts w:ascii="Arial" w:hAnsi="Arial" w:cs="Arial"/>
          <w:sz w:val="20"/>
          <w:szCs w:val="20"/>
        </w:rPr>
        <w:instrText>TOC \t "Title Clause, 1" \h</w:instrText>
      </w:r>
      <w:r w:rsidRPr="0006114E">
        <w:rPr>
          <w:rFonts w:ascii="Arial" w:hAnsi="Arial" w:cs="Arial"/>
          <w:b/>
          <w:caps/>
          <w:sz w:val="20"/>
          <w:szCs w:val="20"/>
        </w:rPr>
        <w:fldChar w:fldCharType="separate"/>
      </w:r>
      <w:hyperlink w:anchor="_Toc191381397" w:history="1">
        <w:r w:rsidR="00411A9C" w:rsidRPr="008C122D">
          <w:rPr>
            <w:rStyle w:val="Hyperlink"/>
            <w:noProof/>
          </w:rPr>
          <w:t>1.</w:t>
        </w:r>
        <w:r w:rsidR="00411A9C">
          <w:rPr>
            <w:rFonts w:eastAsiaTheme="minorEastAsia"/>
            <w:noProof/>
            <w:kern w:val="2"/>
            <w:sz w:val="24"/>
            <w:szCs w:val="24"/>
            <w14:ligatures w14:val="standardContextual"/>
          </w:rPr>
          <w:tab/>
        </w:r>
        <w:r w:rsidR="00411A9C" w:rsidRPr="008C122D">
          <w:rPr>
            <w:rStyle w:val="Hyperlink"/>
            <w:noProof/>
          </w:rPr>
          <w:t>Interpretation</w:t>
        </w:r>
        <w:r w:rsidR="00411A9C">
          <w:rPr>
            <w:noProof/>
          </w:rPr>
          <w:tab/>
        </w:r>
        <w:r w:rsidR="00411A9C">
          <w:rPr>
            <w:noProof/>
          </w:rPr>
          <w:fldChar w:fldCharType="begin"/>
        </w:r>
        <w:r w:rsidR="00411A9C">
          <w:rPr>
            <w:noProof/>
          </w:rPr>
          <w:instrText xml:space="preserve"> PAGEREF _Toc191381397 \h </w:instrText>
        </w:r>
        <w:r w:rsidR="00411A9C">
          <w:rPr>
            <w:noProof/>
          </w:rPr>
        </w:r>
        <w:r w:rsidR="00411A9C">
          <w:rPr>
            <w:noProof/>
          </w:rPr>
          <w:fldChar w:fldCharType="separate"/>
        </w:r>
        <w:r w:rsidR="00661E34">
          <w:rPr>
            <w:noProof/>
          </w:rPr>
          <w:t>2</w:t>
        </w:r>
        <w:r w:rsidR="00411A9C">
          <w:rPr>
            <w:noProof/>
          </w:rPr>
          <w:fldChar w:fldCharType="end"/>
        </w:r>
      </w:hyperlink>
    </w:p>
    <w:p w14:paraId="3E1A1FE5" w14:textId="0EB9136C" w:rsidR="00411A9C" w:rsidRDefault="00411A9C">
      <w:pPr>
        <w:pStyle w:val="TOC1"/>
        <w:rPr>
          <w:rFonts w:eastAsiaTheme="minorEastAsia"/>
          <w:noProof/>
          <w:kern w:val="2"/>
          <w:sz w:val="24"/>
          <w:szCs w:val="24"/>
          <w14:ligatures w14:val="standardContextual"/>
        </w:rPr>
      </w:pPr>
      <w:hyperlink w:anchor="_Toc191381398" w:history="1">
        <w:r w:rsidRPr="008C122D">
          <w:rPr>
            <w:rStyle w:val="Hyperlink"/>
            <w:noProof/>
          </w:rPr>
          <w:t>2.</w:t>
        </w:r>
        <w:r>
          <w:rPr>
            <w:rFonts w:eastAsiaTheme="minorEastAsia"/>
            <w:noProof/>
            <w:kern w:val="2"/>
            <w:sz w:val="24"/>
            <w:szCs w:val="24"/>
            <w14:ligatures w14:val="standardContextual"/>
          </w:rPr>
          <w:tab/>
        </w:r>
        <w:r w:rsidRPr="008C122D">
          <w:rPr>
            <w:rStyle w:val="Hyperlink"/>
            <w:noProof/>
          </w:rPr>
          <w:t>Grant of Awards</w:t>
        </w:r>
        <w:r>
          <w:rPr>
            <w:noProof/>
          </w:rPr>
          <w:tab/>
        </w:r>
        <w:r>
          <w:rPr>
            <w:noProof/>
          </w:rPr>
          <w:fldChar w:fldCharType="begin"/>
        </w:r>
        <w:r>
          <w:rPr>
            <w:noProof/>
          </w:rPr>
          <w:instrText xml:space="preserve"> PAGEREF _Toc191381398 \h </w:instrText>
        </w:r>
        <w:r>
          <w:rPr>
            <w:noProof/>
          </w:rPr>
        </w:r>
        <w:r>
          <w:rPr>
            <w:noProof/>
          </w:rPr>
          <w:fldChar w:fldCharType="separate"/>
        </w:r>
        <w:r w:rsidR="00661E34">
          <w:rPr>
            <w:noProof/>
          </w:rPr>
          <w:t>5</w:t>
        </w:r>
        <w:r>
          <w:rPr>
            <w:noProof/>
          </w:rPr>
          <w:fldChar w:fldCharType="end"/>
        </w:r>
      </w:hyperlink>
    </w:p>
    <w:p w14:paraId="0B467AEC" w14:textId="1BC0115B" w:rsidR="00411A9C" w:rsidRDefault="00411A9C">
      <w:pPr>
        <w:pStyle w:val="TOC1"/>
        <w:rPr>
          <w:rFonts w:eastAsiaTheme="minorEastAsia"/>
          <w:noProof/>
          <w:kern w:val="2"/>
          <w:sz w:val="24"/>
          <w:szCs w:val="24"/>
          <w14:ligatures w14:val="standardContextual"/>
        </w:rPr>
      </w:pPr>
      <w:hyperlink w:anchor="_Toc191381399" w:history="1">
        <w:r w:rsidRPr="008C122D">
          <w:rPr>
            <w:rStyle w:val="Hyperlink"/>
            <w:noProof/>
          </w:rPr>
          <w:t>3.</w:t>
        </w:r>
        <w:r>
          <w:rPr>
            <w:rFonts w:eastAsiaTheme="minorEastAsia"/>
            <w:noProof/>
            <w:kern w:val="2"/>
            <w:sz w:val="24"/>
            <w:szCs w:val="24"/>
            <w14:ligatures w14:val="standardContextual"/>
          </w:rPr>
          <w:tab/>
        </w:r>
        <w:r w:rsidRPr="008C122D">
          <w:rPr>
            <w:rStyle w:val="Hyperlink"/>
            <w:noProof/>
          </w:rPr>
          <w:t>Performance Conditions</w:t>
        </w:r>
        <w:r>
          <w:rPr>
            <w:noProof/>
          </w:rPr>
          <w:tab/>
        </w:r>
        <w:r>
          <w:rPr>
            <w:noProof/>
          </w:rPr>
          <w:fldChar w:fldCharType="begin"/>
        </w:r>
        <w:r>
          <w:rPr>
            <w:noProof/>
          </w:rPr>
          <w:instrText xml:space="preserve"> PAGEREF _Toc191381399 \h </w:instrText>
        </w:r>
        <w:r>
          <w:rPr>
            <w:noProof/>
          </w:rPr>
        </w:r>
        <w:r>
          <w:rPr>
            <w:noProof/>
          </w:rPr>
          <w:fldChar w:fldCharType="separate"/>
        </w:r>
        <w:r w:rsidR="00661E34">
          <w:rPr>
            <w:noProof/>
          </w:rPr>
          <w:t>5</w:t>
        </w:r>
        <w:r>
          <w:rPr>
            <w:noProof/>
          </w:rPr>
          <w:fldChar w:fldCharType="end"/>
        </w:r>
      </w:hyperlink>
    </w:p>
    <w:p w14:paraId="29E66456" w14:textId="22386BCA" w:rsidR="00411A9C" w:rsidRDefault="00411A9C">
      <w:pPr>
        <w:pStyle w:val="TOC1"/>
        <w:rPr>
          <w:rFonts w:eastAsiaTheme="minorEastAsia"/>
          <w:noProof/>
          <w:kern w:val="2"/>
          <w:sz w:val="24"/>
          <w:szCs w:val="24"/>
          <w14:ligatures w14:val="standardContextual"/>
        </w:rPr>
      </w:pPr>
      <w:hyperlink w:anchor="_Toc191381400" w:history="1">
        <w:r w:rsidRPr="008C122D">
          <w:rPr>
            <w:rStyle w:val="Hyperlink"/>
            <w:noProof/>
          </w:rPr>
          <w:t>4.</w:t>
        </w:r>
        <w:r>
          <w:rPr>
            <w:rFonts w:eastAsiaTheme="minorEastAsia"/>
            <w:noProof/>
            <w:kern w:val="2"/>
            <w:sz w:val="24"/>
            <w:szCs w:val="24"/>
            <w14:ligatures w14:val="standardContextual"/>
          </w:rPr>
          <w:tab/>
        </w:r>
        <w:r w:rsidRPr="008C122D">
          <w:rPr>
            <w:rStyle w:val="Hyperlink"/>
            <w:noProof/>
          </w:rPr>
          <w:t>Adjustment to Vesting of Awards</w:t>
        </w:r>
        <w:r>
          <w:rPr>
            <w:noProof/>
          </w:rPr>
          <w:tab/>
        </w:r>
        <w:r>
          <w:rPr>
            <w:noProof/>
          </w:rPr>
          <w:fldChar w:fldCharType="begin"/>
        </w:r>
        <w:r>
          <w:rPr>
            <w:noProof/>
          </w:rPr>
          <w:instrText xml:space="preserve"> PAGEREF _Toc191381400 \h </w:instrText>
        </w:r>
        <w:r>
          <w:rPr>
            <w:noProof/>
          </w:rPr>
        </w:r>
        <w:r>
          <w:rPr>
            <w:noProof/>
          </w:rPr>
          <w:fldChar w:fldCharType="separate"/>
        </w:r>
        <w:r w:rsidR="00661E34">
          <w:rPr>
            <w:noProof/>
          </w:rPr>
          <w:t>5</w:t>
        </w:r>
        <w:r>
          <w:rPr>
            <w:noProof/>
          </w:rPr>
          <w:fldChar w:fldCharType="end"/>
        </w:r>
      </w:hyperlink>
    </w:p>
    <w:p w14:paraId="06A3FE5A" w14:textId="35971C94" w:rsidR="00411A9C" w:rsidRDefault="00411A9C">
      <w:pPr>
        <w:pStyle w:val="TOC1"/>
        <w:rPr>
          <w:rFonts w:eastAsiaTheme="minorEastAsia"/>
          <w:noProof/>
          <w:kern w:val="2"/>
          <w:sz w:val="24"/>
          <w:szCs w:val="24"/>
          <w14:ligatures w14:val="standardContextual"/>
        </w:rPr>
      </w:pPr>
      <w:hyperlink w:anchor="_Toc191381401" w:history="1">
        <w:r w:rsidRPr="008C122D">
          <w:rPr>
            <w:rStyle w:val="Hyperlink"/>
            <w:noProof/>
          </w:rPr>
          <w:t>5.</w:t>
        </w:r>
        <w:r>
          <w:rPr>
            <w:rFonts w:eastAsiaTheme="minorEastAsia"/>
            <w:noProof/>
            <w:kern w:val="2"/>
            <w:sz w:val="24"/>
            <w:szCs w:val="24"/>
            <w14:ligatures w14:val="standardContextual"/>
          </w:rPr>
          <w:tab/>
        </w:r>
        <w:r w:rsidRPr="008C122D">
          <w:rPr>
            <w:rStyle w:val="Hyperlink"/>
            <w:noProof/>
          </w:rPr>
          <w:t>Dividend Equivalents</w:t>
        </w:r>
        <w:r>
          <w:rPr>
            <w:noProof/>
          </w:rPr>
          <w:tab/>
        </w:r>
        <w:r>
          <w:rPr>
            <w:noProof/>
          </w:rPr>
          <w:fldChar w:fldCharType="begin"/>
        </w:r>
        <w:r>
          <w:rPr>
            <w:noProof/>
          </w:rPr>
          <w:instrText xml:space="preserve"> PAGEREF _Toc191381401 \h </w:instrText>
        </w:r>
        <w:r>
          <w:rPr>
            <w:noProof/>
          </w:rPr>
        </w:r>
        <w:r>
          <w:rPr>
            <w:noProof/>
          </w:rPr>
          <w:fldChar w:fldCharType="separate"/>
        </w:r>
        <w:r w:rsidR="00661E34">
          <w:rPr>
            <w:noProof/>
          </w:rPr>
          <w:t>5</w:t>
        </w:r>
        <w:r>
          <w:rPr>
            <w:noProof/>
          </w:rPr>
          <w:fldChar w:fldCharType="end"/>
        </w:r>
      </w:hyperlink>
    </w:p>
    <w:p w14:paraId="5C6184A1" w14:textId="2D5BBF78" w:rsidR="00411A9C" w:rsidRDefault="00411A9C">
      <w:pPr>
        <w:pStyle w:val="TOC1"/>
        <w:rPr>
          <w:rFonts w:eastAsiaTheme="minorEastAsia"/>
          <w:noProof/>
          <w:kern w:val="2"/>
          <w:sz w:val="24"/>
          <w:szCs w:val="24"/>
          <w14:ligatures w14:val="standardContextual"/>
        </w:rPr>
      </w:pPr>
      <w:hyperlink w:anchor="_Toc191381402" w:history="1">
        <w:r w:rsidRPr="008C122D">
          <w:rPr>
            <w:rStyle w:val="Hyperlink"/>
            <w:noProof/>
          </w:rPr>
          <w:t>6.</w:t>
        </w:r>
        <w:r>
          <w:rPr>
            <w:rFonts w:eastAsiaTheme="minorEastAsia"/>
            <w:noProof/>
            <w:kern w:val="2"/>
            <w:sz w:val="24"/>
            <w:szCs w:val="24"/>
            <w14:ligatures w14:val="standardContextual"/>
          </w:rPr>
          <w:tab/>
        </w:r>
        <w:r w:rsidRPr="008C122D">
          <w:rPr>
            <w:rStyle w:val="Hyperlink"/>
            <w:noProof/>
          </w:rPr>
          <w:t>Limits</w:t>
        </w:r>
        <w:r>
          <w:rPr>
            <w:noProof/>
          </w:rPr>
          <w:tab/>
        </w:r>
        <w:r>
          <w:rPr>
            <w:noProof/>
          </w:rPr>
          <w:fldChar w:fldCharType="begin"/>
        </w:r>
        <w:r>
          <w:rPr>
            <w:noProof/>
          </w:rPr>
          <w:instrText xml:space="preserve"> PAGEREF _Toc191381402 \h </w:instrText>
        </w:r>
        <w:r>
          <w:rPr>
            <w:noProof/>
          </w:rPr>
        </w:r>
        <w:r>
          <w:rPr>
            <w:noProof/>
          </w:rPr>
          <w:fldChar w:fldCharType="separate"/>
        </w:r>
        <w:r w:rsidR="00661E34">
          <w:rPr>
            <w:noProof/>
          </w:rPr>
          <w:t>6</w:t>
        </w:r>
        <w:r>
          <w:rPr>
            <w:noProof/>
          </w:rPr>
          <w:fldChar w:fldCharType="end"/>
        </w:r>
      </w:hyperlink>
    </w:p>
    <w:p w14:paraId="242A0EB3" w14:textId="62A49B60" w:rsidR="00411A9C" w:rsidRDefault="00411A9C">
      <w:pPr>
        <w:pStyle w:val="TOC1"/>
        <w:rPr>
          <w:rFonts w:eastAsiaTheme="minorEastAsia"/>
          <w:noProof/>
          <w:kern w:val="2"/>
          <w:sz w:val="24"/>
          <w:szCs w:val="24"/>
          <w14:ligatures w14:val="standardContextual"/>
        </w:rPr>
      </w:pPr>
      <w:hyperlink w:anchor="_Toc191381403" w:history="1">
        <w:r w:rsidRPr="008C122D">
          <w:rPr>
            <w:rStyle w:val="Hyperlink"/>
            <w:noProof/>
          </w:rPr>
          <w:t>7.</w:t>
        </w:r>
        <w:r>
          <w:rPr>
            <w:rFonts w:eastAsiaTheme="minorEastAsia"/>
            <w:noProof/>
            <w:kern w:val="2"/>
            <w:sz w:val="24"/>
            <w:szCs w:val="24"/>
            <w14:ligatures w14:val="standardContextual"/>
          </w:rPr>
          <w:tab/>
        </w:r>
        <w:r w:rsidRPr="008C122D">
          <w:rPr>
            <w:rStyle w:val="Hyperlink"/>
            <w:noProof/>
          </w:rPr>
          <w:t>Vesting Date</w:t>
        </w:r>
        <w:r>
          <w:rPr>
            <w:noProof/>
          </w:rPr>
          <w:tab/>
        </w:r>
        <w:r>
          <w:rPr>
            <w:noProof/>
          </w:rPr>
          <w:fldChar w:fldCharType="begin"/>
        </w:r>
        <w:r>
          <w:rPr>
            <w:noProof/>
          </w:rPr>
          <w:instrText xml:space="preserve"> PAGEREF _Toc191381403 \h </w:instrText>
        </w:r>
        <w:r>
          <w:rPr>
            <w:noProof/>
          </w:rPr>
        </w:r>
        <w:r>
          <w:rPr>
            <w:noProof/>
          </w:rPr>
          <w:fldChar w:fldCharType="separate"/>
        </w:r>
        <w:r w:rsidR="00661E34">
          <w:rPr>
            <w:noProof/>
          </w:rPr>
          <w:t>6</w:t>
        </w:r>
        <w:r>
          <w:rPr>
            <w:noProof/>
          </w:rPr>
          <w:fldChar w:fldCharType="end"/>
        </w:r>
      </w:hyperlink>
    </w:p>
    <w:p w14:paraId="7C82A651" w14:textId="210A25F1" w:rsidR="00411A9C" w:rsidRDefault="00411A9C">
      <w:pPr>
        <w:pStyle w:val="TOC1"/>
        <w:rPr>
          <w:rFonts w:eastAsiaTheme="minorEastAsia"/>
          <w:noProof/>
          <w:kern w:val="2"/>
          <w:sz w:val="24"/>
          <w:szCs w:val="24"/>
          <w14:ligatures w14:val="standardContextual"/>
        </w:rPr>
      </w:pPr>
      <w:hyperlink w:anchor="_Toc191381404" w:history="1">
        <w:r w:rsidRPr="008C122D">
          <w:rPr>
            <w:rStyle w:val="Hyperlink"/>
            <w:noProof/>
          </w:rPr>
          <w:t>8.</w:t>
        </w:r>
        <w:r>
          <w:rPr>
            <w:rFonts w:eastAsiaTheme="minorEastAsia"/>
            <w:noProof/>
            <w:kern w:val="2"/>
            <w:sz w:val="24"/>
            <w:szCs w:val="24"/>
            <w14:ligatures w14:val="standardContextual"/>
          </w:rPr>
          <w:tab/>
        </w:r>
        <w:r w:rsidRPr="008C122D">
          <w:rPr>
            <w:rStyle w:val="Hyperlink"/>
            <w:noProof/>
          </w:rPr>
          <w:t>Circumstances in which malus and clawback can apply</w:t>
        </w:r>
        <w:r>
          <w:rPr>
            <w:noProof/>
          </w:rPr>
          <w:tab/>
        </w:r>
        <w:r>
          <w:rPr>
            <w:noProof/>
          </w:rPr>
          <w:fldChar w:fldCharType="begin"/>
        </w:r>
        <w:r>
          <w:rPr>
            <w:noProof/>
          </w:rPr>
          <w:instrText xml:space="preserve"> PAGEREF _Toc191381404 \h </w:instrText>
        </w:r>
        <w:r>
          <w:rPr>
            <w:noProof/>
          </w:rPr>
        </w:r>
        <w:r>
          <w:rPr>
            <w:noProof/>
          </w:rPr>
          <w:fldChar w:fldCharType="separate"/>
        </w:r>
        <w:r w:rsidR="00661E34">
          <w:rPr>
            <w:noProof/>
          </w:rPr>
          <w:t>7</w:t>
        </w:r>
        <w:r>
          <w:rPr>
            <w:noProof/>
          </w:rPr>
          <w:fldChar w:fldCharType="end"/>
        </w:r>
      </w:hyperlink>
    </w:p>
    <w:p w14:paraId="3B336198" w14:textId="46D538A9" w:rsidR="00411A9C" w:rsidRDefault="00411A9C">
      <w:pPr>
        <w:pStyle w:val="TOC1"/>
        <w:rPr>
          <w:rFonts w:eastAsiaTheme="minorEastAsia"/>
          <w:noProof/>
          <w:kern w:val="2"/>
          <w:sz w:val="24"/>
          <w:szCs w:val="24"/>
          <w14:ligatures w14:val="standardContextual"/>
        </w:rPr>
      </w:pPr>
      <w:hyperlink w:anchor="_Toc191381405" w:history="1">
        <w:r w:rsidRPr="008C122D">
          <w:rPr>
            <w:rStyle w:val="Hyperlink"/>
            <w:noProof/>
          </w:rPr>
          <w:t>9.</w:t>
        </w:r>
        <w:r>
          <w:rPr>
            <w:rFonts w:eastAsiaTheme="minorEastAsia"/>
            <w:noProof/>
            <w:kern w:val="2"/>
            <w:sz w:val="24"/>
            <w:szCs w:val="24"/>
            <w14:ligatures w14:val="standardContextual"/>
          </w:rPr>
          <w:tab/>
        </w:r>
        <w:r w:rsidRPr="008C122D">
          <w:rPr>
            <w:rStyle w:val="Hyperlink"/>
            <w:noProof/>
          </w:rPr>
          <w:t>Operation of malus and clawback</w:t>
        </w:r>
        <w:r>
          <w:rPr>
            <w:noProof/>
          </w:rPr>
          <w:tab/>
        </w:r>
        <w:r>
          <w:rPr>
            <w:noProof/>
          </w:rPr>
          <w:fldChar w:fldCharType="begin"/>
        </w:r>
        <w:r>
          <w:rPr>
            <w:noProof/>
          </w:rPr>
          <w:instrText xml:space="preserve"> PAGEREF _Toc191381405 \h </w:instrText>
        </w:r>
        <w:r>
          <w:rPr>
            <w:noProof/>
          </w:rPr>
        </w:r>
        <w:r>
          <w:rPr>
            <w:noProof/>
          </w:rPr>
          <w:fldChar w:fldCharType="separate"/>
        </w:r>
        <w:r w:rsidR="00661E34">
          <w:rPr>
            <w:noProof/>
          </w:rPr>
          <w:t>7</w:t>
        </w:r>
        <w:r>
          <w:rPr>
            <w:noProof/>
          </w:rPr>
          <w:fldChar w:fldCharType="end"/>
        </w:r>
      </w:hyperlink>
    </w:p>
    <w:p w14:paraId="3D33DAE9" w14:textId="711B6F36" w:rsidR="00411A9C" w:rsidRDefault="00411A9C">
      <w:pPr>
        <w:pStyle w:val="TOC1"/>
        <w:rPr>
          <w:rFonts w:eastAsiaTheme="minorEastAsia"/>
          <w:noProof/>
          <w:kern w:val="2"/>
          <w:sz w:val="24"/>
          <w:szCs w:val="24"/>
          <w14:ligatures w14:val="standardContextual"/>
        </w:rPr>
      </w:pPr>
      <w:hyperlink w:anchor="_Toc191381406" w:history="1">
        <w:r w:rsidRPr="008C122D">
          <w:rPr>
            <w:rStyle w:val="Hyperlink"/>
            <w:noProof/>
          </w:rPr>
          <w:t>10.</w:t>
        </w:r>
        <w:r>
          <w:rPr>
            <w:rFonts w:eastAsiaTheme="minorEastAsia"/>
            <w:noProof/>
            <w:kern w:val="2"/>
            <w:sz w:val="24"/>
            <w:szCs w:val="24"/>
            <w14:ligatures w14:val="standardContextual"/>
          </w:rPr>
          <w:tab/>
        </w:r>
        <w:r w:rsidRPr="008C122D">
          <w:rPr>
            <w:rStyle w:val="Hyperlink"/>
            <w:noProof/>
          </w:rPr>
          <w:t>Exercise of Options</w:t>
        </w:r>
        <w:r>
          <w:rPr>
            <w:noProof/>
          </w:rPr>
          <w:tab/>
        </w:r>
        <w:r>
          <w:rPr>
            <w:noProof/>
          </w:rPr>
          <w:fldChar w:fldCharType="begin"/>
        </w:r>
        <w:r>
          <w:rPr>
            <w:noProof/>
          </w:rPr>
          <w:instrText xml:space="preserve"> PAGEREF _Toc191381406 \h </w:instrText>
        </w:r>
        <w:r>
          <w:rPr>
            <w:noProof/>
          </w:rPr>
        </w:r>
        <w:r>
          <w:rPr>
            <w:noProof/>
          </w:rPr>
          <w:fldChar w:fldCharType="separate"/>
        </w:r>
        <w:r w:rsidR="00661E34">
          <w:rPr>
            <w:noProof/>
          </w:rPr>
          <w:t>8</w:t>
        </w:r>
        <w:r>
          <w:rPr>
            <w:noProof/>
          </w:rPr>
          <w:fldChar w:fldCharType="end"/>
        </w:r>
      </w:hyperlink>
    </w:p>
    <w:p w14:paraId="0961FC8E" w14:textId="6F55FEBB" w:rsidR="00411A9C" w:rsidRDefault="00411A9C">
      <w:pPr>
        <w:pStyle w:val="TOC1"/>
        <w:rPr>
          <w:rFonts w:eastAsiaTheme="minorEastAsia"/>
          <w:noProof/>
          <w:kern w:val="2"/>
          <w:sz w:val="24"/>
          <w:szCs w:val="24"/>
          <w14:ligatures w14:val="standardContextual"/>
        </w:rPr>
      </w:pPr>
      <w:hyperlink w:anchor="_Toc191381407" w:history="1">
        <w:r w:rsidRPr="008C122D">
          <w:rPr>
            <w:rStyle w:val="Hyperlink"/>
            <w:noProof/>
          </w:rPr>
          <w:t>11.</w:t>
        </w:r>
        <w:r>
          <w:rPr>
            <w:rFonts w:eastAsiaTheme="minorEastAsia"/>
            <w:noProof/>
            <w:kern w:val="2"/>
            <w:sz w:val="24"/>
            <w:szCs w:val="24"/>
            <w14:ligatures w14:val="standardContextual"/>
          </w:rPr>
          <w:tab/>
        </w:r>
        <w:r w:rsidRPr="008C122D">
          <w:rPr>
            <w:rStyle w:val="Hyperlink"/>
            <w:noProof/>
          </w:rPr>
          <w:t>Settlement of Awards</w:t>
        </w:r>
        <w:r>
          <w:rPr>
            <w:noProof/>
          </w:rPr>
          <w:tab/>
        </w:r>
        <w:r>
          <w:rPr>
            <w:noProof/>
          </w:rPr>
          <w:fldChar w:fldCharType="begin"/>
        </w:r>
        <w:r>
          <w:rPr>
            <w:noProof/>
          </w:rPr>
          <w:instrText xml:space="preserve"> PAGEREF _Toc191381407 \h </w:instrText>
        </w:r>
        <w:r>
          <w:rPr>
            <w:noProof/>
          </w:rPr>
        </w:r>
        <w:r>
          <w:rPr>
            <w:noProof/>
          </w:rPr>
          <w:fldChar w:fldCharType="separate"/>
        </w:r>
        <w:r w:rsidR="00661E34">
          <w:rPr>
            <w:noProof/>
          </w:rPr>
          <w:t>9</w:t>
        </w:r>
        <w:r>
          <w:rPr>
            <w:noProof/>
          </w:rPr>
          <w:fldChar w:fldCharType="end"/>
        </w:r>
      </w:hyperlink>
    </w:p>
    <w:p w14:paraId="0F229A3F" w14:textId="74C2FC41" w:rsidR="00411A9C" w:rsidRDefault="00411A9C">
      <w:pPr>
        <w:pStyle w:val="TOC1"/>
        <w:rPr>
          <w:rFonts w:eastAsiaTheme="minorEastAsia"/>
          <w:noProof/>
          <w:kern w:val="2"/>
          <w:sz w:val="24"/>
          <w:szCs w:val="24"/>
          <w14:ligatures w14:val="standardContextual"/>
        </w:rPr>
      </w:pPr>
      <w:hyperlink w:anchor="_Toc191381408" w:history="1">
        <w:r w:rsidRPr="008C122D">
          <w:rPr>
            <w:rStyle w:val="Hyperlink"/>
            <w:noProof/>
          </w:rPr>
          <w:t>12.</w:t>
        </w:r>
        <w:r>
          <w:rPr>
            <w:rFonts w:eastAsiaTheme="minorEastAsia"/>
            <w:noProof/>
            <w:kern w:val="2"/>
            <w:sz w:val="24"/>
            <w:szCs w:val="24"/>
            <w14:ligatures w14:val="standardContextual"/>
          </w:rPr>
          <w:tab/>
        </w:r>
        <w:r w:rsidRPr="008C122D">
          <w:rPr>
            <w:rStyle w:val="Hyperlink"/>
            <w:noProof/>
          </w:rPr>
          <w:t>Alternative methods of settlement of Awards</w:t>
        </w:r>
        <w:r>
          <w:rPr>
            <w:noProof/>
          </w:rPr>
          <w:tab/>
        </w:r>
        <w:r>
          <w:rPr>
            <w:noProof/>
          </w:rPr>
          <w:fldChar w:fldCharType="begin"/>
        </w:r>
        <w:r>
          <w:rPr>
            <w:noProof/>
          </w:rPr>
          <w:instrText xml:space="preserve"> PAGEREF _Toc191381408 \h </w:instrText>
        </w:r>
        <w:r>
          <w:rPr>
            <w:noProof/>
          </w:rPr>
        </w:r>
        <w:r>
          <w:rPr>
            <w:noProof/>
          </w:rPr>
          <w:fldChar w:fldCharType="separate"/>
        </w:r>
        <w:r w:rsidR="00661E34">
          <w:rPr>
            <w:noProof/>
          </w:rPr>
          <w:t>9</w:t>
        </w:r>
        <w:r>
          <w:rPr>
            <w:noProof/>
          </w:rPr>
          <w:fldChar w:fldCharType="end"/>
        </w:r>
      </w:hyperlink>
    </w:p>
    <w:p w14:paraId="3D842161" w14:textId="77924964" w:rsidR="00411A9C" w:rsidRDefault="00411A9C">
      <w:pPr>
        <w:pStyle w:val="TOC1"/>
        <w:rPr>
          <w:rFonts w:eastAsiaTheme="minorEastAsia"/>
          <w:noProof/>
          <w:kern w:val="2"/>
          <w:sz w:val="24"/>
          <w:szCs w:val="24"/>
          <w14:ligatures w14:val="standardContextual"/>
        </w:rPr>
      </w:pPr>
      <w:hyperlink w:anchor="_Toc191381409" w:history="1">
        <w:r w:rsidRPr="008C122D">
          <w:rPr>
            <w:rStyle w:val="Hyperlink"/>
            <w:noProof/>
          </w:rPr>
          <w:t>13.</w:t>
        </w:r>
        <w:r>
          <w:rPr>
            <w:rFonts w:eastAsiaTheme="minorEastAsia"/>
            <w:noProof/>
            <w:kern w:val="2"/>
            <w:sz w:val="24"/>
            <w:szCs w:val="24"/>
            <w14:ligatures w14:val="standardContextual"/>
          </w:rPr>
          <w:tab/>
        </w:r>
        <w:r w:rsidRPr="008C122D">
          <w:rPr>
            <w:rStyle w:val="Hyperlink"/>
            <w:noProof/>
          </w:rPr>
          <w:t>Holding Period</w:t>
        </w:r>
        <w:r>
          <w:rPr>
            <w:noProof/>
          </w:rPr>
          <w:tab/>
        </w:r>
        <w:r>
          <w:rPr>
            <w:noProof/>
          </w:rPr>
          <w:fldChar w:fldCharType="begin"/>
        </w:r>
        <w:r>
          <w:rPr>
            <w:noProof/>
          </w:rPr>
          <w:instrText xml:space="preserve"> PAGEREF _Toc191381409 \h </w:instrText>
        </w:r>
        <w:r>
          <w:rPr>
            <w:noProof/>
          </w:rPr>
        </w:r>
        <w:r>
          <w:rPr>
            <w:noProof/>
          </w:rPr>
          <w:fldChar w:fldCharType="separate"/>
        </w:r>
        <w:r w:rsidR="00661E34">
          <w:rPr>
            <w:noProof/>
          </w:rPr>
          <w:t>9</w:t>
        </w:r>
        <w:r>
          <w:rPr>
            <w:noProof/>
          </w:rPr>
          <w:fldChar w:fldCharType="end"/>
        </w:r>
      </w:hyperlink>
    </w:p>
    <w:p w14:paraId="11014C73" w14:textId="73D31764" w:rsidR="00411A9C" w:rsidRDefault="00411A9C">
      <w:pPr>
        <w:pStyle w:val="TOC1"/>
        <w:rPr>
          <w:rFonts w:eastAsiaTheme="minorEastAsia"/>
          <w:noProof/>
          <w:kern w:val="2"/>
          <w:sz w:val="24"/>
          <w:szCs w:val="24"/>
          <w14:ligatures w14:val="standardContextual"/>
        </w:rPr>
      </w:pPr>
      <w:hyperlink w:anchor="_Toc191381410" w:history="1">
        <w:r w:rsidRPr="008C122D">
          <w:rPr>
            <w:rStyle w:val="Hyperlink"/>
            <w:noProof/>
          </w:rPr>
          <w:t>14.</w:t>
        </w:r>
        <w:r>
          <w:rPr>
            <w:rFonts w:eastAsiaTheme="minorEastAsia"/>
            <w:noProof/>
            <w:kern w:val="2"/>
            <w:sz w:val="24"/>
            <w:szCs w:val="24"/>
            <w14:ligatures w14:val="standardContextual"/>
          </w:rPr>
          <w:tab/>
        </w:r>
        <w:r w:rsidRPr="008C122D">
          <w:rPr>
            <w:rStyle w:val="Hyperlink"/>
            <w:noProof/>
          </w:rPr>
          <w:t>Lapse of Awards</w:t>
        </w:r>
        <w:r>
          <w:rPr>
            <w:noProof/>
          </w:rPr>
          <w:tab/>
        </w:r>
        <w:r>
          <w:rPr>
            <w:noProof/>
          </w:rPr>
          <w:fldChar w:fldCharType="begin"/>
        </w:r>
        <w:r>
          <w:rPr>
            <w:noProof/>
          </w:rPr>
          <w:instrText xml:space="preserve"> PAGEREF _Toc191381410 \h </w:instrText>
        </w:r>
        <w:r>
          <w:rPr>
            <w:noProof/>
          </w:rPr>
        </w:r>
        <w:r>
          <w:rPr>
            <w:noProof/>
          </w:rPr>
          <w:fldChar w:fldCharType="separate"/>
        </w:r>
        <w:r w:rsidR="00661E34">
          <w:rPr>
            <w:noProof/>
          </w:rPr>
          <w:t>10</w:t>
        </w:r>
        <w:r>
          <w:rPr>
            <w:noProof/>
          </w:rPr>
          <w:fldChar w:fldCharType="end"/>
        </w:r>
      </w:hyperlink>
    </w:p>
    <w:p w14:paraId="79DE92D1" w14:textId="0E7CE1F2" w:rsidR="00411A9C" w:rsidRDefault="00411A9C">
      <w:pPr>
        <w:pStyle w:val="TOC1"/>
        <w:rPr>
          <w:rFonts w:eastAsiaTheme="minorEastAsia"/>
          <w:noProof/>
          <w:kern w:val="2"/>
          <w:sz w:val="24"/>
          <w:szCs w:val="24"/>
          <w14:ligatures w14:val="standardContextual"/>
        </w:rPr>
      </w:pPr>
      <w:hyperlink w:anchor="_Toc191381411" w:history="1">
        <w:r w:rsidRPr="008C122D">
          <w:rPr>
            <w:rStyle w:val="Hyperlink"/>
            <w:noProof/>
          </w:rPr>
          <w:t>15.</w:t>
        </w:r>
        <w:r>
          <w:rPr>
            <w:rFonts w:eastAsiaTheme="minorEastAsia"/>
            <w:noProof/>
            <w:kern w:val="2"/>
            <w:sz w:val="24"/>
            <w:szCs w:val="24"/>
            <w14:ligatures w14:val="standardContextual"/>
          </w:rPr>
          <w:tab/>
        </w:r>
        <w:r w:rsidRPr="008C122D">
          <w:rPr>
            <w:rStyle w:val="Hyperlink"/>
            <w:noProof/>
          </w:rPr>
          <w:t>Termination of employment (Vesting and exercise period)</w:t>
        </w:r>
        <w:r>
          <w:rPr>
            <w:noProof/>
          </w:rPr>
          <w:tab/>
        </w:r>
        <w:r>
          <w:rPr>
            <w:noProof/>
          </w:rPr>
          <w:fldChar w:fldCharType="begin"/>
        </w:r>
        <w:r>
          <w:rPr>
            <w:noProof/>
          </w:rPr>
          <w:instrText xml:space="preserve"> PAGEREF _Toc191381411 \h </w:instrText>
        </w:r>
        <w:r>
          <w:rPr>
            <w:noProof/>
          </w:rPr>
        </w:r>
        <w:r>
          <w:rPr>
            <w:noProof/>
          </w:rPr>
          <w:fldChar w:fldCharType="separate"/>
        </w:r>
        <w:r w:rsidR="00661E34">
          <w:rPr>
            <w:noProof/>
          </w:rPr>
          <w:t>11</w:t>
        </w:r>
        <w:r>
          <w:rPr>
            <w:noProof/>
          </w:rPr>
          <w:fldChar w:fldCharType="end"/>
        </w:r>
      </w:hyperlink>
    </w:p>
    <w:p w14:paraId="6AB36139" w14:textId="3290C84D" w:rsidR="00411A9C" w:rsidRDefault="00411A9C">
      <w:pPr>
        <w:pStyle w:val="TOC1"/>
        <w:rPr>
          <w:rFonts w:eastAsiaTheme="minorEastAsia"/>
          <w:noProof/>
          <w:kern w:val="2"/>
          <w:sz w:val="24"/>
          <w:szCs w:val="24"/>
          <w14:ligatures w14:val="standardContextual"/>
        </w:rPr>
      </w:pPr>
      <w:hyperlink w:anchor="_Toc191381412" w:history="1">
        <w:r w:rsidRPr="008C122D">
          <w:rPr>
            <w:rStyle w:val="Hyperlink"/>
            <w:noProof/>
          </w:rPr>
          <w:t>16.</w:t>
        </w:r>
        <w:r>
          <w:rPr>
            <w:rFonts w:eastAsiaTheme="minorEastAsia"/>
            <w:noProof/>
            <w:kern w:val="2"/>
            <w:sz w:val="24"/>
            <w:szCs w:val="24"/>
            <w14:ligatures w14:val="standardContextual"/>
          </w:rPr>
          <w:tab/>
        </w:r>
        <w:r w:rsidRPr="008C122D">
          <w:rPr>
            <w:rStyle w:val="Hyperlink"/>
            <w:noProof/>
          </w:rPr>
          <w:t>Termination of employment (timing)</w:t>
        </w:r>
        <w:r>
          <w:rPr>
            <w:noProof/>
          </w:rPr>
          <w:tab/>
        </w:r>
        <w:r>
          <w:rPr>
            <w:noProof/>
          </w:rPr>
          <w:fldChar w:fldCharType="begin"/>
        </w:r>
        <w:r>
          <w:rPr>
            <w:noProof/>
          </w:rPr>
          <w:instrText xml:space="preserve"> PAGEREF _Toc191381412 \h </w:instrText>
        </w:r>
        <w:r>
          <w:rPr>
            <w:noProof/>
          </w:rPr>
        </w:r>
        <w:r>
          <w:rPr>
            <w:noProof/>
          </w:rPr>
          <w:fldChar w:fldCharType="separate"/>
        </w:r>
        <w:r w:rsidR="00661E34">
          <w:rPr>
            <w:noProof/>
          </w:rPr>
          <w:t>12</w:t>
        </w:r>
        <w:r>
          <w:rPr>
            <w:noProof/>
          </w:rPr>
          <w:fldChar w:fldCharType="end"/>
        </w:r>
      </w:hyperlink>
    </w:p>
    <w:p w14:paraId="7EA5A6F0" w14:textId="60AA60C2" w:rsidR="00411A9C" w:rsidRDefault="00411A9C">
      <w:pPr>
        <w:pStyle w:val="TOC1"/>
        <w:rPr>
          <w:rFonts w:eastAsiaTheme="minorEastAsia"/>
          <w:noProof/>
          <w:kern w:val="2"/>
          <w:sz w:val="24"/>
          <w:szCs w:val="24"/>
          <w14:ligatures w14:val="standardContextual"/>
        </w:rPr>
      </w:pPr>
      <w:hyperlink w:anchor="_Toc191381413" w:history="1">
        <w:r w:rsidRPr="008C122D">
          <w:rPr>
            <w:rStyle w:val="Hyperlink"/>
            <w:noProof/>
          </w:rPr>
          <w:t>17.</w:t>
        </w:r>
        <w:r>
          <w:rPr>
            <w:rFonts w:eastAsiaTheme="minorEastAsia"/>
            <w:noProof/>
            <w:kern w:val="2"/>
            <w:sz w:val="24"/>
            <w:szCs w:val="24"/>
            <w14:ligatures w14:val="standardContextual"/>
          </w:rPr>
          <w:tab/>
        </w:r>
        <w:r w:rsidRPr="008C122D">
          <w:rPr>
            <w:rStyle w:val="Hyperlink"/>
            <w:noProof/>
          </w:rPr>
          <w:t>Takeovers and liquidations</w:t>
        </w:r>
        <w:r>
          <w:rPr>
            <w:noProof/>
          </w:rPr>
          <w:tab/>
        </w:r>
        <w:r>
          <w:rPr>
            <w:noProof/>
          </w:rPr>
          <w:fldChar w:fldCharType="begin"/>
        </w:r>
        <w:r>
          <w:rPr>
            <w:noProof/>
          </w:rPr>
          <w:instrText xml:space="preserve"> PAGEREF _Toc191381413 \h </w:instrText>
        </w:r>
        <w:r>
          <w:rPr>
            <w:noProof/>
          </w:rPr>
        </w:r>
        <w:r>
          <w:rPr>
            <w:noProof/>
          </w:rPr>
          <w:fldChar w:fldCharType="separate"/>
        </w:r>
        <w:r w:rsidR="00661E34">
          <w:rPr>
            <w:noProof/>
          </w:rPr>
          <w:t>12</w:t>
        </w:r>
        <w:r>
          <w:rPr>
            <w:noProof/>
          </w:rPr>
          <w:fldChar w:fldCharType="end"/>
        </w:r>
      </w:hyperlink>
    </w:p>
    <w:p w14:paraId="34024039" w14:textId="0550DF71" w:rsidR="00411A9C" w:rsidRDefault="00411A9C">
      <w:pPr>
        <w:pStyle w:val="TOC1"/>
        <w:rPr>
          <w:rFonts w:eastAsiaTheme="minorEastAsia"/>
          <w:noProof/>
          <w:kern w:val="2"/>
          <w:sz w:val="24"/>
          <w:szCs w:val="24"/>
          <w14:ligatures w14:val="standardContextual"/>
        </w:rPr>
      </w:pPr>
      <w:hyperlink w:anchor="_Toc191381414" w:history="1">
        <w:r w:rsidRPr="008C122D">
          <w:rPr>
            <w:rStyle w:val="Hyperlink"/>
            <w:noProof/>
          </w:rPr>
          <w:t>18.</w:t>
        </w:r>
        <w:r>
          <w:rPr>
            <w:rFonts w:eastAsiaTheme="minorEastAsia"/>
            <w:noProof/>
            <w:kern w:val="2"/>
            <w:sz w:val="24"/>
            <w:szCs w:val="24"/>
            <w14:ligatures w14:val="standardContextual"/>
          </w:rPr>
          <w:tab/>
        </w:r>
        <w:r w:rsidRPr="008C122D">
          <w:rPr>
            <w:rStyle w:val="Hyperlink"/>
            <w:noProof/>
          </w:rPr>
          <w:t>Variation of share capital</w:t>
        </w:r>
        <w:r>
          <w:rPr>
            <w:noProof/>
          </w:rPr>
          <w:tab/>
        </w:r>
        <w:r>
          <w:rPr>
            <w:noProof/>
          </w:rPr>
          <w:fldChar w:fldCharType="begin"/>
        </w:r>
        <w:r>
          <w:rPr>
            <w:noProof/>
          </w:rPr>
          <w:instrText xml:space="preserve"> PAGEREF _Toc191381414 \h </w:instrText>
        </w:r>
        <w:r>
          <w:rPr>
            <w:noProof/>
          </w:rPr>
        </w:r>
        <w:r>
          <w:rPr>
            <w:noProof/>
          </w:rPr>
          <w:fldChar w:fldCharType="separate"/>
        </w:r>
        <w:r w:rsidR="00661E34">
          <w:rPr>
            <w:noProof/>
          </w:rPr>
          <w:t>13</w:t>
        </w:r>
        <w:r>
          <w:rPr>
            <w:noProof/>
          </w:rPr>
          <w:fldChar w:fldCharType="end"/>
        </w:r>
      </w:hyperlink>
    </w:p>
    <w:p w14:paraId="55668813" w14:textId="1B91E60A" w:rsidR="00411A9C" w:rsidRDefault="00411A9C">
      <w:pPr>
        <w:pStyle w:val="TOC1"/>
        <w:rPr>
          <w:rFonts w:eastAsiaTheme="minorEastAsia"/>
          <w:noProof/>
          <w:kern w:val="2"/>
          <w:sz w:val="24"/>
          <w:szCs w:val="24"/>
          <w14:ligatures w14:val="standardContextual"/>
        </w:rPr>
      </w:pPr>
      <w:hyperlink w:anchor="_Toc191381415" w:history="1">
        <w:r w:rsidRPr="008C122D">
          <w:rPr>
            <w:rStyle w:val="Hyperlink"/>
            <w:noProof/>
          </w:rPr>
          <w:t>19.</w:t>
        </w:r>
        <w:r>
          <w:rPr>
            <w:rFonts w:eastAsiaTheme="minorEastAsia"/>
            <w:noProof/>
            <w:kern w:val="2"/>
            <w:sz w:val="24"/>
            <w:szCs w:val="24"/>
            <w14:ligatures w14:val="standardContextual"/>
          </w:rPr>
          <w:tab/>
        </w:r>
        <w:r w:rsidRPr="008C122D">
          <w:rPr>
            <w:rStyle w:val="Hyperlink"/>
            <w:noProof/>
          </w:rPr>
          <w:t>Tax liabilities</w:t>
        </w:r>
        <w:r>
          <w:rPr>
            <w:noProof/>
          </w:rPr>
          <w:tab/>
        </w:r>
        <w:r>
          <w:rPr>
            <w:noProof/>
          </w:rPr>
          <w:fldChar w:fldCharType="begin"/>
        </w:r>
        <w:r>
          <w:rPr>
            <w:noProof/>
          </w:rPr>
          <w:instrText xml:space="preserve"> PAGEREF _Toc191381415 \h </w:instrText>
        </w:r>
        <w:r>
          <w:rPr>
            <w:noProof/>
          </w:rPr>
        </w:r>
        <w:r>
          <w:rPr>
            <w:noProof/>
          </w:rPr>
          <w:fldChar w:fldCharType="separate"/>
        </w:r>
        <w:r w:rsidR="00661E34">
          <w:rPr>
            <w:noProof/>
          </w:rPr>
          <w:t>14</w:t>
        </w:r>
        <w:r>
          <w:rPr>
            <w:noProof/>
          </w:rPr>
          <w:fldChar w:fldCharType="end"/>
        </w:r>
      </w:hyperlink>
    </w:p>
    <w:p w14:paraId="597F11AC" w14:textId="05752347" w:rsidR="00411A9C" w:rsidRDefault="00411A9C">
      <w:pPr>
        <w:pStyle w:val="TOC1"/>
        <w:rPr>
          <w:rFonts w:eastAsiaTheme="minorEastAsia"/>
          <w:noProof/>
          <w:kern w:val="2"/>
          <w:sz w:val="24"/>
          <w:szCs w:val="24"/>
          <w14:ligatures w14:val="standardContextual"/>
        </w:rPr>
      </w:pPr>
      <w:hyperlink w:anchor="_Toc191381416" w:history="1">
        <w:r w:rsidRPr="008C122D">
          <w:rPr>
            <w:rStyle w:val="Hyperlink"/>
            <w:noProof/>
          </w:rPr>
          <w:t>20.</w:t>
        </w:r>
        <w:r>
          <w:rPr>
            <w:rFonts w:eastAsiaTheme="minorEastAsia"/>
            <w:noProof/>
            <w:kern w:val="2"/>
            <w:sz w:val="24"/>
            <w:szCs w:val="24"/>
            <w14:ligatures w14:val="standardContextual"/>
          </w:rPr>
          <w:tab/>
        </w:r>
        <w:r w:rsidRPr="008C122D">
          <w:rPr>
            <w:rStyle w:val="Hyperlink"/>
            <w:noProof/>
          </w:rPr>
          <w:t>Relationship with Employment</w:t>
        </w:r>
        <w:r>
          <w:rPr>
            <w:noProof/>
          </w:rPr>
          <w:tab/>
        </w:r>
        <w:r>
          <w:rPr>
            <w:noProof/>
          </w:rPr>
          <w:fldChar w:fldCharType="begin"/>
        </w:r>
        <w:r>
          <w:rPr>
            <w:noProof/>
          </w:rPr>
          <w:instrText xml:space="preserve"> PAGEREF _Toc191381416 \h </w:instrText>
        </w:r>
        <w:r>
          <w:rPr>
            <w:noProof/>
          </w:rPr>
        </w:r>
        <w:r>
          <w:rPr>
            <w:noProof/>
          </w:rPr>
          <w:fldChar w:fldCharType="separate"/>
        </w:r>
        <w:r w:rsidR="00661E34">
          <w:rPr>
            <w:noProof/>
          </w:rPr>
          <w:t>14</w:t>
        </w:r>
        <w:r>
          <w:rPr>
            <w:noProof/>
          </w:rPr>
          <w:fldChar w:fldCharType="end"/>
        </w:r>
      </w:hyperlink>
    </w:p>
    <w:p w14:paraId="7AD5EC57" w14:textId="494E4A1E" w:rsidR="00411A9C" w:rsidRDefault="00411A9C">
      <w:pPr>
        <w:pStyle w:val="TOC1"/>
        <w:rPr>
          <w:rFonts w:eastAsiaTheme="minorEastAsia"/>
          <w:noProof/>
          <w:kern w:val="2"/>
          <w:sz w:val="24"/>
          <w:szCs w:val="24"/>
          <w14:ligatures w14:val="standardContextual"/>
        </w:rPr>
      </w:pPr>
      <w:hyperlink w:anchor="_Toc191381417" w:history="1">
        <w:r w:rsidRPr="008C122D">
          <w:rPr>
            <w:rStyle w:val="Hyperlink"/>
            <w:noProof/>
          </w:rPr>
          <w:t>21.</w:t>
        </w:r>
        <w:r>
          <w:rPr>
            <w:rFonts w:eastAsiaTheme="minorEastAsia"/>
            <w:noProof/>
            <w:kern w:val="2"/>
            <w:sz w:val="24"/>
            <w:szCs w:val="24"/>
            <w14:ligatures w14:val="standardContextual"/>
          </w:rPr>
          <w:tab/>
        </w:r>
        <w:r w:rsidRPr="008C122D">
          <w:rPr>
            <w:rStyle w:val="Hyperlink"/>
            <w:noProof/>
          </w:rPr>
          <w:t>Administration and amendment</w:t>
        </w:r>
        <w:r>
          <w:rPr>
            <w:noProof/>
          </w:rPr>
          <w:tab/>
        </w:r>
        <w:r>
          <w:rPr>
            <w:noProof/>
          </w:rPr>
          <w:fldChar w:fldCharType="begin"/>
        </w:r>
        <w:r>
          <w:rPr>
            <w:noProof/>
          </w:rPr>
          <w:instrText xml:space="preserve"> PAGEREF _Toc191381417 \h </w:instrText>
        </w:r>
        <w:r>
          <w:rPr>
            <w:noProof/>
          </w:rPr>
        </w:r>
        <w:r>
          <w:rPr>
            <w:noProof/>
          </w:rPr>
          <w:fldChar w:fldCharType="separate"/>
        </w:r>
        <w:r w:rsidR="00661E34">
          <w:rPr>
            <w:noProof/>
          </w:rPr>
          <w:t>14</w:t>
        </w:r>
        <w:r>
          <w:rPr>
            <w:noProof/>
          </w:rPr>
          <w:fldChar w:fldCharType="end"/>
        </w:r>
      </w:hyperlink>
    </w:p>
    <w:p w14:paraId="7BD8C548" w14:textId="172F98D9" w:rsidR="00411A9C" w:rsidRDefault="00411A9C">
      <w:pPr>
        <w:pStyle w:val="TOC1"/>
        <w:rPr>
          <w:rFonts w:eastAsiaTheme="minorEastAsia"/>
          <w:noProof/>
          <w:kern w:val="2"/>
          <w:sz w:val="24"/>
          <w:szCs w:val="24"/>
          <w14:ligatures w14:val="standardContextual"/>
        </w:rPr>
      </w:pPr>
      <w:hyperlink w:anchor="_Toc191381418" w:history="1">
        <w:r w:rsidRPr="008C122D">
          <w:rPr>
            <w:rStyle w:val="Hyperlink"/>
            <w:noProof/>
          </w:rPr>
          <w:t>22.</w:t>
        </w:r>
        <w:r>
          <w:rPr>
            <w:rFonts w:eastAsiaTheme="minorEastAsia"/>
            <w:noProof/>
            <w:kern w:val="2"/>
            <w:sz w:val="24"/>
            <w:szCs w:val="24"/>
            <w14:ligatures w14:val="standardContextual"/>
          </w:rPr>
          <w:tab/>
        </w:r>
        <w:r w:rsidRPr="008C122D">
          <w:rPr>
            <w:rStyle w:val="Hyperlink"/>
            <w:noProof/>
          </w:rPr>
          <w:t>Third party rights</w:t>
        </w:r>
        <w:r>
          <w:rPr>
            <w:noProof/>
          </w:rPr>
          <w:tab/>
        </w:r>
        <w:r>
          <w:rPr>
            <w:noProof/>
          </w:rPr>
          <w:fldChar w:fldCharType="begin"/>
        </w:r>
        <w:r>
          <w:rPr>
            <w:noProof/>
          </w:rPr>
          <w:instrText xml:space="preserve"> PAGEREF _Toc191381418 \h </w:instrText>
        </w:r>
        <w:r>
          <w:rPr>
            <w:noProof/>
          </w:rPr>
        </w:r>
        <w:r>
          <w:rPr>
            <w:noProof/>
          </w:rPr>
          <w:fldChar w:fldCharType="separate"/>
        </w:r>
        <w:r w:rsidR="00661E34">
          <w:rPr>
            <w:noProof/>
          </w:rPr>
          <w:t>15</w:t>
        </w:r>
        <w:r>
          <w:rPr>
            <w:noProof/>
          </w:rPr>
          <w:fldChar w:fldCharType="end"/>
        </w:r>
      </w:hyperlink>
    </w:p>
    <w:p w14:paraId="461548C7" w14:textId="73467785" w:rsidR="00411A9C" w:rsidRDefault="00411A9C">
      <w:pPr>
        <w:pStyle w:val="TOC1"/>
        <w:rPr>
          <w:rFonts w:eastAsiaTheme="minorEastAsia"/>
          <w:noProof/>
          <w:kern w:val="2"/>
          <w:sz w:val="24"/>
          <w:szCs w:val="24"/>
          <w14:ligatures w14:val="standardContextual"/>
        </w:rPr>
      </w:pPr>
      <w:hyperlink w:anchor="_Toc191381419" w:history="1">
        <w:r w:rsidRPr="008C122D">
          <w:rPr>
            <w:rStyle w:val="Hyperlink"/>
            <w:noProof/>
          </w:rPr>
          <w:t>23.</w:t>
        </w:r>
        <w:r>
          <w:rPr>
            <w:rFonts w:eastAsiaTheme="minorEastAsia"/>
            <w:noProof/>
            <w:kern w:val="2"/>
            <w:sz w:val="24"/>
            <w:szCs w:val="24"/>
            <w14:ligatures w14:val="standardContextual"/>
          </w:rPr>
          <w:tab/>
        </w:r>
        <w:r w:rsidRPr="008C122D">
          <w:rPr>
            <w:rStyle w:val="Hyperlink"/>
            <w:noProof/>
          </w:rPr>
          <w:t>Confidentiality</w:t>
        </w:r>
        <w:r>
          <w:rPr>
            <w:noProof/>
          </w:rPr>
          <w:tab/>
        </w:r>
        <w:r>
          <w:rPr>
            <w:noProof/>
          </w:rPr>
          <w:fldChar w:fldCharType="begin"/>
        </w:r>
        <w:r>
          <w:rPr>
            <w:noProof/>
          </w:rPr>
          <w:instrText xml:space="preserve"> PAGEREF _Toc191381419 \h </w:instrText>
        </w:r>
        <w:r>
          <w:rPr>
            <w:noProof/>
          </w:rPr>
        </w:r>
        <w:r>
          <w:rPr>
            <w:noProof/>
          </w:rPr>
          <w:fldChar w:fldCharType="separate"/>
        </w:r>
        <w:r w:rsidR="00661E34">
          <w:rPr>
            <w:noProof/>
          </w:rPr>
          <w:t>16</w:t>
        </w:r>
        <w:r>
          <w:rPr>
            <w:noProof/>
          </w:rPr>
          <w:fldChar w:fldCharType="end"/>
        </w:r>
      </w:hyperlink>
    </w:p>
    <w:p w14:paraId="3995CA3E" w14:textId="28E4B8B9" w:rsidR="00411A9C" w:rsidRDefault="00411A9C">
      <w:pPr>
        <w:pStyle w:val="TOC1"/>
        <w:rPr>
          <w:rFonts w:eastAsiaTheme="minorEastAsia"/>
          <w:noProof/>
          <w:kern w:val="2"/>
          <w:sz w:val="24"/>
          <w:szCs w:val="24"/>
          <w14:ligatures w14:val="standardContextual"/>
        </w:rPr>
      </w:pPr>
      <w:hyperlink w:anchor="_Toc191381420" w:history="1">
        <w:r w:rsidRPr="008C122D">
          <w:rPr>
            <w:rStyle w:val="Hyperlink"/>
            <w:noProof/>
          </w:rPr>
          <w:t>24.</w:t>
        </w:r>
        <w:r>
          <w:rPr>
            <w:rFonts w:eastAsiaTheme="minorEastAsia"/>
            <w:noProof/>
            <w:kern w:val="2"/>
            <w:sz w:val="24"/>
            <w:szCs w:val="24"/>
            <w14:ligatures w14:val="standardContextual"/>
          </w:rPr>
          <w:tab/>
        </w:r>
        <w:r w:rsidRPr="008C122D">
          <w:rPr>
            <w:rStyle w:val="Hyperlink"/>
            <w:noProof/>
          </w:rPr>
          <w:t>Data Privacy</w:t>
        </w:r>
        <w:r>
          <w:rPr>
            <w:noProof/>
          </w:rPr>
          <w:tab/>
        </w:r>
        <w:r>
          <w:rPr>
            <w:noProof/>
          </w:rPr>
          <w:fldChar w:fldCharType="begin"/>
        </w:r>
        <w:r>
          <w:rPr>
            <w:noProof/>
          </w:rPr>
          <w:instrText xml:space="preserve"> PAGEREF _Toc191381420 \h </w:instrText>
        </w:r>
        <w:r>
          <w:rPr>
            <w:noProof/>
          </w:rPr>
        </w:r>
        <w:r>
          <w:rPr>
            <w:noProof/>
          </w:rPr>
          <w:fldChar w:fldCharType="separate"/>
        </w:r>
        <w:r w:rsidR="00661E34">
          <w:rPr>
            <w:noProof/>
          </w:rPr>
          <w:t>16</w:t>
        </w:r>
        <w:r>
          <w:rPr>
            <w:noProof/>
          </w:rPr>
          <w:fldChar w:fldCharType="end"/>
        </w:r>
      </w:hyperlink>
    </w:p>
    <w:p w14:paraId="427C7F18" w14:textId="3B2A9E24" w:rsidR="00411A9C" w:rsidRDefault="00411A9C">
      <w:pPr>
        <w:pStyle w:val="TOC1"/>
        <w:rPr>
          <w:rFonts w:eastAsiaTheme="minorEastAsia"/>
          <w:noProof/>
          <w:kern w:val="2"/>
          <w:sz w:val="24"/>
          <w:szCs w:val="24"/>
          <w14:ligatures w14:val="standardContextual"/>
        </w:rPr>
      </w:pPr>
      <w:hyperlink w:anchor="_Toc191381421" w:history="1">
        <w:r w:rsidRPr="008C122D">
          <w:rPr>
            <w:rStyle w:val="Hyperlink"/>
            <w:noProof/>
          </w:rPr>
          <w:t>25.</w:t>
        </w:r>
        <w:r>
          <w:rPr>
            <w:rFonts w:eastAsiaTheme="minorEastAsia"/>
            <w:noProof/>
            <w:kern w:val="2"/>
            <w:sz w:val="24"/>
            <w:szCs w:val="24"/>
            <w14:ligatures w14:val="standardContextual"/>
          </w:rPr>
          <w:tab/>
        </w:r>
        <w:r w:rsidRPr="008C122D">
          <w:rPr>
            <w:rStyle w:val="Hyperlink"/>
            <w:noProof/>
          </w:rPr>
          <w:t>Severability</w:t>
        </w:r>
        <w:r>
          <w:rPr>
            <w:noProof/>
          </w:rPr>
          <w:tab/>
        </w:r>
        <w:r>
          <w:rPr>
            <w:noProof/>
          </w:rPr>
          <w:fldChar w:fldCharType="begin"/>
        </w:r>
        <w:r>
          <w:rPr>
            <w:noProof/>
          </w:rPr>
          <w:instrText xml:space="preserve"> PAGEREF _Toc191381421 \h </w:instrText>
        </w:r>
        <w:r>
          <w:rPr>
            <w:noProof/>
          </w:rPr>
        </w:r>
        <w:r>
          <w:rPr>
            <w:noProof/>
          </w:rPr>
          <w:fldChar w:fldCharType="separate"/>
        </w:r>
        <w:r w:rsidR="00661E34">
          <w:rPr>
            <w:noProof/>
          </w:rPr>
          <w:t>16</w:t>
        </w:r>
        <w:r>
          <w:rPr>
            <w:noProof/>
          </w:rPr>
          <w:fldChar w:fldCharType="end"/>
        </w:r>
      </w:hyperlink>
    </w:p>
    <w:p w14:paraId="3D249C01" w14:textId="702F7EEC" w:rsidR="00411A9C" w:rsidRDefault="00411A9C">
      <w:pPr>
        <w:pStyle w:val="TOC1"/>
        <w:rPr>
          <w:rFonts w:eastAsiaTheme="minorEastAsia"/>
          <w:noProof/>
          <w:kern w:val="2"/>
          <w:sz w:val="24"/>
          <w:szCs w:val="24"/>
          <w14:ligatures w14:val="standardContextual"/>
        </w:rPr>
      </w:pPr>
      <w:hyperlink w:anchor="_Toc191381422" w:history="1">
        <w:r w:rsidRPr="008C122D">
          <w:rPr>
            <w:rStyle w:val="Hyperlink"/>
            <w:noProof/>
          </w:rPr>
          <w:t>26.</w:t>
        </w:r>
        <w:r>
          <w:rPr>
            <w:rFonts w:eastAsiaTheme="minorEastAsia"/>
            <w:noProof/>
            <w:kern w:val="2"/>
            <w:sz w:val="24"/>
            <w:szCs w:val="24"/>
            <w14:ligatures w14:val="standardContextual"/>
          </w:rPr>
          <w:tab/>
        </w:r>
        <w:r w:rsidRPr="008C122D">
          <w:rPr>
            <w:rStyle w:val="Hyperlink"/>
            <w:noProof/>
          </w:rPr>
          <w:t>Governing law and Jurisdiction</w:t>
        </w:r>
        <w:r>
          <w:rPr>
            <w:noProof/>
          </w:rPr>
          <w:tab/>
        </w:r>
        <w:r>
          <w:rPr>
            <w:noProof/>
          </w:rPr>
          <w:fldChar w:fldCharType="begin"/>
        </w:r>
        <w:r>
          <w:rPr>
            <w:noProof/>
          </w:rPr>
          <w:instrText xml:space="preserve"> PAGEREF _Toc191381422 \h </w:instrText>
        </w:r>
        <w:r>
          <w:rPr>
            <w:noProof/>
          </w:rPr>
        </w:r>
        <w:r>
          <w:rPr>
            <w:noProof/>
          </w:rPr>
          <w:fldChar w:fldCharType="separate"/>
        </w:r>
        <w:r w:rsidR="00661E34">
          <w:rPr>
            <w:noProof/>
          </w:rPr>
          <w:t>16</w:t>
        </w:r>
        <w:r>
          <w:rPr>
            <w:noProof/>
          </w:rPr>
          <w:fldChar w:fldCharType="end"/>
        </w:r>
      </w:hyperlink>
    </w:p>
    <w:p w14:paraId="56712D87" w14:textId="40819580" w:rsidR="009A23B0" w:rsidRPr="0006114E" w:rsidRDefault="00D8597D" w:rsidP="006A1CE1">
      <w:pPr>
        <w:pStyle w:val="HeadingLevel2"/>
        <w:spacing w:line="240" w:lineRule="auto"/>
        <w:rPr>
          <w:rFonts w:ascii="Arial" w:hAnsi="Arial" w:cs="Arial"/>
          <w:sz w:val="20"/>
        </w:rPr>
        <w:sectPr w:rsidR="009A23B0" w:rsidRPr="0006114E" w:rsidSect="00E02604">
          <w:footerReference w:type="default" r:id="rId22"/>
          <w:pgSz w:w="12240" w:h="15840"/>
          <w:pgMar w:top="1440" w:right="1440" w:bottom="1440" w:left="1440" w:header="720" w:footer="720" w:gutter="0"/>
          <w:pgNumType w:start="1"/>
          <w:cols w:space="720"/>
        </w:sectPr>
      </w:pPr>
      <w:r w:rsidRPr="0006114E">
        <w:rPr>
          <w:rFonts w:ascii="Arial" w:hAnsi="Arial" w:cs="Arial"/>
          <w:b w:val="0"/>
          <w:sz w:val="20"/>
        </w:rPr>
        <w:fldChar w:fldCharType="end"/>
      </w:r>
    </w:p>
    <w:p w14:paraId="56712D88" w14:textId="5FBA86E2"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"1. Interpretation" \l 1</w:instrText>
      </w:r>
      <w:r w:rsidRPr="0006114E">
        <w:rPr>
          <w:rFonts w:ascii="Arial" w:hAnsi="Arial" w:cs="Arial"/>
          <w:sz w:val="20"/>
        </w:rPr>
        <w:fldChar w:fldCharType="end"/>
      </w:r>
      <w:bookmarkStart w:id="0" w:name="a474021"/>
      <w:bookmarkStart w:id="1" w:name="_Toc105671014"/>
      <w:bookmarkStart w:id="2" w:name="_Toc103273387"/>
      <w:bookmarkStart w:id="3" w:name="_Toc145339769"/>
      <w:bookmarkStart w:id="4" w:name="_Toc131682119"/>
      <w:bookmarkStart w:id="5" w:name="_Toc107828210"/>
      <w:bookmarkStart w:id="6" w:name="_Toc152661643"/>
      <w:bookmarkStart w:id="7" w:name="_Toc159952447"/>
      <w:bookmarkStart w:id="8" w:name="_Toc168490271"/>
      <w:bookmarkStart w:id="9" w:name="_Toc187838763"/>
      <w:bookmarkStart w:id="10" w:name="_Toc188629297"/>
      <w:bookmarkStart w:id="11" w:name="_Toc191381397"/>
      <w:r w:rsidRPr="0006114E">
        <w:rPr>
          <w:rFonts w:ascii="Arial" w:hAnsi="Arial" w:cs="Arial"/>
          <w:sz w:val="20"/>
        </w:rPr>
        <w:t>Interpretation</w:t>
      </w:r>
      <w:bookmarkEnd w:id="0"/>
      <w:bookmarkEnd w:id="1"/>
      <w:bookmarkEnd w:id="2"/>
      <w:bookmarkEnd w:id="3"/>
      <w:bookmarkEnd w:id="4"/>
      <w:bookmarkEnd w:id="5"/>
      <w:bookmarkEnd w:id="6"/>
      <w:bookmarkEnd w:id="7"/>
      <w:bookmarkEnd w:id="8"/>
      <w:bookmarkEnd w:id="9"/>
      <w:bookmarkEnd w:id="10"/>
      <w:bookmarkEnd w:id="11"/>
    </w:p>
    <w:p w14:paraId="56712D89" w14:textId="77777777" w:rsidR="007B4FB5" w:rsidRPr="0006114E" w:rsidRDefault="00D8597D" w:rsidP="006A1CE1">
      <w:pPr>
        <w:pStyle w:val="Untitledsubclause1"/>
        <w:spacing w:line="240" w:lineRule="auto"/>
        <w:rPr>
          <w:rFonts w:ascii="Arial" w:hAnsi="Arial" w:cs="Arial"/>
          <w:sz w:val="20"/>
        </w:rPr>
      </w:pPr>
      <w:r w:rsidRPr="0006114E">
        <w:rPr>
          <w:rFonts w:ascii="Arial" w:hAnsi="Arial" w:cs="Arial"/>
          <w:sz w:val="20"/>
        </w:rPr>
        <w:t>In this Plan, unless otherwise stated, the words and expressions below have the following meanings.</w:t>
      </w:r>
    </w:p>
    <w:p w14:paraId="57E8011E" w14:textId="5AF3CBA2" w:rsidR="00803E8F" w:rsidRPr="004301E9" w:rsidRDefault="00803E8F" w:rsidP="00803E8F">
      <w:pPr>
        <w:pStyle w:val="DefinedTermPara"/>
        <w:spacing w:line="240" w:lineRule="auto"/>
        <w:rPr>
          <w:rStyle w:val="DefTerm"/>
          <w:rFonts w:eastAsia="Arial Unicode MS"/>
          <w:b w:val="0"/>
          <w:color w:val="auto"/>
          <w:sz w:val="20"/>
        </w:rPr>
      </w:pPr>
      <w:bookmarkStart w:id="12" w:name="a242108"/>
      <w:bookmarkStart w:id="13" w:name="a337576"/>
      <w:r w:rsidRPr="00911212">
        <w:rPr>
          <w:rStyle w:val="DefTerm"/>
          <w:rFonts w:eastAsia="Arial Unicode MS"/>
          <w:bCs/>
          <w:color w:val="auto"/>
          <w:sz w:val="20"/>
        </w:rPr>
        <w:t>Acceptance Notice</w:t>
      </w:r>
      <w:r w:rsidRPr="004301E9">
        <w:rPr>
          <w:rStyle w:val="DefTerm"/>
          <w:rFonts w:eastAsia="Arial Unicode MS"/>
          <w:b w:val="0"/>
          <w:color w:val="auto"/>
          <w:sz w:val="20"/>
        </w:rPr>
        <w:t>: a document, in the form prescribed by the Remuneration Committee from time to time,</w:t>
      </w:r>
      <w:r w:rsidR="002C3E2E">
        <w:rPr>
          <w:rStyle w:val="DefTerm"/>
          <w:rFonts w:eastAsia="Arial Unicode MS"/>
          <w:b w:val="0"/>
          <w:color w:val="auto"/>
          <w:sz w:val="20"/>
        </w:rPr>
        <w:t xml:space="preserve"> </w:t>
      </w:r>
      <w:r w:rsidRPr="004301E9">
        <w:rPr>
          <w:rStyle w:val="DefTerm"/>
          <w:rFonts w:eastAsia="Arial Unicode MS"/>
          <w:b w:val="0"/>
          <w:color w:val="auto"/>
          <w:sz w:val="20"/>
        </w:rPr>
        <w:t>in which the Award Holder confirms that they accept these rules and the terms of their Award.</w:t>
      </w:r>
    </w:p>
    <w:p w14:paraId="62E7C73C" w14:textId="5F038C9D" w:rsidR="00CA22EA" w:rsidRPr="0006114E" w:rsidRDefault="007B4FB5" w:rsidP="006A1CE1">
      <w:pPr>
        <w:pStyle w:val="DefinedTermPara"/>
        <w:spacing w:line="240" w:lineRule="auto"/>
        <w:rPr>
          <w:rFonts w:ascii="Arial" w:hAnsi="Arial" w:cs="Arial"/>
          <w:sz w:val="20"/>
        </w:rPr>
      </w:pPr>
      <w:bookmarkStart w:id="14" w:name="a280550"/>
      <w:bookmarkEnd w:id="12"/>
      <w:bookmarkEnd w:id="13"/>
      <w:r w:rsidRPr="0006114E">
        <w:rPr>
          <w:rStyle w:val="DefTerm"/>
          <w:color w:val="auto"/>
          <w:sz w:val="20"/>
        </w:rPr>
        <w:t>Award</w:t>
      </w:r>
      <w:r w:rsidRPr="0006114E">
        <w:rPr>
          <w:rFonts w:ascii="Arial" w:hAnsi="Arial" w:cs="Arial"/>
          <w:sz w:val="20"/>
        </w:rPr>
        <w:t xml:space="preserve">: </w:t>
      </w:r>
      <w:bookmarkEnd w:id="14"/>
      <w:r w:rsidRPr="0006114E">
        <w:rPr>
          <w:rFonts w:ascii="Arial" w:hAnsi="Arial" w:cs="Arial"/>
          <w:sz w:val="20"/>
        </w:rPr>
        <w:t>a Conditional Share Award</w:t>
      </w:r>
      <w:r w:rsidR="001D3791" w:rsidRPr="0006114E">
        <w:rPr>
          <w:rFonts w:ascii="Arial" w:hAnsi="Arial" w:cs="Arial"/>
          <w:sz w:val="20"/>
        </w:rPr>
        <w:t xml:space="preserve"> or an </w:t>
      </w:r>
      <w:r w:rsidR="00D8597D" w:rsidRPr="0006114E">
        <w:rPr>
          <w:rFonts w:ascii="Arial" w:hAnsi="Arial" w:cs="Arial"/>
          <w:sz w:val="20"/>
        </w:rPr>
        <w:t>O</w:t>
      </w:r>
      <w:r w:rsidR="001D3791" w:rsidRPr="0006114E">
        <w:rPr>
          <w:rFonts w:ascii="Arial" w:hAnsi="Arial" w:cs="Arial"/>
          <w:sz w:val="20"/>
        </w:rPr>
        <w:t>p</w:t>
      </w:r>
      <w:r w:rsidR="00CA22EA" w:rsidRPr="0006114E">
        <w:rPr>
          <w:rFonts w:ascii="Arial" w:hAnsi="Arial" w:cs="Arial"/>
          <w:sz w:val="20"/>
        </w:rPr>
        <w:t>tion</w:t>
      </w:r>
      <w:r w:rsidR="00B44316" w:rsidRPr="0006114E">
        <w:rPr>
          <w:rFonts w:ascii="Arial" w:hAnsi="Arial" w:cs="Arial"/>
          <w:sz w:val="20"/>
        </w:rPr>
        <w:t>.</w:t>
      </w:r>
    </w:p>
    <w:p w14:paraId="56712D90" w14:textId="75B35127" w:rsidR="007B4FB5" w:rsidRPr="0006114E" w:rsidRDefault="00D8597D" w:rsidP="006A1CE1">
      <w:pPr>
        <w:pStyle w:val="DefinedTermPara"/>
        <w:spacing w:line="240" w:lineRule="auto"/>
        <w:rPr>
          <w:rStyle w:val="DefTerm"/>
          <w:color w:val="auto"/>
          <w:sz w:val="20"/>
        </w:rPr>
      </w:pPr>
      <w:bookmarkStart w:id="15" w:name="a969369"/>
      <w:r w:rsidRPr="0006114E">
        <w:rPr>
          <w:rStyle w:val="DefTerm"/>
          <w:color w:val="auto"/>
          <w:sz w:val="20"/>
        </w:rPr>
        <w:t>Award Certificate</w:t>
      </w:r>
      <w:r w:rsidRPr="0006114E">
        <w:rPr>
          <w:rFonts w:ascii="Arial" w:hAnsi="Arial" w:cs="Arial"/>
          <w:sz w:val="20"/>
        </w:rPr>
        <w:t xml:space="preserve">: a certificate setting out the terms of </w:t>
      </w:r>
      <w:r w:rsidR="00D93C59" w:rsidRPr="0006114E">
        <w:rPr>
          <w:rFonts w:ascii="Arial" w:hAnsi="Arial" w:cs="Arial"/>
          <w:sz w:val="20"/>
        </w:rPr>
        <w:t>an Award</w:t>
      </w:r>
      <w:r w:rsidR="00143D21">
        <w:rPr>
          <w:rFonts w:ascii="Arial" w:hAnsi="Arial" w:cs="Arial"/>
          <w:sz w:val="20"/>
        </w:rPr>
        <w:t xml:space="preserve"> (being the </w:t>
      </w:r>
      <w:r w:rsidR="001752DE">
        <w:rPr>
          <w:rFonts w:ascii="Arial" w:hAnsi="Arial" w:cs="Arial"/>
          <w:sz w:val="20"/>
        </w:rPr>
        <w:t>rules</w:t>
      </w:r>
      <w:r w:rsidR="00143D21">
        <w:rPr>
          <w:rFonts w:ascii="Arial" w:hAnsi="Arial" w:cs="Arial"/>
          <w:sz w:val="20"/>
        </w:rPr>
        <w:t xml:space="preserve"> of the </w:t>
      </w:r>
      <w:r w:rsidR="001752DE">
        <w:rPr>
          <w:rFonts w:ascii="Arial" w:hAnsi="Arial" w:cs="Arial"/>
          <w:sz w:val="20"/>
        </w:rPr>
        <w:t>Plan and</w:t>
      </w:r>
      <w:r w:rsidR="001752DE" w:rsidRPr="001752DE">
        <w:rPr>
          <w:rFonts w:ascii="Arial" w:hAnsi="Arial" w:cs="Arial"/>
          <w:sz w:val="20"/>
        </w:rPr>
        <w:t xml:space="preserve"> such additional terms or conditions as the </w:t>
      </w:r>
      <w:r w:rsidR="001752DE">
        <w:rPr>
          <w:rFonts w:ascii="Arial" w:hAnsi="Arial" w:cs="Arial"/>
          <w:sz w:val="20"/>
        </w:rPr>
        <w:t xml:space="preserve">Remuneration </w:t>
      </w:r>
      <w:r w:rsidR="001752DE" w:rsidRPr="001752DE">
        <w:rPr>
          <w:rFonts w:ascii="Arial" w:hAnsi="Arial" w:cs="Arial"/>
          <w:sz w:val="20"/>
        </w:rPr>
        <w:t>Committee may specify</w:t>
      </w:r>
      <w:r w:rsidR="001752DE">
        <w:rPr>
          <w:rFonts w:ascii="Arial" w:hAnsi="Arial" w:cs="Arial"/>
          <w:sz w:val="20"/>
        </w:rPr>
        <w:t>)</w:t>
      </w:r>
      <w:r w:rsidRPr="0006114E">
        <w:rPr>
          <w:rFonts w:ascii="Arial" w:hAnsi="Arial" w:cs="Arial"/>
          <w:sz w:val="20"/>
        </w:rPr>
        <w:t>.</w:t>
      </w:r>
      <w:bookmarkEnd w:id="15"/>
    </w:p>
    <w:p w14:paraId="00C87D96" w14:textId="441C115E" w:rsidR="007B4FB5" w:rsidRPr="0006114E" w:rsidRDefault="00D8597D" w:rsidP="006A1CE1">
      <w:pPr>
        <w:pStyle w:val="DefinedTermPara"/>
        <w:spacing w:line="240" w:lineRule="auto"/>
        <w:rPr>
          <w:rStyle w:val="DefTerm"/>
          <w:color w:val="auto"/>
          <w:sz w:val="20"/>
        </w:rPr>
      </w:pPr>
      <w:bookmarkStart w:id="16" w:name="a910198"/>
      <w:r w:rsidRPr="0006114E">
        <w:rPr>
          <w:rStyle w:val="DefTerm"/>
          <w:color w:val="auto"/>
          <w:sz w:val="20"/>
        </w:rPr>
        <w:t>Award Holder</w:t>
      </w:r>
      <w:r w:rsidRPr="0006114E">
        <w:rPr>
          <w:rFonts w:ascii="Arial" w:hAnsi="Arial" w:cs="Arial"/>
          <w:sz w:val="20"/>
        </w:rPr>
        <w:t xml:space="preserve">: an individual who holds </w:t>
      </w:r>
      <w:r w:rsidR="00D93C59" w:rsidRPr="0006114E">
        <w:rPr>
          <w:rFonts w:ascii="Arial" w:hAnsi="Arial" w:cs="Arial"/>
          <w:sz w:val="20"/>
        </w:rPr>
        <w:t>an Award</w:t>
      </w:r>
      <w:r w:rsidRPr="0006114E">
        <w:rPr>
          <w:rFonts w:ascii="Arial" w:hAnsi="Arial" w:cs="Arial"/>
          <w:sz w:val="20"/>
        </w:rPr>
        <w:t xml:space="preserve"> </w:t>
      </w:r>
      <w:r w:rsidR="00841BB7" w:rsidRPr="0006114E">
        <w:rPr>
          <w:rFonts w:ascii="Arial" w:hAnsi="Arial" w:cs="Arial"/>
          <w:sz w:val="20"/>
        </w:rPr>
        <w:t>(</w:t>
      </w:r>
      <w:r w:rsidRPr="0006114E">
        <w:rPr>
          <w:rFonts w:ascii="Arial" w:hAnsi="Arial" w:cs="Arial"/>
          <w:sz w:val="20"/>
        </w:rPr>
        <w:t>or</w:t>
      </w:r>
      <w:r w:rsidR="00841BB7" w:rsidRPr="0006114E">
        <w:rPr>
          <w:rFonts w:ascii="Arial" w:hAnsi="Arial" w:cs="Arial"/>
          <w:sz w:val="20"/>
        </w:rPr>
        <w:t xml:space="preserve"> their </w:t>
      </w:r>
      <w:r w:rsidRPr="0006114E">
        <w:rPr>
          <w:rFonts w:ascii="Arial" w:hAnsi="Arial" w:cs="Arial"/>
          <w:sz w:val="20"/>
        </w:rPr>
        <w:t>personal representatives</w:t>
      </w:r>
      <w:r w:rsidR="00841BB7" w:rsidRPr="0006114E">
        <w:rPr>
          <w:rFonts w:ascii="Arial" w:hAnsi="Arial" w:cs="Arial"/>
          <w:sz w:val="20"/>
        </w:rPr>
        <w:t>)</w:t>
      </w:r>
      <w:r w:rsidR="00485B5A" w:rsidRPr="0006114E">
        <w:rPr>
          <w:rFonts w:ascii="Arial" w:hAnsi="Arial" w:cs="Arial"/>
          <w:sz w:val="20"/>
        </w:rPr>
        <w:t xml:space="preserve"> </w:t>
      </w:r>
      <w:r w:rsidR="000D35F4" w:rsidRPr="0006114E">
        <w:rPr>
          <w:rFonts w:ascii="Arial" w:hAnsi="Arial" w:cs="Arial"/>
          <w:sz w:val="20"/>
        </w:rPr>
        <w:t xml:space="preserve">and </w:t>
      </w:r>
      <w:r w:rsidR="00841BB7" w:rsidRPr="0006114E">
        <w:rPr>
          <w:rFonts w:ascii="Arial" w:hAnsi="Arial" w:cs="Arial"/>
          <w:sz w:val="20"/>
        </w:rPr>
        <w:t xml:space="preserve">where the </w:t>
      </w:r>
      <w:r w:rsidR="00B65210">
        <w:rPr>
          <w:rFonts w:ascii="Arial" w:hAnsi="Arial" w:cs="Arial"/>
          <w:sz w:val="20"/>
        </w:rPr>
        <w:t>context so permits or requires</w:t>
      </w:r>
      <w:r w:rsidR="00B65210" w:rsidRPr="00BF3CA7">
        <w:rPr>
          <w:rFonts w:ascii="Arial" w:hAnsi="Arial" w:cs="Arial"/>
          <w:sz w:val="20"/>
        </w:rPr>
        <w:t xml:space="preserve"> </w:t>
      </w:r>
      <w:r w:rsidR="000D35F4" w:rsidRPr="0006114E">
        <w:rPr>
          <w:rFonts w:ascii="Arial" w:hAnsi="Arial" w:cs="Arial"/>
          <w:sz w:val="20"/>
        </w:rPr>
        <w:t xml:space="preserve">shall include </w:t>
      </w:r>
      <w:r w:rsidR="00485B5A" w:rsidRPr="0006114E">
        <w:rPr>
          <w:rFonts w:ascii="Arial" w:hAnsi="Arial" w:cs="Arial"/>
          <w:sz w:val="20"/>
        </w:rPr>
        <w:t>a</w:t>
      </w:r>
      <w:r w:rsidR="00752D40" w:rsidRPr="0006114E">
        <w:rPr>
          <w:rFonts w:ascii="Arial" w:hAnsi="Arial" w:cs="Arial"/>
          <w:sz w:val="20"/>
        </w:rPr>
        <w:t xml:space="preserve"> former Award Holder</w:t>
      </w:r>
      <w:r w:rsidRPr="0006114E">
        <w:rPr>
          <w:rFonts w:ascii="Arial" w:hAnsi="Arial" w:cs="Arial"/>
          <w:sz w:val="20"/>
        </w:rPr>
        <w:t>.</w:t>
      </w:r>
    </w:p>
    <w:p w14:paraId="56712D92" w14:textId="77777777" w:rsidR="00A920DC" w:rsidRPr="0006114E" w:rsidRDefault="00D8597D" w:rsidP="006A1CE1">
      <w:pPr>
        <w:pStyle w:val="DefinedTermPara"/>
        <w:spacing w:line="240" w:lineRule="auto"/>
        <w:rPr>
          <w:rStyle w:val="DefTerm"/>
          <w:color w:val="auto"/>
          <w:sz w:val="20"/>
        </w:rPr>
      </w:pPr>
      <w:bookmarkStart w:id="17" w:name="a714690"/>
      <w:bookmarkEnd w:id="16"/>
      <w:r w:rsidRPr="0006114E">
        <w:rPr>
          <w:rStyle w:val="DefTerm"/>
          <w:color w:val="auto"/>
          <w:sz w:val="20"/>
        </w:rPr>
        <w:t xml:space="preserve">Bad Leaver: </w:t>
      </w:r>
      <w:r w:rsidR="00AA32FF" w:rsidRPr="0006114E">
        <w:rPr>
          <w:rStyle w:val="DefTerm"/>
          <w:b w:val="0"/>
          <w:color w:val="auto"/>
          <w:sz w:val="20"/>
        </w:rPr>
        <w:t>an Award Holder</w:t>
      </w:r>
      <w:r w:rsidRPr="0006114E">
        <w:rPr>
          <w:rStyle w:val="DefTerm"/>
          <w:b w:val="0"/>
          <w:color w:val="auto"/>
          <w:sz w:val="20"/>
        </w:rPr>
        <w:t xml:space="preserve"> who </w:t>
      </w:r>
      <w:r w:rsidRPr="0006114E">
        <w:rPr>
          <w:rFonts w:ascii="Arial" w:hAnsi="Arial" w:cs="Arial"/>
          <w:sz w:val="20"/>
        </w:rPr>
        <w:t>ceases to be an Employee and is not a Good Leaver.</w:t>
      </w:r>
    </w:p>
    <w:p w14:paraId="2B481C9D" w14:textId="603F67E8" w:rsidR="007B4FB5" w:rsidRPr="0006114E" w:rsidRDefault="007B4FB5" w:rsidP="006A1CE1">
      <w:pPr>
        <w:pStyle w:val="DefinedTermPara"/>
        <w:spacing w:line="240" w:lineRule="auto"/>
        <w:rPr>
          <w:rStyle w:val="DefTerm"/>
          <w:color w:val="auto"/>
          <w:sz w:val="20"/>
        </w:rPr>
      </w:pPr>
      <w:r w:rsidRPr="0006114E">
        <w:rPr>
          <w:rStyle w:val="DefTerm"/>
          <w:color w:val="auto"/>
          <w:sz w:val="20"/>
        </w:rPr>
        <w:t>Board</w:t>
      </w:r>
      <w:r w:rsidRPr="0006114E">
        <w:rPr>
          <w:rFonts w:ascii="Arial" w:hAnsi="Arial" w:cs="Arial"/>
          <w:sz w:val="20"/>
        </w:rPr>
        <w:t xml:space="preserve">: </w:t>
      </w:r>
      <w:r w:rsidR="00625B84" w:rsidRPr="0006114E">
        <w:rPr>
          <w:rFonts w:ascii="Arial" w:hAnsi="Arial" w:cs="Arial"/>
          <w:sz w:val="20"/>
        </w:rPr>
        <w:t>the board of directors of the Company.</w:t>
      </w:r>
    </w:p>
    <w:p w14:paraId="56712D93" w14:textId="1E2EA02C" w:rsidR="007B4FB5" w:rsidRPr="0006114E" w:rsidRDefault="00D8597D" w:rsidP="006A1CE1">
      <w:pPr>
        <w:pStyle w:val="DefinedTermPara"/>
        <w:spacing w:line="240" w:lineRule="auto"/>
        <w:rPr>
          <w:rStyle w:val="DefTerm"/>
          <w:color w:val="auto"/>
          <w:sz w:val="20"/>
        </w:rPr>
      </w:pPr>
      <w:bookmarkStart w:id="18" w:name="a676033"/>
      <w:bookmarkEnd w:id="17"/>
      <w:r w:rsidRPr="0006114E">
        <w:rPr>
          <w:rStyle w:val="DefTerm"/>
          <w:color w:val="auto"/>
          <w:sz w:val="20"/>
        </w:rPr>
        <w:t>Business Day</w:t>
      </w:r>
      <w:r w:rsidRPr="0006114E">
        <w:rPr>
          <w:rFonts w:ascii="Arial" w:hAnsi="Arial" w:cs="Arial"/>
          <w:sz w:val="20"/>
        </w:rPr>
        <w:t>: a day other than a Saturday, Sunday or public holiday in England.</w:t>
      </w:r>
      <w:bookmarkEnd w:id="18"/>
    </w:p>
    <w:p w14:paraId="7C01D5E3" w14:textId="7856F625" w:rsidR="002F34A2" w:rsidRDefault="002F34A2" w:rsidP="002F34A2">
      <w:pPr>
        <w:pStyle w:val="DefinedTermPara"/>
        <w:spacing w:line="240" w:lineRule="auto"/>
        <w:rPr>
          <w:rStyle w:val="DefTerm"/>
          <w:color w:val="auto"/>
          <w:sz w:val="20"/>
        </w:rPr>
      </w:pPr>
      <w:bookmarkStart w:id="19" w:name="a418292"/>
      <w:r w:rsidRPr="00B474BF">
        <w:rPr>
          <w:rStyle w:val="DefTerm"/>
          <w:color w:val="auto"/>
          <w:sz w:val="20"/>
        </w:rPr>
        <w:t>Change of Control</w:t>
      </w:r>
      <w:r w:rsidRPr="00B474BF">
        <w:rPr>
          <w:rStyle w:val="DefTerm"/>
          <w:b w:val="0"/>
          <w:color w:val="auto"/>
          <w:sz w:val="20"/>
        </w:rPr>
        <w:t xml:space="preserve">: </w:t>
      </w:r>
      <w:r w:rsidRPr="00B474BF">
        <w:rPr>
          <w:rFonts w:ascii="Arial" w:hAnsi="Arial" w:cs="Arial"/>
          <w:sz w:val="20"/>
        </w:rPr>
        <w:t xml:space="preserve">a person (either alone or together with persons Acting in Concert (as defined in the City Code on Takeovers and Mergers) with them) </w:t>
      </w:r>
      <w:r>
        <w:rPr>
          <w:rFonts w:ascii="Arial" w:hAnsi="Arial" w:cs="Arial"/>
          <w:sz w:val="20"/>
        </w:rPr>
        <w:t>(the “</w:t>
      </w:r>
      <w:r w:rsidRPr="007B19D8">
        <w:rPr>
          <w:rFonts w:ascii="Arial" w:hAnsi="Arial" w:cs="Arial"/>
          <w:b/>
          <w:bCs/>
          <w:sz w:val="20"/>
        </w:rPr>
        <w:t>Acquiror</w:t>
      </w:r>
      <w:r>
        <w:rPr>
          <w:rFonts w:ascii="Arial" w:hAnsi="Arial" w:cs="Arial"/>
          <w:sz w:val="20"/>
        </w:rPr>
        <w:t xml:space="preserve">”) </w:t>
      </w:r>
      <w:r w:rsidRPr="00B474BF">
        <w:rPr>
          <w:rStyle w:val="DefTerm"/>
          <w:b w:val="0"/>
          <w:color w:val="auto"/>
          <w:sz w:val="20"/>
        </w:rPr>
        <w:t>acquires Control of the Company</w:t>
      </w:r>
      <w:r w:rsidRPr="00B474BF">
        <w:rPr>
          <w:rStyle w:val="DefTerm"/>
          <w:b w:val="0"/>
          <w:bCs/>
          <w:sz w:val="20"/>
        </w:rPr>
        <w:t>.</w:t>
      </w:r>
    </w:p>
    <w:p w14:paraId="56712D95" w14:textId="4EA3C40D" w:rsidR="007B4FB5" w:rsidRPr="0006114E" w:rsidRDefault="00D8597D" w:rsidP="006A1CE1">
      <w:pPr>
        <w:pStyle w:val="DefinedTermPara"/>
        <w:spacing w:line="240" w:lineRule="auto"/>
        <w:rPr>
          <w:rStyle w:val="DefTerm"/>
          <w:color w:val="auto"/>
          <w:sz w:val="20"/>
        </w:rPr>
      </w:pPr>
      <w:proofErr w:type="spellStart"/>
      <w:r w:rsidRPr="0006114E">
        <w:rPr>
          <w:rStyle w:val="DefTerm"/>
          <w:color w:val="auto"/>
          <w:sz w:val="20"/>
        </w:rPr>
        <w:t>Clawback</w:t>
      </w:r>
      <w:proofErr w:type="spellEnd"/>
      <w:r w:rsidRPr="0006114E">
        <w:rPr>
          <w:rStyle w:val="DefTerm"/>
          <w:color w:val="auto"/>
          <w:sz w:val="20"/>
        </w:rPr>
        <w:t xml:space="preserve"> Amount</w:t>
      </w:r>
      <w:r w:rsidRPr="0006114E">
        <w:rPr>
          <w:rFonts w:ascii="Arial" w:hAnsi="Arial" w:cs="Arial"/>
          <w:sz w:val="20"/>
        </w:rPr>
        <w:t xml:space="preserve">: an amount of value determined in accordance with </w:t>
      </w:r>
      <w:r w:rsidRPr="0006114E">
        <w:rPr>
          <w:rFonts w:ascii="Arial" w:hAnsi="Arial" w:cs="Arial"/>
          <w:sz w:val="20"/>
        </w:rPr>
        <w:fldChar w:fldCharType="begin"/>
      </w:r>
      <w:r w:rsidRPr="0006114E">
        <w:rPr>
          <w:rFonts w:ascii="Arial" w:hAnsi="Arial" w:cs="Arial"/>
          <w:sz w:val="20"/>
        </w:rPr>
        <w:instrText>PAGEREF a391918\#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w:t>
      </w:r>
      <w:bookmarkEnd w:id="19"/>
    </w:p>
    <w:p w14:paraId="56712D96" w14:textId="288AC5E1" w:rsidR="007B4FB5" w:rsidRPr="0006114E" w:rsidRDefault="00D8597D" w:rsidP="006A1CE1">
      <w:pPr>
        <w:pStyle w:val="DefinedTermPara"/>
        <w:spacing w:line="240" w:lineRule="auto"/>
        <w:rPr>
          <w:rFonts w:ascii="Arial" w:hAnsi="Arial" w:cs="Arial"/>
          <w:b/>
          <w:sz w:val="20"/>
        </w:rPr>
      </w:pPr>
      <w:bookmarkStart w:id="20" w:name="a157429"/>
      <w:r w:rsidRPr="0006114E">
        <w:rPr>
          <w:rStyle w:val="DefTerm"/>
          <w:color w:val="auto"/>
          <w:sz w:val="20"/>
        </w:rPr>
        <w:t>Closed Period</w:t>
      </w:r>
      <w:r w:rsidRPr="0006114E">
        <w:rPr>
          <w:rFonts w:ascii="Arial" w:hAnsi="Arial" w:cs="Arial"/>
          <w:sz w:val="20"/>
        </w:rPr>
        <w:t xml:space="preserve">: </w:t>
      </w:r>
      <w:r w:rsidR="00931637" w:rsidRPr="0006114E">
        <w:rPr>
          <w:rFonts w:ascii="Arial" w:hAnsi="Arial" w:cs="Arial"/>
          <w:sz w:val="20"/>
        </w:rPr>
        <w:t>has the same meaning as in UK MAR</w:t>
      </w:r>
      <w:r w:rsidRPr="0006114E">
        <w:rPr>
          <w:rFonts w:ascii="Arial" w:hAnsi="Arial" w:cs="Arial"/>
          <w:sz w:val="20"/>
        </w:rPr>
        <w:t>.</w:t>
      </w:r>
      <w:bookmarkEnd w:id="20"/>
    </w:p>
    <w:p w14:paraId="4D92A52C" w14:textId="0ED5A50C" w:rsidR="00D0733D" w:rsidRPr="00DB7868" w:rsidRDefault="00D8597D" w:rsidP="002A1291">
      <w:pPr>
        <w:pStyle w:val="DefinedTermPara"/>
        <w:spacing w:line="240" w:lineRule="auto"/>
        <w:rPr>
          <w:rStyle w:val="DefTerm"/>
          <w:color w:val="auto"/>
          <w:sz w:val="20"/>
        </w:rPr>
      </w:pPr>
      <w:bookmarkStart w:id="21" w:name="a170979"/>
      <w:r w:rsidRPr="00542117">
        <w:rPr>
          <w:rStyle w:val="DefTerm"/>
          <w:color w:val="auto"/>
          <w:sz w:val="20"/>
        </w:rPr>
        <w:t>Company</w:t>
      </w:r>
      <w:r w:rsidRPr="00542117">
        <w:rPr>
          <w:rFonts w:ascii="Arial" w:hAnsi="Arial" w:cs="Arial"/>
          <w:sz w:val="20"/>
        </w:rPr>
        <w:t xml:space="preserve">: </w:t>
      </w:r>
      <w:r w:rsidR="001E20F5" w:rsidRPr="001E20F5">
        <w:rPr>
          <w:rFonts w:ascii="Arial" w:hAnsi="Arial" w:cs="Arial"/>
          <w:sz w:val="20"/>
        </w:rPr>
        <w:t xml:space="preserve">Travis Perkins Plc </w:t>
      </w:r>
      <w:r w:rsidR="00D0733D" w:rsidRPr="00542117">
        <w:rPr>
          <w:rFonts w:ascii="Arial" w:hAnsi="Arial" w:cs="Arial"/>
          <w:sz w:val="20"/>
        </w:rPr>
        <w:t xml:space="preserve">incorporated and registered in </w:t>
      </w:r>
      <w:r w:rsidR="001D1AD8">
        <w:rPr>
          <w:rFonts w:ascii="Arial" w:hAnsi="Arial" w:cs="Arial"/>
          <w:sz w:val="20"/>
        </w:rPr>
        <w:t>England &amp; Wales</w:t>
      </w:r>
      <w:r w:rsidR="00D024AA" w:rsidRPr="00D024AA">
        <w:rPr>
          <w:rFonts w:ascii="Arial" w:hAnsi="Arial" w:cs="Arial"/>
          <w:sz w:val="20"/>
        </w:rPr>
        <w:t xml:space="preserve"> </w:t>
      </w:r>
      <w:r w:rsidRPr="00D024AA">
        <w:rPr>
          <w:rFonts w:ascii="Arial" w:hAnsi="Arial" w:cs="Arial"/>
          <w:sz w:val="20"/>
        </w:rPr>
        <w:t xml:space="preserve">with </w:t>
      </w:r>
      <w:r w:rsidR="00D0733D" w:rsidRPr="00542117">
        <w:rPr>
          <w:rFonts w:ascii="Arial" w:hAnsi="Arial" w:cs="Arial"/>
          <w:sz w:val="20"/>
        </w:rPr>
        <w:t>number</w:t>
      </w:r>
      <w:r w:rsidR="001A5144">
        <w:rPr>
          <w:rFonts w:ascii="Arial" w:hAnsi="Arial" w:cs="Arial"/>
          <w:sz w:val="20"/>
        </w:rPr>
        <w:t xml:space="preserve"> </w:t>
      </w:r>
      <w:r w:rsidR="00B83157" w:rsidRPr="00B83157">
        <w:rPr>
          <w:rFonts w:ascii="Arial" w:hAnsi="Arial" w:cs="Arial"/>
          <w:sz w:val="20"/>
        </w:rPr>
        <w:t>00824821</w:t>
      </w:r>
      <w:r w:rsidRPr="0006114E">
        <w:rPr>
          <w:rFonts w:ascii="Arial" w:hAnsi="Arial" w:cs="Arial"/>
          <w:sz w:val="20"/>
        </w:rPr>
        <w:t>.</w:t>
      </w:r>
    </w:p>
    <w:p w14:paraId="56712D98" w14:textId="1073D8A4" w:rsidR="007B4FB5" w:rsidRPr="0006114E" w:rsidRDefault="00D8597D" w:rsidP="006A1CE1">
      <w:pPr>
        <w:pStyle w:val="DefinedTermPara"/>
        <w:spacing w:line="240" w:lineRule="auto"/>
        <w:rPr>
          <w:rStyle w:val="DefTerm"/>
          <w:color w:val="auto"/>
          <w:sz w:val="20"/>
        </w:rPr>
      </w:pPr>
      <w:bookmarkStart w:id="22" w:name="a600353"/>
      <w:bookmarkEnd w:id="21"/>
      <w:r w:rsidRPr="0006114E">
        <w:rPr>
          <w:rStyle w:val="DefTerm"/>
          <w:color w:val="auto"/>
          <w:sz w:val="20"/>
        </w:rPr>
        <w:t>Conditional Share Award</w:t>
      </w:r>
      <w:r w:rsidRPr="0006114E">
        <w:rPr>
          <w:rFonts w:ascii="Arial" w:hAnsi="Arial" w:cs="Arial"/>
          <w:sz w:val="20"/>
        </w:rPr>
        <w:t xml:space="preserve">: a right to acquire for no cost a specified number of Shares on the </w:t>
      </w:r>
      <w:r w:rsidR="003D11C8" w:rsidRPr="0006114E">
        <w:rPr>
          <w:rFonts w:ascii="Arial" w:hAnsi="Arial" w:cs="Arial"/>
          <w:sz w:val="20"/>
        </w:rPr>
        <w:t>Vesting Date</w:t>
      </w:r>
      <w:r w:rsidR="007B4FB5" w:rsidRPr="0006114E">
        <w:rPr>
          <w:rFonts w:ascii="Arial" w:hAnsi="Arial" w:cs="Arial"/>
          <w:sz w:val="20"/>
        </w:rPr>
        <w:t>.</w:t>
      </w:r>
      <w:bookmarkEnd w:id="22"/>
    </w:p>
    <w:p w14:paraId="56712D99" w14:textId="2FA2339D" w:rsidR="007B4FB5" w:rsidRPr="0006114E" w:rsidRDefault="00D8597D" w:rsidP="006A1CE1">
      <w:pPr>
        <w:pStyle w:val="DefinedTermPara"/>
        <w:spacing w:line="240" w:lineRule="auto"/>
        <w:rPr>
          <w:rFonts w:ascii="Arial" w:hAnsi="Arial" w:cs="Arial"/>
          <w:b/>
          <w:sz w:val="20"/>
        </w:rPr>
      </w:pPr>
      <w:bookmarkStart w:id="23" w:name="a206655"/>
      <w:bookmarkStart w:id="24" w:name="_Hlk83986902"/>
      <w:r w:rsidRPr="0006114E">
        <w:rPr>
          <w:rStyle w:val="DefTerm"/>
          <w:color w:val="auto"/>
          <w:sz w:val="20"/>
        </w:rPr>
        <w:t>Control</w:t>
      </w:r>
      <w:r w:rsidRPr="0006114E">
        <w:rPr>
          <w:rFonts w:ascii="Arial" w:hAnsi="Arial" w:cs="Arial"/>
          <w:sz w:val="20"/>
        </w:rPr>
        <w:t xml:space="preserve">: </w:t>
      </w:r>
      <w:r w:rsidR="00A52B8D" w:rsidRPr="0006114E">
        <w:rPr>
          <w:rFonts w:ascii="Arial" w:hAnsi="Arial" w:cs="Arial"/>
          <w:sz w:val="20"/>
        </w:rPr>
        <w:t xml:space="preserve">has the meaning given to it in </w:t>
      </w:r>
      <w:r w:rsidRPr="0006114E">
        <w:rPr>
          <w:rFonts w:ascii="Arial" w:hAnsi="Arial" w:cs="Arial"/>
          <w:sz w:val="20"/>
        </w:rPr>
        <w:t xml:space="preserve">section </w:t>
      </w:r>
      <w:r w:rsidR="0095058A" w:rsidRPr="0006114E">
        <w:rPr>
          <w:rFonts w:ascii="Arial" w:hAnsi="Arial" w:cs="Arial"/>
          <w:sz w:val="20"/>
        </w:rPr>
        <w:t>995</w:t>
      </w:r>
      <w:r w:rsidRPr="0006114E">
        <w:rPr>
          <w:rFonts w:ascii="Arial" w:hAnsi="Arial" w:cs="Arial"/>
          <w:sz w:val="20"/>
        </w:rPr>
        <w:t xml:space="preserve"> of </w:t>
      </w:r>
      <w:r w:rsidR="0053604D" w:rsidRPr="0006114E">
        <w:rPr>
          <w:rFonts w:ascii="Arial" w:hAnsi="Arial" w:cs="Arial"/>
          <w:sz w:val="20"/>
        </w:rPr>
        <w:t xml:space="preserve">the Income Tax Act </w:t>
      </w:r>
      <w:r w:rsidRPr="0006114E">
        <w:rPr>
          <w:rFonts w:ascii="Arial" w:hAnsi="Arial" w:cs="Arial"/>
          <w:sz w:val="20"/>
        </w:rPr>
        <w:t>200</w:t>
      </w:r>
      <w:r w:rsidR="0053604D" w:rsidRPr="0006114E">
        <w:rPr>
          <w:rFonts w:ascii="Arial" w:hAnsi="Arial" w:cs="Arial"/>
          <w:sz w:val="20"/>
        </w:rPr>
        <w:t>7</w:t>
      </w:r>
      <w:r w:rsidRPr="0006114E">
        <w:rPr>
          <w:rFonts w:ascii="Arial" w:hAnsi="Arial" w:cs="Arial"/>
          <w:sz w:val="20"/>
        </w:rPr>
        <w:t>.</w:t>
      </w:r>
      <w:bookmarkEnd w:id="23"/>
    </w:p>
    <w:p w14:paraId="56712D9C" w14:textId="6C4DAD4F" w:rsidR="007B4FB5" w:rsidRPr="0006114E" w:rsidRDefault="00D8597D" w:rsidP="006A1CE1">
      <w:pPr>
        <w:pStyle w:val="DefinedTermPara"/>
        <w:spacing w:line="240" w:lineRule="auto"/>
        <w:rPr>
          <w:rStyle w:val="DefTerm"/>
          <w:color w:val="auto"/>
          <w:sz w:val="20"/>
        </w:rPr>
      </w:pPr>
      <w:bookmarkStart w:id="25" w:name="a412777"/>
      <w:bookmarkEnd w:id="24"/>
      <w:r w:rsidRPr="0006114E">
        <w:rPr>
          <w:rStyle w:val="DefTerm"/>
          <w:color w:val="auto"/>
          <w:sz w:val="20"/>
        </w:rPr>
        <w:t>Dealing Day</w:t>
      </w:r>
      <w:r w:rsidRPr="0006114E">
        <w:rPr>
          <w:rFonts w:ascii="Arial" w:hAnsi="Arial" w:cs="Arial"/>
          <w:sz w:val="20"/>
        </w:rPr>
        <w:t>: a day on which the London Stock Exchange is open for business.</w:t>
      </w:r>
      <w:bookmarkEnd w:id="25"/>
    </w:p>
    <w:p w14:paraId="56712D9D" w14:textId="7C893A93" w:rsidR="001E029F" w:rsidRPr="0006114E" w:rsidRDefault="00D8597D" w:rsidP="006A1CE1">
      <w:pPr>
        <w:pStyle w:val="DefinedTermPara"/>
        <w:spacing w:line="240" w:lineRule="auto"/>
        <w:rPr>
          <w:rFonts w:ascii="Arial" w:hAnsi="Arial" w:cs="Arial"/>
          <w:sz w:val="20"/>
        </w:rPr>
      </w:pPr>
      <w:bookmarkStart w:id="26" w:name="a864027"/>
      <w:r w:rsidRPr="0006114E">
        <w:rPr>
          <w:rStyle w:val="DefTerm"/>
          <w:color w:val="auto"/>
          <w:sz w:val="20"/>
        </w:rPr>
        <w:t>Dealing Restrictions</w:t>
      </w:r>
      <w:r w:rsidRPr="0006114E">
        <w:rPr>
          <w:rFonts w:ascii="Arial" w:hAnsi="Arial" w:cs="Arial"/>
          <w:sz w:val="20"/>
        </w:rPr>
        <w:t xml:space="preserve">: </w:t>
      </w:r>
      <w:bookmarkStart w:id="27" w:name="_Hlk167959921"/>
      <w:r w:rsidRPr="0006114E">
        <w:rPr>
          <w:rFonts w:ascii="Arial" w:hAnsi="Arial" w:cs="Arial"/>
          <w:sz w:val="20"/>
        </w:rPr>
        <w:t>restrictions imposed by the Company</w:t>
      </w:r>
      <w:bookmarkEnd w:id="27"/>
      <w:r w:rsidRPr="0006114E">
        <w:rPr>
          <w:rFonts w:ascii="Arial" w:hAnsi="Arial" w:cs="Arial"/>
          <w:sz w:val="20"/>
        </w:rPr>
        <w:t xml:space="preserve">, </w:t>
      </w:r>
      <w:r w:rsidR="00677BF7" w:rsidRPr="0006114E">
        <w:rPr>
          <w:rFonts w:ascii="Arial" w:hAnsi="Arial" w:cs="Arial"/>
          <w:sz w:val="20"/>
        </w:rPr>
        <w:t xml:space="preserve">UK MAR, </w:t>
      </w:r>
      <w:r w:rsidRPr="0006114E">
        <w:rPr>
          <w:rFonts w:ascii="Arial" w:hAnsi="Arial" w:cs="Arial"/>
          <w:sz w:val="20"/>
        </w:rPr>
        <w:t>the</w:t>
      </w:r>
      <w:r w:rsidR="00D415CB">
        <w:rPr>
          <w:rFonts w:ascii="Arial" w:hAnsi="Arial" w:cs="Arial"/>
          <w:sz w:val="20"/>
        </w:rPr>
        <w:t xml:space="preserve"> UK</w:t>
      </w:r>
      <w:r w:rsidRPr="0006114E">
        <w:rPr>
          <w:rFonts w:ascii="Arial" w:hAnsi="Arial" w:cs="Arial"/>
          <w:sz w:val="20"/>
        </w:rPr>
        <w:t xml:space="preserve"> </w:t>
      </w:r>
      <w:r w:rsidR="00743237">
        <w:rPr>
          <w:rFonts w:ascii="Arial" w:hAnsi="Arial" w:cs="Arial"/>
          <w:sz w:val="20"/>
        </w:rPr>
        <w:t>Listing</w:t>
      </w:r>
      <w:r w:rsidRPr="0006114E">
        <w:rPr>
          <w:rFonts w:ascii="Arial" w:hAnsi="Arial" w:cs="Arial"/>
          <w:sz w:val="20"/>
        </w:rPr>
        <w:t xml:space="preserve"> Rules</w:t>
      </w:r>
      <w:r w:rsidR="00677BF7" w:rsidRPr="0006114E">
        <w:rPr>
          <w:rFonts w:ascii="Arial" w:hAnsi="Arial" w:cs="Arial"/>
          <w:sz w:val="20"/>
        </w:rPr>
        <w:t xml:space="preserve"> </w:t>
      </w:r>
      <w:r w:rsidR="001E029F" w:rsidRPr="0006114E">
        <w:rPr>
          <w:rFonts w:ascii="Arial" w:hAnsi="Arial" w:cs="Arial"/>
          <w:sz w:val="20"/>
        </w:rPr>
        <w:t>or</w:t>
      </w:r>
      <w:r w:rsidR="00677BF7" w:rsidRPr="0006114E">
        <w:rPr>
          <w:rFonts w:ascii="Arial" w:hAnsi="Arial" w:cs="Arial"/>
          <w:sz w:val="20"/>
        </w:rPr>
        <w:t xml:space="preserve"> </w:t>
      </w:r>
      <w:r w:rsidRPr="0006114E">
        <w:rPr>
          <w:rFonts w:ascii="Arial" w:hAnsi="Arial" w:cs="Arial"/>
          <w:sz w:val="20"/>
        </w:rPr>
        <w:t>any applicable laws</w:t>
      </w:r>
      <w:r w:rsidR="005D46AC" w:rsidRPr="0006114E">
        <w:rPr>
          <w:rFonts w:ascii="Arial" w:hAnsi="Arial" w:cs="Arial"/>
          <w:sz w:val="20"/>
        </w:rPr>
        <w:t xml:space="preserve">, codes </w:t>
      </w:r>
      <w:r w:rsidRPr="0006114E">
        <w:rPr>
          <w:rFonts w:ascii="Arial" w:hAnsi="Arial" w:cs="Arial"/>
          <w:sz w:val="20"/>
        </w:rPr>
        <w:t>or regulations which impose restrictions on dealing</w:t>
      </w:r>
      <w:r w:rsidR="005D46AC" w:rsidRPr="0006114E">
        <w:rPr>
          <w:rFonts w:ascii="Arial" w:hAnsi="Arial" w:cs="Arial"/>
          <w:sz w:val="20"/>
        </w:rPr>
        <w:t xml:space="preserve"> in shares and other securities</w:t>
      </w:r>
      <w:r w:rsidR="00C2027A" w:rsidRPr="0006114E">
        <w:rPr>
          <w:rFonts w:ascii="Arial" w:hAnsi="Arial" w:cs="Arial"/>
          <w:sz w:val="20"/>
        </w:rPr>
        <w:t>.</w:t>
      </w:r>
    </w:p>
    <w:p w14:paraId="56712D9F" w14:textId="5101C4AE" w:rsidR="007B4FB5" w:rsidRPr="00B7734A" w:rsidRDefault="00D8597D" w:rsidP="006A1CE1">
      <w:pPr>
        <w:pStyle w:val="DefinedTermPara"/>
        <w:spacing w:line="240" w:lineRule="auto"/>
        <w:rPr>
          <w:rFonts w:ascii="Arial" w:eastAsia="Arial" w:hAnsi="Arial" w:cs="Arial"/>
          <w:b/>
          <w:sz w:val="20"/>
        </w:rPr>
      </w:pPr>
      <w:bookmarkStart w:id="28" w:name="a144438"/>
      <w:bookmarkEnd w:id="26"/>
      <w:r w:rsidRPr="0006114E">
        <w:rPr>
          <w:rStyle w:val="DefTerm"/>
          <w:color w:val="auto"/>
          <w:sz w:val="20"/>
        </w:rPr>
        <w:t>Dividend Equivalent</w:t>
      </w:r>
      <w:r w:rsidRPr="0006114E">
        <w:rPr>
          <w:rFonts w:ascii="Arial" w:hAnsi="Arial" w:cs="Arial"/>
          <w:sz w:val="20"/>
        </w:rPr>
        <w:t xml:space="preserve">: has the meaning set out in </w:t>
      </w:r>
      <w:r w:rsidRPr="0006114E">
        <w:rPr>
          <w:rFonts w:ascii="Arial" w:hAnsi="Arial" w:cs="Arial"/>
          <w:sz w:val="20"/>
        </w:rPr>
        <w:fldChar w:fldCharType="begin"/>
      </w:r>
      <w:r w:rsidRPr="0006114E">
        <w:rPr>
          <w:rFonts w:ascii="Arial" w:hAnsi="Arial" w:cs="Arial"/>
          <w:sz w:val="20"/>
        </w:rPr>
        <w:instrText>PAGEREF a62542\#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a62542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5</w:t>
      </w:r>
      <w:r w:rsidRPr="0006114E">
        <w:rPr>
          <w:rFonts w:ascii="Arial" w:hAnsi="Arial" w:cs="Arial"/>
          <w:sz w:val="20"/>
        </w:rPr>
        <w:fldChar w:fldCharType="end"/>
      </w:r>
      <w:r w:rsidRPr="0006114E">
        <w:rPr>
          <w:rFonts w:ascii="Arial" w:hAnsi="Arial" w:cs="Arial"/>
          <w:sz w:val="20"/>
        </w:rPr>
        <w:t>.</w:t>
      </w:r>
      <w:bookmarkEnd w:id="28"/>
    </w:p>
    <w:p w14:paraId="6A221AC3" w14:textId="2A0303A4" w:rsidR="00B7734A" w:rsidRPr="00B7734A" w:rsidRDefault="00B7734A" w:rsidP="00B7734A">
      <w:pPr>
        <w:pStyle w:val="DefinedTermPara"/>
        <w:spacing w:line="240" w:lineRule="auto"/>
        <w:rPr>
          <w:rStyle w:val="DefTerm"/>
          <w:color w:val="auto"/>
          <w:sz w:val="20"/>
        </w:rPr>
      </w:pPr>
      <w:r w:rsidRPr="00B7734A">
        <w:rPr>
          <w:rFonts w:ascii="Arial" w:hAnsi="Arial" w:cs="Arial"/>
          <w:b/>
          <w:bCs/>
          <w:sz w:val="20"/>
        </w:rPr>
        <w:t>Discretionary Employees’ Share Scheme</w:t>
      </w:r>
      <w:r w:rsidRPr="0006114E">
        <w:rPr>
          <w:rStyle w:val="DefTerm"/>
          <w:color w:val="auto"/>
          <w:sz w:val="20"/>
        </w:rPr>
        <w:t xml:space="preserve">: </w:t>
      </w:r>
      <w:r w:rsidRPr="0006114E">
        <w:rPr>
          <w:rStyle w:val="DefTerm"/>
          <w:b w:val="0"/>
          <w:bCs/>
          <w:color w:val="auto"/>
          <w:sz w:val="20"/>
        </w:rPr>
        <w:t>Shares which were acquired pursuant to, or remain subject to awards granted under, the Plan or any other discretionary Employees’ Share Scheme.</w:t>
      </w:r>
    </w:p>
    <w:p w14:paraId="56712DA0" w14:textId="2C1DF116" w:rsidR="007B4FB5" w:rsidRPr="001C4BF1" w:rsidRDefault="00D8597D" w:rsidP="006A1CE1">
      <w:pPr>
        <w:pStyle w:val="DefinedTermPara"/>
        <w:spacing w:line="240" w:lineRule="auto"/>
        <w:rPr>
          <w:rFonts w:ascii="Arial" w:hAnsi="Arial" w:cs="Arial"/>
          <w:b/>
          <w:sz w:val="20"/>
        </w:rPr>
      </w:pPr>
      <w:bookmarkStart w:id="29" w:name="a931618"/>
      <w:r w:rsidRPr="001C4BF1">
        <w:rPr>
          <w:rStyle w:val="DefTerm"/>
          <w:color w:val="auto"/>
          <w:sz w:val="20"/>
        </w:rPr>
        <w:t>Employee</w:t>
      </w:r>
      <w:r w:rsidRPr="001C4BF1">
        <w:rPr>
          <w:rFonts w:ascii="Arial" w:hAnsi="Arial" w:cs="Arial"/>
          <w:sz w:val="20"/>
        </w:rPr>
        <w:t xml:space="preserve">: </w:t>
      </w:r>
      <w:r w:rsidRPr="001C4BF1">
        <w:rPr>
          <w:rFonts w:ascii="Arial" w:hAnsi="Arial"/>
          <w:sz w:val="20"/>
        </w:rPr>
        <w:t xml:space="preserve">any individual who is an employee (including an </w:t>
      </w:r>
      <w:r w:rsidR="00D935E7" w:rsidRPr="001C4BF1">
        <w:rPr>
          <w:rFonts w:ascii="Arial" w:hAnsi="Arial"/>
          <w:sz w:val="20"/>
        </w:rPr>
        <w:t>e</w:t>
      </w:r>
      <w:r w:rsidRPr="001C4BF1">
        <w:rPr>
          <w:rFonts w:ascii="Arial" w:hAnsi="Arial"/>
          <w:sz w:val="20"/>
        </w:rPr>
        <w:t xml:space="preserve">xecutive </w:t>
      </w:r>
      <w:r w:rsidR="00D935E7" w:rsidRPr="001C4BF1">
        <w:rPr>
          <w:rFonts w:ascii="Arial" w:hAnsi="Arial"/>
          <w:sz w:val="20"/>
        </w:rPr>
        <w:t>d</w:t>
      </w:r>
      <w:r w:rsidRPr="001C4BF1">
        <w:rPr>
          <w:rFonts w:ascii="Arial" w:hAnsi="Arial"/>
          <w:sz w:val="20"/>
        </w:rPr>
        <w:t>irector) of a Group Company</w:t>
      </w:r>
      <w:r w:rsidRPr="001C4BF1">
        <w:rPr>
          <w:rFonts w:ascii="Arial" w:hAnsi="Arial" w:cs="Arial"/>
          <w:sz w:val="20"/>
        </w:rPr>
        <w:t>.</w:t>
      </w:r>
      <w:bookmarkEnd w:id="29"/>
    </w:p>
    <w:p w14:paraId="56712DA1" w14:textId="77777777" w:rsidR="007B4FB5" w:rsidRPr="0006114E" w:rsidRDefault="00D8597D" w:rsidP="006A1CE1">
      <w:pPr>
        <w:pStyle w:val="DefinedTermPara"/>
        <w:spacing w:line="240" w:lineRule="auto"/>
        <w:rPr>
          <w:rFonts w:ascii="Arial" w:hAnsi="Arial" w:cs="Arial"/>
          <w:b/>
          <w:sz w:val="20"/>
        </w:rPr>
      </w:pPr>
      <w:bookmarkStart w:id="30" w:name="a876732"/>
      <w:r w:rsidRPr="0006114E">
        <w:rPr>
          <w:rStyle w:val="DefTerm"/>
          <w:color w:val="auto"/>
          <w:sz w:val="20"/>
        </w:rPr>
        <w:t>Employer Company</w:t>
      </w:r>
      <w:r w:rsidRPr="0006114E">
        <w:rPr>
          <w:rFonts w:ascii="Arial" w:hAnsi="Arial" w:cs="Arial"/>
          <w:sz w:val="20"/>
        </w:rPr>
        <w:t>: the Award Holder's employer</w:t>
      </w:r>
      <w:r w:rsidR="004B5D3E" w:rsidRPr="0006114E">
        <w:rPr>
          <w:rFonts w:ascii="Arial" w:hAnsi="Arial" w:cs="Arial"/>
          <w:sz w:val="20"/>
        </w:rPr>
        <w:t xml:space="preserve"> or</w:t>
      </w:r>
      <w:r w:rsidR="00E72045" w:rsidRPr="0006114E">
        <w:rPr>
          <w:rFonts w:ascii="Arial" w:hAnsi="Arial" w:cs="Arial"/>
          <w:sz w:val="20"/>
        </w:rPr>
        <w:t xml:space="preserve"> </w:t>
      </w:r>
      <w:r w:rsidRPr="0006114E">
        <w:rPr>
          <w:rFonts w:ascii="Arial" w:hAnsi="Arial" w:cs="Arial"/>
          <w:sz w:val="20"/>
        </w:rPr>
        <w:t>former employer.</w:t>
      </w:r>
      <w:bookmarkEnd w:id="30"/>
    </w:p>
    <w:p w14:paraId="56712DA5" w14:textId="761049EB" w:rsidR="00124397" w:rsidRPr="0006114E" w:rsidRDefault="00D8597D" w:rsidP="006A1CE1">
      <w:pPr>
        <w:pStyle w:val="DefinedTermPara"/>
        <w:spacing w:line="240" w:lineRule="auto"/>
        <w:rPr>
          <w:rFonts w:ascii="Arial" w:hAnsi="Arial" w:cs="Arial"/>
          <w:b/>
          <w:sz w:val="20"/>
        </w:rPr>
      </w:pPr>
      <w:bookmarkStart w:id="31" w:name="a158298"/>
      <w:bookmarkStart w:id="32" w:name="a127719"/>
      <w:r w:rsidRPr="0006114E">
        <w:rPr>
          <w:rStyle w:val="DefTerm"/>
          <w:color w:val="auto"/>
          <w:sz w:val="20"/>
        </w:rPr>
        <w:t>Employees' Share Scheme</w:t>
      </w:r>
      <w:r w:rsidRPr="0006114E">
        <w:rPr>
          <w:rFonts w:ascii="Arial" w:hAnsi="Arial" w:cs="Arial"/>
          <w:sz w:val="20"/>
        </w:rPr>
        <w:t>:</w:t>
      </w:r>
      <w:bookmarkEnd w:id="31"/>
      <w:r w:rsidRPr="0006114E">
        <w:rPr>
          <w:rFonts w:ascii="Arial" w:hAnsi="Arial" w:cs="Arial"/>
          <w:sz w:val="20"/>
        </w:rPr>
        <w:t xml:space="preserve"> has the meaning given to it by section 1166 of the Companies Act 2006.</w:t>
      </w:r>
    </w:p>
    <w:p w14:paraId="56712DA7" w14:textId="18908418" w:rsidR="007B4FB5" w:rsidRPr="0006114E" w:rsidRDefault="00D8597D" w:rsidP="006A1CE1">
      <w:pPr>
        <w:pStyle w:val="DefinedTermPara"/>
        <w:spacing w:line="240" w:lineRule="auto"/>
        <w:rPr>
          <w:rStyle w:val="DefTerm"/>
          <w:color w:val="auto"/>
          <w:sz w:val="20"/>
        </w:rPr>
      </w:pPr>
      <w:r w:rsidRPr="0006114E">
        <w:rPr>
          <w:rStyle w:val="DefTerm"/>
          <w:color w:val="auto"/>
          <w:sz w:val="20"/>
        </w:rPr>
        <w:t>Exercise Date</w:t>
      </w:r>
      <w:r w:rsidRPr="0006114E">
        <w:rPr>
          <w:rFonts w:ascii="Arial" w:hAnsi="Arial" w:cs="Arial"/>
          <w:sz w:val="20"/>
        </w:rPr>
        <w:t>: in relation to an Option, the date on which it is</w:t>
      </w:r>
      <w:r w:rsidR="00390736" w:rsidRPr="0006114E">
        <w:rPr>
          <w:rFonts w:ascii="Arial" w:hAnsi="Arial" w:cs="Arial"/>
          <w:sz w:val="20"/>
        </w:rPr>
        <w:t xml:space="preserve"> validly</w:t>
      </w:r>
      <w:r w:rsidRPr="0006114E">
        <w:rPr>
          <w:rFonts w:ascii="Arial" w:hAnsi="Arial" w:cs="Arial"/>
          <w:sz w:val="20"/>
        </w:rPr>
        <w:t xml:space="preserve"> exercised.</w:t>
      </w:r>
      <w:bookmarkEnd w:id="32"/>
    </w:p>
    <w:p w14:paraId="56712DA8" w14:textId="2F3CA315" w:rsidR="007B4FB5" w:rsidRPr="0006114E" w:rsidRDefault="00D8597D" w:rsidP="006A1CE1">
      <w:pPr>
        <w:pStyle w:val="DefinedTermPara"/>
        <w:spacing w:line="240" w:lineRule="auto"/>
        <w:rPr>
          <w:rStyle w:val="DefTerm"/>
          <w:color w:val="auto"/>
          <w:sz w:val="20"/>
        </w:rPr>
      </w:pPr>
      <w:bookmarkStart w:id="33" w:name="a401428"/>
      <w:r w:rsidRPr="0006114E">
        <w:rPr>
          <w:rStyle w:val="DefTerm"/>
          <w:color w:val="auto"/>
          <w:sz w:val="20"/>
        </w:rPr>
        <w:t>Exercise Notice</w:t>
      </w:r>
      <w:r w:rsidRPr="0006114E">
        <w:rPr>
          <w:rFonts w:ascii="Arial" w:hAnsi="Arial" w:cs="Arial"/>
          <w:sz w:val="20"/>
        </w:rPr>
        <w:t xml:space="preserve">: </w:t>
      </w:r>
      <w:r w:rsidR="00707AD5" w:rsidRPr="0006114E">
        <w:rPr>
          <w:rFonts w:ascii="Arial" w:hAnsi="Arial" w:cs="Arial"/>
          <w:sz w:val="20"/>
        </w:rPr>
        <w:t>a document</w:t>
      </w:r>
      <w:r w:rsidR="00C24A72" w:rsidRPr="0006114E">
        <w:rPr>
          <w:rFonts w:ascii="Arial" w:hAnsi="Arial" w:cs="Arial"/>
          <w:sz w:val="20"/>
        </w:rPr>
        <w:t xml:space="preserve"> </w:t>
      </w:r>
      <w:r w:rsidRPr="0006114E">
        <w:rPr>
          <w:rFonts w:ascii="Arial" w:hAnsi="Arial" w:cs="Arial"/>
          <w:sz w:val="20"/>
        </w:rPr>
        <w:t xml:space="preserve">that the Award Holder must </w:t>
      </w:r>
      <w:r w:rsidR="000D3A4B" w:rsidRPr="0006114E">
        <w:rPr>
          <w:rFonts w:ascii="Arial" w:hAnsi="Arial" w:cs="Arial"/>
          <w:sz w:val="20"/>
        </w:rPr>
        <w:t xml:space="preserve">complete and </w:t>
      </w:r>
      <w:r w:rsidRPr="0006114E">
        <w:rPr>
          <w:rFonts w:ascii="Arial" w:hAnsi="Arial" w:cs="Arial"/>
          <w:sz w:val="20"/>
        </w:rPr>
        <w:t xml:space="preserve">return </w:t>
      </w:r>
      <w:r w:rsidR="000D3A4B" w:rsidRPr="0006114E">
        <w:rPr>
          <w:rFonts w:ascii="Arial" w:hAnsi="Arial" w:cs="Arial"/>
          <w:sz w:val="20"/>
        </w:rPr>
        <w:t xml:space="preserve">(together with any other documents or payments required under the Plan) to the Company </w:t>
      </w:r>
      <w:r w:rsidRPr="0006114E">
        <w:rPr>
          <w:rFonts w:ascii="Arial" w:hAnsi="Arial" w:cs="Arial"/>
          <w:sz w:val="20"/>
        </w:rPr>
        <w:t>in order to exercise an Option.</w:t>
      </w:r>
      <w:bookmarkEnd w:id="33"/>
    </w:p>
    <w:p w14:paraId="3F8438A0" w14:textId="73FD0395" w:rsidR="007B4FB5" w:rsidRPr="0006114E" w:rsidRDefault="007B4FB5" w:rsidP="006A1CE1">
      <w:pPr>
        <w:pStyle w:val="DefinedTermPara"/>
        <w:spacing w:line="240" w:lineRule="auto"/>
        <w:rPr>
          <w:rStyle w:val="DefTerm"/>
          <w:color w:val="auto"/>
          <w:sz w:val="20"/>
        </w:rPr>
      </w:pPr>
      <w:bookmarkStart w:id="34" w:name="a831774"/>
      <w:r w:rsidRPr="0006114E">
        <w:rPr>
          <w:rStyle w:val="DefTerm"/>
          <w:color w:val="auto"/>
          <w:sz w:val="20"/>
        </w:rPr>
        <w:t>Exercise Price</w:t>
      </w:r>
      <w:r w:rsidRPr="0006114E">
        <w:rPr>
          <w:rFonts w:ascii="Arial" w:hAnsi="Arial" w:cs="Arial"/>
          <w:sz w:val="20"/>
        </w:rPr>
        <w:t xml:space="preserve">: the price </w:t>
      </w:r>
      <w:r w:rsidR="009E519F" w:rsidRPr="0006114E">
        <w:rPr>
          <w:rFonts w:ascii="Arial" w:hAnsi="Arial" w:cs="Arial"/>
          <w:sz w:val="20"/>
        </w:rPr>
        <w:t xml:space="preserve">(if any) </w:t>
      </w:r>
      <w:r w:rsidRPr="0006114E">
        <w:rPr>
          <w:rFonts w:ascii="Arial" w:hAnsi="Arial" w:cs="Arial"/>
          <w:sz w:val="20"/>
        </w:rPr>
        <w:t>at which each Share subject to a</w:t>
      </w:r>
      <w:r w:rsidR="009E519F" w:rsidRPr="0006114E">
        <w:rPr>
          <w:rFonts w:ascii="Arial" w:hAnsi="Arial" w:cs="Arial"/>
          <w:sz w:val="20"/>
        </w:rPr>
        <w:t xml:space="preserve">n </w:t>
      </w:r>
      <w:r w:rsidRPr="0006114E">
        <w:rPr>
          <w:rFonts w:ascii="Arial" w:hAnsi="Arial" w:cs="Arial"/>
          <w:sz w:val="20"/>
        </w:rPr>
        <w:t>Option may be acquired on the exercise of that Option.</w:t>
      </w:r>
      <w:bookmarkEnd w:id="34"/>
    </w:p>
    <w:p w14:paraId="56712DAA" w14:textId="25D04644" w:rsidR="000C405B" w:rsidRPr="0006114E" w:rsidRDefault="00D8597D" w:rsidP="006A1CE1">
      <w:pPr>
        <w:pStyle w:val="DefinedTermPara"/>
        <w:spacing w:line="240" w:lineRule="auto"/>
        <w:rPr>
          <w:rFonts w:ascii="Arial" w:hAnsi="Arial" w:cs="Arial"/>
          <w:sz w:val="20"/>
        </w:rPr>
      </w:pPr>
      <w:r w:rsidRPr="0006114E">
        <w:rPr>
          <w:rStyle w:val="DefTerm"/>
          <w:color w:val="auto"/>
          <w:sz w:val="20"/>
        </w:rPr>
        <w:t>Good Leaver</w:t>
      </w:r>
      <w:r w:rsidRPr="0006114E">
        <w:rPr>
          <w:rStyle w:val="DefTerm"/>
          <w:b w:val="0"/>
          <w:color w:val="auto"/>
          <w:sz w:val="20"/>
        </w:rPr>
        <w:t xml:space="preserve">: </w:t>
      </w:r>
      <w:r w:rsidR="00AA32FF" w:rsidRPr="0006114E">
        <w:rPr>
          <w:rStyle w:val="DefTerm"/>
          <w:b w:val="0"/>
          <w:color w:val="auto"/>
          <w:sz w:val="20"/>
        </w:rPr>
        <w:t>an Award Holder</w:t>
      </w:r>
      <w:r w:rsidRPr="0006114E">
        <w:rPr>
          <w:rStyle w:val="DefTerm"/>
          <w:b w:val="0"/>
          <w:color w:val="auto"/>
          <w:sz w:val="20"/>
        </w:rPr>
        <w:t xml:space="preserve"> who </w:t>
      </w:r>
      <w:bookmarkStart w:id="35" w:name="a665049"/>
      <w:r w:rsidRPr="0006114E">
        <w:rPr>
          <w:rFonts w:ascii="Arial" w:hAnsi="Arial" w:cs="Arial"/>
          <w:sz w:val="20"/>
        </w:rPr>
        <w:t>ceases to be an Employee due to any of the following reasons:</w:t>
      </w:r>
    </w:p>
    <w:p w14:paraId="56712DAB" w14:textId="77777777" w:rsidR="007E62A2" w:rsidRPr="0006114E" w:rsidRDefault="00D8597D" w:rsidP="006A1CE1">
      <w:pPr>
        <w:pStyle w:val="DefinedTermNumber"/>
        <w:spacing w:line="240" w:lineRule="auto"/>
        <w:rPr>
          <w:rFonts w:ascii="Arial" w:hAnsi="Arial" w:cs="Arial"/>
          <w:sz w:val="20"/>
        </w:rPr>
      </w:pPr>
      <w:bookmarkStart w:id="36" w:name="a812437"/>
      <w:r w:rsidRPr="0006114E">
        <w:rPr>
          <w:rFonts w:ascii="Arial" w:hAnsi="Arial" w:cs="Arial"/>
          <w:sz w:val="20"/>
        </w:rPr>
        <w:t>death;</w:t>
      </w:r>
    </w:p>
    <w:p w14:paraId="56712DAC" w14:textId="2514AE09" w:rsidR="000C405B" w:rsidRPr="0006114E" w:rsidRDefault="00D8597D" w:rsidP="006A1CE1">
      <w:pPr>
        <w:pStyle w:val="DefinedTermNumber"/>
        <w:spacing w:line="240" w:lineRule="auto"/>
        <w:ind w:left="2160" w:hanging="606"/>
        <w:rPr>
          <w:rFonts w:ascii="Arial" w:hAnsi="Arial" w:cs="Arial"/>
          <w:sz w:val="20"/>
        </w:rPr>
      </w:pPr>
      <w:r w:rsidRPr="0006114E">
        <w:rPr>
          <w:rFonts w:ascii="Arial" w:hAnsi="Arial" w:cs="Arial"/>
          <w:sz w:val="20"/>
        </w:rPr>
        <w:t>injury</w:t>
      </w:r>
      <w:r w:rsidR="00342E95" w:rsidRPr="0006114E">
        <w:rPr>
          <w:rFonts w:ascii="Arial" w:hAnsi="Arial" w:cs="Arial"/>
          <w:sz w:val="20"/>
        </w:rPr>
        <w:t>,</w:t>
      </w:r>
      <w:r w:rsidR="000C405B" w:rsidRPr="0006114E">
        <w:rPr>
          <w:rFonts w:ascii="Arial" w:hAnsi="Arial" w:cs="Arial"/>
          <w:sz w:val="20"/>
        </w:rPr>
        <w:t xml:space="preserve"> ill health</w:t>
      </w:r>
      <w:bookmarkStart w:id="37" w:name="a211311"/>
      <w:bookmarkEnd w:id="36"/>
      <w:r w:rsidRPr="0006114E">
        <w:rPr>
          <w:rFonts w:ascii="Arial" w:hAnsi="Arial" w:cs="Arial"/>
          <w:sz w:val="20"/>
        </w:rPr>
        <w:t xml:space="preserve"> or</w:t>
      </w:r>
      <w:bookmarkStart w:id="38" w:name="a991047"/>
      <w:bookmarkEnd w:id="37"/>
      <w:r w:rsidRPr="0006114E">
        <w:rPr>
          <w:rFonts w:ascii="Arial" w:hAnsi="Arial" w:cs="Arial"/>
          <w:sz w:val="20"/>
        </w:rPr>
        <w:t xml:space="preserve"> disability (in each case evidenced to the satisfaction of the </w:t>
      </w:r>
      <w:r w:rsidR="00623047" w:rsidRPr="0006114E">
        <w:rPr>
          <w:rFonts w:ascii="Arial" w:hAnsi="Arial" w:cs="Arial"/>
          <w:sz w:val="20"/>
        </w:rPr>
        <w:t>Remuneration Committee</w:t>
      </w:r>
      <w:r w:rsidRPr="0006114E">
        <w:rPr>
          <w:rFonts w:ascii="Arial" w:hAnsi="Arial" w:cs="Arial"/>
          <w:sz w:val="20"/>
        </w:rPr>
        <w:t>);</w:t>
      </w:r>
      <w:bookmarkEnd w:id="38"/>
    </w:p>
    <w:p w14:paraId="0F49FB41" w14:textId="3E72CB04" w:rsidR="00F0033C" w:rsidRPr="0006114E" w:rsidRDefault="00D8597D" w:rsidP="006A1CE1">
      <w:pPr>
        <w:pStyle w:val="DefinedTermNumber"/>
        <w:spacing w:line="240" w:lineRule="auto"/>
        <w:ind w:left="2160" w:hanging="606"/>
        <w:rPr>
          <w:rFonts w:ascii="Arial" w:hAnsi="Arial" w:cs="Arial"/>
          <w:sz w:val="20"/>
        </w:rPr>
      </w:pPr>
      <w:bookmarkStart w:id="39" w:name="a386257"/>
      <w:r w:rsidRPr="0006114E">
        <w:rPr>
          <w:rFonts w:ascii="Arial" w:hAnsi="Arial" w:cs="Arial"/>
          <w:sz w:val="20"/>
        </w:rPr>
        <w:lastRenderedPageBreak/>
        <w:t xml:space="preserve">retirement with the agreement of the </w:t>
      </w:r>
      <w:r w:rsidR="00623047" w:rsidRPr="0006114E">
        <w:rPr>
          <w:rFonts w:ascii="Arial" w:hAnsi="Arial" w:cs="Arial"/>
          <w:sz w:val="20"/>
        </w:rPr>
        <w:t>Remuneration Committee</w:t>
      </w:r>
      <w:r w:rsidRPr="0006114E">
        <w:rPr>
          <w:rFonts w:ascii="Arial" w:hAnsi="Arial" w:cs="Arial"/>
          <w:sz w:val="20"/>
        </w:rPr>
        <w:t>;</w:t>
      </w:r>
      <w:r w:rsidR="00F0033C" w:rsidRPr="0006114E">
        <w:rPr>
          <w:rFonts w:ascii="Arial" w:hAnsi="Arial" w:cs="Arial"/>
          <w:sz w:val="20"/>
        </w:rPr>
        <w:t xml:space="preserve"> </w:t>
      </w:r>
    </w:p>
    <w:p w14:paraId="56712DAE" w14:textId="0E2A7EAA" w:rsidR="000C405B" w:rsidRPr="0006114E" w:rsidRDefault="00F0033C" w:rsidP="006A1CE1">
      <w:pPr>
        <w:pStyle w:val="DefinedTermNumber"/>
        <w:spacing w:line="240" w:lineRule="auto"/>
        <w:ind w:left="2160" w:hanging="606"/>
        <w:rPr>
          <w:rFonts w:ascii="Arial" w:hAnsi="Arial" w:cs="Arial"/>
          <w:sz w:val="20"/>
        </w:rPr>
      </w:pPr>
      <w:r w:rsidRPr="0006114E">
        <w:rPr>
          <w:rFonts w:ascii="Arial" w:hAnsi="Arial" w:cs="Arial"/>
          <w:sz w:val="20"/>
        </w:rPr>
        <w:t>redundancy (within the meaning of section 139 of the Employment Rights Act 1996 or applicable non-UK equivalent);</w:t>
      </w:r>
      <w:r w:rsidR="00D8597D" w:rsidRPr="0006114E">
        <w:rPr>
          <w:rFonts w:ascii="Arial" w:hAnsi="Arial" w:cs="Arial"/>
          <w:sz w:val="20"/>
        </w:rPr>
        <w:fldChar w:fldCharType="begin"/>
      </w:r>
      <w:r w:rsidR="00D8597D" w:rsidRPr="0006114E">
        <w:rPr>
          <w:rFonts w:ascii="Arial" w:hAnsi="Arial" w:cs="Arial"/>
          <w:sz w:val="20"/>
        </w:rPr>
        <w:fldChar w:fldCharType="end"/>
      </w:r>
      <w:bookmarkEnd w:id="39"/>
      <w:r w:rsidR="003325DE" w:rsidRPr="0006114E">
        <w:rPr>
          <w:rFonts w:ascii="Arial" w:hAnsi="Arial" w:cs="Arial"/>
          <w:sz w:val="20"/>
        </w:rPr>
        <w:t xml:space="preserve"> </w:t>
      </w:r>
    </w:p>
    <w:p w14:paraId="56712DAF" w14:textId="77777777" w:rsidR="000C405B" w:rsidRPr="0006114E" w:rsidRDefault="00D8597D" w:rsidP="000F70BB">
      <w:pPr>
        <w:pStyle w:val="DefinedTermNumber"/>
        <w:spacing w:line="240" w:lineRule="auto"/>
        <w:ind w:left="2160" w:hanging="606"/>
        <w:rPr>
          <w:rFonts w:ascii="Arial" w:hAnsi="Arial" w:cs="Arial"/>
          <w:sz w:val="20"/>
        </w:rPr>
      </w:pPr>
      <w:bookmarkStart w:id="40" w:name="a757512"/>
      <w:r w:rsidRPr="0006114E">
        <w:rPr>
          <w:rFonts w:ascii="Arial" w:hAnsi="Arial" w:cs="Arial"/>
          <w:sz w:val="20"/>
        </w:rPr>
        <w:t>the</w:t>
      </w:r>
      <w:r w:rsidR="00AF7636" w:rsidRPr="0006114E">
        <w:rPr>
          <w:rFonts w:ascii="Arial" w:hAnsi="Arial" w:cs="Arial"/>
          <w:sz w:val="20"/>
        </w:rPr>
        <w:t>ir</w:t>
      </w:r>
      <w:r w:rsidRPr="0006114E">
        <w:rPr>
          <w:rFonts w:ascii="Arial" w:hAnsi="Arial" w:cs="Arial"/>
          <w:sz w:val="20"/>
        </w:rPr>
        <w:t xml:space="preserve"> Employer Company ceasing to be a Group Company</w:t>
      </w:r>
      <w:r w:rsidR="00AF7636" w:rsidRPr="0006114E">
        <w:rPr>
          <w:rFonts w:ascii="Arial" w:hAnsi="Arial" w:cs="Arial"/>
          <w:sz w:val="20"/>
        </w:rPr>
        <w:t>,</w:t>
      </w:r>
      <w:r w:rsidRPr="0006114E">
        <w:rPr>
          <w:rFonts w:ascii="Arial" w:hAnsi="Arial" w:cs="Arial"/>
          <w:sz w:val="20"/>
        </w:rPr>
        <w:t xml:space="preserve"> or</w:t>
      </w:r>
      <w:r w:rsidRPr="0006114E">
        <w:rPr>
          <w:rFonts w:ascii="Arial" w:hAnsi="Arial" w:cs="Arial"/>
          <w:sz w:val="20"/>
        </w:rPr>
        <w:fldChar w:fldCharType="begin"/>
      </w:r>
      <w:r w:rsidRPr="0006114E">
        <w:rPr>
          <w:rFonts w:ascii="Arial" w:hAnsi="Arial" w:cs="Arial"/>
          <w:sz w:val="20"/>
        </w:rPr>
        <w:fldChar w:fldCharType="end"/>
      </w:r>
      <w:bookmarkEnd w:id="40"/>
    </w:p>
    <w:p w14:paraId="56712DB0" w14:textId="466AE067" w:rsidR="007F7243" w:rsidRPr="0006114E" w:rsidRDefault="00D8597D" w:rsidP="000F70BB">
      <w:pPr>
        <w:pStyle w:val="DefinedTermNumber"/>
        <w:spacing w:line="240" w:lineRule="auto"/>
        <w:ind w:left="2160" w:hanging="606"/>
        <w:rPr>
          <w:rFonts w:ascii="Arial" w:hAnsi="Arial" w:cs="Arial"/>
          <w:sz w:val="20"/>
        </w:rPr>
      </w:pPr>
      <w:bookmarkStart w:id="41" w:name="a1024545"/>
      <w:r w:rsidRPr="0006114E">
        <w:rPr>
          <w:rFonts w:ascii="Arial" w:hAnsi="Arial" w:cs="Arial"/>
          <w:sz w:val="20"/>
        </w:rPr>
        <w:t>the transfer of the business that employs the Award Holder to a person that is not a Group Company,</w:t>
      </w:r>
    </w:p>
    <w:p w14:paraId="56712DB1" w14:textId="6D2A877A" w:rsidR="000C405B" w:rsidRPr="0006114E" w:rsidRDefault="00D8597D" w:rsidP="006A1CE1">
      <w:pPr>
        <w:pStyle w:val="DefinedTermPara"/>
        <w:spacing w:line="240" w:lineRule="auto"/>
        <w:rPr>
          <w:rFonts w:ascii="Arial" w:hAnsi="Arial" w:cs="Arial"/>
          <w:sz w:val="20"/>
        </w:rPr>
      </w:pPr>
      <w:r w:rsidRPr="0006114E">
        <w:rPr>
          <w:rFonts w:ascii="Arial" w:hAnsi="Arial" w:cs="Arial"/>
          <w:sz w:val="20"/>
        </w:rPr>
        <w:t>or in any other circumstances</w:t>
      </w:r>
      <w:r w:rsidR="00206EA9">
        <w:rPr>
          <w:rFonts w:ascii="Arial" w:hAnsi="Arial" w:cs="Arial"/>
          <w:sz w:val="20"/>
        </w:rPr>
        <w:t xml:space="preserve"> (other than gross misconduct)</w:t>
      </w:r>
      <w:r w:rsidRPr="0006114E">
        <w:rPr>
          <w:rFonts w:ascii="Arial" w:hAnsi="Arial" w:cs="Arial"/>
          <w:sz w:val="20"/>
        </w:rPr>
        <w:t xml:space="preserve"> determined by the </w:t>
      </w:r>
      <w:r w:rsidR="00623047" w:rsidRPr="0006114E">
        <w:rPr>
          <w:rFonts w:ascii="Arial" w:hAnsi="Arial" w:cs="Arial"/>
          <w:sz w:val="20"/>
        </w:rPr>
        <w:t>Remuneration Committee</w:t>
      </w:r>
      <w:r w:rsidRPr="0006114E">
        <w:rPr>
          <w:rFonts w:ascii="Arial" w:hAnsi="Arial" w:cs="Arial"/>
          <w:sz w:val="20"/>
        </w:rPr>
        <w:t xml:space="preserve"> in its absolute discretion.</w:t>
      </w:r>
      <w:r w:rsidRPr="0006114E">
        <w:rPr>
          <w:rFonts w:ascii="Arial" w:hAnsi="Arial" w:cs="Arial"/>
          <w:sz w:val="20"/>
        </w:rPr>
        <w:fldChar w:fldCharType="begin"/>
      </w:r>
      <w:r w:rsidRPr="0006114E">
        <w:rPr>
          <w:rFonts w:ascii="Arial" w:hAnsi="Arial" w:cs="Arial"/>
          <w:sz w:val="20"/>
        </w:rPr>
        <w:fldChar w:fldCharType="end"/>
      </w:r>
      <w:bookmarkEnd w:id="41"/>
    </w:p>
    <w:p w14:paraId="56712DB2" w14:textId="42A00B18" w:rsidR="007B4FB5" w:rsidRPr="0006114E" w:rsidRDefault="00D8597D" w:rsidP="006A1CE1">
      <w:pPr>
        <w:pStyle w:val="DefinedTermPara"/>
        <w:spacing w:line="240" w:lineRule="auto"/>
        <w:rPr>
          <w:rStyle w:val="DefTerm"/>
          <w:color w:val="auto"/>
          <w:sz w:val="20"/>
        </w:rPr>
      </w:pPr>
      <w:r w:rsidRPr="0006114E">
        <w:rPr>
          <w:rStyle w:val="DefTerm"/>
          <w:color w:val="auto"/>
          <w:sz w:val="20"/>
        </w:rPr>
        <w:t>Grant Date</w:t>
      </w:r>
      <w:r w:rsidRPr="0006114E">
        <w:rPr>
          <w:rFonts w:ascii="Arial" w:hAnsi="Arial" w:cs="Arial"/>
          <w:sz w:val="20"/>
        </w:rPr>
        <w:t xml:space="preserve">: the date on which </w:t>
      </w:r>
      <w:r w:rsidR="00D93C59" w:rsidRPr="0006114E">
        <w:rPr>
          <w:rFonts w:ascii="Arial" w:hAnsi="Arial" w:cs="Arial"/>
          <w:sz w:val="20"/>
        </w:rPr>
        <w:t>an Award</w:t>
      </w:r>
      <w:r w:rsidRPr="0006114E">
        <w:rPr>
          <w:rFonts w:ascii="Arial" w:hAnsi="Arial" w:cs="Arial"/>
          <w:sz w:val="20"/>
        </w:rPr>
        <w:t xml:space="preserve"> is</w:t>
      </w:r>
      <w:r w:rsidR="009B5591" w:rsidRPr="0006114E">
        <w:rPr>
          <w:rFonts w:ascii="Arial" w:hAnsi="Arial" w:cs="Arial"/>
          <w:sz w:val="20"/>
        </w:rPr>
        <w:t xml:space="preserve"> </w:t>
      </w:r>
      <w:r w:rsidR="00A071C7" w:rsidRPr="0006114E">
        <w:rPr>
          <w:rFonts w:ascii="Arial" w:hAnsi="Arial" w:cs="Arial"/>
          <w:sz w:val="20"/>
        </w:rPr>
        <w:t xml:space="preserve">or was </w:t>
      </w:r>
      <w:r w:rsidRPr="0006114E">
        <w:rPr>
          <w:rFonts w:ascii="Arial" w:hAnsi="Arial" w:cs="Arial"/>
          <w:sz w:val="20"/>
        </w:rPr>
        <w:t>granted.</w:t>
      </w:r>
      <w:bookmarkEnd w:id="35"/>
    </w:p>
    <w:p w14:paraId="56712DB5" w14:textId="07C80A77" w:rsidR="007B4FB5" w:rsidRPr="0016568E" w:rsidRDefault="00D8597D" w:rsidP="006A1CE1">
      <w:pPr>
        <w:pStyle w:val="DefinedTermPara"/>
        <w:spacing w:line="240" w:lineRule="auto"/>
        <w:rPr>
          <w:rFonts w:ascii="Arial" w:eastAsia="Arial" w:hAnsi="Arial" w:cs="Arial"/>
          <w:b/>
          <w:sz w:val="20"/>
        </w:rPr>
      </w:pPr>
      <w:bookmarkStart w:id="42" w:name="a252466"/>
      <w:r w:rsidRPr="0006114E">
        <w:rPr>
          <w:rStyle w:val="DefTerm"/>
          <w:color w:val="auto"/>
          <w:sz w:val="20"/>
        </w:rPr>
        <w:t>Group</w:t>
      </w:r>
      <w:r w:rsidRPr="0006114E">
        <w:rPr>
          <w:rFonts w:ascii="Arial" w:hAnsi="Arial" w:cs="Arial"/>
          <w:sz w:val="20"/>
        </w:rPr>
        <w:t>: the Company</w:t>
      </w:r>
      <w:bookmarkStart w:id="43" w:name="_Ref48205753"/>
      <w:bookmarkEnd w:id="42"/>
      <w:r w:rsidRPr="0006114E">
        <w:rPr>
          <w:rFonts w:ascii="Arial" w:hAnsi="Arial" w:cs="Arial"/>
          <w:sz w:val="20"/>
        </w:rPr>
        <w:t xml:space="preserve">, any </w:t>
      </w:r>
      <w:r w:rsidR="006650FD" w:rsidRPr="0006114E">
        <w:rPr>
          <w:rFonts w:ascii="Arial" w:hAnsi="Arial" w:cs="Arial"/>
          <w:sz w:val="20"/>
        </w:rPr>
        <w:t>s</w:t>
      </w:r>
      <w:r w:rsidRPr="0006114E">
        <w:rPr>
          <w:rFonts w:ascii="Arial" w:hAnsi="Arial" w:cs="Arial"/>
          <w:sz w:val="20"/>
        </w:rPr>
        <w:t xml:space="preserve">ubsidiary of the Company, </w:t>
      </w:r>
      <w:r w:rsidR="005C6680">
        <w:rPr>
          <w:rFonts w:ascii="Arial" w:hAnsi="Arial" w:cs="Arial"/>
          <w:sz w:val="20"/>
        </w:rPr>
        <w:t>the Company’s</w:t>
      </w:r>
      <w:r w:rsidRPr="0006114E">
        <w:rPr>
          <w:rFonts w:ascii="Arial" w:hAnsi="Arial" w:cs="Arial"/>
          <w:sz w:val="20"/>
        </w:rPr>
        <w:t xml:space="preserve"> holding company</w:t>
      </w:r>
      <w:r w:rsidR="00E96798">
        <w:rPr>
          <w:rFonts w:ascii="Arial" w:hAnsi="Arial" w:cs="Arial"/>
          <w:sz w:val="20"/>
        </w:rPr>
        <w:t xml:space="preserve">, </w:t>
      </w:r>
      <w:r w:rsidR="005C6680">
        <w:rPr>
          <w:rFonts w:ascii="Arial" w:hAnsi="Arial" w:cs="Arial"/>
          <w:sz w:val="20"/>
        </w:rPr>
        <w:t>if any</w:t>
      </w:r>
      <w:r w:rsidR="00E96798">
        <w:rPr>
          <w:rFonts w:ascii="Arial" w:hAnsi="Arial" w:cs="Arial"/>
          <w:sz w:val="20"/>
        </w:rPr>
        <w:t xml:space="preserve"> (</w:t>
      </w:r>
      <w:r w:rsidR="00A744E3" w:rsidRPr="0006114E">
        <w:rPr>
          <w:rFonts w:ascii="Arial" w:hAnsi="Arial" w:cs="Arial"/>
          <w:sz w:val="20"/>
        </w:rPr>
        <w:t xml:space="preserve">each </w:t>
      </w:r>
      <w:r w:rsidRPr="0006114E">
        <w:rPr>
          <w:rFonts w:ascii="Arial" w:hAnsi="Arial" w:cs="Arial"/>
          <w:sz w:val="20"/>
        </w:rPr>
        <w:t xml:space="preserve">within the meaning of section 1159 of the Companies Act 2006) </w:t>
      </w:r>
      <w:r w:rsidR="00A27DBD">
        <w:rPr>
          <w:rFonts w:ascii="Arial" w:hAnsi="Arial" w:cs="Arial"/>
          <w:sz w:val="20"/>
        </w:rPr>
        <w:t>and</w:t>
      </w:r>
      <w:r w:rsidRPr="0006114E">
        <w:rPr>
          <w:rFonts w:ascii="Arial" w:hAnsi="Arial" w:cs="Arial"/>
          <w:sz w:val="20"/>
        </w:rPr>
        <w:t xml:space="preserve"> any </w:t>
      </w:r>
      <w:r w:rsidR="006650FD" w:rsidRPr="0006114E">
        <w:rPr>
          <w:rFonts w:ascii="Arial" w:hAnsi="Arial" w:cs="Arial"/>
          <w:sz w:val="20"/>
        </w:rPr>
        <w:t>s</w:t>
      </w:r>
      <w:r w:rsidRPr="0006114E">
        <w:rPr>
          <w:rFonts w:ascii="Arial" w:hAnsi="Arial" w:cs="Arial"/>
          <w:sz w:val="20"/>
        </w:rPr>
        <w:t>ubsidiary of the Company's holding company</w:t>
      </w:r>
      <w:bookmarkEnd w:id="43"/>
      <w:r w:rsidRPr="0006114E">
        <w:rPr>
          <w:rFonts w:ascii="Arial" w:hAnsi="Arial" w:cs="Arial"/>
          <w:sz w:val="20"/>
        </w:rPr>
        <w:t>, each from time to time</w:t>
      </w:r>
      <w:r w:rsidR="005E70AD" w:rsidRPr="0006114E">
        <w:rPr>
          <w:rFonts w:ascii="Arial" w:hAnsi="Arial" w:cs="Arial"/>
          <w:sz w:val="20"/>
        </w:rPr>
        <w:t xml:space="preserve"> </w:t>
      </w:r>
      <w:r w:rsidR="006469D2" w:rsidRPr="0006114E">
        <w:rPr>
          <w:rFonts w:ascii="Arial" w:hAnsi="Arial" w:cs="Arial"/>
          <w:sz w:val="20"/>
        </w:rPr>
        <w:t xml:space="preserve">(and </w:t>
      </w:r>
      <w:bookmarkStart w:id="44" w:name="a654583"/>
      <w:r w:rsidRPr="0006114E">
        <w:rPr>
          <w:rStyle w:val="DefTerm"/>
          <w:color w:val="auto"/>
          <w:sz w:val="20"/>
        </w:rPr>
        <w:t>Group Company</w:t>
      </w:r>
      <w:r w:rsidR="006469D2" w:rsidRPr="0006114E">
        <w:rPr>
          <w:rStyle w:val="DefTerm"/>
          <w:color w:val="auto"/>
          <w:sz w:val="20"/>
        </w:rPr>
        <w:t xml:space="preserve"> </w:t>
      </w:r>
      <w:r w:rsidR="006469D2" w:rsidRPr="0006114E">
        <w:rPr>
          <w:rStyle w:val="DefTerm"/>
          <w:b w:val="0"/>
          <w:bCs/>
          <w:color w:val="auto"/>
          <w:sz w:val="20"/>
        </w:rPr>
        <w:t>shall mean</w:t>
      </w:r>
      <w:r w:rsidRPr="0006114E">
        <w:rPr>
          <w:rFonts w:ascii="Arial" w:hAnsi="Arial" w:cs="Arial"/>
          <w:sz w:val="20"/>
        </w:rPr>
        <w:t xml:space="preserve"> any member of the Group</w:t>
      </w:r>
      <w:r w:rsidR="002F3375" w:rsidRPr="0006114E">
        <w:rPr>
          <w:rFonts w:ascii="Arial" w:hAnsi="Arial" w:cs="Arial"/>
          <w:sz w:val="20"/>
        </w:rPr>
        <w:t xml:space="preserve"> from time to time</w:t>
      </w:r>
      <w:bookmarkEnd w:id="44"/>
      <w:r w:rsidR="006469D2" w:rsidRPr="0006114E">
        <w:rPr>
          <w:rFonts w:ascii="Arial" w:hAnsi="Arial" w:cs="Arial"/>
          <w:sz w:val="20"/>
        </w:rPr>
        <w:t>).</w:t>
      </w:r>
    </w:p>
    <w:p w14:paraId="56712DB7" w14:textId="2D44D47D" w:rsidR="007B4FB5" w:rsidRPr="005D2ABB" w:rsidRDefault="005D2ABB" w:rsidP="00C16B69">
      <w:pPr>
        <w:pStyle w:val="DefinedTermPara"/>
        <w:spacing w:line="240" w:lineRule="auto"/>
        <w:rPr>
          <w:rStyle w:val="DefTerm"/>
          <w:color w:val="auto"/>
          <w:sz w:val="20"/>
        </w:rPr>
      </w:pPr>
      <w:bookmarkStart w:id="45" w:name="a653324"/>
      <w:r w:rsidRPr="005D2ABB">
        <w:rPr>
          <w:rStyle w:val="DefTerm"/>
          <w:color w:val="auto"/>
          <w:sz w:val="20"/>
        </w:rPr>
        <w:t>Holding Period</w:t>
      </w:r>
      <w:r w:rsidRPr="005D2ABB">
        <w:rPr>
          <w:rFonts w:ascii="Arial" w:hAnsi="Arial" w:cs="Arial"/>
          <w:sz w:val="20"/>
        </w:rPr>
        <w:t>: the period that starts on the Vesting Date and ends on the second anniversary of the Vesting Date (or such other period</w:t>
      </w:r>
      <w:r w:rsidR="000D0884">
        <w:rPr>
          <w:rFonts w:ascii="Arial" w:hAnsi="Arial" w:cs="Arial"/>
          <w:sz w:val="20"/>
        </w:rPr>
        <w:t>, if any,</w:t>
      </w:r>
      <w:r w:rsidRPr="005D2ABB">
        <w:rPr>
          <w:rFonts w:ascii="Arial" w:hAnsi="Arial" w:cs="Arial"/>
          <w:sz w:val="20"/>
        </w:rPr>
        <w:t xml:space="preserve"> as the Remuneration Committee may specify in the Award Certificate).</w:t>
      </w:r>
      <w:bookmarkEnd w:id="45"/>
    </w:p>
    <w:p w14:paraId="406BD385" w14:textId="77777777" w:rsidR="007B4FB5" w:rsidRPr="0006114E" w:rsidRDefault="00D8597D" w:rsidP="006A1CE1">
      <w:pPr>
        <w:pStyle w:val="DefinedTermPara"/>
        <w:spacing w:line="240" w:lineRule="auto"/>
        <w:rPr>
          <w:rStyle w:val="DefTerm"/>
          <w:color w:val="auto"/>
          <w:sz w:val="20"/>
        </w:rPr>
      </w:pPr>
      <w:bookmarkStart w:id="46" w:name="a223120"/>
      <w:r w:rsidRPr="0006114E">
        <w:rPr>
          <w:rStyle w:val="DefTerm"/>
          <w:color w:val="auto"/>
          <w:sz w:val="20"/>
        </w:rPr>
        <w:t>ITEPA 2003</w:t>
      </w:r>
      <w:r w:rsidRPr="0006114E">
        <w:rPr>
          <w:rFonts w:ascii="Arial" w:hAnsi="Arial" w:cs="Arial"/>
          <w:sz w:val="20"/>
        </w:rPr>
        <w:t>: the Income Tax (Earnings and Pensions) Act 2003.</w:t>
      </w:r>
      <w:bookmarkEnd w:id="46"/>
    </w:p>
    <w:p w14:paraId="439F1E84" w14:textId="2EAE3011" w:rsidR="0098044C" w:rsidRPr="007C4C6E" w:rsidRDefault="0098044C" w:rsidP="006A1CE1">
      <w:pPr>
        <w:pStyle w:val="DefinedTermPara"/>
        <w:spacing w:line="240" w:lineRule="auto"/>
        <w:rPr>
          <w:rFonts w:ascii="Arial" w:hAnsi="Arial" w:cs="Arial"/>
          <w:sz w:val="20"/>
        </w:rPr>
      </w:pPr>
      <w:bookmarkStart w:id="47" w:name="a885893"/>
      <w:r w:rsidRPr="0098044C">
        <w:rPr>
          <w:rFonts w:ascii="Arial" w:hAnsi="Arial" w:cs="Arial"/>
          <w:b/>
          <w:bCs/>
          <w:sz w:val="20"/>
        </w:rPr>
        <w:t>Listed</w:t>
      </w:r>
      <w:r w:rsidRPr="0098044C">
        <w:rPr>
          <w:rFonts w:ascii="Arial" w:hAnsi="Arial" w:cs="Arial"/>
          <w:sz w:val="20"/>
        </w:rPr>
        <w:t xml:space="preserve">: means that any </w:t>
      </w:r>
      <w:r w:rsidR="00C46FF0">
        <w:rPr>
          <w:rFonts w:ascii="Arial" w:hAnsi="Arial" w:cs="Arial"/>
          <w:sz w:val="20"/>
        </w:rPr>
        <w:t>Shares are</w:t>
      </w:r>
      <w:r w:rsidRPr="0098044C">
        <w:rPr>
          <w:rFonts w:ascii="Arial" w:hAnsi="Arial" w:cs="Arial"/>
          <w:sz w:val="20"/>
        </w:rPr>
        <w:t xml:space="preserve"> admitted to </w:t>
      </w:r>
      <w:r w:rsidRPr="007C4C6E">
        <w:rPr>
          <w:rFonts w:ascii="Arial" w:hAnsi="Arial" w:cs="Arial"/>
          <w:sz w:val="20"/>
        </w:rPr>
        <w:t>the Official List (with consequent admission to trading on the Main Market of the London Stock Exchange)</w:t>
      </w:r>
      <w:r w:rsidRPr="0098044C">
        <w:rPr>
          <w:rFonts w:ascii="Arial" w:hAnsi="Arial" w:cs="Arial"/>
          <w:sz w:val="20"/>
        </w:rPr>
        <w:t>.</w:t>
      </w:r>
    </w:p>
    <w:bookmarkEnd w:id="47"/>
    <w:p w14:paraId="4F1C5A92" w14:textId="29886A82" w:rsidR="00D44326" w:rsidRPr="00B93E42" w:rsidRDefault="00E62143" w:rsidP="00486D0F">
      <w:pPr>
        <w:pStyle w:val="DefinedTermPara"/>
        <w:spacing w:line="240" w:lineRule="auto"/>
        <w:rPr>
          <w:rFonts w:ascii="Arial" w:hAnsi="Arial" w:cs="Arial"/>
          <w:sz w:val="20"/>
        </w:rPr>
      </w:pPr>
      <w:r w:rsidRPr="00B93E42">
        <w:rPr>
          <w:rFonts w:ascii="Arial" w:hAnsi="Arial" w:cs="Arial"/>
          <w:b/>
          <w:bCs/>
          <w:sz w:val="20"/>
        </w:rPr>
        <w:t>Market Value</w:t>
      </w:r>
      <w:r w:rsidRPr="00B93E42">
        <w:rPr>
          <w:rFonts w:ascii="Arial" w:hAnsi="Arial" w:cs="Arial"/>
          <w:sz w:val="20"/>
        </w:rPr>
        <w:t>: means the market value of a Share as determined by the Remuneration Committee (acting fairly and reasonably)</w:t>
      </w:r>
      <w:r w:rsidR="00B93E42" w:rsidRPr="00B93E42">
        <w:rPr>
          <w:rFonts w:ascii="Arial" w:hAnsi="Arial" w:cs="Arial"/>
          <w:sz w:val="20"/>
        </w:rPr>
        <w:t>,</w:t>
      </w:r>
      <w:r w:rsidRPr="00B93E42">
        <w:rPr>
          <w:rFonts w:ascii="Arial" w:hAnsi="Arial" w:cs="Arial"/>
          <w:sz w:val="20"/>
        </w:rPr>
        <w:t xml:space="preserve"> normally based on</w:t>
      </w:r>
      <w:r w:rsidR="00387C51" w:rsidRPr="00B93E42">
        <w:rPr>
          <w:rFonts w:ascii="Arial" w:hAnsi="Arial" w:cs="Arial"/>
          <w:sz w:val="20"/>
        </w:rPr>
        <w:t xml:space="preserve"> the closing middle market quotation (being the mid-point between the closing ‘buy’ and ‘sell’ prices, as derived from the daily official list) for a Share on the Dealing Day immediately preceding </w:t>
      </w:r>
      <w:r w:rsidR="00DA7EE7" w:rsidRPr="00B93E42">
        <w:rPr>
          <w:rFonts w:ascii="Arial" w:hAnsi="Arial" w:cs="Arial"/>
          <w:sz w:val="20"/>
        </w:rPr>
        <w:t xml:space="preserve">the relevant </w:t>
      </w:r>
      <w:r w:rsidR="00387C51" w:rsidRPr="00B93E42">
        <w:rPr>
          <w:rFonts w:ascii="Arial" w:hAnsi="Arial" w:cs="Arial"/>
          <w:sz w:val="20"/>
        </w:rPr>
        <w:t xml:space="preserve">date or </w:t>
      </w:r>
      <w:r w:rsidRPr="00B93E42">
        <w:rPr>
          <w:rFonts w:ascii="Arial" w:hAnsi="Arial" w:cs="Arial"/>
          <w:sz w:val="20"/>
        </w:rPr>
        <w:t>the average of the</w:t>
      </w:r>
      <w:r w:rsidR="00055A2A" w:rsidRPr="00B93E42">
        <w:rPr>
          <w:rFonts w:ascii="Arial" w:hAnsi="Arial" w:cs="Arial"/>
          <w:sz w:val="20"/>
        </w:rPr>
        <w:t xml:space="preserve"> closing</w:t>
      </w:r>
      <w:r w:rsidRPr="00B93E42">
        <w:rPr>
          <w:rFonts w:ascii="Arial" w:hAnsi="Arial" w:cs="Arial"/>
          <w:sz w:val="20"/>
        </w:rPr>
        <w:t xml:space="preserve"> </w:t>
      </w:r>
      <w:r w:rsidR="00495493" w:rsidRPr="00B93E42">
        <w:rPr>
          <w:rFonts w:ascii="Arial" w:hAnsi="Arial" w:cs="Arial"/>
          <w:sz w:val="20"/>
        </w:rPr>
        <w:t>m</w:t>
      </w:r>
      <w:r w:rsidRPr="00B93E42">
        <w:rPr>
          <w:rFonts w:ascii="Arial" w:hAnsi="Arial" w:cs="Arial"/>
          <w:sz w:val="20"/>
        </w:rPr>
        <w:t xml:space="preserve">iddle </w:t>
      </w:r>
      <w:r w:rsidR="00495493" w:rsidRPr="00B93E42">
        <w:rPr>
          <w:rFonts w:ascii="Arial" w:hAnsi="Arial" w:cs="Arial"/>
          <w:sz w:val="20"/>
        </w:rPr>
        <w:t>m</w:t>
      </w:r>
      <w:r w:rsidRPr="00B93E42">
        <w:rPr>
          <w:rFonts w:ascii="Arial" w:hAnsi="Arial" w:cs="Arial"/>
          <w:sz w:val="20"/>
        </w:rPr>
        <w:t xml:space="preserve">arket </w:t>
      </w:r>
      <w:r w:rsidR="00495493" w:rsidRPr="00B93E42">
        <w:rPr>
          <w:rFonts w:ascii="Arial" w:hAnsi="Arial" w:cs="Arial"/>
          <w:sz w:val="20"/>
        </w:rPr>
        <w:t>q</w:t>
      </w:r>
      <w:r w:rsidRPr="00B93E42">
        <w:rPr>
          <w:rFonts w:ascii="Arial" w:hAnsi="Arial" w:cs="Arial"/>
          <w:sz w:val="20"/>
        </w:rPr>
        <w:t>uotations</w:t>
      </w:r>
      <w:r w:rsidR="00495493" w:rsidRPr="00B93E42">
        <w:rPr>
          <w:rFonts w:ascii="Arial" w:hAnsi="Arial" w:cs="Arial"/>
          <w:sz w:val="20"/>
        </w:rPr>
        <w:t xml:space="preserve"> </w:t>
      </w:r>
      <w:r w:rsidRPr="00B93E42">
        <w:rPr>
          <w:rFonts w:ascii="Arial" w:hAnsi="Arial" w:cs="Arial"/>
          <w:sz w:val="20"/>
        </w:rPr>
        <w:t>for a period not exceeding the five consecutive Dealing Days immediately preceding the relevant date (</w:t>
      </w:r>
      <w:r w:rsidR="00266FF9" w:rsidRPr="00B93E42">
        <w:rPr>
          <w:rFonts w:ascii="Arial" w:hAnsi="Arial" w:cs="Arial"/>
          <w:sz w:val="20"/>
        </w:rPr>
        <w:t xml:space="preserve">in all cases, </w:t>
      </w:r>
      <w:r w:rsidRPr="00B93E42">
        <w:rPr>
          <w:rFonts w:ascii="Arial" w:hAnsi="Arial" w:cs="Arial"/>
          <w:sz w:val="20"/>
        </w:rPr>
        <w:t>excluding any Dealing Day</w:t>
      </w:r>
      <w:r w:rsidR="005357EB" w:rsidRPr="00B93E42">
        <w:rPr>
          <w:rFonts w:ascii="Arial" w:hAnsi="Arial" w:cs="Arial"/>
          <w:sz w:val="20"/>
        </w:rPr>
        <w:t>s</w:t>
      </w:r>
      <w:r w:rsidRPr="00B93E42">
        <w:rPr>
          <w:rFonts w:ascii="Arial" w:hAnsi="Arial" w:cs="Arial"/>
          <w:sz w:val="20"/>
        </w:rPr>
        <w:t xml:space="preserve"> that fall in a Closed Period).</w:t>
      </w:r>
    </w:p>
    <w:p w14:paraId="56712DC1" w14:textId="5CE120C4" w:rsidR="007B4FB5" w:rsidRPr="0006114E" w:rsidRDefault="00D8597D" w:rsidP="006A1CE1">
      <w:pPr>
        <w:pStyle w:val="DefinedTermPara"/>
        <w:spacing w:line="240" w:lineRule="auto"/>
        <w:rPr>
          <w:rStyle w:val="DefTerm"/>
          <w:color w:val="auto"/>
          <w:sz w:val="20"/>
        </w:rPr>
      </w:pPr>
      <w:bookmarkStart w:id="48" w:name="a538746"/>
      <w:r w:rsidRPr="0006114E">
        <w:rPr>
          <w:rStyle w:val="DefTerm"/>
          <w:color w:val="auto"/>
          <w:sz w:val="20"/>
        </w:rPr>
        <w:t>NICs</w:t>
      </w:r>
      <w:r w:rsidRPr="0006114E">
        <w:rPr>
          <w:rFonts w:ascii="Arial" w:hAnsi="Arial" w:cs="Arial"/>
          <w:sz w:val="20"/>
        </w:rPr>
        <w:t>: National Insurance contributions</w:t>
      </w:r>
      <w:r w:rsidR="001314D0" w:rsidRPr="0006114E">
        <w:rPr>
          <w:rFonts w:ascii="Arial" w:hAnsi="Arial" w:cs="Arial"/>
          <w:sz w:val="20"/>
        </w:rPr>
        <w:t xml:space="preserve"> or equivalent social security contributions in any other relevant jurisdiction</w:t>
      </w:r>
      <w:r w:rsidRPr="0006114E">
        <w:rPr>
          <w:rFonts w:ascii="Arial" w:hAnsi="Arial" w:cs="Arial"/>
          <w:sz w:val="20"/>
        </w:rPr>
        <w:t>.</w:t>
      </w:r>
      <w:bookmarkEnd w:id="48"/>
    </w:p>
    <w:p w14:paraId="2241D6CD" w14:textId="6EE9B7E7" w:rsidR="008A00BC" w:rsidRPr="0006114E" w:rsidRDefault="008A00BC" w:rsidP="006A1CE1">
      <w:pPr>
        <w:pStyle w:val="DefinedTermPara"/>
        <w:spacing w:line="240" w:lineRule="auto"/>
        <w:rPr>
          <w:rStyle w:val="DefTerm"/>
          <w:color w:val="auto"/>
          <w:sz w:val="20"/>
        </w:rPr>
      </w:pPr>
      <w:bookmarkStart w:id="49" w:name="a728966"/>
      <w:r w:rsidRPr="0006114E">
        <w:rPr>
          <w:rStyle w:val="DefTerm"/>
          <w:color w:val="auto"/>
          <w:sz w:val="20"/>
        </w:rPr>
        <w:t>Option</w:t>
      </w:r>
      <w:r w:rsidRPr="0006114E">
        <w:rPr>
          <w:rFonts w:ascii="Arial" w:hAnsi="Arial" w:cs="Arial"/>
          <w:sz w:val="20"/>
        </w:rPr>
        <w:t>: an option to acquire Shares for no payment</w:t>
      </w:r>
      <w:r w:rsidR="00E429BF" w:rsidRPr="0006114E">
        <w:rPr>
          <w:rFonts w:ascii="Arial" w:hAnsi="Arial" w:cs="Arial"/>
          <w:sz w:val="20"/>
        </w:rPr>
        <w:t xml:space="preserve"> or,</w:t>
      </w:r>
      <w:r w:rsidR="00A524BD" w:rsidRPr="0006114E">
        <w:rPr>
          <w:rFonts w:ascii="Arial" w:hAnsi="Arial" w:cs="Arial"/>
          <w:sz w:val="20"/>
        </w:rPr>
        <w:t xml:space="preserve"> </w:t>
      </w:r>
      <w:r w:rsidR="00E429BF" w:rsidRPr="0006114E">
        <w:rPr>
          <w:rFonts w:ascii="Arial" w:hAnsi="Arial" w:cs="Arial"/>
          <w:sz w:val="20"/>
        </w:rPr>
        <w:t xml:space="preserve">where an Exercise Price is specified in the relevant Award Certificate, for the </w:t>
      </w:r>
      <w:bookmarkStart w:id="50" w:name="a832039"/>
      <w:r w:rsidR="00E429BF" w:rsidRPr="0006114E">
        <w:rPr>
          <w:rFonts w:ascii="Arial" w:hAnsi="Arial" w:cs="Arial"/>
          <w:sz w:val="20"/>
        </w:rPr>
        <w:t xml:space="preserve">payment of that </w:t>
      </w:r>
      <w:bookmarkEnd w:id="50"/>
      <w:r w:rsidR="00E429BF" w:rsidRPr="0006114E">
        <w:rPr>
          <w:rFonts w:ascii="Arial" w:hAnsi="Arial" w:cs="Arial"/>
          <w:sz w:val="20"/>
        </w:rPr>
        <w:t>Exercise Price.</w:t>
      </w:r>
    </w:p>
    <w:p w14:paraId="56712DCA" w14:textId="44091917" w:rsidR="00223AA2" w:rsidRPr="0006114E" w:rsidRDefault="00D8597D" w:rsidP="006A1CE1">
      <w:pPr>
        <w:pStyle w:val="DefinedTermPara"/>
        <w:spacing w:line="240" w:lineRule="auto"/>
        <w:rPr>
          <w:rStyle w:val="DefTerm"/>
          <w:color w:val="auto"/>
          <w:sz w:val="20"/>
        </w:rPr>
      </w:pPr>
      <w:r w:rsidRPr="0006114E">
        <w:rPr>
          <w:rStyle w:val="DefTerm"/>
          <w:color w:val="auto"/>
          <w:sz w:val="20"/>
        </w:rPr>
        <w:t xml:space="preserve">Ordinary </w:t>
      </w:r>
      <w:r w:rsidR="00D44FC6" w:rsidRPr="0006114E">
        <w:rPr>
          <w:rStyle w:val="DefTerm"/>
          <w:color w:val="auto"/>
          <w:sz w:val="20"/>
        </w:rPr>
        <w:t>Vesting Date</w:t>
      </w:r>
      <w:r w:rsidRPr="0006114E">
        <w:rPr>
          <w:rStyle w:val="DefTerm"/>
          <w:color w:val="auto"/>
          <w:sz w:val="20"/>
        </w:rPr>
        <w:t xml:space="preserve">: </w:t>
      </w:r>
      <w:bookmarkStart w:id="51" w:name="a390464"/>
      <w:r w:rsidR="000C79AC" w:rsidRPr="0006114E">
        <w:rPr>
          <w:rStyle w:val="DefTerm"/>
          <w:b w:val="0"/>
          <w:color w:val="auto"/>
          <w:sz w:val="20"/>
        </w:rPr>
        <w:t xml:space="preserve">the later of (a) the </w:t>
      </w:r>
      <w:r w:rsidR="008F1B08" w:rsidRPr="0006114E">
        <w:rPr>
          <w:rStyle w:val="DefTerm"/>
          <w:b w:val="0"/>
          <w:color w:val="auto"/>
          <w:sz w:val="20"/>
        </w:rPr>
        <w:t xml:space="preserve">Performance </w:t>
      </w:r>
      <w:r w:rsidR="00223AA2" w:rsidRPr="0006114E">
        <w:rPr>
          <w:rStyle w:val="DefTerm"/>
          <w:b w:val="0"/>
          <w:bCs/>
          <w:color w:val="auto"/>
          <w:sz w:val="20"/>
        </w:rPr>
        <w:t>Measurement Date</w:t>
      </w:r>
      <w:r w:rsidR="00C260B1" w:rsidRPr="0006114E">
        <w:rPr>
          <w:rStyle w:val="DefTerm"/>
          <w:b w:val="0"/>
          <w:bCs/>
          <w:color w:val="auto"/>
          <w:sz w:val="20"/>
        </w:rPr>
        <w:t xml:space="preserve"> </w:t>
      </w:r>
      <w:r w:rsidR="00CA3130" w:rsidRPr="0006114E">
        <w:rPr>
          <w:rStyle w:val="DefTerm"/>
          <w:b w:val="0"/>
          <w:bCs/>
          <w:color w:val="auto"/>
          <w:sz w:val="20"/>
        </w:rPr>
        <w:t xml:space="preserve">(if </w:t>
      </w:r>
      <w:r w:rsidR="00086EC8" w:rsidRPr="0006114E">
        <w:rPr>
          <w:rStyle w:val="DefTerm"/>
          <w:b w:val="0"/>
          <w:bCs/>
          <w:color w:val="auto"/>
          <w:sz w:val="20"/>
        </w:rPr>
        <w:t xml:space="preserve">any, </w:t>
      </w:r>
      <w:r w:rsidR="00C260B1" w:rsidRPr="0006114E">
        <w:rPr>
          <w:rStyle w:val="DefTerm"/>
          <w:b w:val="0"/>
          <w:bCs/>
          <w:color w:val="auto"/>
          <w:sz w:val="20"/>
        </w:rPr>
        <w:t>or</w:t>
      </w:r>
      <w:r w:rsidR="008A20BF" w:rsidRPr="0006114E">
        <w:rPr>
          <w:rStyle w:val="DefTerm"/>
          <w:b w:val="0"/>
          <w:bCs/>
          <w:color w:val="auto"/>
          <w:sz w:val="20"/>
        </w:rPr>
        <w:t xml:space="preserve">, </w:t>
      </w:r>
      <w:r w:rsidR="00C260B1" w:rsidRPr="0006114E">
        <w:rPr>
          <w:rStyle w:val="DefTerm"/>
          <w:b w:val="0"/>
          <w:bCs/>
          <w:color w:val="auto"/>
          <w:sz w:val="20"/>
        </w:rPr>
        <w:t>where the Award has multiple</w:t>
      </w:r>
      <w:r w:rsidR="00223AA2" w:rsidRPr="0006114E">
        <w:rPr>
          <w:rStyle w:val="DefTerm"/>
          <w:b w:val="0"/>
          <w:bCs/>
          <w:color w:val="auto"/>
          <w:sz w:val="20"/>
        </w:rPr>
        <w:t xml:space="preserve"> </w:t>
      </w:r>
      <w:r w:rsidR="00C260B1" w:rsidRPr="0006114E">
        <w:rPr>
          <w:rStyle w:val="DefTerm"/>
          <w:b w:val="0"/>
          <w:bCs/>
          <w:color w:val="auto"/>
          <w:sz w:val="20"/>
        </w:rPr>
        <w:t>Performance Measurement Date</w:t>
      </w:r>
      <w:r w:rsidR="008A20BF" w:rsidRPr="0006114E">
        <w:rPr>
          <w:rStyle w:val="DefTerm"/>
          <w:b w:val="0"/>
          <w:bCs/>
          <w:color w:val="auto"/>
          <w:sz w:val="20"/>
        </w:rPr>
        <w:t xml:space="preserve">s, the </w:t>
      </w:r>
      <w:r w:rsidR="003E64D9" w:rsidRPr="0006114E">
        <w:rPr>
          <w:rStyle w:val="DefTerm"/>
          <w:b w:val="0"/>
          <w:color w:val="auto"/>
          <w:sz w:val="20"/>
        </w:rPr>
        <w:t xml:space="preserve">final </w:t>
      </w:r>
      <w:r w:rsidR="000C79AC" w:rsidRPr="0006114E">
        <w:rPr>
          <w:rStyle w:val="DefTerm"/>
          <w:b w:val="0"/>
          <w:color w:val="auto"/>
          <w:sz w:val="20"/>
        </w:rPr>
        <w:t>Performance Measurement Date</w:t>
      </w:r>
      <w:r w:rsidR="008A20BF" w:rsidRPr="0006114E">
        <w:rPr>
          <w:rStyle w:val="DefTerm"/>
          <w:b w:val="0"/>
          <w:bCs/>
          <w:color w:val="auto"/>
          <w:sz w:val="20"/>
        </w:rPr>
        <w:t>)</w:t>
      </w:r>
      <w:r w:rsidR="000C79AC" w:rsidRPr="0006114E">
        <w:rPr>
          <w:rStyle w:val="DefTerm"/>
          <w:b w:val="0"/>
          <w:color w:val="auto"/>
          <w:sz w:val="20"/>
        </w:rPr>
        <w:t xml:space="preserve"> and (b) the first Dealing Day following the end of the Vesting Period</w:t>
      </w:r>
      <w:r w:rsidRPr="0006114E">
        <w:rPr>
          <w:rStyle w:val="DefTerm"/>
          <w:b w:val="0"/>
          <w:bCs/>
          <w:color w:val="auto"/>
          <w:sz w:val="20"/>
        </w:rPr>
        <w:t xml:space="preserve"> (</w:t>
      </w:r>
      <w:r w:rsidR="00E77884" w:rsidRPr="0006114E">
        <w:rPr>
          <w:rStyle w:val="DefTerm"/>
          <w:b w:val="0"/>
          <w:bCs/>
          <w:color w:val="auto"/>
          <w:sz w:val="20"/>
        </w:rPr>
        <w:t>or</w:t>
      </w:r>
      <w:r w:rsidRPr="0006114E">
        <w:rPr>
          <w:rStyle w:val="DefTerm"/>
          <w:b w:val="0"/>
          <w:bCs/>
          <w:color w:val="auto"/>
          <w:sz w:val="20"/>
        </w:rPr>
        <w:t xml:space="preserve"> </w:t>
      </w:r>
      <w:r w:rsidR="00E77884" w:rsidRPr="0006114E">
        <w:rPr>
          <w:rStyle w:val="DefTerm"/>
          <w:b w:val="0"/>
          <w:bCs/>
          <w:color w:val="auto"/>
          <w:sz w:val="20"/>
        </w:rPr>
        <w:t>where</w:t>
      </w:r>
      <w:r w:rsidR="00773B04">
        <w:rPr>
          <w:rStyle w:val="DefTerm"/>
          <w:b w:val="0"/>
          <w:bCs/>
          <w:color w:val="auto"/>
          <w:sz w:val="20"/>
        </w:rPr>
        <w:t>, in either case,</w:t>
      </w:r>
      <w:r w:rsidR="00E77884" w:rsidRPr="0006114E">
        <w:rPr>
          <w:rStyle w:val="DefTerm"/>
          <w:b w:val="0"/>
          <w:bCs/>
          <w:color w:val="auto"/>
          <w:sz w:val="20"/>
        </w:rPr>
        <w:t xml:space="preserve"> </w:t>
      </w:r>
      <w:r w:rsidRPr="0006114E">
        <w:rPr>
          <w:rStyle w:val="DefTerm"/>
          <w:b w:val="0"/>
          <w:bCs/>
          <w:color w:val="auto"/>
          <w:sz w:val="20"/>
        </w:rPr>
        <w:t>that date falls in a Closed Period, the first Dealing Day following the end of that Closed Period).</w:t>
      </w:r>
      <w:bookmarkEnd w:id="51"/>
    </w:p>
    <w:p w14:paraId="56712DCE" w14:textId="7E79A005" w:rsidR="00E70136" w:rsidRPr="0006114E" w:rsidRDefault="00D8597D" w:rsidP="006A1CE1">
      <w:pPr>
        <w:pStyle w:val="DefinedTermPara"/>
        <w:spacing w:line="240" w:lineRule="auto"/>
        <w:rPr>
          <w:rFonts w:ascii="Arial" w:hAnsi="Arial" w:cs="Arial"/>
          <w:sz w:val="20"/>
        </w:rPr>
      </w:pPr>
      <w:bookmarkStart w:id="52" w:name="a967923"/>
      <w:bookmarkEnd w:id="49"/>
      <w:r w:rsidRPr="0006114E">
        <w:rPr>
          <w:rStyle w:val="DefTerm"/>
          <w:color w:val="auto"/>
          <w:sz w:val="20"/>
        </w:rPr>
        <w:t xml:space="preserve">Performance </w:t>
      </w:r>
      <w:r w:rsidR="007B4FB5" w:rsidRPr="0006114E">
        <w:rPr>
          <w:rStyle w:val="DefTerm"/>
          <w:color w:val="auto"/>
          <w:sz w:val="20"/>
        </w:rPr>
        <w:t>Condition</w:t>
      </w:r>
      <w:r w:rsidRPr="0006114E">
        <w:rPr>
          <w:rFonts w:ascii="Arial" w:hAnsi="Arial" w:cs="Arial"/>
          <w:sz w:val="20"/>
        </w:rPr>
        <w:t xml:space="preserve">: a condition set </w:t>
      </w:r>
      <w:r w:rsidR="0075563D" w:rsidRPr="0006114E">
        <w:rPr>
          <w:rFonts w:ascii="Arial" w:hAnsi="Arial" w:cs="Arial"/>
          <w:sz w:val="20"/>
        </w:rPr>
        <w:t xml:space="preserve">under </w:t>
      </w:r>
      <w:r w:rsidR="007B4FB5" w:rsidRPr="0006114E">
        <w:rPr>
          <w:rFonts w:ascii="Arial" w:hAnsi="Arial" w:cs="Arial"/>
          <w:sz w:val="20"/>
        </w:rPr>
        <w:fldChar w:fldCharType="begin"/>
      </w:r>
      <w:r w:rsidR="007B4FB5" w:rsidRPr="0006114E">
        <w:rPr>
          <w:rFonts w:ascii="Arial" w:hAnsi="Arial" w:cs="Arial"/>
          <w:sz w:val="20"/>
        </w:rPr>
        <w:instrText>PAGEREF a920421\# "'rule '"  \h</w:instrText>
      </w:r>
      <w:r w:rsidR="007B4FB5" w:rsidRPr="0006114E">
        <w:rPr>
          <w:rFonts w:ascii="Arial" w:hAnsi="Arial" w:cs="Arial"/>
          <w:sz w:val="20"/>
        </w:rPr>
      </w:r>
      <w:r w:rsidR="007B4FB5" w:rsidRPr="0006114E">
        <w:rPr>
          <w:rFonts w:ascii="Arial" w:hAnsi="Arial" w:cs="Arial"/>
          <w:sz w:val="20"/>
        </w:rPr>
        <w:fldChar w:fldCharType="separate"/>
      </w:r>
      <w:r w:rsidR="00661E34"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highlight w:val="lightGray"/>
        </w:rPr>
        <w:instrText>REF a920421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661E34">
        <w:rPr>
          <w:rFonts w:ascii="Arial" w:hAnsi="Arial" w:cs="Arial"/>
          <w:sz w:val="20"/>
          <w:highlight w:val="lightGray"/>
        </w:rPr>
        <w:t>3</w:t>
      </w:r>
      <w:r w:rsidR="007B4FB5" w:rsidRPr="0006114E">
        <w:rPr>
          <w:rFonts w:ascii="Arial" w:hAnsi="Arial" w:cs="Arial"/>
          <w:sz w:val="20"/>
        </w:rPr>
        <w:fldChar w:fldCharType="end"/>
      </w:r>
      <w:r w:rsidR="007B4FB5" w:rsidRPr="0006114E">
        <w:rPr>
          <w:rFonts w:ascii="Arial" w:hAnsi="Arial" w:cs="Arial"/>
          <w:sz w:val="20"/>
        </w:rPr>
        <w:t xml:space="preserve"> </w:t>
      </w:r>
      <w:r w:rsidR="004202A7" w:rsidRPr="00DA37BA">
        <w:rPr>
          <w:rFonts w:ascii="Arial" w:hAnsi="Arial" w:cs="Arial"/>
          <w:sz w:val="20"/>
        </w:rPr>
        <w:t>to which the Vesting of the Award (or part thereof) is subject</w:t>
      </w:r>
      <w:r w:rsidR="005700EB" w:rsidRPr="0006114E">
        <w:rPr>
          <w:rFonts w:ascii="Arial" w:hAnsi="Arial" w:cs="Arial"/>
          <w:sz w:val="20"/>
        </w:rPr>
        <w:t>.</w:t>
      </w:r>
    </w:p>
    <w:p w14:paraId="25189D52" w14:textId="64006CDE" w:rsidR="007B4FB5" w:rsidRPr="0006114E" w:rsidRDefault="007B4FB5" w:rsidP="006A1CE1">
      <w:pPr>
        <w:pStyle w:val="DefinedTermPara"/>
        <w:spacing w:line="240" w:lineRule="auto"/>
        <w:rPr>
          <w:rFonts w:ascii="Arial" w:hAnsi="Arial" w:cs="Arial"/>
          <w:sz w:val="20"/>
        </w:rPr>
      </w:pPr>
      <w:bookmarkStart w:id="53" w:name="_Hlk79406381"/>
      <w:bookmarkStart w:id="54" w:name="a508988"/>
      <w:r w:rsidRPr="0006114E">
        <w:rPr>
          <w:rStyle w:val="DefTerm"/>
          <w:color w:val="auto"/>
          <w:sz w:val="20"/>
        </w:rPr>
        <w:t>Performance Measurement Date</w:t>
      </w:r>
      <w:r w:rsidRPr="0006114E">
        <w:rPr>
          <w:rFonts w:ascii="Arial" w:hAnsi="Arial" w:cs="Arial"/>
          <w:sz w:val="20"/>
        </w:rPr>
        <w:t xml:space="preserve">: the date on which the </w:t>
      </w:r>
      <w:r w:rsidR="00B00B6F" w:rsidRPr="0006114E">
        <w:rPr>
          <w:rFonts w:ascii="Arial" w:hAnsi="Arial" w:cs="Arial"/>
          <w:sz w:val="20"/>
        </w:rPr>
        <w:t>Remuneration Committee</w:t>
      </w:r>
      <w:r w:rsidRPr="0006114E">
        <w:rPr>
          <w:rFonts w:ascii="Arial" w:hAnsi="Arial" w:cs="Arial"/>
          <w:sz w:val="20"/>
        </w:rPr>
        <w:t xml:space="preserve"> determines </w:t>
      </w:r>
      <w:r w:rsidR="0012296E" w:rsidRPr="0006114E">
        <w:rPr>
          <w:rFonts w:ascii="Arial" w:hAnsi="Arial" w:cs="Arial"/>
          <w:sz w:val="20"/>
        </w:rPr>
        <w:t>the extent to which</w:t>
      </w:r>
      <w:r w:rsidRPr="0006114E">
        <w:rPr>
          <w:rFonts w:ascii="Arial" w:hAnsi="Arial" w:cs="Arial"/>
          <w:sz w:val="20"/>
        </w:rPr>
        <w:t xml:space="preserve"> any Performance Condition</w:t>
      </w:r>
      <w:r w:rsidR="0012296E" w:rsidRPr="0006114E">
        <w:rPr>
          <w:rFonts w:ascii="Arial" w:hAnsi="Arial" w:cs="Arial"/>
          <w:sz w:val="20"/>
        </w:rPr>
        <w:t>(s)</w:t>
      </w:r>
      <w:r w:rsidRPr="0006114E">
        <w:rPr>
          <w:rFonts w:ascii="Arial" w:hAnsi="Arial" w:cs="Arial"/>
          <w:sz w:val="20"/>
        </w:rPr>
        <w:t xml:space="preserve"> </w:t>
      </w:r>
      <w:r w:rsidR="006F4460" w:rsidRPr="0006114E">
        <w:rPr>
          <w:rFonts w:ascii="Arial" w:hAnsi="Arial" w:cs="Arial"/>
          <w:sz w:val="20"/>
        </w:rPr>
        <w:t>to which</w:t>
      </w:r>
      <w:r w:rsidRPr="0006114E">
        <w:rPr>
          <w:rFonts w:ascii="Arial" w:hAnsi="Arial" w:cs="Arial"/>
          <w:sz w:val="20"/>
        </w:rPr>
        <w:t xml:space="preserve"> the </w:t>
      </w:r>
      <w:r w:rsidR="005664F4" w:rsidRPr="0006114E">
        <w:rPr>
          <w:rFonts w:ascii="Arial" w:hAnsi="Arial" w:cs="Arial"/>
          <w:sz w:val="20"/>
        </w:rPr>
        <w:t>Vesting</w:t>
      </w:r>
      <w:r w:rsidRPr="0006114E">
        <w:rPr>
          <w:rFonts w:ascii="Arial" w:hAnsi="Arial" w:cs="Arial"/>
          <w:sz w:val="20"/>
        </w:rPr>
        <w:t xml:space="preserve"> of the Award </w:t>
      </w:r>
      <w:r w:rsidR="00021D92" w:rsidRPr="0006114E">
        <w:rPr>
          <w:rFonts w:ascii="Arial" w:hAnsi="Arial" w:cs="Arial"/>
          <w:sz w:val="20"/>
        </w:rPr>
        <w:t xml:space="preserve">(or part thereof) </w:t>
      </w:r>
      <w:r w:rsidR="006F4460" w:rsidRPr="0006114E">
        <w:rPr>
          <w:rFonts w:ascii="Arial" w:hAnsi="Arial" w:cs="Arial"/>
          <w:sz w:val="20"/>
        </w:rPr>
        <w:t xml:space="preserve">is subject </w:t>
      </w:r>
      <w:r w:rsidRPr="0006114E">
        <w:rPr>
          <w:rFonts w:ascii="Arial" w:hAnsi="Arial" w:cs="Arial"/>
          <w:sz w:val="20"/>
        </w:rPr>
        <w:t>has</w:t>
      </w:r>
      <w:r w:rsidR="0012296E" w:rsidRPr="0006114E">
        <w:rPr>
          <w:rFonts w:ascii="Arial" w:hAnsi="Arial" w:cs="Arial"/>
          <w:sz w:val="20"/>
        </w:rPr>
        <w:t xml:space="preserve">/have </w:t>
      </w:r>
      <w:r w:rsidRPr="0006114E">
        <w:rPr>
          <w:rFonts w:ascii="Arial" w:hAnsi="Arial" w:cs="Arial"/>
          <w:sz w:val="20"/>
        </w:rPr>
        <w:t>been satisfied</w:t>
      </w:r>
      <w:bookmarkEnd w:id="53"/>
      <w:r w:rsidRPr="0006114E">
        <w:rPr>
          <w:rFonts w:ascii="Arial" w:hAnsi="Arial" w:cs="Arial"/>
          <w:sz w:val="20"/>
        </w:rPr>
        <w:t xml:space="preserve">. </w:t>
      </w:r>
      <w:bookmarkEnd w:id="54"/>
      <w:r w:rsidR="00B84560" w:rsidRPr="0006114E">
        <w:rPr>
          <w:rFonts w:ascii="Arial" w:hAnsi="Arial" w:cs="Arial"/>
          <w:sz w:val="20"/>
        </w:rPr>
        <w:t>A</w:t>
      </w:r>
      <w:r w:rsidRPr="0006114E">
        <w:rPr>
          <w:rFonts w:ascii="Arial" w:hAnsi="Arial" w:cs="Arial"/>
          <w:sz w:val="20"/>
        </w:rPr>
        <w:t>n Award may have more than one Performance Measurement Date.</w:t>
      </w:r>
    </w:p>
    <w:p w14:paraId="3C5816E6" w14:textId="596809D4" w:rsidR="007B4FB5" w:rsidRPr="004E4F6E" w:rsidRDefault="007B4FB5" w:rsidP="000B712F">
      <w:pPr>
        <w:pStyle w:val="DefinedTermPara"/>
        <w:spacing w:line="240" w:lineRule="auto"/>
        <w:rPr>
          <w:rStyle w:val="DefTerm"/>
          <w:color w:val="auto"/>
          <w:sz w:val="20"/>
        </w:rPr>
      </w:pPr>
      <w:bookmarkStart w:id="55" w:name="a303970"/>
      <w:r w:rsidRPr="004E4F6E">
        <w:rPr>
          <w:rStyle w:val="DefTerm"/>
          <w:color w:val="auto"/>
          <w:sz w:val="20"/>
        </w:rPr>
        <w:t>Performance Period</w:t>
      </w:r>
      <w:r w:rsidRPr="004E4F6E">
        <w:rPr>
          <w:rFonts w:ascii="Arial" w:hAnsi="Arial" w:cs="Arial"/>
          <w:sz w:val="20"/>
        </w:rPr>
        <w:t xml:space="preserve">: the period over which performance is measured to determine </w:t>
      </w:r>
      <w:r w:rsidR="003A055D" w:rsidRPr="004E4F6E">
        <w:rPr>
          <w:rFonts w:ascii="Arial" w:hAnsi="Arial" w:cs="Arial"/>
          <w:sz w:val="20"/>
        </w:rPr>
        <w:t xml:space="preserve">the extent to which any Performance Condition(s) </w:t>
      </w:r>
      <w:r w:rsidRPr="004E4F6E">
        <w:rPr>
          <w:rFonts w:ascii="Arial" w:hAnsi="Arial" w:cs="Arial"/>
          <w:sz w:val="20"/>
        </w:rPr>
        <w:t>has</w:t>
      </w:r>
      <w:r w:rsidR="003A055D" w:rsidRPr="004E4F6E">
        <w:rPr>
          <w:rFonts w:ascii="Arial" w:hAnsi="Arial" w:cs="Arial"/>
          <w:sz w:val="20"/>
        </w:rPr>
        <w:t>/have</w:t>
      </w:r>
      <w:r w:rsidRPr="004E4F6E">
        <w:rPr>
          <w:rFonts w:ascii="Arial" w:hAnsi="Arial" w:cs="Arial"/>
          <w:sz w:val="20"/>
        </w:rPr>
        <w:t xml:space="preserve"> been achieved</w:t>
      </w:r>
      <w:bookmarkEnd w:id="55"/>
      <w:r w:rsidR="004352B9" w:rsidRPr="004E4F6E">
        <w:rPr>
          <w:rFonts w:ascii="Arial" w:hAnsi="Arial" w:cs="Arial"/>
          <w:sz w:val="20"/>
        </w:rPr>
        <w:t xml:space="preserve">, </w:t>
      </w:r>
      <w:r w:rsidR="002E3A2A" w:rsidRPr="004E4F6E">
        <w:rPr>
          <w:rFonts w:ascii="Arial" w:hAnsi="Arial" w:cs="Arial"/>
          <w:sz w:val="20"/>
        </w:rPr>
        <w:t xml:space="preserve">which in respect of Awards granted </w:t>
      </w:r>
      <w:r w:rsidR="00E649CF">
        <w:rPr>
          <w:rFonts w:ascii="Arial" w:hAnsi="Arial" w:cs="Arial"/>
          <w:sz w:val="20"/>
        </w:rPr>
        <w:t xml:space="preserve">with Performance Conditions </w:t>
      </w:r>
      <w:r w:rsidR="002E3A2A" w:rsidRPr="004E4F6E">
        <w:rPr>
          <w:rFonts w:ascii="Arial" w:hAnsi="Arial" w:cs="Arial"/>
          <w:sz w:val="20"/>
        </w:rPr>
        <w:t>to executive directors of the Company shall normally be three</w:t>
      </w:r>
      <w:r w:rsidR="00740A71">
        <w:rPr>
          <w:rFonts w:ascii="Arial" w:hAnsi="Arial" w:cs="Arial"/>
          <w:sz w:val="20"/>
        </w:rPr>
        <w:t xml:space="preserve"> </w:t>
      </w:r>
      <w:r w:rsidR="002E3A2A" w:rsidRPr="004E4F6E">
        <w:rPr>
          <w:rFonts w:ascii="Arial" w:hAnsi="Arial" w:cs="Arial"/>
          <w:sz w:val="20"/>
        </w:rPr>
        <w:t xml:space="preserve">years (unless the applicable </w:t>
      </w:r>
      <w:r w:rsidR="00990B8F">
        <w:rPr>
          <w:rFonts w:ascii="Arial" w:hAnsi="Arial" w:cs="Arial"/>
          <w:sz w:val="20"/>
        </w:rPr>
        <w:t>D</w:t>
      </w:r>
      <w:r w:rsidR="002E3A2A" w:rsidRPr="004E4F6E">
        <w:rPr>
          <w:rFonts w:ascii="Arial" w:hAnsi="Arial" w:cs="Arial"/>
          <w:sz w:val="20"/>
        </w:rPr>
        <w:t xml:space="preserve">irectors’ </w:t>
      </w:r>
      <w:r w:rsidR="00990B8F">
        <w:rPr>
          <w:rFonts w:ascii="Arial" w:hAnsi="Arial" w:cs="Arial"/>
          <w:sz w:val="20"/>
        </w:rPr>
        <w:t>R</w:t>
      </w:r>
      <w:r w:rsidR="002E3A2A" w:rsidRPr="004E4F6E">
        <w:rPr>
          <w:rFonts w:ascii="Arial" w:hAnsi="Arial" w:cs="Arial"/>
          <w:sz w:val="20"/>
        </w:rPr>
        <w:t xml:space="preserve">emuneration </w:t>
      </w:r>
      <w:r w:rsidR="00990B8F">
        <w:rPr>
          <w:rFonts w:ascii="Arial" w:hAnsi="Arial" w:cs="Arial"/>
          <w:sz w:val="20"/>
        </w:rPr>
        <w:t>P</w:t>
      </w:r>
      <w:r w:rsidR="002E3A2A" w:rsidRPr="004E4F6E">
        <w:rPr>
          <w:rFonts w:ascii="Arial" w:hAnsi="Arial" w:cs="Arial"/>
          <w:sz w:val="20"/>
        </w:rPr>
        <w:t>olicy provides otherwise)</w:t>
      </w:r>
      <w:r w:rsidR="004352B9" w:rsidRPr="004E4F6E">
        <w:rPr>
          <w:rFonts w:ascii="Arial" w:hAnsi="Arial"/>
        </w:rPr>
        <w:t>.</w:t>
      </w:r>
    </w:p>
    <w:p w14:paraId="56712DD1" w14:textId="6D7B5B55" w:rsidR="007B4FB5" w:rsidRPr="0006114E" w:rsidRDefault="00D8597D" w:rsidP="006A1CE1">
      <w:pPr>
        <w:pStyle w:val="DefinedTermPara"/>
        <w:spacing w:line="240" w:lineRule="auto"/>
        <w:rPr>
          <w:rStyle w:val="DefTerm"/>
          <w:color w:val="auto"/>
          <w:sz w:val="20"/>
        </w:rPr>
      </w:pPr>
      <w:bookmarkStart w:id="56" w:name="a441532"/>
      <w:bookmarkEnd w:id="52"/>
      <w:r w:rsidRPr="0006114E">
        <w:rPr>
          <w:rStyle w:val="DefTerm"/>
          <w:color w:val="auto"/>
          <w:sz w:val="20"/>
        </w:rPr>
        <w:t>Plan</w:t>
      </w:r>
      <w:r w:rsidRPr="0006114E">
        <w:rPr>
          <w:rFonts w:ascii="Arial" w:hAnsi="Arial" w:cs="Arial"/>
          <w:sz w:val="20"/>
        </w:rPr>
        <w:t xml:space="preserve">: the </w:t>
      </w:r>
      <w:r w:rsidR="006F4460" w:rsidRPr="0006114E">
        <w:rPr>
          <w:rFonts w:ascii="Arial" w:hAnsi="Arial" w:cs="Arial"/>
          <w:sz w:val="20"/>
        </w:rPr>
        <w:t>E</w:t>
      </w:r>
      <w:r w:rsidRPr="0006114E">
        <w:rPr>
          <w:rFonts w:ascii="Arial" w:hAnsi="Arial" w:cs="Arial"/>
          <w:sz w:val="20"/>
        </w:rPr>
        <w:t>mployee</w:t>
      </w:r>
      <w:r w:rsidR="00E11C32" w:rsidRPr="0006114E">
        <w:rPr>
          <w:rFonts w:ascii="Arial" w:hAnsi="Arial" w:cs="Arial"/>
          <w:sz w:val="20"/>
        </w:rPr>
        <w:t>s’</w:t>
      </w:r>
      <w:r w:rsidRPr="0006114E">
        <w:rPr>
          <w:rFonts w:ascii="Arial" w:hAnsi="Arial" w:cs="Arial"/>
          <w:sz w:val="20"/>
        </w:rPr>
        <w:t xml:space="preserve"> </w:t>
      </w:r>
      <w:r w:rsidR="006F4460" w:rsidRPr="0006114E">
        <w:rPr>
          <w:rFonts w:ascii="Arial" w:hAnsi="Arial" w:cs="Arial"/>
          <w:sz w:val="20"/>
        </w:rPr>
        <w:t>S</w:t>
      </w:r>
      <w:r w:rsidRPr="0006114E">
        <w:rPr>
          <w:rFonts w:ascii="Arial" w:hAnsi="Arial" w:cs="Arial"/>
          <w:sz w:val="20"/>
        </w:rPr>
        <w:t xml:space="preserve">hare </w:t>
      </w:r>
      <w:r w:rsidR="006F4460" w:rsidRPr="0006114E">
        <w:rPr>
          <w:rFonts w:ascii="Arial" w:hAnsi="Arial" w:cs="Arial"/>
          <w:sz w:val="20"/>
        </w:rPr>
        <w:t>Scheme</w:t>
      </w:r>
      <w:r w:rsidRPr="0006114E">
        <w:rPr>
          <w:rFonts w:ascii="Arial" w:hAnsi="Arial" w:cs="Arial"/>
          <w:sz w:val="20"/>
        </w:rPr>
        <w:t xml:space="preserve"> constituted and governed by these rules, as amended from time to time.</w:t>
      </w:r>
      <w:bookmarkEnd w:id="56"/>
    </w:p>
    <w:p w14:paraId="50F7DBEC" w14:textId="1FA3571C" w:rsidR="007B4FB5" w:rsidRPr="0006114E" w:rsidRDefault="00420BBF" w:rsidP="006A1CE1">
      <w:pPr>
        <w:pStyle w:val="DefinedTermPara"/>
        <w:spacing w:line="240" w:lineRule="auto"/>
        <w:rPr>
          <w:rStyle w:val="DefTerm"/>
          <w:color w:val="auto"/>
          <w:sz w:val="20"/>
        </w:rPr>
      </w:pPr>
      <w:bookmarkStart w:id="57" w:name="a678265"/>
      <w:bookmarkStart w:id="58" w:name="a946238"/>
      <w:bookmarkStart w:id="59" w:name="a284081"/>
      <w:bookmarkStart w:id="60" w:name="_Hlk103767786"/>
      <w:bookmarkStart w:id="61" w:name="a607221"/>
      <w:r w:rsidRPr="0006114E">
        <w:rPr>
          <w:rStyle w:val="DefTerm"/>
          <w:color w:val="auto"/>
          <w:sz w:val="20"/>
        </w:rPr>
        <w:lastRenderedPageBreak/>
        <w:t>Relevant</w:t>
      </w:r>
      <w:bookmarkEnd w:id="57"/>
      <w:r w:rsidRPr="0006114E">
        <w:rPr>
          <w:rStyle w:val="DefTerm"/>
          <w:color w:val="auto"/>
          <w:sz w:val="20"/>
        </w:rPr>
        <w:t xml:space="preserve"> Number</w:t>
      </w:r>
      <w:r w:rsidR="007B4FB5" w:rsidRPr="0006114E">
        <w:rPr>
          <w:rFonts w:ascii="Arial" w:hAnsi="Arial" w:cs="Arial"/>
          <w:sz w:val="20"/>
        </w:rPr>
        <w:t xml:space="preserve">: has the meaning given in </w:t>
      </w:r>
      <w:r w:rsidR="007B4FB5" w:rsidRPr="0006114E">
        <w:rPr>
          <w:rFonts w:ascii="Arial" w:hAnsi="Arial" w:cs="Arial"/>
          <w:sz w:val="20"/>
        </w:rPr>
        <w:fldChar w:fldCharType="begin"/>
      </w:r>
      <w:r w:rsidR="007B4FB5" w:rsidRPr="0006114E">
        <w:rPr>
          <w:rFonts w:ascii="Arial" w:hAnsi="Arial" w:cs="Arial"/>
          <w:sz w:val="20"/>
        </w:rPr>
        <w:instrText>PAGEREF a324210\# "'rule '"  \h</w:instrText>
      </w:r>
      <w:r w:rsidR="007B4FB5" w:rsidRPr="0006114E">
        <w:rPr>
          <w:rFonts w:ascii="Arial" w:hAnsi="Arial" w:cs="Arial"/>
          <w:sz w:val="20"/>
        </w:rPr>
      </w:r>
      <w:r w:rsidR="007B4FB5" w:rsidRPr="0006114E">
        <w:rPr>
          <w:rFonts w:ascii="Arial" w:hAnsi="Arial" w:cs="Arial"/>
          <w:sz w:val="20"/>
        </w:rPr>
        <w:fldChar w:fldCharType="separate"/>
      </w:r>
      <w:r w:rsidR="00661E34"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highlight w:val="lightGray"/>
        </w:rPr>
        <w:instrText>REF a324210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661E34">
        <w:rPr>
          <w:rFonts w:ascii="Arial" w:hAnsi="Arial" w:cs="Arial"/>
          <w:sz w:val="20"/>
          <w:highlight w:val="lightGray"/>
        </w:rPr>
        <w:t>17.1</w:t>
      </w:r>
      <w:r w:rsidR="007B4FB5" w:rsidRPr="0006114E">
        <w:rPr>
          <w:rFonts w:ascii="Arial" w:hAnsi="Arial" w:cs="Arial"/>
          <w:sz w:val="20"/>
        </w:rPr>
        <w:fldChar w:fldCharType="end"/>
      </w:r>
      <w:r w:rsidR="001B02B2" w:rsidRPr="0006114E">
        <w:rPr>
          <w:rFonts w:ascii="Arial" w:hAnsi="Arial" w:cs="Arial"/>
          <w:sz w:val="20"/>
        </w:rPr>
        <w:t xml:space="preserve"> (and, where applied to</w:t>
      </w:r>
      <w:r w:rsidR="0064300C" w:rsidRPr="0006114E">
        <w:rPr>
          <w:rFonts w:ascii="Arial" w:hAnsi="Arial" w:cs="Arial"/>
          <w:sz w:val="20"/>
        </w:rPr>
        <w:t xml:space="preserve"> an event which is not a Change of Control, references in rule </w:t>
      </w:r>
      <w:r w:rsidR="0064300C" w:rsidRPr="0006114E">
        <w:rPr>
          <w:rFonts w:ascii="Arial" w:hAnsi="Arial" w:cs="Arial"/>
          <w:sz w:val="20"/>
        </w:rPr>
        <w:fldChar w:fldCharType="begin"/>
      </w:r>
      <w:r w:rsidR="0064300C" w:rsidRPr="0006114E">
        <w:rPr>
          <w:rFonts w:ascii="Arial" w:hAnsi="Arial" w:cs="Arial"/>
          <w:sz w:val="20"/>
          <w:highlight w:val="lightGray"/>
        </w:rPr>
        <w:instrText>REF a324210 \h \w</w:instrText>
      </w:r>
      <w:r w:rsidR="0064300C" w:rsidRPr="0006114E">
        <w:rPr>
          <w:rFonts w:ascii="Arial" w:hAnsi="Arial" w:cs="Arial"/>
          <w:sz w:val="20"/>
        </w:rPr>
        <w:instrText xml:space="preserve"> \* MERGEFORMAT </w:instrText>
      </w:r>
      <w:r w:rsidR="0064300C" w:rsidRPr="0006114E">
        <w:rPr>
          <w:rFonts w:ascii="Arial" w:hAnsi="Arial" w:cs="Arial"/>
          <w:sz w:val="20"/>
        </w:rPr>
      </w:r>
      <w:r w:rsidR="0064300C" w:rsidRPr="0006114E">
        <w:rPr>
          <w:rFonts w:ascii="Arial" w:hAnsi="Arial" w:cs="Arial"/>
          <w:sz w:val="20"/>
        </w:rPr>
        <w:fldChar w:fldCharType="separate"/>
      </w:r>
      <w:r w:rsidR="00661E34">
        <w:rPr>
          <w:rFonts w:ascii="Arial" w:hAnsi="Arial" w:cs="Arial"/>
          <w:sz w:val="20"/>
          <w:highlight w:val="lightGray"/>
        </w:rPr>
        <w:t>17.1</w:t>
      </w:r>
      <w:r w:rsidR="0064300C" w:rsidRPr="0006114E">
        <w:rPr>
          <w:rFonts w:ascii="Arial" w:hAnsi="Arial" w:cs="Arial"/>
          <w:sz w:val="20"/>
        </w:rPr>
        <w:fldChar w:fldCharType="end"/>
      </w:r>
      <w:r w:rsidR="0064300C" w:rsidRPr="0006114E">
        <w:rPr>
          <w:rFonts w:ascii="Arial" w:hAnsi="Arial" w:cs="Arial"/>
          <w:sz w:val="20"/>
        </w:rPr>
        <w:t xml:space="preserve"> </w:t>
      </w:r>
      <w:r w:rsidR="001C0B74" w:rsidRPr="0006114E">
        <w:rPr>
          <w:rFonts w:ascii="Arial" w:hAnsi="Arial" w:cs="Arial"/>
          <w:sz w:val="20"/>
        </w:rPr>
        <w:t xml:space="preserve">to a Change of Control </w:t>
      </w:r>
      <w:r w:rsidR="0064300C" w:rsidRPr="0006114E">
        <w:rPr>
          <w:rFonts w:ascii="Arial" w:hAnsi="Arial" w:cs="Arial"/>
          <w:sz w:val="20"/>
        </w:rPr>
        <w:t>shall be read as references</w:t>
      </w:r>
      <w:r w:rsidR="004F65AD" w:rsidRPr="0006114E">
        <w:rPr>
          <w:rFonts w:ascii="Arial" w:hAnsi="Arial" w:cs="Arial"/>
          <w:sz w:val="20"/>
        </w:rPr>
        <w:t xml:space="preserve"> </w:t>
      </w:r>
      <w:r w:rsidR="00062FAA" w:rsidRPr="0006114E">
        <w:rPr>
          <w:rFonts w:ascii="Arial" w:hAnsi="Arial" w:cs="Arial"/>
          <w:sz w:val="20"/>
        </w:rPr>
        <w:t>to</w:t>
      </w:r>
      <w:r w:rsidR="00DE3634" w:rsidRPr="0006114E">
        <w:rPr>
          <w:rFonts w:ascii="Arial" w:hAnsi="Arial" w:cs="Arial"/>
          <w:sz w:val="20"/>
        </w:rPr>
        <w:t xml:space="preserve"> that event</w:t>
      </w:r>
      <w:r w:rsidR="0064300C" w:rsidRPr="0006114E">
        <w:rPr>
          <w:rFonts w:ascii="Arial" w:hAnsi="Arial" w:cs="Arial"/>
          <w:sz w:val="20"/>
        </w:rPr>
        <w:t>)</w:t>
      </w:r>
      <w:r w:rsidR="007B4FB5" w:rsidRPr="0006114E">
        <w:rPr>
          <w:rFonts w:ascii="Arial" w:hAnsi="Arial" w:cs="Arial"/>
          <w:sz w:val="20"/>
        </w:rPr>
        <w:t>.</w:t>
      </w:r>
      <w:bookmarkEnd w:id="58"/>
    </w:p>
    <w:p w14:paraId="17B4B775" w14:textId="0A672E34" w:rsidR="006F712F" w:rsidRPr="0006114E" w:rsidRDefault="006F712F" w:rsidP="006A1CE1">
      <w:pPr>
        <w:pStyle w:val="DefinedTermPara"/>
        <w:spacing w:line="240" w:lineRule="auto"/>
        <w:rPr>
          <w:rStyle w:val="DefTerm"/>
          <w:color w:val="auto"/>
          <w:sz w:val="20"/>
        </w:rPr>
      </w:pPr>
      <w:bookmarkStart w:id="62" w:name="a913589"/>
      <w:bookmarkEnd w:id="59"/>
      <w:bookmarkEnd w:id="60"/>
      <w:bookmarkEnd w:id="61"/>
      <w:r w:rsidRPr="0006114E">
        <w:rPr>
          <w:rFonts w:ascii="Arial" w:hAnsi="Arial" w:cs="Arial"/>
          <w:b/>
          <w:sz w:val="20"/>
        </w:rPr>
        <w:t>Remuneration Committee</w:t>
      </w:r>
      <w:r w:rsidRPr="0006114E">
        <w:rPr>
          <w:rFonts w:ascii="Arial" w:hAnsi="Arial" w:cs="Arial"/>
          <w:sz w:val="20"/>
        </w:rPr>
        <w:t>: the remuneration committee of the Board</w:t>
      </w:r>
      <w:r w:rsidR="00561451" w:rsidRPr="0006114E">
        <w:rPr>
          <w:rFonts w:ascii="Arial" w:hAnsi="Arial" w:cs="Arial"/>
          <w:sz w:val="20"/>
        </w:rPr>
        <w:t>,</w:t>
      </w:r>
      <w:r w:rsidRPr="0006114E">
        <w:rPr>
          <w:rFonts w:ascii="Arial" w:hAnsi="Arial" w:cs="Arial"/>
          <w:sz w:val="20"/>
        </w:rPr>
        <w:t xml:space="preserve"> as designated by the Board from time to time.</w:t>
      </w:r>
    </w:p>
    <w:p w14:paraId="4EC343C7" w14:textId="77777777" w:rsidR="00A804E8" w:rsidRPr="0006114E" w:rsidRDefault="00A804E8" w:rsidP="006A1CE1">
      <w:pPr>
        <w:pStyle w:val="DefinedTermPara"/>
        <w:spacing w:line="240" w:lineRule="auto"/>
        <w:rPr>
          <w:rFonts w:ascii="Arial" w:hAnsi="Arial" w:cs="Arial"/>
          <w:sz w:val="20"/>
        </w:rPr>
      </w:pPr>
      <w:bookmarkStart w:id="63" w:name="a914508"/>
      <w:bookmarkEnd w:id="62"/>
      <w:r w:rsidRPr="0006114E">
        <w:rPr>
          <w:rFonts w:ascii="Arial" w:hAnsi="Arial" w:cs="Arial"/>
          <w:b/>
          <w:sz w:val="20"/>
        </w:rPr>
        <w:t>Scheme of Arrangement</w:t>
      </w:r>
      <w:r w:rsidRPr="0006114E">
        <w:rPr>
          <w:rFonts w:ascii="Arial" w:hAnsi="Arial" w:cs="Arial"/>
          <w:sz w:val="20"/>
        </w:rPr>
        <w:t>: a compromise or arrangement under either section 899 or section 901F of the Companies Act 2006.</w:t>
      </w:r>
    </w:p>
    <w:p w14:paraId="56712DE6" w14:textId="09DDA8C5" w:rsidR="006E225C" w:rsidRPr="0006114E" w:rsidRDefault="00D8597D" w:rsidP="006A1CE1">
      <w:pPr>
        <w:pStyle w:val="DefinedTermPara"/>
        <w:spacing w:line="240" w:lineRule="auto"/>
        <w:rPr>
          <w:rStyle w:val="DefTerm"/>
          <w:b w:val="0"/>
          <w:color w:val="auto"/>
          <w:sz w:val="20"/>
        </w:rPr>
      </w:pPr>
      <w:r w:rsidRPr="0006114E">
        <w:rPr>
          <w:rStyle w:val="DefTerm"/>
          <w:color w:val="auto"/>
          <w:sz w:val="20"/>
        </w:rPr>
        <w:t>Share</w:t>
      </w:r>
      <w:r w:rsidRPr="0006114E">
        <w:rPr>
          <w:rStyle w:val="DefTerm"/>
          <w:b w:val="0"/>
          <w:color w:val="auto"/>
          <w:sz w:val="20"/>
        </w:rPr>
        <w:t>: a fully paid</w:t>
      </w:r>
      <w:r w:rsidR="008D733F">
        <w:rPr>
          <w:rStyle w:val="DefTerm"/>
          <w:b w:val="0"/>
          <w:color w:val="auto"/>
          <w:sz w:val="20"/>
        </w:rPr>
        <w:t xml:space="preserve"> </w:t>
      </w:r>
      <w:r w:rsidR="008D733F">
        <w:rPr>
          <w:rStyle w:val="DefTerm"/>
          <w:b w:val="0"/>
          <w:bCs/>
          <w:color w:val="auto"/>
          <w:sz w:val="20"/>
        </w:rPr>
        <w:t>ordinary</w:t>
      </w:r>
      <w:r w:rsidRPr="0006114E">
        <w:rPr>
          <w:rStyle w:val="DefTerm"/>
          <w:b w:val="0"/>
          <w:bCs/>
          <w:color w:val="auto"/>
          <w:sz w:val="20"/>
        </w:rPr>
        <w:t xml:space="preserve"> share of </w:t>
      </w:r>
      <w:r w:rsidR="005533FF" w:rsidRPr="005533FF">
        <w:rPr>
          <w:rFonts w:ascii="Arial" w:eastAsia="Arial" w:hAnsi="Arial" w:cs="Arial"/>
          <w:bCs/>
          <w:sz w:val="20"/>
        </w:rPr>
        <w:t xml:space="preserve">£0.11205105 </w:t>
      </w:r>
      <w:r w:rsidR="006F4460" w:rsidRPr="0006114E">
        <w:rPr>
          <w:rStyle w:val="DefTerm"/>
          <w:b w:val="0"/>
          <w:color w:val="auto"/>
          <w:sz w:val="20"/>
        </w:rPr>
        <w:t xml:space="preserve">nominal value </w:t>
      </w:r>
      <w:r w:rsidRPr="0006114E">
        <w:rPr>
          <w:rStyle w:val="DefTerm"/>
          <w:b w:val="0"/>
          <w:color w:val="auto"/>
          <w:sz w:val="20"/>
        </w:rPr>
        <w:t>(</w:t>
      </w:r>
      <w:r w:rsidRPr="0006114E">
        <w:rPr>
          <w:rFonts w:ascii="Arial" w:hAnsi="Arial" w:cs="Arial"/>
          <w:sz w:val="20"/>
        </w:rPr>
        <w:t xml:space="preserve">subject to </w:t>
      </w:r>
      <w:r w:rsidRPr="0006114E">
        <w:rPr>
          <w:rFonts w:ascii="Arial" w:hAnsi="Arial" w:cs="Arial"/>
          <w:sz w:val="20"/>
        </w:rPr>
        <w:fldChar w:fldCharType="begin"/>
      </w:r>
      <w:r w:rsidRPr="0006114E">
        <w:rPr>
          <w:rFonts w:ascii="Arial" w:hAnsi="Arial" w:cs="Arial"/>
          <w:sz w:val="20"/>
        </w:rPr>
        <w:instrText>PAGEREF a129837\#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a129837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18</w:t>
      </w:r>
      <w:r w:rsidRPr="0006114E">
        <w:rPr>
          <w:rFonts w:ascii="Arial" w:hAnsi="Arial" w:cs="Arial"/>
          <w:sz w:val="20"/>
        </w:rPr>
        <w:fldChar w:fldCharType="end"/>
      </w:r>
      <w:r w:rsidRPr="0006114E">
        <w:rPr>
          <w:rFonts w:ascii="Arial" w:hAnsi="Arial" w:cs="Arial"/>
          <w:sz w:val="20"/>
        </w:rPr>
        <w:t>)</w:t>
      </w:r>
      <w:r w:rsidRPr="0006114E">
        <w:rPr>
          <w:rStyle w:val="DefTerm"/>
          <w:b w:val="0"/>
          <w:color w:val="auto"/>
          <w:sz w:val="20"/>
        </w:rPr>
        <w:t xml:space="preserve"> in the capital of the Company.</w:t>
      </w:r>
    </w:p>
    <w:p w14:paraId="4B979D22" w14:textId="5441FD55" w:rsidR="00091532" w:rsidRPr="00091532" w:rsidRDefault="00091532" w:rsidP="006A1CE1">
      <w:pPr>
        <w:pStyle w:val="DefinedTermPara"/>
        <w:spacing w:line="240" w:lineRule="auto"/>
        <w:rPr>
          <w:rStyle w:val="DefTerm"/>
          <w:rFonts w:eastAsia="Arial Unicode MS"/>
          <w:color w:val="auto"/>
          <w:sz w:val="20"/>
        </w:rPr>
      </w:pPr>
      <w:bookmarkStart w:id="64" w:name="a727487"/>
      <w:bookmarkEnd w:id="63"/>
      <w:r w:rsidRPr="00091532">
        <w:rPr>
          <w:rFonts w:ascii="Arial" w:hAnsi="Arial" w:cs="Arial"/>
          <w:b/>
          <w:sz w:val="20"/>
        </w:rPr>
        <w:t>Shareholding Requirement</w:t>
      </w:r>
      <w:r w:rsidRPr="00091532">
        <w:rPr>
          <w:rFonts w:ascii="Arial" w:hAnsi="Arial" w:cs="Arial"/>
          <w:bCs/>
          <w:sz w:val="20"/>
        </w:rPr>
        <w:t>: means any requirement, guideline or policy determined by the</w:t>
      </w:r>
      <w:r w:rsidR="00E97B0F">
        <w:rPr>
          <w:rFonts w:ascii="Arial" w:hAnsi="Arial" w:cs="Arial"/>
          <w:bCs/>
          <w:sz w:val="20"/>
        </w:rPr>
        <w:t xml:space="preserve"> Board </w:t>
      </w:r>
      <w:r w:rsidRPr="00091532">
        <w:rPr>
          <w:rFonts w:ascii="Arial" w:hAnsi="Arial" w:cs="Arial"/>
          <w:bCs/>
          <w:sz w:val="20"/>
        </w:rPr>
        <w:t xml:space="preserve"> </w:t>
      </w:r>
      <w:r w:rsidR="00E97B0F">
        <w:rPr>
          <w:rFonts w:ascii="Arial" w:hAnsi="Arial" w:cs="Arial"/>
          <w:bCs/>
          <w:sz w:val="20"/>
        </w:rPr>
        <w:t xml:space="preserve">or Remuneration Committee </w:t>
      </w:r>
      <w:r w:rsidRPr="00091532">
        <w:rPr>
          <w:rFonts w:ascii="Arial" w:hAnsi="Arial" w:cs="Arial"/>
          <w:bCs/>
          <w:sz w:val="20"/>
        </w:rPr>
        <w:t xml:space="preserve">from time to time pursuant to which a person must hold Shares either during their office or employment with a Group </w:t>
      </w:r>
      <w:r w:rsidR="007229DA">
        <w:rPr>
          <w:rFonts w:ascii="Arial" w:hAnsi="Arial" w:cs="Arial"/>
          <w:bCs/>
          <w:sz w:val="20"/>
        </w:rPr>
        <w:t xml:space="preserve">Company </w:t>
      </w:r>
      <w:r w:rsidRPr="00091532">
        <w:rPr>
          <w:rFonts w:ascii="Arial" w:hAnsi="Arial" w:cs="Arial"/>
          <w:bCs/>
          <w:sz w:val="20"/>
        </w:rPr>
        <w:t xml:space="preserve">or following their ceasing to hold office or employment with a Group </w:t>
      </w:r>
      <w:r w:rsidR="007229DA">
        <w:rPr>
          <w:rFonts w:ascii="Arial" w:hAnsi="Arial" w:cs="Arial"/>
          <w:bCs/>
          <w:sz w:val="20"/>
        </w:rPr>
        <w:t>Company</w:t>
      </w:r>
      <w:r>
        <w:rPr>
          <w:rFonts w:ascii="Arial" w:hAnsi="Arial" w:cs="Arial"/>
          <w:bCs/>
          <w:sz w:val="20"/>
        </w:rPr>
        <w:t>.</w:t>
      </w:r>
    </w:p>
    <w:p w14:paraId="073F0AD4" w14:textId="51552C76" w:rsidR="00A32574" w:rsidRPr="0006114E" w:rsidRDefault="00EC3919" w:rsidP="006A1CE1">
      <w:pPr>
        <w:pStyle w:val="DefinedTermPara"/>
        <w:spacing w:line="240" w:lineRule="auto"/>
        <w:rPr>
          <w:rFonts w:ascii="Arial" w:hAnsi="Arial" w:cs="Arial"/>
          <w:b/>
          <w:sz w:val="20"/>
        </w:rPr>
      </w:pPr>
      <w:r w:rsidRPr="0006114E">
        <w:rPr>
          <w:rStyle w:val="DefTerm"/>
          <w:color w:val="auto"/>
          <w:sz w:val="20"/>
        </w:rPr>
        <w:t>Tax Authority</w:t>
      </w:r>
      <w:r w:rsidRPr="0006114E">
        <w:rPr>
          <w:rFonts w:ascii="Arial" w:hAnsi="Arial" w:cs="Arial"/>
          <w:sz w:val="20"/>
        </w:rPr>
        <w:t xml:space="preserve">: </w:t>
      </w:r>
      <w:r w:rsidR="005710B7" w:rsidRPr="0006114E">
        <w:rPr>
          <w:rFonts w:ascii="Arial" w:hAnsi="Arial" w:cs="Arial"/>
          <w:sz w:val="20"/>
        </w:rPr>
        <w:t>HMRC</w:t>
      </w:r>
      <w:r w:rsidRPr="0006114E">
        <w:rPr>
          <w:rFonts w:ascii="Arial" w:hAnsi="Arial" w:cs="Arial"/>
          <w:sz w:val="20"/>
        </w:rPr>
        <w:t xml:space="preserve"> (or any successor authority) or, where relevant, its equivalent in another jurisdiction.</w:t>
      </w:r>
    </w:p>
    <w:p w14:paraId="78554C8E" w14:textId="28C13F4B" w:rsidR="00F24239" w:rsidRPr="00BF3CA7" w:rsidRDefault="00F24239" w:rsidP="00F24239">
      <w:pPr>
        <w:pStyle w:val="DefinedTermPara"/>
        <w:spacing w:line="240" w:lineRule="auto"/>
        <w:rPr>
          <w:rFonts w:ascii="Arial" w:hAnsi="Arial" w:cs="Arial"/>
          <w:sz w:val="20"/>
        </w:rPr>
      </w:pPr>
      <w:bookmarkStart w:id="65" w:name="a164600"/>
      <w:bookmarkEnd w:id="64"/>
      <w:r w:rsidRPr="00A54EC3">
        <w:rPr>
          <w:rFonts w:ascii="Arial" w:hAnsi="Arial" w:cs="Arial"/>
          <w:b/>
          <w:bCs/>
          <w:sz w:val="20"/>
        </w:rPr>
        <w:t>Tax Liability</w:t>
      </w:r>
      <w:r w:rsidRPr="00A54EC3">
        <w:rPr>
          <w:rFonts w:ascii="Arial" w:hAnsi="Arial" w:cs="Arial"/>
          <w:sz w:val="20"/>
        </w:rPr>
        <w:t xml:space="preserve">: any liability of a Group Company (or any other person) to account to a Tax Authority for (i) any income tax and </w:t>
      </w:r>
      <w:r w:rsidRPr="00513CF9">
        <w:rPr>
          <w:rFonts w:ascii="Arial" w:hAnsi="Arial" w:cs="Arial"/>
          <w:sz w:val="20"/>
        </w:rPr>
        <w:t>employee (but not, unless the Award Certificate provides otherwise, employer) NICs</w:t>
      </w:r>
      <w:r w:rsidRPr="00A54EC3">
        <w:rPr>
          <w:rFonts w:ascii="Arial" w:hAnsi="Arial" w:cs="Arial"/>
          <w:sz w:val="20"/>
        </w:rPr>
        <w:t>, non-UK equivalents, and similar charges or levies, for which an Award Holder is or would be liable in respect of or in connection with their Award(s), and (ii) any related penalties or interest.</w:t>
      </w:r>
    </w:p>
    <w:p w14:paraId="56712DF7" w14:textId="6066EAAF" w:rsidR="00E515C1" w:rsidRPr="0006114E" w:rsidRDefault="00D8597D" w:rsidP="006A1CE1">
      <w:pPr>
        <w:pStyle w:val="DefinedTermPara"/>
        <w:spacing w:line="240" w:lineRule="auto"/>
        <w:rPr>
          <w:rFonts w:ascii="Arial" w:hAnsi="Arial" w:cs="Arial"/>
          <w:sz w:val="20"/>
        </w:rPr>
      </w:pPr>
      <w:r w:rsidRPr="0006114E">
        <w:rPr>
          <w:rStyle w:val="DefTerm"/>
          <w:color w:val="auto"/>
          <w:sz w:val="20"/>
        </w:rPr>
        <w:t>UK MAR</w:t>
      </w:r>
      <w:r w:rsidRPr="0006114E">
        <w:rPr>
          <w:rFonts w:ascii="Arial" w:hAnsi="Arial" w:cs="Arial"/>
          <w:sz w:val="20"/>
        </w:rPr>
        <w:t>: the retained EU law version of the Market Abuse Regulation (Regulation (EU) 596/2014) which applies in the UK</w:t>
      </w:r>
      <w:bookmarkEnd w:id="65"/>
      <w:r w:rsidRPr="0006114E">
        <w:rPr>
          <w:rFonts w:ascii="Arial" w:hAnsi="Arial" w:cs="Arial"/>
          <w:sz w:val="20"/>
        </w:rPr>
        <w:t>.</w:t>
      </w:r>
    </w:p>
    <w:p w14:paraId="54C254E0" w14:textId="77777777" w:rsidR="00292F28" w:rsidRPr="0006114E" w:rsidRDefault="00292F28" w:rsidP="006A1CE1">
      <w:pPr>
        <w:pStyle w:val="DefinedTermPara"/>
        <w:spacing w:line="240" w:lineRule="auto"/>
        <w:rPr>
          <w:rStyle w:val="DefTerm"/>
          <w:color w:val="auto"/>
          <w:sz w:val="20"/>
        </w:rPr>
      </w:pPr>
      <w:bookmarkStart w:id="66" w:name="a953151"/>
      <w:r w:rsidRPr="0006114E">
        <w:rPr>
          <w:rStyle w:val="DefTerm"/>
          <w:color w:val="auto"/>
          <w:sz w:val="20"/>
        </w:rPr>
        <w:t>Vest</w:t>
      </w:r>
      <w:r w:rsidRPr="0006114E">
        <w:rPr>
          <w:rFonts w:ascii="Arial" w:hAnsi="Arial" w:cs="Arial"/>
          <w:sz w:val="20"/>
        </w:rPr>
        <w:t>: means</w:t>
      </w:r>
    </w:p>
    <w:p w14:paraId="3E3EFE6D" w14:textId="593B22D1" w:rsidR="00292F28" w:rsidRPr="0006114E" w:rsidRDefault="00292F28" w:rsidP="006A1CE1">
      <w:pPr>
        <w:pStyle w:val="DefinedTermNumber"/>
        <w:spacing w:line="240" w:lineRule="auto"/>
        <w:ind w:left="2160" w:hanging="606"/>
        <w:rPr>
          <w:rFonts w:ascii="Arial" w:hAnsi="Arial" w:cs="Arial"/>
          <w:sz w:val="20"/>
        </w:rPr>
      </w:pPr>
      <w:r w:rsidRPr="0006114E">
        <w:rPr>
          <w:rFonts w:ascii="Arial" w:hAnsi="Arial" w:cs="Arial"/>
          <w:sz w:val="20"/>
        </w:rPr>
        <w:t>in relation to an Option, that it becomes exercisable</w:t>
      </w:r>
      <w:r w:rsidR="00253B20" w:rsidRPr="0006114E">
        <w:rPr>
          <w:rFonts w:ascii="Arial" w:hAnsi="Arial" w:cs="Arial"/>
          <w:sz w:val="20"/>
        </w:rPr>
        <w:t xml:space="preserve">, and </w:t>
      </w:r>
    </w:p>
    <w:p w14:paraId="142378D7" w14:textId="7B705294" w:rsidR="00292F28" w:rsidRPr="0006114E" w:rsidRDefault="00292F28" w:rsidP="006A1CE1">
      <w:pPr>
        <w:pStyle w:val="DefinedTermNumber"/>
        <w:spacing w:line="240" w:lineRule="auto"/>
        <w:ind w:left="2160" w:hanging="606"/>
        <w:rPr>
          <w:rFonts w:ascii="Arial" w:hAnsi="Arial" w:cs="Arial"/>
          <w:sz w:val="20"/>
        </w:rPr>
      </w:pPr>
      <w:r w:rsidRPr="0006114E">
        <w:rPr>
          <w:rFonts w:ascii="Arial" w:hAnsi="Arial" w:cs="Arial"/>
          <w:sz w:val="20"/>
        </w:rPr>
        <w:t xml:space="preserve">in relation to a Conditional Share Award, that the Award Holder becomes entitled to </w:t>
      </w:r>
      <w:r w:rsidR="00651D85" w:rsidRPr="0006114E">
        <w:rPr>
          <w:rFonts w:ascii="Arial" w:hAnsi="Arial" w:cs="Arial"/>
          <w:sz w:val="20"/>
        </w:rPr>
        <w:t xml:space="preserve">have </w:t>
      </w:r>
      <w:r w:rsidR="00A62018" w:rsidRPr="0006114E">
        <w:rPr>
          <w:rFonts w:ascii="Arial" w:hAnsi="Arial" w:cs="Arial"/>
          <w:sz w:val="20"/>
        </w:rPr>
        <w:t xml:space="preserve">the </w:t>
      </w:r>
      <w:r w:rsidRPr="0006114E">
        <w:rPr>
          <w:rFonts w:ascii="Arial" w:hAnsi="Arial" w:cs="Arial"/>
          <w:sz w:val="20"/>
        </w:rPr>
        <w:t>relevant Shares</w:t>
      </w:r>
      <w:r w:rsidR="00A62018" w:rsidRPr="0006114E">
        <w:rPr>
          <w:rFonts w:ascii="Arial" w:hAnsi="Arial" w:cs="Arial"/>
          <w:sz w:val="20"/>
        </w:rPr>
        <w:t xml:space="preserve"> </w:t>
      </w:r>
      <w:r w:rsidR="00740A71">
        <w:rPr>
          <w:rFonts w:ascii="Arial" w:hAnsi="Arial" w:cs="Arial"/>
          <w:sz w:val="20"/>
        </w:rPr>
        <w:t>issued or transferred</w:t>
      </w:r>
      <w:r w:rsidR="00A62018" w:rsidRPr="0006114E">
        <w:rPr>
          <w:rFonts w:ascii="Arial" w:hAnsi="Arial" w:cs="Arial"/>
          <w:sz w:val="20"/>
        </w:rPr>
        <w:t xml:space="preserve"> to them</w:t>
      </w:r>
      <w:r w:rsidRPr="0006114E">
        <w:rPr>
          <w:rFonts w:ascii="Arial" w:hAnsi="Arial" w:cs="Arial"/>
          <w:sz w:val="20"/>
        </w:rPr>
        <w:t>,</w:t>
      </w:r>
    </w:p>
    <w:p w14:paraId="2FDF8382" w14:textId="4881B8FA" w:rsidR="00292F28" w:rsidRPr="0006114E" w:rsidRDefault="00292F28" w:rsidP="006A1CE1">
      <w:pPr>
        <w:pStyle w:val="DefinedTermNumber"/>
        <w:numPr>
          <w:ilvl w:val="0"/>
          <w:numId w:val="0"/>
        </w:numPr>
        <w:spacing w:line="240" w:lineRule="auto"/>
        <w:ind w:left="720"/>
        <w:rPr>
          <w:rFonts w:ascii="Arial" w:hAnsi="Arial" w:cs="Arial"/>
          <w:sz w:val="20"/>
        </w:rPr>
      </w:pPr>
      <w:r w:rsidRPr="0006114E">
        <w:rPr>
          <w:rFonts w:ascii="Arial" w:hAnsi="Arial" w:cs="Arial"/>
          <w:sz w:val="20"/>
        </w:rPr>
        <w:t xml:space="preserve">in each case, in accordance with these rules, and </w:t>
      </w:r>
      <w:r w:rsidR="00195E12" w:rsidRPr="0006114E">
        <w:rPr>
          <w:rFonts w:ascii="Arial" w:hAnsi="Arial" w:cs="Arial"/>
          <w:sz w:val="20"/>
        </w:rPr>
        <w:t>“</w:t>
      </w:r>
      <w:r w:rsidR="00195E12" w:rsidRPr="0006114E">
        <w:rPr>
          <w:rFonts w:ascii="Arial" w:hAnsi="Arial" w:cs="Arial"/>
          <w:b/>
          <w:sz w:val="20"/>
        </w:rPr>
        <w:t>Vesting</w:t>
      </w:r>
      <w:r w:rsidR="00195E12" w:rsidRPr="0006114E">
        <w:rPr>
          <w:rFonts w:ascii="Arial" w:hAnsi="Arial" w:cs="Arial"/>
          <w:sz w:val="20"/>
        </w:rPr>
        <w:t>”</w:t>
      </w:r>
      <w:r w:rsidR="00195E12">
        <w:rPr>
          <w:rFonts w:ascii="Arial" w:hAnsi="Arial" w:cs="Arial"/>
          <w:sz w:val="20"/>
        </w:rPr>
        <w:t>,</w:t>
      </w:r>
      <w:r w:rsidR="00195E12" w:rsidRPr="0006114E">
        <w:rPr>
          <w:rFonts w:ascii="Arial" w:hAnsi="Arial" w:cs="Arial"/>
          <w:sz w:val="20"/>
        </w:rPr>
        <w:t xml:space="preserve"> “</w:t>
      </w:r>
      <w:r w:rsidR="00195E12" w:rsidRPr="0006114E">
        <w:rPr>
          <w:rFonts w:ascii="Arial" w:hAnsi="Arial" w:cs="Arial"/>
          <w:b/>
          <w:sz w:val="20"/>
        </w:rPr>
        <w:t>Vested</w:t>
      </w:r>
      <w:r w:rsidR="00195E12" w:rsidRPr="0006114E">
        <w:rPr>
          <w:rFonts w:ascii="Arial" w:hAnsi="Arial" w:cs="Arial"/>
          <w:sz w:val="20"/>
        </w:rPr>
        <w:t xml:space="preserve">” </w:t>
      </w:r>
      <w:r w:rsidR="00195E12">
        <w:rPr>
          <w:rFonts w:ascii="Arial" w:hAnsi="Arial" w:cs="Arial"/>
          <w:sz w:val="20"/>
        </w:rPr>
        <w:t>and “</w:t>
      </w:r>
      <w:r w:rsidR="00195E12" w:rsidRPr="00CB3C31">
        <w:rPr>
          <w:rFonts w:ascii="Arial" w:hAnsi="Arial" w:cs="Arial"/>
          <w:b/>
          <w:sz w:val="20"/>
        </w:rPr>
        <w:t>Unvested</w:t>
      </w:r>
      <w:r w:rsidR="00195E12">
        <w:rPr>
          <w:rFonts w:ascii="Arial" w:hAnsi="Arial" w:cs="Arial"/>
          <w:sz w:val="20"/>
        </w:rPr>
        <w:t xml:space="preserve">” </w:t>
      </w:r>
      <w:r w:rsidRPr="0006114E">
        <w:rPr>
          <w:rFonts w:ascii="Arial" w:hAnsi="Arial" w:cs="Arial"/>
          <w:sz w:val="20"/>
        </w:rPr>
        <w:t>shall have a corresponding meaning.</w:t>
      </w:r>
    </w:p>
    <w:p w14:paraId="6E9898C7" w14:textId="2A158CCE" w:rsidR="004779B8" w:rsidRPr="0006114E" w:rsidRDefault="004779B8" w:rsidP="006A1CE1">
      <w:pPr>
        <w:pStyle w:val="DefinedTermPara"/>
        <w:spacing w:line="240" w:lineRule="auto"/>
        <w:rPr>
          <w:rStyle w:val="DefTerm"/>
          <w:color w:val="auto"/>
          <w:sz w:val="20"/>
        </w:rPr>
      </w:pPr>
      <w:r w:rsidRPr="0006114E">
        <w:rPr>
          <w:rStyle w:val="DefTerm"/>
          <w:color w:val="auto"/>
          <w:sz w:val="20"/>
        </w:rPr>
        <w:t>Vesting Date</w:t>
      </w:r>
      <w:r w:rsidRPr="0006114E">
        <w:rPr>
          <w:rFonts w:ascii="Arial" w:hAnsi="Arial" w:cs="Arial"/>
          <w:sz w:val="20"/>
        </w:rPr>
        <w:t>: is the date on which the Award Vests</w:t>
      </w:r>
      <w:r w:rsidR="00E51CD0">
        <w:rPr>
          <w:rFonts w:ascii="Arial" w:hAnsi="Arial" w:cs="Arial"/>
          <w:sz w:val="20"/>
        </w:rPr>
        <w:t xml:space="preserve"> </w:t>
      </w:r>
      <w:r w:rsidRPr="0006114E">
        <w:rPr>
          <w:rFonts w:ascii="Arial" w:hAnsi="Arial" w:cs="Arial"/>
          <w:sz w:val="20"/>
        </w:rPr>
        <w:t>in accordance with these rules.</w:t>
      </w:r>
    </w:p>
    <w:p w14:paraId="3D20356A" w14:textId="5A55A97B" w:rsidR="00831C22" w:rsidRPr="00EB458E" w:rsidRDefault="00D977A4" w:rsidP="00967719">
      <w:pPr>
        <w:pStyle w:val="DefinedTermPara"/>
        <w:spacing w:line="240" w:lineRule="auto"/>
        <w:rPr>
          <w:rFonts w:ascii="Arial" w:hAnsi="Arial" w:cs="Arial"/>
          <w:b/>
          <w:sz w:val="20"/>
        </w:rPr>
      </w:pPr>
      <w:r w:rsidRPr="00EB458E">
        <w:rPr>
          <w:rStyle w:val="DefTerm"/>
          <w:color w:val="auto"/>
          <w:sz w:val="20"/>
        </w:rPr>
        <w:t>Vesting Period</w:t>
      </w:r>
      <w:r w:rsidRPr="00EB458E">
        <w:rPr>
          <w:rFonts w:ascii="Arial" w:hAnsi="Arial" w:cs="Arial"/>
          <w:sz w:val="20"/>
        </w:rPr>
        <w:t>:</w:t>
      </w:r>
      <w:r w:rsidR="00EB458E">
        <w:rPr>
          <w:rFonts w:ascii="Arial" w:hAnsi="Arial" w:cs="Arial"/>
          <w:sz w:val="20"/>
        </w:rPr>
        <w:t xml:space="preserve"> </w:t>
      </w:r>
      <w:r w:rsidR="00831C22" w:rsidRPr="00EB458E">
        <w:rPr>
          <w:rFonts w:ascii="Arial" w:hAnsi="Arial" w:cs="Arial"/>
          <w:sz w:val="20"/>
        </w:rPr>
        <w:t>the period specified in the Award Certificate, which in respect of Awards granted to executive directors of the Company will normally be no less than three years beginning with the Grant Date (unless the applicable Directors’ Remuneration Policy provides otherwise)</w:t>
      </w:r>
      <w:r w:rsidR="00831C22" w:rsidRPr="00EB458E">
        <w:rPr>
          <w:rFonts w:ascii="Arial" w:hAnsi="Arial"/>
        </w:rPr>
        <w:t>.</w:t>
      </w:r>
    </w:p>
    <w:p w14:paraId="196898F2" w14:textId="77777777" w:rsidR="007B4FB5" w:rsidRPr="0006114E" w:rsidRDefault="00D8597D" w:rsidP="006A1CE1">
      <w:pPr>
        <w:pStyle w:val="Untitledsubclause1"/>
        <w:spacing w:line="240" w:lineRule="auto"/>
        <w:rPr>
          <w:rFonts w:ascii="Arial" w:hAnsi="Arial" w:cs="Arial"/>
          <w:sz w:val="20"/>
        </w:rPr>
      </w:pPr>
      <w:bookmarkStart w:id="67" w:name="a738838"/>
      <w:bookmarkStart w:id="68" w:name="_Hlk83051030"/>
      <w:r w:rsidRPr="0006114E">
        <w:rPr>
          <w:rFonts w:ascii="Arial" w:hAnsi="Arial" w:cs="Arial"/>
          <w:sz w:val="20"/>
        </w:rPr>
        <w:t xml:space="preserve">Unless the context otherwise requires, </w:t>
      </w:r>
      <w:r w:rsidR="00862FD2" w:rsidRPr="0006114E">
        <w:rPr>
          <w:rFonts w:ascii="Arial" w:hAnsi="Arial" w:cs="Arial"/>
          <w:sz w:val="20"/>
        </w:rPr>
        <w:t xml:space="preserve">(a) </w:t>
      </w:r>
      <w:r w:rsidRPr="0006114E">
        <w:rPr>
          <w:rFonts w:ascii="Arial" w:hAnsi="Arial" w:cs="Arial"/>
          <w:sz w:val="20"/>
        </w:rPr>
        <w:t>words in the singular shall include the plural and in the plural shall include the singular</w:t>
      </w:r>
      <w:bookmarkEnd w:id="67"/>
      <w:r w:rsidR="00862FD2" w:rsidRPr="0006114E">
        <w:rPr>
          <w:rFonts w:ascii="Arial" w:hAnsi="Arial" w:cs="Arial"/>
          <w:sz w:val="20"/>
        </w:rPr>
        <w:t xml:space="preserve"> and (b)</w:t>
      </w:r>
      <w:bookmarkStart w:id="69" w:name="a826880"/>
      <w:r w:rsidRPr="0006114E">
        <w:rPr>
          <w:rFonts w:ascii="Arial" w:hAnsi="Arial" w:cs="Arial"/>
          <w:sz w:val="20"/>
        </w:rPr>
        <w:t xml:space="preserve"> a reference to one gender shall include a reference to the other genders.</w:t>
      </w:r>
      <w:bookmarkEnd w:id="68"/>
      <w:bookmarkEnd w:id="69"/>
    </w:p>
    <w:p w14:paraId="1C5C1F6B" w14:textId="5F9AD3E2" w:rsidR="007B4FB5" w:rsidRPr="001257FD" w:rsidRDefault="005319F0" w:rsidP="00CF4EEA">
      <w:pPr>
        <w:pStyle w:val="Untitledsubclause1"/>
        <w:spacing w:line="240" w:lineRule="auto"/>
        <w:rPr>
          <w:rFonts w:ascii="Arial" w:hAnsi="Arial" w:cs="Arial"/>
          <w:sz w:val="20"/>
        </w:rPr>
      </w:pPr>
      <w:bookmarkStart w:id="70" w:name="a696113"/>
      <w:r w:rsidRPr="001257FD">
        <w:rPr>
          <w:rFonts w:ascii="Arial" w:hAnsi="Arial" w:cs="Arial"/>
          <w:sz w:val="20"/>
        </w:rPr>
        <w:t>A reference to a statute or statutory provision includes a reference to it as from time to time consolidated, modified, re-enacted or replaced, and to all subordinate legislation made under it.</w:t>
      </w:r>
      <w:r w:rsidR="00A0158F" w:rsidRPr="001257FD">
        <w:rPr>
          <w:rFonts w:ascii="Arial" w:hAnsi="Arial" w:cs="Arial"/>
          <w:sz w:val="20"/>
        </w:rPr>
        <w:t xml:space="preserve"> </w:t>
      </w:r>
      <w:r w:rsidR="00D8597D" w:rsidRPr="001257FD">
        <w:rPr>
          <w:rFonts w:ascii="Arial" w:hAnsi="Arial" w:cs="Arial"/>
          <w:sz w:val="20"/>
        </w:rPr>
        <w:t xml:space="preserve">A reference to </w:t>
      </w:r>
      <w:r w:rsidR="00DB7DA6">
        <w:rPr>
          <w:rFonts w:ascii="Arial" w:hAnsi="Arial" w:cs="Arial"/>
          <w:sz w:val="20"/>
        </w:rPr>
        <w:t>“</w:t>
      </w:r>
      <w:r w:rsidR="00D8597D" w:rsidRPr="001257FD">
        <w:rPr>
          <w:rFonts w:ascii="Arial" w:hAnsi="Arial" w:cs="Arial"/>
          <w:sz w:val="20"/>
        </w:rPr>
        <w:t>written</w:t>
      </w:r>
      <w:r w:rsidR="00DB7DA6">
        <w:rPr>
          <w:rFonts w:ascii="Arial" w:hAnsi="Arial" w:cs="Arial"/>
          <w:sz w:val="20"/>
        </w:rPr>
        <w:t>”</w:t>
      </w:r>
      <w:r w:rsidR="00D8597D" w:rsidRPr="001257FD">
        <w:rPr>
          <w:rFonts w:ascii="Arial" w:hAnsi="Arial" w:cs="Arial"/>
          <w:sz w:val="20"/>
        </w:rPr>
        <w:t xml:space="preserve"> includes email.</w:t>
      </w:r>
      <w:bookmarkEnd w:id="70"/>
    </w:p>
    <w:p w14:paraId="7978C361" w14:textId="4AE384E2" w:rsidR="007B4FB5" w:rsidRPr="001257FD" w:rsidRDefault="00D8597D" w:rsidP="006A1CE1">
      <w:pPr>
        <w:pStyle w:val="Untitledsubclause1"/>
        <w:spacing w:line="240" w:lineRule="auto"/>
        <w:rPr>
          <w:rFonts w:ascii="Arial" w:hAnsi="Arial" w:cs="Arial"/>
          <w:sz w:val="20"/>
        </w:rPr>
      </w:pPr>
      <w:bookmarkStart w:id="71" w:name="a446398"/>
      <w:r w:rsidRPr="001257FD">
        <w:rPr>
          <w:rFonts w:ascii="Arial" w:hAnsi="Arial" w:cs="Arial"/>
          <w:sz w:val="20"/>
        </w:rPr>
        <w:t>Any words following the terms including, include, for example or any similar expression shall be construed as illustrative and shall not limit the sense of the words, description, definition, phrase or term preceding those terms.</w:t>
      </w:r>
      <w:bookmarkEnd w:id="71"/>
    </w:p>
    <w:bookmarkStart w:id="72" w:name="_Toc145339770"/>
    <w:bookmarkStart w:id="73" w:name="_Toc131682120"/>
    <w:bookmarkStart w:id="74" w:name="_Toc152661644"/>
    <w:bookmarkStart w:id="75" w:name="_Toc159952448"/>
    <w:bookmarkEnd w:id="66"/>
    <w:p w14:paraId="56712E08" w14:textId="12AF4C65"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"2. Grant of Awards" \l 1</w:instrText>
      </w:r>
      <w:r w:rsidRPr="0006114E">
        <w:rPr>
          <w:rFonts w:ascii="Arial" w:hAnsi="Arial" w:cs="Arial"/>
          <w:sz w:val="20"/>
        </w:rPr>
        <w:fldChar w:fldCharType="end"/>
      </w:r>
      <w:bookmarkStart w:id="76" w:name="a969782"/>
      <w:bookmarkStart w:id="77" w:name="_Toc105671015"/>
      <w:bookmarkStart w:id="78" w:name="_Toc103273388"/>
      <w:bookmarkStart w:id="79" w:name="_Toc107828211"/>
      <w:bookmarkStart w:id="80" w:name="_Toc168490272"/>
      <w:bookmarkStart w:id="81" w:name="_Toc187838764"/>
      <w:bookmarkStart w:id="82" w:name="_Toc188629298"/>
      <w:bookmarkStart w:id="83" w:name="_Toc191381398"/>
      <w:r w:rsidRPr="0006114E">
        <w:rPr>
          <w:rFonts w:ascii="Arial" w:hAnsi="Arial" w:cs="Arial"/>
          <w:sz w:val="20"/>
        </w:rPr>
        <w:t xml:space="preserve">Grant of </w:t>
      </w:r>
      <w:r w:rsidR="001D71D7" w:rsidRPr="0006114E">
        <w:rPr>
          <w:rFonts w:ascii="Arial" w:hAnsi="Arial" w:cs="Arial"/>
          <w:sz w:val="20"/>
        </w:rPr>
        <w:t>Awards</w:t>
      </w:r>
      <w:bookmarkEnd w:id="72"/>
      <w:bookmarkEnd w:id="73"/>
      <w:bookmarkEnd w:id="74"/>
      <w:bookmarkEnd w:id="75"/>
      <w:bookmarkEnd w:id="76"/>
      <w:bookmarkEnd w:id="77"/>
      <w:bookmarkEnd w:id="78"/>
      <w:bookmarkEnd w:id="79"/>
      <w:bookmarkEnd w:id="80"/>
      <w:bookmarkEnd w:id="81"/>
      <w:bookmarkEnd w:id="82"/>
      <w:bookmarkEnd w:id="83"/>
    </w:p>
    <w:p w14:paraId="6AB5FE8B" w14:textId="69DCE4BE" w:rsidR="00040B96" w:rsidRDefault="0085118F" w:rsidP="0085118F">
      <w:pPr>
        <w:pStyle w:val="Untitledsubclause1"/>
        <w:spacing w:line="240" w:lineRule="auto"/>
        <w:rPr>
          <w:rFonts w:ascii="Arial" w:hAnsi="Arial" w:cs="Arial"/>
          <w:sz w:val="20"/>
        </w:rPr>
      </w:pPr>
      <w:bookmarkStart w:id="84" w:name="a134048"/>
      <w:r>
        <w:rPr>
          <w:rFonts w:ascii="Arial" w:hAnsi="Arial" w:cs="Arial"/>
          <w:sz w:val="20"/>
        </w:rPr>
        <w:t>T</w:t>
      </w:r>
      <w:r w:rsidRPr="00186C3C">
        <w:rPr>
          <w:rFonts w:ascii="Arial" w:hAnsi="Arial" w:cs="Arial"/>
          <w:sz w:val="20"/>
        </w:rPr>
        <w:t>he Remuneration Committee may</w:t>
      </w:r>
      <w:r w:rsidR="00D67BE9">
        <w:rPr>
          <w:rFonts w:ascii="Arial" w:hAnsi="Arial" w:cs="Arial"/>
          <w:sz w:val="20"/>
        </w:rPr>
        <w:t xml:space="preserve"> </w:t>
      </w:r>
      <w:proofErr w:type="spellStart"/>
      <w:r w:rsidR="00D67BE9">
        <w:rPr>
          <w:rFonts w:ascii="Arial" w:hAnsi="Arial" w:cs="Arial"/>
          <w:sz w:val="20"/>
        </w:rPr>
        <w:t>authorise</w:t>
      </w:r>
      <w:proofErr w:type="spellEnd"/>
      <w:r w:rsidR="00D67BE9">
        <w:rPr>
          <w:rFonts w:ascii="Arial" w:hAnsi="Arial" w:cs="Arial"/>
          <w:sz w:val="20"/>
        </w:rPr>
        <w:t xml:space="preserve"> the</w:t>
      </w:r>
      <w:r w:rsidRPr="00186C3C">
        <w:rPr>
          <w:rFonts w:ascii="Arial" w:hAnsi="Arial" w:cs="Arial"/>
          <w:sz w:val="20"/>
        </w:rPr>
        <w:t xml:space="preserve"> grant </w:t>
      </w:r>
      <w:r w:rsidR="00E9004A">
        <w:rPr>
          <w:rFonts w:ascii="Arial" w:hAnsi="Arial" w:cs="Arial"/>
          <w:sz w:val="20"/>
        </w:rPr>
        <w:t xml:space="preserve">of </w:t>
      </w:r>
      <w:r w:rsidRPr="00186C3C">
        <w:rPr>
          <w:rFonts w:ascii="Arial" w:hAnsi="Arial" w:cs="Arial"/>
          <w:sz w:val="20"/>
        </w:rPr>
        <w:t xml:space="preserve">an Award </w:t>
      </w:r>
      <w:r w:rsidR="00E9004A">
        <w:rPr>
          <w:rFonts w:ascii="Arial" w:hAnsi="Arial" w:cs="Arial"/>
          <w:sz w:val="20"/>
        </w:rPr>
        <w:t xml:space="preserve">by the Company </w:t>
      </w:r>
      <w:r w:rsidRPr="00186C3C">
        <w:rPr>
          <w:rFonts w:ascii="Arial" w:hAnsi="Arial" w:cs="Arial"/>
          <w:sz w:val="20"/>
        </w:rPr>
        <w:t>to any Employee</w:t>
      </w:r>
      <w:r>
        <w:rPr>
          <w:rFonts w:ascii="Arial" w:hAnsi="Arial" w:cs="Arial"/>
          <w:sz w:val="20"/>
        </w:rPr>
        <w:t xml:space="preserve"> in accordance with the</w:t>
      </w:r>
      <w:r w:rsidR="00040B96">
        <w:rPr>
          <w:rFonts w:ascii="Arial" w:hAnsi="Arial" w:cs="Arial"/>
          <w:sz w:val="20"/>
        </w:rPr>
        <w:t>se Plan</w:t>
      </w:r>
      <w:r>
        <w:rPr>
          <w:rFonts w:ascii="Arial" w:hAnsi="Arial" w:cs="Arial"/>
          <w:sz w:val="20"/>
        </w:rPr>
        <w:t xml:space="preserve"> rules</w:t>
      </w:r>
      <w:r w:rsidR="00040B96">
        <w:rPr>
          <w:rFonts w:ascii="Arial" w:hAnsi="Arial" w:cs="Arial"/>
          <w:sz w:val="20"/>
        </w:rPr>
        <w:t>.</w:t>
      </w:r>
    </w:p>
    <w:p w14:paraId="4F12597E" w14:textId="62F30CD6" w:rsidR="0085118F" w:rsidRDefault="00040B96" w:rsidP="0085118F">
      <w:pPr>
        <w:pStyle w:val="Untitledsubclause1"/>
        <w:spacing w:line="240" w:lineRule="auto"/>
        <w:rPr>
          <w:rFonts w:ascii="Arial" w:hAnsi="Arial" w:cs="Arial"/>
          <w:sz w:val="20"/>
        </w:rPr>
      </w:pPr>
      <w:r>
        <w:rPr>
          <w:rFonts w:ascii="Arial" w:hAnsi="Arial" w:cs="Arial"/>
          <w:sz w:val="20"/>
        </w:rPr>
        <w:t>Awards may only be granted</w:t>
      </w:r>
      <w:r w:rsidR="0085118F">
        <w:rPr>
          <w:rFonts w:ascii="Arial" w:hAnsi="Arial" w:cs="Arial"/>
          <w:sz w:val="20"/>
        </w:rPr>
        <w:t>:</w:t>
      </w:r>
    </w:p>
    <w:p w14:paraId="0E00121D" w14:textId="26BAA7C9" w:rsidR="0085118F" w:rsidRPr="002A7523" w:rsidRDefault="0085118F" w:rsidP="0085118F">
      <w:pPr>
        <w:pStyle w:val="Untitledsubclause2"/>
        <w:numPr>
          <w:ilvl w:val="2"/>
          <w:numId w:val="35"/>
        </w:numPr>
        <w:spacing w:line="240" w:lineRule="auto"/>
        <w:rPr>
          <w:rFonts w:ascii="Arial" w:hAnsi="Arial" w:cs="Arial"/>
          <w:sz w:val="20"/>
        </w:rPr>
      </w:pPr>
      <w:r w:rsidRPr="00A9331A">
        <w:rPr>
          <w:rFonts w:ascii="Arial" w:hAnsi="Arial" w:cs="Arial"/>
          <w:sz w:val="20"/>
        </w:rPr>
        <w:t xml:space="preserve">within </w:t>
      </w:r>
      <w:r w:rsidRPr="00A9331A">
        <w:rPr>
          <w:rStyle w:val="DefTerm"/>
          <w:b w:val="0"/>
          <w:bCs/>
          <w:color w:val="auto"/>
          <w:sz w:val="20"/>
        </w:rPr>
        <w:t>the period of 42 days commencing o</w:t>
      </w:r>
      <w:r w:rsidRPr="00A71B7E">
        <w:rPr>
          <w:rStyle w:val="DefTerm"/>
          <w:b w:val="0"/>
          <w:bCs/>
          <w:color w:val="auto"/>
          <w:sz w:val="20"/>
        </w:rPr>
        <w:t xml:space="preserve">n (i) </w:t>
      </w:r>
      <w:r w:rsidRPr="00A71B7E">
        <w:rPr>
          <w:rStyle w:val="DefTerm"/>
          <w:b w:val="0"/>
          <w:color w:val="auto"/>
          <w:sz w:val="20"/>
        </w:rPr>
        <w:t>the</w:t>
      </w:r>
      <w:r w:rsidR="00740A71" w:rsidRPr="00A71B7E">
        <w:rPr>
          <w:rStyle w:val="DefTerm"/>
          <w:b w:val="0"/>
          <w:color w:val="auto"/>
          <w:sz w:val="20"/>
        </w:rPr>
        <w:t xml:space="preserve"> </w:t>
      </w:r>
      <w:r w:rsidRPr="00A71B7E">
        <w:rPr>
          <w:rFonts w:ascii="Arial" w:hAnsi="Arial"/>
          <w:sz w:val="20"/>
        </w:rPr>
        <w:t>date the Plan was approved by the Company’s shareholders</w:t>
      </w:r>
      <w:r w:rsidRPr="00A71B7E">
        <w:rPr>
          <w:rFonts w:ascii="Arial" w:hAnsi="Arial" w:cs="Arial"/>
          <w:sz w:val="20"/>
        </w:rPr>
        <w:t>, (ii) the Dealing Day</w:t>
      </w:r>
      <w:r w:rsidRPr="002A7523">
        <w:rPr>
          <w:rFonts w:ascii="Arial" w:hAnsi="Arial" w:cs="Arial"/>
          <w:sz w:val="20"/>
        </w:rPr>
        <w:t xml:space="preserve"> immediately after the day on which the Company announces its results for any period and/or (iii) the Dealing Day immediately after the day on which Dealing Restrictions which stopped the grant of Awards in the relevant period are lifted, or</w:t>
      </w:r>
    </w:p>
    <w:p w14:paraId="33C3A61F" w14:textId="43D27507" w:rsidR="0085118F" w:rsidRPr="00186C3C" w:rsidRDefault="0085118F" w:rsidP="0085118F">
      <w:pPr>
        <w:pStyle w:val="Untitledsubclause2"/>
        <w:numPr>
          <w:ilvl w:val="2"/>
          <w:numId w:val="35"/>
        </w:numPr>
        <w:spacing w:line="240" w:lineRule="auto"/>
        <w:rPr>
          <w:rFonts w:ascii="Arial" w:hAnsi="Arial" w:cs="Arial"/>
          <w:sz w:val="20"/>
        </w:rPr>
      </w:pPr>
      <w:r w:rsidRPr="00A9331A">
        <w:rPr>
          <w:rFonts w:ascii="Arial" w:hAnsi="Arial" w:cs="Arial"/>
          <w:sz w:val="20"/>
        </w:rPr>
        <w:t>at any other time when, in the opinion of the Remuneration Committee, exceptional circumstances justify the grant of an Award</w:t>
      </w:r>
      <w:r w:rsidR="0012470A">
        <w:rPr>
          <w:rFonts w:ascii="Arial" w:hAnsi="Arial" w:cs="Arial"/>
          <w:sz w:val="20"/>
        </w:rPr>
        <w:t>,</w:t>
      </w:r>
    </w:p>
    <w:p w14:paraId="73C8C6F4" w14:textId="2546D620" w:rsidR="0085118F" w:rsidRDefault="00842B41" w:rsidP="00CD5D29">
      <w:pPr>
        <w:pStyle w:val="Untitledsubclause1"/>
        <w:numPr>
          <w:ilvl w:val="0"/>
          <w:numId w:val="0"/>
        </w:numPr>
        <w:spacing w:line="240" w:lineRule="auto"/>
        <w:ind w:left="720"/>
        <w:rPr>
          <w:rFonts w:ascii="Arial" w:hAnsi="Arial" w:cs="Arial"/>
          <w:sz w:val="20"/>
        </w:rPr>
      </w:pPr>
      <w:bookmarkStart w:id="85" w:name="_Ref175840044"/>
      <w:r>
        <w:rPr>
          <w:rFonts w:ascii="Arial" w:hAnsi="Arial" w:cs="Arial"/>
          <w:sz w:val="20"/>
        </w:rPr>
        <w:t>and n</w:t>
      </w:r>
      <w:r w:rsidR="0085118F" w:rsidRPr="007C2816">
        <w:rPr>
          <w:rFonts w:ascii="Arial" w:hAnsi="Arial" w:cs="Arial"/>
          <w:sz w:val="20"/>
        </w:rPr>
        <w:t>o Awards</w:t>
      </w:r>
      <w:bookmarkEnd w:id="85"/>
      <w:r w:rsidR="0085118F" w:rsidRPr="007C2816">
        <w:rPr>
          <w:rFonts w:ascii="Arial" w:hAnsi="Arial" w:cs="Arial"/>
          <w:sz w:val="20"/>
        </w:rPr>
        <w:t xml:space="preserve"> may be granted</w:t>
      </w:r>
      <w:r w:rsidR="0085118F">
        <w:rPr>
          <w:rFonts w:ascii="Arial" w:hAnsi="Arial" w:cs="Arial"/>
          <w:sz w:val="20"/>
        </w:rPr>
        <w:t xml:space="preserve"> (i)</w:t>
      </w:r>
      <w:r w:rsidR="0085118F" w:rsidRPr="007C2816">
        <w:rPr>
          <w:rFonts w:ascii="Arial" w:hAnsi="Arial" w:cs="Arial"/>
          <w:sz w:val="20"/>
        </w:rPr>
        <w:t xml:space="preserve"> </w:t>
      </w:r>
      <w:bookmarkStart w:id="86" w:name="a200727"/>
      <w:r w:rsidR="0085118F" w:rsidRPr="007C2816">
        <w:rPr>
          <w:rFonts w:ascii="Arial" w:hAnsi="Arial" w:cs="Arial"/>
          <w:sz w:val="20"/>
        </w:rPr>
        <w:t xml:space="preserve">during a Closed Period, </w:t>
      </w:r>
      <w:r w:rsidR="0085118F">
        <w:rPr>
          <w:rFonts w:ascii="Arial" w:hAnsi="Arial" w:cs="Arial"/>
          <w:sz w:val="20"/>
        </w:rPr>
        <w:t xml:space="preserve">(ii) </w:t>
      </w:r>
      <w:r w:rsidR="0085118F" w:rsidRPr="007C2816">
        <w:rPr>
          <w:rFonts w:ascii="Arial" w:hAnsi="Arial" w:cs="Arial"/>
          <w:sz w:val="20"/>
        </w:rPr>
        <w:t>where Dealing Restrictions prevent the grant of Awards, or</w:t>
      </w:r>
      <w:bookmarkEnd w:id="86"/>
      <w:r w:rsidR="0085118F" w:rsidRPr="007C2816">
        <w:rPr>
          <w:rFonts w:ascii="Arial" w:hAnsi="Arial" w:cs="Arial"/>
          <w:sz w:val="20"/>
        </w:rPr>
        <w:t xml:space="preserve"> </w:t>
      </w:r>
      <w:r w:rsidR="0085118F">
        <w:rPr>
          <w:rFonts w:ascii="Arial" w:hAnsi="Arial" w:cs="Arial"/>
          <w:sz w:val="20"/>
        </w:rPr>
        <w:t xml:space="preserve">(iii) </w:t>
      </w:r>
      <w:bookmarkStart w:id="87" w:name="a158002"/>
      <w:r w:rsidR="006904E1">
        <w:rPr>
          <w:rFonts w:ascii="Arial" w:hAnsi="Arial" w:cs="Arial"/>
          <w:sz w:val="20"/>
        </w:rPr>
        <w:t>on or</w:t>
      </w:r>
      <w:r w:rsidR="002F722C">
        <w:rPr>
          <w:rFonts w:ascii="Arial" w:hAnsi="Arial" w:cs="Arial"/>
          <w:sz w:val="20"/>
        </w:rPr>
        <w:t xml:space="preserve"> </w:t>
      </w:r>
      <w:r w:rsidR="0085118F" w:rsidRPr="007C2816">
        <w:rPr>
          <w:rFonts w:ascii="Arial" w:hAnsi="Arial" w:cs="Arial"/>
          <w:sz w:val="20"/>
        </w:rPr>
        <w:t>after the tenth anniversary of the date the Plan was approved by the Company’s shareholders.</w:t>
      </w:r>
      <w:bookmarkEnd w:id="87"/>
    </w:p>
    <w:p w14:paraId="78857AB8" w14:textId="0AC4126D" w:rsidR="0085118F" w:rsidRPr="0006114E" w:rsidRDefault="005D0E89" w:rsidP="0085118F">
      <w:pPr>
        <w:pStyle w:val="Untitledsubclause1"/>
        <w:spacing w:line="240" w:lineRule="auto"/>
        <w:rPr>
          <w:rFonts w:ascii="Arial" w:hAnsi="Arial" w:cs="Arial"/>
          <w:sz w:val="20"/>
        </w:rPr>
      </w:pPr>
      <w:bookmarkStart w:id="88" w:name="a959101"/>
      <w:r w:rsidRPr="004D397F">
        <w:rPr>
          <w:rFonts w:ascii="Arial" w:hAnsi="Arial" w:cs="Arial"/>
          <w:sz w:val="20"/>
        </w:rPr>
        <w:t>Awards shall be granted by deed or by such other contractually enforceable method as the Remuneration Committee may decide.</w:t>
      </w:r>
      <w:r w:rsidR="003F02A3">
        <w:rPr>
          <w:rFonts w:ascii="Arial" w:hAnsi="Arial" w:cs="Arial"/>
          <w:sz w:val="20"/>
        </w:rPr>
        <w:t xml:space="preserve"> The </w:t>
      </w:r>
      <w:r w:rsidR="003F02A3" w:rsidRPr="004D397F">
        <w:rPr>
          <w:rFonts w:ascii="Arial" w:hAnsi="Arial" w:cs="Arial"/>
          <w:sz w:val="20"/>
        </w:rPr>
        <w:t>Remuneration Committee</w:t>
      </w:r>
      <w:r w:rsidR="003F02A3">
        <w:rPr>
          <w:rFonts w:ascii="Arial" w:hAnsi="Arial" w:cs="Arial"/>
          <w:sz w:val="20"/>
        </w:rPr>
        <w:t xml:space="preserve"> will send an Award Holder an Award Certificate on or shortly after the Grant Date of their Award.</w:t>
      </w:r>
    </w:p>
    <w:bookmarkStart w:id="89" w:name="_Toc159952449"/>
    <w:bookmarkEnd w:id="84"/>
    <w:bookmarkEnd w:id="88"/>
    <w:p w14:paraId="56712E22" w14:textId="7937FBBC"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"3. Performance Condition" \l 1</w:instrText>
      </w:r>
      <w:r w:rsidRPr="0006114E">
        <w:rPr>
          <w:rFonts w:ascii="Arial" w:hAnsi="Arial" w:cs="Arial"/>
          <w:sz w:val="20"/>
        </w:rPr>
        <w:fldChar w:fldCharType="end"/>
      </w:r>
      <w:bookmarkStart w:id="90" w:name="a920421"/>
      <w:bookmarkStart w:id="91" w:name="_Ref103181009"/>
      <w:bookmarkStart w:id="92" w:name="_Toc105671016"/>
      <w:bookmarkStart w:id="93" w:name="_Toc103273389"/>
      <w:bookmarkStart w:id="94" w:name="_Toc145339771"/>
      <w:bookmarkStart w:id="95" w:name="_Toc131682121"/>
      <w:bookmarkStart w:id="96" w:name="_Toc107828212"/>
      <w:bookmarkStart w:id="97" w:name="_Toc152661645"/>
      <w:bookmarkStart w:id="98" w:name="_Toc168490273"/>
      <w:bookmarkStart w:id="99" w:name="_Toc187838765"/>
      <w:bookmarkStart w:id="100" w:name="_Toc188629299"/>
      <w:bookmarkStart w:id="101" w:name="_Toc191381399"/>
      <w:r w:rsidR="00DE7DFE" w:rsidRPr="0006114E">
        <w:rPr>
          <w:rFonts w:ascii="Arial" w:hAnsi="Arial" w:cs="Arial"/>
          <w:sz w:val="20"/>
        </w:rPr>
        <w:t xml:space="preserve">Performance </w:t>
      </w:r>
      <w:r w:rsidR="00D44FC6" w:rsidRPr="0006114E">
        <w:rPr>
          <w:rFonts w:ascii="Arial" w:hAnsi="Arial" w:cs="Arial"/>
          <w:sz w:val="20"/>
        </w:rPr>
        <w:t>Condition</w:t>
      </w:r>
      <w:bookmarkEnd w:id="90"/>
      <w:r w:rsidR="00D44FC6" w:rsidRPr="0006114E">
        <w:rPr>
          <w:rFonts w:ascii="Arial" w:hAnsi="Arial" w:cs="Arial"/>
          <w:sz w:val="20"/>
        </w:rPr>
        <w:t>s</w:t>
      </w:r>
      <w:bookmarkEnd w:id="89"/>
      <w:bookmarkEnd w:id="91"/>
      <w:bookmarkEnd w:id="92"/>
      <w:bookmarkEnd w:id="93"/>
      <w:bookmarkEnd w:id="94"/>
      <w:bookmarkEnd w:id="95"/>
      <w:bookmarkEnd w:id="96"/>
      <w:bookmarkEnd w:id="97"/>
      <w:bookmarkEnd w:id="98"/>
      <w:bookmarkEnd w:id="99"/>
      <w:bookmarkEnd w:id="100"/>
      <w:bookmarkEnd w:id="101"/>
    </w:p>
    <w:p w14:paraId="690E6D36" w14:textId="08954575" w:rsidR="00F2477D" w:rsidRPr="00F2477D" w:rsidRDefault="00372842" w:rsidP="00F2477D">
      <w:pPr>
        <w:pStyle w:val="Untitledsubclause1"/>
        <w:spacing w:line="240" w:lineRule="auto"/>
        <w:rPr>
          <w:rFonts w:ascii="Arial" w:hAnsi="Arial" w:cs="Arial"/>
          <w:sz w:val="20"/>
        </w:rPr>
      </w:pPr>
      <w:bookmarkStart w:id="102" w:name="a728157"/>
      <w:bookmarkStart w:id="103" w:name="_Ref103346871"/>
      <w:r w:rsidRPr="0006114E">
        <w:rPr>
          <w:rFonts w:ascii="Arial" w:hAnsi="Arial" w:cs="Arial"/>
          <w:sz w:val="20"/>
        </w:rPr>
        <w:t>T</w:t>
      </w:r>
      <w:r w:rsidR="00D8597D" w:rsidRPr="0006114E">
        <w:rPr>
          <w:rFonts w:ascii="Arial" w:hAnsi="Arial" w:cs="Arial"/>
          <w:sz w:val="20"/>
        </w:rPr>
        <w:t xml:space="preserve">he </w:t>
      </w:r>
      <w:r w:rsidR="00B00B6F" w:rsidRPr="0006114E">
        <w:rPr>
          <w:rFonts w:ascii="Arial" w:hAnsi="Arial" w:cs="Arial"/>
          <w:sz w:val="20"/>
        </w:rPr>
        <w:t>Remuneration Committee</w:t>
      </w:r>
      <w:r w:rsidR="00492A86" w:rsidRPr="0006114E">
        <w:rPr>
          <w:rFonts w:ascii="Arial" w:hAnsi="Arial" w:cs="Arial"/>
          <w:sz w:val="20"/>
        </w:rPr>
        <w:t xml:space="preserve"> may</w:t>
      </w:r>
      <w:r w:rsidR="00DE7DFE" w:rsidRPr="0006114E">
        <w:rPr>
          <w:rFonts w:ascii="Arial" w:hAnsi="Arial" w:cs="Arial"/>
          <w:sz w:val="20"/>
        </w:rPr>
        <w:t xml:space="preserve"> </w:t>
      </w:r>
      <w:r w:rsidR="00D8597D" w:rsidRPr="0006114E">
        <w:rPr>
          <w:rFonts w:ascii="Arial" w:hAnsi="Arial" w:cs="Arial"/>
          <w:sz w:val="20"/>
        </w:rPr>
        <w:t xml:space="preserve">specify </w:t>
      </w:r>
      <w:r w:rsidR="007B4FB5" w:rsidRPr="0006114E">
        <w:rPr>
          <w:rFonts w:ascii="Arial" w:hAnsi="Arial" w:cs="Arial"/>
          <w:sz w:val="20"/>
        </w:rPr>
        <w:t xml:space="preserve">one or more </w:t>
      </w:r>
      <w:bookmarkEnd w:id="102"/>
      <w:r w:rsidR="007B4FB5" w:rsidRPr="0006114E">
        <w:rPr>
          <w:rFonts w:ascii="Arial" w:hAnsi="Arial" w:cs="Arial"/>
          <w:sz w:val="20"/>
        </w:rPr>
        <w:t xml:space="preserve">Performance </w:t>
      </w:r>
      <w:r w:rsidR="00D44FC6" w:rsidRPr="0006114E">
        <w:rPr>
          <w:rFonts w:ascii="Arial" w:hAnsi="Arial" w:cs="Arial"/>
          <w:sz w:val="20"/>
        </w:rPr>
        <w:t>Conditions</w:t>
      </w:r>
      <w:r w:rsidR="007B4FB5" w:rsidRPr="0006114E">
        <w:rPr>
          <w:rFonts w:ascii="Arial" w:hAnsi="Arial" w:cs="Arial"/>
          <w:sz w:val="20"/>
        </w:rPr>
        <w:t xml:space="preserve"> </w:t>
      </w:r>
      <w:r w:rsidR="0073293C" w:rsidRPr="0006114E">
        <w:rPr>
          <w:rFonts w:ascii="Arial" w:hAnsi="Arial" w:cs="Arial"/>
          <w:sz w:val="20"/>
        </w:rPr>
        <w:t xml:space="preserve">to which the </w:t>
      </w:r>
      <w:r w:rsidR="005664F4" w:rsidRPr="0006114E">
        <w:rPr>
          <w:rFonts w:ascii="Arial" w:hAnsi="Arial" w:cs="Arial"/>
          <w:sz w:val="20"/>
        </w:rPr>
        <w:t>Vesting</w:t>
      </w:r>
      <w:r w:rsidR="0073293C" w:rsidRPr="0006114E">
        <w:rPr>
          <w:rFonts w:ascii="Arial" w:hAnsi="Arial" w:cs="Arial"/>
          <w:sz w:val="20"/>
        </w:rPr>
        <w:t xml:space="preserve"> of </w:t>
      </w:r>
      <w:r w:rsidR="007B4FB5" w:rsidRPr="0006114E">
        <w:rPr>
          <w:rFonts w:ascii="Arial" w:hAnsi="Arial" w:cs="Arial"/>
          <w:sz w:val="20"/>
        </w:rPr>
        <w:t xml:space="preserve">the </w:t>
      </w:r>
      <w:r w:rsidR="001D71D7" w:rsidRPr="0006114E">
        <w:rPr>
          <w:rFonts w:ascii="Arial" w:hAnsi="Arial" w:cs="Arial"/>
          <w:sz w:val="20"/>
        </w:rPr>
        <w:t>Award</w:t>
      </w:r>
      <w:r w:rsidR="008D3B80">
        <w:rPr>
          <w:rFonts w:ascii="Arial" w:hAnsi="Arial" w:cs="Arial"/>
          <w:sz w:val="20"/>
        </w:rPr>
        <w:t xml:space="preserve"> </w:t>
      </w:r>
      <w:r w:rsidR="0073293C" w:rsidRPr="0006114E">
        <w:rPr>
          <w:rFonts w:ascii="Arial" w:hAnsi="Arial" w:cs="Arial"/>
          <w:sz w:val="20"/>
        </w:rPr>
        <w:t>is subject</w:t>
      </w:r>
      <w:bookmarkEnd w:id="103"/>
      <w:r w:rsidR="008D3B80">
        <w:rPr>
          <w:rFonts w:ascii="Arial" w:hAnsi="Arial" w:cs="Arial"/>
          <w:sz w:val="20"/>
        </w:rPr>
        <w:t>.</w:t>
      </w:r>
      <w:r w:rsidR="00F2477D">
        <w:rPr>
          <w:rFonts w:ascii="Arial" w:hAnsi="Arial" w:cs="Arial"/>
          <w:sz w:val="20"/>
        </w:rPr>
        <w:t xml:space="preserve"> Awards granted to executive directors of the Company will normally be subject to one or more </w:t>
      </w:r>
      <w:r w:rsidR="00F2477D" w:rsidRPr="00F2477D">
        <w:rPr>
          <w:rFonts w:ascii="Arial" w:hAnsi="Arial" w:cs="Arial"/>
          <w:sz w:val="20"/>
        </w:rPr>
        <w:t xml:space="preserve">Performance Conditions </w:t>
      </w:r>
      <w:r w:rsidR="00F2477D">
        <w:rPr>
          <w:rFonts w:ascii="Arial" w:hAnsi="Arial" w:cs="Arial"/>
          <w:sz w:val="20"/>
        </w:rPr>
        <w:t xml:space="preserve">(save </w:t>
      </w:r>
      <w:r w:rsidR="00DE26A4">
        <w:rPr>
          <w:rFonts w:ascii="Arial" w:hAnsi="Arial" w:cs="Arial"/>
          <w:sz w:val="20"/>
        </w:rPr>
        <w:t xml:space="preserve">to the extent the </w:t>
      </w:r>
      <w:r w:rsidR="00CD65B1">
        <w:rPr>
          <w:rFonts w:ascii="Arial" w:hAnsi="Arial" w:cs="Arial"/>
          <w:sz w:val="20"/>
        </w:rPr>
        <w:t xml:space="preserve">applicable </w:t>
      </w:r>
      <w:r w:rsidR="0088388D">
        <w:rPr>
          <w:rFonts w:ascii="Arial" w:hAnsi="Arial" w:cs="Arial"/>
          <w:sz w:val="20"/>
        </w:rPr>
        <w:t>D</w:t>
      </w:r>
      <w:r w:rsidR="00F2477D" w:rsidRPr="00F2477D">
        <w:rPr>
          <w:rFonts w:ascii="Arial" w:hAnsi="Arial" w:cs="Arial"/>
          <w:sz w:val="20"/>
        </w:rPr>
        <w:t xml:space="preserve">irectors’ </w:t>
      </w:r>
      <w:r w:rsidR="0088388D">
        <w:rPr>
          <w:rFonts w:ascii="Arial" w:hAnsi="Arial" w:cs="Arial"/>
          <w:sz w:val="20"/>
        </w:rPr>
        <w:t>R</w:t>
      </w:r>
      <w:r w:rsidR="00F2477D" w:rsidRPr="00F2477D">
        <w:rPr>
          <w:rFonts w:ascii="Arial" w:hAnsi="Arial" w:cs="Arial"/>
          <w:sz w:val="20"/>
        </w:rPr>
        <w:t xml:space="preserve">emuneration </w:t>
      </w:r>
      <w:r w:rsidR="0088388D">
        <w:rPr>
          <w:rFonts w:ascii="Arial" w:hAnsi="Arial" w:cs="Arial"/>
          <w:sz w:val="20"/>
        </w:rPr>
        <w:t>P</w:t>
      </w:r>
      <w:r w:rsidR="00F2477D" w:rsidRPr="00F2477D">
        <w:rPr>
          <w:rFonts w:ascii="Arial" w:hAnsi="Arial" w:cs="Arial"/>
          <w:sz w:val="20"/>
        </w:rPr>
        <w:t>olicy</w:t>
      </w:r>
      <w:r w:rsidR="00F865A3">
        <w:rPr>
          <w:rFonts w:ascii="Arial" w:hAnsi="Arial" w:cs="Arial"/>
          <w:sz w:val="20"/>
        </w:rPr>
        <w:t xml:space="preserve"> </w:t>
      </w:r>
      <w:r w:rsidR="00DE26A4">
        <w:rPr>
          <w:rFonts w:ascii="Arial" w:hAnsi="Arial" w:cs="Arial"/>
          <w:sz w:val="20"/>
        </w:rPr>
        <w:t>provides otherwise).</w:t>
      </w:r>
    </w:p>
    <w:p w14:paraId="48044A73" w14:textId="09859007" w:rsidR="007B4FB5" w:rsidRDefault="00D8597D" w:rsidP="006A1CE1">
      <w:pPr>
        <w:pStyle w:val="Untitledsubclause1"/>
        <w:spacing w:line="240" w:lineRule="auto"/>
        <w:rPr>
          <w:rFonts w:ascii="Arial" w:hAnsi="Arial" w:cs="Arial"/>
          <w:sz w:val="20"/>
        </w:rPr>
      </w:pPr>
      <w:bookmarkStart w:id="104" w:name="_Ref175671855"/>
      <w:bookmarkStart w:id="105" w:name="a858924"/>
      <w:r w:rsidRPr="0006114E">
        <w:rPr>
          <w:rFonts w:ascii="Arial" w:hAnsi="Arial" w:cs="Arial"/>
          <w:sz w:val="20"/>
        </w:rPr>
        <w:t xml:space="preserve">The </w:t>
      </w:r>
      <w:r w:rsidR="00623047" w:rsidRPr="0006114E">
        <w:rPr>
          <w:rFonts w:ascii="Arial" w:hAnsi="Arial" w:cs="Arial"/>
          <w:sz w:val="20"/>
        </w:rPr>
        <w:t>Remuneration Committee</w:t>
      </w:r>
      <w:r w:rsidR="00C53F3E" w:rsidRPr="0006114E">
        <w:rPr>
          <w:rFonts w:ascii="Arial" w:hAnsi="Arial" w:cs="Arial"/>
          <w:sz w:val="20"/>
        </w:rPr>
        <w:t>, acting reasonably,</w:t>
      </w:r>
      <w:r w:rsidRPr="0006114E">
        <w:rPr>
          <w:rFonts w:ascii="Arial" w:hAnsi="Arial" w:cs="Arial"/>
          <w:sz w:val="20"/>
        </w:rPr>
        <w:t xml:space="preserve"> may vary</w:t>
      </w:r>
      <w:r w:rsidR="00AC3E7A" w:rsidRPr="0006114E">
        <w:rPr>
          <w:rFonts w:ascii="Arial" w:hAnsi="Arial" w:cs="Arial"/>
          <w:sz w:val="20"/>
        </w:rPr>
        <w:t xml:space="preserve"> </w:t>
      </w:r>
      <w:r w:rsidR="007B4FB5" w:rsidRPr="0006114E">
        <w:rPr>
          <w:rFonts w:ascii="Arial" w:hAnsi="Arial" w:cs="Arial"/>
          <w:sz w:val="20"/>
        </w:rPr>
        <w:t>any</w:t>
      </w:r>
      <w:r w:rsidRPr="0006114E">
        <w:rPr>
          <w:rFonts w:ascii="Arial" w:hAnsi="Arial" w:cs="Arial"/>
          <w:sz w:val="20"/>
        </w:rPr>
        <w:t xml:space="preserve"> </w:t>
      </w:r>
      <w:r w:rsidR="00DE7DFE" w:rsidRPr="0006114E">
        <w:rPr>
          <w:rFonts w:ascii="Arial" w:hAnsi="Arial" w:cs="Arial"/>
          <w:sz w:val="20"/>
        </w:rPr>
        <w:t xml:space="preserve">Performance </w:t>
      </w:r>
      <w:r w:rsidR="007B4FB5" w:rsidRPr="0006114E">
        <w:rPr>
          <w:rFonts w:ascii="Arial" w:hAnsi="Arial" w:cs="Arial"/>
          <w:sz w:val="20"/>
        </w:rPr>
        <w:t>Condition</w:t>
      </w:r>
      <w:r w:rsidR="009A280E" w:rsidRPr="0006114E">
        <w:rPr>
          <w:rFonts w:ascii="Arial" w:hAnsi="Arial" w:cs="Arial"/>
          <w:sz w:val="20"/>
        </w:rPr>
        <w:t xml:space="preserve"> </w:t>
      </w:r>
      <w:r w:rsidR="009B4031" w:rsidRPr="0006114E">
        <w:rPr>
          <w:rFonts w:ascii="Arial" w:hAnsi="Arial" w:cs="Arial"/>
          <w:sz w:val="20"/>
        </w:rPr>
        <w:t xml:space="preserve">if an event occurs which causes the </w:t>
      </w:r>
      <w:r w:rsidR="00623047" w:rsidRPr="0006114E">
        <w:rPr>
          <w:rFonts w:ascii="Arial" w:hAnsi="Arial" w:cs="Arial"/>
          <w:sz w:val="20"/>
        </w:rPr>
        <w:t>Remuneration Committee</w:t>
      </w:r>
      <w:r w:rsidR="00B92640" w:rsidRPr="0006114E">
        <w:rPr>
          <w:rFonts w:ascii="Arial" w:hAnsi="Arial" w:cs="Arial"/>
          <w:sz w:val="20"/>
        </w:rPr>
        <w:t xml:space="preserve"> to consider that it would be appropriate to </w:t>
      </w:r>
      <w:r w:rsidR="00C64D01" w:rsidRPr="0006114E">
        <w:rPr>
          <w:rFonts w:ascii="Arial" w:hAnsi="Arial" w:cs="Arial"/>
          <w:sz w:val="20"/>
        </w:rPr>
        <w:t>do so</w:t>
      </w:r>
      <w:bookmarkStart w:id="106" w:name="a50052"/>
      <w:r w:rsidR="00F63860" w:rsidRPr="0006114E">
        <w:rPr>
          <w:rFonts w:ascii="Arial" w:hAnsi="Arial" w:cs="Arial"/>
          <w:sz w:val="20"/>
        </w:rPr>
        <w:t xml:space="preserve">, provided </w:t>
      </w:r>
      <w:r w:rsidR="000841A3" w:rsidRPr="0006114E">
        <w:rPr>
          <w:rFonts w:ascii="Arial" w:hAnsi="Arial" w:cs="Arial"/>
          <w:sz w:val="20"/>
        </w:rPr>
        <w:t xml:space="preserve">they consider the varied condition </w:t>
      </w:r>
      <w:r w:rsidR="000841A3">
        <w:rPr>
          <w:rFonts w:ascii="Arial" w:hAnsi="Arial" w:cs="Arial"/>
          <w:sz w:val="20"/>
        </w:rPr>
        <w:t>to be no</w:t>
      </w:r>
      <w:r w:rsidR="00C6378D">
        <w:rPr>
          <w:rFonts w:ascii="Arial" w:hAnsi="Arial" w:cs="Arial"/>
          <w:sz w:val="20"/>
        </w:rPr>
        <w:t>t materially</w:t>
      </w:r>
      <w:r w:rsidR="000841A3">
        <w:rPr>
          <w:rFonts w:ascii="Arial" w:hAnsi="Arial" w:cs="Arial"/>
          <w:sz w:val="20"/>
        </w:rPr>
        <w:t xml:space="preserve"> </w:t>
      </w:r>
      <w:r w:rsidR="000841A3" w:rsidRPr="0006114E">
        <w:rPr>
          <w:rFonts w:ascii="Arial" w:hAnsi="Arial" w:cs="Arial"/>
          <w:sz w:val="20"/>
        </w:rPr>
        <w:t xml:space="preserve">more difficult to satisfy </w:t>
      </w:r>
      <w:r w:rsidR="0048046B" w:rsidRPr="0006114E">
        <w:rPr>
          <w:rFonts w:ascii="Arial" w:hAnsi="Arial" w:cs="Arial"/>
          <w:sz w:val="20"/>
        </w:rPr>
        <w:t xml:space="preserve">than the original Performance Condition was at the Grant Date </w:t>
      </w:r>
      <w:r w:rsidR="002B65D2">
        <w:rPr>
          <w:rFonts w:ascii="Arial" w:hAnsi="Arial" w:cs="Arial"/>
          <w:sz w:val="20"/>
        </w:rPr>
        <w:t xml:space="preserve">(save for changes </w:t>
      </w:r>
      <w:r w:rsidR="00C43A8D">
        <w:rPr>
          <w:rFonts w:ascii="Arial" w:hAnsi="Arial" w:cs="Arial"/>
          <w:sz w:val="20"/>
        </w:rPr>
        <w:t>in accordance with</w:t>
      </w:r>
      <w:r w:rsidR="00A83226">
        <w:rPr>
          <w:rFonts w:ascii="Arial" w:hAnsi="Arial" w:cs="Arial"/>
          <w:sz w:val="20"/>
        </w:rPr>
        <w:t xml:space="preserve"> rule</w:t>
      </w:r>
      <w:r w:rsidR="00C43A8D">
        <w:rPr>
          <w:rFonts w:ascii="Arial" w:hAnsi="Arial" w:cs="Arial"/>
          <w:sz w:val="20"/>
        </w:rPr>
        <w:t xml:space="preserve"> </w:t>
      </w:r>
      <w:r w:rsidR="00C43A8D">
        <w:rPr>
          <w:rFonts w:ascii="Arial" w:hAnsi="Arial" w:cs="Arial"/>
          <w:sz w:val="20"/>
        </w:rPr>
        <w:fldChar w:fldCharType="begin"/>
      </w:r>
      <w:r w:rsidR="00C43A8D">
        <w:rPr>
          <w:rFonts w:ascii="Arial" w:hAnsi="Arial" w:cs="Arial"/>
          <w:sz w:val="20"/>
        </w:rPr>
        <w:instrText xml:space="preserve"> REF _Ref177116357 \r \h </w:instrText>
      </w:r>
      <w:r w:rsidR="00C43A8D">
        <w:rPr>
          <w:rFonts w:ascii="Arial" w:hAnsi="Arial" w:cs="Arial"/>
          <w:sz w:val="20"/>
        </w:rPr>
      </w:r>
      <w:r w:rsidR="00C43A8D">
        <w:rPr>
          <w:rFonts w:ascii="Arial" w:hAnsi="Arial" w:cs="Arial"/>
          <w:sz w:val="20"/>
        </w:rPr>
        <w:fldChar w:fldCharType="separate"/>
      </w:r>
      <w:r w:rsidR="00661E34">
        <w:rPr>
          <w:rFonts w:ascii="Arial" w:hAnsi="Arial" w:cs="Arial"/>
          <w:sz w:val="20"/>
        </w:rPr>
        <w:t>21.1(b)</w:t>
      </w:r>
      <w:r w:rsidR="00C43A8D">
        <w:rPr>
          <w:rFonts w:ascii="Arial" w:hAnsi="Arial" w:cs="Arial"/>
          <w:sz w:val="20"/>
        </w:rPr>
        <w:fldChar w:fldCharType="end"/>
      </w:r>
      <w:r w:rsidR="002B65D2">
        <w:rPr>
          <w:rFonts w:ascii="Arial" w:hAnsi="Arial" w:cs="Arial"/>
          <w:sz w:val="20"/>
        </w:rPr>
        <w:t>)</w:t>
      </w:r>
      <w:r w:rsidR="00C43A8D">
        <w:rPr>
          <w:rFonts w:ascii="Arial" w:hAnsi="Arial" w:cs="Arial"/>
          <w:sz w:val="20"/>
        </w:rPr>
        <w:t xml:space="preserve"> </w:t>
      </w:r>
      <w:r w:rsidR="0048046B" w:rsidRPr="0006114E">
        <w:rPr>
          <w:rFonts w:ascii="Arial" w:hAnsi="Arial" w:cs="Arial"/>
          <w:sz w:val="20"/>
        </w:rPr>
        <w:t>and</w:t>
      </w:r>
      <w:r w:rsidR="00C550FE" w:rsidRPr="0006114E">
        <w:rPr>
          <w:rFonts w:ascii="Arial" w:hAnsi="Arial" w:cs="Arial"/>
          <w:sz w:val="20"/>
        </w:rPr>
        <w:t xml:space="preserve"> </w:t>
      </w:r>
      <w:r w:rsidR="0048046B" w:rsidRPr="0006114E">
        <w:rPr>
          <w:rFonts w:ascii="Arial" w:hAnsi="Arial" w:cs="Arial"/>
          <w:sz w:val="20"/>
        </w:rPr>
        <w:t>not materially easier to satisfy than the original Performance Condition was at the Grant Date</w:t>
      </w:r>
      <w:r w:rsidR="002B65D2">
        <w:rPr>
          <w:rFonts w:ascii="Arial" w:hAnsi="Arial" w:cs="Arial"/>
          <w:sz w:val="20"/>
        </w:rPr>
        <w:t xml:space="preserve"> (</w:t>
      </w:r>
      <w:r w:rsidR="00794D44">
        <w:rPr>
          <w:rFonts w:ascii="Arial" w:hAnsi="Arial" w:cs="Arial"/>
          <w:sz w:val="20"/>
        </w:rPr>
        <w:t xml:space="preserve">and a condition varied under this rule shall be deemed not to be </w:t>
      </w:r>
      <w:r w:rsidR="00794D44" w:rsidRPr="00680A57">
        <w:rPr>
          <w:rFonts w:ascii="Arial" w:hAnsi="Arial" w:cs="Arial"/>
          <w:sz w:val="20"/>
        </w:rPr>
        <w:t xml:space="preserve">an </w:t>
      </w:r>
      <w:r w:rsidR="00680A57" w:rsidRPr="00680A57">
        <w:rPr>
          <w:rFonts w:ascii="Arial" w:hAnsi="Arial" w:cs="Arial"/>
          <w:sz w:val="20"/>
        </w:rPr>
        <w:t xml:space="preserve">amendment to the advantage of Employees or Award Holders for the purposes of rule </w:t>
      </w:r>
      <w:r w:rsidR="00680A57" w:rsidRPr="00680A57">
        <w:rPr>
          <w:rFonts w:ascii="Arial" w:hAnsi="Arial" w:cs="Arial"/>
          <w:sz w:val="20"/>
        </w:rPr>
        <w:fldChar w:fldCharType="begin"/>
      </w:r>
      <w:r w:rsidR="00680A57" w:rsidRPr="00680A57">
        <w:rPr>
          <w:rFonts w:ascii="Arial" w:hAnsi="Arial" w:cs="Arial"/>
          <w:sz w:val="20"/>
        </w:rPr>
        <w:instrText xml:space="preserve"> REF a958935 \r \h </w:instrText>
      </w:r>
      <w:r w:rsidR="00680A57">
        <w:rPr>
          <w:rFonts w:ascii="Arial" w:hAnsi="Arial" w:cs="Arial"/>
          <w:sz w:val="20"/>
        </w:rPr>
        <w:instrText xml:space="preserve"> \* MERGEFORMAT </w:instrText>
      </w:r>
      <w:r w:rsidR="00680A57" w:rsidRPr="00680A57">
        <w:rPr>
          <w:rFonts w:ascii="Arial" w:hAnsi="Arial" w:cs="Arial"/>
          <w:sz w:val="20"/>
        </w:rPr>
      </w:r>
      <w:r w:rsidR="00680A57" w:rsidRPr="00680A57">
        <w:rPr>
          <w:rFonts w:ascii="Arial" w:hAnsi="Arial" w:cs="Arial"/>
          <w:sz w:val="20"/>
        </w:rPr>
        <w:fldChar w:fldCharType="separate"/>
      </w:r>
      <w:r w:rsidR="00661E34">
        <w:rPr>
          <w:rFonts w:ascii="Arial" w:hAnsi="Arial" w:cs="Arial"/>
          <w:sz w:val="20"/>
        </w:rPr>
        <w:t>21.1(a)</w:t>
      </w:r>
      <w:r w:rsidR="00680A57" w:rsidRPr="00680A57">
        <w:rPr>
          <w:rFonts w:ascii="Arial" w:hAnsi="Arial" w:cs="Arial"/>
          <w:sz w:val="20"/>
        </w:rPr>
        <w:fldChar w:fldCharType="end"/>
      </w:r>
      <w:r w:rsidR="0081196B" w:rsidRPr="00680A57">
        <w:rPr>
          <w:rFonts w:ascii="Arial" w:hAnsi="Arial" w:cs="Arial"/>
          <w:sz w:val="20"/>
        </w:rPr>
        <w:t>)</w:t>
      </w:r>
      <w:r w:rsidR="00E343FB" w:rsidRPr="00680A57">
        <w:rPr>
          <w:rFonts w:ascii="Arial" w:hAnsi="Arial" w:cs="Arial"/>
          <w:sz w:val="20"/>
        </w:rPr>
        <w:t>.</w:t>
      </w:r>
      <w:bookmarkEnd w:id="104"/>
      <w:bookmarkEnd w:id="106"/>
    </w:p>
    <w:p w14:paraId="56712E25" w14:textId="27456A15" w:rsidR="008F257F" w:rsidRPr="0006114E" w:rsidRDefault="00D8597D" w:rsidP="006A1CE1">
      <w:pPr>
        <w:pStyle w:val="TitleClause"/>
        <w:spacing w:line="240" w:lineRule="auto"/>
        <w:rPr>
          <w:rFonts w:ascii="Arial" w:hAnsi="Arial" w:cs="Arial"/>
          <w:sz w:val="20"/>
        </w:rPr>
      </w:pPr>
      <w:bookmarkStart w:id="107" w:name="_Toc107828213"/>
      <w:bookmarkStart w:id="108" w:name="_Toc152661646"/>
      <w:bookmarkStart w:id="109" w:name="_Toc105671017"/>
      <w:bookmarkStart w:id="110" w:name="_Ref128147844"/>
      <w:bookmarkStart w:id="111" w:name="_Toc145339772"/>
      <w:bookmarkStart w:id="112" w:name="_Toc131682122"/>
      <w:bookmarkStart w:id="113" w:name="_Toc159952450"/>
      <w:bookmarkStart w:id="114" w:name="_Toc168490274"/>
      <w:bookmarkStart w:id="115" w:name="_Toc187838766"/>
      <w:bookmarkStart w:id="116" w:name="_Toc188629300"/>
      <w:bookmarkStart w:id="117" w:name="_Toc191381400"/>
      <w:bookmarkEnd w:id="105"/>
      <w:r w:rsidRPr="0006114E">
        <w:rPr>
          <w:rFonts w:ascii="Arial" w:hAnsi="Arial" w:cs="Arial"/>
          <w:sz w:val="20"/>
        </w:rPr>
        <w:t xml:space="preserve">Adjustment to </w:t>
      </w:r>
      <w:r w:rsidR="000B3FEF" w:rsidRPr="0006114E">
        <w:rPr>
          <w:rFonts w:ascii="Arial" w:hAnsi="Arial" w:cs="Arial"/>
          <w:sz w:val="20"/>
        </w:rPr>
        <w:t>Vesting of Awards</w:t>
      </w:r>
      <w:bookmarkEnd w:id="107"/>
      <w:bookmarkEnd w:id="108"/>
      <w:bookmarkEnd w:id="109"/>
      <w:bookmarkEnd w:id="110"/>
      <w:bookmarkEnd w:id="111"/>
      <w:bookmarkEnd w:id="112"/>
      <w:bookmarkEnd w:id="113"/>
      <w:bookmarkEnd w:id="114"/>
      <w:bookmarkEnd w:id="115"/>
      <w:bookmarkEnd w:id="116"/>
      <w:bookmarkEnd w:id="117"/>
    </w:p>
    <w:p w14:paraId="60ECFF5C" w14:textId="06ADD1B6" w:rsidR="00FB4FCC" w:rsidRPr="00885B47" w:rsidRDefault="00D8597D" w:rsidP="00FB4FCC">
      <w:pPr>
        <w:pStyle w:val="Untitledsubclause1"/>
        <w:numPr>
          <w:ilvl w:val="0"/>
          <w:numId w:val="0"/>
        </w:numPr>
        <w:tabs>
          <w:tab w:val="num" w:pos="1554"/>
        </w:tabs>
        <w:spacing w:line="240" w:lineRule="auto"/>
        <w:ind w:left="720"/>
        <w:rPr>
          <w:rFonts w:ascii="Arial" w:hAnsi="Arial" w:cs="Arial"/>
          <w:sz w:val="20"/>
        </w:rPr>
      </w:pPr>
      <w:bookmarkStart w:id="118" w:name="_Ref81560493"/>
      <w:r w:rsidRPr="0056787B">
        <w:rPr>
          <w:rFonts w:ascii="Arial" w:hAnsi="Arial" w:cs="Arial"/>
          <w:sz w:val="20"/>
        </w:rPr>
        <w:t xml:space="preserve">The </w:t>
      </w:r>
      <w:r w:rsidR="00623047" w:rsidRPr="0056787B">
        <w:rPr>
          <w:rFonts w:ascii="Arial" w:hAnsi="Arial" w:cs="Arial"/>
          <w:sz w:val="20"/>
        </w:rPr>
        <w:t>Remuneration Committee</w:t>
      </w:r>
      <w:r w:rsidRPr="0056787B">
        <w:rPr>
          <w:rFonts w:ascii="Arial" w:hAnsi="Arial" w:cs="Arial"/>
          <w:sz w:val="20"/>
        </w:rPr>
        <w:t xml:space="preserve"> may adjust</w:t>
      </w:r>
      <w:r w:rsidR="005D781D" w:rsidRPr="0056787B">
        <w:rPr>
          <w:rFonts w:ascii="Arial" w:hAnsi="Arial" w:cs="Arial"/>
          <w:sz w:val="20"/>
        </w:rPr>
        <w:t xml:space="preserve"> </w:t>
      </w:r>
      <w:r w:rsidRPr="0056787B">
        <w:rPr>
          <w:rFonts w:ascii="Arial" w:hAnsi="Arial" w:cs="Arial"/>
          <w:sz w:val="20"/>
        </w:rPr>
        <w:t>the extent to which</w:t>
      </w:r>
      <w:r w:rsidR="00091CB6" w:rsidRPr="0056787B">
        <w:rPr>
          <w:rFonts w:ascii="Arial" w:hAnsi="Arial" w:cs="Arial"/>
          <w:sz w:val="20"/>
        </w:rPr>
        <w:t xml:space="preserve"> </w:t>
      </w:r>
      <w:r w:rsidR="00D93C59" w:rsidRPr="0056787B">
        <w:rPr>
          <w:rFonts w:ascii="Arial" w:hAnsi="Arial" w:cs="Arial"/>
          <w:sz w:val="20"/>
        </w:rPr>
        <w:t>an Award</w:t>
      </w:r>
      <w:r w:rsidR="00091CB6" w:rsidRPr="0056787B">
        <w:rPr>
          <w:rFonts w:ascii="Arial" w:hAnsi="Arial" w:cs="Arial"/>
          <w:sz w:val="20"/>
        </w:rPr>
        <w:t xml:space="preserve"> (or part thereof)</w:t>
      </w:r>
      <w:r w:rsidR="00F40F0B" w:rsidRPr="0056787B">
        <w:rPr>
          <w:rFonts w:ascii="Arial" w:hAnsi="Arial" w:cs="Arial"/>
          <w:sz w:val="20"/>
        </w:rPr>
        <w:t xml:space="preserve"> </w:t>
      </w:r>
      <w:r w:rsidR="00D44FC6" w:rsidRPr="0056787B">
        <w:rPr>
          <w:rFonts w:ascii="Arial" w:hAnsi="Arial" w:cs="Arial"/>
          <w:sz w:val="20"/>
        </w:rPr>
        <w:t>Vests</w:t>
      </w:r>
      <w:r w:rsidR="002D1805" w:rsidRPr="0056787B">
        <w:rPr>
          <w:rFonts w:ascii="Arial" w:hAnsi="Arial" w:cs="Arial"/>
          <w:sz w:val="20"/>
        </w:rPr>
        <w:t xml:space="preserve"> if it </w:t>
      </w:r>
      <w:r w:rsidRPr="0056787B">
        <w:rPr>
          <w:rFonts w:ascii="Arial" w:hAnsi="Arial" w:cs="Arial"/>
          <w:sz w:val="20"/>
        </w:rPr>
        <w:t xml:space="preserve">considers that the extent to which the </w:t>
      </w:r>
      <w:r w:rsidR="00D62C51" w:rsidRPr="0056787B">
        <w:rPr>
          <w:rFonts w:ascii="Arial" w:hAnsi="Arial" w:cs="Arial"/>
          <w:sz w:val="20"/>
        </w:rPr>
        <w:t>Award</w:t>
      </w:r>
      <w:r w:rsidR="00447475" w:rsidRPr="0056787B">
        <w:rPr>
          <w:rFonts w:ascii="Arial" w:hAnsi="Arial" w:cs="Arial"/>
          <w:sz w:val="20"/>
        </w:rPr>
        <w:t xml:space="preserve"> would otherwise </w:t>
      </w:r>
      <w:r w:rsidR="00D44FC6" w:rsidRPr="0056787B">
        <w:rPr>
          <w:rFonts w:ascii="Arial" w:hAnsi="Arial" w:cs="Arial"/>
          <w:sz w:val="20"/>
        </w:rPr>
        <w:t>Vest</w:t>
      </w:r>
      <w:r w:rsidRPr="0056787B">
        <w:rPr>
          <w:rFonts w:ascii="Arial" w:hAnsi="Arial" w:cs="Arial"/>
          <w:sz w:val="20"/>
        </w:rPr>
        <w:t xml:space="preserve"> is not a fair reflection of the </w:t>
      </w:r>
      <w:r w:rsidR="005D5D10">
        <w:rPr>
          <w:rFonts w:ascii="Arial" w:hAnsi="Arial" w:cs="Arial"/>
          <w:sz w:val="20"/>
        </w:rPr>
        <w:t xml:space="preserve">financial or non-financial </w:t>
      </w:r>
      <w:r w:rsidRPr="0056787B">
        <w:rPr>
          <w:rFonts w:ascii="Arial" w:hAnsi="Arial" w:cs="Arial"/>
          <w:sz w:val="20"/>
        </w:rPr>
        <w:t>performance of the Company</w:t>
      </w:r>
      <w:r w:rsidR="00C84B5E">
        <w:rPr>
          <w:rFonts w:ascii="Arial" w:hAnsi="Arial" w:cs="Arial"/>
          <w:sz w:val="20"/>
        </w:rPr>
        <w:t xml:space="preserve"> or any relevant Group Company</w:t>
      </w:r>
      <w:r w:rsidR="00B619CB">
        <w:rPr>
          <w:rFonts w:ascii="Arial" w:hAnsi="Arial" w:cs="Arial"/>
          <w:sz w:val="20"/>
        </w:rPr>
        <w:t xml:space="preserve"> or division</w:t>
      </w:r>
      <w:r w:rsidRPr="0056787B">
        <w:rPr>
          <w:rFonts w:ascii="Arial" w:hAnsi="Arial" w:cs="Arial"/>
          <w:sz w:val="20"/>
        </w:rPr>
        <w:t>, the Award Holder’s performance</w:t>
      </w:r>
      <w:r w:rsidR="00AD1C23" w:rsidRPr="0056787B">
        <w:rPr>
          <w:rFonts w:ascii="Arial" w:hAnsi="Arial" w:cs="Arial"/>
          <w:sz w:val="20"/>
        </w:rPr>
        <w:t xml:space="preserve"> and conduct</w:t>
      </w:r>
      <w:r w:rsidR="0056787B" w:rsidRPr="0056787B">
        <w:rPr>
          <w:rFonts w:ascii="Arial" w:hAnsi="Arial" w:cs="Arial"/>
          <w:sz w:val="20"/>
        </w:rPr>
        <w:t>,</w:t>
      </w:r>
      <w:r w:rsidRPr="0056787B">
        <w:rPr>
          <w:rFonts w:ascii="Arial" w:hAnsi="Arial" w:cs="Arial"/>
          <w:sz w:val="20"/>
        </w:rPr>
        <w:t xml:space="preserve"> and/or </w:t>
      </w:r>
      <w:bookmarkEnd w:id="118"/>
      <w:r w:rsidR="00F12640" w:rsidRPr="0056787B">
        <w:rPr>
          <w:rFonts w:ascii="Arial" w:hAnsi="Arial" w:cs="Arial"/>
          <w:sz w:val="20"/>
        </w:rPr>
        <w:t>the wider stakeholder experience</w:t>
      </w:r>
      <w:r w:rsidR="009D2DE8">
        <w:rPr>
          <w:rFonts w:ascii="Arial" w:hAnsi="Arial" w:cs="Arial"/>
          <w:sz w:val="20"/>
        </w:rPr>
        <w:t xml:space="preserve"> </w:t>
      </w:r>
      <w:r w:rsidR="00FB4FCC" w:rsidRPr="00280641">
        <w:rPr>
          <w:rFonts w:ascii="Arial" w:hAnsi="Arial" w:cs="Arial"/>
          <w:sz w:val="20"/>
        </w:rPr>
        <w:t>(</w:t>
      </w:r>
      <w:r w:rsidR="008D39E0" w:rsidRPr="008D39E0">
        <w:rPr>
          <w:rFonts w:ascii="Arial" w:hAnsi="Arial" w:cs="Arial"/>
          <w:sz w:val="20"/>
        </w:rPr>
        <w:t xml:space="preserve">including but not limited to where any of the circumstances in rule </w:t>
      </w:r>
      <w:r w:rsidR="008D39E0" w:rsidRPr="008D39E0">
        <w:rPr>
          <w:rFonts w:ascii="Arial" w:hAnsi="Arial" w:cs="Arial"/>
          <w:sz w:val="20"/>
        </w:rPr>
        <w:fldChar w:fldCharType="begin"/>
      </w:r>
      <w:r w:rsidR="008D39E0" w:rsidRPr="008D39E0">
        <w:rPr>
          <w:rFonts w:ascii="Arial" w:hAnsi="Arial" w:cs="Arial"/>
          <w:sz w:val="20"/>
        </w:rPr>
        <w:instrText xml:space="preserve"> REF a751038 \r \h </w:instrText>
      </w:r>
      <w:r w:rsidR="008D39E0" w:rsidRPr="008D39E0">
        <w:rPr>
          <w:rFonts w:ascii="Arial" w:hAnsi="Arial" w:cs="Arial"/>
          <w:sz w:val="20"/>
        </w:rPr>
      </w:r>
      <w:r w:rsidR="008D39E0" w:rsidRPr="008D39E0">
        <w:rPr>
          <w:rFonts w:ascii="Arial" w:hAnsi="Arial" w:cs="Arial"/>
          <w:sz w:val="20"/>
        </w:rPr>
        <w:fldChar w:fldCharType="separate"/>
      </w:r>
      <w:r w:rsidR="00661E34">
        <w:rPr>
          <w:rFonts w:ascii="Arial" w:hAnsi="Arial" w:cs="Arial"/>
          <w:sz w:val="20"/>
        </w:rPr>
        <w:t>8.1</w:t>
      </w:r>
      <w:r w:rsidR="008D39E0" w:rsidRPr="008D39E0">
        <w:rPr>
          <w:rFonts w:ascii="Arial" w:hAnsi="Arial" w:cs="Arial"/>
          <w:sz w:val="20"/>
        </w:rPr>
        <w:fldChar w:fldCharType="end"/>
      </w:r>
      <w:r w:rsidR="008D39E0" w:rsidRPr="008D39E0">
        <w:rPr>
          <w:rFonts w:ascii="Arial" w:hAnsi="Arial" w:cs="Arial"/>
          <w:sz w:val="20"/>
        </w:rPr>
        <w:t xml:space="preserve"> occur</w:t>
      </w:r>
      <w:r w:rsidR="00FB4FCC">
        <w:rPr>
          <w:rFonts w:ascii="Arial" w:hAnsi="Arial" w:cs="Arial"/>
          <w:sz w:val="20"/>
        </w:rPr>
        <w:t>)</w:t>
      </w:r>
      <w:r w:rsidR="00994333">
        <w:rPr>
          <w:rFonts w:ascii="Arial" w:hAnsi="Arial" w:cs="Arial"/>
          <w:sz w:val="20"/>
        </w:rPr>
        <w:t xml:space="preserve">, or there exists any other reason why an adjustment is appropriate, taking into </w:t>
      </w:r>
      <w:r w:rsidR="0026698E">
        <w:rPr>
          <w:rFonts w:ascii="Arial" w:hAnsi="Arial" w:cs="Arial"/>
          <w:sz w:val="20"/>
        </w:rPr>
        <w:t>such factors as the Board considers relevant</w:t>
      </w:r>
      <w:r w:rsidR="00FB4FCC">
        <w:rPr>
          <w:rFonts w:ascii="Arial" w:hAnsi="Arial" w:cs="Arial"/>
          <w:sz w:val="20"/>
        </w:rPr>
        <w:t xml:space="preserve">. </w:t>
      </w:r>
    </w:p>
    <w:bookmarkStart w:id="119" w:name="_Ref80871824"/>
    <w:bookmarkStart w:id="120" w:name="_Toc105671018"/>
    <w:bookmarkStart w:id="121" w:name="_Toc103273390"/>
    <w:bookmarkStart w:id="122" w:name="_Toc145339773"/>
    <w:bookmarkStart w:id="123" w:name="_Toc131682123"/>
    <w:bookmarkStart w:id="124" w:name="_Toc107828214"/>
    <w:bookmarkStart w:id="125" w:name="_Toc152661647"/>
    <w:bookmarkStart w:id="126" w:name="_Toc159952451"/>
    <w:p w14:paraId="56712E27" w14:textId="75A7C415"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"4. Dividend Equivalents" \l 1</w:instrText>
      </w:r>
      <w:r w:rsidRPr="0006114E">
        <w:rPr>
          <w:rFonts w:ascii="Arial" w:hAnsi="Arial" w:cs="Arial"/>
          <w:sz w:val="20"/>
        </w:rPr>
        <w:fldChar w:fldCharType="end"/>
      </w:r>
      <w:bookmarkStart w:id="127" w:name="a62542"/>
      <w:bookmarkStart w:id="128" w:name="_Toc168490275"/>
      <w:bookmarkStart w:id="129" w:name="_Toc187838767"/>
      <w:bookmarkStart w:id="130" w:name="_Toc188629301"/>
      <w:bookmarkStart w:id="131" w:name="_Toc191381401"/>
      <w:r w:rsidRPr="0006114E">
        <w:rPr>
          <w:rFonts w:ascii="Arial" w:hAnsi="Arial" w:cs="Arial"/>
          <w:sz w:val="20"/>
        </w:rPr>
        <w:t>Dividend Equivalents</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0955674E" w14:textId="7305DF84" w:rsidR="00F4396C" w:rsidRPr="00F4396C" w:rsidRDefault="00554208" w:rsidP="00A87CAB">
      <w:pPr>
        <w:pStyle w:val="Untitledsubclause1"/>
        <w:numPr>
          <w:ilvl w:val="0"/>
          <w:numId w:val="0"/>
        </w:numPr>
        <w:spacing w:line="240" w:lineRule="auto"/>
        <w:ind w:left="720"/>
        <w:rPr>
          <w:rFonts w:ascii="Arial" w:hAnsi="Arial" w:cs="Arial"/>
          <w:color w:val="FF0000"/>
          <w:sz w:val="20"/>
        </w:rPr>
      </w:pPr>
      <w:bookmarkStart w:id="132" w:name="a884742"/>
      <w:r w:rsidRPr="0006114E">
        <w:rPr>
          <w:rFonts w:ascii="Arial" w:hAnsi="Arial" w:cs="Arial"/>
          <w:sz w:val="20"/>
        </w:rPr>
        <w:t>T</w:t>
      </w:r>
      <w:r w:rsidR="00D8597D" w:rsidRPr="0006114E">
        <w:rPr>
          <w:rFonts w:ascii="Arial" w:hAnsi="Arial" w:cs="Arial"/>
          <w:sz w:val="20"/>
        </w:rPr>
        <w:t xml:space="preserve">he </w:t>
      </w:r>
      <w:r w:rsidR="00623047" w:rsidRPr="0006114E">
        <w:rPr>
          <w:rFonts w:ascii="Arial" w:hAnsi="Arial" w:cs="Arial"/>
          <w:sz w:val="20"/>
        </w:rPr>
        <w:t>Remuneration Committee</w:t>
      </w:r>
      <w:r w:rsidR="00D8597D" w:rsidRPr="0006114E">
        <w:rPr>
          <w:rFonts w:ascii="Arial" w:hAnsi="Arial" w:cs="Arial"/>
          <w:sz w:val="20"/>
        </w:rPr>
        <w:t xml:space="preserve"> may specify that Dividend Equivalents apply to </w:t>
      </w:r>
      <w:r w:rsidR="007B4FB5" w:rsidRPr="0006114E">
        <w:rPr>
          <w:rFonts w:ascii="Arial" w:hAnsi="Arial" w:cs="Arial"/>
          <w:sz w:val="20"/>
        </w:rPr>
        <w:t xml:space="preserve">the </w:t>
      </w:r>
      <w:r w:rsidR="001D71D7" w:rsidRPr="0006114E">
        <w:rPr>
          <w:rFonts w:ascii="Arial" w:hAnsi="Arial" w:cs="Arial"/>
          <w:sz w:val="20"/>
        </w:rPr>
        <w:t>Award</w:t>
      </w:r>
      <w:r w:rsidR="00D8597D" w:rsidRPr="0006114E">
        <w:rPr>
          <w:rFonts w:ascii="Arial" w:hAnsi="Arial" w:cs="Arial"/>
          <w:sz w:val="20"/>
        </w:rPr>
        <w:t>.</w:t>
      </w:r>
      <w:bookmarkStart w:id="133" w:name="a336583"/>
      <w:bookmarkEnd w:id="132"/>
      <w:r w:rsidR="009F1990" w:rsidRPr="0006114E">
        <w:rPr>
          <w:rFonts w:ascii="Arial" w:hAnsi="Arial" w:cs="Arial"/>
          <w:sz w:val="20"/>
        </w:rPr>
        <w:t xml:space="preserve"> </w:t>
      </w:r>
      <w:r w:rsidR="00D8597D" w:rsidRPr="0006114E">
        <w:rPr>
          <w:rFonts w:ascii="Arial" w:hAnsi="Arial" w:cs="Arial"/>
          <w:sz w:val="20"/>
        </w:rPr>
        <w:t>A Dividend Equivalent is a right to receive a payment</w:t>
      </w:r>
      <w:r w:rsidR="0052563A" w:rsidRPr="0006114E">
        <w:rPr>
          <w:rFonts w:ascii="Arial" w:hAnsi="Arial" w:cs="Arial"/>
          <w:sz w:val="20"/>
        </w:rPr>
        <w:t xml:space="preserve"> (in cash or shares)</w:t>
      </w:r>
      <w:r w:rsidR="00D8597D" w:rsidRPr="0006114E">
        <w:rPr>
          <w:rFonts w:ascii="Arial" w:hAnsi="Arial" w:cs="Arial"/>
          <w:sz w:val="20"/>
        </w:rPr>
        <w:t xml:space="preserve"> on </w:t>
      </w:r>
      <w:r w:rsidR="00F61ACD" w:rsidRPr="0006114E">
        <w:rPr>
          <w:rFonts w:ascii="Arial" w:hAnsi="Arial" w:cs="Arial"/>
          <w:sz w:val="20"/>
        </w:rPr>
        <w:t xml:space="preserve">or </w:t>
      </w:r>
      <w:r w:rsidR="0052563A" w:rsidRPr="0006114E">
        <w:rPr>
          <w:rFonts w:ascii="Arial" w:hAnsi="Arial" w:cs="Arial"/>
          <w:sz w:val="20"/>
        </w:rPr>
        <w:t>around th</w:t>
      </w:r>
      <w:r w:rsidR="00D8597D" w:rsidRPr="0006114E">
        <w:rPr>
          <w:rFonts w:ascii="Arial" w:hAnsi="Arial" w:cs="Arial"/>
          <w:sz w:val="20"/>
        </w:rPr>
        <w:t xml:space="preserve">e </w:t>
      </w:r>
      <w:r w:rsidR="00D44FC6" w:rsidRPr="0006114E">
        <w:rPr>
          <w:rFonts w:ascii="Arial" w:hAnsi="Arial" w:cs="Arial"/>
          <w:sz w:val="20"/>
        </w:rPr>
        <w:t>Vesting Date</w:t>
      </w:r>
      <w:bookmarkEnd w:id="133"/>
      <w:r w:rsidR="00674488" w:rsidRPr="0006114E">
        <w:rPr>
          <w:rFonts w:ascii="Arial" w:hAnsi="Arial" w:cs="Arial"/>
          <w:sz w:val="20"/>
        </w:rPr>
        <w:t xml:space="preserve"> or</w:t>
      </w:r>
      <w:r w:rsidR="007E74FB" w:rsidRPr="0006114E">
        <w:rPr>
          <w:rFonts w:ascii="Arial" w:hAnsi="Arial" w:cs="Arial"/>
          <w:sz w:val="20"/>
        </w:rPr>
        <w:t>,</w:t>
      </w:r>
      <w:r w:rsidR="00674488" w:rsidRPr="0006114E">
        <w:rPr>
          <w:rFonts w:ascii="Arial" w:hAnsi="Arial" w:cs="Arial"/>
          <w:sz w:val="20"/>
        </w:rPr>
        <w:t xml:space="preserve"> in respect of an Option, the Exercise Date</w:t>
      </w:r>
      <w:r w:rsidR="003E344D" w:rsidRPr="0006114E">
        <w:rPr>
          <w:rFonts w:ascii="Arial" w:hAnsi="Arial" w:cs="Arial"/>
          <w:sz w:val="20"/>
        </w:rPr>
        <w:t xml:space="preserve">, calculated </w:t>
      </w:r>
      <w:bookmarkStart w:id="134" w:name="_Ref81566756"/>
      <w:r w:rsidR="003E344D" w:rsidRPr="0006114E">
        <w:rPr>
          <w:rFonts w:ascii="Arial" w:hAnsi="Arial" w:cs="Arial"/>
          <w:sz w:val="20"/>
        </w:rPr>
        <w:t xml:space="preserve">on </w:t>
      </w:r>
      <w:r w:rsidR="0088325D" w:rsidRPr="0006114E">
        <w:rPr>
          <w:rFonts w:ascii="Arial" w:hAnsi="Arial" w:cs="Arial"/>
          <w:sz w:val="20"/>
        </w:rPr>
        <w:t xml:space="preserve">any basis </w:t>
      </w:r>
      <w:r w:rsidR="0052563A" w:rsidRPr="0006114E">
        <w:rPr>
          <w:rFonts w:ascii="Arial" w:hAnsi="Arial" w:cs="Arial"/>
          <w:sz w:val="20"/>
        </w:rPr>
        <w:t>chosen by the Remuneration Committee</w:t>
      </w:r>
      <w:r w:rsidR="00CC0372" w:rsidRPr="0006114E">
        <w:rPr>
          <w:rFonts w:ascii="Arial" w:hAnsi="Arial" w:cs="Arial"/>
          <w:sz w:val="20"/>
        </w:rPr>
        <w:t xml:space="preserve"> </w:t>
      </w:r>
      <w:bookmarkStart w:id="135" w:name="_Ref104564978"/>
      <w:r w:rsidR="00CC0372" w:rsidRPr="0006114E">
        <w:rPr>
          <w:rFonts w:ascii="Arial" w:hAnsi="Arial" w:cs="Arial"/>
          <w:sz w:val="20"/>
        </w:rPr>
        <w:t xml:space="preserve">to reflect dividends which the Award Holder would have received had they held the relevant </w:t>
      </w:r>
      <w:bookmarkEnd w:id="134"/>
      <w:bookmarkEnd w:id="135"/>
      <w:r w:rsidR="00CC0372" w:rsidRPr="0006114E">
        <w:rPr>
          <w:rFonts w:ascii="Arial" w:hAnsi="Arial" w:cs="Arial"/>
          <w:sz w:val="20"/>
        </w:rPr>
        <w:t>Shares</w:t>
      </w:r>
      <w:r w:rsidR="000061BF">
        <w:rPr>
          <w:rFonts w:ascii="Arial" w:hAnsi="Arial" w:cs="Arial"/>
          <w:sz w:val="20"/>
        </w:rPr>
        <w:t xml:space="preserve"> (</w:t>
      </w:r>
      <w:r w:rsidR="007C7BDB">
        <w:rPr>
          <w:rFonts w:ascii="Arial" w:hAnsi="Arial" w:cs="Arial"/>
          <w:sz w:val="20"/>
        </w:rPr>
        <w:t>being th</w:t>
      </w:r>
      <w:r w:rsidR="00925673">
        <w:rPr>
          <w:rFonts w:ascii="Arial" w:hAnsi="Arial" w:cs="Arial"/>
          <w:sz w:val="20"/>
        </w:rPr>
        <w:t>ose acquired pursuant to the Award</w:t>
      </w:r>
      <w:r w:rsidR="007C7BDB">
        <w:rPr>
          <w:rFonts w:ascii="Arial" w:hAnsi="Arial" w:cs="Arial"/>
          <w:sz w:val="20"/>
        </w:rPr>
        <w:t>)</w:t>
      </w:r>
      <w:r w:rsidR="00AF3722">
        <w:rPr>
          <w:rFonts w:ascii="Arial" w:hAnsi="Arial" w:cs="Arial"/>
          <w:sz w:val="20"/>
        </w:rPr>
        <w:t xml:space="preserve"> </w:t>
      </w:r>
      <w:r w:rsidR="00FA14DE">
        <w:rPr>
          <w:rFonts w:ascii="Arial" w:hAnsi="Arial" w:cs="Arial"/>
          <w:sz w:val="20"/>
        </w:rPr>
        <w:t xml:space="preserve">from the </w:t>
      </w:r>
      <w:r w:rsidR="00FA14DE" w:rsidRPr="00FF6049">
        <w:rPr>
          <w:rFonts w:ascii="Arial" w:hAnsi="Arial" w:cs="Arial"/>
          <w:sz w:val="20"/>
        </w:rPr>
        <w:t xml:space="preserve">Grant Date </w:t>
      </w:r>
      <w:r w:rsidR="00FA14DE">
        <w:rPr>
          <w:rFonts w:ascii="Arial" w:hAnsi="Arial" w:cs="Arial"/>
          <w:sz w:val="20"/>
        </w:rPr>
        <w:t xml:space="preserve">until </w:t>
      </w:r>
      <w:r w:rsidR="00FA14DE" w:rsidRPr="00FF6049">
        <w:rPr>
          <w:rFonts w:ascii="Arial" w:hAnsi="Arial" w:cs="Arial"/>
          <w:sz w:val="20"/>
        </w:rPr>
        <w:t xml:space="preserve">the Vesting </w:t>
      </w:r>
      <w:r w:rsidR="00FA14DE" w:rsidRPr="00FF6049">
        <w:rPr>
          <w:rFonts w:ascii="Arial" w:hAnsi="Arial" w:cs="Arial"/>
          <w:sz w:val="20"/>
        </w:rPr>
        <w:lastRenderedPageBreak/>
        <w:t xml:space="preserve">Date of the relevant Award (or, where the Award is an Option which is subject to a Holding Period, </w:t>
      </w:r>
      <w:r w:rsidR="00FA14DE">
        <w:rPr>
          <w:rFonts w:ascii="Arial" w:hAnsi="Arial" w:cs="Arial"/>
          <w:sz w:val="20"/>
        </w:rPr>
        <w:t xml:space="preserve">from </w:t>
      </w:r>
      <w:r w:rsidR="00FA14DE" w:rsidRPr="00FF6049">
        <w:rPr>
          <w:rFonts w:ascii="Arial" w:hAnsi="Arial" w:cs="Arial"/>
          <w:sz w:val="20"/>
        </w:rPr>
        <w:t xml:space="preserve">the Grant Date </w:t>
      </w:r>
      <w:r w:rsidR="00FA14DE">
        <w:rPr>
          <w:rFonts w:ascii="Arial" w:hAnsi="Arial" w:cs="Arial"/>
          <w:sz w:val="20"/>
        </w:rPr>
        <w:t xml:space="preserve">until </w:t>
      </w:r>
      <w:r w:rsidR="00FA14DE" w:rsidRPr="00FF6049">
        <w:rPr>
          <w:rFonts w:ascii="Arial" w:hAnsi="Arial" w:cs="Arial"/>
          <w:sz w:val="20"/>
        </w:rPr>
        <w:t>the earlier of (i) the Exercise Date or (ii) the date of the last day of the Holding Period).</w:t>
      </w:r>
    </w:p>
    <w:bookmarkStart w:id="136" w:name="_Toc145339774"/>
    <w:bookmarkStart w:id="137" w:name="_Toc131682124"/>
    <w:bookmarkStart w:id="138" w:name="_Ref135060325"/>
    <w:bookmarkStart w:id="139" w:name="_Ref135061429"/>
    <w:bookmarkStart w:id="140" w:name="_Toc152661648"/>
    <w:p w14:paraId="715DCD68" w14:textId="7C54DED9" w:rsidR="007B4FB5" w:rsidRPr="0006114E" w:rsidRDefault="007B4FB5"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"5. Overall grant limits" \l 1</w:instrText>
      </w:r>
      <w:r w:rsidRPr="0006114E">
        <w:rPr>
          <w:rFonts w:ascii="Arial" w:hAnsi="Arial" w:cs="Arial"/>
          <w:sz w:val="20"/>
        </w:rPr>
        <w:fldChar w:fldCharType="end"/>
      </w:r>
      <w:bookmarkStart w:id="141" w:name="a272740"/>
      <w:bookmarkStart w:id="142" w:name="_Toc103273391"/>
      <w:bookmarkStart w:id="143" w:name="_Toc159952452"/>
      <w:bookmarkStart w:id="144" w:name="_Toc168490276"/>
      <w:bookmarkStart w:id="145" w:name="_Toc187838768"/>
      <w:bookmarkStart w:id="146" w:name="_Toc188629302"/>
      <w:bookmarkStart w:id="147" w:name="_Toc191381402"/>
      <w:r w:rsidR="00915E0B" w:rsidRPr="0006114E">
        <w:rPr>
          <w:rFonts w:ascii="Arial" w:hAnsi="Arial" w:cs="Arial"/>
          <w:sz w:val="20"/>
        </w:rPr>
        <w:t>L</w:t>
      </w:r>
      <w:r w:rsidRPr="0006114E">
        <w:rPr>
          <w:rFonts w:ascii="Arial" w:hAnsi="Arial" w:cs="Arial"/>
          <w:sz w:val="20"/>
        </w:rPr>
        <w:t>imits</w:t>
      </w:r>
      <w:bookmarkEnd w:id="136"/>
      <w:bookmarkEnd w:id="137"/>
      <w:bookmarkEnd w:id="138"/>
      <w:bookmarkEnd w:id="139"/>
      <w:bookmarkEnd w:id="140"/>
      <w:bookmarkEnd w:id="141"/>
      <w:bookmarkEnd w:id="142"/>
      <w:bookmarkEnd w:id="143"/>
      <w:bookmarkEnd w:id="144"/>
      <w:bookmarkEnd w:id="145"/>
      <w:bookmarkEnd w:id="146"/>
      <w:bookmarkEnd w:id="147"/>
    </w:p>
    <w:p w14:paraId="694E9C81" w14:textId="5085F65F" w:rsidR="000C0E65" w:rsidRDefault="000C0E65" w:rsidP="000C1563">
      <w:pPr>
        <w:pStyle w:val="Untitledsubclause1"/>
        <w:rPr>
          <w:rFonts w:ascii="Arial" w:hAnsi="Arial" w:cs="Arial"/>
          <w:sz w:val="20"/>
        </w:rPr>
      </w:pPr>
      <w:bookmarkStart w:id="148" w:name="_Ref101776957"/>
      <w:bookmarkStart w:id="149" w:name="a753629"/>
      <w:r w:rsidRPr="000C1563">
        <w:rPr>
          <w:rFonts w:ascii="Arial" w:hAnsi="Arial" w:cs="Arial"/>
          <w:sz w:val="20"/>
        </w:rPr>
        <w:t xml:space="preserve">An Award may not be granted to the extent the grant would result in the total number of Shares capable of being issued in respect of that Award, when aggregated with the </w:t>
      </w:r>
      <w:r w:rsidRPr="000C1563">
        <w:rPr>
          <w:rFonts w:ascii="Arial" w:hAnsi="Arial"/>
          <w:sz w:val="20"/>
        </w:rPr>
        <w:t>number of Shares issued</w:t>
      </w:r>
      <w:r w:rsidRPr="000C1563">
        <w:rPr>
          <w:rFonts w:ascii="Arial" w:hAnsi="Arial" w:cs="Arial"/>
          <w:sz w:val="20"/>
        </w:rPr>
        <w:t>, or capable</w:t>
      </w:r>
      <w:r w:rsidRPr="000C1563">
        <w:rPr>
          <w:rFonts w:ascii="Arial" w:hAnsi="Arial"/>
          <w:sz w:val="20"/>
        </w:rPr>
        <w:t xml:space="preserve"> of </w:t>
      </w:r>
      <w:r w:rsidRPr="000C1563">
        <w:rPr>
          <w:rFonts w:ascii="Arial" w:hAnsi="Arial" w:cs="Arial"/>
          <w:sz w:val="20"/>
        </w:rPr>
        <w:t xml:space="preserve">being issued, in respect of all awards under any Employees’ Share Scheme (including the Plan) granted on that day or in </w:t>
      </w:r>
      <w:r w:rsidRPr="000C1563">
        <w:rPr>
          <w:rFonts w:ascii="Arial" w:hAnsi="Arial"/>
          <w:sz w:val="20"/>
        </w:rPr>
        <w:t xml:space="preserve">the </w:t>
      </w:r>
      <w:r w:rsidRPr="000C1563">
        <w:rPr>
          <w:rFonts w:ascii="Arial" w:hAnsi="Arial" w:cs="Arial"/>
          <w:sz w:val="20"/>
        </w:rPr>
        <w:t>10 years preceding the proposed Grant Date exceeding 10% of the Company’s</w:t>
      </w:r>
      <w:r w:rsidRPr="000C1563">
        <w:rPr>
          <w:rFonts w:ascii="Arial" w:hAnsi="Arial"/>
          <w:sz w:val="20"/>
        </w:rPr>
        <w:t xml:space="preserve"> ordinary share capital </w:t>
      </w:r>
      <w:r w:rsidRPr="000C1563">
        <w:rPr>
          <w:rFonts w:ascii="Arial" w:hAnsi="Arial" w:cs="Arial"/>
          <w:sz w:val="20"/>
        </w:rPr>
        <w:t>then in issue.</w:t>
      </w:r>
      <w:r w:rsidR="000C1563" w:rsidRPr="000C1563">
        <w:rPr>
          <w:rFonts w:ascii="Arial" w:hAnsi="Arial" w:cs="Arial"/>
          <w:sz w:val="20"/>
        </w:rPr>
        <w:t xml:space="preserve"> </w:t>
      </w:r>
    </w:p>
    <w:p w14:paraId="263D4D20" w14:textId="6566872D" w:rsidR="0084697C" w:rsidRPr="0084697C" w:rsidRDefault="0084697C" w:rsidP="0084697C">
      <w:pPr>
        <w:pStyle w:val="Untitledsubclause1"/>
        <w:rPr>
          <w:rFonts w:ascii="Arial" w:hAnsi="Arial" w:cs="Arial"/>
          <w:sz w:val="20"/>
        </w:rPr>
      </w:pPr>
      <w:r w:rsidRPr="000C1563">
        <w:rPr>
          <w:rFonts w:ascii="Arial" w:hAnsi="Arial" w:cs="Arial"/>
          <w:sz w:val="20"/>
        </w:rPr>
        <w:t xml:space="preserve">An Award may not be granted to the extent the grant would result in the total number of Shares capable of being issued in respect of that Award, when aggregated with the </w:t>
      </w:r>
      <w:r w:rsidRPr="000C1563">
        <w:rPr>
          <w:rFonts w:ascii="Arial" w:hAnsi="Arial"/>
          <w:sz w:val="20"/>
        </w:rPr>
        <w:t>number of Shares issued</w:t>
      </w:r>
      <w:r w:rsidRPr="000C1563">
        <w:rPr>
          <w:rFonts w:ascii="Arial" w:hAnsi="Arial" w:cs="Arial"/>
          <w:sz w:val="20"/>
        </w:rPr>
        <w:t>, or capable</w:t>
      </w:r>
      <w:r w:rsidRPr="000C1563">
        <w:rPr>
          <w:rFonts w:ascii="Arial" w:hAnsi="Arial"/>
          <w:sz w:val="20"/>
        </w:rPr>
        <w:t xml:space="preserve"> of </w:t>
      </w:r>
      <w:r w:rsidRPr="000C1563">
        <w:rPr>
          <w:rFonts w:ascii="Arial" w:hAnsi="Arial" w:cs="Arial"/>
          <w:sz w:val="20"/>
        </w:rPr>
        <w:t xml:space="preserve">being issued, in respect of all awards under any </w:t>
      </w:r>
      <w:r>
        <w:rPr>
          <w:rFonts w:ascii="Arial" w:hAnsi="Arial" w:cs="Arial"/>
          <w:sz w:val="20"/>
        </w:rPr>
        <w:t xml:space="preserve">Discretionary </w:t>
      </w:r>
      <w:r w:rsidRPr="000C1563">
        <w:rPr>
          <w:rFonts w:ascii="Arial" w:hAnsi="Arial" w:cs="Arial"/>
          <w:sz w:val="20"/>
        </w:rPr>
        <w:t xml:space="preserve">Employees’ Share Scheme (including the Plan) granted on that day or in </w:t>
      </w:r>
      <w:r w:rsidRPr="000C1563">
        <w:rPr>
          <w:rFonts w:ascii="Arial" w:hAnsi="Arial"/>
          <w:sz w:val="20"/>
        </w:rPr>
        <w:t xml:space="preserve">the </w:t>
      </w:r>
      <w:r w:rsidRPr="000C1563">
        <w:rPr>
          <w:rFonts w:ascii="Arial" w:hAnsi="Arial" w:cs="Arial"/>
          <w:sz w:val="20"/>
        </w:rPr>
        <w:t xml:space="preserve">10 years preceding the proposed Grant Date exceeding </w:t>
      </w:r>
      <w:r w:rsidR="00F415AA">
        <w:rPr>
          <w:rFonts w:ascii="Arial" w:hAnsi="Arial" w:cs="Arial"/>
          <w:sz w:val="20"/>
        </w:rPr>
        <w:t>5</w:t>
      </w:r>
      <w:r w:rsidRPr="000C1563">
        <w:rPr>
          <w:rFonts w:ascii="Arial" w:hAnsi="Arial" w:cs="Arial"/>
          <w:sz w:val="20"/>
        </w:rPr>
        <w:t>% of the Company’s</w:t>
      </w:r>
      <w:r w:rsidRPr="000C1563">
        <w:rPr>
          <w:rFonts w:ascii="Arial" w:hAnsi="Arial"/>
          <w:sz w:val="20"/>
        </w:rPr>
        <w:t xml:space="preserve"> ordinary share capital </w:t>
      </w:r>
      <w:r w:rsidRPr="000C1563">
        <w:rPr>
          <w:rFonts w:ascii="Arial" w:hAnsi="Arial" w:cs="Arial"/>
          <w:sz w:val="20"/>
        </w:rPr>
        <w:t xml:space="preserve">then in issue. </w:t>
      </w:r>
    </w:p>
    <w:p w14:paraId="07D6DE3A" w14:textId="77777777" w:rsidR="000C0E65" w:rsidRPr="00785EFE" w:rsidRDefault="000C0E65" w:rsidP="000C0E65">
      <w:pPr>
        <w:pStyle w:val="Untitledsubclause1"/>
        <w:numPr>
          <w:ilvl w:val="0"/>
          <w:numId w:val="0"/>
        </w:numPr>
        <w:spacing w:line="240" w:lineRule="auto"/>
        <w:ind w:left="720"/>
        <w:rPr>
          <w:rFonts w:ascii="Arial" w:hAnsi="Arial" w:cs="Arial"/>
          <w:sz w:val="20"/>
        </w:rPr>
      </w:pPr>
      <w:r w:rsidRPr="00785EFE">
        <w:rPr>
          <w:rFonts w:ascii="Arial" w:hAnsi="Arial" w:cs="Arial"/>
          <w:sz w:val="20"/>
        </w:rPr>
        <w:t>In this rule:</w:t>
      </w:r>
    </w:p>
    <w:p w14:paraId="591816FC" w14:textId="0111EDEE" w:rsidR="000C0E65" w:rsidRDefault="00B52ECE" w:rsidP="000C0E65">
      <w:pPr>
        <w:pStyle w:val="Untitledsubclause2"/>
        <w:numPr>
          <w:ilvl w:val="2"/>
          <w:numId w:val="35"/>
        </w:numPr>
        <w:spacing w:line="240" w:lineRule="auto"/>
        <w:rPr>
          <w:rFonts w:ascii="Arial" w:hAnsi="Arial" w:cs="Arial"/>
          <w:sz w:val="20"/>
        </w:rPr>
      </w:pPr>
      <w:r w:rsidRPr="00610E92">
        <w:rPr>
          <w:rFonts w:ascii="Arial" w:hAnsi="Arial"/>
          <w:sz w:val="20"/>
        </w:rPr>
        <w:t xml:space="preserve">Shares </w:t>
      </w:r>
      <w:r>
        <w:rPr>
          <w:rFonts w:ascii="Arial" w:hAnsi="Arial" w:cs="Arial"/>
          <w:sz w:val="20"/>
        </w:rPr>
        <w:t xml:space="preserve">(i) </w:t>
      </w:r>
      <w:r w:rsidRPr="00610E92">
        <w:rPr>
          <w:rFonts w:ascii="Arial" w:hAnsi="Arial" w:cs="Arial"/>
          <w:sz w:val="20"/>
        </w:rPr>
        <w:t xml:space="preserve">subject to </w:t>
      </w:r>
      <w:r>
        <w:rPr>
          <w:rFonts w:ascii="Arial" w:hAnsi="Arial" w:cs="Arial"/>
          <w:sz w:val="20"/>
        </w:rPr>
        <w:t xml:space="preserve">an award (or part thereof) </w:t>
      </w:r>
      <w:r w:rsidRPr="00610E92">
        <w:rPr>
          <w:rFonts w:ascii="Arial" w:hAnsi="Arial" w:cs="Arial"/>
          <w:sz w:val="20"/>
        </w:rPr>
        <w:t>which lapse</w:t>
      </w:r>
      <w:r>
        <w:rPr>
          <w:rFonts w:ascii="Arial" w:hAnsi="Arial" w:cs="Arial"/>
          <w:sz w:val="20"/>
        </w:rPr>
        <w:t>d or otherwise became incapable of vesting or exercise,</w:t>
      </w:r>
      <w:r w:rsidRPr="00610E92">
        <w:rPr>
          <w:rFonts w:ascii="Arial" w:hAnsi="Arial" w:cs="Arial"/>
          <w:sz w:val="20"/>
        </w:rPr>
        <w:t xml:space="preserve"> or </w:t>
      </w:r>
      <w:r>
        <w:rPr>
          <w:rFonts w:ascii="Arial" w:hAnsi="Arial" w:cs="Arial"/>
          <w:sz w:val="20"/>
        </w:rPr>
        <w:t xml:space="preserve">(ii) </w:t>
      </w:r>
      <w:r w:rsidRPr="00610E92">
        <w:rPr>
          <w:rFonts w:ascii="Arial" w:hAnsi="Arial" w:cs="Arial"/>
          <w:sz w:val="20"/>
        </w:rPr>
        <w:t xml:space="preserve">which may be acquired pursuant to </w:t>
      </w:r>
      <w:r>
        <w:rPr>
          <w:rFonts w:ascii="Arial" w:hAnsi="Arial" w:cs="Arial"/>
          <w:sz w:val="20"/>
        </w:rPr>
        <w:t xml:space="preserve">awards </w:t>
      </w:r>
      <w:r w:rsidRPr="00610E92">
        <w:rPr>
          <w:rFonts w:ascii="Arial" w:hAnsi="Arial" w:cs="Arial"/>
          <w:sz w:val="20"/>
        </w:rPr>
        <w:t xml:space="preserve">which the Remuneration Committee decides are to be satisfied otherwise than by Shares being </w:t>
      </w:r>
      <w:r>
        <w:rPr>
          <w:rFonts w:ascii="Arial" w:hAnsi="Arial" w:cs="Arial"/>
          <w:sz w:val="20"/>
        </w:rPr>
        <w:t>issued</w:t>
      </w:r>
      <w:r w:rsidRPr="00610E92">
        <w:rPr>
          <w:rFonts w:ascii="Arial" w:hAnsi="Arial" w:cs="Arial"/>
          <w:sz w:val="20"/>
        </w:rPr>
        <w:t xml:space="preserve"> (or are granted on such terms) shall not be taken into account</w:t>
      </w:r>
      <w:r w:rsidR="000C0E65">
        <w:rPr>
          <w:rFonts w:ascii="Arial" w:hAnsi="Arial" w:cs="Arial"/>
          <w:sz w:val="20"/>
        </w:rPr>
        <w:t>;</w:t>
      </w:r>
    </w:p>
    <w:p w14:paraId="0C369911" w14:textId="24E53177" w:rsidR="000C0E65" w:rsidRPr="00FE1174" w:rsidRDefault="00AE2C58" w:rsidP="00DF1496">
      <w:pPr>
        <w:pStyle w:val="Untitledsubclause2"/>
        <w:numPr>
          <w:ilvl w:val="2"/>
          <w:numId w:val="35"/>
        </w:numPr>
        <w:spacing w:line="240" w:lineRule="auto"/>
        <w:rPr>
          <w:rFonts w:ascii="Arial" w:hAnsi="Arial" w:cs="Arial"/>
          <w:sz w:val="20"/>
        </w:rPr>
      </w:pPr>
      <w:r w:rsidRPr="00FE1174">
        <w:rPr>
          <w:rFonts w:ascii="Arial" w:hAnsi="Arial" w:cs="Arial"/>
          <w:sz w:val="20"/>
        </w:rPr>
        <w:t>references to the issue of Shares shall include the transfer of treasury shares</w:t>
      </w:r>
      <w:r w:rsidR="00FE1174" w:rsidRPr="00FE1174">
        <w:rPr>
          <w:rFonts w:ascii="Arial" w:hAnsi="Arial" w:cs="Arial"/>
          <w:sz w:val="20"/>
        </w:rPr>
        <w:t xml:space="preserve"> </w:t>
      </w:r>
      <w:r w:rsidR="000C0E65" w:rsidRPr="00FE1174">
        <w:rPr>
          <w:rFonts w:ascii="Arial" w:hAnsi="Arial" w:cs="Arial"/>
          <w:sz w:val="20"/>
        </w:rPr>
        <w:t>for as long as institutional investor guidelines require them to count toward dilution limits, and</w:t>
      </w:r>
    </w:p>
    <w:p w14:paraId="259ADAA6" w14:textId="77777777" w:rsidR="000C0E65" w:rsidRPr="00013380" w:rsidRDefault="000C0E65" w:rsidP="000C0E65">
      <w:pPr>
        <w:pStyle w:val="Untitledsubclause2"/>
        <w:numPr>
          <w:ilvl w:val="2"/>
          <w:numId w:val="35"/>
        </w:numPr>
        <w:spacing w:line="240" w:lineRule="auto"/>
        <w:rPr>
          <w:rFonts w:ascii="Arial" w:hAnsi="Arial" w:cs="Arial"/>
          <w:sz w:val="20"/>
        </w:rPr>
      </w:pPr>
      <w:r w:rsidRPr="00013380">
        <w:rPr>
          <w:rFonts w:ascii="Arial" w:hAnsi="Arial"/>
          <w:sz w:val="20"/>
        </w:rPr>
        <w:t xml:space="preserve">the </w:t>
      </w:r>
      <w:r w:rsidRPr="00013380">
        <w:rPr>
          <w:rFonts w:ascii="Arial" w:hAnsi="Arial" w:cs="Arial"/>
          <w:sz w:val="20"/>
        </w:rPr>
        <w:t>Remuneration Committee may make such adjustments to the method of assessing the limit as it considers appropriate in the event of any variation of the Company’s</w:t>
      </w:r>
      <w:r w:rsidRPr="00013380">
        <w:rPr>
          <w:rFonts w:ascii="Arial" w:hAnsi="Arial"/>
          <w:sz w:val="20"/>
        </w:rPr>
        <w:t xml:space="preserve"> share capital</w:t>
      </w:r>
      <w:r w:rsidRPr="00013380">
        <w:rPr>
          <w:rFonts w:ascii="Arial" w:hAnsi="Arial" w:cs="Arial"/>
          <w:sz w:val="20"/>
        </w:rPr>
        <w:t>.</w:t>
      </w:r>
    </w:p>
    <w:bookmarkEnd w:id="148"/>
    <w:bookmarkEnd w:id="149"/>
    <w:p w14:paraId="02929E15" w14:textId="16B433BE" w:rsidR="00041603" w:rsidRPr="00F315F0" w:rsidRDefault="004357C4" w:rsidP="00983762">
      <w:pPr>
        <w:pStyle w:val="Untitledsubclause1"/>
        <w:spacing w:line="240" w:lineRule="auto"/>
        <w:rPr>
          <w:rFonts w:ascii="Arial" w:hAnsi="Arial" w:cs="Arial"/>
          <w:sz w:val="20"/>
        </w:rPr>
      </w:pPr>
      <w:r w:rsidRPr="00F315F0">
        <w:rPr>
          <w:rFonts w:ascii="Arial" w:hAnsi="Arial" w:cs="Arial"/>
          <w:sz w:val="20"/>
        </w:rPr>
        <w:t>No</w:t>
      </w:r>
      <w:r w:rsidR="00CB5484" w:rsidRPr="00F315F0">
        <w:rPr>
          <w:rFonts w:ascii="Arial" w:hAnsi="Arial" w:cs="Arial"/>
          <w:sz w:val="20"/>
        </w:rPr>
        <w:t xml:space="preserve"> Employee</w:t>
      </w:r>
      <w:r w:rsidR="00FE3400" w:rsidRPr="00F315F0">
        <w:rPr>
          <w:rFonts w:ascii="Arial" w:hAnsi="Arial" w:cs="Arial"/>
          <w:sz w:val="20"/>
        </w:rPr>
        <w:t xml:space="preserve"> may be </w:t>
      </w:r>
      <w:r w:rsidR="00213996" w:rsidRPr="00F315F0">
        <w:rPr>
          <w:rFonts w:ascii="Arial" w:hAnsi="Arial" w:cs="Arial"/>
          <w:sz w:val="20"/>
        </w:rPr>
        <w:t>grant</w:t>
      </w:r>
      <w:r w:rsidR="00FE3400" w:rsidRPr="00F315F0">
        <w:rPr>
          <w:rFonts w:ascii="Arial" w:hAnsi="Arial" w:cs="Arial"/>
          <w:sz w:val="20"/>
        </w:rPr>
        <w:t>ed an Award</w:t>
      </w:r>
      <w:r w:rsidR="006421C1">
        <w:rPr>
          <w:rFonts w:ascii="Arial" w:hAnsi="Arial" w:cs="Arial"/>
          <w:sz w:val="20"/>
        </w:rPr>
        <w:t xml:space="preserve"> </w:t>
      </w:r>
      <w:r w:rsidR="00FE3400" w:rsidRPr="00F315F0">
        <w:rPr>
          <w:rFonts w:ascii="Arial" w:hAnsi="Arial" w:cs="Arial"/>
          <w:sz w:val="20"/>
        </w:rPr>
        <w:t xml:space="preserve">which </w:t>
      </w:r>
      <w:r w:rsidR="00213996" w:rsidRPr="00F315F0">
        <w:rPr>
          <w:rFonts w:ascii="Arial" w:hAnsi="Arial" w:cs="Arial"/>
          <w:sz w:val="20"/>
        </w:rPr>
        <w:t xml:space="preserve">would result in </w:t>
      </w:r>
      <w:r w:rsidR="00984974" w:rsidRPr="00F315F0">
        <w:rPr>
          <w:rFonts w:ascii="Arial" w:hAnsi="Arial" w:cs="Arial"/>
          <w:sz w:val="20"/>
        </w:rPr>
        <w:t xml:space="preserve">the Market Value of Awards made to that Employee </w:t>
      </w:r>
      <w:r w:rsidR="002E0665" w:rsidRPr="00F315F0">
        <w:rPr>
          <w:rFonts w:ascii="Arial" w:hAnsi="Arial" w:cs="Arial"/>
          <w:sz w:val="20"/>
        </w:rPr>
        <w:t>in</w:t>
      </w:r>
      <w:r w:rsidR="00CD51F9" w:rsidRPr="00F315F0">
        <w:rPr>
          <w:rFonts w:ascii="Arial" w:hAnsi="Arial" w:cs="Arial"/>
          <w:sz w:val="20"/>
        </w:rPr>
        <w:t xml:space="preserve"> respect of</w:t>
      </w:r>
      <w:r w:rsidR="00984974" w:rsidRPr="00F315F0">
        <w:rPr>
          <w:rFonts w:ascii="Arial" w:hAnsi="Arial" w:cs="Arial"/>
          <w:sz w:val="20"/>
        </w:rPr>
        <w:t xml:space="preserve"> </w:t>
      </w:r>
      <w:r w:rsidR="00F37FE0" w:rsidRPr="00F315F0">
        <w:rPr>
          <w:rFonts w:ascii="Arial" w:hAnsi="Arial" w:cs="Arial"/>
          <w:sz w:val="20"/>
        </w:rPr>
        <w:t>any</w:t>
      </w:r>
      <w:r w:rsidR="00984974" w:rsidRPr="00F315F0">
        <w:rPr>
          <w:rFonts w:ascii="Arial" w:hAnsi="Arial" w:cs="Arial"/>
          <w:sz w:val="20"/>
        </w:rPr>
        <w:t xml:space="preserve"> </w:t>
      </w:r>
      <w:r w:rsidR="002D405B" w:rsidRPr="00F315F0">
        <w:rPr>
          <w:rFonts w:ascii="Arial" w:hAnsi="Arial" w:cs="Arial"/>
          <w:sz w:val="20"/>
        </w:rPr>
        <w:t>financial y</w:t>
      </w:r>
      <w:r w:rsidR="00984974" w:rsidRPr="00F315F0">
        <w:rPr>
          <w:rFonts w:ascii="Arial" w:hAnsi="Arial" w:cs="Arial"/>
          <w:sz w:val="20"/>
        </w:rPr>
        <w:t>ear</w:t>
      </w:r>
      <w:r w:rsidR="00C642D9" w:rsidRPr="00F315F0">
        <w:rPr>
          <w:rFonts w:ascii="Arial" w:hAnsi="Arial" w:cs="Arial"/>
          <w:sz w:val="20"/>
        </w:rPr>
        <w:t xml:space="preserve"> of the Company</w:t>
      </w:r>
      <w:r w:rsidR="00984974" w:rsidRPr="00F315F0">
        <w:rPr>
          <w:rFonts w:ascii="Arial" w:hAnsi="Arial" w:cs="Arial"/>
          <w:sz w:val="20"/>
        </w:rPr>
        <w:t xml:space="preserve"> exceeding</w:t>
      </w:r>
      <w:r w:rsidR="002572A0">
        <w:rPr>
          <w:rFonts w:ascii="Arial" w:hAnsi="Arial" w:cs="Arial"/>
          <w:sz w:val="20"/>
        </w:rPr>
        <w:t xml:space="preserve"> </w:t>
      </w:r>
      <w:r w:rsidR="00966D57">
        <w:rPr>
          <w:rFonts w:ascii="Arial" w:hAnsi="Arial" w:cs="Arial"/>
          <w:sz w:val="20"/>
        </w:rPr>
        <w:t>2</w:t>
      </w:r>
      <w:r w:rsidR="00C8624E">
        <w:rPr>
          <w:rFonts w:ascii="Arial" w:hAnsi="Arial" w:cs="Arial"/>
          <w:sz w:val="20"/>
        </w:rPr>
        <w:t>5</w:t>
      </w:r>
      <w:r w:rsidR="00966D57">
        <w:rPr>
          <w:rFonts w:ascii="Arial" w:hAnsi="Arial" w:cs="Arial"/>
          <w:sz w:val="20"/>
        </w:rPr>
        <w:t>0</w:t>
      </w:r>
      <w:r w:rsidR="00984974" w:rsidRPr="00F315F0">
        <w:rPr>
          <w:rFonts w:ascii="Arial" w:hAnsi="Arial" w:cs="Arial"/>
          <w:sz w:val="20"/>
        </w:rPr>
        <w:t>% of the Employee's basic annual salary as at the proposed Grant Date</w:t>
      </w:r>
      <w:r w:rsidR="00A77C8A" w:rsidRPr="00F315F0">
        <w:rPr>
          <w:rFonts w:ascii="Arial" w:hAnsi="Arial" w:cs="Arial"/>
          <w:sz w:val="20"/>
        </w:rPr>
        <w:t xml:space="preserve"> (or,</w:t>
      </w:r>
      <w:r w:rsidR="00652079" w:rsidRPr="00F315F0">
        <w:rPr>
          <w:rFonts w:ascii="Arial" w:hAnsi="Arial" w:cs="Arial"/>
          <w:sz w:val="20"/>
        </w:rPr>
        <w:t xml:space="preserve"> where applicable, </w:t>
      </w:r>
      <w:r w:rsidR="00F315F0" w:rsidRPr="00F315F0">
        <w:rPr>
          <w:rFonts w:ascii="Arial" w:hAnsi="Arial" w:cs="Arial"/>
          <w:sz w:val="20"/>
        </w:rPr>
        <w:t xml:space="preserve">the </w:t>
      </w:r>
      <w:r w:rsidR="002E446C" w:rsidRPr="00F315F0">
        <w:rPr>
          <w:rFonts w:ascii="Arial" w:hAnsi="Arial" w:cs="Arial"/>
          <w:sz w:val="20"/>
        </w:rPr>
        <w:t xml:space="preserve">relevant </w:t>
      </w:r>
      <w:r w:rsidR="008F04DE">
        <w:rPr>
          <w:rFonts w:ascii="Arial" w:hAnsi="Arial" w:cs="Arial"/>
          <w:sz w:val="20"/>
        </w:rPr>
        <w:t xml:space="preserve">percentage of salary </w:t>
      </w:r>
      <w:r w:rsidR="002E446C" w:rsidRPr="00F315F0">
        <w:rPr>
          <w:rFonts w:ascii="Arial" w:hAnsi="Arial" w:cs="Arial"/>
          <w:sz w:val="20"/>
        </w:rPr>
        <w:t>limit set out in the Directors’ Remuneration Policy which the Company has in place at that time)</w:t>
      </w:r>
      <w:r w:rsidR="00984974" w:rsidRPr="00F315F0">
        <w:rPr>
          <w:rFonts w:ascii="Arial" w:hAnsi="Arial" w:cs="Arial"/>
          <w:sz w:val="20"/>
        </w:rPr>
        <w:t>.</w:t>
      </w:r>
      <w:r w:rsidR="00232EE6" w:rsidRPr="00F315F0">
        <w:rPr>
          <w:rFonts w:ascii="Arial" w:hAnsi="Arial" w:cs="Arial"/>
          <w:sz w:val="20"/>
        </w:rPr>
        <w:t xml:space="preserve"> T</w:t>
      </w:r>
      <w:r w:rsidR="00984974" w:rsidRPr="00F315F0">
        <w:rPr>
          <w:rFonts w:ascii="Arial" w:hAnsi="Arial" w:cs="Arial"/>
          <w:sz w:val="20"/>
        </w:rPr>
        <w:t>he ‘Market Value of Awards’ means the aggregate Market Value of Shares subject to Awards measured as at the Grant Date of the relevant Award.</w:t>
      </w:r>
      <w:r w:rsidR="000C6F3B" w:rsidRPr="00F315F0">
        <w:rPr>
          <w:rFonts w:ascii="Arial" w:hAnsi="Arial" w:cs="Arial"/>
          <w:sz w:val="20"/>
        </w:rPr>
        <w:t xml:space="preserve"> Any Awards surrendered for nil consideration before the Vesting Date shall not count towards this limit</w:t>
      </w:r>
      <w:r w:rsidR="00F558FF" w:rsidRPr="007370B9">
        <w:rPr>
          <w:rFonts w:ascii="Arial" w:hAnsi="Arial"/>
          <w:sz w:val="20"/>
        </w:rPr>
        <w:t>.</w:t>
      </w:r>
    </w:p>
    <w:p w14:paraId="0C943FCF" w14:textId="69F659E8" w:rsidR="00A41FAB" w:rsidRPr="00173B47" w:rsidRDefault="00572C1A" w:rsidP="00123A95">
      <w:pPr>
        <w:pStyle w:val="Untitledsubclause1"/>
        <w:spacing w:line="240" w:lineRule="auto"/>
        <w:rPr>
          <w:rFonts w:ascii="Arial" w:hAnsi="Arial" w:cs="Arial"/>
          <w:sz w:val="20"/>
        </w:rPr>
      </w:pPr>
      <w:r w:rsidRPr="00173B47">
        <w:rPr>
          <w:rFonts w:ascii="Arial" w:hAnsi="Arial" w:cs="Arial"/>
          <w:sz w:val="20"/>
        </w:rPr>
        <w:t>If an Award is purported</w:t>
      </w:r>
      <w:r w:rsidR="00ED60B6">
        <w:rPr>
          <w:rFonts w:ascii="Arial" w:hAnsi="Arial" w:cs="Arial"/>
          <w:sz w:val="20"/>
        </w:rPr>
        <w:t>ly</w:t>
      </w:r>
      <w:r w:rsidRPr="00173B47">
        <w:rPr>
          <w:rFonts w:ascii="Arial" w:hAnsi="Arial" w:cs="Arial"/>
          <w:sz w:val="20"/>
        </w:rPr>
        <w:t xml:space="preserve"> granted in breach of any of the above limits, the Remuneration Committee may</w:t>
      </w:r>
      <w:r w:rsidR="001C5974" w:rsidRPr="00173B47">
        <w:rPr>
          <w:rFonts w:ascii="Arial" w:hAnsi="Arial" w:cs="Arial"/>
          <w:sz w:val="20"/>
        </w:rPr>
        <w:t xml:space="preserve"> take </w:t>
      </w:r>
      <w:r w:rsidR="00AD5A11">
        <w:rPr>
          <w:rFonts w:ascii="Arial" w:hAnsi="Arial" w:cs="Arial"/>
          <w:sz w:val="20"/>
        </w:rPr>
        <w:t xml:space="preserve">any </w:t>
      </w:r>
      <w:r w:rsidR="001C5974" w:rsidRPr="00173B47">
        <w:rPr>
          <w:rFonts w:ascii="Arial" w:hAnsi="Arial" w:cs="Arial"/>
          <w:sz w:val="20"/>
        </w:rPr>
        <w:t xml:space="preserve">action </w:t>
      </w:r>
      <w:r w:rsidR="00465A47">
        <w:rPr>
          <w:rFonts w:ascii="Arial" w:hAnsi="Arial" w:cs="Arial"/>
          <w:sz w:val="20"/>
        </w:rPr>
        <w:t xml:space="preserve">it considers necessary </w:t>
      </w:r>
      <w:r w:rsidR="00DA01F7" w:rsidRPr="00173B47">
        <w:rPr>
          <w:rFonts w:ascii="Arial" w:hAnsi="Arial" w:cs="Arial"/>
          <w:sz w:val="20"/>
        </w:rPr>
        <w:t>to</w:t>
      </w:r>
      <w:r w:rsidR="001C5974" w:rsidRPr="00173B47">
        <w:rPr>
          <w:rFonts w:ascii="Arial" w:hAnsi="Arial" w:cs="Arial"/>
          <w:sz w:val="20"/>
        </w:rPr>
        <w:t xml:space="preserve"> restore compliance</w:t>
      </w:r>
      <w:r w:rsidR="00731691" w:rsidRPr="00173B47">
        <w:rPr>
          <w:rFonts w:ascii="Arial" w:hAnsi="Arial" w:cs="Arial"/>
          <w:sz w:val="20"/>
        </w:rPr>
        <w:t>.</w:t>
      </w:r>
      <w:r w:rsidR="001C5974" w:rsidRPr="00173B47">
        <w:rPr>
          <w:rFonts w:ascii="Arial" w:hAnsi="Arial" w:cs="Arial"/>
          <w:sz w:val="20"/>
        </w:rPr>
        <w:t xml:space="preserve"> </w:t>
      </w:r>
      <w:r w:rsidR="00731691" w:rsidRPr="00173B47">
        <w:rPr>
          <w:rFonts w:ascii="Arial" w:hAnsi="Arial" w:cs="Arial"/>
          <w:sz w:val="20"/>
        </w:rPr>
        <w:t>A</w:t>
      </w:r>
      <w:r w:rsidR="00277225" w:rsidRPr="00173B47">
        <w:rPr>
          <w:rFonts w:ascii="Arial" w:hAnsi="Arial" w:cs="Arial"/>
          <w:sz w:val="20"/>
        </w:rPr>
        <w:t>n</w:t>
      </w:r>
      <w:r w:rsidR="001C5974" w:rsidRPr="00173B47">
        <w:rPr>
          <w:rFonts w:ascii="Arial" w:hAnsi="Arial" w:cs="Arial"/>
          <w:sz w:val="20"/>
        </w:rPr>
        <w:t xml:space="preserve"> </w:t>
      </w:r>
      <w:r w:rsidR="00731691" w:rsidRPr="00173B47">
        <w:rPr>
          <w:rFonts w:ascii="Arial" w:hAnsi="Arial" w:cs="Arial"/>
          <w:sz w:val="20"/>
        </w:rPr>
        <w:t xml:space="preserve">amended </w:t>
      </w:r>
      <w:r w:rsidR="00657988" w:rsidRPr="00173B47">
        <w:rPr>
          <w:rFonts w:ascii="Arial" w:hAnsi="Arial" w:cs="Arial"/>
          <w:sz w:val="20"/>
        </w:rPr>
        <w:t xml:space="preserve">Award </w:t>
      </w:r>
      <w:r w:rsidR="00731691" w:rsidRPr="00173B47">
        <w:rPr>
          <w:rFonts w:ascii="Arial" w:hAnsi="Arial" w:cs="Arial"/>
          <w:sz w:val="20"/>
        </w:rPr>
        <w:t xml:space="preserve">will be </w:t>
      </w:r>
      <w:r w:rsidR="00173B47" w:rsidRPr="00173B47">
        <w:rPr>
          <w:rFonts w:ascii="Arial" w:hAnsi="Arial" w:cs="Arial"/>
          <w:sz w:val="20"/>
        </w:rPr>
        <w:t xml:space="preserve">treated as if it had been granted on the adjusted terms </w:t>
      </w:r>
      <w:r w:rsidR="00173B47">
        <w:rPr>
          <w:rFonts w:ascii="Arial" w:hAnsi="Arial" w:cs="Arial"/>
          <w:sz w:val="20"/>
        </w:rPr>
        <w:t xml:space="preserve">on </w:t>
      </w:r>
      <w:r w:rsidR="00657988" w:rsidRPr="00173B47">
        <w:rPr>
          <w:rFonts w:ascii="Arial" w:hAnsi="Arial" w:cs="Arial"/>
          <w:sz w:val="20"/>
        </w:rPr>
        <w:t>the Grant Date</w:t>
      </w:r>
      <w:r w:rsidR="001C5974" w:rsidRPr="00173B47">
        <w:rPr>
          <w:rFonts w:ascii="Arial" w:hAnsi="Arial" w:cs="Arial"/>
          <w:sz w:val="20"/>
        </w:rPr>
        <w:t>.</w:t>
      </w:r>
    </w:p>
    <w:bookmarkStart w:id="150" w:name="a550683"/>
    <w:p w14:paraId="665376EB" w14:textId="4593D8FA" w:rsidR="007B4FB5" w:rsidRPr="0006114E" w:rsidRDefault="007B4FB5" w:rsidP="006B4BCA">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"8. Release Date" \l 1</w:instrText>
      </w:r>
      <w:r w:rsidRPr="0006114E">
        <w:rPr>
          <w:rFonts w:ascii="Arial" w:hAnsi="Arial" w:cs="Arial"/>
          <w:sz w:val="20"/>
        </w:rPr>
        <w:fldChar w:fldCharType="end"/>
      </w:r>
      <w:bookmarkStart w:id="151" w:name="a497277"/>
      <w:bookmarkStart w:id="152" w:name="_Toc103273395"/>
      <w:bookmarkStart w:id="153" w:name="_Toc145339778"/>
      <w:bookmarkStart w:id="154" w:name="_Toc131682128"/>
      <w:bookmarkStart w:id="155" w:name="_Toc107828220"/>
      <w:bookmarkStart w:id="156" w:name="_Toc152661650"/>
      <w:bookmarkStart w:id="157" w:name="_Toc159952456"/>
      <w:bookmarkStart w:id="158" w:name="_Toc168490278"/>
      <w:bookmarkStart w:id="159" w:name="_Toc187838769"/>
      <w:bookmarkStart w:id="160" w:name="_Toc188629303"/>
      <w:bookmarkStart w:id="161" w:name="_Toc191381403"/>
      <w:r w:rsidR="008D619B" w:rsidRPr="0006114E">
        <w:rPr>
          <w:rFonts w:ascii="Arial" w:hAnsi="Arial" w:cs="Arial"/>
          <w:sz w:val="20"/>
        </w:rPr>
        <w:t>Vesting</w:t>
      </w:r>
      <w:r w:rsidRPr="0006114E">
        <w:rPr>
          <w:rFonts w:ascii="Arial" w:hAnsi="Arial" w:cs="Arial"/>
          <w:sz w:val="20"/>
        </w:rPr>
        <w:t xml:space="preserve"> Date</w:t>
      </w:r>
      <w:bookmarkEnd w:id="151"/>
      <w:bookmarkEnd w:id="152"/>
      <w:bookmarkEnd w:id="153"/>
      <w:bookmarkEnd w:id="154"/>
      <w:bookmarkEnd w:id="155"/>
      <w:bookmarkEnd w:id="156"/>
      <w:bookmarkEnd w:id="157"/>
      <w:bookmarkEnd w:id="158"/>
      <w:bookmarkEnd w:id="159"/>
      <w:bookmarkEnd w:id="160"/>
      <w:bookmarkEnd w:id="161"/>
    </w:p>
    <w:p w14:paraId="56712E41" w14:textId="2D2C4213" w:rsidR="007B4FB5" w:rsidRDefault="0031270E" w:rsidP="006A1CE1">
      <w:pPr>
        <w:pStyle w:val="Untitledsubclause1"/>
        <w:spacing w:line="240" w:lineRule="auto"/>
        <w:rPr>
          <w:rFonts w:ascii="Arial" w:hAnsi="Arial" w:cs="Arial"/>
          <w:sz w:val="20"/>
        </w:rPr>
      </w:pPr>
      <w:r w:rsidRPr="0006114E">
        <w:rPr>
          <w:rFonts w:ascii="Arial" w:hAnsi="Arial" w:cs="Arial"/>
          <w:sz w:val="20"/>
        </w:rPr>
        <w:t>Subject to</w:t>
      </w:r>
      <w:r w:rsidR="00BA5A47" w:rsidRPr="0006114E">
        <w:rPr>
          <w:rFonts w:ascii="Arial" w:hAnsi="Arial" w:cs="Arial"/>
          <w:sz w:val="20"/>
        </w:rPr>
        <w:t xml:space="preserve"> the rules of the Plan</w:t>
      </w:r>
      <w:r w:rsidR="00E1392A" w:rsidRPr="0006114E">
        <w:rPr>
          <w:rFonts w:ascii="Arial" w:hAnsi="Arial" w:cs="Arial"/>
          <w:sz w:val="20"/>
        </w:rPr>
        <w:t>,</w:t>
      </w:r>
      <w:r w:rsidRPr="0006114E">
        <w:rPr>
          <w:rFonts w:ascii="Arial" w:hAnsi="Arial" w:cs="Arial"/>
          <w:sz w:val="20"/>
        </w:rPr>
        <w:t xml:space="preserve"> </w:t>
      </w:r>
      <w:r w:rsidR="009C4258" w:rsidRPr="0006114E">
        <w:rPr>
          <w:rFonts w:ascii="Arial" w:hAnsi="Arial" w:cs="Arial"/>
          <w:sz w:val="20"/>
        </w:rPr>
        <w:t xml:space="preserve">an </w:t>
      </w:r>
      <w:r w:rsidR="007B4FB5" w:rsidRPr="0006114E">
        <w:rPr>
          <w:rFonts w:ascii="Arial" w:hAnsi="Arial" w:cs="Arial"/>
          <w:sz w:val="20"/>
        </w:rPr>
        <w:t xml:space="preserve">Award will </w:t>
      </w:r>
      <w:r w:rsidR="008D619B" w:rsidRPr="0006114E">
        <w:rPr>
          <w:rFonts w:ascii="Arial" w:hAnsi="Arial" w:cs="Arial"/>
          <w:sz w:val="20"/>
        </w:rPr>
        <w:t>Vest</w:t>
      </w:r>
      <w:r w:rsidR="000F4D08" w:rsidRPr="0006114E">
        <w:rPr>
          <w:rFonts w:ascii="Arial" w:hAnsi="Arial" w:cs="Arial"/>
          <w:sz w:val="20"/>
        </w:rPr>
        <w:t xml:space="preserve"> (save to the extent </w:t>
      </w:r>
      <w:r w:rsidR="007D38CD" w:rsidRPr="0006114E">
        <w:rPr>
          <w:rFonts w:ascii="Arial" w:hAnsi="Arial" w:cs="Arial"/>
          <w:sz w:val="20"/>
        </w:rPr>
        <w:t xml:space="preserve">lapsed or already </w:t>
      </w:r>
      <w:r w:rsidR="000F4D08" w:rsidRPr="0006114E">
        <w:rPr>
          <w:rFonts w:ascii="Arial" w:hAnsi="Arial" w:cs="Arial"/>
          <w:sz w:val="20"/>
        </w:rPr>
        <w:t>Vested</w:t>
      </w:r>
      <w:r w:rsidR="00206150">
        <w:rPr>
          <w:rFonts w:ascii="Arial" w:hAnsi="Arial" w:cs="Arial"/>
          <w:sz w:val="20"/>
        </w:rPr>
        <w:t xml:space="preserve"> </w:t>
      </w:r>
      <w:r w:rsidR="00F76DB8">
        <w:rPr>
          <w:rFonts w:ascii="Arial" w:hAnsi="Arial" w:cs="Arial"/>
          <w:sz w:val="20"/>
        </w:rPr>
        <w:t>pursuant to</w:t>
      </w:r>
      <w:r w:rsidR="00206150">
        <w:rPr>
          <w:rFonts w:ascii="Arial" w:hAnsi="Arial" w:cs="Arial"/>
          <w:sz w:val="20"/>
        </w:rPr>
        <w:t xml:space="preserve"> another rule of the Plan</w:t>
      </w:r>
      <w:r w:rsidR="000F4D08" w:rsidRPr="0006114E">
        <w:rPr>
          <w:rFonts w:ascii="Arial" w:hAnsi="Arial" w:cs="Arial"/>
          <w:sz w:val="20"/>
        </w:rPr>
        <w:t>)</w:t>
      </w:r>
      <w:r w:rsidR="007B4FB5" w:rsidRPr="0006114E">
        <w:rPr>
          <w:rFonts w:ascii="Arial" w:hAnsi="Arial" w:cs="Arial"/>
          <w:sz w:val="20"/>
        </w:rPr>
        <w:t xml:space="preserve"> on </w:t>
      </w:r>
      <w:r w:rsidR="009C4258" w:rsidRPr="0006114E">
        <w:rPr>
          <w:rFonts w:ascii="Arial" w:hAnsi="Arial" w:cs="Arial"/>
          <w:sz w:val="20"/>
        </w:rPr>
        <w:t xml:space="preserve">its </w:t>
      </w:r>
      <w:r w:rsidR="00016938" w:rsidRPr="0006114E">
        <w:rPr>
          <w:rFonts w:ascii="Arial" w:hAnsi="Arial" w:cs="Arial"/>
          <w:sz w:val="20"/>
        </w:rPr>
        <w:t xml:space="preserve">Ordinary </w:t>
      </w:r>
      <w:r w:rsidR="008D619B" w:rsidRPr="0006114E">
        <w:rPr>
          <w:rFonts w:ascii="Arial" w:hAnsi="Arial" w:cs="Arial"/>
          <w:sz w:val="20"/>
        </w:rPr>
        <w:t>Vesting</w:t>
      </w:r>
      <w:r w:rsidR="007B4FB5" w:rsidRPr="0006114E">
        <w:rPr>
          <w:rFonts w:ascii="Arial" w:hAnsi="Arial" w:cs="Arial"/>
          <w:sz w:val="20"/>
        </w:rPr>
        <w:t xml:space="preserve"> Date</w:t>
      </w:r>
      <w:r w:rsidR="00001B4F" w:rsidRPr="0006114E">
        <w:rPr>
          <w:rFonts w:ascii="Arial" w:hAnsi="Arial" w:cs="Arial"/>
          <w:sz w:val="20"/>
        </w:rPr>
        <w:t xml:space="preserve"> </w:t>
      </w:r>
      <w:r w:rsidR="00E62186" w:rsidRPr="0006114E">
        <w:rPr>
          <w:rFonts w:ascii="Arial" w:hAnsi="Arial" w:cs="Arial"/>
          <w:sz w:val="20"/>
        </w:rPr>
        <w:t xml:space="preserve">(where the Award is subject to Performance Condition(s), to the extent </w:t>
      </w:r>
      <w:r w:rsidR="0023137C" w:rsidRPr="0006114E">
        <w:rPr>
          <w:rFonts w:ascii="Arial" w:hAnsi="Arial" w:cs="Arial"/>
          <w:sz w:val="20"/>
        </w:rPr>
        <w:t xml:space="preserve">those </w:t>
      </w:r>
      <w:r w:rsidR="00E62186" w:rsidRPr="0006114E">
        <w:rPr>
          <w:rFonts w:ascii="Arial" w:hAnsi="Arial" w:cs="Arial"/>
          <w:sz w:val="20"/>
        </w:rPr>
        <w:t>Performance Condition(s) have been met)</w:t>
      </w:r>
      <w:r w:rsidR="00D8597D" w:rsidRPr="0006114E">
        <w:rPr>
          <w:rFonts w:ascii="Arial" w:hAnsi="Arial" w:cs="Arial"/>
          <w:sz w:val="20"/>
        </w:rPr>
        <w:t>.</w:t>
      </w:r>
      <w:bookmarkEnd w:id="150"/>
    </w:p>
    <w:p w14:paraId="50437BB9" w14:textId="758EAEF4" w:rsidR="00D00877" w:rsidRPr="0006114E" w:rsidRDefault="00325F1D" w:rsidP="006A1CE1">
      <w:pPr>
        <w:pStyle w:val="Untitledsubclause1"/>
        <w:spacing w:line="240" w:lineRule="auto"/>
        <w:rPr>
          <w:rFonts w:ascii="Arial" w:hAnsi="Arial" w:cs="Arial"/>
          <w:sz w:val="20"/>
        </w:rPr>
      </w:pPr>
      <w:bookmarkStart w:id="162" w:name="_Ref131607853"/>
      <w:bookmarkStart w:id="163" w:name="_Ref145339765"/>
      <w:r w:rsidRPr="0006114E">
        <w:rPr>
          <w:rFonts w:ascii="Arial" w:hAnsi="Arial" w:cs="Arial"/>
          <w:sz w:val="20"/>
        </w:rPr>
        <w:t>Unless the Remuneration Committee decides otherwise, w</w:t>
      </w:r>
      <w:r w:rsidR="000017C4" w:rsidRPr="0006114E">
        <w:rPr>
          <w:rFonts w:ascii="Arial" w:hAnsi="Arial" w:cs="Arial"/>
          <w:sz w:val="20"/>
        </w:rPr>
        <w:t xml:space="preserve">here </w:t>
      </w:r>
      <w:r w:rsidR="00593C26" w:rsidRPr="0006114E">
        <w:rPr>
          <w:rFonts w:ascii="Arial" w:hAnsi="Arial" w:cs="Arial"/>
          <w:sz w:val="20"/>
        </w:rPr>
        <w:t xml:space="preserve">an Award </w:t>
      </w:r>
      <w:r w:rsidR="00D27C39" w:rsidRPr="0006114E">
        <w:rPr>
          <w:rFonts w:ascii="Arial" w:hAnsi="Arial" w:cs="Arial"/>
          <w:sz w:val="20"/>
        </w:rPr>
        <w:t xml:space="preserve">Holder’s Award </w:t>
      </w:r>
      <w:r w:rsidR="00593C26" w:rsidRPr="0006114E">
        <w:rPr>
          <w:rFonts w:ascii="Arial" w:hAnsi="Arial" w:cs="Arial"/>
          <w:sz w:val="20"/>
        </w:rPr>
        <w:t xml:space="preserve">would Vest at a time </w:t>
      </w:r>
      <w:r w:rsidR="000017C4" w:rsidRPr="0006114E">
        <w:rPr>
          <w:rFonts w:ascii="Arial" w:hAnsi="Arial" w:cs="Arial"/>
          <w:sz w:val="20"/>
        </w:rPr>
        <w:t>Dealing Restrictions</w:t>
      </w:r>
      <w:r w:rsidRPr="0006114E">
        <w:rPr>
          <w:rFonts w:ascii="Arial" w:hAnsi="Arial" w:cs="Arial"/>
          <w:sz w:val="20"/>
        </w:rPr>
        <w:t xml:space="preserve"> prevent </w:t>
      </w:r>
      <w:r w:rsidR="00D27C39" w:rsidRPr="0006114E">
        <w:rPr>
          <w:rFonts w:ascii="Arial" w:hAnsi="Arial" w:cs="Arial"/>
          <w:sz w:val="20"/>
        </w:rPr>
        <w:t xml:space="preserve">them selling Shares, </w:t>
      </w:r>
      <w:r w:rsidR="000017C4" w:rsidRPr="0006114E">
        <w:rPr>
          <w:rFonts w:ascii="Arial" w:hAnsi="Arial" w:cs="Arial"/>
          <w:sz w:val="20"/>
        </w:rPr>
        <w:t>the</w:t>
      </w:r>
      <w:r w:rsidR="00365C73" w:rsidRPr="0006114E">
        <w:rPr>
          <w:rFonts w:ascii="Arial" w:hAnsi="Arial" w:cs="Arial"/>
          <w:sz w:val="20"/>
        </w:rPr>
        <w:t xml:space="preserve">ir </w:t>
      </w:r>
      <w:r w:rsidR="000017C4" w:rsidRPr="0006114E">
        <w:rPr>
          <w:rFonts w:ascii="Arial" w:hAnsi="Arial" w:cs="Arial"/>
          <w:sz w:val="20"/>
        </w:rPr>
        <w:t>Award will</w:t>
      </w:r>
      <w:r w:rsidR="00BD15E8">
        <w:rPr>
          <w:rFonts w:ascii="Arial" w:hAnsi="Arial" w:cs="Arial"/>
          <w:sz w:val="20"/>
        </w:rPr>
        <w:t xml:space="preserve"> instead</w:t>
      </w:r>
      <w:r w:rsidR="000017C4" w:rsidRPr="0006114E">
        <w:rPr>
          <w:rFonts w:ascii="Arial" w:hAnsi="Arial" w:cs="Arial"/>
          <w:sz w:val="20"/>
        </w:rPr>
        <w:t xml:space="preserve"> Vest </w:t>
      </w:r>
      <w:r w:rsidR="00365C73" w:rsidRPr="0006114E">
        <w:rPr>
          <w:rFonts w:ascii="Arial" w:hAnsi="Arial" w:cs="Arial"/>
          <w:sz w:val="20"/>
        </w:rPr>
        <w:t xml:space="preserve">when </w:t>
      </w:r>
      <w:r w:rsidR="000017C4" w:rsidRPr="0006114E">
        <w:rPr>
          <w:rFonts w:ascii="Arial" w:hAnsi="Arial" w:cs="Arial"/>
          <w:sz w:val="20"/>
        </w:rPr>
        <w:t>such Dealing Restrictions cease to apply</w:t>
      </w:r>
      <w:bookmarkEnd w:id="162"/>
      <w:r w:rsidR="000017C4" w:rsidRPr="0006114E">
        <w:rPr>
          <w:rFonts w:ascii="Arial" w:hAnsi="Arial" w:cs="Arial"/>
          <w:sz w:val="20"/>
        </w:rPr>
        <w:t>.</w:t>
      </w:r>
      <w:bookmarkEnd w:id="163"/>
    </w:p>
    <w:p w14:paraId="789DF6A9" w14:textId="793DE5C9" w:rsidR="007B4FB5" w:rsidRDefault="005C00C8" w:rsidP="00FD1387">
      <w:pPr>
        <w:pStyle w:val="Untitledsubclause1"/>
        <w:tabs>
          <w:tab w:val="num" w:pos="1554"/>
        </w:tabs>
        <w:spacing w:line="240" w:lineRule="auto"/>
        <w:rPr>
          <w:rFonts w:ascii="Arial" w:hAnsi="Arial" w:cs="Arial"/>
          <w:sz w:val="20"/>
        </w:rPr>
      </w:pPr>
      <w:bookmarkStart w:id="164" w:name="a791230"/>
      <w:r w:rsidRPr="00885B47">
        <w:rPr>
          <w:rFonts w:ascii="Arial" w:hAnsi="Arial" w:cs="Arial"/>
          <w:sz w:val="20"/>
        </w:rPr>
        <w:t>Notwithstanding any other rule of this Plan, an</w:t>
      </w:r>
      <w:r w:rsidR="003E2DCF" w:rsidRPr="00885B47">
        <w:rPr>
          <w:rFonts w:ascii="Arial" w:hAnsi="Arial" w:cs="Arial"/>
          <w:sz w:val="20"/>
        </w:rPr>
        <w:t xml:space="preserve"> </w:t>
      </w:r>
      <w:r w:rsidR="00D93C59" w:rsidRPr="00885B47">
        <w:rPr>
          <w:rFonts w:ascii="Arial" w:hAnsi="Arial" w:cs="Arial"/>
          <w:sz w:val="20"/>
        </w:rPr>
        <w:t>Award</w:t>
      </w:r>
      <w:r w:rsidR="00D8597D" w:rsidRPr="00885B47">
        <w:rPr>
          <w:rFonts w:ascii="Arial" w:hAnsi="Arial" w:cs="Arial"/>
          <w:sz w:val="20"/>
        </w:rPr>
        <w:t xml:space="preserve"> shall not </w:t>
      </w:r>
      <w:r w:rsidR="00D44FC6" w:rsidRPr="00885B47">
        <w:rPr>
          <w:rFonts w:ascii="Arial" w:hAnsi="Arial" w:cs="Arial"/>
          <w:sz w:val="20"/>
        </w:rPr>
        <w:t>Vest</w:t>
      </w:r>
      <w:r w:rsidR="00D8597D" w:rsidRPr="00885B47">
        <w:rPr>
          <w:rFonts w:ascii="Arial" w:hAnsi="Arial" w:cs="Arial"/>
          <w:sz w:val="20"/>
        </w:rPr>
        <w:t xml:space="preserve">, and </w:t>
      </w:r>
      <w:r w:rsidR="00AA32FF" w:rsidRPr="00885B47">
        <w:rPr>
          <w:rFonts w:ascii="Arial" w:hAnsi="Arial" w:cs="Arial"/>
          <w:sz w:val="20"/>
        </w:rPr>
        <w:t>an Award Holder</w:t>
      </w:r>
      <w:r w:rsidR="00D8597D" w:rsidRPr="00885B47">
        <w:rPr>
          <w:rFonts w:ascii="Arial" w:hAnsi="Arial" w:cs="Arial"/>
          <w:sz w:val="20"/>
        </w:rPr>
        <w:t xml:space="preserve"> may not exercise </w:t>
      </w:r>
      <w:r w:rsidR="00ED1FB1" w:rsidRPr="00885B47">
        <w:rPr>
          <w:rFonts w:ascii="Arial" w:hAnsi="Arial" w:cs="Arial"/>
          <w:sz w:val="20"/>
        </w:rPr>
        <w:t>a</w:t>
      </w:r>
      <w:r w:rsidR="000150A7" w:rsidRPr="00885B47">
        <w:rPr>
          <w:rFonts w:ascii="Arial" w:hAnsi="Arial" w:cs="Arial"/>
          <w:sz w:val="20"/>
        </w:rPr>
        <w:t>n</w:t>
      </w:r>
      <w:r w:rsidR="00ED1FB1" w:rsidRPr="00885B47">
        <w:rPr>
          <w:rFonts w:ascii="Arial" w:hAnsi="Arial" w:cs="Arial"/>
          <w:sz w:val="20"/>
        </w:rPr>
        <w:t xml:space="preserve"> </w:t>
      </w:r>
      <w:r w:rsidR="00D8597D" w:rsidRPr="00885B47">
        <w:rPr>
          <w:rFonts w:ascii="Arial" w:hAnsi="Arial" w:cs="Arial"/>
          <w:sz w:val="20"/>
        </w:rPr>
        <w:t>Option, at any time</w:t>
      </w:r>
      <w:r w:rsidR="000150A7" w:rsidRPr="00885B47">
        <w:rPr>
          <w:rFonts w:ascii="Arial" w:hAnsi="Arial" w:cs="Arial"/>
          <w:sz w:val="20"/>
        </w:rPr>
        <w:t xml:space="preserve"> </w:t>
      </w:r>
      <w:bookmarkStart w:id="165" w:name="a807035"/>
      <w:bookmarkEnd w:id="164"/>
      <w:r w:rsidR="0027716D" w:rsidRPr="00885B47">
        <w:rPr>
          <w:rFonts w:ascii="Arial" w:hAnsi="Arial" w:cs="Arial"/>
          <w:sz w:val="20"/>
        </w:rPr>
        <w:t xml:space="preserve">while </w:t>
      </w:r>
      <w:bookmarkStart w:id="166" w:name="a355829"/>
      <w:bookmarkEnd w:id="165"/>
      <w:r w:rsidR="00A86FDA" w:rsidRPr="00885B47">
        <w:rPr>
          <w:rFonts w:ascii="Arial" w:hAnsi="Arial" w:cs="Arial"/>
          <w:sz w:val="20"/>
        </w:rPr>
        <w:t>an</w:t>
      </w:r>
      <w:r w:rsidR="00D8597D" w:rsidRPr="00885B47">
        <w:rPr>
          <w:rFonts w:ascii="Arial" w:hAnsi="Arial" w:cs="Arial"/>
          <w:sz w:val="20"/>
        </w:rPr>
        <w:t xml:space="preserve"> investigati</w:t>
      </w:r>
      <w:r w:rsidR="00A86FDA" w:rsidRPr="00885B47">
        <w:rPr>
          <w:rFonts w:ascii="Arial" w:hAnsi="Arial" w:cs="Arial"/>
          <w:sz w:val="20"/>
        </w:rPr>
        <w:t>o</w:t>
      </w:r>
      <w:r w:rsidR="00D8597D" w:rsidRPr="00885B47">
        <w:rPr>
          <w:rFonts w:ascii="Arial" w:hAnsi="Arial" w:cs="Arial"/>
          <w:sz w:val="20"/>
        </w:rPr>
        <w:t>n</w:t>
      </w:r>
      <w:r w:rsidR="00A86FDA" w:rsidRPr="00885B47">
        <w:rPr>
          <w:rFonts w:ascii="Arial" w:hAnsi="Arial" w:cs="Arial"/>
          <w:sz w:val="20"/>
        </w:rPr>
        <w:t xml:space="preserve"> into the</w:t>
      </w:r>
      <w:r w:rsidR="00D8597D" w:rsidRPr="00885B47">
        <w:rPr>
          <w:rFonts w:ascii="Arial" w:hAnsi="Arial" w:cs="Arial"/>
          <w:sz w:val="20"/>
        </w:rPr>
        <w:t xml:space="preserve"> Award Holder's conduct</w:t>
      </w:r>
      <w:bookmarkEnd w:id="166"/>
      <w:r w:rsidR="00A86FDA" w:rsidRPr="00885B47">
        <w:rPr>
          <w:rFonts w:ascii="Arial" w:hAnsi="Arial" w:cs="Arial"/>
          <w:sz w:val="20"/>
        </w:rPr>
        <w:t xml:space="preserve"> is </w:t>
      </w:r>
      <w:r w:rsidR="0027716D" w:rsidRPr="00885B47">
        <w:rPr>
          <w:rFonts w:ascii="Arial" w:hAnsi="Arial" w:cs="Arial"/>
          <w:sz w:val="20"/>
        </w:rPr>
        <w:t>ongoing.</w:t>
      </w:r>
      <w:r w:rsidR="006C1341" w:rsidRPr="00885B47">
        <w:rPr>
          <w:rFonts w:ascii="Arial" w:hAnsi="Arial" w:cs="Arial"/>
          <w:sz w:val="20"/>
        </w:rPr>
        <w:t xml:space="preserve"> </w:t>
      </w:r>
      <w:r w:rsidR="00885B47" w:rsidRPr="00885B47">
        <w:rPr>
          <w:rFonts w:ascii="Arial" w:hAnsi="Arial" w:cs="Arial"/>
          <w:sz w:val="20"/>
        </w:rPr>
        <w:t xml:space="preserve">An Award which this rule prevented from Vesting </w:t>
      </w:r>
      <w:r w:rsidR="006C1341" w:rsidRPr="00885B47">
        <w:rPr>
          <w:rFonts w:ascii="Arial" w:hAnsi="Arial" w:cs="Arial"/>
          <w:sz w:val="20"/>
        </w:rPr>
        <w:t>(and a</w:t>
      </w:r>
      <w:r w:rsidR="00857AF3" w:rsidRPr="00885B47">
        <w:rPr>
          <w:rFonts w:ascii="Arial" w:hAnsi="Arial" w:cs="Arial"/>
          <w:sz w:val="20"/>
        </w:rPr>
        <w:t>n</w:t>
      </w:r>
      <w:r w:rsidR="006C1341" w:rsidRPr="00885B47">
        <w:rPr>
          <w:rFonts w:ascii="Arial" w:hAnsi="Arial" w:cs="Arial"/>
          <w:sz w:val="20"/>
        </w:rPr>
        <w:t xml:space="preserve"> Option which the Award Holder was prevented from exercising)</w:t>
      </w:r>
      <w:r w:rsidR="00D273AF" w:rsidRPr="00885B47">
        <w:rPr>
          <w:rFonts w:ascii="Arial" w:hAnsi="Arial" w:cs="Arial"/>
          <w:sz w:val="20"/>
        </w:rPr>
        <w:t xml:space="preserve"> due to this rule</w:t>
      </w:r>
      <w:r w:rsidR="006C1341" w:rsidRPr="00885B47">
        <w:rPr>
          <w:rFonts w:ascii="Arial" w:hAnsi="Arial" w:cs="Arial"/>
          <w:sz w:val="20"/>
        </w:rPr>
        <w:t xml:space="preserve"> shall Vest</w:t>
      </w:r>
      <w:r w:rsidR="004E7C8D" w:rsidRPr="00885B47">
        <w:rPr>
          <w:rFonts w:ascii="Arial" w:hAnsi="Arial" w:cs="Arial"/>
          <w:sz w:val="20"/>
        </w:rPr>
        <w:t xml:space="preserve"> on</w:t>
      </w:r>
      <w:r w:rsidR="006C1341" w:rsidRPr="00885B47">
        <w:rPr>
          <w:rFonts w:ascii="Arial" w:hAnsi="Arial" w:cs="Arial"/>
          <w:sz w:val="20"/>
        </w:rPr>
        <w:t xml:space="preserve"> (and a</w:t>
      </w:r>
      <w:r w:rsidR="00857AF3" w:rsidRPr="00885B47">
        <w:rPr>
          <w:rFonts w:ascii="Arial" w:hAnsi="Arial" w:cs="Arial"/>
          <w:sz w:val="20"/>
        </w:rPr>
        <w:t xml:space="preserve">n </w:t>
      </w:r>
      <w:r w:rsidR="006C1341" w:rsidRPr="00885B47">
        <w:rPr>
          <w:rFonts w:ascii="Arial" w:hAnsi="Arial" w:cs="Arial"/>
          <w:sz w:val="20"/>
        </w:rPr>
        <w:t>Option which has already Vested may be exercised</w:t>
      </w:r>
      <w:r w:rsidR="004E7C8D" w:rsidRPr="00885B47">
        <w:rPr>
          <w:rFonts w:ascii="Arial" w:hAnsi="Arial" w:cs="Arial"/>
          <w:sz w:val="20"/>
        </w:rPr>
        <w:t xml:space="preserve"> from) the date of the conclusion of the investigation</w:t>
      </w:r>
      <w:r w:rsidR="007F447E" w:rsidRPr="00885B47">
        <w:rPr>
          <w:rFonts w:ascii="Arial" w:hAnsi="Arial" w:cs="Arial"/>
          <w:sz w:val="20"/>
        </w:rPr>
        <w:t xml:space="preserve">, save </w:t>
      </w:r>
      <w:r w:rsidR="00194663" w:rsidRPr="00885B47">
        <w:rPr>
          <w:rFonts w:ascii="Arial" w:hAnsi="Arial" w:cs="Arial"/>
          <w:sz w:val="20"/>
        </w:rPr>
        <w:t xml:space="preserve">to the extent the malus provisions apply or </w:t>
      </w:r>
      <w:r w:rsidR="007F447E" w:rsidRPr="00885B47">
        <w:rPr>
          <w:rFonts w:ascii="Arial" w:hAnsi="Arial" w:cs="Arial"/>
          <w:sz w:val="20"/>
        </w:rPr>
        <w:t>if the Award Holder becomes a Bad Leaver</w:t>
      </w:r>
      <w:r w:rsidR="00194663" w:rsidRPr="00885B47">
        <w:rPr>
          <w:rFonts w:ascii="Arial" w:hAnsi="Arial" w:cs="Arial"/>
          <w:sz w:val="20"/>
        </w:rPr>
        <w:t>.</w:t>
      </w:r>
    </w:p>
    <w:bookmarkStart w:id="167" w:name="_Toc159952457"/>
    <w:bookmarkStart w:id="168" w:name="_Hlk87020475"/>
    <w:p w14:paraId="56712E4A" w14:textId="56EC2182" w:rsidR="007B4FB5" w:rsidRPr="0006114E" w:rsidRDefault="00D8597D" w:rsidP="006B4BCA">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"10. Circumstances in which malus and clawback can apply" \l 1</w:instrText>
      </w:r>
      <w:r w:rsidRPr="0006114E">
        <w:rPr>
          <w:rFonts w:ascii="Arial" w:hAnsi="Arial" w:cs="Arial"/>
          <w:sz w:val="20"/>
        </w:rPr>
        <w:fldChar w:fldCharType="end"/>
      </w:r>
      <w:bookmarkStart w:id="169" w:name="a714948"/>
      <w:bookmarkStart w:id="170" w:name="_Toc105671023"/>
      <w:bookmarkStart w:id="171" w:name="_Toc103273397"/>
      <w:bookmarkStart w:id="172" w:name="_Toc145339780"/>
      <w:bookmarkStart w:id="173" w:name="_Toc131682130"/>
      <w:bookmarkStart w:id="174" w:name="_Toc107828222"/>
      <w:bookmarkStart w:id="175" w:name="_Toc152661652"/>
      <w:bookmarkStart w:id="176" w:name="_Toc168490279"/>
      <w:bookmarkStart w:id="177" w:name="_Toc187838770"/>
      <w:bookmarkStart w:id="178" w:name="_Toc188629304"/>
      <w:bookmarkStart w:id="179" w:name="_Toc191381404"/>
      <w:r w:rsidRPr="0006114E">
        <w:rPr>
          <w:rFonts w:ascii="Arial" w:hAnsi="Arial" w:cs="Arial"/>
          <w:sz w:val="20"/>
        </w:rPr>
        <w:t xml:space="preserve">Circumstances in which malus and </w:t>
      </w:r>
      <w:proofErr w:type="spellStart"/>
      <w:r w:rsidRPr="0006114E">
        <w:rPr>
          <w:rFonts w:ascii="Arial" w:hAnsi="Arial" w:cs="Arial"/>
          <w:sz w:val="20"/>
        </w:rPr>
        <w:t>clawback</w:t>
      </w:r>
      <w:proofErr w:type="spellEnd"/>
      <w:r w:rsidRPr="0006114E">
        <w:rPr>
          <w:rFonts w:ascii="Arial" w:hAnsi="Arial" w:cs="Arial"/>
          <w:sz w:val="20"/>
        </w:rPr>
        <w:t xml:space="preserve"> can apply</w:t>
      </w:r>
      <w:bookmarkEnd w:id="167"/>
      <w:bookmarkEnd w:id="169"/>
      <w:bookmarkEnd w:id="170"/>
      <w:bookmarkEnd w:id="171"/>
      <w:bookmarkEnd w:id="172"/>
      <w:bookmarkEnd w:id="173"/>
      <w:bookmarkEnd w:id="174"/>
      <w:bookmarkEnd w:id="175"/>
      <w:bookmarkEnd w:id="176"/>
      <w:bookmarkEnd w:id="177"/>
      <w:bookmarkEnd w:id="178"/>
      <w:bookmarkEnd w:id="179"/>
    </w:p>
    <w:p w14:paraId="56712E4C" w14:textId="0063CE5A" w:rsidR="007B4FB5" w:rsidRDefault="00D8597D" w:rsidP="006A1CE1">
      <w:pPr>
        <w:pStyle w:val="Untitledsubclause1"/>
        <w:spacing w:line="240" w:lineRule="auto"/>
        <w:rPr>
          <w:rFonts w:ascii="Arial" w:hAnsi="Arial" w:cs="Arial"/>
          <w:sz w:val="20"/>
        </w:rPr>
      </w:pPr>
      <w:bookmarkStart w:id="180" w:name="a751038"/>
      <w:r w:rsidRPr="0006114E">
        <w:rPr>
          <w:rFonts w:ascii="Arial" w:hAnsi="Arial" w:cs="Arial"/>
          <w:sz w:val="20"/>
        </w:rPr>
        <w:t>This</w:t>
      </w:r>
      <w:r w:rsidR="00A2440D">
        <w:rPr>
          <w:rFonts w:ascii="Arial" w:hAnsi="Arial" w:cs="Arial"/>
          <w:sz w:val="20"/>
        </w:rPr>
        <w:t xml:space="preserve"> rule </w:t>
      </w:r>
      <w:r w:rsidR="00A2440D">
        <w:rPr>
          <w:rFonts w:ascii="Arial" w:hAnsi="Arial" w:cs="Arial"/>
          <w:sz w:val="20"/>
        </w:rPr>
        <w:fldChar w:fldCharType="begin"/>
      </w:r>
      <w:r w:rsidR="00A2440D">
        <w:rPr>
          <w:rFonts w:ascii="Arial" w:hAnsi="Arial" w:cs="Arial"/>
          <w:sz w:val="20"/>
        </w:rPr>
        <w:instrText xml:space="preserve"> REF a751038 \r \h </w:instrText>
      </w:r>
      <w:r w:rsidR="00A2440D">
        <w:rPr>
          <w:rFonts w:ascii="Arial" w:hAnsi="Arial" w:cs="Arial"/>
          <w:sz w:val="20"/>
        </w:rPr>
      </w:r>
      <w:r w:rsidR="00A2440D">
        <w:rPr>
          <w:rFonts w:ascii="Arial" w:hAnsi="Arial" w:cs="Arial"/>
          <w:sz w:val="20"/>
        </w:rPr>
        <w:fldChar w:fldCharType="separate"/>
      </w:r>
      <w:r w:rsidR="00661E34">
        <w:rPr>
          <w:rFonts w:ascii="Arial" w:hAnsi="Arial" w:cs="Arial"/>
          <w:sz w:val="20"/>
        </w:rPr>
        <w:t>8.1</w:t>
      </w:r>
      <w:r w:rsidR="00A2440D">
        <w:rPr>
          <w:rFonts w:ascii="Arial" w:hAnsi="Arial" w:cs="Arial"/>
          <w:sz w:val="20"/>
        </w:rPr>
        <w:fldChar w:fldCharType="end"/>
      </w:r>
      <w:r w:rsidR="00A2440D">
        <w:rPr>
          <w:rFonts w:ascii="Arial" w:hAnsi="Arial" w:cs="Arial"/>
          <w:sz w:val="20"/>
        </w:rPr>
        <w:t xml:space="preserve"> </w:t>
      </w:r>
      <w:r w:rsidRPr="0006114E">
        <w:rPr>
          <w:rFonts w:ascii="Arial" w:hAnsi="Arial" w:cs="Arial"/>
          <w:sz w:val="20"/>
        </w:rPr>
        <w:t xml:space="preserve">applies in relation to </w:t>
      </w:r>
      <w:r w:rsidR="00D93C59" w:rsidRPr="0006114E">
        <w:rPr>
          <w:rFonts w:ascii="Arial" w:hAnsi="Arial" w:cs="Arial"/>
          <w:sz w:val="20"/>
        </w:rPr>
        <w:t>an Award</w:t>
      </w:r>
      <w:r w:rsidRPr="0006114E">
        <w:rPr>
          <w:rFonts w:ascii="Arial" w:hAnsi="Arial" w:cs="Arial"/>
          <w:sz w:val="20"/>
        </w:rPr>
        <w:t xml:space="preserve"> if the </w:t>
      </w:r>
      <w:r w:rsidR="00B00B6F" w:rsidRPr="0006114E">
        <w:rPr>
          <w:rFonts w:ascii="Arial" w:hAnsi="Arial" w:cs="Arial"/>
          <w:sz w:val="20"/>
        </w:rPr>
        <w:t>Remuneration Committee</w:t>
      </w:r>
      <w:r w:rsidR="00DC632A" w:rsidRPr="0006114E">
        <w:rPr>
          <w:rFonts w:ascii="Arial" w:hAnsi="Arial" w:cs="Arial"/>
          <w:sz w:val="20"/>
        </w:rPr>
        <w:t xml:space="preserve"> </w:t>
      </w:r>
      <w:r w:rsidRPr="0006114E">
        <w:rPr>
          <w:rFonts w:ascii="Arial" w:hAnsi="Arial" w:cs="Arial"/>
          <w:sz w:val="20"/>
        </w:rPr>
        <w:t>determines that any of the following circumstances</w:t>
      </w:r>
      <w:r w:rsidR="00146711" w:rsidRPr="0006114E">
        <w:rPr>
          <w:rFonts w:ascii="Arial" w:hAnsi="Arial" w:cs="Arial"/>
          <w:sz w:val="20"/>
        </w:rPr>
        <w:t xml:space="preserve"> (the “</w:t>
      </w:r>
      <w:r w:rsidR="00146711" w:rsidRPr="0006114E">
        <w:rPr>
          <w:rFonts w:ascii="Arial" w:hAnsi="Arial" w:cs="Arial"/>
          <w:b/>
          <w:bCs/>
          <w:sz w:val="20"/>
        </w:rPr>
        <w:t>Relevant Circumstances</w:t>
      </w:r>
      <w:r w:rsidR="00146711" w:rsidRPr="0006114E">
        <w:rPr>
          <w:rFonts w:ascii="Arial" w:hAnsi="Arial" w:cs="Arial"/>
          <w:sz w:val="20"/>
        </w:rPr>
        <w:t>”)</w:t>
      </w:r>
      <w:r w:rsidRPr="0006114E">
        <w:rPr>
          <w:rFonts w:ascii="Arial" w:hAnsi="Arial" w:cs="Arial"/>
          <w:sz w:val="20"/>
        </w:rPr>
        <w:t xml:space="preserve"> exist:</w:t>
      </w:r>
      <w:bookmarkEnd w:id="180"/>
    </w:p>
    <w:p w14:paraId="792783A7" w14:textId="77777777" w:rsidR="00FB668B" w:rsidRPr="00FB668B" w:rsidRDefault="00FB668B" w:rsidP="00FB668B">
      <w:pPr>
        <w:pStyle w:val="Untitledsubclause2"/>
        <w:numPr>
          <w:ilvl w:val="2"/>
          <w:numId w:val="35"/>
        </w:numPr>
        <w:spacing w:line="240" w:lineRule="auto"/>
        <w:rPr>
          <w:rFonts w:ascii="Arial" w:hAnsi="Arial" w:cs="Arial"/>
          <w:sz w:val="20"/>
        </w:rPr>
      </w:pPr>
      <w:bookmarkStart w:id="181" w:name="a975345"/>
      <w:r w:rsidRPr="00FB668B">
        <w:rPr>
          <w:rFonts w:ascii="Arial" w:hAnsi="Arial" w:cs="Arial"/>
          <w:sz w:val="20"/>
        </w:rPr>
        <w:t xml:space="preserve">a material misstatement resulting in an adjustment to the Company’s audited consolidated accounts; </w:t>
      </w:r>
    </w:p>
    <w:p w14:paraId="7BF2A882" w14:textId="77777777" w:rsidR="00FB668B"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an error in (i) determining the size and nature of the Award, or in the Award documentation, or (ii) assessing the extent to which any Performance Condition or any other condition applicable to the Award was met, or such determination or assessment or was based on inaccurate or misleading information or assumptions;</w:t>
      </w:r>
    </w:p>
    <w:p w14:paraId="27377365" w14:textId="6982CC6E" w:rsidR="00FB668B"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 xml:space="preserve">the Board determining in its reasonable opinion that any action or conduct of the </w:t>
      </w:r>
      <w:r w:rsidR="00B24C9F">
        <w:rPr>
          <w:rFonts w:ascii="Arial" w:hAnsi="Arial" w:cs="Arial"/>
          <w:sz w:val="20"/>
        </w:rPr>
        <w:t xml:space="preserve">Award Holder </w:t>
      </w:r>
      <w:r w:rsidRPr="00FB668B">
        <w:rPr>
          <w:rFonts w:ascii="Arial" w:hAnsi="Arial" w:cs="Arial"/>
          <w:sz w:val="20"/>
        </w:rPr>
        <w:t>amounts to serious misconduct, fraud or gross misconduct;</w:t>
      </w:r>
    </w:p>
    <w:p w14:paraId="1552C063" w14:textId="77777777" w:rsidR="00FB668B"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the Board determining that there has been a material failure of risk management in any Group Member or relevant business unit;</w:t>
      </w:r>
    </w:p>
    <w:p w14:paraId="22AB4F83" w14:textId="77777777" w:rsidR="00FB668B"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the Board determining that there has been serious reputational damage to any Group Member or a relevant business unit;</w:t>
      </w:r>
    </w:p>
    <w:p w14:paraId="21161B40" w14:textId="77777777" w:rsidR="00FB668B"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the Board determining that there has been a material corporate failure in any Group Member or a relevant business unit; or</w:t>
      </w:r>
    </w:p>
    <w:p w14:paraId="5C9A5CE6" w14:textId="4AE90E48" w:rsidR="0038795E" w:rsidRPr="00FB668B" w:rsidRDefault="00FB668B" w:rsidP="00FB668B">
      <w:pPr>
        <w:pStyle w:val="Untitledsubclause2"/>
        <w:numPr>
          <w:ilvl w:val="2"/>
          <w:numId w:val="35"/>
        </w:numPr>
        <w:spacing w:line="240" w:lineRule="auto"/>
        <w:rPr>
          <w:rFonts w:ascii="Arial" w:hAnsi="Arial" w:cs="Arial"/>
          <w:sz w:val="20"/>
        </w:rPr>
      </w:pPr>
      <w:r w:rsidRPr="00FB668B">
        <w:rPr>
          <w:rFonts w:ascii="Arial" w:hAnsi="Arial" w:cs="Arial"/>
          <w:sz w:val="20"/>
        </w:rPr>
        <w:t>any other circumstances which the Board in its discretion considers to be similar in their nature or effect.</w:t>
      </w:r>
    </w:p>
    <w:p w14:paraId="6CBB34A8" w14:textId="6AD152FC" w:rsidR="00681BC8" w:rsidRPr="00591C18" w:rsidRDefault="00D8597D" w:rsidP="00681BC8">
      <w:pPr>
        <w:pStyle w:val="Untitledsubclause1"/>
        <w:spacing w:line="240" w:lineRule="auto"/>
        <w:rPr>
          <w:rFonts w:ascii="Arial" w:hAnsi="Arial"/>
          <w:sz w:val="20"/>
        </w:rPr>
      </w:pPr>
      <w:bookmarkStart w:id="182" w:name="a585683"/>
      <w:bookmarkStart w:id="183" w:name="_Ref102991480"/>
      <w:bookmarkStart w:id="184" w:name="_Ref175148904"/>
      <w:bookmarkEnd w:id="181"/>
      <w:r w:rsidRPr="00E473F0">
        <w:rPr>
          <w:rFonts w:ascii="Arial" w:hAnsi="Arial"/>
          <w:sz w:val="20"/>
        </w:rPr>
        <w:t>This</w:t>
      </w:r>
      <w:r w:rsidR="00007A5C" w:rsidRPr="00E473F0">
        <w:rPr>
          <w:rFonts w:ascii="Arial" w:hAnsi="Arial"/>
          <w:sz w:val="20"/>
        </w:rPr>
        <w:t xml:space="preserve"> rule</w:t>
      </w:r>
      <w:r w:rsidR="00A2440D">
        <w:rPr>
          <w:rFonts w:ascii="Arial" w:hAnsi="Arial"/>
          <w:sz w:val="20"/>
        </w:rPr>
        <w:t xml:space="preserve"> </w:t>
      </w:r>
      <w:r w:rsidR="00A2440D">
        <w:rPr>
          <w:rFonts w:ascii="Arial" w:hAnsi="Arial"/>
          <w:sz w:val="20"/>
        </w:rPr>
        <w:fldChar w:fldCharType="begin"/>
      </w:r>
      <w:r w:rsidR="00A2440D">
        <w:rPr>
          <w:rFonts w:ascii="Arial" w:hAnsi="Arial"/>
          <w:sz w:val="20"/>
        </w:rPr>
        <w:instrText xml:space="preserve"> REF _Ref175148904 \r \h </w:instrText>
      </w:r>
      <w:r w:rsidR="00A2440D">
        <w:rPr>
          <w:rFonts w:ascii="Arial" w:hAnsi="Arial"/>
          <w:sz w:val="20"/>
        </w:rPr>
      </w:r>
      <w:r w:rsidR="00A2440D">
        <w:rPr>
          <w:rFonts w:ascii="Arial" w:hAnsi="Arial"/>
          <w:sz w:val="20"/>
        </w:rPr>
        <w:fldChar w:fldCharType="separate"/>
      </w:r>
      <w:r w:rsidR="00661E34">
        <w:rPr>
          <w:rFonts w:ascii="Arial" w:hAnsi="Arial"/>
          <w:sz w:val="20"/>
        </w:rPr>
        <w:t>8.2</w:t>
      </w:r>
      <w:r w:rsidR="00A2440D">
        <w:rPr>
          <w:rFonts w:ascii="Arial" w:hAnsi="Arial"/>
          <w:sz w:val="20"/>
        </w:rPr>
        <w:fldChar w:fldCharType="end"/>
      </w:r>
      <w:r w:rsidR="00007A5C" w:rsidRPr="00E473F0">
        <w:rPr>
          <w:rFonts w:ascii="Arial" w:hAnsi="Arial"/>
          <w:sz w:val="20"/>
        </w:rPr>
        <w:t xml:space="preserve"> </w:t>
      </w:r>
      <w:bookmarkEnd w:id="182"/>
      <w:bookmarkEnd w:id="183"/>
      <w:bookmarkEnd w:id="184"/>
      <w:r w:rsidR="00681BC8" w:rsidRPr="00591C18">
        <w:rPr>
          <w:rFonts w:ascii="Arial" w:hAnsi="Arial"/>
          <w:sz w:val="20"/>
        </w:rPr>
        <w:t>applies in relation to an Award if the Remuneration Committee determines that if the Relevant Circumstances existed (and it had been fully aware of them) on or before the Grant Date, or in the case of an Award that has already Vested, on or before the date it Vested (or where the Relevant Circumstances occurred after such date (as applicable), if they had existed on or before the applicable date, and the Remuneration Committee had been fully aware of them), then the Award would have been granted over a smaller number of Shares (or would not have been granted) or would have Vested to a lesser extent (or not Vested at all</w:t>
      </w:r>
      <w:r w:rsidR="00681BC8" w:rsidRPr="00591C18">
        <w:rPr>
          <w:rFonts w:ascii="Arial" w:hAnsi="Arial" w:cs="Arial"/>
          <w:sz w:val="20"/>
        </w:rPr>
        <w:t>).</w:t>
      </w:r>
    </w:p>
    <w:p w14:paraId="56712E60" w14:textId="33C5332C" w:rsidR="001B21E5" w:rsidRPr="0006114E" w:rsidRDefault="00A274FF" w:rsidP="006A1CE1">
      <w:pPr>
        <w:pStyle w:val="Untitledsubclause1"/>
        <w:spacing w:line="240" w:lineRule="auto"/>
        <w:rPr>
          <w:rFonts w:ascii="Arial" w:hAnsi="Arial" w:cs="Arial"/>
          <w:sz w:val="20"/>
        </w:rPr>
      </w:pPr>
      <w:bookmarkStart w:id="185" w:name="a451961"/>
      <w:bookmarkStart w:id="186" w:name="_Ref175152519"/>
      <w:r w:rsidRPr="0006114E">
        <w:rPr>
          <w:rFonts w:ascii="Arial" w:hAnsi="Arial" w:cs="Arial"/>
          <w:sz w:val="20"/>
        </w:rPr>
        <w:t>If rule</w:t>
      </w:r>
      <w:r w:rsidR="00A2440D">
        <w:rPr>
          <w:rFonts w:ascii="Arial" w:hAnsi="Arial" w:cs="Arial"/>
          <w:sz w:val="20"/>
        </w:rPr>
        <w:t>s</w:t>
      </w:r>
      <w:r w:rsidRPr="0006114E">
        <w:rPr>
          <w:rFonts w:ascii="Arial" w:hAnsi="Arial" w:cs="Arial"/>
          <w:sz w:val="20"/>
        </w:rPr>
        <w:t xml:space="preserve"> </w:t>
      </w:r>
      <w:r w:rsidRPr="0006114E">
        <w:rPr>
          <w:rFonts w:ascii="Arial" w:hAnsi="Arial" w:cs="Arial"/>
          <w:sz w:val="20"/>
        </w:rPr>
        <w:fldChar w:fldCharType="begin"/>
      </w:r>
      <w:r w:rsidRPr="0006114E">
        <w:rPr>
          <w:rFonts w:ascii="Arial" w:hAnsi="Arial" w:cs="Arial"/>
          <w:sz w:val="20"/>
        </w:rPr>
        <w:instrText xml:space="preserve"> REF a751038 \r \h </w:instrText>
      </w:r>
      <w:r w:rsidR="00906530"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rPr>
        <w:t>8.1</w:t>
      </w:r>
      <w:r w:rsidRPr="0006114E">
        <w:rPr>
          <w:rFonts w:ascii="Arial" w:hAnsi="Arial" w:cs="Arial"/>
          <w:sz w:val="20"/>
        </w:rPr>
        <w:fldChar w:fldCharType="end"/>
      </w:r>
      <w:r w:rsidRPr="0006114E">
        <w:rPr>
          <w:rFonts w:ascii="Arial" w:hAnsi="Arial" w:cs="Arial"/>
          <w:sz w:val="20"/>
        </w:rPr>
        <w:t xml:space="preserve"> and </w:t>
      </w:r>
      <w:r w:rsidRPr="0006114E">
        <w:rPr>
          <w:rFonts w:ascii="Arial" w:hAnsi="Arial" w:cs="Arial"/>
          <w:sz w:val="20"/>
        </w:rPr>
        <w:fldChar w:fldCharType="begin"/>
      </w:r>
      <w:r w:rsidRPr="0006114E">
        <w:rPr>
          <w:rFonts w:ascii="Arial" w:hAnsi="Arial" w:cs="Arial"/>
          <w:sz w:val="20"/>
        </w:rPr>
        <w:instrText xml:space="preserve"> REF _Ref175148904 \r \h </w:instrText>
      </w:r>
      <w:r w:rsidR="00906530"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rPr>
        <w:t>8.2</w:t>
      </w:r>
      <w:r w:rsidRPr="0006114E">
        <w:rPr>
          <w:rFonts w:ascii="Arial" w:hAnsi="Arial" w:cs="Arial"/>
          <w:sz w:val="20"/>
        </w:rPr>
        <w:fldChar w:fldCharType="end"/>
      </w:r>
      <w:r w:rsidRPr="0006114E">
        <w:rPr>
          <w:rFonts w:ascii="Arial" w:hAnsi="Arial" w:cs="Arial"/>
          <w:sz w:val="20"/>
        </w:rPr>
        <w:t xml:space="preserve"> apply,</w:t>
      </w:r>
      <w:r w:rsidR="00DD6F07" w:rsidRPr="0006114E">
        <w:rPr>
          <w:rFonts w:ascii="Arial" w:hAnsi="Arial" w:cs="Arial"/>
          <w:sz w:val="20"/>
        </w:rPr>
        <w:t xml:space="preserve"> </w:t>
      </w:r>
      <w:r w:rsidR="006E5545" w:rsidRPr="0006114E">
        <w:rPr>
          <w:rFonts w:ascii="Arial" w:hAnsi="Arial" w:cs="Arial"/>
          <w:sz w:val="20"/>
        </w:rPr>
        <w:t>t</w:t>
      </w:r>
      <w:r w:rsidR="00D8597D" w:rsidRPr="0006114E">
        <w:rPr>
          <w:rFonts w:ascii="Arial" w:hAnsi="Arial" w:cs="Arial"/>
          <w:sz w:val="20"/>
        </w:rPr>
        <w:t xml:space="preserve">he </w:t>
      </w:r>
      <w:r w:rsidR="00623047" w:rsidRPr="0006114E">
        <w:rPr>
          <w:rFonts w:ascii="Arial" w:hAnsi="Arial" w:cs="Arial"/>
          <w:sz w:val="20"/>
        </w:rPr>
        <w:t>Remuneration Committee</w:t>
      </w:r>
      <w:r w:rsidR="00D8597D" w:rsidRPr="0006114E">
        <w:rPr>
          <w:rFonts w:ascii="Arial" w:hAnsi="Arial" w:cs="Arial"/>
          <w:sz w:val="20"/>
        </w:rPr>
        <w:t xml:space="preserve"> may </w:t>
      </w:r>
      <w:r w:rsidR="002A70C7" w:rsidRPr="0006114E">
        <w:rPr>
          <w:rFonts w:ascii="Arial" w:hAnsi="Arial" w:cs="Arial"/>
          <w:sz w:val="20"/>
        </w:rPr>
        <w:t>decide</w:t>
      </w:r>
      <w:r w:rsidR="00CF2D4D" w:rsidRPr="0006114E">
        <w:rPr>
          <w:rFonts w:ascii="Arial" w:hAnsi="Arial" w:cs="Arial"/>
          <w:sz w:val="20"/>
        </w:rPr>
        <w:t xml:space="preserve"> to apply rule </w:t>
      </w:r>
      <w:r w:rsidR="00CF2D4D" w:rsidRPr="0006114E">
        <w:rPr>
          <w:rFonts w:ascii="Arial" w:hAnsi="Arial" w:cs="Arial"/>
          <w:sz w:val="20"/>
        </w:rPr>
        <w:fldChar w:fldCharType="begin"/>
      </w:r>
      <w:r w:rsidR="00CF2D4D" w:rsidRPr="0006114E">
        <w:rPr>
          <w:rFonts w:ascii="Arial" w:hAnsi="Arial" w:cs="Arial"/>
          <w:sz w:val="20"/>
        </w:rPr>
        <w:instrText xml:space="preserve"> REF a391918 \r \h </w:instrText>
      </w:r>
      <w:r w:rsidR="00906530" w:rsidRPr="0006114E">
        <w:rPr>
          <w:rFonts w:ascii="Arial" w:hAnsi="Arial" w:cs="Arial"/>
          <w:sz w:val="20"/>
        </w:rPr>
        <w:instrText xml:space="preserve"> \* MERGEFORMAT </w:instrText>
      </w:r>
      <w:r w:rsidR="00CF2D4D" w:rsidRPr="0006114E">
        <w:rPr>
          <w:rFonts w:ascii="Arial" w:hAnsi="Arial" w:cs="Arial"/>
          <w:sz w:val="20"/>
        </w:rPr>
      </w:r>
      <w:r w:rsidR="00CF2D4D" w:rsidRPr="0006114E">
        <w:rPr>
          <w:rFonts w:ascii="Arial" w:hAnsi="Arial" w:cs="Arial"/>
          <w:sz w:val="20"/>
        </w:rPr>
        <w:fldChar w:fldCharType="separate"/>
      </w:r>
      <w:r w:rsidR="00661E34">
        <w:rPr>
          <w:rFonts w:ascii="Arial" w:hAnsi="Arial" w:cs="Arial"/>
          <w:sz w:val="20"/>
        </w:rPr>
        <w:t>9</w:t>
      </w:r>
      <w:r w:rsidR="00CF2D4D" w:rsidRPr="0006114E">
        <w:rPr>
          <w:rFonts w:ascii="Arial" w:hAnsi="Arial" w:cs="Arial"/>
          <w:sz w:val="20"/>
        </w:rPr>
        <w:fldChar w:fldCharType="end"/>
      </w:r>
      <w:r w:rsidR="00CF2D4D" w:rsidRPr="0006114E">
        <w:rPr>
          <w:rFonts w:ascii="Arial" w:hAnsi="Arial" w:cs="Arial"/>
          <w:sz w:val="20"/>
        </w:rPr>
        <w:t xml:space="preserve"> </w:t>
      </w:r>
      <w:r w:rsidR="00D8597D" w:rsidRPr="0006114E">
        <w:rPr>
          <w:rFonts w:ascii="Arial" w:hAnsi="Arial" w:cs="Arial"/>
          <w:sz w:val="20"/>
        </w:rPr>
        <w:t xml:space="preserve">in relation to </w:t>
      </w:r>
      <w:r w:rsidR="00D93C59" w:rsidRPr="0006114E">
        <w:rPr>
          <w:rFonts w:ascii="Arial" w:hAnsi="Arial" w:cs="Arial"/>
          <w:sz w:val="20"/>
        </w:rPr>
        <w:t>an Award</w:t>
      </w:r>
      <w:r w:rsidR="00D8597D" w:rsidRPr="0006114E">
        <w:rPr>
          <w:rFonts w:ascii="Arial" w:hAnsi="Arial" w:cs="Arial"/>
          <w:sz w:val="20"/>
        </w:rPr>
        <w:t xml:space="preserve"> at any time between the </w:t>
      </w:r>
      <w:r w:rsidR="001D71D7" w:rsidRPr="0006114E">
        <w:rPr>
          <w:rFonts w:ascii="Arial" w:hAnsi="Arial" w:cs="Arial"/>
          <w:sz w:val="20"/>
        </w:rPr>
        <w:t>Award</w:t>
      </w:r>
      <w:r w:rsidR="00D8597D" w:rsidRPr="0006114E">
        <w:rPr>
          <w:rFonts w:ascii="Arial" w:hAnsi="Arial" w:cs="Arial"/>
          <w:sz w:val="20"/>
        </w:rPr>
        <w:t xml:space="preserve">’s Grant Date and </w:t>
      </w:r>
      <w:r w:rsidR="00D8597D" w:rsidRPr="00E473F0">
        <w:rPr>
          <w:rFonts w:ascii="Arial" w:hAnsi="Arial"/>
          <w:sz w:val="20"/>
        </w:rPr>
        <w:t xml:space="preserve">the </w:t>
      </w:r>
      <w:r w:rsidR="00684240">
        <w:rPr>
          <w:rFonts w:ascii="Arial" w:hAnsi="Arial"/>
          <w:sz w:val="20"/>
        </w:rPr>
        <w:t>sixth</w:t>
      </w:r>
      <w:r w:rsidR="00D8597D" w:rsidRPr="0006114E">
        <w:rPr>
          <w:rFonts w:ascii="Arial" w:hAnsi="Arial" w:cs="Arial"/>
          <w:sz w:val="20"/>
        </w:rPr>
        <w:t xml:space="preserve"> </w:t>
      </w:r>
      <w:r w:rsidR="00D8597D" w:rsidRPr="00E473F0">
        <w:rPr>
          <w:rFonts w:ascii="Arial" w:hAnsi="Arial"/>
          <w:sz w:val="20"/>
        </w:rPr>
        <w:t xml:space="preserve">anniversary </w:t>
      </w:r>
      <w:r w:rsidR="00D8597D" w:rsidRPr="0006114E">
        <w:rPr>
          <w:rFonts w:ascii="Arial" w:hAnsi="Arial" w:cs="Arial"/>
          <w:sz w:val="20"/>
        </w:rPr>
        <w:t xml:space="preserve">of its </w:t>
      </w:r>
      <w:r w:rsidR="00E96369">
        <w:rPr>
          <w:rFonts w:ascii="Arial" w:hAnsi="Arial" w:cs="Arial"/>
          <w:sz w:val="20"/>
        </w:rPr>
        <w:t>Grant</w:t>
      </w:r>
      <w:r w:rsidR="003D11C8" w:rsidRPr="0006114E">
        <w:rPr>
          <w:rFonts w:ascii="Arial" w:hAnsi="Arial" w:cs="Arial"/>
          <w:sz w:val="20"/>
        </w:rPr>
        <w:t xml:space="preserve"> Date</w:t>
      </w:r>
      <w:r w:rsidR="008049F1">
        <w:rPr>
          <w:rFonts w:ascii="Arial" w:hAnsi="Arial" w:cs="Arial"/>
          <w:sz w:val="20"/>
        </w:rPr>
        <w:t xml:space="preserve"> (or such other period as </w:t>
      </w:r>
      <w:r w:rsidR="00CE778B">
        <w:rPr>
          <w:rFonts w:ascii="Arial" w:hAnsi="Arial" w:cs="Arial"/>
          <w:sz w:val="20"/>
        </w:rPr>
        <w:t>determined</w:t>
      </w:r>
      <w:r w:rsidR="008049F1">
        <w:rPr>
          <w:rFonts w:ascii="Arial" w:hAnsi="Arial" w:cs="Arial"/>
          <w:sz w:val="20"/>
        </w:rPr>
        <w:t xml:space="preserve"> by the Board on or before the Grant Date of that Award, provide</w:t>
      </w:r>
      <w:r w:rsidR="00CE778B">
        <w:rPr>
          <w:rFonts w:ascii="Arial" w:hAnsi="Arial" w:cs="Arial"/>
          <w:sz w:val="20"/>
        </w:rPr>
        <w:t>d that any such period is consistent with the directors’ remuneration policy that has most recently been approved by the Company’s shareholders</w:t>
      </w:r>
      <w:r w:rsidR="00264BD4">
        <w:rPr>
          <w:rFonts w:ascii="Arial" w:hAnsi="Arial" w:cs="Arial"/>
          <w:sz w:val="20"/>
        </w:rPr>
        <w:t xml:space="preserve">) </w:t>
      </w:r>
      <w:r w:rsidR="001C69CB" w:rsidRPr="0006114E">
        <w:rPr>
          <w:rFonts w:ascii="Arial" w:hAnsi="Arial" w:cs="Arial"/>
          <w:sz w:val="20"/>
        </w:rPr>
        <w:t xml:space="preserve">save that where </w:t>
      </w:r>
      <w:bookmarkEnd w:id="185"/>
      <w:r w:rsidR="00D8597D" w:rsidRPr="0006114E">
        <w:rPr>
          <w:rFonts w:ascii="Arial" w:hAnsi="Arial" w:cs="Arial"/>
          <w:sz w:val="20"/>
        </w:rPr>
        <w:t xml:space="preserve">an investigation into </w:t>
      </w:r>
      <w:r w:rsidR="00505F33" w:rsidRPr="0006114E">
        <w:rPr>
          <w:rFonts w:ascii="Arial" w:hAnsi="Arial" w:cs="Arial"/>
          <w:sz w:val="20"/>
        </w:rPr>
        <w:t xml:space="preserve">whether </w:t>
      </w:r>
      <w:r w:rsidR="001C69CB" w:rsidRPr="0006114E">
        <w:rPr>
          <w:rFonts w:ascii="Arial" w:hAnsi="Arial" w:cs="Arial"/>
          <w:sz w:val="20"/>
        </w:rPr>
        <w:t>this rule should be applied</w:t>
      </w:r>
      <w:r w:rsidR="00D8597D" w:rsidRPr="0006114E">
        <w:rPr>
          <w:rFonts w:ascii="Arial" w:hAnsi="Arial" w:cs="Arial"/>
          <w:sz w:val="20"/>
        </w:rPr>
        <w:t xml:space="preserve"> has started before the</w:t>
      </w:r>
      <w:r w:rsidR="00885066" w:rsidRPr="0006114E">
        <w:rPr>
          <w:rFonts w:ascii="Arial" w:hAnsi="Arial" w:cs="Arial"/>
          <w:sz w:val="20"/>
        </w:rPr>
        <w:t xml:space="preserve"> end of </w:t>
      </w:r>
      <w:r w:rsidR="00A51DE0" w:rsidRPr="0006114E">
        <w:rPr>
          <w:rFonts w:ascii="Arial" w:hAnsi="Arial" w:cs="Arial"/>
          <w:sz w:val="20"/>
        </w:rPr>
        <w:t xml:space="preserve">this </w:t>
      </w:r>
      <w:r w:rsidR="00D8597D" w:rsidRPr="0006114E">
        <w:rPr>
          <w:rFonts w:ascii="Arial" w:hAnsi="Arial" w:cs="Arial"/>
          <w:sz w:val="20"/>
        </w:rPr>
        <w:t>period</w:t>
      </w:r>
      <w:r w:rsidR="00BF5876" w:rsidRPr="0006114E">
        <w:rPr>
          <w:rFonts w:ascii="Arial" w:hAnsi="Arial" w:cs="Arial"/>
          <w:sz w:val="20"/>
        </w:rPr>
        <w:t>,</w:t>
      </w:r>
      <w:r w:rsidR="00D8597D" w:rsidRPr="0006114E">
        <w:rPr>
          <w:rFonts w:ascii="Arial" w:hAnsi="Arial" w:cs="Arial"/>
          <w:sz w:val="20"/>
        </w:rPr>
        <w:t xml:space="preserve"> the </w:t>
      </w:r>
      <w:r w:rsidR="00623047" w:rsidRPr="0006114E">
        <w:rPr>
          <w:rFonts w:ascii="Arial" w:hAnsi="Arial" w:cs="Arial"/>
          <w:sz w:val="20"/>
        </w:rPr>
        <w:t>Remuneration Committee</w:t>
      </w:r>
      <w:r w:rsidR="00D8597D" w:rsidRPr="0006114E">
        <w:rPr>
          <w:rFonts w:ascii="Arial" w:hAnsi="Arial" w:cs="Arial"/>
          <w:sz w:val="20"/>
        </w:rPr>
        <w:t xml:space="preserve"> may</w:t>
      </w:r>
      <w:r w:rsidR="00634F30" w:rsidRPr="0006114E">
        <w:rPr>
          <w:rFonts w:ascii="Arial" w:hAnsi="Arial" w:cs="Arial"/>
          <w:sz w:val="20"/>
        </w:rPr>
        <w:t xml:space="preserve">, </w:t>
      </w:r>
      <w:r w:rsidR="00BF5876" w:rsidRPr="0006114E">
        <w:rPr>
          <w:rFonts w:ascii="Arial" w:hAnsi="Arial" w:cs="Arial"/>
          <w:sz w:val="20"/>
        </w:rPr>
        <w:t>acting fairly and reasonably,</w:t>
      </w:r>
      <w:r w:rsidR="003A11F2" w:rsidRPr="0006114E">
        <w:rPr>
          <w:rFonts w:ascii="Arial" w:hAnsi="Arial" w:cs="Arial"/>
          <w:sz w:val="20"/>
        </w:rPr>
        <w:t xml:space="preserve"> </w:t>
      </w:r>
      <w:r w:rsidR="00D8597D" w:rsidRPr="0006114E">
        <w:rPr>
          <w:rFonts w:ascii="Arial" w:hAnsi="Arial" w:cs="Arial"/>
          <w:sz w:val="20"/>
        </w:rPr>
        <w:t xml:space="preserve">determine the provisions of this rule </w:t>
      </w:r>
      <w:r w:rsidR="00D8597D" w:rsidRPr="0006114E">
        <w:rPr>
          <w:rFonts w:ascii="Arial" w:hAnsi="Arial" w:cs="Arial"/>
          <w:sz w:val="20"/>
        </w:rPr>
        <w:fldChar w:fldCharType="begin"/>
      </w:r>
      <w:r w:rsidR="00D8597D" w:rsidRPr="0006114E">
        <w:rPr>
          <w:rFonts w:ascii="Arial" w:hAnsi="Arial" w:cs="Arial"/>
          <w:sz w:val="20"/>
        </w:rPr>
        <w:instrText xml:space="preserve"> REF a714948 \r \h </w:instrText>
      </w:r>
      <w:r w:rsidR="00F82DFE"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661E34">
        <w:rPr>
          <w:rFonts w:ascii="Arial" w:hAnsi="Arial" w:cs="Arial"/>
          <w:sz w:val="20"/>
        </w:rPr>
        <w:t>8</w:t>
      </w:r>
      <w:r w:rsidR="00D8597D" w:rsidRPr="0006114E">
        <w:rPr>
          <w:rFonts w:ascii="Arial" w:hAnsi="Arial" w:cs="Arial"/>
          <w:sz w:val="20"/>
        </w:rPr>
        <w:fldChar w:fldCharType="end"/>
      </w:r>
      <w:r w:rsidR="00D8597D" w:rsidRPr="0006114E">
        <w:rPr>
          <w:rFonts w:ascii="Arial" w:hAnsi="Arial" w:cs="Arial"/>
          <w:sz w:val="20"/>
        </w:rPr>
        <w:t xml:space="preserve"> and rule </w:t>
      </w:r>
      <w:r w:rsidR="00D8597D" w:rsidRPr="0006114E">
        <w:rPr>
          <w:rFonts w:ascii="Arial" w:hAnsi="Arial" w:cs="Arial"/>
          <w:sz w:val="20"/>
        </w:rPr>
        <w:fldChar w:fldCharType="begin"/>
      </w:r>
      <w:r w:rsidR="00D8597D" w:rsidRPr="0006114E">
        <w:rPr>
          <w:rFonts w:ascii="Arial" w:hAnsi="Arial" w:cs="Arial"/>
          <w:sz w:val="20"/>
        </w:rPr>
        <w:instrText xml:space="preserve"> REF a391918 \r \h </w:instrText>
      </w:r>
      <w:r w:rsidR="00F82DFE"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661E34">
        <w:rPr>
          <w:rFonts w:ascii="Arial" w:hAnsi="Arial" w:cs="Arial"/>
          <w:sz w:val="20"/>
        </w:rPr>
        <w:t>9</w:t>
      </w:r>
      <w:r w:rsidR="00D8597D" w:rsidRPr="0006114E">
        <w:rPr>
          <w:rFonts w:ascii="Arial" w:hAnsi="Arial" w:cs="Arial"/>
          <w:sz w:val="20"/>
        </w:rPr>
        <w:fldChar w:fldCharType="end"/>
      </w:r>
      <w:r w:rsidR="00D8597D" w:rsidRPr="0006114E">
        <w:rPr>
          <w:rFonts w:ascii="Arial" w:hAnsi="Arial" w:cs="Arial"/>
          <w:sz w:val="20"/>
        </w:rPr>
        <w:t xml:space="preserve"> may be applied to the </w:t>
      </w:r>
      <w:r w:rsidR="001D71D7" w:rsidRPr="0006114E">
        <w:rPr>
          <w:rFonts w:ascii="Arial" w:hAnsi="Arial" w:cs="Arial"/>
          <w:sz w:val="20"/>
        </w:rPr>
        <w:t>Award</w:t>
      </w:r>
      <w:r w:rsidR="00D8597D" w:rsidRPr="0006114E">
        <w:rPr>
          <w:rFonts w:ascii="Arial" w:hAnsi="Arial" w:cs="Arial"/>
          <w:sz w:val="20"/>
        </w:rPr>
        <w:t xml:space="preserve"> until such time as the</w:t>
      </w:r>
      <w:r w:rsidR="00AF4DA4" w:rsidRPr="0006114E">
        <w:rPr>
          <w:rFonts w:ascii="Arial" w:hAnsi="Arial" w:cs="Arial"/>
          <w:sz w:val="20"/>
        </w:rPr>
        <w:t xml:space="preserve"> </w:t>
      </w:r>
      <w:r w:rsidR="00623047" w:rsidRPr="0006114E">
        <w:rPr>
          <w:rFonts w:ascii="Arial" w:hAnsi="Arial" w:cs="Arial"/>
          <w:sz w:val="20"/>
        </w:rPr>
        <w:t>Remuneration Committee</w:t>
      </w:r>
      <w:r w:rsidR="00AF4DA4" w:rsidRPr="0006114E">
        <w:rPr>
          <w:rFonts w:ascii="Arial" w:hAnsi="Arial" w:cs="Arial"/>
          <w:sz w:val="20"/>
        </w:rPr>
        <w:t xml:space="preserve"> determines following </w:t>
      </w:r>
      <w:r w:rsidR="008B393E" w:rsidRPr="0006114E">
        <w:rPr>
          <w:rFonts w:ascii="Arial" w:hAnsi="Arial" w:cs="Arial"/>
          <w:sz w:val="20"/>
        </w:rPr>
        <w:t>the conclusion of the investigation</w:t>
      </w:r>
      <w:r w:rsidR="003B369B" w:rsidRPr="0006114E">
        <w:rPr>
          <w:rFonts w:ascii="Arial" w:hAnsi="Arial" w:cs="Arial"/>
          <w:sz w:val="20"/>
        </w:rPr>
        <w:t>)</w:t>
      </w:r>
      <w:r w:rsidR="00D8597D" w:rsidRPr="0006114E">
        <w:rPr>
          <w:rFonts w:ascii="Arial" w:hAnsi="Arial" w:cs="Arial"/>
          <w:sz w:val="20"/>
        </w:rPr>
        <w:t>.</w:t>
      </w:r>
      <w:bookmarkEnd w:id="186"/>
    </w:p>
    <w:p w14:paraId="56712E61"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"11. Operation of malus and clawback" \l 1</w:instrText>
      </w:r>
      <w:r w:rsidRPr="0006114E">
        <w:rPr>
          <w:rFonts w:ascii="Arial" w:hAnsi="Arial" w:cs="Arial"/>
          <w:sz w:val="20"/>
        </w:rPr>
        <w:fldChar w:fldCharType="end"/>
      </w:r>
      <w:bookmarkStart w:id="187" w:name="a391918"/>
      <w:bookmarkStart w:id="188" w:name="_Toc105671024"/>
      <w:bookmarkStart w:id="189" w:name="_Toc103273398"/>
      <w:bookmarkStart w:id="190" w:name="_Toc145339781"/>
      <w:bookmarkStart w:id="191" w:name="_Toc131682131"/>
      <w:bookmarkStart w:id="192" w:name="_Toc107828223"/>
      <w:bookmarkStart w:id="193" w:name="_Toc152661653"/>
      <w:bookmarkStart w:id="194" w:name="_Toc159952458"/>
      <w:bookmarkStart w:id="195" w:name="_Toc168490280"/>
      <w:bookmarkStart w:id="196" w:name="_Toc187838771"/>
      <w:bookmarkStart w:id="197" w:name="_Toc188629305"/>
      <w:bookmarkStart w:id="198" w:name="_Toc191381405"/>
      <w:r w:rsidRPr="0006114E">
        <w:rPr>
          <w:rFonts w:ascii="Arial" w:hAnsi="Arial" w:cs="Arial"/>
          <w:sz w:val="20"/>
        </w:rPr>
        <w:t xml:space="preserve">Operation of malus and </w:t>
      </w:r>
      <w:proofErr w:type="spellStart"/>
      <w:r w:rsidRPr="0006114E">
        <w:rPr>
          <w:rFonts w:ascii="Arial" w:hAnsi="Arial" w:cs="Arial"/>
          <w:sz w:val="20"/>
        </w:rPr>
        <w:t>clawback</w:t>
      </w:r>
      <w:bookmarkEnd w:id="187"/>
      <w:bookmarkEnd w:id="188"/>
      <w:bookmarkEnd w:id="189"/>
      <w:bookmarkEnd w:id="190"/>
      <w:bookmarkEnd w:id="191"/>
      <w:bookmarkEnd w:id="192"/>
      <w:bookmarkEnd w:id="193"/>
      <w:bookmarkEnd w:id="194"/>
      <w:bookmarkEnd w:id="195"/>
      <w:bookmarkEnd w:id="196"/>
      <w:bookmarkEnd w:id="197"/>
      <w:bookmarkEnd w:id="198"/>
      <w:proofErr w:type="spellEnd"/>
    </w:p>
    <w:p w14:paraId="56712E63" w14:textId="1EC65096" w:rsidR="007B4FB5" w:rsidRPr="0006114E" w:rsidRDefault="001301AD" w:rsidP="006A1CE1">
      <w:pPr>
        <w:pStyle w:val="Untitledsubclause1"/>
        <w:spacing w:line="240" w:lineRule="auto"/>
        <w:rPr>
          <w:rFonts w:ascii="Arial" w:hAnsi="Arial" w:cs="Arial"/>
          <w:sz w:val="20"/>
        </w:rPr>
      </w:pPr>
      <w:bookmarkStart w:id="199" w:name="a489265"/>
      <w:bookmarkStart w:id="200" w:name="_Ref175743703"/>
      <w:r w:rsidRPr="0006114E">
        <w:rPr>
          <w:rFonts w:ascii="Arial" w:hAnsi="Arial" w:cs="Arial"/>
          <w:sz w:val="20"/>
        </w:rPr>
        <w:t>If the Remuneration Committee</w:t>
      </w:r>
      <w:r w:rsidR="00F60C9C" w:rsidRPr="0006114E">
        <w:rPr>
          <w:rFonts w:ascii="Arial" w:hAnsi="Arial" w:cs="Arial"/>
          <w:sz w:val="20"/>
        </w:rPr>
        <w:t xml:space="preserve"> </w:t>
      </w:r>
      <w:r w:rsidR="002A70C7" w:rsidRPr="0006114E">
        <w:rPr>
          <w:rFonts w:ascii="Arial" w:hAnsi="Arial" w:cs="Arial"/>
          <w:sz w:val="20"/>
        </w:rPr>
        <w:t>decides</w:t>
      </w:r>
      <w:r w:rsidR="00F60C9C" w:rsidRPr="0006114E">
        <w:rPr>
          <w:rFonts w:ascii="Arial" w:hAnsi="Arial" w:cs="Arial"/>
          <w:sz w:val="20"/>
        </w:rPr>
        <w:t xml:space="preserve"> to apply this rule </w:t>
      </w:r>
      <w:r w:rsidR="00F60C9C" w:rsidRPr="0006114E">
        <w:rPr>
          <w:rFonts w:ascii="Arial" w:hAnsi="Arial" w:cs="Arial"/>
          <w:sz w:val="20"/>
        </w:rPr>
        <w:fldChar w:fldCharType="begin"/>
      </w:r>
      <w:r w:rsidR="00F60C9C" w:rsidRPr="0006114E">
        <w:rPr>
          <w:rFonts w:ascii="Arial" w:hAnsi="Arial" w:cs="Arial"/>
          <w:sz w:val="20"/>
        </w:rPr>
        <w:instrText xml:space="preserve"> REF a391918 \r \h </w:instrText>
      </w:r>
      <w:r w:rsidR="00906530" w:rsidRPr="0006114E">
        <w:rPr>
          <w:rFonts w:ascii="Arial" w:hAnsi="Arial" w:cs="Arial"/>
          <w:sz w:val="20"/>
        </w:rPr>
        <w:instrText xml:space="preserve"> \* MERGEFORMAT </w:instrText>
      </w:r>
      <w:r w:rsidR="00F60C9C" w:rsidRPr="0006114E">
        <w:rPr>
          <w:rFonts w:ascii="Arial" w:hAnsi="Arial" w:cs="Arial"/>
          <w:sz w:val="20"/>
        </w:rPr>
      </w:r>
      <w:r w:rsidR="00F60C9C" w:rsidRPr="0006114E">
        <w:rPr>
          <w:rFonts w:ascii="Arial" w:hAnsi="Arial" w:cs="Arial"/>
          <w:sz w:val="20"/>
        </w:rPr>
        <w:fldChar w:fldCharType="separate"/>
      </w:r>
      <w:r w:rsidR="00661E34">
        <w:rPr>
          <w:rFonts w:ascii="Arial" w:hAnsi="Arial" w:cs="Arial"/>
          <w:sz w:val="20"/>
        </w:rPr>
        <w:t>9</w:t>
      </w:r>
      <w:r w:rsidR="00F60C9C" w:rsidRPr="0006114E">
        <w:rPr>
          <w:rFonts w:ascii="Arial" w:hAnsi="Arial" w:cs="Arial"/>
          <w:sz w:val="20"/>
        </w:rPr>
        <w:fldChar w:fldCharType="end"/>
      </w:r>
      <w:r w:rsidR="00F60C9C" w:rsidRPr="0006114E">
        <w:rPr>
          <w:rFonts w:ascii="Arial" w:hAnsi="Arial" w:cs="Arial"/>
          <w:sz w:val="20"/>
        </w:rPr>
        <w:t xml:space="preserve">, </w:t>
      </w:r>
      <w:r w:rsidR="007C7B59" w:rsidRPr="0006114E">
        <w:rPr>
          <w:rFonts w:ascii="Arial" w:hAnsi="Arial" w:cs="Arial"/>
          <w:sz w:val="20"/>
        </w:rPr>
        <w:t>the</w:t>
      </w:r>
      <w:r w:rsidR="00F363D1" w:rsidRPr="0006114E">
        <w:rPr>
          <w:rFonts w:ascii="Arial" w:hAnsi="Arial" w:cs="Arial"/>
          <w:sz w:val="20"/>
        </w:rPr>
        <w:t>y</w:t>
      </w:r>
      <w:r w:rsidR="007C7B59" w:rsidRPr="0006114E">
        <w:rPr>
          <w:rFonts w:ascii="Arial" w:hAnsi="Arial" w:cs="Arial"/>
          <w:sz w:val="20"/>
        </w:rPr>
        <w:t xml:space="preserve"> may determine to reduce the number of Shares </w:t>
      </w:r>
      <w:r w:rsidR="000B0F30" w:rsidRPr="0006114E">
        <w:rPr>
          <w:rFonts w:ascii="Arial" w:hAnsi="Arial" w:cs="Arial"/>
          <w:sz w:val="20"/>
        </w:rPr>
        <w:t xml:space="preserve">(including to nil) </w:t>
      </w:r>
      <w:r w:rsidR="007C7B59" w:rsidRPr="0006114E">
        <w:rPr>
          <w:rFonts w:ascii="Arial" w:hAnsi="Arial" w:cs="Arial"/>
          <w:sz w:val="20"/>
        </w:rPr>
        <w:t xml:space="preserve">subject to any part of </w:t>
      </w:r>
      <w:r w:rsidR="007C5CE4" w:rsidRPr="0006114E">
        <w:rPr>
          <w:rFonts w:ascii="Arial" w:hAnsi="Arial" w:cs="Arial"/>
          <w:sz w:val="20"/>
        </w:rPr>
        <w:t xml:space="preserve">an </w:t>
      </w:r>
      <w:r w:rsidR="007C7B59" w:rsidRPr="0006114E">
        <w:rPr>
          <w:rFonts w:ascii="Arial" w:hAnsi="Arial" w:cs="Arial"/>
          <w:sz w:val="20"/>
        </w:rPr>
        <w:t xml:space="preserve">Award </w:t>
      </w:r>
      <w:r w:rsidR="007C5CE4" w:rsidRPr="0006114E">
        <w:rPr>
          <w:rFonts w:ascii="Arial" w:hAnsi="Arial" w:cs="Arial"/>
          <w:sz w:val="20"/>
        </w:rPr>
        <w:t xml:space="preserve">which </w:t>
      </w:r>
      <w:r w:rsidR="007C7B59" w:rsidRPr="0006114E">
        <w:rPr>
          <w:rFonts w:ascii="Arial" w:hAnsi="Arial" w:cs="Arial"/>
          <w:sz w:val="20"/>
        </w:rPr>
        <w:t xml:space="preserve">has not Vested (or, in the case of an Option, any part </w:t>
      </w:r>
      <w:r w:rsidR="00AB425B" w:rsidRPr="0006114E">
        <w:rPr>
          <w:rFonts w:ascii="Arial" w:hAnsi="Arial" w:cs="Arial"/>
          <w:sz w:val="20"/>
        </w:rPr>
        <w:t xml:space="preserve">which </w:t>
      </w:r>
      <w:r w:rsidR="007C7B59" w:rsidRPr="0006114E">
        <w:rPr>
          <w:rFonts w:ascii="Arial" w:hAnsi="Arial" w:cs="Arial"/>
          <w:sz w:val="20"/>
        </w:rPr>
        <w:t>has not been exercised)</w:t>
      </w:r>
      <w:r w:rsidR="00AB425B" w:rsidRPr="0006114E">
        <w:rPr>
          <w:rFonts w:ascii="Arial" w:hAnsi="Arial" w:cs="Arial"/>
          <w:sz w:val="20"/>
        </w:rPr>
        <w:t xml:space="preserve">, </w:t>
      </w:r>
      <w:bookmarkEnd w:id="199"/>
      <w:r w:rsidR="00AB425B" w:rsidRPr="0006114E">
        <w:rPr>
          <w:rFonts w:ascii="Arial" w:hAnsi="Arial" w:cs="Arial"/>
          <w:sz w:val="20"/>
        </w:rPr>
        <w:t>and</w:t>
      </w:r>
      <w:r w:rsidR="009E3B7A" w:rsidRPr="0006114E">
        <w:rPr>
          <w:rFonts w:ascii="Arial" w:hAnsi="Arial" w:cs="Arial"/>
          <w:sz w:val="20"/>
        </w:rPr>
        <w:t xml:space="preserve">/or determine a </w:t>
      </w:r>
      <w:proofErr w:type="spellStart"/>
      <w:r w:rsidR="009E3B7A" w:rsidRPr="0006114E">
        <w:rPr>
          <w:rFonts w:ascii="Arial" w:hAnsi="Arial" w:cs="Arial"/>
          <w:sz w:val="20"/>
        </w:rPr>
        <w:t>Clawback</w:t>
      </w:r>
      <w:proofErr w:type="spellEnd"/>
      <w:r w:rsidR="009E3B7A" w:rsidRPr="0006114E">
        <w:rPr>
          <w:rFonts w:ascii="Arial" w:hAnsi="Arial" w:cs="Arial"/>
          <w:sz w:val="20"/>
        </w:rPr>
        <w:t xml:space="preserve"> Amount in relation to an Award (or relevant part) which has Vested (</w:t>
      </w:r>
      <w:r w:rsidR="00071B74" w:rsidRPr="0006114E">
        <w:rPr>
          <w:rFonts w:ascii="Arial" w:hAnsi="Arial" w:cs="Arial"/>
          <w:sz w:val="20"/>
        </w:rPr>
        <w:t>or</w:t>
      </w:r>
      <w:r w:rsidR="009E3B7A" w:rsidRPr="0006114E">
        <w:rPr>
          <w:rFonts w:ascii="Arial" w:hAnsi="Arial" w:cs="Arial"/>
          <w:sz w:val="20"/>
        </w:rPr>
        <w:t>, in the case of an Option, been exercised)</w:t>
      </w:r>
      <w:r w:rsidR="008772A0" w:rsidRPr="0006114E">
        <w:rPr>
          <w:rFonts w:ascii="Arial" w:hAnsi="Arial" w:cs="Arial"/>
          <w:sz w:val="20"/>
        </w:rPr>
        <w:t>.</w:t>
      </w:r>
      <w:bookmarkEnd w:id="200"/>
    </w:p>
    <w:p w14:paraId="0BF1AF51" w14:textId="7554A344" w:rsidR="00361F10" w:rsidRPr="00910F79" w:rsidRDefault="00361F10" w:rsidP="0008248C">
      <w:pPr>
        <w:pStyle w:val="Untitledsubclause1"/>
        <w:spacing w:line="240" w:lineRule="auto"/>
        <w:rPr>
          <w:rFonts w:ascii="Arial" w:hAnsi="Arial" w:cs="Arial"/>
          <w:sz w:val="20"/>
        </w:rPr>
      </w:pPr>
      <w:bookmarkStart w:id="201" w:name="a748446"/>
      <w:r w:rsidRPr="00910F79">
        <w:rPr>
          <w:rFonts w:ascii="Arial" w:hAnsi="Arial" w:cs="Arial"/>
          <w:sz w:val="20"/>
        </w:rPr>
        <w:t xml:space="preserve">The </w:t>
      </w:r>
      <w:proofErr w:type="spellStart"/>
      <w:r w:rsidRPr="00910F79">
        <w:rPr>
          <w:rFonts w:ascii="Arial" w:hAnsi="Arial" w:cs="Arial"/>
          <w:sz w:val="20"/>
        </w:rPr>
        <w:t>Clawback</w:t>
      </w:r>
      <w:proofErr w:type="spellEnd"/>
      <w:r w:rsidRPr="00910F79">
        <w:rPr>
          <w:rFonts w:ascii="Arial" w:hAnsi="Arial" w:cs="Arial"/>
          <w:sz w:val="20"/>
        </w:rPr>
        <w:t xml:space="preserve"> Amount shall be such amount as the Remuneration Committee considers to be fair and reasonable, but shall not be more than</w:t>
      </w:r>
      <w:r w:rsidR="00AC4639" w:rsidRPr="00910F79">
        <w:rPr>
          <w:rFonts w:ascii="Arial" w:hAnsi="Arial" w:cs="Arial"/>
          <w:sz w:val="20"/>
        </w:rPr>
        <w:t xml:space="preserve"> the greater of</w:t>
      </w:r>
      <w:r w:rsidR="00350966" w:rsidRPr="00910F79">
        <w:rPr>
          <w:rFonts w:ascii="Arial" w:hAnsi="Arial" w:cs="Arial"/>
          <w:sz w:val="20"/>
        </w:rPr>
        <w:t xml:space="preserve"> </w:t>
      </w:r>
      <w:r w:rsidR="004843E7" w:rsidRPr="00910F79">
        <w:rPr>
          <w:rFonts w:ascii="Arial" w:hAnsi="Arial" w:cs="Arial"/>
          <w:sz w:val="20"/>
        </w:rPr>
        <w:t xml:space="preserve">(i) </w:t>
      </w:r>
      <w:r w:rsidR="000A1868" w:rsidRPr="00910F79">
        <w:rPr>
          <w:rFonts w:ascii="Arial" w:hAnsi="Arial" w:cs="Arial"/>
          <w:sz w:val="20"/>
        </w:rPr>
        <w:t xml:space="preserve">the Market Value of the Shares on the date </w:t>
      </w:r>
      <w:r w:rsidR="00350966" w:rsidRPr="00910F79">
        <w:rPr>
          <w:rFonts w:ascii="Arial" w:hAnsi="Arial" w:cs="Arial"/>
          <w:sz w:val="20"/>
        </w:rPr>
        <w:t>the</w:t>
      </w:r>
      <w:r w:rsidR="004843E7" w:rsidRPr="00910F79">
        <w:rPr>
          <w:rFonts w:ascii="Arial" w:hAnsi="Arial" w:cs="Arial"/>
          <w:sz w:val="20"/>
        </w:rPr>
        <w:t xml:space="preserve"> Award Holder acquired them and (ii) </w:t>
      </w:r>
      <w:r w:rsidR="000A1868" w:rsidRPr="00910F79">
        <w:rPr>
          <w:rFonts w:ascii="Arial" w:hAnsi="Arial" w:cs="Arial"/>
          <w:sz w:val="20"/>
        </w:rPr>
        <w:t xml:space="preserve">the Market Value of the Shares on the date </w:t>
      </w:r>
      <w:r w:rsidR="00CE65B1" w:rsidRPr="00910F79">
        <w:rPr>
          <w:rFonts w:ascii="Arial" w:hAnsi="Arial" w:cs="Arial"/>
          <w:sz w:val="20"/>
        </w:rPr>
        <w:t xml:space="preserve">of the determination under rule </w:t>
      </w:r>
      <w:r w:rsidR="00CE65B1" w:rsidRPr="00910F79">
        <w:rPr>
          <w:rFonts w:ascii="Arial" w:hAnsi="Arial" w:cs="Arial"/>
          <w:sz w:val="20"/>
        </w:rPr>
        <w:fldChar w:fldCharType="begin"/>
      </w:r>
      <w:r w:rsidR="00CE65B1" w:rsidRPr="00910F79">
        <w:rPr>
          <w:rFonts w:ascii="Arial" w:hAnsi="Arial" w:cs="Arial"/>
          <w:sz w:val="20"/>
        </w:rPr>
        <w:instrText xml:space="preserve"> REF _Ref175743703 \r \h </w:instrText>
      </w:r>
      <w:r w:rsidR="00CE65B1" w:rsidRPr="00910F79">
        <w:rPr>
          <w:rFonts w:ascii="Arial" w:hAnsi="Arial" w:cs="Arial"/>
          <w:sz w:val="20"/>
        </w:rPr>
      </w:r>
      <w:r w:rsidR="00CE65B1" w:rsidRPr="00910F79">
        <w:rPr>
          <w:rFonts w:ascii="Arial" w:hAnsi="Arial" w:cs="Arial"/>
          <w:sz w:val="20"/>
        </w:rPr>
        <w:fldChar w:fldCharType="separate"/>
      </w:r>
      <w:r w:rsidR="00661E34">
        <w:rPr>
          <w:rFonts w:ascii="Arial" w:hAnsi="Arial" w:cs="Arial"/>
          <w:sz w:val="20"/>
        </w:rPr>
        <w:t>9.1</w:t>
      </w:r>
      <w:r w:rsidR="00CE65B1" w:rsidRPr="00910F79">
        <w:rPr>
          <w:rFonts w:ascii="Arial" w:hAnsi="Arial" w:cs="Arial"/>
          <w:sz w:val="20"/>
        </w:rPr>
        <w:fldChar w:fldCharType="end"/>
      </w:r>
      <w:r w:rsidR="00910F79" w:rsidRPr="00910F79">
        <w:rPr>
          <w:rFonts w:ascii="Arial" w:hAnsi="Arial" w:cs="Arial"/>
          <w:sz w:val="20"/>
        </w:rPr>
        <w:t xml:space="preserve">, </w:t>
      </w:r>
      <w:r w:rsidR="00AC4639" w:rsidRPr="00910F79">
        <w:rPr>
          <w:rFonts w:ascii="Arial" w:hAnsi="Arial" w:cs="Arial"/>
          <w:sz w:val="20"/>
        </w:rPr>
        <w:t xml:space="preserve">plus </w:t>
      </w:r>
      <w:r w:rsidR="00DD24FC">
        <w:rPr>
          <w:rFonts w:ascii="Arial" w:hAnsi="Arial" w:cs="Arial"/>
          <w:sz w:val="20"/>
        </w:rPr>
        <w:t xml:space="preserve">(in either case) </w:t>
      </w:r>
      <w:r w:rsidR="00AC4639" w:rsidRPr="00910F79">
        <w:rPr>
          <w:rFonts w:ascii="Arial" w:hAnsi="Arial" w:cs="Arial"/>
          <w:sz w:val="20"/>
        </w:rPr>
        <w:t xml:space="preserve">any Dividend Equivalents paid to the Award Holder </w:t>
      </w:r>
      <w:r w:rsidR="00AC4639" w:rsidRPr="00910F79">
        <w:rPr>
          <w:rFonts w:ascii="Arial" w:hAnsi="Arial" w:cs="Arial"/>
          <w:sz w:val="20"/>
        </w:rPr>
        <w:lastRenderedPageBreak/>
        <w:t xml:space="preserve">and </w:t>
      </w:r>
      <w:r w:rsidRPr="00910F79">
        <w:rPr>
          <w:rFonts w:ascii="Arial" w:hAnsi="Arial" w:cs="Arial"/>
          <w:sz w:val="20"/>
        </w:rPr>
        <w:t xml:space="preserve">minus </w:t>
      </w:r>
      <w:r w:rsidR="00AC4639" w:rsidRPr="00910F79">
        <w:rPr>
          <w:rFonts w:ascii="Arial" w:hAnsi="Arial" w:cs="Arial"/>
          <w:sz w:val="20"/>
        </w:rPr>
        <w:t xml:space="preserve">any </w:t>
      </w:r>
      <w:r w:rsidRPr="00910F79">
        <w:rPr>
          <w:rFonts w:ascii="Arial" w:hAnsi="Arial" w:cs="Arial"/>
          <w:sz w:val="20"/>
        </w:rPr>
        <w:t>Exercise Price</w:t>
      </w:r>
      <w:r w:rsidR="00350966" w:rsidRPr="00910F79">
        <w:rPr>
          <w:rFonts w:ascii="Arial" w:hAnsi="Arial" w:cs="Arial"/>
          <w:sz w:val="20"/>
        </w:rPr>
        <w:t xml:space="preserve"> paid</w:t>
      </w:r>
      <w:r w:rsidR="000327BD">
        <w:rPr>
          <w:rFonts w:ascii="Arial" w:hAnsi="Arial" w:cs="Arial"/>
          <w:sz w:val="20"/>
        </w:rPr>
        <w:t xml:space="preserve"> (or, where the Award has been satisfied in cash, not more than the gross cash amount received)</w:t>
      </w:r>
      <w:r w:rsidR="00350966" w:rsidRPr="00910F79">
        <w:rPr>
          <w:rFonts w:ascii="Arial" w:hAnsi="Arial" w:cs="Arial"/>
          <w:sz w:val="20"/>
        </w:rPr>
        <w:t>.</w:t>
      </w:r>
    </w:p>
    <w:p w14:paraId="56712E6D" w14:textId="6D450318" w:rsidR="007B4FB5" w:rsidRPr="0006114E" w:rsidRDefault="00D8597D" w:rsidP="006A1CE1">
      <w:pPr>
        <w:pStyle w:val="Untitledsubclause1"/>
        <w:spacing w:line="240" w:lineRule="auto"/>
        <w:rPr>
          <w:rFonts w:ascii="Arial" w:hAnsi="Arial" w:cs="Arial"/>
          <w:sz w:val="20"/>
        </w:rPr>
      </w:pPr>
      <w:bookmarkStart w:id="202" w:name="a171404"/>
      <w:bookmarkEnd w:id="201"/>
      <w:r w:rsidRPr="0006114E">
        <w:rPr>
          <w:rFonts w:ascii="Arial" w:hAnsi="Arial" w:cs="Arial"/>
          <w:sz w:val="20"/>
        </w:rPr>
        <w:t xml:space="preserve">The Award Holder shall use his </w:t>
      </w:r>
      <w:r w:rsidR="00E11C32" w:rsidRPr="0006114E">
        <w:rPr>
          <w:rFonts w:ascii="Arial" w:hAnsi="Arial" w:cs="Arial"/>
          <w:sz w:val="20"/>
        </w:rPr>
        <w:t xml:space="preserve">or her </w:t>
      </w:r>
      <w:r w:rsidRPr="0006114E">
        <w:rPr>
          <w:rFonts w:ascii="Arial" w:hAnsi="Arial" w:cs="Arial"/>
          <w:sz w:val="20"/>
        </w:rPr>
        <w:t xml:space="preserve">best endeavors to obtain </w:t>
      </w:r>
      <w:r w:rsidR="00A94BA6" w:rsidRPr="0006114E">
        <w:rPr>
          <w:rFonts w:ascii="Arial" w:hAnsi="Arial" w:cs="Arial"/>
          <w:sz w:val="20"/>
        </w:rPr>
        <w:t xml:space="preserve">from the Tax Authority </w:t>
      </w:r>
      <w:r w:rsidRPr="0006114E">
        <w:rPr>
          <w:rFonts w:ascii="Arial" w:hAnsi="Arial" w:cs="Arial"/>
          <w:sz w:val="20"/>
        </w:rPr>
        <w:t xml:space="preserve">repayment </w:t>
      </w:r>
      <w:r w:rsidR="00BD01F5" w:rsidRPr="0006114E">
        <w:rPr>
          <w:rFonts w:ascii="Arial" w:hAnsi="Arial" w:cs="Arial"/>
          <w:sz w:val="20"/>
        </w:rPr>
        <w:t>of (</w:t>
      </w:r>
      <w:r w:rsidRPr="0006114E">
        <w:rPr>
          <w:rFonts w:ascii="Arial" w:hAnsi="Arial" w:cs="Arial"/>
          <w:sz w:val="20"/>
        </w:rPr>
        <w:t xml:space="preserve">or credit </w:t>
      </w:r>
      <w:r w:rsidR="00BD01F5" w:rsidRPr="0006114E">
        <w:rPr>
          <w:rFonts w:ascii="Arial" w:hAnsi="Arial" w:cs="Arial"/>
          <w:sz w:val="20"/>
        </w:rPr>
        <w:t xml:space="preserve">for) </w:t>
      </w:r>
      <w:r w:rsidRPr="0006114E">
        <w:rPr>
          <w:rFonts w:ascii="Arial" w:hAnsi="Arial" w:cs="Arial"/>
          <w:sz w:val="20"/>
        </w:rPr>
        <w:t xml:space="preserve">any Tax Liability paid on the Award Holder’s behalf in relation to the </w:t>
      </w:r>
      <w:r w:rsidR="001D71D7" w:rsidRPr="0006114E">
        <w:rPr>
          <w:rFonts w:ascii="Arial" w:hAnsi="Arial" w:cs="Arial"/>
          <w:sz w:val="20"/>
        </w:rPr>
        <w:t>Award</w:t>
      </w:r>
      <w:r w:rsidR="0085700E" w:rsidRPr="0006114E">
        <w:rPr>
          <w:rFonts w:ascii="Arial" w:hAnsi="Arial" w:cs="Arial"/>
          <w:sz w:val="20"/>
        </w:rPr>
        <w:t xml:space="preserve"> (the “</w:t>
      </w:r>
      <w:r w:rsidR="0085700E" w:rsidRPr="0006114E">
        <w:rPr>
          <w:rFonts w:ascii="Arial" w:hAnsi="Arial" w:cs="Arial"/>
          <w:b/>
          <w:bCs/>
          <w:sz w:val="20"/>
        </w:rPr>
        <w:t>Tax Refund</w:t>
      </w:r>
      <w:r w:rsidR="0085700E" w:rsidRPr="0006114E">
        <w:rPr>
          <w:rFonts w:ascii="Arial" w:hAnsi="Arial" w:cs="Arial"/>
          <w:sz w:val="20"/>
        </w:rPr>
        <w:t>”)</w:t>
      </w:r>
      <w:r w:rsidRPr="0006114E">
        <w:rPr>
          <w:rFonts w:ascii="Arial" w:hAnsi="Arial" w:cs="Arial"/>
          <w:sz w:val="20"/>
        </w:rPr>
        <w:t xml:space="preserve"> as soon as reasonably practicable</w:t>
      </w:r>
      <w:r w:rsidR="00A32AFB" w:rsidRPr="0006114E">
        <w:rPr>
          <w:rFonts w:ascii="Arial" w:hAnsi="Arial" w:cs="Arial"/>
          <w:sz w:val="20"/>
        </w:rPr>
        <w:t xml:space="preserve"> after being notified of the </w:t>
      </w:r>
      <w:proofErr w:type="spellStart"/>
      <w:r w:rsidR="00A32AFB" w:rsidRPr="0006114E">
        <w:rPr>
          <w:rFonts w:ascii="Arial" w:hAnsi="Arial" w:cs="Arial"/>
          <w:sz w:val="20"/>
        </w:rPr>
        <w:t>Clawback</w:t>
      </w:r>
      <w:proofErr w:type="spellEnd"/>
      <w:r w:rsidR="00A32AFB" w:rsidRPr="0006114E">
        <w:rPr>
          <w:rFonts w:ascii="Arial" w:hAnsi="Arial" w:cs="Arial"/>
          <w:sz w:val="20"/>
        </w:rPr>
        <w:t xml:space="preserve"> Amount</w:t>
      </w:r>
      <w:r w:rsidR="00F25272" w:rsidRPr="0006114E">
        <w:rPr>
          <w:rFonts w:ascii="Arial" w:hAnsi="Arial" w:cs="Arial"/>
          <w:sz w:val="20"/>
        </w:rPr>
        <w:t>.</w:t>
      </w:r>
      <w:r w:rsidR="00A32AFB" w:rsidRPr="0006114E">
        <w:rPr>
          <w:rFonts w:ascii="Arial" w:hAnsi="Arial" w:cs="Arial"/>
          <w:sz w:val="20"/>
        </w:rPr>
        <w:t xml:space="preserve"> If</w:t>
      </w:r>
      <w:r w:rsidR="00EB67F8" w:rsidRPr="0006114E">
        <w:rPr>
          <w:rFonts w:ascii="Arial" w:hAnsi="Arial" w:cs="Arial"/>
          <w:sz w:val="20"/>
        </w:rPr>
        <w:t xml:space="preserve"> no such repayment or credit</w:t>
      </w:r>
      <w:r w:rsidR="00A32AFB" w:rsidRPr="0006114E">
        <w:rPr>
          <w:rFonts w:ascii="Arial" w:hAnsi="Arial" w:cs="Arial"/>
          <w:sz w:val="20"/>
        </w:rPr>
        <w:t xml:space="preserve"> </w:t>
      </w:r>
      <w:r w:rsidR="00EB67F8" w:rsidRPr="0006114E">
        <w:rPr>
          <w:rFonts w:ascii="Arial" w:hAnsi="Arial" w:cs="Arial"/>
          <w:sz w:val="20"/>
        </w:rPr>
        <w:t xml:space="preserve">is possible, </w:t>
      </w:r>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may decide to reduce the </w:t>
      </w:r>
      <w:proofErr w:type="spellStart"/>
      <w:r w:rsidRPr="0006114E">
        <w:rPr>
          <w:rFonts w:ascii="Arial" w:hAnsi="Arial" w:cs="Arial"/>
          <w:sz w:val="20"/>
        </w:rPr>
        <w:t>Clawback</w:t>
      </w:r>
      <w:proofErr w:type="spellEnd"/>
      <w:r w:rsidRPr="0006114E">
        <w:rPr>
          <w:rFonts w:ascii="Arial" w:hAnsi="Arial" w:cs="Arial"/>
          <w:sz w:val="20"/>
        </w:rPr>
        <w:t xml:space="preserve"> Amount to take account of this amount</w:t>
      </w:r>
      <w:r w:rsidR="00B70C0C" w:rsidRPr="0006114E">
        <w:rPr>
          <w:rFonts w:ascii="Arial" w:hAnsi="Arial" w:cs="Arial"/>
          <w:sz w:val="20"/>
        </w:rPr>
        <w:t xml:space="preserve"> (save where the calculation of the </w:t>
      </w:r>
      <w:proofErr w:type="spellStart"/>
      <w:r w:rsidR="00B70C0C" w:rsidRPr="0006114E">
        <w:rPr>
          <w:rFonts w:ascii="Arial" w:hAnsi="Arial" w:cs="Arial"/>
          <w:sz w:val="20"/>
        </w:rPr>
        <w:t>Clawback</w:t>
      </w:r>
      <w:proofErr w:type="spellEnd"/>
      <w:r w:rsidR="00B70C0C" w:rsidRPr="0006114E">
        <w:rPr>
          <w:rFonts w:ascii="Arial" w:hAnsi="Arial" w:cs="Arial"/>
          <w:sz w:val="20"/>
        </w:rPr>
        <w:t xml:space="preserve"> Amount already took into account any Tax Liability paid)</w:t>
      </w:r>
      <w:r w:rsidRPr="0006114E">
        <w:rPr>
          <w:rFonts w:ascii="Arial" w:hAnsi="Arial" w:cs="Arial"/>
          <w:sz w:val="20"/>
        </w:rPr>
        <w:t>.</w:t>
      </w:r>
      <w:bookmarkEnd w:id="202"/>
    </w:p>
    <w:p w14:paraId="56712E6F" w14:textId="2E874F5E" w:rsidR="007B4FB5" w:rsidRPr="0006114E" w:rsidRDefault="00D8597D" w:rsidP="006A1CE1">
      <w:pPr>
        <w:pStyle w:val="Untitledsubclause1"/>
        <w:spacing w:line="240" w:lineRule="auto"/>
        <w:rPr>
          <w:rFonts w:ascii="Arial" w:hAnsi="Arial" w:cs="Arial"/>
          <w:sz w:val="20"/>
        </w:rPr>
      </w:pPr>
      <w:bookmarkStart w:id="203" w:name="a823216"/>
      <w:r w:rsidRPr="0006114E">
        <w:rPr>
          <w:rFonts w:ascii="Arial" w:hAnsi="Arial" w:cs="Arial"/>
          <w:sz w:val="20"/>
        </w:rPr>
        <w:t>The Company</w:t>
      </w:r>
      <w:r w:rsidR="00D82986" w:rsidRPr="0006114E">
        <w:rPr>
          <w:rFonts w:ascii="Arial" w:hAnsi="Arial" w:cs="Arial"/>
          <w:sz w:val="20"/>
        </w:rPr>
        <w:t xml:space="preserve"> may</w:t>
      </w:r>
      <w:r w:rsidR="007C02A9" w:rsidRPr="0006114E">
        <w:rPr>
          <w:rFonts w:ascii="Arial" w:hAnsi="Arial" w:cs="Arial"/>
          <w:sz w:val="20"/>
        </w:rPr>
        <w:t xml:space="preserve"> </w:t>
      </w:r>
      <w:r w:rsidRPr="0006114E">
        <w:rPr>
          <w:rFonts w:ascii="Arial" w:hAnsi="Arial" w:cs="Arial"/>
          <w:sz w:val="20"/>
        </w:rPr>
        <w:t xml:space="preserve">obtain </w:t>
      </w:r>
      <w:r w:rsidR="00941DAE" w:rsidRPr="0006114E">
        <w:rPr>
          <w:rFonts w:ascii="Arial" w:hAnsi="Arial" w:cs="Arial"/>
          <w:sz w:val="20"/>
        </w:rPr>
        <w:t>recovery</w:t>
      </w:r>
      <w:r w:rsidRPr="0006114E">
        <w:rPr>
          <w:rFonts w:ascii="Arial" w:hAnsi="Arial" w:cs="Arial"/>
          <w:sz w:val="20"/>
        </w:rPr>
        <w:t xml:space="preserve"> of the </w:t>
      </w:r>
      <w:proofErr w:type="spellStart"/>
      <w:r w:rsidRPr="0006114E">
        <w:rPr>
          <w:rFonts w:ascii="Arial" w:hAnsi="Arial" w:cs="Arial"/>
          <w:sz w:val="20"/>
        </w:rPr>
        <w:t>Clawback</w:t>
      </w:r>
      <w:proofErr w:type="spellEnd"/>
      <w:r w:rsidRPr="0006114E">
        <w:rPr>
          <w:rFonts w:ascii="Arial" w:hAnsi="Arial" w:cs="Arial"/>
          <w:sz w:val="20"/>
        </w:rPr>
        <w:t xml:space="preserve"> Amount from the Award Holder in any (or any combination) of the following ways:</w:t>
      </w:r>
      <w:bookmarkEnd w:id="203"/>
    </w:p>
    <w:p w14:paraId="56712E70" w14:textId="28622341" w:rsidR="007B4FB5" w:rsidRPr="0006114E" w:rsidRDefault="002B0DD5" w:rsidP="006A1CE1">
      <w:pPr>
        <w:pStyle w:val="Untitledsubclause2"/>
        <w:spacing w:line="240" w:lineRule="auto"/>
        <w:rPr>
          <w:rFonts w:ascii="Arial" w:hAnsi="Arial" w:cs="Arial"/>
          <w:sz w:val="20"/>
        </w:rPr>
      </w:pPr>
      <w:bookmarkStart w:id="204" w:name="a979390"/>
      <w:r w:rsidRPr="0006114E">
        <w:rPr>
          <w:rFonts w:ascii="Arial" w:hAnsi="Arial" w:cs="Arial"/>
          <w:sz w:val="20"/>
        </w:rPr>
        <w:t>by reducing</w:t>
      </w:r>
      <w:r>
        <w:rPr>
          <w:rFonts w:ascii="Arial" w:hAnsi="Arial" w:cs="Arial"/>
          <w:sz w:val="20"/>
        </w:rPr>
        <w:t xml:space="preserve"> the number of Shares under,</w:t>
      </w:r>
      <w:r w:rsidRPr="0006114E">
        <w:rPr>
          <w:rFonts w:ascii="Arial" w:hAnsi="Arial" w:cs="Arial"/>
          <w:sz w:val="20"/>
        </w:rPr>
        <w:t xml:space="preserve"> or cancelling</w:t>
      </w:r>
      <w:r>
        <w:rPr>
          <w:rFonts w:ascii="Arial" w:hAnsi="Arial" w:cs="Arial"/>
          <w:sz w:val="20"/>
        </w:rPr>
        <w:t>,</w:t>
      </w:r>
      <w:r w:rsidRPr="0006114E">
        <w:rPr>
          <w:rFonts w:ascii="Arial" w:hAnsi="Arial" w:cs="Arial"/>
          <w:sz w:val="20"/>
        </w:rPr>
        <w:t xml:space="preserve"> any </w:t>
      </w:r>
      <w:r>
        <w:rPr>
          <w:rFonts w:ascii="Arial" w:hAnsi="Arial" w:cs="Arial"/>
          <w:sz w:val="20"/>
        </w:rPr>
        <w:t>(i) Unvested</w:t>
      </w:r>
      <w:r w:rsidRPr="0006114E">
        <w:rPr>
          <w:rFonts w:ascii="Arial" w:hAnsi="Arial" w:cs="Arial"/>
          <w:sz w:val="20"/>
        </w:rPr>
        <w:t xml:space="preserve"> Awards</w:t>
      </w:r>
      <w:r>
        <w:rPr>
          <w:rFonts w:ascii="Arial" w:hAnsi="Arial" w:cs="Arial"/>
          <w:sz w:val="20"/>
        </w:rPr>
        <w:t xml:space="preserve">, (ii) unexercised </w:t>
      </w:r>
      <w:r w:rsidRPr="0006114E">
        <w:rPr>
          <w:rFonts w:ascii="Arial" w:hAnsi="Arial" w:cs="Arial"/>
          <w:sz w:val="20"/>
        </w:rPr>
        <w:t xml:space="preserve">Options </w:t>
      </w:r>
      <w:r>
        <w:rPr>
          <w:rFonts w:ascii="Arial" w:hAnsi="Arial" w:cs="Arial"/>
          <w:sz w:val="20"/>
        </w:rPr>
        <w:t>(or part thereof), or (iii) Award</w:t>
      </w:r>
      <w:r w:rsidR="00EC7541">
        <w:rPr>
          <w:rFonts w:ascii="Arial" w:hAnsi="Arial" w:cs="Arial"/>
          <w:sz w:val="20"/>
        </w:rPr>
        <w:t>s</w:t>
      </w:r>
      <w:r>
        <w:rPr>
          <w:rFonts w:ascii="Arial" w:hAnsi="Arial" w:cs="Arial"/>
          <w:sz w:val="20"/>
        </w:rPr>
        <w:t xml:space="preserve"> which ha</w:t>
      </w:r>
      <w:r w:rsidR="00EC7541">
        <w:rPr>
          <w:rFonts w:ascii="Arial" w:hAnsi="Arial" w:cs="Arial"/>
          <w:sz w:val="20"/>
        </w:rPr>
        <w:t>ve</w:t>
      </w:r>
      <w:r>
        <w:rPr>
          <w:rFonts w:ascii="Arial" w:hAnsi="Arial" w:cs="Arial"/>
          <w:sz w:val="20"/>
        </w:rPr>
        <w:t xml:space="preserve"> Vested, and Option</w:t>
      </w:r>
      <w:r w:rsidR="002E3B0B">
        <w:rPr>
          <w:rFonts w:ascii="Arial" w:hAnsi="Arial" w:cs="Arial"/>
          <w:sz w:val="20"/>
        </w:rPr>
        <w:t>s</w:t>
      </w:r>
      <w:r>
        <w:rPr>
          <w:rFonts w:ascii="Arial" w:hAnsi="Arial" w:cs="Arial"/>
          <w:sz w:val="20"/>
        </w:rPr>
        <w:t xml:space="preserve"> (or part thereof) which ha</w:t>
      </w:r>
      <w:r w:rsidR="002E3B0B">
        <w:rPr>
          <w:rFonts w:ascii="Arial" w:hAnsi="Arial" w:cs="Arial"/>
          <w:sz w:val="20"/>
        </w:rPr>
        <w:t>ve</w:t>
      </w:r>
      <w:r>
        <w:rPr>
          <w:rFonts w:ascii="Arial" w:hAnsi="Arial" w:cs="Arial"/>
          <w:sz w:val="20"/>
        </w:rPr>
        <w:t xml:space="preserve"> been exercised, but in respect of which the Shares have not</w:t>
      </w:r>
      <w:r w:rsidR="00F86CA7">
        <w:rPr>
          <w:rFonts w:ascii="Arial" w:hAnsi="Arial" w:cs="Arial"/>
          <w:sz w:val="20"/>
        </w:rPr>
        <w:t xml:space="preserve"> yet</w:t>
      </w:r>
      <w:r>
        <w:rPr>
          <w:rFonts w:ascii="Arial" w:hAnsi="Arial" w:cs="Arial"/>
          <w:sz w:val="20"/>
        </w:rPr>
        <w:t xml:space="preserve"> been issued or transferred to the Award Holder (“</w:t>
      </w:r>
      <w:r w:rsidRPr="00F47057">
        <w:rPr>
          <w:rFonts w:ascii="Arial" w:hAnsi="Arial" w:cs="Arial"/>
          <w:b/>
          <w:bCs/>
          <w:sz w:val="20"/>
        </w:rPr>
        <w:t>Subsisting Award</w:t>
      </w:r>
      <w:r w:rsidR="002E3B0B">
        <w:rPr>
          <w:rFonts w:ascii="Arial" w:hAnsi="Arial" w:cs="Arial"/>
          <w:b/>
          <w:bCs/>
          <w:sz w:val="20"/>
        </w:rPr>
        <w:t>s</w:t>
      </w:r>
      <w:r>
        <w:rPr>
          <w:rFonts w:ascii="Arial" w:hAnsi="Arial" w:cs="Arial"/>
          <w:sz w:val="20"/>
        </w:rPr>
        <w:t>”)</w:t>
      </w:r>
      <w:r w:rsidRPr="0006114E">
        <w:rPr>
          <w:rFonts w:ascii="Arial" w:hAnsi="Arial" w:cs="Arial"/>
          <w:sz w:val="20"/>
        </w:rPr>
        <w:t>;</w:t>
      </w:r>
      <w:bookmarkEnd w:id="204"/>
    </w:p>
    <w:p w14:paraId="56712E72" w14:textId="77777777" w:rsidR="007B4FB5" w:rsidRPr="0006114E" w:rsidRDefault="00D8597D" w:rsidP="006A1CE1">
      <w:pPr>
        <w:pStyle w:val="Untitledsubclause2"/>
        <w:spacing w:line="240" w:lineRule="auto"/>
        <w:rPr>
          <w:rFonts w:ascii="Arial" w:hAnsi="Arial" w:cs="Arial"/>
          <w:sz w:val="20"/>
        </w:rPr>
      </w:pPr>
      <w:bookmarkStart w:id="205" w:name="a385282"/>
      <w:r w:rsidRPr="0006114E">
        <w:rPr>
          <w:rFonts w:ascii="Arial" w:hAnsi="Arial" w:cs="Arial"/>
          <w:sz w:val="20"/>
        </w:rPr>
        <w:t>by reducing or cancelling any cash bonus payable to the Award Holder by any Group Company;</w:t>
      </w:r>
      <w:bookmarkEnd w:id="205"/>
    </w:p>
    <w:p w14:paraId="56712E73" w14:textId="555F8798" w:rsidR="007B4FB5" w:rsidRPr="0006114E" w:rsidRDefault="00DD2857" w:rsidP="006A1CE1">
      <w:pPr>
        <w:pStyle w:val="Untitledsubclause2"/>
        <w:spacing w:line="240" w:lineRule="auto"/>
        <w:rPr>
          <w:rFonts w:ascii="Arial" w:hAnsi="Arial" w:cs="Arial"/>
          <w:sz w:val="20"/>
        </w:rPr>
      </w:pPr>
      <w:bookmarkStart w:id="206" w:name="a558774"/>
      <w:r w:rsidRPr="005C7EF5">
        <w:rPr>
          <w:rFonts w:ascii="Arial" w:hAnsi="Arial" w:cs="Arial"/>
          <w:sz w:val="20"/>
        </w:rPr>
        <w:t xml:space="preserve">by reducing or cancelling any </w:t>
      </w:r>
      <w:r w:rsidRPr="005676B8">
        <w:rPr>
          <w:rFonts w:ascii="Arial" w:hAnsi="Arial" w:cs="Arial"/>
          <w:sz w:val="20"/>
        </w:rPr>
        <w:t xml:space="preserve">award granted or to be granted </w:t>
      </w:r>
      <w:r w:rsidRPr="005C7EF5">
        <w:rPr>
          <w:rFonts w:ascii="Arial" w:hAnsi="Arial" w:cs="Arial"/>
          <w:sz w:val="20"/>
        </w:rPr>
        <w:t xml:space="preserve">to </w:t>
      </w:r>
      <w:r w:rsidR="009979C6">
        <w:rPr>
          <w:rFonts w:ascii="Arial" w:hAnsi="Arial" w:cs="Arial"/>
          <w:sz w:val="20"/>
        </w:rPr>
        <w:t xml:space="preserve">the </w:t>
      </w:r>
      <w:r w:rsidR="00D8597D" w:rsidRPr="0006114E">
        <w:rPr>
          <w:rFonts w:ascii="Arial" w:hAnsi="Arial" w:cs="Arial"/>
          <w:sz w:val="20"/>
        </w:rPr>
        <w:t xml:space="preserve">Award Holder under any </w:t>
      </w:r>
      <w:r w:rsidR="00297F2C" w:rsidRPr="0006114E">
        <w:rPr>
          <w:rFonts w:ascii="Arial" w:hAnsi="Arial" w:cs="Arial"/>
          <w:sz w:val="20"/>
        </w:rPr>
        <w:t xml:space="preserve">cash-based or share-based incentive scheme </w:t>
      </w:r>
      <w:r w:rsidR="00D8597D" w:rsidRPr="0006114E">
        <w:rPr>
          <w:rFonts w:ascii="Arial" w:hAnsi="Arial" w:cs="Arial"/>
          <w:sz w:val="20"/>
        </w:rPr>
        <w:t xml:space="preserve">or bonus scheme operated by any Group Company </w:t>
      </w:r>
      <w:r w:rsidR="00AD4A51" w:rsidRPr="0006114E">
        <w:rPr>
          <w:rFonts w:ascii="Arial" w:hAnsi="Arial" w:cs="Arial"/>
          <w:sz w:val="20"/>
        </w:rPr>
        <w:t>(other than any tax-advantaged scheme established under schedules 2 to 5 (inclusive) of ITEPA 2003)</w:t>
      </w:r>
      <w:r w:rsidR="00D8597D" w:rsidRPr="0006114E">
        <w:rPr>
          <w:rFonts w:ascii="Arial" w:hAnsi="Arial" w:cs="Arial"/>
          <w:sz w:val="20"/>
        </w:rPr>
        <w:t>;</w:t>
      </w:r>
      <w:bookmarkEnd w:id="206"/>
    </w:p>
    <w:p w14:paraId="20494EA3" w14:textId="66CD2BBC" w:rsidR="00CB0997" w:rsidRPr="0006114E" w:rsidRDefault="00CB0997" w:rsidP="00CB0997">
      <w:pPr>
        <w:pStyle w:val="Untitledsubclause2"/>
        <w:spacing w:line="240" w:lineRule="auto"/>
        <w:rPr>
          <w:rFonts w:ascii="Arial" w:hAnsi="Arial" w:cs="Arial"/>
          <w:sz w:val="20"/>
        </w:rPr>
      </w:pPr>
      <w:bookmarkStart w:id="207" w:name="a537411"/>
      <w:bookmarkStart w:id="208" w:name="a569455"/>
      <w:r w:rsidRPr="0006114E">
        <w:rPr>
          <w:rFonts w:ascii="Arial" w:hAnsi="Arial" w:cs="Arial"/>
          <w:sz w:val="20"/>
        </w:rPr>
        <w:t>by requiring the Award Holder to transfer</w:t>
      </w:r>
      <w:r>
        <w:rPr>
          <w:rFonts w:ascii="Arial" w:hAnsi="Arial" w:cs="Arial"/>
          <w:sz w:val="20"/>
        </w:rPr>
        <w:t xml:space="preserve"> (or procure the transfer of)</w:t>
      </w:r>
      <w:r w:rsidRPr="0006114E">
        <w:rPr>
          <w:rFonts w:ascii="Arial" w:hAnsi="Arial" w:cs="Arial"/>
          <w:sz w:val="20"/>
        </w:rPr>
        <w:t xml:space="preserve"> Shares</w:t>
      </w:r>
      <w:r>
        <w:rPr>
          <w:rFonts w:ascii="Arial" w:hAnsi="Arial" w:cs="Arial"/>
          <w:sz w:val="20"/>
        </w:rPr>
        <w:t xml:space="preserve">, </w:t>
      </w:r>
      <w:r w:rsidRPr="0006114E">
        <w:rPr>
          <w:rFonts w:ascii="Arial" w:hAnsi="Arial" w:cs="Arial"/>
          <w:sz w:val="20"/>
        </w:rPr>
        <w:t>for no consideration</w:t>
      </w:r>
      <w:r>
        <w:rPr>
          <w:rFonts w:ascii="Arial" w:hAnsi="Arial" w:cs="Arial"/>
          <w:sz w:val="20"/>
        </w:rPr>
        <w:t>,</w:t>
      </w:r>
      <w:r w:rsidRPr="0006114E">
        <w:rPr>
          <w:rFonts w:ascii="Arial" w:hAnsi="Arial" w:cs="Arial"/>
          <w:sz w:val="20"/>
        </w:rPr>
        <w:t xml:space="preserve"> to such party as the Company may direct</w:t>
      </w:r>
      <w:bookmarkEnd w:id="207"/>
      <w:r>
        <w:rPr>
          <w:rFonts w:ascii="Arial" w:hAnsi="Arial" w:cs="Arial"/>
          <w:sz w:val="20"/>
        </w:rPr>
        <w:t xml:space="preserve">, </w:t>
      </w:r>
      <w:r w:rsidR="00AE3587">
        <w:rPr>
          <w:rFonts w:ascii="Arial" w:hAnsi="Arial" w:cs="Arial"/>
          <w:sz w:val="20"/>
        </w:rPr>
        <w:t>or</w:t>
      </w:r>
    </w:p>
    <w:p w14:paraId="56712E76" w14:textId="28809345" w:rsidR="007B4FB5"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by requiring the Award Holder to make a cash payment </w:t>
      </w:r>
      <w:r w:rsidR="00D437CA" w:rsidRPr="0006114E">
        <w:rPr>
          <w:rFonts w:ascii="Arial" w:hAnsi="Arial" w:cs="Arial"/>
          <w:sz w:val="20"/>
        </w:rPr>
        <w:t xml:space="preserve">equal to the </w:t>
      </w:r>
      <w:proofErr w:type="spellStart"/>
      <w:r w:rsidR="00D437CA" w:rsidRPr="0006114E">
        <w:rPr>
          <w:rFonts w:ascii="Arial" w:hAnsi="Arial" w:cs="Arial"/>
          <w:sz w:val="20"/>
        </w:rPr>
        <w:t>Clawback</w:t>
      </w:r>
      <w:proofErr w:type="spellEnd"/>
      <w:r w:rsidR="00D437CA" w:rsidRPr="0006114E">
        <w:rPr>
          <w:rFonts w:ascii="Arial" w:hAnsi="Arial" w:cs="Arial"/>
          <w:sz w:val="20"/>
        </w:rPr>
        <w:t xml:space="preserve"> Amount </w:t>
      </w:r>
      <w:r w:rsidRPr="0006114E">
        <w:rPr>
          <w:rFonts w:ascii="Arial" w:hAnsi="Arial" w:cs="Arial"/>
          <w:sz w:val="20"/>
        </w:rPr>
        <w:t>to a Group Company</w:t>
      </w:r>
      <w:bookmarkEnd w:id="208"/>
      <w:r w:rsidR="00D437CA" w:rsidRPr="0006114E">
        <w:rPr>
          <w:rFonts w:ascii="Arial" w:hAnsi="Arial" w:cs="Arial"/>
          <w:sz w:val="20"/>
        </w:rPr>
        <w:t xml:space="preserve"> </w:t>
      </w:r>
      <w:r w:rsidRPr="0006114E">
        <w:rPr>
          <w:rFonts w:ascii="Arial" w:hAnsi="Arial" w:cs="Arial"/>
          <w:sz w:val="20"/>
        </w:rPr>
        <w:t>within 30 days</w:t>
      </w:r>
      <w:r w:rsidR="00E34581" w:rsidRPr="0006114E">
        <w:rPr>
          <w:rFonts w:ascii="Arial" w:hAnsi="Arial" w:cs="Arial"/>
          <w:sz w:val="20"/>
        </w:rPr>
        <w:t xml:space="preserve"> of a written demand by the Company </w:t>
      </w:r>
      <w:r w:rsidR="00BC47F6" w:rsidRPr="0006114E">
        <w:rPr>
          <w:rFonts w:ascii="Arial" w:hAnsi="Arial" w:cs="Arial"/>
          <w:sz w:val="20"/>
        </w:rPr>
        <w:t>(</w:t>
      </w:r>
      <w:r w:rsidR="00884AF4" w:rsidRPr="0006114E">
        <w:rPr>
          <w:rFonts w:ascii="Arial" w:hAnsi="Arial" w:cs="Arial"/>
          <w:sz w:val="20"/>
        </w:rPr>
        <w:t>save that</w:t>
      </w:r>
      <w:r w:rsidR="00A910DF">
        <w:rPr>
          <w:rFonts w:ascii="Arial" w:hAnsi="Arial" w:cs="Arial"/>
          <w:sz w:val="20"/>
        </w:rPr>
        <w:t xml:space="preserve">, unless the </w:t>
      </w:r>
      <w:r w:rsidR="00A910DF" w:rsidRPr="0006114E">
        <w:rPr>
          <w:rFonts w:ascii="Arial" w:hAnsi="Arial" w:cs="Arial"/>
          <w:sz w:val="20"/>
        </w:rPr>
        <w:t xml:space="preserve">Remuneration Committee </w:t>
      </w:r>
      <w:r w:rsidR="00A910DF">
        <w:rPr>
          <w:rFonts w:ascii="Arial" w:hAnsi="Arial" w:cs="Arial"/>
          <w:sz w:val="20"/>
        </w:rPr>
        <w:t xml:space="preserve">decides otherwise, </w:t>
      </w:r>
      <w:r w:rsidR="00884AF4" w:rsidRPr="0006114E">
        <w:rPr>
          <w:rFonts w:ascii="Arial" w:hAnsi="Arial" w:cs="Arial"/>
          <w:sz w:val="20"/>
        </w:rPr>
        <w:t>the</w:t>
      </w:r>
      <w:r w:rsidR="00A640D5" w:rsidRPr="0006114E">
        <w:rPr>
          <w:rFonts w:ascii="Arial" w:hAnsi="Arial" w:cs="Arial"/>
          <w:sz w:val="20"/>
        </w:rPr>
        <w:t xml:space="preserve"> </w:t>
      </w:r>
      <w:r w:rsidR="00EA335D" w:rsidRPr="0006114E">
        <w:rPr>
          <w:rFonts w:ascii="Arial" w:hAnsi="Arial" w:cs="Arial"/>
          <w:sz w:val="20"/>
        </w:rPr>
        <w:t xml:space="preserve">part of the </w:t>
      </w:r>
      <w:proofErr w:type="spellStart"/>
      <w:r w:rsidR="00EA335D" w:rsidRPr="0006114E">
        <w:rPr>
          <w:rFonts w:ascii="Arial" w:hAnsi="Arial" w:cs="Arial"/>
          <w:sz w:val="20"/>
        </w:rPr>
        <w:t>Clawback</w:t>
      </w:r>
      <w:proofErr w:type="spellEnd"/>
      <w:r w:rsidR="00EA335D" w:rsidRPr="0006114E">
        <w:rPr>
          <w:rFonts w:ascii="Arial" w:hAnsi="Arial" w:cs="Arial"/>
          <w:sz w:val="20"/>
        </w:rPr>
        <w:t xml:space="preserve"> Amount </w:t>
      </w:r>
      <w:r w:rsidR="00A640D5" w:rsidRPr="0006114E">
        <w:rPr>
          <w:rFonts w:ascii="Arial" w:hAnsi="Arial" w:cs="Arial"/>
          <w:sz w:val="20"/>
        </w:rPr>
        <w:t xml:space="preserve">comprising </w:t>
      </w:r>
      <w:r w:rsidR="0018282A" w:rsidRPr="0006114E">
        <w:rPr>
          <w:rFonts w:ascii="Arial" w:hAnsi="Arial" w:cs="Arial"/>
          <w:sz w:val="20"/>
        </w:rPr>
        <w:t xml:space="preserve">the Tax Refund </w:t>
      </w:r>
      <w:r w:rsidR="003C109E" w:rsidRPr="0006114E">
        <w:rPr>
          <w:rFonts w:ascii="Arial" w:hAnsi="Arial" w:cs="Arial"/>
          <w:sz w:val="20"/>
        </w:rPr>
        <w:t>shall be payable</w:t>
      </w:r>
      <w:r w:rsidR="00197F86" w:rsidRPr="0006114E">
        <w:rPr>
          <w:rFonts w:ascii="Arial" w:hAnsi="Arial" w:cs="Arial"/>
          <w:sz w:val="20"/>
        </w:rPr>
        <w:t xml:space="preserve"> within 30 days of the Award Holder’s receipt of the Tax Refund</w:t>
      </w:r>
      <w:r w:rsidR="00BC47F6" w:rsidRPr="0006114E">
        <w:rPr>
          <w:rFonts w:ascii="Arial" w:hAnsi="Arial" w:cs="Arial"/>
          <w:sz w:val="20"/>
        </w:rPr>
        <w:t>)</w:t>
      </w:r>
      <w:r w:rsidR="007137A7" w:rsidRPr="0006114E">
        <w:rPr>
          <w:rFonts w:ascii="Arial" w:hAnsi="Arial" w:cs="Arial"/>
          <w:sz w:val="20"/>
        </w:rPr>
        <w:t xml:space="preserve"> </w:t>
      </w:r>
      <w:r w:rsidR="0074170A" w:rsidRPr="0006114E">
        <w:rPr>
          <w:rFonts w:ascii="Arial" w:hAnsi="Arial" w:cs="Arial"/>
          <w:sz w:val="20"/>
        </w:rPr>
        <w:t xml:space="preserve">and by accepting an Award, the Award Holder consents to </w:t>
      </w:r>
      <w:r w:rsidR="00754733" w:rsidRPr="0006114E">
        <w:rPr>
          <w:rFonts w:ascii="Arial" w:hAnsi="Arial" w:cs="Arial"/>
          <w:sz w:val="20"/>
        </w:rPr>
        <w:t xml:space="preserve">(i) </w:t>
      </w:r>
      <w:r w:rsidR="0074170A" w:rsidRPr="0006114E">
        <w:rPr>
          <w:rFonts w:ascii="Arial" w:hAnsi="Arial" w:cs="Arial"/>
          <w:sz w:val="20"/>
        </w:rPr>
        <w:t>such payment being made and the Company receiving such payment</w:t>
      </w:r>
      <w:r w:rsidR="00754733" w:rsidRPr="0006114E">
        <w:rPr>
          <w:rFonts w:ascii="Arial" w:hAnsi="Arial" w:cs="Arial"/>
          <w:sz w:val="20"/>
        </w:rPr>
        <w:t xml:space="preserve"> </w:t>
      </w:r>
      <w:r w:rsidR="0074170A" w:rsidRPr="0006114E">
        <w:rPr>
          <w:rFonts w:ascii="Arial" w:hAnsi="Arial" w:cs="Arial"/>
          <w:sz w:val="20"/>
        </w:rPr>
        <w:t>and,</w:t>
      </w:r>
      <w:r w:rsidR="00034C3A" w:rsidRPr="0006114E">
        <w:rPr>
          <w:rFonts w:ascii="Arial" w:hAnsi="Arial" w:cs="Arial"/>
          <w:sz w:val="20"/>
        </w:rPr>
        <w:t xml:space="preserve"> (ii)</w:t>
      </w:r>
      <w:r w:rsidR="0074170A" w:rsidRPr="0006114E">
        <w:rPr>
          <w:rFonts w:ascii="Arial" w:hAnsi="Arial" w:cs="Arial"/>
          <w:sz w:val="20"/>
        </w:rPr>
        <w:t xml:space="preserve"> if the Award Holder fails to make </w:t>
      </w:r>
      <w:r w:rsidR="00AB2A49" w:rsidRPr="0006114E">
        <w:rPr>
          <w:rFonts w:ascii="Arial" w:hAnsi="Arial" w:cs="Arial"/>
          <w:sz w:val="20"/>
        </w:rPr>
        <w:t xml:space="preserve">the </w:t>
      </w:r>
      <w:r w:rsidR="0074170A" w:rsidRPr="0006114E">
        <w:rPr>
          <w:rFonts w:ascii="Arial" w:hAnsi="Arial" w:cs="Arial"/>
          <w:sz w:val="20"/>
        </w:rPr>
        <w:t xml:space="preserve">payment </w:t>
      </w:r>
      <w:r w:rsidR="00AB2A49" w:rsidRPr="0006114E">
        <w:rPr>
          <w:rFonts w:ascii="Arial" w:hAnsi="Arial" w:cs="Arial"/>
          <w:sz w:val="20"/>
        </w:rPr>
        <w:t xml:space="preserve">in full </w:t>
      </w:r>
      <w:r w:rsidR="0074170A" w:rsidRPr="0006114E">
        <w:rPr>
          <w:rFonts w:ascii="Arial" w:hAnsi="Arial" w:cs="Arial"/>
          <w:sz w:val="20"/>
        </w:rPr>
        <w:t xml:space="preserve">within </w:t>
      </w:r>
      <w:r w:rsidR="00AB2A49" w:rsidRPr="0006114E">
        <w:rPr>
          <w:rFonts w:ascii="Arial" w:hAnsi="Arial" w:cs="Arial"/>
          <w:sz w:val="20"/>
        </w:rPr>
        <w:t xml:space="preserve">this </w:t>
      </w:r>
      <w:r w:rsidR="0074170A" w:rsidRPr="0006114E">
        <w:rPr>
          <w:rFonts w:ascii="Arial" w:hAnsi="Arial" w:cs="Arial"/>
          <w:sz w:val="20"/>
        </w:rPr>
        <w:t>period</w:t>
      </w:r>
      <w:r w:rsidR="00034C3A" w:rsidRPr="0006114E">
        <w:rPr>
          <w:rFonts w:ascii="Arial" w:hAnsi="Arial" w:cs="Arial"/>
          <w:sz w:val="20"/>
        </w:rPr>
        <w:t xml:space="preserve">, </w:t>
      </w:r>
      <w:r w:rsidR="0074170A" w:rsidRPr="0006114E">
        <w:rPr>
          <w:rFonts w:ascii="Arial" w:hAnsi="Arial" w:cs="Arial"/>
          <w:sz w:val="20"/>
        </w:rPr>
        <w:t>the</w:t>
      </w:r>
      <w:r w:rsidR="00034C3A" w:rsidRPr="0006114E">
        <w:rPr>
          <w:rFonts w:ascii="Arial" w:hAnsi="Arial" w:cs="Arial"/>
          <w:sz w:val="20"/>
        </w:rPr>
        <w:t xml:space="preserve">ir </w:t>
      </w:r>
      <w:r w:rsidR="007B5BA6" w:rsidRPr="0006114E">
        <w:rPr>
          <w:rFonts w:ascii="Arial" w:hAnsi="Arial" w:cs="Arial"/>
          <w:sz w:val="20"/>
        </w:rPr>
        <w:t xml:space="preserve">Employer </w:t>
      </w:r>
      <w:r w:rsidR="0074170A" w:rsidRPr="0006114E">
        <w:rPr>
          <w:rFonts w:ascii="Arial" w:hAnsi="Arial" w:cs="Arial"/>
          <w:sz w:val="20"/>
        </w:rPr>
        <w:t xml:space="preserve">Company </w:t>
      </w:r>
      <w:r w:rsidR="00CF38FB" w:rsidRPr="0006114E">
        <w:rPr>
          <w:rFonts w:ascii="Arial" w:hAnsi="Arial" w:cs="Arial"/>
          <w:sz w:val="20"/>
        </w:rPr>
        <w:t xml:space="preserve">making </w:t>
      </w:r>
      <w:r w:rsidR="0074170A" w:rsidRPr="0006114E">
        <w:rPr>
          <w:rFonts w:ascii="Arial" w:hAnsi="Arial" w:cs="Arial"/>
          <w:sz w:val="20"/>
        </w:rPr>
        <w:t>appropriate deductions from any salary or other payment due to the Award Holder.</w:t>
      </w:r>
    </w:p>
    <w:p w14:paraId="56712E77" w14:textId="1D7B55F6" w:rsidR="007B4FB5" w:rsidRPr="0006114E" w:rsidRDefault="00D8597D" w:rsidP="006A1CE1">
      <w:pPr>
        <w:pStyle w:val="Untitledsubclause1"/>
        <w:spacing w:line="240" w:lineRule="auto"/>
        <w:rPr>
          <w:rFonts w:ascii="Arial" w:hAnsi="Arial" w:cs="Arial"/>
          <w:sz w:val="20"/>
        </w:rPr>
      </w:pPr>
      <w:bookmarkStart w:id="209" w:name="a349192"/>
      <w:r w:rsidRPr="0006114E">
        <w:rPr>
          <w:rFonts w:ascii="Arial" w:hAnsi="Arial" w:cs="Arial"/>
          <w:sz w:val="20"/>
        </w:rPr>
        <w:t xml:space="preserve">If the Award Holder participates in another </w:t>
      </w:r>
      <w:r w:rsidR="00060DDD" w:rsidRPr="0006114E">
        <w:rPr>
          <w:rFonts w:ascii="Arial" w:hAnsi="Arial" w:cs="Arial"/>
          <w:sz w:val="20"/>
        </w:rPr>
        <w:t>cash-based or share-based incentive scheme or bonus scheme operated by a Group Company</w:t>
      </w:r>
      <w:r w:rsidRPr="0006114E">
        <w:rPr>
          <w:rFonts w:ascii="Arial" w:hAnsi="Arial" w:cs="Arial"/>
          <w:sz w:val="20"/>
        </w:rPr>
        <w:t xml:space="preserve">, and that other scheme contains a provision that has a similar effect to this </w:t>
      </w:r>
      <w:r w:rsidR="00E156DC" w:rsidRPr="0006114E">
        <w:rPr>
          <w:rFonts w:ascii="Arial" w:hAnsi="Arial" w:cs="Arial"/>
          <w:sz w:val="20"/>
        </w:rPr>
        <w:t xml:space="preserve">rule </w:t>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 xml:space="preserve">, the </w:t>
      </w:r>
      <w:r w:rsidR="00623047" w:rsidRPr="0006114E">
        <w:rPr>
          <w:rFonts w:ascii="Arial" w:hAnsi="Arial" w:cs="Arial"/>
          <w:sz w:val="20"/>
        </w:rPr>
        <w:t>Remuneration Committee</w:t>
      </w:r>
      <w:r w:rsidRPr="0006114E">
        <w:rPr>
          <w:rFonts w:ascii="Arial" w:hAnsi="Arial" w:cs="Arial"/>
          <w:sz w:val="20"/>
        </w:rPr>
        <w:t xml:space="preserve"> may give effect to that provision </w:t>
      </w:r>
      <w:r w:rsidR="00A16425" w:rsidRPr="0006114E">
        <w:rPr>
          <w:rFonts w:ascii="Arial" w:hAnsi="Arial" w:cs="Arial"/>
          <w:sz w:val="20"/>
        </w:rPr>
        <w:t xml:space="preserve">by reducing </w:t>
      </w:r>
      <w:bookmarkStart w:id="210" w:name="a932620"/>
      <w:bookmarkEnd w:id="209"/>
      <w:r w:rsidR="00DE1350">
        <w:rPr>
          <w:rFonts w:ascii="Arial" w:hAnsi="Arial" w:cs="Arial"/>
          <w:sz w:val="20"/>
        </w:rPr>
        <w:t>the number of Shares under</w:t>
      </w:r>
      <w:r w:rsidR="0075689E">
        <w:rPr>
          <w:rFonts w:ascii="Arial" w:hAnsi="Arial" w:cs="Arial"/>
          <w:sz w:val="20"/>
        </w:rPr>
        <w:t>,</w:t>
      </w:r>
      <w:r w:rsidR="00DE1350" w:rsidRPr="0006114E">
        <w:rPr>
          <w:rFonts w:ascii="Arial" w:hAnsi="Arial" w:cs="Arial"/>
          <w:sz w:val="20"/>
        </w:rPr>
        <w:t xml:space="preserve"> or cancelling</w:t>
      </w:r>
      <w:r w:rsidR="0075689E">
        <w:rPr>
          <w:rFonts w:ascii="Arial" w:hAnsi="Arial" w:cs="Arial"/>
          <w:sz w:val="20"/>
        </w:rPr>
        <w:t>,</w:t>
      </w:r>
      <w:r w:rsidR="00DE1350" w:rsidRPr="0006114E">
        <w:rPr>
          <w:rFonts w:ascii="Arial" w:hAnsi="Arial" w:cs="Arial"/>
          <w:sz w:val="20"/>
        </w:rPr>
        <w:t xml:space="preserve"> any </w:t>
      </w:r>
      <w:r w:rsidR="007354AC">
        <w:rPr>
          <w:rFonts w:ascii="Arial" w:hAnsi="Arial" w:cs="Arial"/>
          <w:sz w:val="20"/>
        </w:rPr>
        <w:t>Subsisting Awards</w:t>
      </w:r>
      <w:r w:rsidR="00300922">
        <w:rPr>
          <w:rFonts w:ascii="Arial" w:hAnsi="Arial" w:cs="Arial"/>
          <w:sz w:val="20"/>
        </w:rPr>
        <w:t>.</w:t>
      </w:r>
    </w:p>
    <w:bookmarkEnd w:id="168"/>
    <w:bookmarkEnd w:id="210"/>
    <w:p w14:paraId="56712E7A"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"12. Exercise of Options" \l 1</w:instrText>
      </w:r>
      <w:r w:rsidRPr="0006114E">
        <w:rPr>
          <w:rFonts w:ascii="Arial" w:hAnsi="Arial" w:cs="Arial"/>
          <w:sz w:val="20"/>
        </w:rPr>
        <w:fldChar w:fldCharType="end"/>
      </w:r>
      <w:bookmarkStart w:id="211" w:name="a995024"/>
      <w:bookmarkStart w:id="212" w:name="_Toc105671025"/>
      <w:bookmarkStart w:id="213" w:name="_Toc103273399"/>
      <w:bookmarkStart w:id="214" w:name="_Toc145339782"/>
      <w:bookmarkStart w:id="215" w:name="_Toc131682132"/>
      <w:bookmarkStart w:id="216" w:name="_Toc107828224"/>
      <w:bookmarkStart w:id="217" w:name="_Toc152661654"/>
      <w:bookmarkStart w:id="218" w:name="_Toc159952459"/>
      <w:bookmarkStart w:id="219" w:name="_Toc168490281"/>
      <w:bookmarkStart w:id="220" w:name="_Toc187838772"/>
      <w:bookmarkStart w:id="221" w:name="_Toc188629306"/>
      <w:bookmarkStart w:id="222" w:name="_Toc191381406"/>
      <w:r w:rsidRPr="0006114E">
        <w:rPr>
          <w:rFonts w:ascii="Arial" w:hAnsi="Arial" w:cs="Arial"/>
          <w:sz w:val="20"/>
        </w:rPr>
        <w:t>Exercise of Options</w:t>
      </w:r>
      <w:bookmarkEnd w:id="211"/>
      <w:bookmarkEnd w:id="212"/>
      <w:bookmarkEnd w:id="213"/>
      <w:bookmarkEnd w:id="214"/>
      <w:bookmarkEnd w:id="215"/>
      <w:bookmarkEnd w:id="216"/>
      <w:bookmarkEnd w:id="217"/>
      <w:bookmarkEnd w:id="218"/>
      <w:bookmarkEnd w:id="219"/>
      <w:bookmarkEnd w:id="220"/>
      <w:bookmarkEnd w:id="221"/>
      <w:bookmarkEnd w:id="222"/>
    </w:p>
    <w:p w14:paraId="56712E7B" w14:textId="3BF0A076" w:rsidR="007B4FB5" w:rsidRPr="0006114E" w:rsidRDefault="00D8597D" w:rsidP="006A1CE1">
      <w:pPr>
        <w:pStyle w:val="Untitledsubclause1"/>
        <w:spacing w:line="240" w:lineRule="auto"/>
        <w:rPr>
          <w:rFonts w:ascii="Arial" w:hAnsi="Arial" w:cs="Arial"/>
          <w:sz w:val="20"/>
        </w:rPr>
      </w:pPr>
      <w:bookmarkStart w:id="223" w:name="a689311"/>
      <w:r w:rsidRPr="0006114E">
        <w:rPr>
          <w:rFonts w:ascii="Arial" w:hAnsi="Arial" w:cs="Arial"/>
          <w:sz w:val="20"/>
        </w:rPr>
        <w:t xml:space="preserve">An Award Holder may </w:t>
      </w:r>
      <w:r w:rsidR="0059243D" w:rsidRPr="0006114E">
        <w:rPr>
          <w:rFonts w:ascii="Arial" w:hAnsi="Arial" w:cs="Arial"/>
          <w:sz w:val="20"/>
        </w:rPr>
        <w:t xml:space="preserve">(and may only) </w:t>
      </w:r>
      <w:r w:rsidRPr="0006114E">
        <w:rPr>
          <w:rFonts w:ascii="Arial" w:hAnsi="Arial" w:cs="Arial"/>
          <w:sz w:val="20"/>
        </w:rPr>
        <w:t xml:space="preserve">exercise an Option </w:t>
      </w:r>
      <w:r w:rsidR="001660A3" w:rsidRPr="0006114E">
        <w:rPr>
          <w:rFonts w:ascii="Arial" w:hAnsi="Arial" w:cs="Arial"/>
          <w:sz w:val="20"/>
        </w:rPr>
        <w:t>in the period beginning with the</w:t>
      </w:r>
      <w:bookmarkStart w:id="224" w:name="a834127"/>
      <w:bookmarkEnd w:id="223"/>
      <w:r w:rsidRPr="0006114E">
        <w:rPr>
          <w:rFonts w:ascii="Arial" w:hAnsi="Arial" w:cs="Arial"/>
          <w:sz w:val="20"/>
        </w:rPr>
        <w:t xml:space="preserve"> </w:t>
      </w:r>
      <w:r w:rsidR="00D44FC6" w:rsidRPr="0006114E">
        <w:rPr>
          <w:rFonts w:ascii="Arial" w:hAnsi="Arial" w:cs="Arial"/>
          <w:sz w:val="20"/>
        </w:rPr>
        <w:t>Vesting Date</w:t>
      </w:r>
      <w:bookmarkEnd w:id="224"/>
      <w:r w:rsidR="001660A3" w:rsidRPr="0006114E">
        <w:rPr>
          <w:rFonts w:ascii="Arial" w:hAnsi="Arial" w:cs="Arial"/>
          <w:sz w:val="20"/>
        </w:rPr>
        <w:t xml:space="preserve"> and ending on the date the Option lapses in accordance with these rules</w:t>
      </w:r>
      <w:r w:rsidR="00A1120D">
        <w:rPr>
          <w:rFonts w:ascii="Arial" w:hAnsi="Arial" w:cs="Arial"/>
          <w:sz w:val="20"/>
        </w:rPr>
        <w:t>,</w:t>
      </w:r>
      <w:r w:rsidR="008A43AD">
        <w:rPr>
          <w:rFonts w:ascii="Arial" w:hAnsi="Arial" w:cs="Arial"/>
          <w:sz w:val="20"/>
        </w:rPr>
        <w:t xml:space="preserve"> and</w:t>
      </w:r>
      <w:r w:rsidR="00A1120D">
        <w:rPr>
          <w:rFonts w:ascii="Arial" w:hAnsi="Arial" w:cs="Arial"/>
          <w:sz w:val="20"/>
        </w:rPr>
        <w:t xml:space="preserve"> provided</w:t>
      </w:r>
      <w:r w:rsidR="006A650C">
        <w:rPr>
          <w:rFonts w:ascii="Arial" w:hAnsi="Arial" w:cs="Arial"/>
          <w:sz w:val="20"/>
        </w:rPr>
        <w:t xml:space="preserve"> such exercise </w:t>
      </w:r>
      <w:r w:rsidR="004F4D26">
        <w:rPr>
          <w:rFonts w:ascii="Arial" w:hAnsi="Arial" w:cs="Arial"/>
          <w:sz w:val="20"/>
        </w:rPr>
        <w:t>is</w:t>
      </w:r>
      <w:r w:rsidR="006A650C">
        <w:rPr>
          <w:rFonts w:ascii="Arial" w:hAnsi="Arial" w:cs="Arial"/>
          <w:sz w:val="20"/>
        </w:rPr>
        <w:t xml:space="preserve"> not contrary to any </w:t>
      </w:r>
      <w:r w:rsidR="00194664">
        <w:rPr>
          <w:rFonts w:ascii="Arial" w:hAnsi="Arial" w:cs="Arial"/>
          <w:sz w:val="20"/>
        </w:rPr>
        <w:t>Dealing Restrictions</w:t>
      </w:r>
      <w:r w:rsidR="001660A3" w:rsidRPr="0006114E">
        <w:rPr>
          <w:rFonts w:ascii="Arial" w:hAnsi="Arial" w:cs="Arial"/>
          <w:sz w:val="20"/>
        </w:rPr>
        <w:t>.</w:t>
      </w:r>
    </w:p>
    <w:p w14:paraId="56712E7C" w14:textId="02F1B6E5" w:rsidR="007B4FB5" w:rsidRPr="0006114E" w:rsidRDefault="00D8597D" w:rsidP="006A1CE1">
      <w:pPr>
        <w:pStyle w:val="Untitledsubclause1"/>
        <w:spacing w:line="240" w:lineRule="auto"/>
        <w:rPr>
          <w:rFonts w:ascii="Arial" w:hAnsi="Arial" w:cs="Arial"/>
          <w:sz w:val="20"/>
        </w:rPr>
      </w:pPr>
      <w:bookmarkStart w:id="225" w:name="a994347"/>
      <w:r w:rsidRPr="0006114E">
        <w:rPr>
          <w:rFonts w:ascii="Arial" w:hAnsi="Arial" w:cs="Arial"/>
          <w:sz w:val="20"/>
        </w:rPr>
        <w:t xml:space="preserve">An Award Holder may only exercise an Option to the extent that </w:t>
      </w:r>
      <w:r w:rsidR="00CC52F5" w:rsidRPr="0006114E">
        <w:rPr>
          <w:rFonts w:ascii="Arial" w:hAnsi="Arial" w:cs="Arial"/>
          <w:sz w:val="20"/>
        </w:rPr>
        <w:t xml:space="preserve">it has </w:t>
      </w:r>
      <w:r w:rsidR="00D44FC6" w:rsidRPr="0006114E">
        <w:rPr>
          <w:rFonts w:ascii="Arial" w:hAnsi="Arial" w:cs="Arial"/>
          <w:sz w:val="20"/>
        </w:rPr>
        <w:t>Vested</w:t>
      </w:r>
      <w:r w:rsidRPr="0006114E">
        <w:rPr>
          <w:rFonts w:ascii="Arial" w:hAnsi="Arial" w:cs="Arial"/>
          <w:sz w:val="20"/>
        </w:rPr>
        <w:t xml:space="preserve"> and any other condition stated in the </w:t>
      </w:r>
      <w:r w:rsidR="00CE51D0" w:rsidRPr="0006114E">
        <w:rPr>
          <w:rFonts w:ascii="Arial" w:hAnsi="Arial" w:cs="Arial"/>
          <w:sz w:val="20"/>
        </w:rPr>
        <w:t>Award Certificate</w:t>
      </w:r>
      <w:r w:rsidRPr="0006114E">
        <w:rPr>
          <w:rFonts w:ascii="Arial" w:hAnsi="Arial" w:cs="Arial"/>
          <w:sz w:val="20"/>
        </w:rPr>
        <w:t xml:space="preserve"> is satisfied.</w:t>
      </w:r>
      <w:bookmarkEnd w:id="225"/>
    </w:p>
    <w:p w14:paraId="2AAFF23B" w14:textId="74B1323F" w:rsidR="007B4FB5" w:rsidRPr="0006114E" w:rsidRDefault="00ED1FB1" w:rsidP="006A1CE1">
      <w:pPr>
        <w:pStyle w:val="Untitledsubclause1"/>
        <w:spacing w:line="240" w:lineRule="auto"/>
        <w:rPr>
          <w:rFonts w:ascii="Arial" w:hAnsi="Arial" w:cs="Arial"/>
          <w:sz w:val="20"/>
        </w:rPr>
      </w:pPr>
      <w:r w:rsidRPr="0006114E">
        <w:rPr>
          <w:rFonts w:ascii="Arial" w:hAnsi="Arial" w:cs="Arial"/>
          <w:sz w:val="20"/>
        </w:rPr>
        <w:t>A</w:t>
      </w:r>
      <w:r w:rsidR="005E010F" w:rsidRPr="0006114E">
        <w:rPr>
          <w:rFonts w:ascii="Arial" w:hAnsi="Arial" w:cs="Arial"/>
          <w:sz w:val="20"/>
        </w:rPr>
        <w:t xml:space="preserve">n </w:t>
      </w:r>
      <w:r w:rsidR="00D8597D" w:rsidRPr="0006114E">
        <w:rPr>
          <w:rFonts w:ascii="Arial" w:hAnsi="Arial" w:cs="Arial"/>
          <w:sz w:val="20"/>
        </w:rPr>
        <w:t xml:space="preserve">Option may only be exercised over the entire number of Shares in respect of which it has </w:t>
      </w:r>
      <w:r w:rsidR="00D44FC6" w:rsidRPr="0006114E">
        <w:rPr>
          <w:rFonts w:ascii="Arial" w:hAnsi="Arial" w:cs="Arial"/>
          <w:sz w:val="20"/>
        </w:rPr>
        <w:t>Vested</w:t>
      </w:r>
      <w:r w:rsidR="009F396D" w:rsidRPr="0006114E">
        <w:rPr>
          <w:rFonts w:ascii="Arial" w:hAnsi="Arial" w:cs="Arial"/>
          <w:sz w:val="20"/>
        </w:rPr>
        <w:t xml:space="preserve"> or such </w:t>
      </w:r>
      <w:r w:rsidR="00590946">
        <w:rPr>
          <w:rFonts w:ascii="Arial" w:hAnsi="Arial" w:cs="Arial"/>
          <w:sz w:val="20"/>
        </w:rPr>
        <w:t>lower</w:t>
      </w:r>
      <w:r w:rsidR="009F396D" w:rsidRPr="0006114E">
        <w:rPr>
          <w:rFonts w:ascii="Arial" w:hAnsi="Arial" w:cs="Arial"/>
          <w:sz w:val="20"/>
        </w:rPr>
        <w:t xml:space="preserve"> number as</w:t>
      </w:r>
      <w:r w:rsidR="00590946">
        <w:rPr>
          <w:rFonts w:ascii="Arial" w:hAnsi="Arial" w:cs="Arial"/>
          <w:sz w:val="20"/>
        </w:rPr>
        <w:t xml:space="preserve"> is</w:t>
      </w:r>
      <w:r w:rsidR="009F396D" w:rsidRPr="0006114E">
        <w:rPr>
          <w:rFonts w:ascii="Arial" w:hAnsi="Arial" w:cs="Arial"/>
          <w:sz w:val="20"/>
        </w:rPr>
        <w:t xml:space="preserve"> </w:t>
      </w:r>
      <w:r w:rsidR="00DC5249" w:rsidRPr="0006114E">
        <w:rPr>
          <w:rFonts w:ascii="Arial" w:hAnsi="Arial" w:cs="Arial"/>
          <w:sz w:val="20"/>
        </w:rPr>
        <w:t xml:space="preserve">agreed with the </w:t>
      </w:r>
      <w:r w:rsidR="00623047" w:rsidRPr="0006114E">
        <w:rPr>
          <w:rFonts w:ascii="Arial" w:hAnsi="Arial" w:cs="Arial"/>
          <w:sz w:val="20"/>
        </w:rPr>
        <w:t>Remuneration Committee</w:t>
      </w:r>
      <w:r w:rsidR="00DC5249" w:rsidRPr="0006114E">
        <w:rPr>
          <w:rFonts w:ascii="Arial" w:hAnsi="Arial" w:cs="Arial"/>
          <w:sz w:val="20"/>
        </w:rPr>
        <w:t>.</w:t>
      </w:r>
    </w:p>
    <w:p w14:paraId="56712E8C" w14:textId="2E58E2AC" w:rsidR="007B4FB5" w:rsidRPr="0006114E" w:rsidRDefault="00D8597D" w:rsidP="006A1CE1">
      <w:pPr>
        <w:pStyle w:val="Untitledsubclause1"/>
        <w:spacing w:line="240" w:lineRule="auto"/>
        <w:rPr>
          <w:rFonts w:ascii="Arial" w:hAnsi="Arial" w:cs="Arial"/>
          <w:sz w:val="20"/>
        </w:rPr>
      </w:pPr>
      <w:bookmarkStart w:id="226" w:name="a806806"/>
      <w:r w:rsidRPr="0006114E">
        <w:rPr>
          <w:rFonts w:ascii="Arial" w:hAnsi="Arial" w:cs="Arial"/>
          <w:sz w:val="20"/>
        </w:rPr>
        <w:lastRenderedPageBreak/>
        <w:t>The Award Holder shall exercise an Option</w:t>
      </w:r>
      <w:r w:rsidR="00A825BF" w:rsidRPr="0006114E">
        <w:rPr>
          <w:rFonts w:ascii="Arial" w:hAnsi="Arial" w:cs="Arial"/>
          <w:sz w:val="20"/>
        </w:rPr>
        <w:t xml:space="preserve"> </w:t>
      </w:r>
      <w:r w:rsidRPr="0006114E">
        <w:rPr>
          <w:rFonts w:ascii="Arial" w:hAnsi="Arial" w:cs="Arial"/>
          <w:sz w:val="20"/>
        </w:rPr>
        <w:t xml:space="preserve">by giving an Exercise Notice to the Company setting out the number of Shares over which the Award Holder wishes to exercise the Option. </w:t>
      </w:r>
      <w:bookmarkEnd w:id="226"/>
    </w:p>
    <w:p w14:paraId="7E87B055" w14:textId="4C1C5FBF" w:rsidR="007B4FB5" w:rsidRPr="0006114E" w:rsidRDefault="00D8597D" w:rsidP="006A1CE1">
      <w:pPr>
        <w:pStyle w:val="Untitledsubclause1"/>
        <w:spacing w:line="240" w:lineRule="auto"/>
        <w:rPr>
          <w:rFonts w:ascii="Arial" w:hAnsi="Arial" w:cs="Arial"/>
          <w:sz w:val="20"/>
        </w:rPr>
      </w:pPr>
      <w:bookmarkStart w:id="227" w:name="a339239"/>
      <w:bookmarkStart w:id="228" w:name="_Ref103265813"/>
      <w:r w:rsidRPr="0006114E">
        <w:rPr>
          <w:rFonts w:ascii="Arial" w:hAnsi="Arial" w:cs="Arial"/>
          <w:sz w:val="20"/>
        </w:rPr>
        <w:t xml:space="preserve">The Exercise Notice shall be accompanied by </w:t>
      </w:r>
      <w:bookmarkStart w:id="229" w:name="a898823"/>
      <w:r w:rsidR="000D4F3F" w:rsidRPr="0006114E">
        <w:rPr>
          <w:rFonts w:ascii="Arial" w:hAnsi="Arial" w:cs="Arial"/>
          <w:sz w:val="20"/>
        </w:rPr>
        <w:t>the</w:t>
      </w:r>
      <w:r w:rsidR="00F0604B" w:rsidRPr="0006114E">
        <w:rPr>
          <w:rFonts w:ascii="Arial" w:hAnsi="Arial" w:cs="Arial"/>
          <w:sz w:val="20"/>
        </w:rPr>
        <w:t xml:space="preserve"> payment </w:t>
      </w:r>
      <w:r w:rsidR="001D606E" w:rsidRPr="0006114E">
        <w:rPr>
          <w:rFonts w:ascii="Arial" w:hAnsi="Arial" w:cs="Arial"/>
          <w:sz w:val="20"/>
        </w:rPr>
        <w:t xml:space="preserve">of </w:t>
      </w:r>
      <w:r w:rsidR="003B21A1">
        <w:rPr>
          <w:rFonts w:ascii="Arial" w:hAnsi="Arial" w:cs="Arial"/>
          <w:sz w:val="20"/>
        </w:rPr>
        <w:t xml:space="preserve">the </w:t>
      </w:r>
      <w:r w:rsidR="003B21A1" w:rsidRPr="0006114E">
        <w:rPr>
          <w:rFonts w:ascii="Arial" w:hAnsi="Arial" w:cs="Arial"/>
          <w:sz w:val="20"/>
        </w:rPr>
        <w:t xml:space="preserve">Exercise Price </w:t>
      </w:r>
      <w:r w:rsidR="003B21A1">
        <w:rPr>
          <w:rFonts w:ascii="Arial" w:hAnsi="Arial" w:cs="Arial"/>
          <w:sz w:val="20"/>
        </w:rPr>
        <w:t xml:space="preserve">(if any) </w:t>
      </w:r>
      <w:r w:rsidR="003B21A1" w:rsidRPr="0006114E">
        <w:rPr>
          <w:rFonts w:ascii="Arial" w:hAnsi="Arial" w:cs="Arial"/>
          <w:sz w:val="20"/>
        </w:rPr>
        <w:t xml:space="preserve">and </w:t>
      </w:r>
      <w:r w:rsidR="003B21A1">
        <w:rPr>
          <w:rFonts w:ascii="Arial" w:hAnsi="Arial" w:cs="Arial"/>
          <w:sz w:val="20"/>
        </w:rPr>
        <w:t>the</w:t>
      </w:r>
      <w:r w:rsidR="003B21A1" w:rsidRPr="0006114E">
        <w:rPr>
          <w:rFonts w:ascii="Arial" w:hAnsi="Arial" w:cs="Arial"/>
          <w:sz w:val="20"/>
        </w:rPr>
        <w:t xml:space="preserve"> Tax Liability</w:t>
      </w:r>
      <w:r w:rsidR="000D4F3F" w:rsidRPr="0006114E">
        <w:rPr>
          <w:rFonts w:ascii="Arial" w:hAnsi="Arial" w:cs="Arial"/>
          <w:sz w:val="20"/>
        </w:rPr>
        <w:t xml:space="preserve">, </w:t>
      </w:r>
      <w:bookmarkEnd w:id="229"/>
      <w:r w:rsidRPr="0006114E">
        <w:rPr>
          <w:rFonts w:ascii="Arial" w:hAnsi="Arial" w:cs="Arial"/>
          <w:sz w:val="20"/>
        </w:rPr>
        <w:t>unless</w:t>
      </w:r>
      <w:bookmarkEnd w:id="227"/>
      <w:r w:rsidR="00D41A0F" w:rsidRPr="0006114E">
        <w:rPr>
          <w:rFonts w:ascii="Arial" w:hAnsi="Arial" w:cs="Arial"/>
          <w:sz w:val="20"/>
        </w:rPr>
        <w:t xml:space="preserve"> </w:t>
      </w:r>
      <w:r w:rsidRPr="0006114E">
        <w:rPr>
          <w:rFonts w:ascii="Arial" w:hAnsi="Arial" w:cs="Arial"/>
          <w:sz w:val="20"/>
        </w:rPr>
        <w:t xml:space="preserve">the Award Holder has entered into binding alternative arrangements to secure the payment of those amounts which are satisfactory to the </w:t>
      </w:r>
      <w:r w:rsidR="00623047" w:rsidRPr="0006114E">
        <w:rPr>
          <w:rFonts w:ascii="Arial" w:hAnsi="Arial" w:cs="Arial"/>
          <w:sz w:val="20"/>
        </w:rPr>
        <w:t>Remuneration Committee</w:t>
      </w:r>
      <w:r w:rsidRPr="0006114E">
        <w:rPr>
          <w:rFonts w:ascii="Arial" w:hAnsi="Arial" w:cs="Arial"/>
          <w:sz w:val="20"/>
        </w:rPr>
        <w:t>.</w:t>
      </w:r>
      <w:bookmarkEnd w:id="228"/>
    </w:p>
    <w:p w14:paraId="56712E8D" w14:textId="757B5F76"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"14. Settlement of Awards" \l 1</w:instrText>
      </w:r>
      <w:r w:rsidRPr="0006114E">
        <w:rPr>
          <w:rFonts w:ascii="Arial" w:hAnsi="Arial" w:cs="Arial"/>
          <w:sz w:val="20"/>
        </w:rPr>
        <w:fldChar w:fldCharType="end"/>
      </w:r>
      <w:bookmarkStart w:id="230" w:name="_Toc103273401"/>
      <w:bookmarkStart w:id="231" w:name="a175700"/>
      <w:bookmarkStart w:id="232" w:name="_Toc105671027"/>
      <w:bookmarkStart w:id="233" w:name="_Toc145339784"/>
      <w:bookmarkStart w:id="234" w:name="_Toc131682134"/>
      <w:bookmarkStart w:id="235" w:name="_Toc107828226"/>
      <w:bookmarkStart w:id="236" w:name="_Toc152661656"/>
      <w:bookmarkStart w:id="237" w:name="_Toc159952461"/>
      <w:bookmarkStart w:id="238" w:name="_Toc168490282"/>
      <w:bookmarkStart w:id="239" w:name="_Toc187838773"/>
      <w:bookmarkStart w:id="240" w:name="_Toc188629307"/>
      <w:bookmarkStart w:id="241" w:name="_Toc191381407"/>
      <w:r w:rsidRPr="0006114E">
        <w:rPr>
          <w:rFonts w:ascii="Arial" w:hAnsi="Arial" w:cs="Arial"/>
          <w:sz w:val="20"/>
        </w:rPr>
        <w:t xml:space="preserve">Settlement of </w:t>
      </w:r>
      <w:r w:rsidR="001D71D7" w:rsidRPr="0006114E">
        <w:rPr>
          <w:rFonts w:ascii="Arial" w:hAnsi="Arial" w:cs="Arial"/>
          <w:sz w:val="20"/>
        </w:rPr>
        <w:t>Awards</w:t>
      </w:r>
      <w:bookmarkEnd w:id="230"/>
      <w:bookmarkEnd w:id="231"/>
      <w:bookmarkEnd w:id="232"/>
      <w:bookmarkEnd w:id="233"/>
      <w:bookmarkEnd w:id="234"/>
      <w:bookmarkEnd w:id="235"/>
      <w:bookmarkEnd w:id="236"/>
      <w:bookmarkEnd w:id="237"/>
      <w:bookmarkEnd w:id="238"/>
      <w:bookmarkEnd w:id="239"/>
      <w:bookmarkEnd w:id="240"/>
      <w:bookmarkEnd w:id="241"/>
    </w:p>
    <w:p w14:paraId="14997799" w14:textId="43DDB55E" w:rsidR="00BA7BBD" w:rsidRDefault="008B2C0F" w:rsidP="006A1CE1">
      <w:pPr>
        <w:pStyle w:val="Untitledsubclause1"/>
        <w:spacing w:line="240" w:lineRule="auto"/>
        <w:rPr>
          <w:rFonts w:ascii="Arial" w:hAnsi="Arial" w:cs="Arial"/>
          <w:sz w:val="20"/>
        </w:rPr>
      </w:pPr>
      <w:bookmarkStart w:id="242" w:name="a656360"/>
      <w:r w:rsidRPr="0006114E">
        <w:rPr>
          <w:rFonts w:ascii="Arial" w:hAnsi="Arial" w:cs="Arial"/>
          <w:sz w:val="20"/>
        </w:rPr>
        <w:t xml:space="preserve">Subject to </w:t>
      </w:r>
      <w:r w:rsidRPr="0006114E">
        <w:rPr>
          <w:rFonts w:ascii="Arial" w:hAnsi="Arial" w:cs="Arial"/>
          <w:sz w:val="20"/>
        </w:rPr>
        <w:fldChar w:fldCharType="begin"/>
      </w:r>
      <w:r w:rsidRPr="0006114E">
        <w:rPr>
          <w:rFonts w:ascii="Arial" w:hAnsi="Arial" w:cs="Arial"/>
          <w:sz w:val="20"/>
        </w:rPr>
        <w:instrText>PAGEREF a309757\#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a309757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12</w:t>
      </w:r>
      <w:r w:rsidRPr="0006114E">
        <w:rPr>
          <w:rFonts w:ascii="Arial" w:hAnsi="Arial" w:cs="Arial"/>
          <w:sz w:val="20"/>
        </w:rPr>
        <w:fldChar w:fldCharType="end"/>
      </w:r>
      <w:r w:rsidRPr="0006114E">
        <w:rPr>
          <w:rFonts w:ascii="Arial" w:hAnsi="Arial" w:cs="Arial"/>
          <w:sz w:val="20"/>
        </w:rPr>
        <w:t xml:space="preserve">, </w:t>
      </w:r>
      <w:bookmarkStart w:id="243" w:name="a988388"/>
      <w:bookmarkEnd w:id="242"/>
      <w:r w:rsidR="00144B01" w:rsidRPr="0006114E">
        <w:rPr>
          <w:rFonts w:ascii="Arial" w:hAnsi="Arial" w:cs="Arial"/>
          <w:sz w:val="20"/>
        </w:rPr>
        <w:t>w</w:t>
      </w:r>
      <w:r w:rsidR="00D8597D" w:rsidRPr="0006114E">
        <w:rPr>
          <w:rFonts w:ascii="Arial" w:hAnsi="Arial" w:cs="Arial"/>
          <w:sz w:val="20"/>
        </w:rPr>
        <w:t xml:space="preserve">ithin 30 </w:t>
      </w:r>
      <w:r w:rsidR="00D8597D" w:rsidRPr="00F5517A">
        <w:rPr>
          <w:rFonts w:ascii="Arial" w:hAnsi="Arial" w:cs="Arial"/>
          <w:sz w:val="20"/>
        </w:rPr>
        <w:t>days after</w:t>
      </w:r>
      <w:r w:rsidR="00A45EE0" w:rsidRPr="00F5517A">
        <w:rPr>
          <w:rFonts w:ascii="Arial" w:hAnsi="Arial" w:cs="Arial"/>
          <w:sz w:val="20"/>
        </w:rPr>
        <w:t xml:space="preserve"> the </w:t>
      </w:r>
      <w:bookmarkStart w:id="244" w:name="a948800"/>
      <w:r w:rsidR="00D44FC6" w:rsidRPr="00F5517A">
        <w:rPr>
          <w:rFonts w:ascii="Arial" w:hAnsi="Arial" w:cs="Arial"/>
          <w:sz w:val="20"/>
        </w:rPr>
        <w:t>Vesting of</w:t>
      </w:r>
      <w:r w:rsidR="00D8597D" w:rsidRPr="00F5517A">
        <w:rPr>
          <w:rFonts w:ascii="Arial" w:hAnsi="Arial" w:cs="Arial"/>
          <w:sz w:val="20"/>
        </w:rPr>
        <w:t xml:space="preserve"> a Conditional Share Award</w:t>
      </w:r>
      <w:r w:rsidR="008371A4" w:rsidRPr="00F5517A">
        <w:rPr>
          <w:rFonts w:ascii="Arial" w:hAnsi="Arial" w:cs="Arial"/>
          <w:sz w:val="20"/>
        </w:rPr>
        <w:t>,</w:t>
      </w:r>
      <w:r w:rsidR="00A45EE0" w:rsidRPr="00F5517A">
        <w:rPr>
          <w:rFonts w:ascii="Arial" w:hAnsi="Arial" w:cs="Arial"/>
          <w:sz w:val="20"/>
        </w:rPr>
        <w:t xml:space="preserve"> </w:t>
      </w:r>
      <w:r w:rsidR="00D8597D" w:rsidRPr="00F5517A">
        <w:rPr>
          <w:rFonts w:ascii="Arial" w:hAnsi="Arial" w:cs="Arial"/>
          <w:sz w:val="20"/>
        </w:rPr>
        <w:t>or</w:t>
      </w:r>
      <w:bookmarkEnd w:id="244"/>
      <w:r w:rsidR="00A45EE0" w:rsidRPr="00F5517A">
        <w:rPr>
          <w:rFonts w:ascii="Arial" w:hAnsi="Arial" w:cs="Arial"/>
          <w:sz w:val="20"/>
        </w:rPr>
        <w:t xml:space="preserve"> </w:t>
      </w:r>
      <w:r w:rsidR="008371A4" w:rsidRPr="00F5517A">
        <w:rPr>
          <w:rFonts w:ascii="Arial" w:hAnsi="Arial" w:cs="Arial"/>
          <w:sz w:val="20"/>
        </w:rPr>
        <w:t>the</w:t>
      </w:r>
      <w:r w:rsidR="00A45EE0" w:rsidRPr="00F5517A">
        <w:rPr>
          <w:rFonts w:ascii="Arial" w:hAnsi="Arial" w:cs="Arial"/>
          <w:sz w:val="20"/>
        </w:rPr>
        <w:t xml:space="preserve"> </w:t>
      </w:r>
      <w:bookmarkStart w:id="245" w:name="a805898"/>
      <w:r w:rsidR="00D8597D" w:rsidRPr="00F5517A">
        <w:rPr>
          <w:rFonts w:ascii="Arial" w:hAnsi="Arial" w:cs="Arial"/>
          <w:sz w:val="20"/>
        </w:rPr>
        <w:t>valid exercise of a</w:t>
      </w:r>
      <w:r w:rsidR="00826769" w:rsidRPr="00F5517A">
        <w:rPr>
          <w:rFonts w:ascii="Arial" w:hAnsi="Arial" w:cs="Arial"/>
          <w:sz w:val="20"/>
        </w:rPr>
        <w:t xml:space="preserve">n </w:t>
      </w:r>
      <w:r w:rsidR="008371A4" w:rsidRPr="00F5517A">
        <w:rPr>
          <w:rFonts w:ascii="Arial" w:hAnsi="Arial" w:cs="Arial"/>
          <w:sz w:val="20"/>
        </w:rPr>
        <w:t>Option</w:t>
      </w:r>
      <w:r w:rsidR="00CF255E" w:rsidRPr="00F5517A">
        <w:rPr>
          <w:rFonts w:ascii="Arial" w:hAnsi="Arial" w:cs="Arial"/>
          <w:sz w:val="20"/>
        </w:rPr>
        <w:t>,</w:t>
      </w:r>
      <w:bookmarkEnd w:id="245"/>
      <w:r w:rsidR="00A45EE0" w:rsidRPr="00F5517A">
        <w:rPr>
          <w:rFonts w:ascii="Arial" w:hAnsi="Arial" w:cs="Arial"/>
          <w:sz w:val="20"/>
        </w:rPr>
        <w:t xml:space="preserve"> the Company shall </w:t>
      </w:r>
      <w:r w:rsidR="00A45EE0" w:rsidRPr="00F5517A">
        <w:rPr>
          <w:rFonts w:ascii="Arial" w:hAnsi="Arial"/>
          <w:sz w:val="20"/>
        </w:rPr>
        <w:t>issue</w:t>
      </w:r>
      <w:r w:rsidR="00F12B22" w:rsidRPr="00F5517A">
        <w:rPr>
          <w:rFonts w:ascii="Arial" w:hAnsi="Arial"/>
          <w:sz w:val="20"/>
        </w:rPr>
        <w:t>, or</w:t>
      </w:r>
      <w:r w:rsidR="00F12B22" w:rsidRPr="00F5517A">
        <w:rPr>
          <w:rFonts w:ascii="Arial" w:hAnsi="Arial" w:cs="Arial"/>
          <w:sz w:val="20"/>
        </w:rPr>
        <w:t xml:space="preserve"> procure the transfer of, </w:t>
      </w:r>
      <w:r w:rsidR="00A45EE0" w:rsidRPr="00F5517A">
        <w:rPr>
          <w:rFonts w:ascii="Arial" w:hAnsi="Arial" w:cs="Arial"/>
          <w:sz w:val="20"/>
        </w:rPr>
        <w:t>Shares</w:t>
      </w:r>
      <w:r w:rsidR="00C9093D" w:rsidRPr="00F5517A">
        <w:rPr>
          <w:rFonts w:ascii="Arial" w:hAnsi="Arial" w:cs="Arial"/>
          <w:sz w:val="20"/>
        </w:rPr>
        <w:t xml:space="preserve"> </w:t>
      </w:r>
      <w:r w:rsidR="00D8597D" w:rsidRPr="00F5517A">
        <w:rPr>
          <w:rFonts w:ascii="Arial" w:hAnsi="Arial" w:cs="Arial"/>
          <w:sz w:val="20"/>
        </w:rPr>
        <w:t xml:space="preserve">to the </w:t>
      </w:r>
      <w:r w:rsidR="00BF0AA6" w:rsidRPr="00F5517A">
        <w:rPr>
          <w:rFonts w:ascii="Arial" w:hAnsi="Arial" w:cs="Arial"/>
          <w:sz w:val="20"/>
        </w:rPr>
        <w:t xml:space="preserve">Award Holder </w:t>
      </w:r>
      <w:r w:rsidR="0037045A" w:rsidRPr="00F5517A">
        <w:rPr>
          <w:rFonts w:ascii="Arial" w:hAnsi="Arial" w:cs="Arial"/>
          <w:sz w:val="20"/>
        </w:rPr>
        <w:t xml:space="preserve">or, if </w:t>
      </w:r>
      <w:r w:rsidR="00C64DE0" w:rsidRPr="00F5517A">
        <w:rPr>
          <w:rFonts w:ascii="Arial" w:hAnsi="Arial" w:cs="Arial"/>
          <w:sz w:val="20"/>
        </w:rPr>
        <w:t xml:space="preserve">the </w:t>
      </w:r>
      <w:r w:rsidR="00623047" w:rsidRPr="00F5517A">
        <w:rPr>
          <w:rFonts w:ascii="Arial" w:hAnsi="Arial" w:cs="Arial"/>
          <w:sz w:val="20"/>
        </w:rPr>
        <w:t>Remuneration Committee</w:t>
      </w:r>
      <w:r w:rsidR="00C64DE0" w:rsidRPr="00F5517A">
        <w:rPr>
          <w:rFonts w:ascii="Arial" w:hAnsi="Arial" w:cs="Arial"/>
          <w:sz w:val="20"/>
        </w:rPr>
        <w:t xml:space="preserve"> </w:t>
      </w:r>
      <w:r w:rsidR="0037045A" w:rsidRPr="00F5517A">
        <w:rPr>
          <w:rFonts w:ascii="Arial" w:hAnsi="Arial" w:cs="Arial"/>
          <w:sz w:val="20"/>
        </w:rPr>
        <w:t xml:space="preserve">so </w:t>
      </w:r>
      <w:r w:rsidR="00C64DE0" w:rsidRPr="00F5517A">
        <w:rPr>
          <w:rFonts w:ascii="Arial" w:hAnsi="Arial" w:cs="Arial"/>
          <w:sz w:val="20"/>
        </w:rPr>
        <w:t>decides</w:t>
      </w:r>
      <w:r w:rsidR="0037045A" w:rsidRPr="00F5517A">
        <w:rPr>
          <w:rFonts w:ascii="Arial" w:hAnsi="Arial" w:cs="Arial"/>
          <w:sz w:val="20"/>
        </w:rPr>
        <w:t xml:space="preserve">, </w:t>
      </w:r>
      <w:r w:rsidR="00537C61" w:rsidRPr="00F5517A">
        <w:rPr>
          <w:rFonts w:ascii="Arial" w:hAnsi="Arial" w:cs="Arial"/>
          <w:sz w:val="20"/>
        </w:rPr>
        <w:t>a</w:t>
      </w:r>
      <w:r w:rsidR="00BF0AA6" w:rsidRPr="00F5517A">
        <w:rPr>
          <w:rFonts w:ascii="Arial" w:hAnsi="Arial" w:cs="Arial"/>
          <w:sz w:val="20"/>
        </w:rPr>
        <w:t xml:space="preserve"> </w:t>
      </w:r>
      <w:r w:rsidR="00537C61" w:rsidRPr="00F5517A">
        <w:rPr>
          <w:rFonts w:ascii="Arial" w:hAnsi="Arial" w:cs="Arial"/>
          <w:sz w:val="20"/>
        </w:rPr>
        <w:t>n</w:t>
      </w:r>
      <w:r w:rsidR="00BF0AA6" w:rsidRPr="00F5517A">
        <w:rPr>
          <w:rFonts w:ascii="Arial" w:hAnsi="Arial" w:cs="Arial"/>
          <w:sz w:val="20"/>
        </w:rPr>
        <w:t>ominee</w:t>
      </w:r>
      <w:r w:rsidR="00537C61" w:rsidRPr="00F5517A">
        <w:rPr>
          <w:rFonts w:ascii="Arial" w:hAnsi="Arial" w:cs="Arial"/>
          <w:sz w:val="20"/>
        </w:rPr>
        <w:t xml:space="preserve"> for the </w:t>
      </w:r>
      <w:r w:rsidR="00FD030D" w:rsidRPr="00F5517A">
        <w:rPr>
          <w:rFonts w:ascii="Arial" w:hAnsi="Arial" w:cs="Arial"/>
          <w:sz w:val="20"/>
        </w:rPr>
        <w:t>Award Holder</w:t>
      </w:r>
      <w:bookmarkEnd w:id="243"/>
      <w:r w:rsidR="00287043" w:rsidRPr="00F5517A">
        <w:rPr>
          <w:rFonts w:ascii="Arial" w:hAnsi="Arial" w:cs="Arial"/>
          <w:sz w:val="20"/>
        </w:rPr>
        <w:t xml:space="preserve"> (</w:t>
      </w:r>
      <w:r w:rsidR="004506C1" w:rsidRPr="00F5517A">
        <w:rPr>
          <w:rFonts w:ascii="Arial" w:hAnsi="Arial" w:cs="Arial"/>
          <w:sz w:val="20"/>
        </w:rPr>
        <w:t xml:space="preserve">and </w:t>
      </w:r>
      <w:r w:rsidR="00287043" w:rsidRPr="00F5517A">
        <w:rPr>
          <w:rFonts w:ascii="Arial" w:hAnsi="Arial" w:cs="Arial"/>
          <w:sz w:val="20"/>
        </w:rPr>
        <w:t>where Dealing Restrictions prevent</w:t>
      </w:r>
      <w:r w:rsidR="004506C1" w:rsidRPr="00F5517A">
        <w:rPr>
          <w:rFonts w:ascii="Arial" w:hAnsi="Arial" w:cs="Arial"/>
          <w:sz w:val="20"/>
        </w:rPr>
        <w:t xml:space="preserve"> them from so doing, shall</w:t>
      </w:r>
      <w:r w:rsidR="0010528B" w:rsidRPr="00F5517A">
        <w:rPr>
          <w:rFonts w:ascii="Arial" w:hAnsi="Arial" w:cs="Arial"/>
          <w:sz w:val="20"/>
        </w:rPr>
        <w:t xml:space="preserve"> do so as soon as practicable </w:t>
      </w:r>
      <w:r w:rsidR="00BA7BBD" w:rsidRPr="00F5517A">
        <w:rPr>
          <w:rFonts w:ascii="Arial" w:hAnsi="Arial" w:cs="Arial"/>
          <w:sz w:val="20"/>
        </w:rPr>
        <w:t>after those Dealing Restrictions cease to apply</w:t>
      </w:r>
      <w:r w:rsidR="00287043" w:rsidRPr="00F5517A">
        <w:rPr>
          <w:rFonts w:ascii="Arial" w:hAnsi="Arial" w:cs="Arial"/>
          <w:sz w:val="20"/>
        </w:rPr>
        <w:t>)</w:t>
      </w:r>
      <w:r w:rsidR="00234B51" w:rsidRPr="00F5517A">
        <w:rPr>
          <w:rFonts w:ascii="Arial" w:hAnsi="Arial" w:cs="Arial"/>
          <w:sz w:val="20"/>
        </w:rPr>
        <w:t xml:space="preserve"> in full and final satisfaction of their rights under the Award</w:t>
      </w:r>
      <w:r w:rsidR="00A2783D" w:rsidRPr="00F5517A">
        <w:rPr>
          <w:rFonts w:ascii="Arial" w:hAnsi="Arial" w:cs="Arial"/>
          <w:sz w:val="20"/>
        </w:rPr>
        <w:t xml:space="preserve"> (or where an Option is exercised in part, their rights under the relevant part)</w:t>
      </w:r>
      <w:r w:rsidR="000558F4" w:rsidRPr="00F5517A">
        <w:rPr>
          <w:rFonts w:ascii="Arial" w:hAnsi="Arial" w:cs="Arial"/>
          <w:sz w:val="20"/>
        </w:rPr>
        <w:t>.</w:t>
      </w:r>
      <w:r w:rsidR="00D46633" w:rsidRPr="00F5517A">
        <w:rPr>
          <w:rFonts w:ascii="Arial" w:hAnsi="Arial" w:cs="Arial"/>
          <w:sz w:val="20"/>
        </w:rPr>
        <w:t xml:space="preserve"> </w:t>
      </w:r>
    </w:p>
    <w:p w14:paraId="6434D693" w14:textId="781F59E8" w:rsidR="00545867" w:rsidRPr="00545867" w:rsidRDefault="00545867" w:rsidP="00545867">
      <w:pPr>
        <w:pStyle w:val="Untitledsubclause1"/>
        <w:spacing w:line="240" w:lineRule="auto"/>
        <w:rPr>
          <w:rFonts w:ascii="Arial" w:hAnsi="Arial" w:cs="Arial"/>
          <w:sz w:val="20"/>
        </w:rPr>
      </w:pPr>
      <w:r>
        <w:rPr>
          <w:rFonts w:ascii="Arial" w:hAnsi="Arial" w:cs="Arial"/>
          <w:sz w:val="20"/>
        </w:rPr>
        <w:t>Notwithstanding any other rule of this Plan, t</w:t>
      </w:r>
      <w:r w:rsidRPr="00545867">
        <w:rPr>
          <w:rFonts w:ascii="Arial" w:hAnsi="Arial" w:cs="Arial"/>
          <w:sz w:val="20"/>
        </w:rPr>
        <w:t>he Remuneration Committee may make the delivery of any Shares to satisfy the Vesting of a Conditional Award or the exercise of an Option conditional on the Award Holder taking any action (including entering into any agreement) in relation to those Shares reasonably required by the Remuneration Committee in connection with any Shareholding Requirement</w:t>
      </w:r>
      <w:r>
        <w:rPr>
          <w:rFonts w:ascii="Arial" w:hAnsi="Arial" w:cs="Arial"/>
          <w:sz w:val="20"/>
        </w:rPr>
        <w:t>.</w:t>
      </w:r>
    </w:p>
    <w:p w14:paraId="233066E7" w14:textId="12E87474" w:rsidR="00341DDA" w:rsidRPr="00F5517A" w:rsidRDefault="00341DDA" w:rsidP="006A1CE1">
      <w:pPr>
        <w:pStyle w:val="Untitledsubclause1"/>
        <w:spacing w:line="240" w:lineRule="auto"/>
        <w:rPr>
          <w:rFonts w:ascii="Arial" w:hAnsi="Arial" w:cs="Arial"/>
          <w:sz w:val="20"/>
        </w:rPr>
      </w:pPr>
      <w:r w:rsidRPr="00F5517A">
        <w:rPr>
          <w:rFonts w:ascii="Arial" w:hAnsi="Arial" w:cs="Arial"/>
          <w:sz w:val="20"/>
        </w:rPr>
        <w:t>No Award Holder shall have any interest in the Shares subject to an Award prior to the Award Holder (or their nominee) being registered as the holder of such Shares.</w:t>
      </w:r>
    </w:p>
    <w:p w14:paraId="13025769" w14:textId="77777777" w:rsidR="004C15F8" w:rsidRPr="00F5517A" w:rsidRDefault="004C15F8" w:rsidP="004C15F8">
      <w:pPr>
        <w:pStyle w:val="TitleClause"/>
        <w:spacing w:line="240" w:lineRule="auto"/>
        <w:rPr>
          <w:rFonts w:ascii="Arial" w:hAnsi="Arial" w:cs="Arial"/>
          <w:sz w:val="20"/>
        </w:rPr>
      </w:pPr>
      <w:r w:rsidRPr="00F5517A">
        <w:rPr>
          <w:rFonts w:ascii="Arial" w:hAnsi="Arial" w:cs="Arial"/>
          <w:sz w:val="20"/>
        </w:rPr>
        <w:fldChar w:fldCharType="begin"/>
      </w:r>
      <w:r w:rsidRPr="00F5517A">
        <w:rPr>
          <w:rFonts w:ascii="Arial" w:hAnsi="Arial" w:cs="Arial"/>
          <w:sz w:val="20"/>
        </w:rPr>
        <w:instrText>TC "16. Alternative methods of settlement of Awards" \l 1</w:instrText>
      </w:r>
      <w:r w:rsidRPr="00F5517A">
        <w:rPr>
          <w:rFonts w:ascii="Arial" w:hAnsi="Arial" w:cs="Arial"/>
          <w:sz w:val="20"/>
        </w:rPr>
        <w:fldChar w:fldCharType="end"/>
      </w:r>
      <w:bookmarkStart w:id="246" w:name="a309757"/>
      <w:bookmarkStart w:id="247" w:name="_Toc105671029"/>
      <w:bookmarkStart w:id="248" w:name="_Toc103273403"/>
      <w:bookmarkStart w:id="249" w:name="_Toc145339786"/>
      <w:bookmarkStart w:id="250" w:name="_Toc131682136"/>
      <w:bookmarkStart w:id="251" w:name="_Toc107828228"/>
      <w:bookmarkStart w:id="252" w:name="_Toc152661657"/>
      <w:bookmarkStart w:id="253" w:name="_Toc159952463"/>
      <w:bookmarkStart w:id="254" w:name="_Toc168490284"/>
      <w:bookmarkStart w:id="255" w:name="_Toc187838774"/>
      <w:bookmarkStart w:id="256" w:name="_Toc188629308"/>
      <w:bookmarkStart w:id="257" w:name="_Toc191381408"/>
      <w:r w:rsidRPr="00F5517A">
        <w:rPr>
          <w:rFonts w:ascii="Arial" w:hAnsi="Arial" w:cs="Arial"/>
          <w:sz w:val="20"/>
        </w:rPr>
        <w:t>Alternative methods of settlement of Awards</w:t>
      </w:r>
      <w:bookmarkEnd w:id="246"/>
      <w:bookmarkEnd w:id="247"/>
      <w:bookmarkEnd w:id="248"/>
      <w:bookmarkEnd w:id="249"/>
      <w:bookmarkEnd w:id="250"/>
      <w:bookmarkEnd w:id="251"/>
      <w:bookmarkEnd w:id="252"/>
      <w:bookmarkEnd w:id="253"/>
      <w:bookmarkEnd w:id="254"/>
      <w:bookmarkEnd w:id="255"/>
      <w:bookmarkEnd w:id="256"/>
      <w:bookmarkEnd w:id="257"/>
    </w:p>
    <w:p w14:paraId="5BE012A3" w14:textId="77777777" w:rsidR="004C15F8" w:rsidRPr="00F5517A" w:rsidRDefault="004C15F8" w:rsidP="004C15F8">
      <w:pPr>
        <w:pStyle w:val="Untitledsubclause1"/>
        <w:spacing w:line="240" w:lineRule="auto"/>
        <w:rPr>
          <w:rFonts w:ascii="Arial" w:hAnsi="Arial" w:cs="Arial"/>
          <w:sz w:val="20"/>
        </w:rPr>
      </w:pPr>
      <w:bookmarkStart w:id="258" w:name="a141065"/>
      <w:r w:rsidRPr="00F5517A">
        <w:rPr>
          <w:rFonts w:ascii="Arial" w:hAnsi="Arial" w:cs="Arial"/>
          <w:sz w:val="20"/>
        </w:rPr>
        <w:t>Instead of delivering the number of Shares specified in the relevant Exercise Notice, the Company may settle the exercise of an Option with an Exercise Price by:</w:t>
      </w:r>
    </w:p>
    <w:p w14:paraId="3E37D999" w14:textId="460CE46F" w:rsidR="004C15F8" w:rsidRPr="00F5517A" w:rsidRDefault="004C15F8" w:rsidP="004C15F8">
      <w:pPr>
        <w:pStyle w:val="Untitledsubclause2"/>
        <w:numPr>
          <w:ilvl w:val="2"/>
          <w:numId w:val="35"/>
        </w:numPr>
        <w:spacing w:line="240" w:lineRule="auto"/>
        <w:rPr>
          <w:rFonts w:ascii="Arial" w:hAnsi="Arial" w:cs="Arial"/>
          <w:sz w:val="20"/>
        </w:rPr>
      </w:pPr>
      <w:r w:rsidRPr="00F5517A">
        <w:rPr>
          <w:rFonts w:ascii="Arial" w:hAnsi="Arial" w:cs="Arial"/>
          <w:sz w:val="20"/>
        </w:rPr>
        <w:t>save where this would cause any adverse securities laws, exchange control, tax or social security issues for the Award Holder, making a cash payment to the Award Holder equal to the amount by which the Market Value of a Share on the date of exercise of the Option exceeds the Exercise Price, multiplied by the number of Shares in respect of which the Option is being exercised (the “</w:t>
      </w:r>
      <w:r w:rsidRPr="00F5517A">
        <w:rPr>
          <w:rFonts w:ascii="Arial" w:hAnsi="Arial" w:cs="Arial"/>
          <w:b/>
          <w:bCs/>
          <w:sz w:val="20"/>
        </w:rPr>
        <w:t>Gain</w:t>
      </w:r>
      <w:r w:rsidRPr="00F5517A">
        <w:rPr>
          <w:rFonts w:ascii="Arial" w:hAnsi="Arial" w:cs="Arial"/>
          <w:sz w:val="20"/>
        </w:rPr>
        <w:t>”), or</w:t>
      </w:r>
    </w:p>
    <w:p w14:paraId="7FA38903" w14:textId="0D51E9AA" w:rsidR="004C15F8" w:rsidRPr="00F5517A" w:rsidRDefault="004C15F8" w:rsidP="004C15F8">
      <w:pPr>
        <w:pStyle w:val="Untitledsubclause2"/>
        <w:spacing w:line="240" w:lineRule="auto"/>
        <w:rPr>
          <w:rFonts w:ascii="Arial" w:hAnsi="Arial" w:cs="Arial"/>
          <w:sz w:val="20"/>
        </w:rPr>
      </w:pPr>
      <w:r w:rsidRPr="00F5517A">
        <w:rPr>
          <w:rFonts w:ascii="Arial" w:hAnsi="Arial" w:cs="Arial"/>
          <w:sz w:val="20"/>
        </w:rPr>
        <w:t xml:space="preserve">arranging for the transfer </w:t>
      </w:r>
      <w:r w:rsidRPr="00F5517A">
        <w:rPr>
          <w:rFonts w:ascii="Arial" w:hAnsi="Arial"/>
          <w:sz w:val="20"/>
        </w:rPr>
        <w:t>or issue</w:t>
      </w:r>
      <w:r w:rsidRPr="00F5517A">
        <w:rPr>
          <w:rFonts w:ascii="Arial" w:hAnsi="Arial" w:cs="Arial"/>
          <w:sz w:val="20"/>
        </w:rPr>
        <w:t xml:space="preserve"> to the Award Holder of Shares with a Market Value equal to the Gain (rounded down to the nearest whole Share), for which the Award Holder shall not be required to make payment.</w:t>
      </w:r>
    </w:p>
    <w:p w14:paraId="3FCC2E67" w14:textId="3AD733DF" w:rsidR="004C15F8" w:rsidRPr="0006114E" w:rsidRDefault="004C15F8" w:rsidP="004C15F8">
      <w:pPr>
        <w:pStyle w:val="Untitledsubclause1"/>
        <w:spacing w:line="240" w:lineRule="auto"/>
        <w:rPr>
          <w:rFonts w:ascii="Arial" w:hAnsi="Arial" w:cs="Arial"/>
          <w:sz w:val="20"/>
        </w:rPr>
      </w:pPr>
      <w:bookmarkStart w:id="259" w:name="a658317"/>
      <w:bookmarkEnd w:id="258"/>
      <w:r w:rsidRPr="0006114E">
        <w:rPr>
          <w:rFonts w:ascii="Arial" w:hAnsi="Arial" w:cs="Arial"/>
          <w:sz w:val="20"/>
        </w:rPr>
        <w:t xml:space="preserve">Instead of delivering the number of Shares subject to an Option </w:t>
      </w:r>
      <w:r>
        <w:rPr>
          <w:rFonts w:ascii="Arial" w:hAnsi="Arial" w:cs="Arial"/>
          <w:sz w:val="20"/>
        </w:rPr>
        <w:t xml:space="preserve">without an Exercise Price </w:t>
      </w:r>
      <w:r w:rsidRPr="0006114E">
        <w:rPr>
          <w:rFonts w:ascii="Arial" w:hAnsi="Arial" w:cs="Arial"/>
          <w:sz w:val="20"/>
        </w:rPr>
        <w:t xml:space="preserve">or </w:t>
      </w:r>
      <w:r>
        <w:rPr>
          <w:rFonts w:ascii="Arial" w:hAnsi="Arial" w:cs="Arial"/>
          <w:sz w:val="20"/>
        </w:rPr>
        <w:t xml:space="preserve">a </w:t>
      </w:r>
      <w:r w:rsidRPr="0006114E">
        <w:rPr>
          <w:rFonts w:ascii="Arial" w:hAnsi="Arial" w:cs="Arial"/>
          <w:sz w:val="20"/>
        </w:rPr>
        <w:t xml:space="preserve">Conditional Share Award, the Company may (save where this would cause any adverse securities laws, exchange control, tax or social security issues for </w:t>
      </w:r>
      <w:r>
        <w:rPr>
          <w:rFonts w:ascii="Arial" w:hAnsi="Arial" w:cs="Arial"/>
          <w:sz w:val="20"/>
        </w:rPr>
        <w:t>the</w:t>
      </w:r>
      <w:r w:rsidRPr="0006114E">
        <w:rPr>
          <w:rFonts w:ascii="Arial" w:hAnsi="Arial" w:cs="Arial"/>
          <w:sz w:val="20"/>
        </w:rPr>
        <w:t xml:space="preserve"> Award Holder) settle </w:t>
      </w:r>
      <w:bookmarkEnd w:id="259"/>
      <w:r w:rsidRPr="0006114E">
        <w:rPr>
          <w:rFonts w:ascii="Arial" w:hAnsi="Arial" w:cs="Arial"/>
          <w:sz w:val="20"/>
        </w:rPr>
        <w:t>the Award by making a cash payment to the Award Holder equal to the Market Value of the Shares in respect of which the Award has Vested (or in the case of an Option, been exercised).</w:t>
      </w:r>
    </w:p>
    <w:p w14:paraId="56712E95"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"15. Holding Period" \l 1</w:instrText>
      </w:r>
      <w:r w:rsidRPr="0006114E">
        <w:rPr>
          <w:rFonts w:ascii="Arial" w:hAnsi="Arial" w:cs="Arial"/>
          <w:sz w:val="20"/>
        </w:rPr>
        <w:fldChar w:fldCharType="end"/>
      </w:r>
      <w:bookmarkStart w:id="260" w:name="a283933"/>
      <w:bookmarkStart w:id="261" w:name="_Toc105671028"/>
      <w:bookmarkStart w:id="262" w:name="_Toc103273402"/>
      <w:bookmarkStart w:id="263" w:name="_Toc145339785"/>
      <w:bookmarkStart w:id="264" w:name="_Toc131682135"/>
      <w:bookmarkStart w:id="265" w:name="_Toc159952462"/>
      <w:bookmarkStart w:id="266" w:name="_Toc168490283"/>
      <w:bookmarkStart w:id="267" w:name="_Toc187838775"/>
      <w:bookmarkStart w:id="268" w:name="_Toc188629309"/>
      <w:bookmarkStart w:id="269" w:name="_Toc191381409"/>
      <w:r w:rsidRPr="0006114E">
        <w:rPr>
          <w:rFonts w:ascii="Arial" w:hAnsi="Arial" w:cs="Arial"/>
          <w:sz w:val="20"/>
        </w:rPr>
        <w:t>Holding Period</w:t>
      </w:r>
      <w:bookmarkEnd w:id="260"/>
      <w:bookmarkEnd w:id="261"/>
      <w:bookmarkEnd w:id="262"/>
      <w:bookmarkEnd w:id="263"/>
      <w:bookmarkEnd w:id="264"/>
      <w:bookmarkEnd w:id="265"/>
      <w:bookmarkEnd w:id="266"/>
      <w:bookmarkEnd w:id="267"/>
      <w:bookmarkEnd w:id="268"/>
      <w:bookmarkEnd w:id="269"/>
    </w:p>
    <w:p w14:paraId="56712E97" w14:textId="0153DE00" w:rsidR="004C034D" w:rsidRPr="0006114E" w:rsidRDefault="00C221B5" w:rsidP="006A1CE1">
      <w:pPr>
        <w:pStyle w:val="Untitledsubclause1"/>
        <w:spacing w:line="240" w:lineRule="auto"/>
        <w:rPr>
          <w:rFonts w:ascii="Arial" w:hAnsi="Arial" w:cs="Arial"/>
          <w:sz w:val="20"/>
        </w:rPr>
      </w:pPr>
      <w:bookmarkStart w:id="270" w:name="a948263"/>
      <w:bookmarkStart w:id="271" w:name="_Ref104899046"/>
      <w:bookmarkStart w:id="272" w:name="a551211"/>
      <w:r w:rsidRPr="0006114E">
        <w:rPr>
          <w:rFonts w:ascii="Arial" w:hAnsi="Arial" w:cs="Arial"/>
          <w:sz w:val="20"/>
        </w:rPr>
        <w:t>During any applicable</w:t>
      </w:r>
      <w:r w:rsidR="00D8597D" w:rsidRPr="0006114E">
        <w:rPr>
          <w:rFonts w:ascii="Arial" w:hAnsi="Arial" w:cs="Arial"/>
          <w:sz w:val="20"/>
        </w:rPr>
        <w:t xml:space="preserve"> Holding Period, the Award Holder may not transfer, assign, charge or otherwise encumber or dispose of the</w:t>
      </w:r>
      <w:r w:rsidR="00571F78" w:rsidRPr="0006114E">
        <w:rPr>
          <w:rFonts w:ascii="Arial" w:hAnsi="Arial" w:cs="Arial"/>
          <w:sz w:val="20"/>
        </w:rPr>
        <w:t>ir</w:t>
      </w:r>
      <w:r w:rsidR="00634C6D" w:rsidRPr="0006114E">
        <w:rPr>
          <w:rFonts w:ascii="Arial" w:hAnsi="Arial" w:cs="Arial"/>
          <w:sz w:val="20"/>
        </w:rPr>
        <w:t xml:space="preserve"> </w:t>
      </w:r>
      <w:r w:rsidR="00E82AD5" w:rsidRPr="0006114E">
        <w:rPr>
          <w:rFonts w:ascii="Arial" w:hAnsi="Arial" w:cs="Arial"/>
          <w:sz w:val="20"/>
        </w:rPr>
        <w:t>beneficial or</w:t>
      </w:r>
      <w:r w:rsidR="00E82AD5">
        <w:rPr>
          <w:rFonts w:ascii="Arial" w:hAnsi="Arial" w:cs="Arial"/>
          <w:sz w:val="20"/>
        </w:rPr>
        <w:t xml:space="preserve"> (</w:t>
      </w:r>
      <w:r w:rsidR="00E82AD5" w:rsidRPr="0006114E">
        <w:rPr>
          <w:rFonts w:ascii="Arial" w:hAnsi="Arial" w:cs="Arial"/>
          <w:sz w:val="20"/>
        </w:rPr>
        <w:t>save where their Shares are held by a nominee</w:t>
      </w:r>
      <w:r w:rsidR="00E82AD5">
        <w:rPr>
          <w:rFonts w:ascii="Arial" w:hAnsi="Arial" w:cs="Arial"/>
          <w:sz w:val="20"/>
        </w:rPr>
        <w:t>)</w:t>
      </w:r>
      <w:r w:rsidR="00E82AD5" w:rsidRPr="0006114E">
        <w:rPr>
          <w:rFonts w:ascii="Arial" w:hAnsi="Arial" w:cs="Arial"/>
          <w:sz w:val="20"/>
        </w:rPr>
        <w:t xml:space="preserve"> legal </w:t>
      </w:r>
      <w:r w:rsidR="00571F78" w:rsidRPr="0006114E">
        <w:rPr>
          <w:rFonts w:ascii="Arial" w:hAnsi="Arial" w:cs="Arial"/>
          <w:sz w:val="20"/>
        </w:rPr>
        <w:t>interest</w:t>
      </w:r>
      <w:r w:rsidR="003529F6" w:rsidRPr="0006114E">
        <w:rPr>
          <w:rFonts w:ascii="Arial" w:hAnsi="Arial" w:cs="Arial"/>
          <w:sz w:val="20"/>
        </w:rPr>
        <w:t xml:space="preserve"> </w:t>
      </w:r>
      <w:r w:rsidR="00D8597D" w:rsidRPr="0006114E">
        <w:rPr>
          <w:rFonts w:ascii="Arial" w:hAnsi="Arial" w:cs="Arial"/>
          <w:sz w:val="20"/>
        </w:rPr>
        <w:t xml:space="preserve">in Shares </w:t>
      </w:r>
      <w:r w:rsidR="00D44FC6" w:rsidRPr="0006114E">
        <w:rPr>
          <w:rFonts w:ascii="Arial" w:hAnsi="Arial" w:cs="Arial"/>
          <w:sz w:val="20"/>
        </w:rPr>
        <w:t>acquired</w:t>
      </w:r>
      <w:r w:rsidR="00D8597D" w:rsidRPr="0006114E">
        <w:rPr>
          <w:rFonts w:ascii="Arial" w:hAnsi="Arial" w:cs="Arial"/>
          <w:sz w:val="20"/>
        </w:rPr>
        <w:t xml:space="preserve"> under </w:t>
      </w:r>
      <w:r w:rsidR="00150EAB" w:rsidRPr="0006114E">
        <w:rPr>
          <w:rFonts w:ascii="Arial" w:hAnsi="Arial" w:cs="Arial"/>
          <w:sz w:val="20"/>
        </w:rPr>
        <w:t>an</w:t>
      </w:r>
      <w:r w:rsidR="00D8597D" w:rsidRPr="0006114E">
        <w:rPr>
          <w:rFonts w:ascii="Arial" w:hAnsi="Arial" w:cs="Arial"/>
          <w:sz w:val="20"/>
        </w:rPr>
        <w:t xml:space="preserve"> Award (together, the “</w:t>
      </w:r>
      <w:r w:rsidR="00D8597D" w:rsidRPr="0006114E">
        <w:rPr>
          <w:rFonts w:ascii="Arial" w:hAnsi="Arial" w:cs="Arial"/>
          <w:b/>
          <w:sz w:val="20"/>
        </w:rPr>
        <w:t>Held Shares</w:t>
      </w:r>
      <w:r w:rsidR="00D8597D" w:rsidRPr="0006114E">
        <w:rPr>
          <w:rFonts w:ascii="Arial" w:hAnsi="Arial" w:cs="Arial"/>
          <w:sz w:val="20"/>
        </w:rPr>
        <w:t>”)</w:t>
      </w:r>
      <w:r w:rsidR="0028081B" w:rsidRPr="0006114E">
        <w:rPr>
          <w:rFonts w:ascii="Arial" w:hAnsi="Arial" w:cs="Arial"/>
          <w:sz w:val="20"/>
        </w:rPr>
        <w:t xml:space="preserve"> </w:t>
      </w:r>
      <w:r w:rsidR="00D8597D" w:rsidRPr="0006114E">
        <w:rPr>
          <w:rFonts w:ascii="Arial" w:hAnsi="Arial" w:cs="Arial"/>
          <w:sz w:val="20"/>
        </w:rPr>
        <w:t>except:</w:t>
      </w:r>
      <w:bookmarkEnd w:id="270"/>
      <w:bookmarkEnd w:id="271"/>
    </w:p>
    <w:p w14:paraId="56712E99" w14:textId="507CD039" w:rsidR="004C034D" w:rsidRPr="0006114E" w:rsidRDefault="00D8597D" w:rsidP="006A1CE1">
      <w:pPr>
        <w:pStyle w:val="Untitledsubclause2"/>
        <w:spacing w:line="240" w:lineRule="auto"/>
        <w:rPr>
          <w:rFonts w:ascii="Arial" w:hAnsi="Arial" w:cs="Arial"/>
          <w:sz w:val="20"/>
        </w:rPr>
      </w:pPr>
      <w:bookmarkStart w:id="273" w:name="a901492"/>
      <w:r w:rsidRPr="0006114E">
        <w:rPr>
          <w:rFonts w:ascii="Arial" w:hAnsi="Arial" w:cs="Arial"/>
          <w:sz w:val="20"/>
        </w:rPr>
        <w:t>in order to raise sufficient funds to pay a Tax Liability in relation to the Held Shares</w:t>
      </w:r>
      <w:bookmarkEnd w:id="273"/>
      <w:r w:rsidR="00E132E8" w:rsidRPr="0006114E">
        <w:rPr>
          <w:rFonts w:ascii="Arial" w:hAnsi="Arial" w:cs="Arial"/>
          <w:sz w:val="20"/>
        </w:rPr>
        <w:t>;</w:t>
      </w:r>
    </w:p>
    <w:p w14:paraId="540FF2C0" w14:textId="55277646" w:rsidR="00B47D8B" w:rsidRPr="0006114E" w:rsidRDefault="00B47D8B" w:rsidP="006A1CE1">
      <w:pPr>
        <w:pStyle w:val="Untitledsubclause2"/>
        <w:spacing w:line="240" w:lineRule="auto"/>
        <w:rPr>
          <w:rFonts w:ascii="Arial" w:hAnsi="Arial" w:cs="Arial"/>
          <w:sz w:val="20"/>
        </w:rPr>
      </w:pPr>
      <w:r w:rsidRPr="0006114E">
        <w:rPr>
          <w:rFonts w:ascii="Arial" w:hAnsi="Arial" w:cs="Arial"/>
          <w:sz w:val="20"/>
        </w:rPr>
        <w:t xml:space="preserve">in order to raise sufficient funds to pay </w:t>
      </w:r>
      <w:r w:rsidR="004C1F36">
        <w:rPr>
          <w:rFonts w:ascii="Arial" w:hAnsi="Arial" w:cs="Arial"/>
          <w:sz w:val="20"/>
        </w:rPr>
        <w:t>the</w:t>
      </w:r>
      <w:r w:rsidR="004C1F36" w:rsidRPr="0006114E">
        <w:rPr>
          <w:rFonts w:ascii="Arial" w:hAnsi="Arial" w:cs="Arial"/>
          <w:sz w:val="20"/>
        </w:rPr>
        <w:t xml:space="preserve"> Exercise Price</w:t>
      </w:r>
      <w:r w:rsidR="004C1F36">
        <w:rPr>
          <w:rFonts w:ascii="Arial" w:hAnsi="Arial" w:cs="Arial"/>
          <w:sz w:val="20"/>
        </w:rPr>
        <w:t xml:space="preserve"> of the Option pursuant to which they acquired the Held Shares</w:t>
      </w:r>
      <w:r w:rsidR="00E132E8" w:rsidRPr="0006114E">
        <w:rPr>
          <w:rFonts w:ascii="Arial" w:hAnsi="Arial" w:cs="Arial"/>
          <w:sz w:val="20"/>
        </w:rPr>
        <w:t>;</w:t>
      </w:r>
    </w:p>
    <w:p w14:paraId="4E8F9F26" w14:textId="27CD97B5" w:rsidR="00E132E8" w:rsidRPr="0006114E" w:rsidRDefault="00107C38" w:rsidP="006A1CE1">
      <w:pPr>
        <w:pStyle w:val="Untitledsubclause2"/>
        <w:spacing w:line="240" w:lineRule="auto"/>
        <w:rPr>
          <w:rFonts w:ascii="Arial" w:hAnsi="Arial" w:cs="Arial"/>
          <w:sz w:val="20"/>
        </w:rPr>
      </w:pPr>
      <w:bookmarkStart w:id="274" w:name="a143119"/>
      <w:r w:rsidRPr="0006114E">
        <w:rPr>
          <w:rFonts w:ascii="Arial" w:hAnsi="Arial" w:cs="Arial"/>
          <w:sz w:val="20"/>
        </w:rPr>
        <w:lastRenderedPageBreak/>
        <w:t xml:space="preserve">to the extent </w:t>
      </w:r>
      <w:r w:rsidR="00B61415" w:rsidRPr="0006114E">
        <w:rPr>
          <w:rFonts w:ascii="Arial" w:hAnsi="Arial" w:cs="Arial"/>
          <w:sz w:val="20"/>
        </w:rPr>
        <w:t xml:space="preserve">necessary </w:t>
      </w:r>
      <w:r w:rsidRPr="0006114E">
        <w:rPr>
          <w:rFonts w:ascii="Arial" w:hAnsi="Arial" w:cs="Arial"/>
          <w:sz w:val="20"/>
        </w:rPr>
        <w:t xml:space="preserve">to comply with </w:t>
      </w:r>
      <w:r w:rsidR="00D8597D" w:rsidRPr="0006114E">
        <w:rPr>
          <w:rFonts w:ascii="Arial" w:hAnsi="Arial" w:cs="Arial"/>
          <w:sz w:val="20"/>
        </w:rPr>
        <w:fldChar w:fldCharType="begin"/>
      </w:r>
      <w:r w:rsidR="00D8597D" w:rsidRPr="0006114E">
        <w:rPr>
          <w:rFonts w:ascii="Arial" w:hAnsi="Arial" w:cs="Arial"/>
          <w:sz w:val="20"/>
        </w:rPr>
        <w:instrText>PAGEREF a391918\# "'rule '"  \h</w:instrText>
      </w:r>
      <w:r w:rsidR="00D8597D" w:rsidRPr="0006114E">
        <w:rPr>
          <w:rFonts w:ascii="Arial" w:hAnsi="Arial" w:cs="Arial"/>
          <w:sz w:val="20"/>
        </w:rPr>
      </w:r>
      <w:r w:rsidR="00D8597D" w:rsidRPr="0006114E">
        <w:rPr>
          <w:rFonts w:ascii="Arial" w:hAnsi="Arial" w:cs="Arial"/>
          <w:sz w:val="20"/>
        </w:rPr>
        <w:fldChar w:fldCharType="separate"/>
      </w:r>
      <w:r w:rsidR="00661E34" w:rsidRPr="0006114E">
        <w:rPr>
          <w:rFonts w:ascii="Arial" w:hAnsi="Arial" w:cs="Arial"/>
          <w:noProof/>
          <w:sz w:val="20"/>
        </w:rPr>
        <w:t xml:space="preserve">rule </w:t>
      </w:r>
      <w:r w:rsidR="00D8597D" w:rsidRPr="0006114E">
        <w:rPr>
          <w:rFonts w:ascii="Arial" w:hAnsi="Arial" w:cs="Arial"/>
          <w:sz w:val="20"/>
        </w:rPr>
        <w:fldChar w:fldCharType="end"/>
      </w:r>
      <w:r w:rsidR="00D8597D" w:rsidRPr="0006114E">
        <w:rPr>
          <w:rFonts w:ascii="Arial" w:hAnsi="Arial" w:cs="Arial"/>
          <w:sz w:val="20"/>
        </w:rPr>
        <w:fldChar w:fldCharType="begin"/>
      </w:r>
      <w:r w:rsidR="00D8597D"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661E34">
        <w:rPr>
          <w:rFonts w:ascii="Arial" w:hAnsi="Arial" w:cs="Arial"/>
          <w:sz w:val="20"/>
          <w:highlight w:val="lightGray"/>
        </w:rPr>
        <w:t>9</w:t>
      </w:r>
      <w:r w:rsidR="00D8597D" w:rsidRPr="0006114E">
        <w:rPr>
          <w:rFonts w:ascii="Arial" w:hAnsi="Arial" w:cs="Arial"/>
          <w:sz w:val="20"/>
        </w:rPr>
        <w:fldChar w:fldCharType="end"/>
      </w:r>
      <w:r w:rsidR="00DA19AA" w:rsidRPr="0006114E">
        <w:rPr>
          <w:rFonts w:ascii="Arial" w:hAnsi="Arial" w:cs="Arial"/>
          <w:sz w:val="20"/>
        </w:rPr>
        <w:t xml:space="preserve">, </w:t>
      </w:r>
      <w:r w:rsidR="00ED2059" w:rsidRPr="0006114E">
        <w:rPr>
          <w:rFonts w:ascii="Arial" w:hAnsi="Arial" w:cs="Arial"/>
          <w:sz w:val="20"/>
        </w:rPr>
        <w:t>or</w:t>
      </w:r>
      <w:r w:rsidR="00DA19AA" w:rsidRPr="0006114E">
        <w:rPr>
          <w:rFonts w:ascii="Arial" w:hAnsi="Arial" w:cs="Arial"/>
          <w:sz w:val="20"/>
        </w:rPr>
        <w:t xml:space="preserve"> where</w:t>
      </w:r>
      <w:r w:rsidR="00D8597D" w:rsidRPr="0006114E">
        <w:rPr>
          <w:rFonts w:ascii="Arial" w:hAnsi="Arial" w:cs="Arial"/>
          <w:sz w:val="20"/>
        </w:rPr>
        <w:t xml:space="preserve"> </w:t>
      </w:r>
      <w:r w:rsidR="00D8597D" w:rsidRPr="0006114E">
        <w:rPr>
          <w:rFonts w:ascii="Arial" w:hAnsi="Arial" w:cs="Arial"/>
          <w:sz w:val="20"/>
        </w:rPr>
        <w:fldChar w:fldCharType="begin"/>
      </w:r>
      <w:r w:rsidR="00D8597D" w:rsidRPr="0006114E">
        <w:rPr>
          <w:rFonts w:ascii="Arial" w:hAnsi="Arial" w:cs="Arial"/>
          <w:sz w:val="20"/>
        </w:rPr>
        <w:instrText>PAGEREF a1037750\# "'rule '"  \h</w:instrText>
      </w:r>
      <w:r w:rsidR="00D8597D" w:rsidRPr="0006114E">
        <w:rPr>
          <w:rFonts w:ascii="Arial" w:hAnsi="Arial" w:cs="Arial"/>
          <w:sz w:val="20"/>
        </w:rPr>
      </w:r>
      <w:r w:rsidR="00D8597D" w:rsidRPr="0006114E">
        <w:rPr>
          <w:rFonts w:ascii="Arial" w:hAnsi="Arial" w:cs="Arial"/>
          <w:sz w:val="20"/>
        </w:rPr>
        <w:fldChar w:fldCharType="separate"/>
      </w:r>
      <w:r w:rsidR="00661E34" w:rsidRPr="0006114E">
        <w:rPr>
          <w:rFonts w:ascii="Arial" w:hAnsi="Arial" w:cs="Arial"/>
          <w:noProof/>
          <w:sz w:val="20"/>
        </w:rPr>
        <w:t xml:space="preserve">rule </w:t>
      </w:r>
      <w:r w:rsidR="00D8597D" w:rsidRPr="0006114E">
        <w:rPr>
          <w:rFonts w:ascii="Arial" w:hAnsi="Arial" w:cs="Arial"/>
          <w:sz w:val="20"/>
        </w:rPr>
        <w:fldChar w:fldCharType="end"/>
      </w:r>
      <w:r w:rsidR="00D8597D" w:rsidRPr="0006114E">
        <w:rPr>
          <w:rFonts w:ascii="Arial" w:hAnsi="Arial" w:cs="Arial"/>
          <w:sz w:val="20"/>
        </w:rPr>
        <w:fldChar w:fldCharType="begin"/>
      </w:r>
      <w:r w:rsidR="00D8597D" w:rsidRPr="0006114E">
        <w:rPr>
          <w:rFonts w:ascii="Arial" w:hAnsi="Arial" w:cs="Arial"/>
          <w:sz w:val="20"/>
          <w:highlight w:val="lightGray"/>
        </w:rPr>
        <w:instrText>REF a1037750 \h \w</w:instrText>
      </w:r>
      <w:r w:rsidR="0037270F" w:rsidRPr="0006114E">
        <w:rPr>
          <w:rFonts w:ascii="Arial" w:hAnsi="Arial" w:cs="Arial"/>
          <w:sz w:val="20"/>
        </w:rPr>
        <w:instrText xml:space="preserve"> \* MERGEFORMAT </w:instrText>
      </w:r>
      <w:r w:rsidR="00D8597D" w:rsidRPr="0006114E">
        <w:rPr>
          <w:rFonts w:ascii="Arial" w:hAnsi="Arial" w:cs="Arial"/>
          <w:sz w:val="20"/>
        </w:rPr>
      </w:r>
      <w:r w:rsidR="00D8597D" w:rsidRPr="0006114E">
        <w:rPr>
          <w:rFonts w:ascii="Arial" w:hAnsi="Arial" w:cs="Arial"/>
          <w:sz w:val="20"/>
        </w:rPr>
        <w:fldChar w:fldCharType="separate"/>
      </w:r>
      <w:r w:rsidR="00661E34">
        <w:rPr>
          <w:rFonts w:ascii="Arial" w:hAnsi="Arial" w:cs="Arial"/>
          <w:sz w:val="20"/>
          <w:highlight w:val="lightGray"/>
        </w:rPr>
        <w:t>17</w:t>
      </w:r>
      <w:r w:rsidR="00D8597D" w:rsidRPr="0006114E">
        <w:rPr>
          <w:rFonts w:ascii="Arial" w:hAnsi="Arial" w:cs="Arial"/>
          <w:sz w:val="20"/>
        </w:rPr>
        <w:fldChar w:fldCharType="end"/>
      </w:r>
      <w:r w:rsidR="00DA19AA" w:rsidRPr="0006114E">
        <w:rPr>
          <w:rFonts w:ascii="Arial" w:hAnsi="Arial" w:cs="Arial"/>
          <w:sz w:val="20"/>
        </w:rPr>
        <w:t xml:space="preserve"> applies</w:t>
      </w:r>
      <w:r w:rsidR="00E132E8" w:rsidRPr="0006114E">
        <w:rPr>
          <w:rFonts w:ascii="Arial" w:hAnsi="Arial" w:cs="Arial"/>
          <w:sz w:val="20"/>
        </w:rPr>
        <w:t>,</w:t>
      </w:r>
      <w:bookmarkStart w:id="275" w:name="a471649"/>
      <w:bookmarkEnd w:id="274"/>
      <w:r w:rsidR="00E132E8" w:rsidRPr="0006114E">
        <w:rPr>
          <w:rFonts w:ascii="Arial" w:hAnsi="Arial" w:cs="Arial"/>
          <w:sz w:val="20"/>
        </w:rPr>
        <w:t xml:space="preserve"> or</w:t>
      </w:r>
    </w:p>
    <w:p w14:paraId="4E94D2AB" w14:textId="5A34D427" w:rsidR="00E132E8" w:rsidRPr="0006114E" w:rsidRDefault="00E132E8" w:rsidP="006A1CE1">
      <w:pPr>
        <w:pStyle w:val="Untitledsubclause2"/>
        <w:spacing w:line="240" w:lineRule="auto"/>
        <w:rPr>
          <w:rFonts w:ascii="Arial" w:hAnsi="Arial" w:cs="Arial"/>
          <w:sz w:val="20"/>
        </w:rPr>
      </w:pPr>
      <w:r w:rsidRPr="0006114E">
        <w:rPr>
          <w:rFonts w:ascii="Arial" w:hAnsi="Arial" w:cs="Arial"/>
          <w:sz w:val="20"/>
        </w:rPr>
        <w:t>with the permission of the Remuneration Committee</w:t>
      </w:r>
      <w:bookmarkEnd w:id="275"/>
      <w:r w:rsidRPr="0006114E">
        <w:rPr>
          <w:rFonts w:ascii="Arial" w:hAnsi="Arial" w:cs="Arial"/>
          <w:sz w:val="20"/>
        </w:rPr>
        <w:t>.</w:t>
      </w:r>
    </w:p>
    <w:p w14:paraId="28049983" w14:textId="14A05548" w:rsidR="004C034D" w:rsidRPr="0006114E" w:rsidRDefault="00D8597D" w:rsidP="006A1CE1">
      <w:pPr>
        <w:pStyle w:val="Untitledsubclause1"/>
        <w:spacing w:line="240" w:lineRule="auto"/>
        <w:rPr>
          <w:rFonts w:ascii="Arial" w:hAnsi="Arial" w:cs="Arial"/>
          <w:sz w:val="20"/>
        </w:rPr>
      </w:pPr>
      <w:r w:rsidRPr="0006114E">
        <w:rPr>
          <w:rFonts w:ascii="Arial" w:hAnsi="Arial" w:cs="Arial"/>
          <w:sz w:val="20"/>
        </w:rPr>
        <w:t>An Award Holder who</w:t>
      </w:r>
      <w:r w:rsidR="005A2B7F" w:rsidRPr="0006114E">
        <w:rPr>
          <w:rFonts w:ascii="Arial" w:hAnsi="Arial" w:cs="Arial"/>
          <w:sz w:val="20"/>
        </w:rPr>
        <w:t xml:space="preserve"> breaches or </w:t>
      </w:r>
      <w:r w:rsidRPr="0006114E">
        <w:rPr>
          <w:rFonts w:ascii="Arial" w:hAnsi="Arial" w:cs="Arial"/>
          <w:sz w:val="20"/>
        </w:rPr>
        <w:t xml:space="preserve">attempts to </w:t>
      </w:r>
      <w:r w:rsidR="005A2B7F" w:rsidRPr="0006114E">
        <w:rPr>
          <w:rFonts w:ascii="Arial" w:hAnsi="Arial" w:cs="Arial"/>
          <w:sz w:val="20"/>
        </w:rPr>
        <w:t xml:space="preserve">breach </w:t>
      </w:r>
      <w:r w:rsidR="009128DE" w:rsidRPr="0006114E">
        <w:rPr>
          <w:rFonts w:ascii="Arial" w:hAnsi="Arial" w:cs="Arial"/>
          <w:sz w:val="20"/>
        </w:rPr>
        <w:t xml:space="preserve">rule </w:t>
      </w:r>
      <w:r w:rsidR="009128DE" w:rsidRPr="0006114E">
        <w:rPr>
          <w:rFonts w:ascii="Arial" w:hAnsi="Arial" w:cs="Arial"/>
          <w:sz w:val="20"/>
        </w:rPr>
        <w:fldChar w:fldCharType="begin"/>
      </w:r>
      <w:r w:rsidR="009128DE" w:rsidRPr="0006114E">
        <w:rPr>
          <w:rFonts w:ascii="Arial" w:hAnsi="Arial" w:cs="Arial"/>
          <w:sz w:val="20"/>
        </w:rPr>
        <w:instrText xml:space="preserve"> REF _Ref104899046 \r \h </w:instrText>
      </w:r>
      <w:r w:rsidR="004C1A6B" w:rsidRPr="0006114E">
        <w:rPr>
          <w:rFonts w:ascii="Arial" w:hAnsi="Arial" w:cs="Arial"/>
          <w:sz w:val="20"/>
        </w:rPr>
        <w:instrText xml:space="preserve"> \* MERGEFORMAT </w:instrText>
      </w:r>
      <w:r w:rsidR="009128DE" w:rsidRPr="0006114E">
        <w:rPr>
          <w:rFonts w:ascii="Arial" w:hAnsi="Arial" w:cs="Arial"/>
          <w:sz w:val="20"/>
        </w:rPr>
      </w:r>
      <w:r w:rsidR="009128DE" w:rsidRPr="0006114E">
        <w:rPr>
          <w:rFonts w:ascii="Arial" w:hAnsi="Arial" w:cs="Arial"/>
          <w:sz w:val="20"/>
        </w:rPr>
        <w:fldChar w:fldCharType="separate"/>
      </w:r>
      <w:r w:rsidR="00661E34">
        <w:rPr>
          <w:rFonts w:ascii="Arial" w:hAnsi="Arial" w:cs="Arial"/>
          <w:sz w:val="20"/>
        </w:rPr>
        <w:t>13.1</w:t>
      </w:r>
      <w:r w:rsidR="009128DE" w:rsidRPr="0006114E">
        <w:rPr>
          <w:rFonts w:ascii="Arial" w:hAnsi="Arial" w:cs="Arial"/>
          <w:sz w:val="20"/>
        </w:rPr>
        <w:fldChar w:fldCharType="end"/>
      </w:r>
      <w:r w:rsidR="009128DE" w:rsidRPr="0006114E">
        <w:rPr>
          <w:rFonts w:ascii="Arial" w:hAnsi="Arial" w:cs="Arial"/>
          <w:sz w:val="20"/>
        </w:rPr>
        <w:t xml:space="preserve"> </w:t>
      </w:r>
      <w:r w:rsidRPr="0006114E">
        <w:rPr>
          <w:rFonts w:ascii="Arial" w:hAnsi="Arial" w:cs="Arial"/>
          <w:sz w:val="20"/>
        </w:rPr>
        <w:t>shall</w:t>
      </w:r>
      <w:r w:rsidR="00220CB3" w:rsidRPr="0006114E">
        <w:rPr>
          <w:rFonts w:ascii="Arial" w:hAnsi="Arial" w:cs="Arial"/>
          <w:sz w:val="20"/>
        </w:rPr>
        <w:t>, unless the</w:t>
      </w:r>
      <w:r w:rsidR="00F27391">
        <w:rPr>
          <w:rFonts w:ascii="Arial" w:hAnsi="Arial" w:cs="Arial"/>
          <w:sz w:val="20"/>
        </w:rPr>
        <w:t xml:space="preserve"> Remuneration</w:t>
      </w:r>
      <w:r w:rsidR="00220CB3" w:rsidRPr="0006114E">
        <w:rPr>
          <w:rFonts w:ascii="Arial" w:hAnsi="Arial" w:cs="Arial"/>
          <w:sz w:val="20"/>
        </w:rPr>
        <w:t xml:space="preserve"> Committee determines otherwise, </w:t>
      </w:r>
      <w:r w:rsidR="0070763B" w:rsidRPr="0006114E">
        <w:rPr>
          <w:rFonts w:ascii="Arial" w:hAnsi="Arial" w:cs="Arial"/>
          <w:sz w:val="20"/>
        </w:rPr>
        <w:t>immediately</w:t>
      </w:r>
      <w:r w:rsidR="00613B9B" w:rsidRPr="0006114E">
        <w:rPr>
          <w:rFonts w:ascii="Arial" w:hAnsi="Arial" w:cs="Arial"/>
          <w:sz w:val="20"/>
        </w:rPr>
        <w:t xml:space="preserve"> cease to have any</w:t>
      </w:r>
      <w:r w:rsidRPr="0006114E">
        <w:rPr>
          <w:rFonts w:ascii="Arial" w:hAnsi="Arial" w:cs="Arial"/>
          <w:sz w:val="20"/>
        </w:rPr>
        <w:t xml:space="preserve"> beneficial interest in the Held Shares</w:t>
      </w:r>
      <w:r w:rsidR="00E7608F" w:rsidRPr="00E7608F">
        <w:rPr>
          <w:rFonts w:ascii="Arial" w:hAnsi="Arial" w:cs="Arial"/>
          <w:sz w:val="20"/>
        </w:rPr>
        <w:t xml:space="preserve"> </w:t>
      </w:r>
      <w:r w:rsidR="004A4FBD">
        <w:rPr>
          <w:rFonts w:ascii="Arial" w:hAnsi="Arial" w:cs="Arial"/>
          <w:sz w:val="20"/>
        </w:rPr>
        <w:t xml:space="preserve">and will </w:t>
      </w:r>
      <w:r w:rsidR="00E7608F">
        <w:rPr>
          <w:rFonts w:ascii="Arial" w:hAnsi="Arial" w:cs="Arial"/>
          <w:sz w:val="20"/>
        </w:rPr>
        <w:t>immediately</w:t>
      </w:r>
      <w:r w:rsidR="00E7608F" w:rsidRPr="00337DD2">
        <w:rPr>
          <w:rFonts w:ascii="Arial" w:hAnsi="Arial" w:cs="Arial"/>
          <w:sz w:val="20"/>
        </w:rPr>
        <w:t xml:space="preserve"> transfer or procure their transfer for nil consideration to such person as the Remuneration Committee </w:t>
      </w:r>
      <w:r w:rsidR="00E7608F">
        <w:rPr>
          <w:rFonts w:ascii="Arial" w:hAnsi="Arial" w:cs="Arial"/>
          <w:sz w:val="20"/>
        </w:rPr>
        <w:t xml:space="preserve">may </w:t>
      </w:r>
      <w:r w:rsidR="00E7608F" w:rsidRPr="00337DD2">
        <w:rPr>
          <w:rFonts w:ascii="Arial" w:hAnsi="Arial" w:cs="Arial"/>
          <w:sz w:val="20"/>
        </w:rPr>
        <w:t>direct</w:t>
      </w:r>
      <w:r w:rsidR="00E7608F" w:rsidRPr="0006114E">
        <w:rPr>
          <w:rFonts w:ascii="Arial" w:hAnsi="Arial" w:cs="Arial"/>
          <w:sz w:val="20"/>
        </w:rPr>
        <w:t>.</w:t>
      </w:r>
    </w:p>
    <w:p w14:paraId="635B5702" w14:textId="77777777" w:rsidR="00B1050A" w:rsidRPr="0006114E" w:rsidRDefault="00B1050A" w:rsidP="006A1CE1">
      <w:pPr>
        <w:pStyle w:val="Untitledsubclause1"/>
        <w:spacing w:line="240" w:lineRule="auto"/>
        <w:rPr>
          <w:rFonts w:ascii="Arial" w:hAnsi="Arial" w:cs="Arial"/>
          <w:sz w:val="20"/>
        </w:rPr>
      </w:pPr>
      <w:r w:rsidRPr="0006114E">
        <w:rPr>
          <w:rFonts w:ascii="Arial" w:hAnsi="Arial" w:cs="Arial"/>
          <w:sz w:val="20"/>
        </w:rPr>
        <w:t>If Shares are acquired by an Award Holder pursuant to an Award during a Holding Period, it is a term of the acquisition of those Shares that the Award Holder will (within 21 days of a request by the Remuneration Committee) execute any documentation and take any action which the Remuneration Committee considers necessary or desirable to enforce the Holding Period.</w:t>
      </w:r>
    </w:p>
    <w:bookmarkEnd w:id="272"/>
    <w:p w14:paraId="56712EA0" w14:textId="47F69BD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"17. Lapse of Awards" \l 1</w:instrText>
      </w:r>
      <w:r w:rsidRPr="0006114E">
        <w:rPr>
          <w:rFonts w:ascii="Arial" w:hAnsi="Arial" w:cs="Arial"/>
          <w:sz w:val="20"/>
        </w:rPr>
        <w:fldChar w:fldCharType="end"/>
      </w:r>
      <w:bookmarkStart w:id="276" w:name="a101498"/>
      <w:bookmarkStart w:id="277" w:name="_Toc105671030"/>
      <w:bookmarkStart w:id="278" w:name="_Toc103273404"/>
      <w:bookmarkStart w:id="279" w:name="_Toc145339787"/>
      <w:bookmarkStart w:id="280" w:name="_Toc131682137"/>
      <w:bookmarkStart w:id="281" w:name="_Toc107828229"/>
      <w:bookmarkStart w:id="282" w:name="_Toc152661658"/>
      <w:bookmarkStart w:id="283" w:name="_Toc159952464"/>
      <w:bookmarkStart w:id="284" w:name="_Toc168490285"/>
      <w:bookmarkStart w:id="285" w:name="_Toc187838776"/>
      <w:bookmarkStart w:id="286" w:name="_Toc188629310"/>
      <w:bookmarkStart w:id="287" w:name="_Toc191381410"/>
      <w:r w:rsidRPr="0006114E">
        <w:rPr>
          <w:rFonts w:ascii="Arial" w:hAnsi="Arial" w:cs="Arial"/>
          <w:sz w:val="20"/>
        </w:rPr>
        <w:t xml:space="preserve">Lapse of </w:t>
      </w:r>
      <w:r w:rsidR="001D71D7" w:rsidRPr="0006114E">
        <w:rPr>
          <w:rFonts w:ascii="Arial" w:hAnsi="Arial" w:cs="Arial"/>
          <w:sz w:val="20"/>
        </w:rPr>
        <w:t>Awards</w:t>
      </w:r>
      <w:bookmarkEnd w:id="276"/>
      <w:bookmarkEnd w:id="277"/>
      <w:bookmarkEnd w:id="278"/>
      <w:bookmarkEnd w:id="279"/>
      <w:bookmarkEnd w:id="280"/>
      <w:bookmarkEnd w:id="281"/>
      <w:bookmarkEnd w:id="282"/>
      <w:bookmarkEnd w:id="283"/>
      <w:bookmarkEnd w:id="284"/>
      <w:bookmarkEnd w:id="285"/>
      <w:bookmarkEnd w:id="286"/>
      <w:bookmarkEnd w:id="287"/>
    </w:p>
    <w:p w14:paraId="56712EA2" w14:textId="69DC8A29" w:rsidR="007B4FB5" w:rsidRPr="0006114E" w:rsidRDefault="007C1259" w:rsidP="006A1CE1">
      <w:pPr>
        <w:pStyle w:val="Untitledsubclause1"/>
        <w:spacing w:line="240" w:lineRule="auto"/>
        <w:rPr>
          <w:rFonts w:ascii="Arial" w:hAnsi="Arial" w:cs="Arial"/>
          <w:sz w:val="20"/>
        </w:rPr>
      </w:pPr>
      <w:bookmarkStart w:id="288" w:name="a966073"/>
      <w:r>
        <w:rPr>
          <w:rFonts w:ascii="Arial" w:hAnsi="Arial" w:cs="Arial"/>
          <w:sz w:val="20"/>
        </w:rPr>
        <w:t>Subject to</w:t>
      </w:r>
      <w:r w:rsidR="002E3661">
        <w:rPr>
          <w:rFonts w:ascii="Arial" w:hAnsi="Arial" w:cs="Arial"/>
          <w:sz w:val="20"/>
        </w:rPr>
        <w:t xml:space="preserve"> rule</w:t>
      </w:r>
      <w:r w:rsidR="00A84E4E">
        <w:rPr>
          <w:rFonts w:ascii="Arial" w:hAnsi="Arial" w:cs="Arial"/>
          <w:sz w:val="20"/>
        </w:rPr>
        <w:t xml:space="preserve"> </w:t>
      </w:r>
      <w:r w:rsidR="00A84E4E">
        <w:rPr>
          <w:rFonts w:ascii="Arial" w:hAnsi="Arial" w:cs="Arial"/>
          <w:sz w:val="20"/>
        </w:rPr>
        <w:fldChar w:fldCharType="begin"/>
      </w:r>
      <w:r w:rsidR="00A84E4E">
        <w:rPr>
          <w:rFonts w:ascii="Arial" w:hAnsi="Arial" w:cs="Arial"/>
          <w:sz w:val="20"/>
        </w:rPr>
        <w:instrText xml:space="preserve"> REF _Ref187838743 \r \h </w:instrText>
      </w:r>
      <w:r w:rsidR="00A84E4E">
        <w:rPr>
          <w:rFonts w:ascii="Arial" w:hAnsi="Arial" w:cs="Arial"/>
          <w:sz w:val="20"/>
        </w:rPr>
      </w:r>
      <w:r w:rsidR="00A84E4E">
        <w:rPr>
          <w:rFonts w:ascii="Arial" w:hAnsi="Arial" w:cs="Arial"/>
          <w:sz w:val="20"/>
        </w:rPr>
        <w:fldChar w:fldCharType="separate"/>
      </w:r>
      <w:r w:rsidR="00661E34">
        <w:rPr>
          <w:rFonts w:ascii="Arial" w:hAnsi="Arial" w:cs="Arial"/>
          <w:sz w:val="20"/>
        </w:rPr>
        <w:t>14.2</w:t>
      </w:r>
      <w:r w:rsidR="00A84E4E">
        <w:rPr>
          <w:rFonts w:ascii="Arial" w:hAnsi="Arial" w:cs="Arial"/>
          <w:sz w:val="20"/>
        </w:rPr>
        <w:fldChar w:fldCharType="end"/>
      </w:r>
      <w:r>
        <w:rPr>
          <w:rFonts w:ascii="Arial" w:hAnsi="Arial" w:cs="Arial"/>
          <w:sz w:val="20"/>
        </w:rPr>
        <w:t>, i</w:t>
      </w:r>
      <w:r w:rsidR="00D8597D" w:rsidRPr="0006114E">
        <w:rPr>
          <w:rFonts w:ascii="Arial" w:hAnsi="Arial" w:cs="Arial"/>
          <w:sz w:val="20"/>
        </w:rPr>
        <w:t xml:space="preserve">n addition to any lapse provisions elsewhere in the rules, </w:t>
      </w:r>
      <w:r w:rsidR="003708DF" w:rsidRPr="0006114E">
        <w:rPr>
          <w:rFonts w:ascii="Arial" w:hAnsi="Arial" w:cs="Arial"/>
          <w:sz w:val="20"/>
        </w:rPr>
        <w:t>a</w:t>
      </w:r>
      <w:r w:rsidR="007B4FB5" w:rsidRPr="0006114E">
        <w:rPr>
          <w:rFonts w:ascii="Arial" w:hAnsi="Arial" w:cs="Arial"/>
          <w:sz w:val="20"/>
        </w:rPr>
        <w:t>n Award shall lapse</w:t>
      </w:r>
      <w:r w:rsidR="0076287C" w:rsidRPr="0006114E">
        <w:rPr>
          <w:rFonts w:ascii="Arial" w:hAnsi="Arial" w:cs="Arial"/>
          <w:sz w:val="20"/>
        </w:rPr>
        <w:t xml:space="preserve"> </w:t>
      </w:r>
      <w:r w:rsidR="00D8597D" w:rsidRPr="0006114E">
        <w:rPr>
          <w:rFonts w:ascii="Arial" w:hAnsi="Arial" w:cs="Arial"/>
          <w:sz w:val="20"/>
        </w:rPr>
        <w:t>on</w:t>
      </w:r>
      <w:r w:rsidR="00963BC3">
        <w:rPr>
          <w:rFonts w:ascii="Arial" w:hAnsi="Arial" w:cs="Arial"/>
          <w:sz w:val="20"/>
        </w:rPr>
        <w:t xml:space="preserve"> the earliest of</w:t>
      </w:r>
      <w:r w:rsidR="00CC1642">
        <w:rPr>
          <w:rFonts w:ascii="Arial" w:hAnsi="Arial" w:cs="Arial"/>
          <w:sz w:val="20"/>
        </w:rPr>
        <w:t xml:space="preserve"> the following</w:t>
      </w:r>
      <w:r w:rsidR="00D8597D" w:rsidRPr="0006114E">
        <w:rPr>
          <w:rFonts w:ascii="Arial" w:hAnsi="Arial" w:cs="Arial"/>
          <w:sz w:val="20"/>
        </w:rPr>
        <w:t>:</w:t>
      </w:r>
      <w:bookmarkEnd w:id="288"/>
    </w:p>
    <w:p w14:paraId="2D38A08D" w14:textId="054C1BDB" w:rsidR="00882266" w:rsidRPr="0006114E" w:rsidRDefault="00AE4268" w:rsidP="006A1CE1">
      <w:pPr>
        <w:pStyle w:val="Untitledsubclause2"/>
        <w:spacing w:line="240" w:lineRule="auto"/>
        <w:rPr>
          <w:rFonts w:ascii="Arial" w:hAnsi="Arial" w:cs="Arial"/>
          <w:sz w:val="20"/>
        </w:rPr>
      </w:pPr>
      <w:bookmarkStart w:id="289" w:name="a741280"/>
      <w:r w:rsidRPr="0006114E">
        <w:rPr>
          <w:rFonts w:ascii="Arial" w:hAnsi="Arial" w:cs="Arial"/>
          <w:sz w:val="20"/>
        </w:rPr>
        <w:t xml:space="preserve">save in respect of the transmission of an Award to an Award Holder's personal representatives on the Award Holder’s death, </w:t>
      </w:r>
      <w:r w:rsidR="00882266" w:rsidRPr="0006114E">
        <w:rPr>
          <w:rFonts w:ascii="Arial" w:hAnsi="Arial" w:cs="Arial"/>
          <w:sz w:val="20"/>
        </w:rPr>
        <w:t>the Award Holder attempts to transfer</w:t>
      </w:r>
      <w:r w:rsidRPr="0006114E">
        <w:rPr>
          <w:rFonts w:ascii="Arial" w:hAnsi="Arial" w:cs="Arial"/>
          <w:sz w:val="20"/>
        </w:rPr>
        <w:t xml:space="preserve">, </w:t>
      </w:r>
      <w:r w:rsidR="00882266" w:rsidRPr="0006114E">
        <w:rPr>
          <w:rFonts w:ascii="Arial" w:hAnsi="Arial" w:cs="Arial"/>
          <w:sz w:val="20"/>
        </w:rPr>
        <w:t>assign,</w:t>
      </w:r>
      <w:r w:rsidR="009B3C6F" w:rsidRPr="0006114E">
        <w:rPr>
          <w:rFonts w:ascii="Arial" w:hAnsi="Arial" w:cs="Arial"/>
          <w:sz w:val="20"/>
        </w:rPr>
        <w:t xml:space="preserve"> encumber, dispose of,</w:t>
      </w:r>
      <w:r w:rsidR="00882266" w:rsidRPr="0006114E">
        <w:rPr>
          <w:rFonts w:ascii="Arial" w:hAnsi="Arial" w:cs="Arial"/>
          <w:sz w:val="20"/>
        </w:rPr>
        <w:t xml:space="preserve"> or create any charge or other security interest over, an Award (or any right arising under it)</w:t>
      </w:r>
      <w:r w:rsidR="009B3C6F" w:rsidRPr="0006114E">
        <w:rPr>
          <w:rFonts w:ascii="Arial" w:hAnsi="Arial" w:cs="Arial"/>
          <w:sz w:val="20"/>
        </w:rPr>
        <w:t>;</w:t>
      </w:r>
    </w:p>
    <w:p w14:paraId="56712EA3" w14:textId="59625A8C" w:rsidR="00986FD4"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the </w:t>
      </w:r>
      <w:r w:rsidR="003D11C8" w:rsidRPr="0006114E">
        <w:rPr>
          <w:rFonts w:ascii="Arial" w:hAnsi="Arial" w:cs="Arial"/>
          <w:sz w:val="20"/>
        </w:rPr>
        <w:t>Vesting Date</w:t>
      </w:r>
      <w:r w:rsidRPr="0006114E">
        <w:rPr>
          <w:rFonts w:ascii="Arial" w:hAnsi="Arial" w:cs="Arial"/>
          <w:sz w:val="20"/>
        </w:rPr>
        <w:t xml:space="preserve">, to the extent the </w:t>
      </w:r>
      <w:r w:rsidR="001D71D7" w:rsidRPr="0006114E">
        <w:rPr>
          <w:rFonts w:ascii="Arial" w:hAnsi="Arial" w:cs="Arial"/>
          <w:sz w:val="20"/>
        </w:rPr>
        <w:t>Award</w:t>
      </w:r>
      <w:r w:rsidRPr="0006114E">
        <w:rPr>
          <w:rFonts w:ascii="Arial" w:hAnsi="Arial" w:cs="Arial"/>
          <w:sz w:val="20"/>
        </w:rPr>
        <w:t xml:space="preserve"> </w:t>
      </w:r>
      <w:r w:rsidR="00F30B0B" w:rsidRPr="0006114E">
        <w:rPr>
          <w:rFonts w:ascii="Arial" w:hAnsi="Arial" w:cs="Arial"/>
          <w:sz w:val="20"/>
        </w:rPr>
        <w:t>does not Vest</w:t>
      </w:r>
      <w:r w:rsidRPr="0006114E">
        <w:rPr>
          <w:rFonts w:ascii="Arial" w:hAnsi="Arial" w:cs="Arial"/>
          <w:sz w:val="20"/>
        </w:rPr>
        <w:t>;</w:t>
      </w:r>
    </w:p>
    <w:p w14:paraId="04FAE432" w14:textId="718CB3D7" w:rsidR="0032344F" w:rsidRPr="00323A9D" w:rsidRDefault="00F05F02" w:rsidP="001A04DC">
      <w:pPr>
        <w:pStyle w:val="Untitledsubclause2"/>
        <w:spacing w:line="240" w:lineRule="auto"/>
        <w:rPr>
          <w:rFonts w:ascii="Arial" w:hAnsi="Arial" w:cs="Arial"/>
          <w:sz w:val="20"/>
        </w:rPr>
      </w:pPr>
      <w:r w:rsidRPr="00323A9D">
        <w:rPr>
          <w:rFonts w:ascii="Arial" w:hAnsi="Arial" w:cs="Arial"/>
          <w:sz w:val="20"/>
        </w:rPr>
        <w:t>in respect of Options, any lapse date specified in the Award Certificate (</w:t>
      </w:r>
      <w:r w:rsidR="00323A9D" w:rsidRPr="00323A9D">
        <w:rPr>
          <w:rFonts w:ascii="Arial" w:hAnsi="Arial" w:cs="Arial"/>
          <w:sz w:val="20"/>
        </w:rPr>
        <w:t>which shall not be later than the tenth anniversary of the Grant Date</w:t>
      </w:r>
      <w:r w:rsidR="00E20753">
        <w:rPr>
          <w:rFonts w:ascii="Arial" w:hAnsi="Arial" w:cs="Arial"/>
          <w:sz w:val="20"/>
        </w:rPr>
        <w:t>)</w:t>
      </w:r>
      <w:r w:rsidR="00323A9D" w:rsidRPr="00323A9D">
        <w:rPr>
          <w:rFonts w:ascii="Arial" w:hAnsi="Arial" w:cs="Arial"/>
          <w:sz w:val="20"/>
        </w:rPr>
        <w:t xml:space="preserve"> </w:t>
      </w:r>
      <w:r w:rsidRPr="00323A9D">
        <w:rPr>
          <w:rFonts w:ascii="Arial" w:hAnsi="Arial" w:cs="Arial"/>
          <w:sz w:val="20"/>
        </w:rPr>
        <w:t>and if no lapse date is specified, the Option shall lapse on the tenth anniversary of the Grant Date, unless it lapses earlier in accordance with these rules</w:t>
      </w:r>
      <w:r w:rsidR="0032344F" w:rsidRPr="00323A9D">
        <w:rPr>
          <w:rFonts w:ascii="Arial" w:hAnsi="Arial" w:cs="Arial"/>
          <w:sz w:val="20"/>
        </w:rPr>
        <w:t>;</w:t>
      </w:r>
    </w:p>
    <w:p w14:paraId="56712EA6" w14:textId="0FD0D712" w:rsidR="007B4FB5" w:rsidRPr="0006114E" w:rsidRDefault="00D8597D" w:rsidP="006A1CE1">
      <w:pPr>
        <w:pStyle w:val="Untitledsubclause2"/>
        <w:spacing w:line="240" w:lineRule="auto"/>
        <w:rPr>
          <w:rFonts w:ascii="Arial" w:hAnsi="Arial" w:cs="Arial"/>
          <w:sz w:val="20"/>
        </w:rPr>
      </w:pPr>
      <w:bookmarkStart w:id="290" w:name="a475658"/>
      <w:bookmarkEnd w:id="289"/>
      <w:r w:rsidRPr="0006114E">
        <w:rPr>
          <w:rFonts w:ascii="Arial" w:hAnsi="Arial" w:cs="Arial"/>
          <w:sz w:val="20"/>
        </w:rPr>
        <w:t xml:space="preserve">when required by and to the extent necessary to give effect to any reduction or cancellation under </w:t>
      </w:r>
      <w:r w:rsidRPr="0006114E">
        <w:rPr>
          <w:rFonts w:ascii="Arial" w:hAnsi="Arial" w:cs="Arial"/>
          <w:sz w:val="20"/>
        </w:rPr>
        <w:fldChar w:fldCharType="begin"/>
      </w:r>
      <w:r w:rsidRPr="0006114E">
        <w:rPr>
          <w:rFonts w:ascii="Arial" w:hAnsi="Arial" w:cs="Arial"/>
          <w:sz w:val="20"/>
        </w:rPr>
        <w:instrText>PAGEREF a391918\#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a391918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9</w:t>
      </w:r>
      <w:r w:rsidRPr="0006114E">
        <w:rPr>
          <w:rFonts w:ascii="Arial" w:hAnsi="Arial" w:cs="Arial"/>
          <w:sz w:val="20"/>
        </w:rPr>
        <w:fldChar w:fldCharType="end"/>
      </w:r>
      <w:r w:rsidRPr="0006114E">
        <w:rPr>
          <w:rFonts w:ascii="Arial" w:hAnsi="Arial" w:cs="Arial"/>
          <w:sz w:val="20"/>
        </w:rPr>
        <w:t>;</w:t>
      </w:r>
      <w:bookmarkEnd w:id="290"/>
    </w:p>
    <w:p w14:paraId="7F2B3109" w14:textId="39EDBA1A" w:rsidR="004629E2" w:rsidRPr="0006114E" w:rsidRDefault="00D85C65" w:rsidP="006A1CE1">
      <w:pPr>
        <w:pStyle w:val="Untitledsubclause2"/>
        <w:spacing w:line="240" w:lineRule="auto"/>
        <w:rPr>
          <w:rFonts w:ascii="Arial" w:hAnsi="Arial" w:cs="Arial"/>
          <w:sz w:val="20"/>
        </w:rPr>
      </w:pPr>
      <w:bookmarkStart w:id="291" w:name="a672648"/>
      <w:r w:rsidRPr="0006114E">
        <w:rPr>
          <w:rFonts w:ascii="Arial" w:hAnsi="Arial" w:cs="Arial"/>
          <w:sz w:val="20"/>
        </w:rPr>
        <w:t xml:space="preserve">the date the Award Holder becomes a Good Leaver, </w:t>
      </w:r>
      <w:r w:rsidR="004629E2" w:rsidRPr="0006114E">
        <w:rPr>
          <w:rFonts w:ascii="Arial" w:hAnsi="Arial" w:cs="Arial"/>
          <w:sz w:val="20"/>
        </w:rPr>
        <w:t xml:space="preserve">to the extent the </w:t>
      </w:r>
      <w:r w:rsidR="001D71D7" w:rsidRPr="0006114E">
        <w:rPr>
          <w:rFonts w:ascii="Arial" w:hAnsi="Arial" w:cs="Arial"/>
          <w:sz w:val="20"/>
        </w:rPr>
        <w:t>Award</w:t>
      </w:r>
      <w:r w:rsidR="004629E2" w:rsidRPr="0006114E">
        <w:rPr>
          <w:rFonts w:ascii="Arial" w:hAnsi="Arial" w:cs="Arial"/>
          <w:sz w:val="20"/>
        </w:rPr>
        <w:t xml:space="preserve"> does not continue under rule </w:t>
      </w:r>
      <w:r w:rsidR="004629E2" w:rsidRPr="0006114E">
        <w:rPr>
          <w:rFonts w:ascii="Arial" w:hAnsi="Arial" w:cs="Arial"/>
          <w:sz w:val="20"/>
        </w:rPr>
        <w:fldChar w:fldCharType="begin"/>
      </w:r>
      <w:r w:rsidR="004629E2" w:rsidRPr="0006114E">
        <w:rPr>
          <w:rFonts w:ascii="Arial" w:hAnsi="Arial" w:cs="Arial"/>
          <w:sz w:val="20"/>
        </w:rPr>
        <w:instrText xml:space="preserve"> REF _Ref111219374 \r \h </w:instrText>
      </w:r>
      <w:r w:rsidR="004C1A6B" w:rsidRPr="0006114E">
        <w:rPr>
          <w:rFonts w:ascii="Arial" w:hAnsi="Arial" w:cs="Arial"/>
          <w:sz w:val="20"/>
        </w:rPr>
        <w:instrText xml:space="preserve"> \* MERGEFORMAT </w:instrText>
      </w:r>
      <w:r w:rsidR="004629E2" w:rsidRPr="0006114E">
        <w:rPr>
          <w:rFonts w:ascii="Arial" w:hAnsi="Arial" w:cs="Arial"/>
          <w:sz w:val="20"/>
        </w:rPr>
      </w:r>
      <w:r w:rsidR="004629E2" w:rsidRPr="0006114E">
        <w:rPr>
          <w:rFonts w:ascii="Arial" w:hAnsi="Arial" w:cs="Arial"/>
          <w:sz w:val="20"/>
        </w:rPr>
        <w:fldChar w:fldCharType="separate"/>
      </w:r>
      <w:r w:rsidR="00661E34">
        <w:rPr>
          <w:rFonts w:ascii="Arial" w:hAnsi="Arial" w:cs="Arial"/>
          <w:sz w:val="20"/>
        </w:rPr>
        <w:t>15.1</w:t>
      </w:r>
      <w:r w:rsidR="004629E2" w:rsidRPr="0006114E">
        <w:rPr>
          <w:rFonts w:ascii="Arial" w:hAnsi="Arial" w:cs="Arial"/>
          <w:sz w:val="20"/>
        </w:rPr>
        <w:fldChar w:fldCharType="end"/>
      </w:r>
      <w:r w:rsidR="004629E2" w:rsidRPr="0006114E">
        <w:rPr>
          <w:rFonts w:ascii="Arial" w:hAnsi="Arial" w:cs="Arial"/>
          <w:sz w:val="20"/>
        </w:rPr>
        <w:t>;</w:t>
      </w:r>
    </w:p>
    <w:p w14:paraId="2EBA0155" w14:textId="2DAD4AC1" w:rsidR="00D85C65" w:rsidRPr="0006114E" w:rsidRDefault="0053027A" w:rsidP="006A1CE1">
      <w:pPr>
        <w:pStyle w:val="Untitledsubclause2"/>
        <w:spacing w:line="240" w:lineRule="auto"/>
        <w:rPr>
          <w:rFonts w:ascii="Arial" w:hAnsi="Arial" w:cs="Arial"/>
          <w:sz w:val="20"/>
        </w:rPr>
      </w:pPr>
      <w:r>
        <w:rPr>
          <w:rFonts w:ascii="Arial" w:hAnsi="Arial" w:cs="Arial"/>
          <w:sz w:val="20"/>
        </w:rPr>
        <w:t xml:space="preserve">where </w:t>
      </w:r>
      <w:r w:rsidR="00D85C65" w:rsidRPr="0006114E">
        <w:rPr>
          <w:rFonts w:ascii="Arial" w:hAnsi="Arial" w:cs="Arial"/>
          <w:sz w:val="20"/>
        </w:rPr>
        <w:t xml:space="preserve">rule </w:t>
      </w:r>
      <w:r w:rsidR="00D85C65" w:rsidRPr="0006114E">
        <w:rPr>
          <w:rFonts w:ascii="Arial" w:hAnsi="Arial" w:cs="Arial"/>
          <w:sz w:val="20"/>
        </w:rPr>
        <w:fldChar w:fldCharType="begin"/>
      </w:r>
      <w:r w:rsidR="00D85C65" w:rsidRPr="0006114E">
        <w:rPr>
          <w:rFonts w:ascii="Arial" w:hAnsi="Arial" w:cs="Arial"/>
          <w:sz w:val="20"/>
        </w:rPr>
        <w:instrText xml:space="preserve"> REF _Ref79504567 \r \h </w:instrText>
      </w:r>
      <w:r w:rsidR="004C1A6B" w:rsidRPr="0006114E">
        <w:rPr>
          <w:rFonts w:ascii="Arial" w:hAnsi="Arial" w:cs="Arial"/>
          <w:sz w:val="20"/>
        </w:rPr>
        <w:instrText xml:space="preserve"> \* MERGEFORMAT </w:instrText>
      </w:r>
      <w:r w:rsidR="00D85C65" w:rsidRPr="0006114E">
        <w:rPr>
          <w:rFonts w:ascii="Arial" w:hAnsi="Arial" w:cs="Arial"/>
          <w:sz w:val="20"/>
        </w:rPr>
      </w:r>
      <w:r w:rsidR="00D85C65" w:rsidRPr="0006114E">
        <w:rPr>
          <w:rFonts w:ascii="Arial" w:hAnsi="Arial" w:cs="Arial"/>
          <w:sz w:val="20"/>
        </w:rPr>
        <w:fldChar w:fldCharType="separate"/>
      </w:r>
      <w:r w:rsidR="00661E34">
        <w:rPr>
          <w:rFonts w:ascii="Arial" w:hAnsi="Arial" w:cs="Arial"/>
          <w:sz w:val="20"/>
        </w:rPr>
        <w:t>15.2</w:t>
      </w:r>
      <w:r w:rsidR="00D85C65" w:rsidRPr="0006114E">
        <w:rPr>
          <w:rFonts w:ascii="Arial" w:hAnsi="Arial" w:cs="Arial"/>
          <w:sz w:val="20"/>
        </w:rPr>
        <w:fldChar w:fldCharType="end"/>
      </w:r>
      <w:r>
        <w:rPr>
          <w:rFonts w:ascii="Arial" w:hAnsi="Arial" w:cs="Arial"/>
          <w:sz w:val="20"/>
        </w:rPr>
        <w:t xml:space="preserve"> applies</w:t>
      </w:r>
      <w:r w:rsidR="00D85C65" w:rsidRPr="0006114E">
        <w:rPr>
          <w:rFonts w:ascii="Arial" w:hAnsi="Arial" w:cs="Arial"/>
          <w:sz w:val="20"/>
        </w:rPr>
        <w:t xml:space="preserve">, on the </w:t>
      </w:r>
      <w:r w:rsidR="005D5307">
        <w:rPr>
          <w:rFonts w:ascii="Arial" w:hAnsi="Arial" w:cs="Arial"/>
          <w:sz w:val="20"/>
        </w:rPr>
        <w:t xml:space="preserve">earliest of the </w:t>
      </w:r>
      <w:r w:rsidR="00D85C65" w:rsidRPr="0006114E">
        <w:rPr>
          <w:rFonts w:ascii="Arial" w:hAnsi="Arial" w:cs="Arial"/>
          <w:sz w:val="20"/>
        </w:rPr>
        <w:t>date</w:t>
      </w:r>
      <w:r w:rsidR="005D5307">
        <w:rPr>
          <w:rFonts w:ascii="Arial" w:hAnsi="Arial" w:cs="Arial"/>
          <w:sz w:val="20"/>
        </w:rPr>
        <w:t>s</w:t>
      </w:r>
      <w:r w:rsidR="00D85C65" w:rsidRPr="0006114E">
        <w:rPr>
          <w:rFonts w:ascii="Arial" w:hAnsi="Arial" w:cs="Arial"/>
          <w:sz w:val="20"/>
        </w:rPr>
        <w:t xml:space="preserve"> specified in that rule</w:t>
      </w:r>
      <w:r w:rsidR="005D5307">
        <w:rPr>
          <w:rFonts w:ascii="Arial" w:hAnsi="Arial" w:cs="Arial"/>
          <w:sz w:val="20"/>
        </w:rPr>
        <w:t xml:space="preserve">, </w:t>
      </w:r>
      <w:r w:rsidR="005D5307" w:rsidRPr="0006114E">
        <w:rPr>
          <w:rFonts w:ascii="Arial" w:hAnsi="Arial" w:cs="Arial"/>
          <w:sz w:val="20"/>
        </w:rPr>
        <w:t>to the extent the Award does not Vest</w:t>
      </w:r>
      <w:r w:rsidR="00D85C65" w:rsidRPr="0006114E">
        <w:rPr>
          <w:rFonts w:ascii="Arial" w:hAnsi="Arial" w:cs="Arial"/>
          <w:sz w:val="20"/>
        </w:rPr>
        <w:t>;</w:t>
      </w:r>
    </w:p>
    <w:p w14:paraId="56712EA7" w14:textId="6FCA0494" w:rsidR="007B4FB5" w:rsidRPr="0006114E" w:rsidRDefault="00D8597D" w:rsidP="006A1CE1">
      <w:pPr>
        <w:pStyle w:val="Untitledsubclause2"/>
        <w:spacing w:line="240" w:lineRule="auto"/>
        <w:rPr>
          <w:rFonts w:ascii="Arial" w:hAnsi="Arial" w:cs="Arial"/>
          <w:sz w:val="20"/>
        </w:rPr>
      </w:pPr>
      <w:r w:rsidRPr="0006114E">
        <w:rPr>
          <w:rFonts w:ascii="Arial" w:hAnsi="Arial" w:cs="Arial"/>
          <w:sz w:val="20"/>
        </w:rPr>
        <w:t xml:space="preserve">in respect of Options, </w:t>
      </w:r>
      <w:r w:rsidR="00E079CC" w:rsidRPr="0006114E">
        <w:rPr>
          <w:rFonts w:ascii="Arial" w:hAnsi="Arial" w:cs="Arial"/>
          <w:sz w:val="20"/>
        </w:rPr>
        <w:t xml:space="preserve">to the extent unexercised, at the end of the </w:t>
      </w:r>
      <w:r w:rsidR="00134704" w:rsidRPr="0006114E">
        <w:rPr>
          <w:rFonts w:ascii="Arial" w:hAnsi="Arial" w:cs="Arial"/>
          <w:sz w:val="20"/>
        </w:rPr>
        <w:t xml:space="preserve">applicable </w:t>
      </w:r>
      <w:r w:rsidR="00E079CC" w:rsidRPr="0006114E">
        <w:rPr>
          <w:rFonts w:ascii="Arial" w:hAnsi="Arial" w:cs="Arial"/>
          <w:sz w:val="20"/>
        </w:rPr>
        <w:t>period under rule</w:t>
      </w:r>
      <w:r w:rsidR="00134704" w:rsidRPr="0006114E">
        <w:rPr>
          <w:rFonts w:ascii="Arial" w:hAnsi="Arial" w:cs="Arial"/>
          <w:sz w:val="20"/>
        </w:rPr>
        <w:t xml:space="preserve"> </w:t>
      </w:r>
      <w:r w:rsidR="00C5315D" w:rsidRPr="0006114E">
        <w:rPr>
          <w:rFonts w:ascii="Arial" w:hAnsi="Arial" w:cs="Arial"/>
          <w:sz w:val="20"/>
        </w:rPr>
        <w:fldChar w:fldCharType="begin"/>
      </w:r>
      <w:r w:rsidR="00C5315D" w:rsidRPr="0006114E">
        <w:rPr>
          <w:rFonts w:ascii="Arial" w:hAnsi="Arial" w:cs="Arial"/>
          <w:sz w:val="20"/>
        </w:rPr>
        <w:instrText xml:space="preserve"> REF _Ref130804921 \r \h </w:instrText>
      </w:r>
      <w:r w:rsidR="004C1A6B" w:rsidRPr="0006114E">
        <w:rPr>
          <w:rFonts w:ascii="Arial" w:hAnsi="Arial" w:cs="Arial"/>
          <w:sz w:val="20"/>
        </w:rPr>
        <w:instrText xml:space="preserve"> \* MERGEFORMAT </w:instrText>
      </w:r>
      <w:r w:rsidR="00C5315D" w:rsidRPr="0006114E">
        <w:rPr>
          <w:rFonts w:ascii="Arial" w:hAnsi="Arial" w:cs="Arial"/>
          <w:sz w:val="20"/>
        </w:rPr>
      </w:r>
      <w:r w:rsidR="00C5315D" w:rsidRPr="0006114E">
        <w:rPr>
          <w:rFonts w:ascii="Arial" w:hAnsi="Arial" w:cs="Arial"/>
          <w:sz w:val="20"/>
        </w:rPr>
        <w:fldChar w:fldCharType="separate"/>
      </w:r>
      <w:r w:rsidR="00661E34">
        <w:rPr>
          <w:rFonts w:ascii="Arial" w:hAnsi="Arial" w:cs="Arial"/>
          <w:sz w:val="20"/>
        </w:rPr>
        <w:t>15.3</w:t>
      </w:r>
      <w:r w:rsidR="00C5315D" w:rsidRPr="0006114E">
        <w:rPr>
          <w:rFonts w:ascii="Arial" w:hAnsi="Arial" w:cs="Arial"/>
          <w:sz w:val="20"/>
        </w:rPr>
        <w:fldChar w:fldCharType="end"/>
      </w:r>
      <w:r w:rsidR="007B4FB5" w:rsidRPr="0006114E">
        <w:rPr>
          <w:rFonts w:ascii="Arial" w:hAnsi="Arial" w:cs="Arial"/>
          <w:sz w:val="20"/>
        </w:rPr>
        <w:t>;</w:t>
      </w:r>
      <w:bookmarkEnd w:id="291"/>
    </w:p>
    <w:p w14:paraId="64C99CBB" w14:textId="77777777" w:rsidR="00D85C65" w:rsidRPr="0006114E" w:rsidRDefault="00D85C65" w:rsidP="006A1CE1">
      <w:pPr>
        <w:pStyle w:val="Untitledsubclause2"/>
        <w:spacing w:line="240" w:lineRule="auto"/>
        <w:rPr>
          <w:rFonts w:ascii="Arial" w:hAnsi="Arial" w:cs="Arial"/>
          <w:sz w:val="20"/>
        </w:rPr>
      </w:pPr>
      <w:bookmarkStart w:id="292" w:name="a685266"/>
      <w:r w:rsidRPr="0006114E">
        <w:rPr>
          <w:rFonts w:ascii="Arial" w:hAnsi="Arial" w:cs="Arial"/>
          <w:sz w:val="20"/>
        </w:rPr>
        <w:t>the date the Award Holder becomes a Bad Leaver;</w:t>
      </w:r>
    </w:p>
    <w:p w14:paraId="0CAD5AEF" w14:textId="14161DAD" w:rsidR="003244C4" w:rsidRPr="0006114E" w:rsidRDefault="003244C4" w:rsidP="006A1CE1">
      <w:pPr>
        <w:pStyle w:val="Untitledsubclause2"/>
        <w:spacing w:line="240" w:lineRule="auto"/>
        <w:rPr>
          <w:rFonts w:ascii="Arial" w:hAnsi="Arial" w:cs="Arial"/>
          <w:sz w:val="20"/>
        </w:rPr>
      </w:pPr>
      <w:bookmarkStart w:id="293" w:name="a546409"/>
      <w:bookmarkEnd w:id="292"/>
      <w:r w:rsidRPr="0006114E">
        <w:rPr>
          <w:rFonts w:ascii="Arial" w:hAnsi="Arial" w:cs="Arial"/>
          <w:sz w:val="20"/>
        </w:rPr>
        <w:t xml:space="preserve">where </w:t>
      </w:r>
      <w:r w:rsidRPr="0006114E">
        <w:rPr>
          <w:rFonts w:ascii="Arial" w:hAnsi="Arial" w:cs="Arial"/>
          <w:sz w:val="20"/>
        </w:rPr>
        <w:fldChar w:fldCharType="begin"/>
      </w:r>
      <w:r w:rsidRPr="0006114E">
        <w:rPr>
          <w:rFonts w:ascii="Arial" w:hAnsi="Arial" w:cs="Arial"/>
          <w:sz w:val="20"/>
        </w:rPr>
        <w:instrText>PAGEREF a1037750\#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17</w:t>
      </w:r>
      <w:r w:rsidRPr="0006114E">
        <w:rPr>
          <w:rFonts w:ascii="Arial" w:hAnsi="Arial" w:cs="Arial"/>
          <w:sz w:val="20"/>
        </w:rPr>
        <w:fldChar w:fldCharType="end"/>
      </w:r>
      <w:r w:rsidRPr="0006114E">
        <w:rPr>
          <w:rFonts w:ascii="Arial" w:hAnsi="Arial" w:cs="Arial"/>
          <w:sz w:val="20"/>
        </w:rPr>
        <w:t xml:space="preserve"> applies, the relevant time specified for the lapse of the </w:t>
      </w:r>
      <w:r w:rsidR="001D71D7" w:rsidRPr="0006114E">
        <w:rPr>
          <w:rFonts w:ascii="Arial" w:hAnsi="Arial" w:cs="Arial"/>
          <w:sz w:val="20"/>
        </w:rPr>
        <w:t>Award</w:t>
      </w:r>
      <w:r w:rsidRPr="0006114E">
        <w:rPr>
          <w:rFonts w:ascii="Arial" w:hAnsi="Arial" w:cs="Arial"/>
          <w:sz w:val="20"/>
        </w:rPr>
        <w:t xml:space="preserve"> under that </w:t>
      </w:r>
      <w:bookmarkEnd w:id="293"/>
      <w:r w:rsidRPr="0006114E">
        <w:rPr>
          <w:rFonts w:ascii="Arial" w:hAnsi="Arial" w:cs="Arial"/>
          <w:sz w:val="20"/>
        </w:rPr>
        <w:t>rule;</w:t>
      </w:r>
    </w:p>
    <w:p w14:paraId="56712EAB" w14:textId="347B1012" w:rsidR="007B4FB5" w:rsidRPr="0006114E" w:rsidRDefault="00D8597D" w:rsidP="006A1CE1">
      <w:pPr>
        <w:pStyle w:val="Untitledsubclause2"/>
        <w:spacing w:line="240" w:lineRule="auto"/>
        <w:rPr>
          <w:rFonts w:ascii="Arial" w:hAnsi="Arial" w:cs="Arial"/>
          <w:sz w:val="20"/>
        </w:rPr>
      </w:pPr>
      <w:bookmarkStart w:id="294" w:name="a596889"/>
      <w:r w:rsidRPr="0006114E">
        <w:rPr>
          <w:rFonts w:ascii="Arial" w:hAnsi="Arial" w:cs="Arial"/>
          <w:sz w:val="20"/>
        </w:rPr>
        <w:t xml:space="preserve">if the </w:t>
      </w:r>
      <w:r w:rsidR="00B00B6F" w:rsidRPr="0006114E">
        <w:rPr>
          <w:rFonts w:ascii="Arial" w:hAnsi="Arial" w:cs="Arial"/>
          <w:sz w:val="20"/>
        </w:rPr>
        <w:t>Remuneration Committee</w:t>
      </w:r>
      <w:r w:rsidRPr="0006114E">
        <w:rPr>
          <w:rFonts w:ascii="Arial" w:hAnsi="Arial" w:cs="Arial"/>
          <w:sz w:val="20"/>
        </w:rPr>
        <w:t xml:space="preserve"> so determines under </w:t>
      </w:r>
      <w:r w:rsidRPr="0006114E">
        <w:rPr>
          <w:rFonts w:ascii="Arial" w:hAnsi="Arial" w:cs="Arial"/>
          <w:sz w:val="20"/>
        </w:rPr>
        <w:fldChar w:fldCharType="begin"/>
      </w:r>
      <w:r w:rsidRPr="0006114E">
        <w:rPr>
          <w:rFonts w:ascii="Arial" w:hAnsi="Arial" w:cs="Arial"/>
          <w:sz w:val="20"/>
        </w:rPr>
        <w:instrText>PAGEREF a919478\#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rPr>
        <w:instrText>REF a919478 \h \w</w:instrText>
      </w:r>
      <w:r w:rsidR="0037270F"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rPr>
        <w:t>18.1</w:t>
      </w:r>
      <w:r w:rsidRPr="0006114E">
        <w:rPr>
          <w:rFonts w:ascii="Arial" w:hAnsi="Arial" w:cs="Arial"/>
          <w:sz w:val="20"/>
        </w:rPr>
        <w:fldChar w:fldCharType="end"/>
      </w:r>
      <w:r w:rsidRPr="0006114E">
        <w:rPr>
          <w:rFonts w:ascii="Arial" w:hAnsi="Arial" w:cs="Arial"/>
          <w:sz w:val="20"/>
        </w:rPr>
        <w:t>;</w:t>
      </w:r>
      <w:bookmarkEnd w:id="294"/>
    </w:p>
    <w:p w14:paraId="3F38108E" w14:textId="2E112272" w:rsidR="002B3D13" w:rsidRPr="0006114E" w:rsidRDefault="008337DC" w:rsidP="006A1CE1">
      <w:pPr>
        <w:pStyle w:val="Untitledsubclause2"/>
        <w:spacing w:line="240" w:lineRule="auto"/>
        <w:rPr>
          <w:rFonts w:ascii="Arial" w:hAnsi="Arial" w:cs="Arial"/>
          <w:sz w:val="20"/>
        </w:rPr>
      </w:pPr>
      <w:r w:rsidRPr="0006114E">
        <w:rPr>
          <w:rFonts w:ascii="Arial" w:hAnsi="Arial" w:cs="Arial"/>
          <w:sz w:val="20"/>
        </w:rPr>
        <w:t xml:space="preserve">unless the Remuneration Committee decides otherwise, </w:t>
      </w:r>
      <w:r w:rsidRPr="00154E06">
        <w:rPr>
          <w:rFonts w:ascii="Arial" w:hAnsi="Arial" w:cs="Arial"/>
          <w:sz w:val="20"/>
        </w:rPr>
        <w:t xml:space="preserve">the deadline specified in the Acceptance Notice, if the </w:t>
      </w:r>
      <w:r>
        <w:rPr>
          <w:rFonts w:ascii="Arial" w:hAnsi="Arial" w:cs="Arial"/>
          <w:sz w:val="20"/>
        </w:rPr>
        <w:t>Award</w:t>
      </w:r>
      <w:r w:rsidRPr="00154E06">
        <w:rPr>
          <w:rFonts w:ascii="Arial" w:hAnsi="Arial" w:cs="Arial"/>
          <w:sz w:val="20"/>
        </w:rPr>
        <w:t xml:space="preserve"> Holder has not, before such deadline, returned a </w:t>
      </w:r>
      <w:r>
        <w:rPr>
          <w:rFonts w:ascii="Arial" w:hAnsi="Arial" w:cs="Arial"/>
          <w:sz w:val="20"/>
        </w:rPr>
        <w:t>completed</w:t>
      </w:r>
      <w:r w:rsidRPr="00154E06">
        <w:rPr>
          <w:rFonts w:ascii="Arial" w:hAnsi="Arial" w:cs="Arial"/>
          <w:sz w:val="20"/>
        </w:rPr>
        <w:t xml:space="preserve"> copy of the Acceptance Notice to the person to whom the </w:t>
      </w:r>
      <w:r>
        <w:rPr>
          <w:rFonts w:ascii="Arial" w:hAnsi="Arial" w:cs="Arial"/>
          <w:sz w:val="20"/>
        </w:rPr>
        <w:t>n</w:t>
      </w:r>
      <w:r w:rsidRPr="00154E06">
        <w:rPr>
          <w:rFonts w:ascii="Arial" w:hAnsi="Arial" w:cs="Arial"/>
          <w:sz w:val="20"/>
        </w:rPr>
        <w:t>otice states that it must be returned</w:t>
      </w:r>
      <w:r>
        <w:rPr>
          <w:rFonts w:ascii="Arial" w:hAnsi="Arial" w:cs="Arial"/>
          <w:sz w:val="20"/>
        </w:rPr>
        <w:t xml:space="preserve"> (or evidenced their acceptance of their Award in another manner acceptable to the </w:t>
      </w:r>
      <w:r w:rsidRPr="0006114E">
        <w:rPr>
          <w:rFonts w:ascii="Arial" w:hAnsi="Arial" w:cs="Arial"/>
          <w:sz w:val="20"/>
        </w:rPr>
        <w:t>Remuneration Committee</w:t>
      </w:r>
      <w:r>
        <w:rPr>
          <w:rFonts w:ascii="Arial" w:hAnsi="Arial" w:cs="Arial"/>
          <w:sz w:val="20"/>
        </w:rPr>
        <w:t>)</w:t>
      </w:r>
      <w:r w:rsidR="002B3D13" w:rsidRPr="0006114E">
        <w:rPr>
          <w:rFonts w:ascii="Arial" w:hAnsi="Arial" w:cs="Arial"/>
          <w:sz w:val="20"/>
        </w:rPr>
        <w:t>;</w:t>
      </w:r>
    </w:p>
    <w:p w14:paraId="56712EAD" w14:textId="6E6CD6EA" w:rsidR="007B4FB5" w:rsidRPr="0006114E" w:rsidRDefault="00D8597D" w:rsidP="006A1CE1">
      <w:pPr>
        <w:pStyle w:val="Untitledsubclause2"/>
        <w:spacing w:line="240" w:lineRule="auto"/>
        <w:rPr>
          <w:rFonts w:ascii="Arial" w:hAnsi="Arial" w:cs="Arial"/>
          <w:sz w:val="20"/>
        </w:rPr>
      </w:pPr>
      <w:bookmarkStart w:id="295" w:name="a300739"/>
      <w:r w:rsidRPr="0006114E">
        <w:rPr>
          <w:rFonts w:ascii="Arial" w:hAnsi="Arial" w:cs="Arial"/>
          <w:sz w:val="20"/>
        </w:rPr>
        <w:t>if the Award Holder becomes bankrupt</w:t>
      </w:r>
      <w:r w:rsidR="00AB0F48" w:rsidRPr="0006114E">
        <w:rPr>
          <w:rFonts w:ascii="Arial" w:hAnsi="Arial" w:cs="Arial"/>
          <w:sz w:val="20"/>
        </w:rPr>
        <w:t>;</w:t>
      </w:r>
      <w:bookmarkEnd w:id="295"/>
    </w:p>
    <w:p w14:paraId="31992A7E" w14:textId="50D34BE1" w:rsidR="003C64C8" w:rsidRDefault="00046773" w:rsidP="006A1CE1">
      <w:pPr>
        <w:pStyle w:val="Untitledsubclause2"/>
        <w:spacing w:line="240" w:lineRule="auto"/>
        <w:rPr>
          <w:rFonts w:ascii="Arial" w:hAnsi="Arial" w:cs="Arial"/>
          <w:sz w:val="20"/>
        </w:rPr>
      </w:pPr>
      <w:r w:rsidRPr="0006114E">
        <w:rPr>
          <w:rFonts w:ascii="Arial" w:hAnsi="Arial" w:cs="Arial"/>
          <w:sz w:val="20"/>
        </w:rPr>
        <w:t xml:space="preserve">unless the Remuneration Committee decides otherwise, </w:t>
      </w:r>
      <w:r w:rsidR="003C64C8" w:rsidRPr="0006114E">
        <w:rPr>
          <w:rFonts w:ascii="Arial" w:hAnsi="Arial" w:cs="Arial"/>
          <w:sz w:val="20"/>
        </w:rPr>
        <w:t>the Award Holder</w:t>
      </w:r>
      <w:r w:rsidR="005D7AF8" w:rsidRPr="0006114E">
        <w:rPr>
          <w:rFonts w:ascii="Arial" w:hAnsi="Arial" w:cs="Arial"/>
          <w:sz w:val="20"/>
        </w:rPr>
        <w:t xml:space="preserve">, having been </w:t>
      </w:r>
      <w:r w:rsidR="003C64C8" w:rsidRPr="0006114E">
        <w:rPr>
          <w:rFonts w:ascii="Arial" w:hAnsi="Arial" w:cs="Arial"/>
          <w:sz w:val="20"/>
        </w:rPr>
        <w:t>a Good Leaver by reason of retirement with the agreement of the Remuneration Committee, becomes employed in a</w:t>
      </w:r>
      <w:r w:rsidR="007F24C9" w:rsidRPr="0006114E">
        <w:rPr>
          <w:rFonts w:ascii="Arial" w:hAnsi="Arial" w:cs="Arial"/>
          <w:sz w:val="20"/>
        </w:rPr>
        <w:t xml:space="preserve"> paid</w:t>
      </w:r>
      <w:r w:rsidR="003C64C8" w:rsidRPr="0006114E">
        <w:rPr>
          <w:rFonts w:ascii="Arial" w:hAnsi="Arial" w:cs="Arial"/>
          <w:sz w:val="20"/>
        </w:rPr>
        <w:t xml:space="preserve"> executive role</w:t>
      </w:r>
      <w:r w:rsidR="009D30E0">
        <w:rPr>
          <w:rFonts w:ascii="Arial" w:hAnsi="Arial" w:cs="Arial"/>
          <w:sz w:val="20"/>
        </w:rPr>
        <w:t xml:space="preserve"> (</w:t>
      </w:r>
      <w:r w:rsidR="009D30E0">
        <w:rPr>
          <w:rFonts w:ascii="Arial" w:hAnsi="Arial"/>
          <w:color w:val="000000" w:themeColor="text1"/>
          <w:sz w:val="20"/>
        </w:rPr>
        <w:t>other than by a Group Company)</w:t>
      </w:r>
      <w:r w:rsidR="003C64C8" w:rsidRPr="0006114E">
        <w:rPr>
          <w:rFonts w:ascii="Arial" w:hAnsi="Arial" w:cs="Arial"/>
          <w:sz w:val="20"/>
        </w:rPr>
        <w:t>;</w:t>
      </w:r>
    </w:p>
    <w:p w14:paraId="7BDC5264" w14:textId="7424411D" w:rsidR="00C95252" w:rsidRPr="0006114E" w:rsidRDefault="00067C0E" w:rsidP="006A1CE1">
      <w:pPr>
        <w:pStyle w:val="Untitledsubclause2"/>
        <w:spacing w:line="240" w:lineRule="auto"/>
        <w:rPr>
          <w:rFonts w:ascii="Arial" w:hAnsi="Arial" w:cs="Arial"/>
          <w:sz w:val="20"/>
        </w:rPr>
      </w:pPr>
      <w:r w:rsidRPr="0006114E">
        <w:rPr>
          <w:rFonts w:ascii="Arial" w:hAnsi="Arial" w:cs="Arial"/>
          <w:sz w:val="20"/>
        </w:rPr>
        <w:lastRenderedPageBreak/>
        <w:t xml:space="preserve">unless the Remuneration Committee decides otherwise, </w:t>
      </w:r>
      <w:r w:rsidR="00345ABE">
        <w:rPr>
          <w:rFonts w:ascii="Arial" w:hAnsi="Arial" w:cs="Arial"/>
          <w:sz w:val="20"/>
        </w:rPr>
        <w:t xml:space="preserve">if </w:t>
      </w:r>
      <w:r w:rsidR="00FE16C1">
        <w:rPr>
          <w:rFonts w:ascii="Arial" w:hAnsi="Arial" w:cs="Arial"/>
          <w:sz w:val="20"/>
        </w:rPr>
        <w:t xml:space="preserve">an </w:t>
      </w:r>
      <w:r w:rsidR="00345ABE">
        <w:rPr>
          <w:rFonts w:ascii="Arial" w:hAnsi="Arial" w:cs="Arial"/>
          <w:sz w:val="20"/>
        </w:rPr>
        <w:t xml:space="preserve">Award Holder who has become a Good Leaver </w:t>
      </w:r>
      <w:r>
        <w:rPr>
          <w:rFonts w:ascii="Arial" w:hAnsi="Arial" w:cs="Arial"/>
          <w:sz w:val="20"/>
        </w:rPr>
        <w:t>fails to abide by any applicable Shareholding Requirement</w:t>
      </w:r>
      <w:r w:rsidR="00B05FCB">
        <w:rPr>
          <w:rFonts w:ascii="Arial" w:hAnsi="Arial" w:cs="Arial"/>
          <w:sz w:val="20"/>
        </w:rPr>
        <w:t>;</w:t>
      </w:r>
    </w:p>
    <w:p w14:paraId="5BFFE20A" w14:textId="3C57F9AA" w:rsidR="003C64C8" w:rsidRPr="0006114E" w:rsidRDefault="0063385F" w:rsidP="006A1CE1">
      <w:pPr>
        <w:pStyle w:val="Untitledsubclause2"/>
        <w:spacing w:line="240" w:lineRule="auto"/>
        <w:rPr>
          <w:rFonts w:ascii="Arial" w:hAnsi="Arial" w:cs="Arial"/>
          <w:sz w:val="20"/>
        </w:rPr>
      </w:pPr>
      <w:r w:rsidRPr="0006114E">
        <w:rPr>
          <w:rFonts w:ascii="Arial" w:hAnsi="Arial" w:cs="Arial"/>
          <w:sz w:val="20"/>
        </w:rPr>
        <w:t xml:space="preserve">unless the Remuneration Committee decides otherwise, </w:t>
      </w:r>
      <w:r w:rsidR="003B7E61">
        <w:rPr>
          <w:rFonts w:ascii="Arial" w:hAnsi="Arial" w:cs="Arial"/>
          <w:sz w:val="20"/>
        </w:rPr>
        <w:t>the</w:t>
      </w:r>
      <w:r w:rsidR="003C64C8" w:rsidRPr="0006114E">
        <w:rPr>
          <w:rFonts w:ascii="Arial" w:hAnsi="Arial" w:cs="Arial"/>
          <w:sz w:val="20"/>
        </w:rPr>
        <w:t xml:space="preserve"> Award Holder materially breaches any </w:t>
      </w:r>
      <w:r w:rsidR="002D6138" w:rsidRPr="0006114E">
        <w:rPr>
          <w:rFonts w:ascii="Arial" w:hAnsi="Arial" w:cs="Arial"/>
          <w:sz w:val="20"/>
        </w:rPr>
        <w:t>non-competition, non-disclosure</w:t>
      </w:r>
      <w:r w:rsidR="002D6138">
        <w:rPr>
          <w:rFonts w:ascii="Arial" w:hAnsi="Arial" w:cs="Arial"/>
          <w:sz w:val="20"/>
        </w:rPr>
        <w:t>,</w:t>
      </w:r>
      <w:r w:rsidR="002D6138" w:rsidRPr="0006114E">
        <w:rPr>
          <w:rFonts w:ascii="Arial" w:hAnsi="Arial" w:cs="Arial"/>
          <w:sz w:val="20"/>
        </w:rPr>
        <w:t xml:space="preserve"> non-solicitation </w:t>
      </w:r>
      <w:r w:rsidR="002D6138">
        <w:rPr>
          <w:rFonts w:ascii="Arial" w:hAnsi="Arial" w:cs="Arial"/>
          <w:sz w:val="20"/>
        </w:rPr>
        <w:t xml:space="preserve">or </w:t>
      </w:r>
      <w:r w:rsidR="002D6138" w:rsidRPr="0006114E">
        <w:rPr>
          <w:rFonts w:ascii="Arial" w:hAnsi="Arial" w:cs="Arial"/>
          <w:sz w:val="20"/>
        </w:rPr>
        <w:t>confidentiality</w:t>
      </w:r>
      <w:r w:rsidR="002D6138">
        <w:rPr>
          <w:rFonts w:ascii="Arial" w:hAnsi="Arial" w:cs="Arial"/>
          <w:sz w:val="20"/>
        </w:rPr>
        <w:t xml:space="preserve"> </w:t>
      </w:r>
      <w:r w:rsidR="002D6138" w:rsidRPr="0006114E">
        <w:rPr>
          <w:rFonts w:ascii="Arial" w:hAnsi="Arial" w:cs="Arial"/>
          <w:sz w:val="20"/>
        </w:rPr>
        <w:t xml:space="preserve">agreement </w:t>
      </w:r>
      <w:r w:rsidR="002D6138">
        <w:rPr>
          <w:rFonts w:ascii="Arial" w:hAnsi="Arial" w:cs="Arial"/>
          <w:sz w:val="20"/>
        </w:rPr>
        <w:t xml:space="preserve">with any </w:t>
      </w:r>
      <w:r w:rsidR="003C64C8" w:rsidRPr="0006114E">
        <w:rPr>
          <w:rFonts w:ascii="Arial" w:hAnsi="Arial" w:cs="Arial"/>
          <w:sz w:val="20"/>
        </w:rPr>
        <w:t>Group Company</w:t>
      </w:r>
      <w:r w:rsidR="003530AF">
        <w:rPr>
          <w:rFonts w:ascii="Arial" w:hAnsi="Arial" w:cs="Arial"/>
          <w:sz w:val="20"/>
        </w:rPr>
        <w:t xml:space="preserve"> (including </w:t>
      </w:r>
      <w:r w:rsidR="003530AF" w:rsidRPr="0006114E">
        <w:rPr>
          <w:rFonts w:ascii="Arial" w:hAnsi="Arial" w:cs="Arial"/>
          <w:sz w:val="20"/>
        </w:rPr>
        <w:t xml:space="preserve">rule </w:t>
      </w:r>
      <w:r w:rsidR="003530AF" w:rsidRPr="0006114E">
        <w:rPr>
          <w:rFonts w:ascii="Arial" w:hAnsi="Arial" w:cs="Arial"/>
          <w:sz w:val="20"/>
        </w:rPr>
        <w:fldChar w:fldCharType="begin"/>
      </w:r>
      <w:r w:rsidR="003530AF" w:rsidRPr="0006114E">
        <w:rPr>
          <w:rFonts w:ascii="Arial" w:hAnsi="Arial" w:cs="Arial"/>
          <w:sz w:val="20"/>
        </w:rPr>
        <w:instrText xml:space="preserve"> REF _Ref83979035 \r \h  \* MERGEFORMAT </w:instrText>
      </w:r>
      <w:r w:rsidR="003530AF" w:rsidRPr="0006114E">
        <w:rPr>
          <w:rFonts w:ascii="Arial" w:hAnsi="Arial" w:cs="Arial"/>
          <w:sz w:val="20"/>
        </w:rPr>
      </w:r>
      <w:r w:rsidR="003530AF" w:rsidRPr="0006114E">
        <w:rPr>
          <w:rFonts w:ascii="Arial" w:hAnsi="Arial" w:cs="Arial"/>
          <w:sz w:val="20"/>
        </w:rPr>
        <w:fldChar w:fldCharType="separate"/>
      </w:r>
      <w:r w:rsidR="00661E34">
        <w:rPr>
          <w:rFonts w:ascii="Arial" w:hAnsi="Arial" w:cs="Arial"/>
          <w:sz w:val="20"/>
        </w:rPr>
        <w:t>23</w:t>
      </w:r>
      <w:r w:rsidR="003530AF" w:rsidRPr="0006114E">
        <w:rPr>
          <w:rFonts w:ascii="Arial" w:hAnsi="Arial" w:cs="Arial"/>
          <w:sz w:val="20"/>
        </w:rPr>
        <w:fldChar w:fldCharType="end"/>
      </w:r>
      <w:r w:rsidR="003530AF">
        <w:rPr>
          <w:rFonts w:ascii="Arial" w:hAnsi="Arial" w:cs="Arial"/>
          <w:sz w:val="20"/>
        </w:rPr>
        <w:t>)</w:t>
      </w:r>
      <w:r w:rsidR="007F24C9" w:rsidRPr="0006114E">
        <w:rPr>
          <w:rFonts w:ascii="Arial" w:hAnsi="Arial" w:cs="Arial"/>
          <w:sz w:val="20"/>
        </w:rPr>
        <w:t xml:space="preserve">, </w:t>
      </w:r>
      <w:r w:rsidR="00B63CB8">
        <w:rPr>
          <w:rFonts w:ascii="Arial" w:hAnsi="Arial" w:cs="Arial"/>
          <w:sz w:val="20"/>
        </w:rPr>
        <w:t>and/</w:t>
      </w:r>
      <w:r w:rsidR="007F24C9" w:rsidRPr="0006114E">
        <w:rPr>
          <w:rFonts w:ascii="Arial" w:hAnsi="Arial" w:cs="Arial"/>
          <w:sz w:val="20"/>
        </w:rPr>
        <w:t>or</w:t>
      </w:r>
    </w:p>
    <w:p w14:paraId="56712EAE" w14:textId="77777777" w:rsidR="00C6481F" w:rsidRDefault="00D8597D" w:rsidP="006A1CE1">
      <w:pPr>
        <w:pStyle w:val="Untitledsubclause2"/>
        <w:spacing w:line="240" w:lineRule="auto"/>
        <w:rPr>
          <w:rFonts w:ascii="Arial" w:hAnsi="Arial" w:cs="Arial"/>
          <w:sz w:val="20"/>
        </w:rPr>
      </w:pPr>
      <w:bookmarkStart w:id="296" w:name="_Ref150798366"/>
      <w:r w:rsidRPr="0006114E">
        <w:rPr>
          <w:rFonts w:ascii="Arial" w:hAnsi="Arial" w:cs="Arial"/>
          <w:sz w:val="20"/>
        </w:rPr>
        <w:t>the passing of an effective resolution, or the making of an order by the Court, for the insolvent winding-up of the Company.</w:t>
      </w:r>
      <w:bookmarkEnd w:id="296"/>
    </w:p>
    <w:p w14:paraId="49FD9B86" w14:textId="2D616CE4" w:rsidR="00063366" w:rsidRDefault="00AF0839" w:rsidP="00063366">
      <w:pPr>
        <w:pStyle w:val="Untitledsubclause1"/>
        <w:numPr>
          <w:ilvl w:val="0"/>
          <w:numId w:val="0"/>
        </w:numPr>
        <w:spacing w:line="240" w:lineRule="auto"/>
        <w:ind w:left="720"/>
        <w:rPr>
          <w:rFonts w:ascii="Arial" w:hAnsi="Arial" w:cs="Arial"/>
          <w:sz w:val="20"/>
        </w:rPr>
      </w:pPr>
      <w:bookmarkStart w:id="297" w:name="_Ref178156969"/>
      <w:r w:rsidRPr="00AF0839">
        <w:rPr>
          <w:rFonts w:ascii="Arial" w:hAnsi="Arial" w:cs="Arial"/>
          <w:sz w:val="20"/>
        </w:rPr>
        <w:t>For the avoidance of doubt, references to an Award in this rule shall include the remainder of an Award after part has lapsed (for example, part of an Option</w:t>
      </w:r>
      <w:r w:rsidR="00725C22">
        <w:rPr>
          <w:rFonts w:ascii="Arial" w:hAnsi="Arial" w:cs="Arial"/>
          <w:sz w:val="20"/>
        </w:rPr>
        <w:t xml:space="preserve"> may</w:t>
      </w:r>
      <w:r w:rsidRPr="00AF0839">
        <w:rPr>
          <w:rFonts w:ascii="Arial" w:hAnsi="Arial" w:cs="Arial"/>
          <w:sz w:val="20"/>
        </w:rPr>
        <w:t xml:space="preserve"> lapse</w:t>
      </w:r>
      <w:r w:rsidR="00725C22">
        <w:rPr>
          <w:rFonts w:ascii="Arial" w:hAnsi="Arial" w:cs="Arial"/>
          <w:sz w:val="20"/>
        </w:rPr>
        <w:t xml:space="preserve"> </w:t>
      </w:r>
      <w:r w:rsidRPr="00AF0839">
        <w:rPr>
          <w:rFonts w:ascii="Arial" w:hAnsi="Arial" w:cs="Arial"/>
          <w:sz w:val="20"/>
        </w:rPr>
        <w:t xml:space="preserve">on the Vesting Date because it does not Vest, then the remaining part </w:t>
      </w:r>
      <w:r w:rsidR="00725C22">
        <w:rPr>
          <w:rFonts w:ascii="Arial" w:hAnsi="Arial" w:cs="Arial"/>
          <w:sz w:val="20"/>
        </w:rPr>
        <w:t xml:space="preserve">may </w:t>
      </w:r>
      <w:r w:rsidRPr="00AF0839">
        <w:rPr>
          <w:rFonts w:ascii="Arial" w:hAnsi="Arial" w:cs="Arial"/>
          <w:sz w:val="20"/>
        </w:rPr>
        <w:t>lapse</w:t>
      </w:r>
      <w:r w:rsidR="00725C22">
        <w:rPr>
          <w:rFonts w:ascii="Arial" w:hAnsi="Arial" w:cs="Arial"/>
          <w:sz w:val="20"/>
        </w:rPr>
        <w:t xml:space="preserve"> </w:t>
      </w:r>
      <w:r w:rsidRPr="00AF0839">
        <w:rPr>
          <w:rFonts w:ascii="Arial" w:hAnsi="Arial" w:cs="Arial"/>
          <w:sz w:val="20"/>
        </w:rPr>
        <w:t>because the Award Holder subsequently becomes a Bad Leaver).</w:t>
      </w:r>
    </w:p>
    <w:p w14:paraId="4F1BE023" w14:textId="00C35E04" w:rsidR="003D0FE5" w:rsidRPr="003D0FE5" w:rsidRDefault="007C1259" w:rsidP="00CD5261">
      <w:pPr>
        <w:pStyle w:val="Untitledsubclause1"/>
        <w:spacing w:line="240" w:lineRule="auto"/>
        <w:rPr>
          <w:rFonts w:ascii="Arial" w:hAnsi="Arial" w:cs="Arial"/>
          <w:sz w:val="20"/>
        </w:rPr>
      </w:pPr>
      <w:bookmarkStart w:id="298" w:name="_Ref187838743"/>
      <w:r w:rsidRPr="003D0FE5">
        <w:rPr>
          <w:rFonts w:ascii="Arial" w:hAnsi="Arial" w:cs="Arial"/>
          <w:sz w:val="20"/>
        </w:rPr>
        <w:t xml:space="preserve">If </w:t>
      </w:r>
      <w:r w:rsidR="003D0FE5" w:rsidRPr="003D0FE5">
        <w:rPr>
          <w:rFonts w:ascii="Arial" w:hAnsi="Arial" w:cs="Arial"/>
          <w:sz w:val="20"/>
        </w:rPr>
        <w:t xml:space="preserve">an Option cannot be exercised </w:t>
      </w:r>
      <w:r w:rsidR="008966CE" w:rsidRPr="003D0FE5">
        <w:rPr>
          <w:rFonts w:ascii="Arial" w:hAnsi="Arial" w:cs="Arial"/>
          <w:sz w:val="20"/>
        </w:rPr>
        <w:t xml:space="preserve">because of any Dealing Restrictions </w:t>
      </w:r>
      <w:r w:rsidR="003D0FE5" w:rsidRPr="003D0FE5">
        <w:rPr>
          <w:rFonts w:ascii="Arial" w:hAnsi="Arial" w:cs="Arial"/>
          <w:sz w:val="20"/>
        </w:rPr>
        <w:t xml:space="preserve">during the period of 30 days ending with the </w:t>
      </w:r>
      <w:r w:rsidR="00BB0C96">
        <w:rPr>
          <w:rFonts w:ascii="Arial" w:hAnsi="Arial" w:cs="Arial"/>
          <w:sz w:val="20"/>
        </w:rPr>
        <w:t xml:space="preserve">date it </w:t>
      </w:r>
      <w:r w:rsidR="00632196">
        <w:rPr>
          <w:rFonts w:ascii="Arial" w:hAnsi="Arial" w:cs="Arial"/>
          <w:sz w:val="20"/>
        </w:rPr>
        <w:t>is due to lapse,</w:t>
      </w:r>
      <w:r w:rsidR="003D0FE5" w:rsidRPr="003D0FE5">
        <w:rPr>
          <w:rFonts w:ascii="Arial" w:hAnsi="Arial" w:cs="Arial"/>
          <w:sz w:val="20"/>
        </w:rPr>
        <w:t xml:space="preserve"> the Remuneration Committee may </w:t>
      </w:r>
      <w:r w:rsidR="00593559">
        <w:rPr>
          <w:rFonts w:ascii="Arial" w:hAnsi="Arial" w:cs="Arial"/>
          <w:sz w:val="20"/>
        </w:rPr>
        <w:t xml:space="preserve">change </w:t>
      </w:r>
      <w:r w:rsidR="003D0FE5" w:rsidRPr="003D0FE5">
        <w:rPr>
          <w:rFonts w:ascii="Arial" w:hAnsi="Arial" w:cs="Arial"/>
          <w:sz w:val="20"/>
        </w:rPr>
        <w:t xml:space="preserve">the date the Option lapses to such </w:t>
      </w:r>
      <w:r w:rsidR="00593559">
        <w:rPr>
          <w:rFonts w:ascii="Arial" w:hAnsi="Arial" w:cs="Arial"/>
          <w:sz w:val="20"/>
        </w:rPr>
        <w:t xml:space="preserve">future </w:t>
      </w:r>
      <w:r w:rsidR="003D0FE5" w:rsidRPr="003D0FE5">
        <w:rPr>
          <w:rFonts w:ascii="Arial" w:hAnsi="Arial" w:cs="Arial"/>
          <w:sz w:val="20"/>
        </w:rPr>
        <w:t xml:space="preserve">date as the Remuneration Committee determines appropriate to permit the Option to be exercised within a </w:t>
      </w:r>
      <w:r w:rsidR="00343422">
        <w:rPr>
          <w:rFonts w:ascii="Arial" w:hAnsi="Arial" w:cs="Arial"/>
          <w:sz w:val="20"/>
        </w:rPr>
        <w:t xml:space="preserve">short </w:t>
      </w:r>
      <w:r w:rsidR="003D0FE5" w:rsidRPr="003D0FE5">
        <w:rPr>
          <w:rFonts w:ascii="Arial" w:hAnsi="Arial" w:cs="Arial"/>
          <w:sz w:val="20"/>
        </w:rPr>
        <w:t>period after the Dealing Restrictions cease to apply</w:t>
      </w:r>
      <w:r w:rsidR="002F3030">
        <w:rPr>
          <w:rFonts w:ascii="Arial" w:hAnsi="Arial" w:cs="Arial"/>
          <w:sz w:val="20"/>
        </w:rPr>
        <w:t xml:space="preserve"> (and on the expiry of such period, the Option will lapse).</w:t>
      </w:r>
      <w:bookmarkEnd w:id="298"/>
    </w:p>
    <w:bookmarkStart w:id="299" w:name="_Ref83051742"/>
    <w:bookmarkStart w:id="300" w:name="_Toc105671033"/>
    <w:bookmarkStart w:id="301" w:name="_Toc103273407"/>
    <w:bookmarkStart w:id="302" w:name="_Ref79683528"/>
    <w:bookmarkEnd w:id="297"/>
    <w:p w14:paraId="494FC217" w14:textId="1A93EF65" w:rsidR="00CD6C08" w:rsidRPr="0006114E" w:rsidRDefault="00CD6C08"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"18. Termination of employment (Options)" \l 1</w:instrText>
      </w:r>
      <w:r w:rsidRPr="0006114E">
        <w:rPr>
          <w:rFonts w:ascii="Arial" w:hAnsi="Arial" w:cs="Arial"/>
          <w:sz w:val="20"/>
        </w:rPr>
        <w:fldChar w:fldCharType="end"/>
      </w:r>
      <w:bookmarkStart w:id="303" w:name="a870810"/>
      <w:bookmarkStart w:id="304" w:name="_Toc105671031"/>
      <w:bookmarkStart w:id="305" w:name="_Toc103273405"/>
      <w:bookmarkStart w:id="306" w:name="_Toc128498874"/>
      <w:bookmarkStart w:id="307" w:name="_Toc145339788"/>
      <w:bookmarkStart w:id="308" w:name="_Toc131682138"/>
      <w:bookmarkStart w:id="309" w:name="_Toc107828230"/>
      <w:bookmarkStart w:id="310" w:name="_Ref151053419"/>
      <w:bookmarkStart w:id="311" w:name="_Toc152661659"/>
      <w:bookmarkStart w:id="312" w:name="_Toc159952465"/>
      <w:bookmarkStart w:id="313" w:name="_Toc168490286"/>
      <w:bookmarkStart w:id="314" w:name="_Toc187838777"/>
      <w:bookmarkStart w:id="315" w:name="_Toc188629311"/>
      <w:bookmarkStart w:id="316" w:name="_Toc191381411"/>
      <w:r w:rsidRPr="0006114E">
        <w:rPr>
          <w:rFonts w:ascii="Arial" w:hAnsi="Arial" w:cs="Arial"/>
          <w:sz w:val="20"/>
        </w:rPr>
        <w:t>Termination of employment</w:t>
      </w:r>
      <w:bookmarkEnd w:id="303"/>
      <w:bookmarkEnd w:id="304"/>
      <w:bookmarkEnd w:id="305"/>
      <w:bookmarkEnd w:id="306"/>
      <w:r w:rsidR="000C0BDE" w:rsidRPr="0006114E">
        <w:rPr>
          <w:rFonts w:ascii="Arial" w:hAnsi="Arial" w:cs="Arial"/>
          <w:sz w:val="20"/>
        </w:rPr>
        <w:t xml:space="preserve"> (</w:t>
      </w:r>
      <w:r w:rsidR="00106D88" w:rsidRPr="0006114E">
        <w:rPr>
          <w:rFonts w:ascii="Arial" w:hAnsi="Arial" w:cs="Arial"/>
          <w:sz w:val="20"/>
        </w:rPr>
        <w:t>Vesting</w:t>
      </w:r>
      <w:r w:rsidR="00C5315D" w:rsidRPr="0006114E">
        <w:rPr>
          <w:rFonts w:ascii="Arial" w:hAnsi="Arial" w:cs="Arial"/>
          <w:sz w:val="20"/>
        </w:rPr>
        <w:t xml:space="preserve"> </w:t>
      </w:r>
      <w:r w:rsidR="00106D88" w:rsidRPr="0006114E">
        <w:rPr>
          <w:rFonts w:ascii="Arial" w:hAnsi="Arial" w:cs="Arial"/>
          <w:sz w:val="20"/>
        </w:rPr>
        <w:t>and exercise period)</w:t>
      </w:r>
      <w:bookmarkEnd w:id="307"/>
      <w:bookmarkEnd w:id="308"/>
      <w:bookmarkEnd w:id="309"/>
      <w:bookmarkEnd w:id="310"/>
      <w:bookmarkEnd w:id="311"/>
      <w:bookmarkEnd w:id="312"/>
      <w:bookmarkEnd w:id="313"/>
      <w:bookmarkEnd w:id="314"/>
      <w:bookmarkEnd w:id="315"/>
      <w:bookmarkEnd w:id="316"/>
    </w:p>
    <w:p w14:paraId="39367EDB" w14:textId="4EEC8306" w:rsidR="00CD6C08" w:rsidRPr="0006114E" w:rsidRDefault="00CD6C08" w:rsidP="006A1CE1">
      <w:pPr>
        <w:pStyle w:val="Untitledsubclause1"/>
        <w:spacing w:line="240" w:lineRule="auto"/>
        <w:rPr>
          <w:rFonts w:ascii="Arial" w:hAnsi="Arial" w:cs="Arial"/>
          <w:sz w:val="20"/>
        </w:rPr>
      </w:pPr>
      <w:bookmarkStart w:id="317" w:name="a818297"/>
      <w:bookmarkStart w:id="318" w:name="_Ref111219374"/>
      <w:bookmarkStart w:id="319" w:name="_Ref187402283"/>
      <w:bookmarkStart w:id="320" w:name="_Ref187309156"/>
      <w:r w:rsidRPr="0006114E">
        <w:rPr>
          <w:rFonts w:ascii="Arial" w:hAnsi="Arial" w:cs="Arial"/>
          <w:sz w:val="20"/>
        </w:rPr>
        <w:t>If an Award Holder becomes a Good</w:t>
      </w:r>
      <w:bookmarkEnd w:id="317"/>
      <w:r w:rsidR="003F03C6">
        <w:rPr>
          <w:rFonts w:ascii="Arial" w:hAnsi="Arial" w:cs="Arial"/>
          <w:sz w:val="20"/>
        </w:rPr>
        <w:t xml:space="preserve"> Leaver</w:t>
      </w:r>
      <w:r w:rsidRPr="0006114E">
        <w:rPr>
          <w:rFonts w:ascii="Arial" w:hAnsi="Arial" w:cs="Arial"/>
          <w:sz w:val="20"/>
        </w:rPr>
        <w:t>,</w:t>
      </w:r>
      <w:r w:rsidR="001223F3" w:rsidRPr="0006114E">
        <w:rPr>
          <w:rFonts w:ascii="Arial" w:hAnsi="Arial" w:cs="Arial"/>
          <w:sz w:val="20"/>
        </w:rPr>
        <w:t xml:space="preserve"> </w:t>
      </w:r>
      <w:r w:rsidR="00172EDA" w:rsidRPr="0006114E">
        <w:rPr>
          <w:rFonts w:ascii="Arial" w:hAnsi="Arial" w:cs="Arial"/>
          <w:sz w:val="20"/>
        </w:rPr>
        <w:t xml:space="preserve">the </w:t>
      </w:r>
      <w:r w:rsidR="001223F3" w:rsidRPr="0006114E">
        <w:rPr>
          <w:rFonts w:ascii="Arial" w:hAnsi="Arial" w:cs="Arial"/>
          <w:sz w:val="20"/>
        </w:rPr>
        <w:t xml:space="preserve">number of </w:t>
      </w:r>
      <w:r w:rsidR="00B90DCE" w:rsidRPr="0006114E">
        <w:rPr>
          <w:rFonts w:ascii="Arial" w:hAnsi="Arial" w:cs="Arial"/>
          <w:sz w:val="20"/>
        </w:rPr>
        <w:t xml:space="preserve">Shares </w:t>
      </w:r>
      <w:r w:rsidR="003E564B" w:rsidRPr="0006114E">
        <w:rPr>
          <w:rFonts w:ascii="Arial" w:hAnsi="Arial" w:cs="Arial"/>
          <w:sz w:val="20"/>
        </w:rPr>
        <w:t xml:space="preserve">over </w:t>
      </w:r>
      <w:r w:rsidR="0033180B" w:rsidRPr="0006114E">
        <w:rPr>
          <w:rFonts w:ascii="Arial" w:hAnsi="Arial" w:cs="Arial"/>
          <w:sz w:val="20"/>
        </w:rPr>
        <w:t>which</w:t>
      </w:r>
      <w:r w:rsidRPr="0006114E">
        <w:rPr>
          <w:rFonts w:ascii="Arial" w:hAnsi="Arial" w:cs="Arial"/>
          <w:sz w:val="20"/>
        </w:rPr>
        <w:t xml:space="preserve"> each </w:t>
      </w:r>
      <w:r w:rsidR="003F03C6">
        <w:rPr>
          <w:rFonts w:ascii="Arial" w:hAnsi="Arial" w:cs="Arial"/>
          <w:sz w:val="20"/>
        </w:rPr>
        <w:t xml:space="preserve">Unvested </w:t>
      </w:r>
      <w:r w:rsidRPr="0006114E">
        <w:rPr>
          <w:rFonts w:ascii="Arial" w:hAnsi="Arial" w:cs="Arial"/>
          <w:sz w:val="20"/>
        </w:rPr>
        <w:t xml:space="preserve">Award </w:t>
      </w:r>
      <w:r w:rsidR="00455C81">
        <w:rPr>
          <w:rFonts w:ascii="Arial" w:hAnsi="Arial" w:cs="Arial"/>
          <w:sz w:val="20"/>
        </w:rPr>
        <w:t xml:space="preserve">they hold </w:t>
      </w:r>
      <w:r w:rsidRPr="0006114E">
        <w:rPr>
          <w:rFonts w:ascii="Arial" w:hAnsi="Arial" w:cs="Arial"/>
          <w:sz w:val="20"/>
        </w:rPr>
        <w:t xml:space="preserve">shall </w:t>
      </w:r>
      <w:r w:rsidR="004629E2" w:rsidRPr="0006114E">
        <w:rPr>
          <w:rFonts w:ascii="Arial" w:hAnsi="Arial" w:cs="Arial"/>
          <w:sz w:val="20"/>
        </w:rPr>
        <w:t xml:space="preserve">continue </w:t>
      </w:r>
      <w:r w:rsidR="0046273A">
        <w:rPr>
          <w:rFonts w:ascii="Arial" w:hAnsi="Arial" w:cs="Arial"/>
          <w:sz w:val="20"/>
        </w:rPr>
        <w:t xml:space="preserve">will (save to the extent </w:t>
      </w:r>
      <w:r w:rsidR="0046273A" w:rsidRPr="0006114E">
        <w:rPr>
          <w:rFonts w:ascii="Arial" w:hAnsi="Arial" w:cs="Arial"/>
          <w:sz w:val="20"/>
        </w:rPr>
        <w:t xml:space="preserve">the Remuneration Committee </w:t>
      </w:r>
      <w:r w:rsidR="0046273A">
        <w:rPr>
          <w:rFonts w:ascii="Arial" w:hAnsi="Arial" w:cs="Arial"/>
          <w:sz w:val="20"/>
        </w:rPr>
        <w:t xml:space="preserve">decides otherwise) be reduced </w:t>
      </w:r>
      <w:r w:rsidR="00172EDA" w:rsidRPr="0006114E">
        <w:rPr>
          <w:rFonts w:ascii="Arial" w:hAnsi="Arial" w:cs="Arial"/>
          <w:sz w:val="20"/>
        </w:rPr>
        <w:t xml:space="preserve">to </w:t>
      </w:r>
      <w:r w:rsidR="00875280">
        <w:rPr>
          <w:rFonts w:ascii="Arial" w:hAnsi="Arial" w:cs="Arial"/>
          <w:sz w:val="20"/>
        </w:rPr>
        <w:t>a number which</w:t>
      </w:r>
      <w:r w:rsidR="00D712BD">
        <w:rPr>
          <w:rFonts w:ascii="Arial" w:hAnsi="Arial" w:cs="Arial"/>
          <w:sz w:val="20"/>
        </w:rPr>
        <w:t xml:space="preserve"> represents</w:t>
      </w:r>
      <w:r w:rsidR="00172EDA" w:rsidRPr="0006114E">
        <w:rPr>
          <w:rFonts w:ascii="Arial" w:hAnsi="Arial" w:cs="Arial"/>
          <w:sz w:val="20"/>
        </w:rPr>
        <w:t xml:space="preserve"> </w:t>
      </w:r>
      <w:bookmarkEnd w:id="318"/>
      <w:r w:rsidR="00172EDA" w:rsidRPr="0006114E">
        <w:rPr>
          <w:rFonts w:ascii="Arial" w:hAnsi="Arial" w:cs="Arial"/>
          <w:sz w:val="20"/>
        </w:rPr>
        <w:t xml:space="preserve">the proportion of the </w:t>
      </w:r>
      <w:r w:rsidR="00AA651F">
        <w:rPr>
          <w:rFonts w:ascii="Arial" w:hAnsi="Arial" w:cs="Arial"/>
          <w:sz w:val="20"/>
        </w:rPr>
        <w:t xml:space="preserve">applicable </w:t>
      </w:r>
      <w:r w:rsidR="00CC7FB8" w:rsidRPr="0006114E">
        <w:rPr>
          <w:rFonts w:ascii="Arial" w:hAnsi="Arial" w:cs="Arial"/>
          <w:sz w:val="20"/>
        </w:rPr>
        <w:t xml:space="preserve">Performance Period </w:t>
      </w:r>
      <w:r w:rsidR="00945F9D" w:rsidRPr="0006114E">
        <w:rPr>
          <w:rFonts w:ascii="Arial" w:hAnsi="Arial" w:cs="Arial"/>
          <w:sz w:val="20"/>
        </w:rPr>
        <w:t xml:space="preserve">(or in respect of Awards without Performance Conditions, the </w:t>
      </w:r>
      <w:r w:rsidR="002B5FAB">
        <w:rPr>
          <w:rFonts w:ascii="Arial" w:hAnsi="Arial" w:cs="Arial"/>
          <w:sz w:val="20"/>
        </w:rPr>
        <w:t xml:space="preserve">applicable </w:t>
      </w:r>
      <w:r w:rsidR="00945F9D" w:rsidRPr="0006114E">
        <w:rPr>
          <w:rFonts w:ascii="Arial" w:hAnsi="Arial" w:cs="Arial"/>
          <w:sz w:val="20"/>
        </w:rPr>
        <w:t xml:space="preserve">Vesting Period) </w:t>
      </w:r>
      <w:r w:rsidR="00E963DF" w:rsidRPr="0006114E">
        <w:rPr>
          <w:rFonts w:ascii="Arial" w:hAnsi="Arial" w:cs="Arial"/>
          <w:sz w:val="20"/>
        </w:rPr>
        <w:t xml:space="preserve">which has elapsed at the date they </w:t>
      </w:r>
      <w:r w:rsidR="00C97D55" w:rsidRPr="0006114E">
        <w:rPr>
          <w:rFonts w:ascii="Arial" w:hAnsi="Arial" w:cs="Arial"/>
          <w:sz w:val="20"/>
        </w:rPr>
        <w:t>become a Good Leaver</w:t>
      </w:r>
      <w:r w:rsidR="009F26BE" w:rsidRPr="0006114E">
        <w:rPr>
          <w:rFonts w:ascii="Arial" w:hAnsi="Arial" w:cs="Arial"/>
          <w:sz w:val="20"/>
        </w:rPr>
        <w:t>.</w:t>
      </w:r>
      <w:bookmarkEnd w:id="319"/>
      <w:bookmarkEnd w:id="320"/>
    </w:p>
    <w:p w14:paraId="7AAD5C6A" w14:textId="032CF075" w:rsidR="00CD6C08" w:rsidRPr="0006114E" w:rsidRDefault="00CD6C08" w:rsidP="006A1CE1">
      <w:pPr>
        <w:pStyle w:val="Untitledsubclause1"/>
        <w:spacing w:line="240" w:lineRule="auto"/>
        <w:rPr>
          <w:rFonts w:ascii="Arial" w:hAnsi="Arial" w:cs="Arial"/>
          <w:sz w:val="20"/>
        </w:rPr>
      </w:pPr>
      <w:bookmarkStart w:id="321" w:name="_Ref79504567"/>
      <w:r w:rsidRPr="0006114E">
        <w:rPr>
          <w:rFonts w:ascii="Arial" w:hAnsi="Arial" w:cs="Arial"/>
          <w:sz w:val="20"/>
        </w:rPr>
        <w:t>If</w:t>
      </w:r>
      <w:r w:rsidR="0088389E" w:rsidRPr="0006114E">
        <w:rPr>
          <w:rFonts w:ascii="Arial" w:hAnsi="Arial" w:cs="Arial"/>
          <w:sz w:val="20"/>
        </w:rPr>
        <w:t xml:space="preserve"> </w:t>
      </w:r>
      <w:r w:rsidRPr="0006114E">
        <w:rPr>
          <w:rFonts w:ascii="Arial" w:hAnsi="Arial" w:cs="Arial"/>
          <w:sz w:val="20"/>
        </w:rPr>
        <w:t xml:space="preserve">the Award Holder becomes a Good Leaver before the Ordinary Vesting Date, the Award (after the application of </w:t>
      </w:r>
      <w:r w:rsidRPr="0006114E">
        <w:rPr>
          <w:rFonts w:ascii="Arial" w:hAnsi="Arial" w:cs="Arial"/>
          <w:sz w:val="20"/>
        </w:rPr>
        <w:fldChar w:fldCharType="begin"/>
      </w:r>
      <w:r w:rsidRPr="0006114E">
        <w:rPr>
          <w:rFonts w:ascii="Arial" w:hAnsi="Arial" w:cs="Arial"/>
          <w:sz w:val="20"/>
        </w:rPr>
        <w:instrText>PAGEREF a818297\#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a818297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15.1</w:t>
      </w:r>
      <w:r w:rsidRPr="0006114E">
        <w:rPr>
          <w:rFonts w:ascii="Arial" w:hAnsi="Arial" w:cs="Arial"/>
          <w:sz w:val="20"/>
        </w:rPr>
        <w:fldChar w:fldCharType="end"/>
      </w:r>
      <w:r w:rsidRPr="0006114E">
        <w:rPr>
          <w:rFonts w:ascii="Arial" w:hAnsi="Arial" w:cs="Arial"/>
          <w:sz w:val="20"/>
        </w:rPr>
        <w:t>) will Vest on the earliest of:</w:t>
      </w:r>
      <w:bookmarkEnd w:id="321"/>
    </w:p>
    <w:p w14:paraId="67BF4BF0" w14:textId="664A8CD6" w:rsidR="00CD6C08" w:rsidRPr="0006114E" w:rsidRDefault="00CD6C08" w:rsidP="006A1CE1">
      <w:pPr>
        <w:pStyle w:val="Untitledsubclause2"/>
        <w:numPr>
          <w:ilvl w:val="2"/>
          <w:numId w:val="29"/>
        </w:numPr>
        <w:spacing w:line="240" w:lineRule="auto"/>
        <w:rPr>
          <w:rFonts w:ascii="Arial" w:hAnsi="Arial" w:cs="Arial"/>
          <w:sz w:val="20"/>
        </w:rPr>
      </w:pPr>
      <w:r w:rsidRPr="0006114E">
        <w:rPr>
          <w:rFonts w:ascii="Arial" w:hAnsi="Arial" w:cs="Arial"/>
          <w:sz w:val="20"/>
        </w:rPr>
        <w:t xml:space="preserve">the Ordinary Vesting Date, in respect of a number of Shares determined by the Remuneration Committee, taking account of the extent to which </w:t>
      </w:r>
      <w:r w:rsidR="000E17EB">
        <w:rPr>
          <w:rFonts w:ascii="Arial" w:hAnsi="Arial" w:cs="Arial"/>
          <w:sz w:val="20"/>
        </w:rPr>
        <w:t>any</w:t>
      </w:r>
      <w:r w:rsidRPr="0006114E">
        <w:rPr>
          <w:rFonts w:ascii="Arial" w:hAnsi="Arial" w:cs="Arial"/>
          <w:sz w:val="20"/>
        </w:rPr>
        <w:t xml:space="preserve"> Performance Condition(s) has/have been achieved;</w:t>
      </w:r>
    </w:p>
    <w:p w14:paraId="30D112BA" w14:textId="47A5E64F" w:rsidR="00CD6C08" w:rsidRPr="0006114E" w:rsidRDefault="00CD6C08" w:rsidP="006A1CE1">
      <w:pPr>
        <w:pStyle w:val="Untitledsubclause2"/>
        <w:spacing w:line="240" w:lineRule="auto"/>
        <w:rPr>
          <w:rFonts w:ascii="Arial" w:hAnsi="Arial" w:cs="Arial"/>
          <w:sz w:val="20"/>
        </w:rPr>
      </w:pPr>
      <w:r w:rsidRPr="0006114E">
        <w:rPr>
          <w:rFonts w:ascii="Arial" w:hAnsi="Arial" w:cs="Arial"/>
          <w:sz w:val="20"/>
        </w:rPr>
        <w:t xml:space="preserve">the date on which the </w:t>
      </w:r>
      <w:r w:rsidR="001D71D7" w:rsidRPr="0006114E">
        <w:rPr>
          <w:rFonts w:ascii="Arial" w:hAnsi="Arial" w:cs="Arial"/>
          <w:sz w:val="20"/>
        </w:rPr>
        <w:t>Award</w:t>
      </w:r>
      <w:r w:rsidRPr="0006114E">
        <w:rPr>
          <w:rFonts w:ascii="Arial" w:hAnsi="Arial" w:cs="Arial"/>
          <w:sz w:val="20"/>
        </w:rPr>
        <w:t xml:space="preserve"> Vests under </w:t>
      </w:r>
      <w:r w:rsidRPr="0006114E">
        <w:rPr>
          <w:rFonts w:ascii="Arial" w:hAnsi="Arial" w:cs="Arial"/>
          <w:sz w:val="20"/>
        </w:rPr>
        <w:fldChar w:fldCharType="begin"/>
      </w:r>
      <w:r w:rsidRPr="0006114E">
        <w:rPr>
          <w:rFonts w:ascii="Arial" w:hAnsi="Arial" w:cs="Arial"/>
          <w:sz w:val="20"/>
        </w:rPr>
        <w:instrText>PAGEREF a1037750\#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17</w:t>
      </w:r>
      <w:r w:rsidRPr="0006114E">
        <w:rPr>
          <w:rFonts w:ascii="Arial" w:hAnsi="Arial" w:cs="Arial"/>
          <w:sz w:val="20"/>
        </w:rPr>
        <w:fldChar w:fldCharType="end"/>
      </w:r>
      <w:r w:rsidRPr="0006114E">
        <w:rPr>
          <w:rFonts w:ascii="Arial" w:hAnsi="Arial" w:cs="Arial"/>
          <w:sz w:val="20"/>
        </w:rPr>
        <w:t xml:space="preserve">, after the application of rule </w:t>
      </w:r>
      <w:r w:rsidRPr="0006114E">
        <w:rPr>
          <w:rFonts w:ascii="Arial" w:hAnsi="Arial" w:cs="Arial"/>
          <w:sz w:val="20"/>
        </w:rPr>
        <w:fldChar w:fldCharType="begin"/>
      </w:r>
      <w:r w:rsidRPr="0006114E">
        <w:rPr>
          <w:rFonts w:ascii="Arial" w:hAnsi="Arial" w:cs="Arial"/>
          <w:sz w:val="20"/>
        </w:rPr>
        <w:instrText xml:space="preserve"> REF _Ref80024637 \r \h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rPr>
        <w:t>17.1(a)(ii)</w:t>
      </w:r>
      <w:r w:rsidRPr="0006114E">
        <w:rPr>
          <w:rFonts w:ascii="Arial" w:hAnsi="Arial" w:cs="Arial"/>
          <w:sz w:val="20"/>
        </w:rPr>
        <w:fldChar w:fldCharType="end"/>
      </w:r>
      <w:r w:rsidRPr="0006114E">
        <w:rPr>
          <w:rFonts w:ascii="Arial" w:hAnsi="Arial" w:cs="Arial"/>
          <w:sz w:val="20"/>
        </w:rPr>
        <w:t xml:space="preserve"> (to the extent applicable)</w:t>
      </w:r>
      <w:r w:rsidR="00E30E1C">
        <w:rPr>
          <w:rFonts w:ascii="Arial" w:hAnsi="Arial" w:cs="Arial"/>
          <w:sz w:val="20"/>
        </w:rPr>
        <w:t xml:space="preserve"> or</w:t>
      </w:r>
      <w:r w:rsidR="00FC672F">
        <w:rPr>
          <w:rFonts w:ascii="Arial" w:hAnsi="Arial" w:cs="Arial"/>
          <w:sz w:val="20"/>
        </w:rPr>
        <w:t xml:space="preserve"> </w:t>
      </w:r>
      <w:r w:rsidR="004B3757">
        <w:rPr>
          <w:rFonts w:ascii="Arial" w:hAnsi="Arial" w:cs="Arial"/>
          <w:sz w:val="20"/>
        </w:rPr>
        <w:t xml:space="preserve">under </w:t>
      </w:r>
      <w:r w:rsidR="00FC672F">
        <w:rPr>
          <w:rFonts w:ascii="Arial" w:hAnsi="Arial" w:cs="Arial"/>
          <w:sz w:val="20"/>
        </w:rPr>
        <w:t>rule</w:t>
      </w:r>
      <w:r w:rsidR="00E30E1C">
        <w:rPr>
          <w:rFonts w:ascii="Arial" w:hAnsi="Arial" w:cs="Arial"/>
          <w:sz w:val="20"/>
        </w:rPr>
        <w:t xml:space="preserve"> </w:t>
      </w:r>
      <w:r w:rsidR="00E30E1C">
        <w:rPr>
          <w:rFonts w:ascii="Arial" w:hAnsi="Arial" w:cs="Arial"/>
          <w:sz w:val="20"/>
        </w:rPr>
        <w:fldChar w:fldCharType="begin"/>
      </w:r>
      <w:r w:rsidR="00E30E1C">
        <w:rPr>
          <w:rFonts w:ascii="Arial" w:hAnsi="Arial" w:cs="Arial"/>
          <w:sz w:val="20"/>
        </w:rPr>
        <w:instrText xml:space="preserve"> REF _</w:instrText>
      </w:r>
      <w:r w:rsidR="004B3757">
        <w:rPr>
          <w:rFonts w:ascii="Arial" w:hAnsi="Arial" w:cs="Arial"/>
          <w:sz w:val="20"/>
        </w:rPr>
        <w:instrText>Ref188948201</w:instrText>
      </w:r>
      <w:r w:rsidR="00E30E1C">
        <w:rPr>
          <w:rFonts w:ascii="Arial" w:hAnsi="Arial" w:cs="Arial"/>
          <w:sz w:val="20"/>
        </w:rPr>
        <w:instrText xml:space="preserve"> \r \h </w:instrText>
      </w:r>
      <w:r w:rsidR="00E30E1C">
        <w:rPr>
          <w:rFonts w:ascii="Arial" w:hAnsi="Arial" w:cs="Arial"/>
          <w:sz w:val="20"/>
        </w:rPr>
      </w:r>
      <w:r w:rsidR="00E30E1C">
        <w:rPr>
          <w:rFonts w:ascii="Arial" w:hAnsi="Arial" w:cs="Arial"/>
          <w:sz w:val="20"/>
        </w:rPr>
        <w:fldChar w:fldCharType="separate"/>
      </w:r>
      <w:r w:rsidR="00661E34">
        <w:rPr>
          <w:rFonts w:ascii="Arial" w:hAnsi="Arial" w:cs="Arial"/>
          <w:sz w:val="20"/>
        </w:rPr>
        <w:t>18.1(a)</w:t>
      </w:r>
      <w:r w:rsidR="00E30E1C">
        <w:rPr>
          <w:rFonts w:ascii="Arial" w:hAnsi="Arial" w:cs="Arial"/>
          <w:sz w:val="20"/>
        </w:rPr>
        <w:fldChar w:fldCharType="end"/>
      </w:r>
      <w:r w:rsidRPr="0006114E">
        <w:rPr>
          <w:rFonts w:ascii="Arial" w:hAnsi="Arial" w:cs="Arial"/>
          <w:sz w:val="20"/>
        </w:rPr>
        <w:t>, and</w:t>
      </w:r>
    </w:p>
    <w:p w14:paraId="5FC8298F" w14:textId="2EE33897" w:rsidR="00CD6C08" w:rsidRPr="0006114E" w:rsidRDefault="00CD6C08" w:rsidP="006A1CE1">
      <w:pPr>
        <w:pStyle w:val="Untitledsubclause2"/>
        <w:spacing w:line="240" w:lineRule="auto"/>
        <w:rPr>
          <w:rFonts w:ascii="Arial" w:hAnsi="Arial" w:cs="Arial"/>
          <w:sz w:val="20"/>
        </w:rPr>
      </w:pPr>
      <w:r w:rsidRPr="0006114E">
        <w:rPr>
          <w:rFonts w:ascii="Arial" w:hAnsi="Arial" w:cs="Arial"/>
          <w:sz w:val="20"/>
        </w:rPr>
        <w:t>such earlier date as the Remuneration Committee may specify, in respect of a number of Shares determined by the Remuneration Committee, taking account of the extent to which any Performance Condition</w:t>
      </w:r>
      <w:r w:rsidR="000E1CB9">
        <w:rPr>
          <w:rFonts w:ascii="Arial" w:hAnsi="Arial" w:cs="Arial"/>
          <w:sz w:val="20"/>
        </w:rPr>
        <w:t>(</w:t>
      </w:r>
      <w:r w:rsidRPr="0006114E">
        <w:rPr>
          <w:rFonts w:ascii="Arial" w:hAnsi="Arial" w:cs="Arial"/>
          <w:sz w:val="20"/>
        </w:rPr>
        <w:t>s</w:t>
      </w:r>
      <w:r w:rsidR="000E1CB9">
        <w:rPr>
          <w:rFonts w:ascii="Arial" w:hAnsi="Arial" w:cs="Arial"/>
          <w:sz w:val="20"/>
        </w:rPr>
        <w:t>)</w:t>
      </w:r>
      <w:r w:rsidRPr="0006114E">
        <w:rPr>
          <w:rFonts w:ascii="Arial" w:hAnsi="Arial" w:cs="Arial"/>
          <w:sz w:val="20"/>
        </w:rPr>
        <w:t xml:space="preserve"> has/have been achieved </w:t>
      </w:r>
      <w:r w:rsidR="00286D8E" w:rsidRPr="0006114E">
        <w:rPr>
          <w:rFonts w:ascii="Arial" w:hAnsi="Arial" w:cs="Arial"/>
          <w:sz w:val="20"/>
        </w:rPr>
        <w:t xml:space="preserve">over </w:t>
      </w:r>
      <w:r w:rsidR="00286D8E" w:rsidRPr="00B77DB1">
        <w:rPr>
          <w:rFonts w:ascii="Arial" w:hAnsi="Arial" w:cs="Arial"/>
          <w:sz w:val="20"/>
        </w:rPr>
        <w:t xml:space="preserve">the </w:t>
      </w:r>
      <w:r w:rsidR="00286D8E">
        <w:rPr>
          <w:rFonts w:ascii="Arial" w:hAnsi="Arial" w:cs="Arial"/>
          <w:sz w:val="20"/>
        </w:rPr>
        <w:t>proportion of the Performance P</w:t>
      </w:r>
      <w:r w:rsidR="00286D8E" w:rsidRPr="00B77DB1">
        <w:rPr>
          <w:rFonts w:ascii="Arial" w:hAnsi="Arial" w:cs="Arial"/>
          <w:sz w:val="20"/>
        </w:rPr>
        <w:t xml:space="preserve">eriod </w:t>
      </w:r>
      <w:r w:rsidR="00286D8E">
        <w:rPr>
          <w:rFonts w:ascii="Arial" w:hAnsi="Arial" w:cs="Arial"/>
          <w:sz w:val="20"/>
        </w:rPr>
        <w:t xml:space="preserve">ending with that </w:t>
      </w:r>
      <w:r w:rsidR="00286D8E" w:rsidRPr="0006114E">
        <w:rPr>
          <w:rFonts w:ascii="Arial" w:hAnsi="Arial" w:cs="Arial"/>
          <w:sz w:val="20"/>
        </w:rPr>
        <w:t>date</w:t>
      </w:r>
      <w:r w:rsidR="000C76C5" w:rsidRPr="0006114E">
        <w:rPr>
          <w:rFonts w:ascii="Arial" w:hAnsi="Arial" w:cs="Arial"/>
          <w:sz w:val="20"/>
        </w:rPr>
        <w:t xml:space="preserve"> (or would, in the opinion of the Remuneration Committee, have been achieved over the full Performance Period)</w:t>
      </w:r>
      <w:r w:rsidRPr="0006114E">
        <w:rPr>
          <w:rFonts w:ascii="Arial" w:hAnsi="Arial" w:cs="Arial"/>
          <w:sz w:val="20"/>
        </w:rPr>
        <w:t>.</w:t>
      </w:r>
    </w:p>
    <w:p w14:paraId="40D3F44E" w14:textId="5EE1FF6E" w:rsidR="00AD1B56" w:rsidRPr="0006114E" w:rsidRDefault="00AD1B56" w:rsidP="006A1CE1">
      <w:pPr>
        <w:pStyle w:val="Untitledsubclause1"/>
        <w:spacing w:line="240" w:lineRule="auto"/>
        <w:rPr>
          <w:rFonts w:ascii="Arial" w:hAnsi="Arial" w:cs="Arial"/>
          <w:sz w:val="20"/>
        </w:rPr>
      </w:pPr>
      <w:bookmarkStart w:id="322" w:name="_Ref180142571"/>
      <w:bookmarkStart w:id="323" w:name="a781420"/>
      <w:bookmarkStart w:id="324" w:name="_Ref130804921"/>
      <w:r w:rsidRPr="0006114E">
        <w:rPr>
          <w:rFonts w:ascii="Arial" w:hAnsi="Arial" w:cs="Arial"/>
          <w:sz w:val="20"/>
        </w:rPr>
        <w:t xml:space="preserve">Subject to </w:t>
      </w:r>
      <w:r w:rsidR="00233DBA">
        <w:rPr>
          <w:rFonts w:ascii="Arial" w:hAnsi="Arial" w:cs="Arial"/>
          <w:sz w:val="20"/>
        </w:rPr>
        <w:t xml:space="preserve">rule </w:t>
      </w:r>
      <w:r w:rsidR="00233DBA">
        <w:rPr>
          <w:rFonts w:ascii="Arial" w:hAnsi="Arial" w:cs="Arial"/>
          <w:sz w:val="20"/>
        </w:rPr>
        <w:fldChar w:fldCharType="begin"/>
      </w:r>
      <w:r w:rsidR="00233DBA">
        <w:rPr>
          <w:rFonts w:ascii="Arial" w:hAnsi="Arial" w:cs="Arial"/>
          <w:sz w:val="20"/>
        </w:rPr>
        <w:instrText xml:space="preserve"> REF _Ref180142619 \r \h </w:instrText>
      </w:r>
      <w:r w:rsidR="00233DBA">
        <w:rPr>
          <w:rFonts w:ascii="Arial" w:hAnsi="Arial" w:cs="Arial"/>
          <w:sz w:val="20"/>
        </w:rPr>
      </w:r>
      <w:r w:rsidR="00233DBA">
        <w:rPr>
          <w:rFonts w:ascii="Arial" w:hAnsi="Arial" w:cs="Arial"/>
          <w:sz w:val="20"/>
        </w:rPr>
        <w:fldChar w:fldCharType="separate"/>
      </w:r>
      <w:r w:rsidR="00661E34">
        <w:rPr>
          <w:rFonts w:ascii="Arial" w:hAnsi="Arial" w:cs="Arial"/>
          <w:sz w:val="20"/>
        </w:rPr>
        <w:t>15.4</w:t>
      </w:r>
      <w:r w:rsidR="00233DBA">
        <w:rPr>
          <w:rFonts w:ascii="Arial" w:hAnsi="Arial" w:cs="Arial"/>
          <w:sz w:val="20"/>
        </w:rPr>
        <w:fldChar w:fldCharType="end"/>
      </w:r>
      <w:r w:rsidR="00233DBA">
        <w:rPr>
          <w:rFonts w:ascii="Arial" w:hAnsi="Arial" w:cs="Arial"/>
          <w:sz w:val="20"/>
        </w:rPr>
        <w:t xml:space="preserve"> and </w:t>
      </w:r>
      <w:r w:rsidRPr="0006114E">
        <w:rPr>
          <w:rFonts w:ascii="Arial" w:hAnsi="Arial" w:cs="Arial"/>
          <w:sz w:val="20"/>
        </w:rPr>
        <w:fldChar w:fldCharType="begin"/>
      </w:r>
      <w:r w:rsidRPr="0006114E">
        <w:rPr>
          <w:rFonts w:ascii="Arial" w:hAnsi="Arial" w:cs="Arial"/>
          <w:sz w:val="20"/>
        </w:rPr>
        <w:instrText>PAGEREF a1037750\# "'rule '"  \h</w:instrText>
      </w:r>
      <w:r w:rsidRPr="0006114E">
        <w:rPr>
          <w:rFonts w:ascii="Arial" w:hAnsi="Arial" w:cs="Arial"/>
          <w:sz w:val="20"/>
        </w:rPr>
      </w:r>
      <w:r w:rsidRPr="0006114E">
        <w:rPr>
          <w:rFonts w:ascii="Arial" w:hAnsi="Arial" w:cs="Arial"/>
          <w:sz w:val="20"/>
        </w:rPr>
        <w:fldChar w:fldCharType="separate"/>
      </w:r>
      <w:r w:rsidR="00661E34" w:rsidRPr="0006114E">
        <w:rPr>
          <w:rFonts w:ascii="Arial" w:hAnsi="Arial" w:cs="Arial"/>
          <w:noProof/>
          <w:sz w:val="20"/>
        </w:rPr>
        <w:t xml:space="preserve">rule </w:t>
      </w:r>
      <w:r w:rsidRPr="0006114E">
        <w:rPr>
          <w:rFonts w:ascii="Arial" w:hAnsi="Arial" w:cs="Arial"/>
          <w:sz w:val="20"/>
        </w:rPr>
        <w:fldChar w:fldCharType="end"/>
      </w:r>
      <w:r w:rsidRPr="0006114E">
        <w:rPr>
          <w:rFonts w:ascii="Arial" w:hAnsi="Arial" w:cs="Arial"/>
          <w:sz w:val="20"/>
        </w:rPr>
        <w:fldChar w:fldCharType="begin"/>
      </w:r>
      <w:r w:rsidRPr="0006114E">
        <w:rPr>
          <w:rFonts w:ascii="Arial" w:hAnsi="Arial" w:cs="Arial"/>
          <w:sz w:val="20"/>
          <w:highlight w:val="lightGray"/>
        </w:rPr>
        <w:instrText>REF a1037750 \h \w</w:instrText>
      </w:r>
      <w:r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highlight w:val="lightGray"/>
        </w:rPr>
        <w:t>17</w:t>
      </w:r>
      <w:r w:rsidRPr="0006114E">
        <w:rPr>
          <w:rFonts w:ascii="Arial" w:hAnsi="Arial" w:cs="Arial"/>
          <w:sz w:val="20"/>
        </w:rPr>
        <w:fldChar w:fldCharType="end"/>
      </w:r>
      <w:r w:rsidRPr="0006114E">
        <w:rPr>
          <w:rFonts w:ascii="Arial" w:hAnsi="Arial" w:cs="Arial"/>
          <w:sz w:val="20"/>
        </w:rPr>
        <w:t>, i</w:t>
      </w:r>
      <w:r w:rsidR="00CD6C08" w:rsidRPr="0006114E">
        <w:rPr>
          <w:rFonts w:ascii="Arial" w:hAnsi="Arial" w:cs="Arial"/>
          <w:sz w:val="20"/>
        </w:rPr>
        <w:t>f the Award Holder becomes a Good Leaver</w:t>
      </w:r>
      <w:r w:rsidR="005D39B1" w:rsidRPr="0006114E">
        <w:rPr>
          <w:rFonts w:ascii="Arial" w:hAnsi="Arial" w:cs="Arial"/>
          <w:sz w:val="20"/>
        </w:rPr>
        <w:t>:</w:t>
      </w:r>
      <w:bookmarkEnd w:id="322"/>
    </w:p>
    <w:p w14:paraId="7B0A277D" w14:textId="6A47F515" w:rsidR="005D39B1" w:rsidRPr="0006114E" w:rsidRDefault="00CD6C08" w:rsidP="006A1CE1">
      <w:pPr>
        <w:pStyle w:val="Untitledsubclause2"/>
        <w:numPr>
          <w:ilvl w:val="2"/>
          <w:numId w:val="35"/>
        </w:numPr>
        <w:spacing w:line="240" w:lineRule="auto"/>
        <w:rPr>
          <w:rFonts w:ascii="Arial" w:hAnsi="Arial" w:cs="Arial"/>
          <w:sz w:val="20"/>
        </w:rPr>
      </w:pPr>
      <w:r w:rsidRPr="0006114E">
        <w:rPr>
          <w:rFonts w:ascii="Arial" w:hAnsi="Arial" w:cs="Arial"/>
          <w:sz w:val="20"/>
        </w:rPr>
        <w:t xml:space="preserve">before the Ordinary Vesting Date, they (or their personal representatives where they have died) may exercise </w:t>
      </w:r>
      <w:r w:rsidR="00525261">
        <w:rPr>
          <w:rFonts w:ascii="Arial" w:hAnsi="Arial" w:cs="Arial"/>
          <w:sz w:val="20"/>
        </w:rPr>
        <w:t>any</w:t>
      </w:r>
      <w:r w:rsidRPr="0006114E">
        <w:rPr>
          <w:rFonts w:ascii="Arial" w:hAnsi="Arial" w:cs="Arial"/>
          <w:sz w:val="20"/>
        </w:rPr>
        <w:t xml:space="preserve"> Option during the period</w:t>
      </w:r>
      <w:r w:rsidR="000B72B0" w:rsidRPr="0006114E">
        <w:rPr>
          <w:rFonts w:ascii="Arial" w:hAnsi="Arial" w:cs="Arial"/>
          <w:sz w:val="20"/>
        </w:rPr>
        <w:t xml:space="preserve"> </w:t>
      </w:r>
      <w:r w:rsidR="00743457" w:rsidRPr="0006114E">
        <w:rPr>
          <w:rFonts w:ascii="Arial" w:hAnsi="Arial" w:cs="Arial"/>
          <w:sz w:val="20"/>
        </w:rPr>
        <w:t xml:space="preserve">of six months (or such longer period as </w:t>
      </w:r>
      <w:r w:rsidR="00990301" w:rsidRPr="0006114E">
        <w:rPr>
          <w:rFonts w:ascii="Arial" w:hAnsi="Arial" w:cs="Arial"/>
          <w:sz w:val="20"/>
        </w:rPr>
        <w:t>the</w:t>
      </w:r>
      <w:r w:rsidR="00743457" w:rsidRPr="0006114E">
        <w:rPr>
          <w:rFonts w:ascii="Arial" w:hAnsi="Arial" w:cs="Arial"/>
          <w:sz w:val="20"/>
        </w:rPr>
        <w:t xml:space="preserve"> Remuneration Committee</w:t>
      </w:r>
      <w:r w:rsidR="00990301" w:rsidRPr="0006114E">
        <w:rPr>
          <w:rFonts w:ascii="Arial" w:hAnsi="Arial" w:cs="Arial"/>
          <w:sz w:val="20"/>
        </w:rPr>
        <w:t xml:space="preserve"> decides</w:t>
      </w:r>
      <w:r w:rsidR="00743457" w:rsidRPr="0006114E">
        <w:rPr>
          <w:rFonts w:ascii="Arial" w:hAnsi="Arial" w:cs="Arial"/>
          <w:sz w:val="20"/>
        </w:rPr>
        <w:t xml:space="preserve">) </w:t>
      </w:r>
      <w:r w:rsidRPr="0006114E">
        <w:rPr>
          <w:rFonts w:ascii="Arial" w:hAnsi="Arial" w:cs="Arial"/>
          <w:sz w:val="20"/>
        </w:rPr>
        <w:t xml:space="preserve">beginning on the date it Vests under rule </w:t>
      </w:r>
      <w:r w:rsidRPr="0006114E">
        <w:rPr>
          <w:rFonts w:ascii="Arial" w:hAnsi="Arial" w:cs="Arial"/>
          <w:sz w:val="20"/>
        </w:rPr>
        <w:fldChar w:fldCharType="begin"/>
      </w:r>
      <w:r w:rsidRPr="0006114E">
        <w:rPr>
          <w:rFonts w:ascii="Arial" w:hAnsi="Arial" w:cs="Arial"/>
          <w:sz w:val="20"/>
        </w:rPr>
        <w:instrText xml:space="preserve"> REF _Ref79504567 \r \h </w:instrText>
      </w:r>
      <w:r w:rsidR="004C1A6B" w:rsidRPr="0006114E">
        <w:rPr>
          <w:rFonts w:ascii="Arial" w:hAnsi="Arial" w:cs="Arial"/>
          <w:sz w:val="20"/>
        </w:rPr>
        <w:instrText xml:space="preserve"> \* MERGEFORMAT </w:instrText>
      </w:r>
      <w:r w:rsidRPr="0006114E">
        <w:rPr>
          <w:rFonts w:ascii="Arial" w:hAnsi="Arial" w:cs="Arial"/>
          <w:sz w:val="20"/>
        </w:rPr>
      </w:r>
      <w:r w:rsidRPr="0006114E">
        <w:rPr>
          <w:rFonts w:ascii="Arial" w:hAnsi="Arial" w:cs="Arial"/>
          <w:sz w:val="20"/>
        </w:rPr>
        <w:fldChar w:fldCharType="separate"/>
      </w:r>
      <w:r w:rsidR="00661E34">
        <w:rPr>
          <w:rFonts w:ascii="Arial" w:hAnsi="Arial" w:cs="Arial"/>
          <w:sz w:val="20"/>
        </w:rPr>
        <w:t>15.2</w:t>
      </w:r>
      <w:r w:rsidRPr="0006114E">
        <w:rPr>
          <w:rFonts w:ascii="Arial" w:hAnsi="Arial" w:cs="Arial"/>
          <w:sz w:val="20"/>
        </w:rPr>
        <w:fldChar w:fldCharType="end"/>
      </w:r>
      <w:r w:rsidRPr="0006114E">
        <w:rPr>
          <w:rFonts w:ascii="Arial" w:hAnsi="Arial" w:cs="Arial"/>
          <w:sz w:val="20"/>
        </w:rPr>
        <w:t xml:space="preserve"> above</w:t>
      </w:r>
      <w:r w:rsidR="000B72B0" w:rsidRPr="0006114E">
        <w:rPr>
          <w:rFonts w:ascii="Arial" w:hAnsi="Arial" w:cs="Arial"/>
          <w:sz w:val="20"/>
        </w:rPr>
        <w:t>,</w:t>
      </w:r>
      <w:r w:rsidR="00A23354">
        <w:rPr>
          <w:rFonts w:ascii="Arial" w:hAnsi="Arial" w:cs="Arial"/>
          <w:sz w:val="20"/>
        </w:rPr>
        <w:t xml:space="preserve"> and upon the expiry of that period it shall lapse,</w:t>
      </w:r>
      <w:r w:rsidR="000B72B0" w:rsidRPr="0006114E">
        <w:rPr>
          <w:rFonts w:ascii="Arial" w:hAnsi="Arial" w:cs="Arial"/>
          <w:sz w:val="20"/>
        </w:rPr>
        <w:t xml:space="preserve"> or</w:t>
      </w:r>
    </w:p>
    <w:p w14:paraId="1F484B0A" w14:textId="6F72951A" w:rsidR="00CD6C08" w:rsidRPr="0006114E" w:rsidRDefault="00CD6C08" w:rsidP="006A1CE1">
      <w:pPr>
        <w:pStyle w:val="Untitledsubclause2"/>
        <w:numPr>
          <w:ilvl w:val="2"/>
          <w:numId w:val="35"/>
        </w:numPr>
        <w:spacing w:line="240" w:lineRule="auto"/>
        <w:rPr>
          <w:rFonts w:ascii="Arial" w:hAnsi="Arial" w:cs="Arial"/>
          <w:sz w:val="20"/>
        </w:rPr>
      </w:pPr>
      <w:r w:rsidRPr="0006114E">
        <w:rPr>
          <w:rFonts w:ascii="Arial" w:hAnsi="Arial" w:cs="Arial"/>
          <w:sz w:val="20"/>
        </w:rPr>
        <w:t>on or after the Ordinary Vesting Date</w:t>
      </w:r>
      <w:r w:rsidR="00D26342" w:rsidRPr="0006114E">
        <w:rPr>
          <w:rFonts w:ascii="Arial" w:hAnsi="Arial" w:cs="Arial"/>
          <w:sz w:val="20"/>
        </w:rPr>
        <w:t>, they</w:t>
      </w:r>
      <w:r w:rsidR="00BC3244" w:rsidRPr="0006114E">
        <w:rPr>
          <w:rFonts w:ascii="Arial" w:hAnsi="Arial" w:cs="Arial"/>
          <w:sz w:val="20"/>
        </w:rPr>
        <w:t xml:space="preserve"> (or their personal representatives) </w:t>
      </w:r>
      <w:r w:rsidRPr="0006114E">
        <w:rPr>
          <w:rFonts w:ascii="Arial" w:hAnsi="Arial" w:cs="Arial"/>
          <w:sz w:val="20"/>
        </w:rPr>
        <w:t xml:space="preserve">may exercise </w:t>
      </w:r>
      <w:r w:rsidR="00B22379">
        <w:rPr>
          <w:rFonts w:ascii="Arial" w:hAnsi="Arial" w:cs="Arial"/>
          <w:sz w:val="20"/>
        </w:rPr>
        <w:t xml:space="preserve">any </w:t>
      </w:r>
      <w:r w:rsidRPr="0006114E">
        <w:rPr>
          <w:rFonts w:ascii="Arial" w:hAnsi="Arial" w:cs="Arial"/>
          <w:sz w:val="20"/>
        </w:rPr>
        <w:t xml:space="preserve">Option </w:t>
      </w:r>
      <w:r w:rsidR="00743457" w:rsidRPr="0006114E">
        <w:rPr>
          <w:rFonts w:ascii="Arial" w:hAnsi="Arial" w:cs="Arial"/>
          <w:sz w:val="20"/>
        </w:rPr>
        <w:t>during the period of six months (or such longer period as the Remuneration Committee</w:t>
      </w:r>
      <w:r w:rsidR="00990301" w:rsidRPr="0006114E">
        <w:rPr>
          <w:rFonts w:ascii="Arial" w:hAnsi="Arial" w:cs="Arial"/>
          <w:sz w:val="20"/>
        </w:rPr>
        <w:t xml:space="preserve"> decides</w:t>
      </w:r>
      <w:r w:rsidR="00743457" w:rsidRPr="0006114E">
        <w:rPr>
          <w:rFonts w:ascii="Arial" w:hAnsi="Arial" w:cs="Arial"/>
          <w:sz w:val="20"/>
        </w:rPr>
        <w:t>)</w:t>
      </w:r>
      <w:r w:rsidR="00D832B5" w:rsidRPr="0006114E">
        <w:rPr>
          <w:rFonts w:ascii="Arial" w:hAnsi="Arial" w:cs="Arial"/>
          <w:sz w:val="20"/>
        </w:rPr>
        <w:t xml:space="preserve"> beginning on </w:t>
      </w:r>
      <w:r w:rsidRPr="0006114E">
        <w:rPr>
          <w:rFonts w:ascii="Arial" w:hAnsi="Arial" w:cs="Arial"/>
          <w:sz w:val="20"/>
        </w:rPr>
        <w:t xml:space="preserve">the date </w:t>
      </w:r>
      <w:bookmarkStart w:id="325" w:name="a142377"/>
      <w:r w:rsidRPr="0006114E">
        <w:rPr>
          <w:rFonts w:ascii="Arial" w:hAnsi="Arial" w:cs="Arial"/>
          <w:sz w:val="20"/>
        </w:rPr>
        <w:t>the</w:t>
      </w:r>
      <w:r w:rsidR="00CE65EA" w:rsidRPr="0006114E">
        <w:rPr>
          <w:rFonts w:ascii="Arial" w:hAnsi="Arial" w:cs="Arial"/>
          <w:sz w:val="20"/>
        </w:rPr>
        <w:t>y</w:t>
      </w:r>
      <w:r w:rsidRPr="0006114E">
        <w:rPr>
          <w:rFonts w:ascii="Arial" w:hAnsi="Arial" w:cs="Arial"/>
          <w:sz w:val="20"/>
        </w:rPr>
        <w:t xml:space="preserve"> become a Good Leaver</w:t>
      </w:r>
      <w:bookmarkEnd w:id="323"/>
      <w:bookmarkEnd w:id="324"/>
      <w:bookmarkEnd w:id="325"/>
      <w:r w:rsidR="000146B2">
        <w:rPr>
          <w:rFonts w:ascii="Arial" w:hAnsi="Arial" w:cs="Arial"/>
          <w:sz w:val="20"/>
        </w:rPr>
        <w:t>, and upon the expiry of that period it shall lapse</w:t>
      </w:r>
      <w:r w:rsidR="00E665B8" w:rsidRPr="0006114E">
        <w:rPr>
          <w:rFonts w:ascii="Arial" w:hAnsi="Arial" w:cs="Arial"/>
          <w:sz w:val="20"/>
        </w:rPr>
        <w:t>.</w:t>
      </w:r>
    </w:p>
    <w:p w14:paraId="2C4910B7" w14:textId="2DF4E416" w:rsidR="002B2B2D" w:rsidRPr="002B2B2D" w:rsidRDefault="002B2B2D" w:rsidP="002B2B2D">
      <w:pPr>
        <w:pStyle w:val="Untitledsubclause1"/>
        <w:spacing w:line="240" w:lineRule="auto"/>
        <w:rPr>
          <w:rFonts w:ascii="Arial" w:hAnsi="Arial" w:cs="Arial"/>
          <w:sz w:val="20"/>
          <w:lang w:val="en-GB"/>
        </w:rPr>
      </w:pPr>
      <w:bookmarkStart w:id="326" w:name="_Ref180142619"/>
      <w:r w:rsidRPr="002B2B2D">
        <w:rPr>
          <w:rFonts w:ascii="Arial" w:hAnsi="Arial" w:cs="Arial"/>
          <w:sz w:val="20"/>
          <w:lang w:val="en-GB"/>
        </w:rPr>
        <w:lastRenderedPageBreak/>
        <w:t xml:space="preserve">Where an Option is subject to a Holding Period, the references to a period of six months in </w:t>
      </w:r>
      <w:r>
        <w:rPr>
          <w:rFonts w:ascii="Arial" w:hAnsi="Arial" w:cs="Arial"/>
          <w:sz w:val="20"/>
          <w:lang w:val="en-GB"/>
        </w:rPr>
        <w:t xml:space="preserve">rule </w:t>
      </w:r>
      <w:r w:rsidR="00CE31CB">
        <w:rPr>
          <w:rFonts w:ascii="Arial" w:hAnsi="Arial" w:cs="Arial"/>
          <w:sz w:val="20"/>
          <w:lang w:val="en-GB"/>
        </w:rPr>
        <w:fldChar w:fldCharType="begin"/>
      </w:r>
      <w:r w:rsidR="00CE31CB">
        <w:rPr>
          <w:rFonts w:ascii="Arial" w:hAnsi="Arial" w:cs="Arial"/>
          <w:sz w:val="20"/>
          <w:lang w:val="en-GB"/>
        </w:rPr>
        <w:instrText xml:space="preserve"> REF _Ref180142571 \r \h </w:instrText>
      </w:r>
      <w:r w:rsidR="00CE31CB">
        <w:rPr>
          <w:rFonts w:ascii="Arial" w:hAnsi="Arial" w:cs="Arial"/>
          <w:sz w:val="20"/>
          <w:lang w:val="en-GB"/>
        </w:rPr>
      </w:r>
      <w:r w:rsidR="00CE31CB">
        <w:rPr>
          <w:rFonts w:ascii="Arial" w:hAnsi="Arial" w:cs="Arial"/>
          <w:sz w:val="20"/>
          <w:lang w:val="en-GB"/>
        </w:rPr>
        <w:fldChar w:fldCharType="separate"/>
      </w:r>
      <w:r w:rsidR="00661E34">
        <w:rPr>
          <w:rFonts w:ascii="Arial" w:hAnsi="Arial" w:cs="Arial"/>
          <w:sz w:val="20"/>
          <w:lang w:val="en-GB"/>
        </w:rPr>
        <w:t>15.3</w:t>
      </w:r>
      <w:r w:rsidR="00CE31CB">
        <w:rPr>
          <w:rFonts w:ascii="Arial" w:hAnsi="Arial" w:cs="Arial"/>
          <w:sz w:val="20"/>
          <w:lang w:val="en-GB"/>
        </w:rPr>
        <w:fldChar w:fldCharType="end"/>
      </w:r>
      <w:r w:rsidRPr="002B2B2D">
        <w:rPr>
          <w:rFonts w:ascii="Arial" w:hAnsi="Arial" w:cs="Arial"/>
          <w:sz w:val="20"/>
          <w:lang w:val="en-GB"/>
        </w:rPr>
        <w:t xml:space="preserve"> above shall be read to be the later of the expiry of the relevant period of six months and the expiry of a period of 28 days after the end of the applicable Holding Period (or such longer period as the Remuneration Committee decides).</w:t>
      </w:r>
      <w:bookmarkEnd w:id="326"/>
    </w:p>
    <w:p w14:paraId="69BEB45D" w14:textId="6768CE24" w:rsidR="00C54DC5" w:rsidRPr="0006114E" w:rsidRDefault="00C54DC5" w:rsidP="006A1CE1">
      <w:pPr>
        <w:pStyle w:val="Untitledsubclause1"/>
        <w:spacing w:line="240" w:lineRule="auto"/>
        <w:rPr>
          <w:rFonts w:ascii="Arial" w:hAnsi="Arial" w:cs="Arial"/>
          <w:sz w:val="20"/>
        </w:rPr>
      </w:pPr>
      <w:r w:rsidRPr="0006114E">
        <w:rPr>
          <w:rFonts w:ascii="Arial" w:hAnsi="Arial" w:cs="Arial"/>
          <w:sz w:val="20"/>
          <w:lang w:val="en-GB"/>
        </w:rPr>
        <w:t xml:space="preserve">If an Award Holder becomes a Good Leaver by reason of death, any </w:t>
      </w:r>
      <w:r w:rsidR="0062685F" w:rsidRPr="0006114E">
        <w:rPr>
          <w:rFonts w:ascii="Arial" w:hAnsi="Arial" w:cs="Arial"/>
          <w:sz w:val="20"/>
          <w:lang w:val="en-GB"/>
        </w:rPr>
        <w:t>H</w:t>
      </w:r>
      <w:r w:rsidRPr="0006114E">
        <w:rPr>
          <w:rFonts w:ascii="Arial" w:hAnsi="Arial" w:cs="Arial"/>
          <w:sz w:val="20"/>
          <w:lang w:val="en-GB"/>
        </w:rPr>
        <w:t xml:space="preserve">olding </w:t>
      </w:r>
      <w:r w:rsidR="0062685F" w:rsidRPr="0006114E">
        <w:rPr>
          <w:rFonts w:ascii="Arial" w:hAnsi="Arial" w:cs="Arial"/>
          <w:sz w:val="20"/>
          <w:lang w:val="en-GB"/>
        </w:rPr>
        <w:t>P</w:t>
      </w:r>
      <w:r w:rsidRPr="0006114E">
        <w:rPr>
          <w:rFonts w:ascii="Arial" w:hAnsi="Arial" w:cs="Arial"/>
          <w:sz w:val="20"/>
          <w:lang w:val="en-GB"/>
        </w:rPr>
        <w:t>eriod which would otherwise apply to any Shares acquired pursuant to their Award by their personal representatives shall not apply.</w:t>
      </w:r>
    </w:p>
    <w:p w14:paraId="56712EC4" w14:textId="34072737" w:rsidR="001B21E5" w:rsidRPr="0006114E" w:rsidRDefault="00D8597D" w:rsidP="006A1CE1">
      <w:pPr>
        <w:pStyle w:val="TitleClause"/>
        <w:numPr>
          <w:ilvl w:val="0"/>
          <w:numId w:val="34"/>
        </w:numPr>
        <w:spacing w:line="240" w:lineRule="auto"/>
        <w:rPr>
          <w:rFonts w:ascii="Arial" w:hAnsi="Arial" w:cs="Arial"/>
          <w:sz w:val="20"/>
        </w:rPr>
      </w:pPr>
      <w:bookmarkStart w:id="327" w:name="_Toc145339789"/>
      <w:bookmarkStart w:id="328" w:name="_Toc131682139"/>
      <w:bookmarkStart w:id="329" w:name="_Toc107828232"/>
      <w:bookmarkStart w:id="330" w:name="_Toc152661660"/>
      <w:bookmarkStart w:id="331" w:name="_Toc159952466"/>
      <w:bookmarkStart w:id="332" w:name="_Toc168490287"/>
      <w:bookmarkStart w:id="333" w:name="_Toc187838778"/>
      <w:bookmarkStart w:id="334" w:name="_Toc188629312"/>
      <w:bookmarkStart w:id="335" w:name="_Toc191381412"/>
      <w:r w:rsidRPr="0006114E">
        <w:rPr>
          <w:rFonts w:ascii="Arial" w:hAnsi="Arial" w:cs="Arial"/>
          <w:sz w:val="20"/>
        </w:rPr>
        <w:t>Termination of employment (</w:t>
      </w:r>
      <w:r w:rsidR="00A10022" w:rsidRPr="0006114E">
        <w:rPr>
          <w:rFonts w:ascii="Arial" w:hAnsi="Arial" w:cs="Arial"/>
          <w:sz w:val="20"/>
        </w:rPr>
        <w:t>timing</w:t>
      </w:r>
      <w:r w:rsidRPr="0006114E">
        <w:rPr>
          <w:rFonts w:ascii="Arial" w:hAnsi="Arial" w:cs="Arial"/>
          <w:sz w:val="20"/>
        </w:rPr>
        <w:t>)</w:t>
      </w:r>
      <w:bookmarkEnd w:id="299"/>
      <w:bookmarkEnd w:id="300"/>
      <w:bookmarkEnd w:id="301"/>
      <w:bookmarkEnd w:id="327"/>
      <w:bookmarkEnd w:id="328"/>
      <w:bookmarkEnd w:id="329"/>
      <w:bookmarkEnd w:id="330"/>
      <w:bookmarkEnd w:id="331"/>
      <w:bookmarkEnd w:id="332"/>
      <w:bookmarkEnd w:id="333"/>
      <w:bookmarkEnd w:id="334"/>
      <w:bookmarkEnd w:id="335"/>
    </w:p>
    <w:p w14:paraId="56712EC5" w14:textId="4F773C57" w:rsidR="00D33C4E" w:rsidRPr="0006114E" w:rsidRDefault="00D8597D" w:rsidP="006A1CE1">
      <w:pPr>
        <w:pStyle w:val="Untitledsubclause1"/>
        <w:spacing w:line="240" w:lineRule="auto"/>
        <w:rPr>
          <w:rFonts w:ascii="Arial" w:hAnsi="Arial" w:cs="Arial"/>
          <w:sz w:val="20"/>
        </w:rPr>
      </w:pPr>
      <w:r w:rsidRPr="0006114E">
        <w:rPr>
          <w:rFonts w:ascii="Arial" w:hAnsi="Arial" w:cs="Arial"/>
          <w:sz w:val="20"/>
        </w:rPr>
        <w:t xml:space="preserve">Subject to rule </w:t>
      </w:r>
      <w:r w:rsidR="00BE06B9" w:rsidRPr="0006114E">
        <w:rPr>
          <w:rFonts w:ascii="Arial" w:hAnsi="Arial" w:cs="Arial"/>
          <w:sz w:val="20"/>
        </w:rPr>
        <w:fldChar w:fldCharType="begin"/>
      </w:r>
      <w:r w:rsidR="00BE06B9" w:rsidRPr="0006114E">
        <w:rPr>
          <w:rFonts w:ascii="Arial" w:hAnsi="Arial" w:cs="Arial"/>
          <w:sz w:val="20"/>
        </w:rPr>
        <w:instrText xml:space="preserve"> REF _Ref100309725 \r \h </w:instrText>
      </w:r>
      <w:r w:rsidR="004C1A6B" w:rsidRPr="0006114E">
        <w:rPr>
          <w:rFonts w:ascii="Arial" w:hAnsi="Arial" w:cs="Arial"/>
          <w:sz w:val="20"/>
        </w:rPr>
        <w:instrText xml:space="preserve"> \* MERGEFORMAT </w:instrText>
      </w:r>
      <w:r w:rsidR="00BE06B9" w:rsidRPr="0006114E">
        <w:rPr>
          <w:rFonts w:ascii="Arial" w:hAnsi="Arial" w:cs="Arial"/>
          <w:sz w:val="20"/>
        </w:rPr>
      </w:r>
      <w:r w:rsidR="00BE06B9" w:rsidRPr="0006114E">
        <w:rPr>
          <w:rFonts w:ascii="Arial" w:hAnsi="Arial" w:cs="Arial"/>
          <w:sz w:val="20"/>
        </w:rPr>
        <w:fldChar w:fldCharType="separate"/>
      </w:r>
      <w:r w:rsidR="00661E34">
        <w:rPr>
          <w:rFonts w:ascii="Arial" w:hAnsi="Arial" w:cs="Arial"/>
          <w:sz w:val="20"/>
        </w:rPr>
        <w:t>16.2</w:t>
      </w:r>
      <w:r w:rsidR="00BE06B9" w:rsidRPr="0006114E">
        <w:rPr>
          <w:rFonts w:ascii="Arial" w:hAnsi="Arial" w:cs="Arial"/>
          <w:sz w:val="20"/>
        </w:rPr>
        <w:fldChar w:fldCharType="end"/>
      </w:r>
      <w:r w:rsidRPr="0006114E">
        <w:rPr>
          <w:rFonts w:ascii="Arial" w:hAnsi="Arial" w:cs="Arial"/>
          <w:sz w:val="20"/>
        </w:rPr>
        <w:t xml:space="preserve">, </w:t>
      </w:r>
      <w:r w:rsidR="00AA32FF" w:rsidRPr="0006114E">
        <w:rPr>
          <w:rFonts w:ascii="Arial" w:hAnsi="Arial" w:cs="Arial"/>
          <w:sz w:val="20"/>
        </w:rPr>
        <w:t>an Award Holder</w:t>
      </w:r>
      <w:r w:rsidRPr="0006114E">
        <w:rPr>
          <w:rFonts w:ascii="Arial" w:hAnsi="Arial" w:cs="Arial"/>
          <w:sz w:val="20"/>
        </w:rPr>
        <w:t xml:space="preserve"> shall not be treated as ceasing to be an Employee until he or she no longer holds any office or employment with any Group Company. </w:t>
      </w:r>
      <w:r w:rsidR="00AA32FF" w:rsidRPr="0006114E">
        <w:rPr>
          <w:rFonts w:ascii="Arial" w:hAnsi="Arial" w:cs="Arial"/>
          <w:sz w:val="20"/>
        </w:rPr>
        <w:t>An Award Holder</w:t>
      </w:r>
      <w:r w:rsidRPr="0006114E">
        <w:rPr>
          <w:rFonts w:ascii="Arial" w:hAnsi="Arial" w:cs="Arial"/>
          <w:sz w:val="20"/>
        </w:rPr>
        <w:t xml:space="preserve"> who ceases to be an Employee in circumstances where they retain a statutory right to return to work shall only be treated as having ceased to be an Employee from such time (if at all) as they cease to have such a right to return to work.</w:t>
      </w:r>
    </w:p>
    <w:p w14:paraId="63835339" w14:textId="6495C18F" w:rsidR="00BD68D1" w:rsidRPr="00CF1CF9" w:rsidRDefault="00BD68D1" w:rsidP="00BD68D1">
      <w:pPr>
        <w:pStyle w:val="Untitledsubclause1"/>
        <w:spacing w:line="240" w:lineRule="auto"/>
        <w:rPr>
          <w:rFonts w:ascii="Arial" w:hAnsi="Arial" w:cs="Arial"/>
          <w:sz w:val="20"/>
        </w:rPr>
      </w:pPr>
      <w:bookmarkStart w:id="336" w:name="_Ref150955246"/>
      <w:bookmarkEnd w:id="302"/>
      <w:r w:rsidRPr="00CF1CF9">
        <w:rPr>
          <w:rFonts w:ascii="Arial" w:hAnsi="Arial" w:cs="Arial"/>
          <w:sz w:val="20"/>
        </w:rPr>
        <w:t>The</w:t>
      </w:r>
      <w:bookmarkStart w:id="337" w:name="_Ref100309725"/>
      <w:bookmarkStart w:id="338" w:name="_Ref159323034"/>
      <w:bookmarkEnd w:id="336"/>
      <w:r w:rsidRPr="00CF1CF9">
        <w:rPr>
          <w:rFonts w:ascii="Arial" w:hAnsi="Arial" w:cs="Arial"/>
          <w:sz w:val="20"/>
        </w:rPr>
        <w:t xml:space="preserve"> Remuneration Committee may determine that an Award Holder will be treated as ceasing to be an Employee when he or she gives</w:t>
      </w:r>
      <w:r w:rsidR="00E67FE6">
        <w:rPr>
          <w:rFonts w:ascii="Arial" w:hAnsi="Arial" w:cs="Arial"/>
          <w:sz w:val="20"/>
        </w:rPr>
        <w:t xml:space="preserve"> or receives</w:t>
      </w:r>
      <w:r w:rsidRPr="00CF1CF9">
        <w:rPr>
          <w:rFonts w:ascii="Arial" w:hAnsi="Arial" w:cs="Arial"/>
          <w:sz w:val="20"/>
        </w:rPr>
        <w:t xml:space="preserve"> notice of termination of his or her employment.</w:t>
      </w:r>
      <w:bookmarkEnd w:id="337"/>
      <w:bookmarkEnd w:id="338"/>
    </w:p>
    <w:p w14:paraId="56712EC7" w14:textId="56A76E16"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"20. Takeovers and liquidations" \l 1</w:instrText>
      </w:r>
      <w:r w:rsidRPr="0006114E">
        <w:rPr>
          <w:rFonts w:ascii="Arial" w:hAnsi="Arial" w:cs="Arial"/>
          <w:sz w:val="20"/>
        </w:rPr>
        <w:fldChar w:fldCharType="end"/>
      </w:r>
      <w:r w:rsidR="00D92BB4" w:rsidRPr="0006114E">
        <w:rPr>
          <w:rFonts w:ascii="Arial" w:hAnsi="Arial" w:cs="Arial"/>
          <w:sz w:val="20"/>
        </w:rPr>
        <w:fldChar w:fldCharType="begin"/>
      </w:r>
      <w:r w:rsidR="00D92BB4" w:rsidRPr="0006114E">
        <w:rPr>
          <w:rFonts w:ascii="Arial" w:hAnsi="Arial" w:cs="Arial"/>
          <w:sz w:val="20"/>
        </w:rPr>
        <w:instrText>TC "20. Takeovers and liquidations" \l 1</w:instrText>
      </w:r>
      <w:r w:rsidR="00D92BB4" w:rsidRPr="0006114E">
        <w:rPr>
          <w:rFonts w:ascii="Arial" w:hAnsi="Arial" w:cs="Arial"/>
          <w:sz w:val="20"/>
        </w:rPr>
        <w:fldChar w:fldCharType="end"/>
      </w:r>
      <w:bookmarkStart w:id="339" w:name="_Toc103273409"/>
      <w:bookmarkStart w:id="340" w:name="a1037750"/>
      <w:bookmarkStart w:id="341" w:name="_Toc107828234"/>
      <w:bookmarkStart w:id="342" w:name="_Toc109738474"/>
      <w:bookmarkStart w:id="343" w:name="_Toc145339791"/>
      <w:bookmarkStart w:id="344" w:name="_Toc131682141"/>
      <w:bookmarkStart w:id="345" w:name="_Toc152661662"/>
      <w:bookmarkStart w:id="346" w:name="_Toc159952467"/>
      <w:bookmarkStart w:id="347" w:name="_Toc168490288"/>
      <w:bookmarkStart w:id="348" w:name="_Ref173664261"/>
      <w:bookmarkStart w:id="349" w:name="_Ref175226484"/>
      <w:bookmarkStart w:id="350" w:name="_Toc187838779"/>
      <w:bookmarkStart w:id="351" w:name="_Toc188629313"/>
      <w:bookmarkStart w:id="352" w:name="_Ref191379490"/>
      <w:bookmarkStart w:id="353" w:name="_Toc191381413"/>
      <w:r w:rsidR="00D92BB4" w:rsidRPr="0006114E">
        <w:rPr>
          <w:rFonts w:ascii="Arial" w:hAnsi="Arial" w:cs="Arial"/>
          <w:sz w:val="20"/>
        </w:rPr>
        <w:t>Takeovers and liquidations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CF56598" w14:textId="2DD8DA76" w:rsidR="008D30FA" w:rsidRPr="0006114E" w:rsidRDefault="009778A7" w:rsidP="006A1CE1">
      <w:pPr>
        <w:pStyle w:val="Untitledsubclause1"/>
        <w:spacing w:line="240" w:lineRule="auto"/>
        <w:rPr>
          <w:rFonts w:ascii="Arial" w:hAnsi="Arial" w:cs="Arial"/>
          <w:sz w:val="20"/>
        </w:rPr>
      </w:pPr>
      <w:bookmarkStart w:id="354" w:name="a324210"/>
      <w:r w:rsidRPr="0006114E">
        <w:rPr>
          <w:rFonts w:ascii="Arial" w:hAnsi="Arial" w:cs="Arial"/>
          <w:sz w:val="20"/>
        </w:rPr>
        <w:t xml:space="preserve">Subject to </w:t>
      </w:r>
      <w:r w:rsidR="00AC6B2F" w:rsidRPr="0006114E">
        <w:rPr>
          <w:rFonts w:ascii="Arial" w:hAnsi="Arial" w:cs="Arial"/>
          <w:sz w:val="20"/>
        </w:rPr>
        <w:t xml:space="preserve">the rest of this rule </w:t>
      </w:r>
      <w:r w:rsidR="00AC6B2F" w:rsidRPr="0006114E">
        <w:rPr>
          <w:rFonts w:ascii="Arial" w:hAnsi="Arial" w:cs="Arial"/>
          <w:sz w:val="20"/>
        </w:rPr>
        <w:fldChar w:fldCharType="begin"/>
      </w:r>
      <w:r w:rsidR="00AC6B2F" w:rsidRPr="0006114E">
        <w:rPr>
          <w:rFonts w:ascii="Arial" w:hAnsi="Arial" w:cs="Arial"/>
          <w:sz w:val="20"/>
        </w:rPr>
        <w:instrText xml:space="preserve"> REF _Ref175226484 \r \h </w:instrText>
      </w:r>
      <w:r w:rsidR="00906530" w:rsidRPr="0006114E">
        <w:rPr>
          <w:rFonts w:ascii="Arial" w:hAnsi="Arial" w:cs="Arial"/>
          <w:sz w:val="20"/>
        </w:rPr>
        <w:instrText xml:space="preserve"> \* MERGEFORMAT </w:instrText>
      </w:r>
      <w:r w:rsidR="00AC6B2F" w:rsidRPr="0006114E">
        <w:rPr>
          <w:rFonts w:ascii="Arial" w:hAnsi="Arial" w:cs="Arial"/>
          <w:sz w:val="20"/>
        </w:rPr>
      </w:r>
      <w:r w:rsidR="00AC6B2F" w:rsidRPr="0006114E">
        <w:rPr>
          <w:rFonts w:ascii="Arial" w:hAnsi="Arial" w:cs="Arial"/>
          <w:sz w:val="20"/>
        </w:rPr>
        <w:fldChar w:fldCharType="separate"/>
      </w:r>
      <w:r w:rsidR="00661E34">
        <w:rPr>
          <w:rFonts w:ascii="Arial" w:hAnsi="Arial" w:cs="Arial"/>
          <w:sz w:val="20"/>
        </w:rPr>
        <w:t>17</w:t>
      </w:r>
      <w:r w:rsidR="00AC6B2F" w:rsidRPr="0006114E">
        <w:rPr>
          <w:rFonts w:ascii="Arial" w:hAnsi="Arial" w:cs="Arial"/>
          <w:sz w:val="20"/>
        </w:rPr>
        <w:fldChar w:fldCharType="end"/>
      </w:r>
      <w:r w:rsidR="00AC6B2F" w:rsidRPr="0006114E">
        <w:rPr>
          <w:rFonts w:ascii="Arial" w:hAnsi="Arial" w:cs="Arial"/>
          <w:sz w:val="20"/>
        </w:rPr>
        <w:t>, w</w:t>
      </w:r>
      <w:r w:rsidR="0028081B" w:rsidRPr="0006114E">
        <w:rPr>
          <w:rFonts w:ascii="Arial" w:hAnsi="Arial" w:cs="Arial"/>
          <w:sz w:val="20"/>
        </w:rPr>
        <w:t>here a Change of Control</w:t>
      </w:r>
      <w:r w:rsidR="00BD42E6" w:rsidRPr="0006114E">
        <w:rPr>
          <w:rFonts w:ascii="Arial" w:hAnsi="Arial" w:cs="Arial"/>
          <w:sz w:val="20"/>
        </w:rPr>
        <w:t xml:space="preserve"> </w:t>
      </w:r>
      <w:r w:rsidR="0028081B" w:rsidRPr="0006114E">
        <w:rPr>
          <w:rFonts w:ascii="Arial" w:hAnsi="Arial" w:cs="Arial"/>
          <w:sz w:val="20"/>
        </w:rPr>
        <w:t>occurs</w:t>
      </w:r>
      <w:r w:rsidR="008D30FA" w:rsidRPr="0006114E">
        <w:rPr>
          <w:rFonts w:ascii="Arial" w:hAnsi="Arial" w:cs="Arial"/>
          <w:sz w:val="20"/>
        </w:rPr>
        <w:t>:</w:t>
      </w:r>
    </w:p>
    <w:p w14:paraId="200145EC" w14:textId="504AA0C7" w:rsidR="007B4FB5" w:rsidRPr="0006114E" w:rsidRDefault="0028081B" w:rsidP="006A1CE1">
      <w:pPr>
        <w:pStyle w:val="Untitledsubclause2"/>
        <w:numPr>
          <w:ilvl w:val="2"/>
          <w:numId w:val="35"/>
        </w:numPr>
        <w:spacing w:line="240" w:lineRule="auto"/>
        <w:rPr>
          <w:rFonts w:ascii="Arial" w:hAnsi="Arial" w:cs="Arial"/>
          <w:sz w:val="20"/>
        </w:rPr>
      </w:pPr>
      <w:bookmarkStart w:id="355" w:name="_Ref175750623"/>
      <w:r w:rsidRPr="005A2817">
        <w:rPr>
          <w:rFonts w:ascii="Arial" w:hAnsi="Arial" w:cs="Arial"/>
          <w:sz w:val="20"/>
        </w:rPr>
        <w:t>the Remuneration Committee will determine the number of Shares in respect of which a</w:t>
      </w:r>
      <w:r w:rsidR="00183841">
        <w:rPr>
          <w:rFonts w:ascii="Arial" w:hAnsi="Arial" w:cs="Arial"/>
          <w:sz w:val="20"/>
        </w:rPr>
        <w:t>ll</w:t>
      </w:r>
      <w:r w:rsidR="009155E1">
        <w:rPr>
          <w:rFonts w:ascii="Arial" w:hAnsi="Arial" w:cs="Arial"/>
          <w:sz w:val="20"/>
        </w:rPr>
        <w:t xml:space="preserve"> Unvested</w:t>
      </w:r>
      <w:r w:rsidRPr="005A2817">
        <w:rPr>
          <w:rFonts w:ascii="Arial" w:hAnsi="Arial" w:cs="Arial"/>
          <w:sz w:val="20"/>
        </w:rPr>
        <w:t xml:space="preserve"> </w:t>
      </w:r>
      <w:r w:rsidR="00D67DB9" w:rsidRPr="005A2817">
        <w:rPr>
          <w:rFonts w:ascii="Arial" w:hAnsi="Arial" w:cs="Arial"/>
          <w:sz w:val="20"/>
        </w:rPr>
        <w:t>Award</w:t>
      </w:r>
      <w:r w:rsidR="009155E1">
        <w:rPr>
          <w:rFonts w:ascii="Arial" w:hAnsi="Arial" w:cs="Arial"/>
          <w:sz w:val="20"/>
        </w:rPr>
        <w:t>s</w:t>
      </w:r>
      <w:r w:rsidR="00A439ED" w:rsidRPr="005A2817">
        <w:rPr>
          <w:rFonts w:ascii="Arial" w:hAnsi="Arial" w:cs="Arial"/>
          <w:sz w:val="20"/>
        </w:rPr>
        <w:t xml:space="preserve"> </w:t>
      </w:r>
      <w:r w:rsidRPr="005A2817">
        <w:rPr>
          <w:rFonts w:ascii="Arial" w:hAnsi="Arial" w:cs="Arial"/>
          <w:sz w:val="20"/>
        </w:rPr>
        <w:t xml:space="preserve">will Vest </w:t>
      </w:r>
      <w:r w:rsidR="00632217" w:rsidRPr="005A2817">
        <w:rPr>
          <w:rFonts w:ascii="Arial" w:hAnsi="Arial" w:cs="Arial"/>
          <w:sz w:val="20"/>
        </w:rPr>
        <w:t>(</w:t>
      </w:r>
      <w:r w:rsidR="00C0367E" w:rsidRPr="005A2817">
        <w:rPr>
          <w:rFonts w:ascii="Arial" w:hAnsi="Arial" w:cs="Arial"/>
          <w:sz w:val="20"/>
        </w:rPr>
        <w:t xml:space="preserve">the </w:t>
      </w:r>
      <w:r w:rsidR="00420BBF" w:rsidRPr="005A2817">
        <w:rPr>
          <w:rFonts w:ascii="Arial" w:hAnsi="Arial" w:cs="Arial"/>
          <w:sz w:val="20"/>
        </w:rPr>
        <w:t>“</w:t>
      </w:r>
      <w:r w:rsidR="00420BBF" w:rsidRPr="005A2817">
        <w:rPr>
          <w:rFonts w:ascii="Arial" w:hAnsi="Arial" w:cs="Arial"/>
          <w:b/>
          <w:sz w:val="20"/>
        </w:rPr>
        <w:t xml:space="preserve">Relevant </w:t>
      </w:r>
      <w:r w:rsidR="00C0367E" w:rsidRPr="005A2817">
        <w:rPr>
          <w:rFonts w:ascii="Arial" w:hAnsi="Arial" w:cs="Arial"/>
          <w:b/>
          <w:sz w:val="20"/>
        </w:rPr>
        <w:t>Number</w:t>
      </w:r>
      <w:r w:rsidR="00420BBF" w:rsidRPr="005A2817">
        <w:rPr>
          <w:rFonts w:ascii="Arial" w:hAnsi="Arial" w:cs="Arial"/>
          <w:sz w:val="20"/>
        </w:rPr>
        <w:t>”</w:t>
      </w:r>
      <w:r w:rsidR="00C0367E" w:rsidRPr="005A2817">
        <w:rPr>
          <w:rFonts w:ascii="Arial" w:hAnsi="Arial" w:cs="Arial"/>
          <w:sz w:val="20"/>
        </w:rPr>
        <w:t>)</w:t>
      </w:r>
      <w:bookmarkEnd w:id="354"/>
      <w:bookmarkEnd w:id="355"/>
      <w:r w:rsidR="00493B0B" w:rsidRPr="005A2817">
        <w:rPr>
          <w:rFonts w:ascii="Arial" w:hAnsi="Arial" w:cs="Arial"/>
          <w:sz w:val="20"/>
        </w:rPr>
        <w:t xml:space="preserve"> </w:t>
      </w:r>
      <w:r w:rsidR="00D8597D" w:rsidRPr="0006114E">
        <w:rPr>
          <w:rFonts w:ascii="Arial" w:hAnsi="Arial" w:cs="Arial"/>
          <w:sz w:val="20"/>
        </w:rPr>
        <w:t>as follows:</w:t>
      </w:r>
    </w:p>
    <w:p w14:paraId="65D46DF9" w14:textId="6E9AD24F" w:rsidR="00971F27" w:rsidRPr="005A2817" w:rsidRDefault="00CC2D1B" w:rsidP="00B91E38">
      <w:pPr>
        <w:pStyle w:val="Untitledsubclause3"/>
        <w:numPr>
          <w:ilvl w:val="3"/>
          <w:numId w:val="23"/>
        </w:numPr>
        <w:spacing w:line="240" w:lineRule="auto"/>
        <w:rPr>
          <w:rFonts w:ascii="Arial" w:hAnsi="Arial" w:cs="Arial"/>
          <w:sz w:val="20"/>
        </w:rPr>
      </w:pPr>
      <w:bookmarkStart w:id="356" w:name="a354667"/>
      <w:r w:rsidRPr="005A2817">
        <w:rPr>
          <w:rFonts w:ascii="Arial" w:hAnsi="Arial" w:cs="Arial"/>
          <w:sz w:val="20"/>
        </w:rPr>
        <w:t>save to the extent</w:t>
      </w:r>
      <w:r>
        <w:rPr>
          <w:rFonts w:ascii="Arial" w:hAnsi="Arial" w:cs="Arial"/>
          <w:sz w:val="20"/>
        </w:rPr>
        <w:t xml:space="preserve">, in respect of any Award (A) </w:t>
      </w:r>
      <w:r w:rsidRPr="0006114E">
        <w:rPr>
          <w:rFonts w:ascii="Arial" w:hAnsi="Arial" w:cs="Arial"/>
          <w:sz w:val="20"/>
        </w:rPr>
        <w:t>they decide otherwise</w:t>
      </w:r>
      <w:r>
        <w:rPr>
          <w:rFonts w:ascii="Arial" w:hAnsi="Arial" w:cs="Arial"/>
          <w:sz w:val="20"/>
        </w:rPr>
        <w:t xml:space="preserve"> or (B)</w:t>
      </w:r>
      <w:r w:rsidRPr="005A2817">
        <w:rPr>
          <w:rFonts w:ascii="Arial" w:hAnsi="Arial" w:cs="Arial"/>
          <w:sz w:val="20"/>
        </w:rPr>
        <w:t xml:space="preserve"> the number of Shares subject to the Award has already been reduced under rule </w:t>
      </w:r>
      <w:r w:rsidRPr="005A2817">
        <w:rPr>
          <w:rFonts w:ascii="Arial" w:hAnsi="Arial" w:cs="Arial"/>
          <w:sz w:val="20"/>
        </w:rPr>
        <w:fldChar w:fldCharType="begin"/>
      </w:r>
      <w:r w:rsidRPr="005A2817">
        <w:rPr>
          <w:rFonts w:ascii="Arial" w:hAnsi="Arial" w:cs="Arial"/>
          <w:sz w:val="20"/>
        </w:rPr>
        <w:instrText xml:space="preserve"> REF _Ref187309156 \r \h </w:instrText>
      </w:r>
      <w:r w:rsidRPr="005A2817">
        <w:rPr>
          <w:rFonts w:ascii="Arial" w:hAnsi="Arial" w:cs="Arial"/>
          <w:sz w:val="20"/>
        </w:rPr>
      </w:r>
      <w:r w:rsidRPr="005A2817">
        <w:rPr>
          <w:rFonts w:ascii="Arial" w:hAnsi="Arial" w:cs="Arial"/>
          <w:sz w:val="20"/>
        </w:rPr>
        <w:fldChar w:fldCharType="separate"/>
      </w:r>
      <w:r w:rsidR="00661E34">
        <w:rPr>
          <w:rFonts w:ascii="Arial" w:hAnsi="Arial" w:cs="Arial"/>
          <w:sz w:val="20"/>
        </w:rPr>
        <w:t>15.1</w:t>
      </w:r>
      <w:r w:rsidRPr="005A2817">
        <w:rPr>
          <w:rFonts w:ascii="Arial" w:hAnsi="Arial" w:cs="Arial"/>
          <w:sz w:val="20"/>
        </w:rPr>
        <w:fldChar w:fldCharType="end"/>
      </w:r>
      <w:r w:rsidRPr="005A2817">
        <w:rPr>
          <w:rFonts w:ascii="Arial" w:hAnsi="Arial" w:cs="Arial"/>
          <w:sz w:val="20"/>
        </w:rPr>
        <w:t xml:space="preserve"> (reduction of Awards held by Good Leavers), </w:t>
      </w:r>
      <w:r w:rsidRPr="0006114E">
        <w:rPr>
          <w:rFonts w:ascii="Arial" w:hAnsi="Arial" w:cs="Arial"/>
          <w:sz w:val="20"/>
        </w:rPr>
        <w:t>by reducing</w:t>
      </w:r>
      <w:r w:rsidRPr="005A2817">
        <w:rPr>
          <w:rFonts w:ascii="Arial" w:hAnsi="Arial" w:cs="Arial"/>
          <w:sz w:val="20"/>
        </w:rPr>
        <w:t xml:space="preserve"> the number of Shares </w:t>
      </w:r>
      <w:r w:rsidRPr="0006114E">
        <w:rPr>
          <w:rFonts w:ascii="Arial" w:hAnsi="Arial" w:cs="Arial"/>
          <w:sz w:val="20"/>
        </w:rPr>
        <w:t xml:space="preserve">under </w:t>
      </w:r>
      <w:r>
        <w:rPr>
          <w:rFonts w:ascii="Arial" w:hAnsi="Arial" w:cs="Arial"/>
          <w:sz w:val="20"/>
        </w:rPr>
        <w:t>each</w:t>
      </w:r>
      <w:r w:rsidRPr="0006114E">
        <w:rPr>
          <w:rFonts w:ascii="Arial" w:hAnsi="Arial" w:cs="Arial"/>
          <w:sz w:val="20"/>
        </w:rPr>
        <w:t xml:space="preserve"> Award</w:t>
      </w:r>
      <w:r w:rsidRPr="005A2817">
        <w:rPr>
          <w:rFonts w:ascii="Arial" w:hAnsi="Arial" w:cs="Arial"/>
          <w:sz w:val="20"/>
        </w:rPr>
        <w:t xml:space="preserve"> to</w:t>
      </w:r>
      <w:r>
        <w:rPr>
          <w:rFonts w:ascii="Arial" w:hAnsi="Arial" w:cs="Arial"/>
          <w:sz w:val="20"/>
        </w:rPr>
        <w:t xml:space="preserve"> a number which represents</w:t>
      </w:r>
      <w:r w:rsidRPr="005A2817">
        <w:rPr>
          <w:rFonts w:ascii="Arial" w:hAnsi="Arial" w:cs="Arial"/>
          <w:sz w:val="20"/>
        </w:rPr>
        <w:t xml:space="preserve"> the proportion of the </w:t>
      </w:r>
      <w:r>
        <w:rPr>
          <w:rFonts w:ascii="Arial" w:hAnsi="Arial" w:cs="Arial"/>
          <w:sz w:val="20"/>
        </w:rPr>
        <w:t xml:space="preserve">applicable </w:t>
      </w:r>
      <w:r w:rsidRPr="005A2817">
        <w:rPr>
          <w:rFonts w:ascii="Arial" w:hAnsi="Arial" w:cs="Arial"/>
          <w:sz w:val="20"/>
        </w:rPr>
        <w:t xml:space="preserve">Performance Period (or in respect of Awards without Performance Conditions, the </w:t>
      </w:r>
      <w:r>
        <w:rPr>
          <w:rFonts w:ascii="Arial" w:hAnsi="Arial" w:cs="Arial"/>
          <w:sz w:val="20"/>
        </w:rPr>
        <w:t xml:space="preserve">applicable </w:t>
      </w:r>
      <w:r w:rsidRPr="005A2817">
        <w:rPr>
          <w:rFonts w:ascii="Arial" w:hAnsi="Arial" w:cs="Arial"/>
          <w:sz w:val="20"/>
        </w:rPr>
        <w:t>Vesting Period) which has elapsed at the date of the Change of Control, and</w:t>
      </w:r>
    </w:p>
    <w:p w14:paraId="2120882F" w14:textId="732DCB49" w:rsidR="007B4FB5" w:rsidRPr="00B77DB1" w:rsidRDefault="00F4337F" w:rsidP="00FB2203">
      <w:pPr>
        <w:pStyle w:val="Untitledsubclause3"/>
        <w:numPr>
          <w:ilvl w:val="3"/>
          <w:numId w:val="23"/>
        </w:numPr>
        <w:spacing w:line="240" w:lineRule="auto"/>
        <w:rPr>
          <w:rFonts w:ascii="Arial" w:hAnsi="Arial" w:cs="Arial"/>
          <w:sz w:val="20"/>
        </w:rPr>
      </w:pPr>
      <w:bookmarkStart w:id="357" w:name="a820283"/>
      <w:bookmarkStart w:id="358" w:name="_Ref80024637"/>
      <w:r w:rsidRPr="00B77DB1">
        <w:rPr>
          <w:rFonts w:ascii="Arial" w:hAnsi="Arial" w:cs="Arial"/>
          <w:sz w:val="20"/>
        </w:rPr>
        <w:t xml:space="preserve">by taking account of (after the application of rule </w:t>
      </w:r>
      <w:r w:rsidRPr="00B77DB1">
        <w:rPr>
          <w:rFonts w:ascii="Arial" w:hAnsi="Arial" w:cs="Arial"/>
          <w:sz w:val="20"/>
        </w:rPr>
        <w:fldChar w:fldCharType="begin"/>
      </w:r>
      <w:r w:rsidRPr="00B77DB1">
        <w:rPr>
          <w:rFonts w:ascii="Arial" w:hAnsi="Arial" w:cs="Arial"/>
          <w:sz w:val="20"/>
        </w:rPr>
        <w:instrText xml:space="preserve"> REF a324210 \r \h  \* MERGEFORMAT </w:instrText>
      </w:r>
      <w:r w:rsidRPr="00B77DB1">
        <w:rPr>
          <w:rFonts w:ascii="Arial" w:hAnsi="Arial" w:cs="Arial"/>
          <w:sz w:val="20"/>
        </w:rPr>
      </w:r>
      <w:r w:rsidRPr="00B77DB1">
        <w:rPr>
          <w:rFonts w:ascii="Arial" w:hAnsi="Arial" w:cs="Arial"/>
          <w:sz w:val="20"/>
        </w:rPr>
        <w:fldChar w:fldCharType="separate"/>
      </w:r>
      <w:r w:rsidR="00661E34">
        <w:rPr>
          <w:rFonts w:ascii="Arial" w:hAnsi="Arial" w:cs="Arial"/>
          <w:sz w:val="20"/>
        </w:rPr>
        <w:t>17.1</w:t>
      </w:r>
      <w:r w:rsidRPr="00B77DB1">
        <w:rPr>
          <w:rFonts w:ascii="Arial" w:hAnsi="Arial" w:cs="Arial"/>
          <w:sz w:val="20"/>
        </w:rPr>
        <w:fldChar w:fldCharType="end"/>
      </w:r>
      <w:r w:rsidRPr="00B77DB1">
        <w:rPr>
          <w:rFonts w:ascii="Arial" w:hAnsi="Arial" w:cs="Arial"/>
          <w:sz w:val="20"/>
        </w:rPr>
        <w:fldChar w:fldCharType="begin"/>
      </w:r>
      <w:r w:rsidRPr="00B77DB1">
        <w:rPr>
          <w:rFonts w:ascii="Arial" w:hAnsi="Arial" w:cs="Arial"/>
          <w:sz w:val="20"/>
        </w:rPr>
        <w:instrText xml:space="preserve"> REF _Ref175750623 \r \h </w:instrText>
      </w:r>
      <w:r w:rsidRPr="00B77DB1">
        <w:rPr>
          <w:rFonts w:ascii="Arial" w:hAnsi="Arial" w:cs="Arial"/>
          <w:sz w:val="20"/>
        </w:rPr>
      </w:r>
      <w:r w:rsidRPr="00B77DB1">
        <w:rPr>
          <w:rFonts w:ascii="Arial" w:hAnsi="Arial" w:cs="Arial"/>
          <w:sz w:val="20"/>
        </w:rPr>
        <w:fldChar w:fldCharType="separate"/>
      </w:r>
      <w:r w:rsidR="00661E34">
        <w:rPr>
          <w:rFonts w:ascii="Arial" w:hAnsi="Arial" w:cs="Arial"/>
          <w:sz w:val="20"/>
        </w:rPr>
        <w:t>(a)</w:t>
      </w:r>
      <w:r w:rsidRPr="00B77DB1">
        <w:rPr>
          <w:rFonts w:ascii="Arial" w:hAnsi="Arial" w:cs="Arial"/>
          <w:sz w:val="20"/>
        </w:rPr>
        <w:fldChar w:fldCharType="end"/>
      </w:r>
      <w:r w:rsidRPr="00B77DB1">
        <w:rPr>
          <w:rFonts w:ascii="Arial" w:hAnsi="Arial" w:cs="Arial"/>
          <w:sz w:val="20"/>
        </w:rPr>
        <w:fldChar w:fldCharType="begin"/>
      </w:r>
      <w:r w:rsidRPr="00B77DB1">
        <w:rPr>
          <w:rFonts w:ascii="Arial" w:hAnsi="Arial" w:cs="Arial"/>
          <w:sz w:val="20"/>
        </w:rPr>
        <w:instrText xml:space="preserve"> REF a354667 \r \h  \* MERGEFORMAT </w:instrText>
      </w:r>
      <w:r w:rsidRPr="00B77DB1">
        <w:rPr>
          <w:rFonts w:ascii="Arial" w:hAnsi="Arial" w:cs="Arial"/>
          <w:sz w:val="20"/>
        </w:rPr>
      </w:r>
      <w:r w:rsidRPr="00B77DB1">
        <w:rPr>
          <w:rFonts w:ascii="Arial" w:hAnsi="Arial" w:cs="Arial"/>
          <w:sz w:val="20"/>
        </w:rPr>
        <w:fldChar w:fldCharType="separate"/>
      </w:r>
      <w:r w:rsidR="00661E34">
        <w:rPr>
          <w:rFonts w:ascii="Arial" w:hAnsi="Arial" w:cs="Arial"/>
          <w:sz w:val="20"/>
        </w:rPr>
        <w:t>(i)</w:t>
      </w:r>
      <w:r w:rsidRPr="00B77DB1">
        <w:rPr>
          <w:rFonts w:ascii="Arial" w:hAnsi="Arial" w:cs="Arial"/>
          <w:sz w:val="20"/>
        </w:rPr>
        <w:fldChar w:fldCharType="end"/>
      </w:r>
      <w:r w:rsidRPr="00B77DB1">
        <w:rPr>
          <w:rFonts w:ascii="Arial" w:hAnsi="Arial" w:cs="Arial"/>
          <w:sz w:val="20"/>
        </w:rPr>
        <w:t xml:space="preserve"> above, if applicable) the extent to which any </w:t>
      </w:r>
      <w:r w:rsidR="00F933D5">
        <w:rPr>
          <w:rFonts w:ascii="Arial" w:hAnsi="Arial" w:cs="Arial"/>
          <w:sz w:val="20"/>
        </w:rPr>
        <w:t xml:space="preserve">applicable </w:t>
      </w:r>
      <w:r w:rsidRPr="00B77DB1">
        <w:rPr>
          <w:rFonts w:ascii="Arial" w:hAnsi="Arial" w:cs="Arial"/>
          <w:sz w:val="20"/>
        </w:rPr>
        <w:t>Performance Condition</w:t>
      </w:r>
      <w:r w:rsidR="000E1CB9">
        <w:rPr>
          <w:rFonts w:ascii="Arial" w:hAnsi="Arial" w:cs="Arial"/>
          <w:sz w:val="20"/>
        </w:rPr>
        <w:t>(</w:t>
      </w:r>
      <w:r w:rsidRPr="00B77DB1">
        <w:rPr>
          <w:rFonts w:ascii="Arial" w:hAnsi="Arial" w:cs="Arial"/>
          <w:sz w:val="20"/>
        </w:rPr>
        <w:t>s</w:t>
      </w:r>
      <w:r w:rsidR="000E1CB9">
        <w:rPr>
          <w:rFonts w:ascii="Arial" w:hAnsi="Arial" w:cs="Arial"/>
          <w:sz w:val="20"/>
        </w:rPr>
        <w:t>)</w:t>
      </w:r>
      <w:r w:rsidRPr="00B77DB1">
        <w:rPr>
          <w:rFonts w:ascii="Arial" w:hAnsi="Arial" w:cs="Arial"/>
          <w:sz w:val="20"/>
        </w:rPr>
        <w:t xml:space="preserve"> has/have been achieved over the </w:t>
      </w:r>
      <w:r w:rsidR="00A51E33">
        <w:rPr>
          <w:rFonts w:ascii="Arial" w:hAnsi="Arial" w:cs="Arial"/>
          <w:sz w:val="20"/>
        </w:rPr>
        <w:t xml:space="preserve">proportion of the </w:t>
      </w:r>
      <w:r w:rsidR="008B0CE7">
        <w:rPr>
          <w:rFonts w:ascii="Arial" w:hAnsi="Arial" w:cs="Arial"/>
          <w:sz w:val="20"/>
        </w:rPr>
        <w:t xml:space="preserve">Performance </w:t>
      </w:r>
      <w:r w:rsidR="00A51E33">
        <w:rPr>
          <w:rFonts w:ascii="Arial" w:hAnsi="Arial" w:cs="Arial"/>
          <w:sz w:val="20"/>
        </w:rPr>
        <w:t>P</w:t>
      </w:r>
      <w:r w:rsidRPr="00B77DB1">
        <w:rPr>
          <w:rFonts w:ascii="Arial" w:hAnsi="Arial" w:cs="Arial"/>
          <w:sz w:val="20"/>
        </w:rPr>
        <w:t>eriod ending on the date of the Change of Control (or</w:t>
      </w:r>
      <w:r w:rsidR="00517F7E">
        <w:rPr>
          <w:rFonts w:ascii="Arial" w:hAnsi="Arial" w:cs="Arial"/>
          <w:sz w:val="20"/>
        </w:rPr>
        <w:t>,</w:t>
      </w:r>
      <w:r w:rsidR="008B0CE7">
        <w:rPr>
          <w:rFonts w:ascii="Arial" w:hAnsi="Arial" w:cs="Arial"/>
          <w:sz w:val="20"/>
        </w:rPr>
        <w:t xml:space="preserve"> where applicable</w:t>
      </w:r>
      <w:r w:rsidR="00517F7E">
        <w:rPr>
          <w:rFonts w:ascii="Arial" w:hAnsi="Arial" w:cs="Arial"/>
          <w:sz w:val="20"/>
        </w:rPr>
        <w:t>,</w:t>
      </w:r>
      <w:r w:rsidR="008B0CE7">
        <w:rPr>
          <w:rFonts w:ascii="Arial" w:hAnsi="Arial" w:cs="Arial"/>
          <w:sz w:val="20"/>
        </w:rPr>
        <w:t xml:space="preserve"> </w:t>
      </w:r>
      <w:r w:rsidRPr="00B77DB1">
        <w:rPr>
          <w:rFonts w:ascii="Arial" w:hAnsi="Arial" w:cs="Arial"/>
          <w:sz w:val="20"/>
        </w:rPr>
        <w:t>would in the opinion of the Remuneration Committee have been achieved over the full Performance Period)</w:t>
      </w:r>
      <w:r w:rsidR="00B77DB1" w:rsidRPr="00B77DB1">
        <w:rPr>
          <w:rFonts w:ascii="Arial" w:hAnsi="Arial" w:cs="Arial"/>
          <w:sz w:val="20"/>
        </w:rPr>
        <w:t xml:space="preserve">, </w:t>
      </w:r>
      <w:bookmarkEnd w:id="357"/>
      <w:bookmarkEnd w:id="358"/>
      <w:r w:rsidR="00393548" w:rsidRPr="00B77DB1">
        <w:rPr>
          <w:rFonts w:ascii="Arial" w:hAnsi="Arial" w:cs="Arial"/>
          <w:sz w:val="20"/>
        </w:rPr>
        <w:t>and</w:t>
      </w:r>
    </w:p>
    <w:p w14:paraId="74D42948" w14:textId="06B3D24D" w:rsidR="006E0865" w:rsidRPr="0006114E" w:rsidRDefault="00BC09A2" w:rsidP="006A1CE1">
      <w:pPr>
        <w:pStyle w:val="Untitledsubclause2"/>
        <w:spacing w:line="240" w:lineRule="auto"/>
        <w:rPr>
          <w:rFonts w:ascii="Arial" w:hAnsi="Arial" w:cs="Arial"/>
          <w:sz w:val="20"/>
        </w:rPr>
      </w:pPr>
      <w:bookmarkStart w:id="359" w:name="a400828"/>
      <w:bookmarkEnd w:id="356"/>
      <w:r w:rsidRPr="0006114E">
        <w:rPr>
          <w:rFonts w:ascii="Arial" w:hAnsi="Arial" w:cs="Arial"/>
          <w:sz w:val="20"/>
        </w:rPr>
        <w:t xml:space="preserve">all </w:t>
      </w:r>
      <w:r w:rsidR="00183841">
        <w:rPr>
          <w:rFonts w:ascii="Arial" w:hAnsi="Arial" w:cs="Arial"/>
          <w:sz w:val="20"/>
        </w:rPr>
        <w:t xml:space="preserve">Unvested </w:t>
      </w:r>
      <w:r w:rsidRPr="0006114E">
        <w:rPr>
          <w:rFonts w:ascii="Arial" w:hAnsi="Arial" w:cs="Arial"/>
          <w:sz w:val="20"/>
        </w:rPr>
        <w:t>Awards shall Vest</w:t>
      </w:r>
      <w:r w:rsidR="002A29CA">
        <w:rPr>
          <w:rFonts w:ascii="Arial" w:hAnsi="Arial" w:cs="Arial"/>
          <w:sz w:val="20"/>
        </w:rPr>
        <w:t xml:space="preserve"> </w:t>
      </w:r>
      <w:r w:rsidR="000D7AAC">
        <w:rPr>
          <w:rFonts w:ascii="Arial" w:hAnsi="Arial" w:cs="Arial"/>
          <w:sz w:val="20"/>
        </w:rPr>
        <w:t xml:space="preserve">on </w:t>
      </w:r>
      <w:r w:rsidRPr="0006114E">
        <w:rPr>
          <w:rFonts w:ascii="Arial" w:hAnsi="Arial" w:cs="Arial"/>
          <w:sz w:val="20"/>
        </w:rPr>
        <w:t>the Change of Control in relation to the Relevant Number of Shares</w:t>
      </w:r>
      <w:r w:rsidR="00C304EB">
        <w:rPr>
          <w:rFonts w:ascii="Arial" w:hAnsi="Arial" w:cs="Arial"/>
          <w:sz w:val="20"/>
        </w:rPr>
        <w:t xml:space="preserve"> </w:t>
      </w:r>
      <w:r w:rsidRPr="0006114E">
        <w:rPr>
          <w:rFonts w:ascii="Arial" w:hAnsi="Arial" w:cs="Arial"/>
          <w:sz w:val="20"/>
        </w:rPr>
        <w:t xml:space="preserve">and lapse in relation to </w:t>
      </w:r>
      <w:r w:rsidR="00A80F37">
        <w:rPr>
          <w:rFonts w:ascii="Arial" w:hAnsi="Arial" w:cs="Arial"/>
          <w:sz w:val="20"/>
        </w:rPr>
        <w:t>any</w:t>
      </w:r>
      <w:r w:rsidRPr="0006114E">
        <w:rPr>
          <w:rFonts w:ascii="Arial" w:hAnsi="Arial" w:cs="Arial"/>
          <w:sz w:val="20"/>
        </w:rPr>
        <w:t xml:space="preserve"> balance.</w:t>
      </w:r>
      <w:bookmarkEnd w:id="359"/>
    </w:p>
    <w:p w14:paraId="59F9CACF" w14:textId="7FCD8506" w:rsidR="00CB2260" w:rsidRPr="00CB2260" w:rsidRDefault="00CB2260" w:rsidP="00402972">
      <w:pPr>
        <w:pStyle w:val="Untitledsubclause1"/>
        <w:spacing w:line="240" w:lineRule="auto"/>
        <w:rPr>
          <w:rFonts w:ascii="Arial" w:hAnsi="Arial" w:cs="Arial"/>
          <w:sz w:val="20"/>
        </w:rPr>
      </w:pPr>
      <w:bookmarkStart w:id="360" w:name="a403621"/>
      <w:bookmarkStart w:id="361" w:name="_Ref81583485"/>
      <w:bookmarkStart w:id="362" w:name="_Ref168483180"/>
      <w:bookmarkStart w:id="363" w:name="a99160"/>
      <w:bookmarkStart w:id="364" w:name="_Ref107828509"/>
      <w:bookmarkStart w:id="365" w:name="_Ref131425770"/>
      <w:r w:rsidRPr="00CB2260">
        <w:rPr>
          <w:rFonts w:ascii="Arial" w:hAnsi="Arial" w:cs="Arial"/>
          <w:sz w:val="20"/>
        </w:rPr>
        <w:t xml:space="preserve">Subject to the rest of this rule </w:t>
      </w:r>
      <w:r w:rsidRPr="00CB2260">
        <w:rPr>
          <w:rFonts w:ascii="Arial" w:hAnsi="Arial" w:cs="Arial"/>
          <w:sz w:val="20"/>
        </w:rPr>
        <w:fldChar w:fldCharType="begin"/>
      </w:r>
      <w:r w:rsidRPr="00CB2260">
        <w:rPr>
          <w:rFonts w:ascii="Arial" w:hAnsi="Arial" w:cs="Arial"/>
          <w:sz w:val="20"/>
        </w:rPr>
        <w:instrText xml:space="preserve"> REF _Ref175226484 \r \h  \* MERGEFORMAT </w:instrText>
      </w:r>
      <w:r w:rsidRPr="00CB2260">
        <w:rPr>
          <w:rFonts w:ascii="Arial" w:hAnsi="Arial" w:cs="Arial"/>
          <w:sz w:val="20"/>
        </w:rPr>
      </w:r>
      <w:r w:rsidRPr="00CB2260">
        <w:rPr>
          <w:rFonts w:ascii="Arial" w:hAnsi="Arial" w:cs="Arial"/>
          <w:sz w:val="20"/>
        </w:rPr>
        <w:fldChar w:fldCharType="separate"/>
      </w:r>
      <w:r w:rsidR="00661E34">
        <w:rPr>
          <w:rFonts w:ascii="Arial" w:hAnsi="Arial" w:cs="Arial"/>
          <w:sz w:val="20"/>
        </w:rPr>
        <w:t>17</w:t>
      </w:r>
      <w:r w:rsidRPr="00CB2260">
        <w:rPr>
          <w:rFonts w:ascii="Arial" w:hAnsi="Arial" w:cs="Arial"/>
          <w:sz w:val="20"/>
        </w:rPr>
        <w:fldChar w:fldCharType="end"/>
      </w:r>
      <w:r w:rsidRPr="00CB2260">
        <w:rPr>
          <w:rFonts w:ascii="Arial" w:hAnsi="Arial" w:cs="Arial"/>
          <w:sz w:val="20"/>
        </w:rPr>
        <w:t>, Vested Options may be exercised following the Change of Control during a period set by the Remuneration Committee and all Options will lapse at the end of such period.</w:t>
      </w:r>
    </w:p>
    <w:p w14:paraId="00332672" w14:textId="146CCCA6" w:rsidR="00837EE0" w:rsidRPr="0006114E" w:rsidRDefault="0034068C" w:rsidP="006A1CE1">
      <w:pPr>
        <w:pStyle w:val="Untitledsubclause1"/>
        <w:spacing w:line="240" w:lineRule="auto"/>
        <w:rPr>
          <w:rFonts w:ascii="Arial" w:hAnsi="Arial" w:cs="Arial"/>
          <w:sz w:val="20"/>
        </w:rPr>
      </w:pPr>
      <w:bookmarkStart w:id="366" w:name="_Ref191379219"/>
      <w:r w:rsidRPr="0006114E">
        <w:rPr>
          <w:rFonts w:ascii="Arial" w:hAnsi="Arial" w:cs="Arial"/>
          <w:sz w:val="20"/>
        </w:rPr>
        <w:t xml:space="preserve">If the Remuneration Committee considers that a Change of Control is likely to occur, </w:t>
      </w:r>
      <w:r w:rsidR="00222D3F" w:rsidRPr="0006114E">
        <w:rPr>
          <w:rFonts w:ascii="Arial" w:hAnsi="Arial" w:cs="Arial"/>
          <w:sz w:val="20"/>
        </w:rPr>
        <w:t>it</w:t>
      </w:r>
      <w:r w:rsidRPr="0006114E">
        <w:rPr>
          <w:rFonts w:ascii="Arial" w:hAnsi="Arial" w:cs="Arial"/>
          <w:sz w:val="20"/>
        </w:rPr>
        <w:t xml:space="preserve"> may </w:t>
      </w:r>
      <w:bookmarkStart w:id="367" w:name="a271198"/>
      <w:bookmarkEnd w:id="360"/>
      <w:bookmarkEnd w:id="361"/>
      <w:r w:rsidRPr="0006114E">
        <w:rPr>
          <w:rFonts w:ascii="Arial" w:hAnsi="Arial" w:cs="Arial"/>
          <w:sz w:val="20"/>
        </w:rPr>
        <w:t>decide that all Awards shall Vest in relation to the Relevant Number of Shares</w:t>
      </w:r>
      <w:r w:rsidR="00831437">
        <w:rPr>
          <w:rFonts w:ascii="Arial" w:hAnsi="Arial" w:cs="Arial"/>
          <w:sz w:val="20"/>
        </w:rPr>
        <w:t xml:space="preserve"> </w:t>
      </w:r>
      <w:r w:rsidRPr="0006114E">
        <w:rPr>
          <w:rFonts w:ascii="Arial" w:hAnsi="Arial" w:cs="Arial"/>
          <w:sz w:val="20"/>
        </w:rPr>
        <w:t>and</w:t>
      </w:r>
      <w:bookmarkEnd w:id="367"/>
      <w:r w:rsidR="00871213" w:rsidRPr="0006114E">
        <w:rPr>
          <w:rFonts w:ascii="Arial" w:hAnsi="Arial" w:cs="Arial"/>
          <w:sz w:val="20"/>
        </w:rPr>
        <w:t xml:space="preserve"> </w:t>
      </w:r>
      <w:bookmarkStart w:id="368" w:name="a478188"/>
      <w:bookmarkStart w:id="369" w:name="_Ref104571385"/>
      <w:r w:rsidR="00564E7D" w:rsidRPr="0006114E">
        <w:rPr>
          <w:rFonts w:ascii="Arial" w:hAnsi="Arial" w:cs="Arial"/>
          <w:sz w:val="20"/>
        </w:rPr>
        <w:t xml:space="preserve">give Option </w:t>
      </w:r>
      <w:r w:rsidR="00C70A45" w:rsidRPr="0006114E">
        <w:rPr>
          <w:rFonts w:ascii="Arial" w:hAnsi="Arial" w:cs="Arial"/>
          <w:sz w:val="20"/>
        </w:rPr>
        <w:t xml:space="preserve">holders </w:t>
      </w:r>
      <w:r w:rsidR="00564E7D" w:rsidRPr="0006114E">
        <w:rPr>
          <w:rFonts w:ascii="Arial" w:hAnsi="Arial" w:cs="Arial"/>
          <w:sz w:val="20"/>
        </w:rPr>
        <w:t xml:space="preserve">the opportunity to </w:t>
      </w:r>
      <w:r w:rsidR="000300FC" w:rsidRPr="0006114E">
        <w:rPr>
          <w:rFonts w:ascii="Arial" w:hAnsi="Arial" w:cs="Arial"/>
          <w:sz w:val="20"/>
        </w:rPr>
        <w:t xml:space="preserve">submit </w:t>
      </w:r>
      <w:r w:rsidRPr="0006114E">
        <w:rPr>
          <w:rFonts w:ascii="Arial" w:hAnsi="Arial" w:cs="Arial"/>
          <w:sz w:val="20"/>
        </w:rPr>
        <w:t xml:space="preserve">an Exercise Notice within </w:t>
      </w:r>
      <w:r w:rsidR="000300FC" w:rsidRPr="0006114E">
        <w:rPr>
          <w:rFonts w:ascii="Arial" w:hAnsi="Arial" w:cs="Arial"/>
          <w:sz w:val="20"/>
        </w:rPr>
        <w:t xml:space="preserve">a period </w:t>
      </w:r>
      <w:r w:rsidRPr="0006114E">
        <w:rPr>
          <w:rFonts w:ascii="Arial" w:hAnsi="Arial" w:cs="Arial"/>
          <w:sz w:val="20"/>
        </w:rPr>
        <w:t>ending before the Acquiror obtains Control of the Company</w:t>
      </w:r>
      <w:bookmarkEnd w:id="368"/>
      <w:r w:rsidRPr="0006114E">
        <w:rPr>
          <w:rFonts w:ascii="Arial" w:hAnsi="Arial" w:cs="Arial"/>
          <w:sz w:val="20"/>
        </w:rPr>
        <w:t>.</w:t>
      </w:r>
      <w:bookmarkEnd w:id="369"/>
      <w:r w:rsidR="00C70A45" w:rsidRPr="0006114E">
        <w:rPr>
          <w:rFonts w:ascii="Arial" w:hAnsi="Arial" w:cs="Arial"/>
          <w:sz w:val="20"/>
        </w:rPr>
        <w:t xml:space="preserve"> If </w:t>
      </w:r>
      <w:r w:rsidR="008D1B38" w:rsidRPr="0006114E">
        <w:rPr>
          <w:rFonts w:ascii="Arial" w:hAnsi="Arial" w:cs="Arial"/>
          <w:sz w:val="20"/>
        </w:rPr>
        <w:t>it does so</w:t>
      </w:r>
      <w:r w:rsidR="00837EE0" w:rsidRPr="0006114E">
        <w:rPr>
          <w:rFonts w:ascii="Arial" w:hAnsi="Arial" w:cs="Arial"/>
          <w:sz w:val="20"/>
        </w:rPr>
        <w:t>:</w:t>
      </w:r>
      <w:bookmarkEnd w:id="366"/>
    </w:p>
    <w:p w14:paraId="1C5D0FD8" w14:textId="77777777" w:rsidR="009F5506" w:rsidRPr="0006114E" w:rsidRDefault="0034068C" w:rsidP="006A1CE1">
      <w:pPr>
        <w:pStyle w:val="Untitledsubclause2"/>
        <w:numPr>
          <w:ilvl w:val="2"/>
          <w:numId w:val="35"/>
        </w:numPr>
        <w:tabs>
          <w:tab w:val="clear" w:pos="1979"/>
          <w:tab w:val="num" w:pos="1554"/>
        </w:tabs>
        <w:spacing w:line="240" w:lineRule="auto"/>
        <w:ind w:left="1554"/>
        <w:rPr>
          <w:rFonts w:ascii="Arial" w:hAnsi="Arial" w:cs="Arial"/>
          <w:sz w:val="20"/>
        </w:rPr>
      </w:pPr>
      <w:bookmarkStart w:id="370" w:name="_Ref104571509"/>
      <w:bookmarkEnd w:id="362"/>
      <w:r w:rsidRPr="0006114E">
        <w:rPr>
          <w:rFonts w:ascii="Arial" w:hAnsi="Arial" w:cs="Arial"/>
          <w:sz w:val="20"/>
        </w:rPr>
        <w:t xml:space="preserve">the Vesting of Awards, and the exercise of Options in respect of which a valid Exercise Notice has been received by the Company </w:t>
      </w:r>
      <w:r w:rsidR="0093047F" w:rsidRPr="0006114E">
        <w:rPr>
          <w:rFonts w:ascii="Arial" w:hAnsi="Arial" w:cs="Arial"/>
          <w:sz w:val="20"/>
        </w:rPr>
        <w:t>within the specif</w:t>
      </w:r>
      <w:r w:rsidR="00425A63" w:rsidRPr="0006114E">
        <w:rPr>
          <w:rFonts w:ascii="Arial" w:hAnsi="Arial" w:cs="Arial"/>
          <w:sz w:val="20"/>
        </w:rPr>
        <w:t xml:space="preserve">ied </w:t>
      </w:r>
      <w:r w:rsidR="0093047F" w:rsidRPr="0006114E">
        <w:rPr>
          <w:rFonts w:ascii="Arial" w:hAnsi="Arial" w:cs="Arial"/>
          <w:sz w:val="20"/>
        </w:rPr>
        <w:t>period</w:t>
      </w:r>
      <w:r w:rsidRPr="0006114E">
        <w:rPr>
          <w:rFonts w:ascii="Arial" w:hAnsi="Arial" w:cs="Arial"/>
          <w:sz w:val="20"/>
        </w:rPr>
        <w:t xml:space="preserve">, shall take effect immediately before the Change of Control (or, in the case of a Scheme of Arrangement, </w:t>
      </w:r>
      <w:r w:rsidRPr="0006114E">
        <w:rPr>
          <w:rFonts w:ascii="Arial" w:hAnsi="Arial" w:cs="Arial"/>
          <w:sz w:val="20"/>
        </w:rPr>
        <w:lastRenderedPageBreak/>
        <w:t>within the period beginning with the time the Court sanctions the Scheme of Arrangement and ending on the scheme record time);</w:t>
      </w:r>
      <w:bookmarkEnd w:id="370"/>
    </w:p>
    <w:p w14:paraId="28476577" w14:textId="5EC80D8A" w:rsidR="0034068C" w:rsidRPr="0006114E" w:rsidRDefault="009F5506" w:rsidP="006A1CE1">
      <w:pPr>
        <w:pStyle w:val="Untitledsubclause2"/>
        <w:numPr>
          <w:ilvl w:val="2"/>
          <w:numId w:val="35"/>
        </w:numPr>
        <w:tabs>
          <w:tab w:val="clear" w:pos="1979"/>
          <w:tab w:val="num" w:pos="1554"/>
        </w:tabs>
        <w:spacing w:line="240" w:lineRule="auto"/>
        <w:ind w:left="1554"/>
        <w:rPr>
          <w:rFonts w:ascii="Arial" w:hAnsi="Arial" w:cs="Arial"/>
          <w:sz w:val="20"/>
        </w:rPr>
      </w:pPr>
      <w:r w:rsidRPr="0006114E">
        <w:rPr>
          <w:rFonts w:ascii="Arial" w:hAnsi="Arial" w:cs="Arial"/>
          <w:sz w:val="20"/>
        </w:rPr>
        <w:t xml:space="preserve">Options in respect of which a valid Exercise Notice has </w:t>
      </w:r>
      <w:r w:rsidRPr="0006114E">
        <w:rPr>
          <w:rFonts w:ascii="Arial" w:hAnsi="Arial" w:cs="Arial"/>
          <w:sz w:val="20"/>
          <w:u w:val="single"/>
        </w:rPr>
        <w:t>not</w:t>
      </w:r>
      <w:r w:rsidRPr="0006114E">
        <w:rPr>
          <w:rFonts w:ascii="Arial" w:hAnsi="Arial" w:cs="Arial"/>
          <w:sz w:val="20"/>
        </w:rPr>
        <w:t xml:space="preserve"> been received by the Company within the specified period </w:t>
      </w:r>
      <w:r w:rsidR="000047F1" w:rsidRPr="0006114E">
        <w:rPr>
          <w:rFonts w:ascii="Arial" w:hAnsi="Arial" w:cs="Arial"/>
          <w:sz w:val="20"/>
        </w:rPr>
        <w:t>shall</w:t>
      </w:r>
      <w:r w:rsidR="007A6D62" w:rsidRPr="0006114E">
        <w:rPr>
          <w:rFonts w:ascii="Arial" w:hAnsi="Arial" w:cs="Arial"/>
          <w:sz w:val="20"/>
        </w:rPr>
        <w:t xml:space="preserve"> </w:t>
      </w:r>
      <w:r w:rsidR="00C804D5">
        <w:rPr>
          <w:rFonts w:ascii="Arial" w:hAnsi="Arial" w:cs="Arial"/>
          <w:sz w:val="20"/>
        </w:rPr>
        <w:t xml:space="preserve">(unless the Remuneration Committee decides otherwise) </w:t>
      </w:r>
      <w:r w:rsidR="00C4442A" w:rsidRPr="0006114E">
        <w:rPr>
          <w:rFonts w:ascii="Arial" w:hAnsi="Arial" w:cs="Arial"/>
          <w:sz w:val="20"/>
        </w:rPr>
        <w:t>lapse on the Change of Control (</w:t>
      </w:r>
      <w:r w:rsidR="000D7AAC">
        <w:rPr>
          <w:rFonts w:ascii="Arial" w:hAnsi="Arial" w:cs="Arial"/>
          <w:sz w:val="20"/>
        </w:rPr>
        <w:t>in the case of a</w:t>
      </w:r>
      <w:r w:rsidR="00E95062" w:rsidRPr="0006114E">
        <w:rPr>
          <w:rFonts w:ascii="Arial" w:hAnsi="Arial" w:cs="Arial"/>
          <w:sz w:val="20"/>
        </w:rPr>
        <w:t xml:space="preserve"> </w:t>
      </w:r>
      <w:r w:rsidR="00C4442A" w:rsidRPr="0006114E">
        <w:rPr>
          <w:rFonts w:ascii="Arial" w:hAnsi="Arial" w:cs="Arial"/>
          <w:sz w:val="20"/>
        </w:rPr>
        <w:t>Scheme of Arrangement</w:t>
      </w:r>
      <w:r w:rsidR="000D7AAC">
        <w:rPr>
          <w:rFonts w:ascii="Arial" w:hAnsi="Arial" w:cs="Arial"/>
          <w:sz w:val="20"/>
        </w:rPr>
        <w:t xml:space="preserve">, when it </w:t>
      </w:r>
      <w:r w:rsidR="00C4442A" w:rsidRPr="0006114E">
        <w:rPr>
          <w:rFonts w:ascii="Arial" w:hAnsi="Arial" w:cs="Arial"/>
          <w:sz w:val="20"/>
        </w:rPr>
        <w:t>becomes effective)</w:t>
      </w:r>
      <w:r w:rsidR="0034068C" w:rsidRPr="0006114E">
        <w:rPr>
          <w:rFonts w:ascii="Arial" w:hAnsi="Arial" w:cs="Arial"/>
          <w:sz w:val="20"/>
        </w:rPr>
        <w:t>, and</w:t>
      </w:r>
    </w:p>
    <w:p w14:paraId="560C5C79" w14:textId="4256CE6C" w:rsidR="0034068C" w:rsidRPr="0006114E" w:rsidRDefault="0034068C" w:rsidP="006A1CE1">
      <w:pPr>
        <w:pStyle w:val="Untitledsubclause2"/>
        <w:tabs>
          <w:tab w:val="clear" w:pos="1979"/>
          <w:tab w:val="num" w:pos="1554"/>
        </w:tabs>
        <w:spacing w:line="240" w:lineRule="auto"/>
        <w:ind w:left="1554"/>
        <w:rPr>
          <w:rFonts w:ascii="Arial" w:hAnsi="Arial" w:cs="Arial"/>
          <w:sz w:val="20"/>
        </w:rPr>
      </w:pPr>
      <w:r w:rsidRPr="0006114E">
        <w:rPr>
          <w:rFonts w:ascii="Arial" w:hAnsi="Arial" w:cs="Arial"/>
          <w:sz w:val="20"/>
        </w:rPr>
        <w:t>if the anticipated Change of Control does not occur, Awards shall continue on their terms</w:t>
      </w:r>
      <w:r w:rsidR="000521EE" w:rsidRPr="0006114E">
        <w:rPr>
          <w:rFonts w:ascii="Arial" w:hAnsi="Arial" w:cs="Arial"/>
          <w:sz w:val="20"/>
        </w:rPr>
        <w:t xml:space="preserve"> (and the Vesting and</w:t>
      </w:r>
      <w:r w:rsidR="00C4442A" w:rsidRPr="0006114E">
        <w:rPr>
          <w:rFonts w:ascii="Arial" w:hAnsi="Arial" w:cs="Arial"/>
          <w:sz w:val="20"/>
        </w:rPr>
        <w:t>/or</w:t>
      </w:r>
      <w:r w:rsidR="000521EE" w:rsidRPr="0006114E">
        <w:rPr>
          <w:rFonts w:ascii="Arial" w:hAnsi="Arial" w:cs="Arial"/>
          <w:sz w:val="20"/>
        </w:rPr>
        <w:t xml:space="preserve"> exercise pursuant to this rule shall be deemed not to have occurred)</w:t>
      </w:r>
      <w:r w:rsidRPr="0006114E">
        <w:rPr>
          <w:rFonts w:ascii="Arial" w:hAnsi="Arial" w:cs="Arial"/>
          <w:sz w:val="20"/>
        </w:rPr>
        <w:t>.</w:t>
      </w:r>
    </w:p>
    <w:p w14:paraId="56712EE2" w14:textId="4BEC1298" w:rsidR="007B4FB5" w:rsidRPr="0006114E" w:rsidRDefault="00F55C5D" w:rsidP="006A1CE1">
      <w:pPr>
        <w:pStyle w:val="Untitledsubclause1"/>
        <w:spacing w:line="240" w:lineRule="auto"/>
        <w:rPr>
          <w:rFonts w:ascii="Arial" w:hAnsi="Arial" w:cs="Arial"/>
          <w:sz w:val="20"/>
        </w:rPr>
      </w:pPr>
      <w:bookmarkStart w:id="371" w:name="a285375"/>
      <w:bookmarkEnd w:id="363"/>
      <w:bookmarkEnd w:id="364"/>
      <w:bookmarkEnd w:id="365"/>
      <w:r>
        <w:rPr>
          <w:rFonts w:ascii="Arial" w:hAnsi="Arial" w:cs="Arial"/>
          <w:sz w:val="20"/>
        </w:rPr>
        <w:t xml:space="preserve">Subject to rule </w:t>
      </w:r>
      <w:r>
        <w:rPr>
          <w:rFonts w:ascii="Arial" w:hAnsi="Arial" w:cs="Arial"/>
          <w:sz w:val="20"/>
        </w:rPr>
        <w:fldChar w:fldCharType="begin"/>
      </w:r>
      <w:r>
        <w:rPr>
          <w:rFonts w:ascii="Arial" w:hAnsi="Arial" w:cs="Arial"/>
          <w:sz w:val="20"/>
        </w:rPr>
        <w:instrText xml:space="preserve"> REF _Ref191379219 \r \h </w:instrText>
      </w:r>
      <w:r>
        <w:rPr>
          <w:rFonts w:ascii="Arial" w:hAnsi="Arial" w:cs="Arial"/>
          <w:sz w:val="20"/>
        </w:rPr>
      </w:r>
      <w:r>
        <w:rPr>
          <w:rFonts w:ascii="Arial" w:hAnsi="Arial" w:cs="Arial"/>
          <w:sz w:val="20"/>
        </w:rPr>
        <w:fldChar w:fldCharType="separate"/>
      </w:r>
      <w:r w:rsidR="00661E34">
        <w:rPr>
          <w:rFonts w:ascii="Arial" w:hAnsi="Arial" w:cs="Arial"/>
          <w:sz w:val="20"/>
        </w:rPr>
        <w:t>17.3</w:t>
      </w:r>
      <w:r>
        <w:rPr>
          <w:rFonts w:ascii="Arial" w:hAnsi="Arial" w:cs="Arial"/>
          <w:sz w:val="20"/>
        </w:rPr>
        <w:fldChar w:fldCharType="end"/>
      </w:r>
      <w:r>
        <w:rPr>
          <w:rFonts w:ascii="Arial" w:hAnsi="Arial" w:cs="Arial"/>
          <w:sz w:val="20"/>
        </w:rPr>
        <w:t>, i</w:t>
      </w:r>
      <w:r w:rsidR="00D8597D" w:rsidRPr="0006114E">
        <w:rPr>
          <w:rFonts w:ascii="Arial" w:hAnsi="Arial" w:cs="Arial"/>
          <w:sz w:val="20"/>
        </w:rPr>
        <w:t>f any person becomes bound or entitled to acquire Shares under sections 979 to 982 or 983 to 985 of the Companies Act 2006</w:t>
      </w:r>
      <w:bookmarkEnd w:id="371"/>
      <w:r w:rsidR="00E521E4" w:rsidRPr="0006114E">
        <w:rPr>
          <w:rFonts w:ascii="Arial" w:hAnsi="Arial" w:cs="Arial"/>
          <w:sz w:val="20"/>
        </w:rPr>
        <w:t xml:space="preserve">, </w:t>
      </w:r>
      <w:bookmarkStart w:id="372" w:name="a966938"/>
      <w:r w:rsidR="00D8597D" w:rsidRPr="0006114E">
        <w:rPr>
          <w:rFonts w:ascii="Arial" w:hAnsi="Arial" w:cs="Arial"/>
          <w:sz w:val="20"/>
        </w:rPr>
        <w:t xml:space="preserve">all </w:t>
      </w:r>
      <w:r w:rsidR="00D67DB9" w:rsidRPr="0006114E">
        <w:rPr>
          <w:rFonts w:ascii="Arial" w:hAnsi="Arial" w:cs="Arial"/>
          <w:sz w:val="20"/>
        </w:rPr>
        <w:t>Award</w:t>
      </w:r>
      <w:r w:rsidR="00D62C51" w:rsidRPr="0006114E">
        <w:rPr>
          <w:rFonts w:ascii="Arial" w:hAnsi="Arial" w:cs="Arial"/>
          <w:sz w:val="20"/>
        </w:rPr>
        <w:t>s</w:t>
      </w:r>
      <w:r w:rsidR="00D8597D" w:rsidRPr="0006114E">
        <w:rPr>
          <w:rFonts w:ascii="Arial" w:hAnsi="Arial" w:cs="Arial"/>
          <w:sz w:val="20"/>
        </w:rPr>
        <w:t xml:space="preserve"> shall </w:t>
      </w:r>
      <w:r w:rsidR="00D44FC6" w:rsidRPr="0006114E">
        <w:rPr>
          <w:rFonts w:ascii="Arial" w:hAnsi="Arial" w:cs="Arial"/>
          <w:sz w:val="20"/>
        </w:rPr>
        <w:t>Vest</w:t>
      </w:r>
      <w:r w:rsidR="00D8597D" w:rsidRPr="0006114E">
        <w:rPr>
          <w:rFonts w:ascii="Arial" w:hAnsi="Arial" w:cs="Arial"/>
          <w:sz w:val="20"/>
        </w:rPr>
        <w:t xml:space="preserve"> in relation to the </w:t>
      </w:r>
      <w:r w:rsidR="00420BBF" w:rsidRPr="0006114E">
        <w:rPr>
          <w:rFonts w:ascii="Arial" w:hAnsi="Arial" w:cs="Arial"/>
          <w:sz w:val="20"/>
        </w:rPr>
        <w:t>Relevant Number</w:t>
      </w:r>
      <w:r w:rsidR="00E913EE" w:rsidRPr="0006114E">
        <w:rPr>
          <w:rFonts w:ascii="Arial" w:hAnsi="Arial" w:cs="Arial"/>
          <w:sz w:val="20"/>
        </w:rPr>
        <w:t xml:space="preserve"> of Shares </w:t>
      </w:r>
      <w:r w:rsidR="00D8597D" w:rsidRPr="0006114E">
        <w:rPr>
          <w:rFonts w:ascii="Arial" w:hAnsi="Arial" w:cs="Arial"/>
          <w:sz w:val="20"/>
        </w:rPr>
        <w:t>and lapse in relation to</w:t>
      </w:r>
      <w:r w:rsidR="00942C6B">
        <w:rPr>
          <w:rFonts w:ascii="Arial" w:hAnsi="Arial" w:cs="Arial"/>
          <w:sz w:val="20"/>
        </w:rPr>
        <w:t xml:space="preserve"> any</w:t>
      </w:r>
      <w:r w:rsidR="00D8597D" w:rsidRPr="0006114E">
        <w:rPr>
          <w:rFonts w:ascii="Arial" w:hAnsi="Arial" w:cs="Arial"/>
          <w:sz w:val="20"/>
        </w:rPr>
        <w:t xml:space="preserve"> balance</w:t>
      </w:r>
      <w:r w:rsidR="00294992" w:rsidRPr="0006114E">
        <w:rPr>
          <w:rFonts w:ascii="Arial" w:hAnsi="Arial" w:cs="Arial"/>
          <w:sz w:val="20"/>
        </w:rPr>
        <w:t>.</w:t>
      </w:r>
      <w:r w:rsidR="00E521E4" w:rsidRPr="0006114E">
        <w:rPr>
          <w:rFonts w:ascii="Arial" w:hAnsi="Arial" w:cs="Arial"/>
          <w:sz w:val="20"/>
        </w:rPr>
        <w:t xml:space="preserve"> </w:t>
      </w:r>
      <w:bookmarkStart w:id="373" w:name="a63071"/>
      <w:bookmarkEnd w:id="372"/>
      <w:r w:rsidR="00D8597D" w:rsidRPr="0006114E">
        <w:rPr>
          <w:rFonts w:ascii="Arial" w:hAnsi="Arial" w:cs="Arial"/>
          <w:sz w:val="20"/>
        </w:rPr>
        <w:t>Option</w:t>
      </w:r>
      <w:r w:rsidR="00F15B9B" w:rsidRPr="0006114E">
        <w:rPr>
          <w:rFonts w:ascii="Arial" w:hAnsi="Arial" w:cs="Arial"/>
          <w:sz w:val="20"/>
        </w:rPr>
        <w:t>s may be exercised</w:t>
      </w:r>
      <w:r w:rsidR="00D8597D" w:rsidRPr="0006114E">
        <w:rPr>
          <w:rFonts w:ascii="Arial" w:hAnsi="Arial" w:cs="Arial"/>
          <w:sz w:val="20"/>
        </w:rPr>
        <w:t xml:space="preserve"> (in respect of </w:t>
      </w:r>
      <w:r w:rsidR="00E83E10" w:rsidRPr="0006114E">
        <w:rPr>
          <w:rFonts w:ascii="Arial" w:hAnsi="Arial" w:cs="Arial"/>
          <w:sz w:val="20"/>
        </w:rPr>
        <w:t xml:space="preserve">not </w:t>
      </w:r>
      <w:r w:rsidR="00D8597D" w:rsidRPr="0006114E">
        <w:rPr>
          <w:rFonts w:ascii="Arial" w:hAnsi="Arial" w:cs="Arial"/>
          <w:sz w:val="20"/>
        </w:rPr>
        <w:t xml:space="preserve">more than the </w:t>
      </w:r>
      <w:r w:rsidR="00420BBF" w:rsidRPr="0006114E">
        <w:rPr>
          <w:rFonts w:ascii="Arial" w:hAnsi="Arial" w:cs="Arial"/>
          <w:sz w:val="20"/>
        </w:rPr>
        <w:t>Relevant Number</w:t>
      </w:r>
      <w:r w:rsidR="007B4FB5" w:rsidRPr="0006114E">
        <w:rPr>
          <w:rFonts w:ascii="Arial" w:hAnsi="Arial" w:cs="Arial"/>
          <w:sz w:val="20"/>
        </w:rPr>
        <w:t xml:space="preserve"> of</w:t>
      </w:r>
      <w:r w:rsidR="00E913EE" w:rsidRPr="0006114E">
        <w:rPr>
          <w:rFonts w:ascii="Arial" w:hAnsi="Arial" w:cs="Arial"/>
          <w:sz w:val="20"/>
        </w:rPr>
        <w:t xml:space="preserve"> Shares)</w:t>
      </w:r>
      <w:r w:rsidR="00D8597D" w:rsidRPr="0006114E">
        <w:rPr>
          <w:rFonts w:ascii="Arial" w:hAnsi="Arial" w:cs="Arial"/>
          <w:sz w:val="20"/>
        </w:rPr>
        <w:t xml:space="preserve"> at any time when the person remains so bound or entitled</w:t>
      </w:r>
      <w:bookmarkEnd w:id="373"/>
      <w:r w:rsidR="00192C81" w:rsidRPr="0006114E">
        <w:rPr>
          <w:rFonts w:ascii="Arial" w:hAnsi="Arial" w:cs="Arial"/>
          <w:sz w:val="20"/>
        </w:rPr>
        <w:t xml:space="preserve"> and shall lapse</w:t>
      </w:r>
      <w:r w:rsidR="006230F2">
        <w:rPr>
          <w:rFonts w:ascii="Arial" w:hAnsi="Arial" w:cs="Arial"/>
          <w:sz w:val="20"/>
        </w:rPr>
        <w:t xml:space="preserve"> f</w:t>
      </w:r>
      <w:r w:rsidR="005D57C2">
        <w:rPr>
          <w:rFonts w:ascii="Arial" w:hAnsi="Arial" w:cs="Arial"/>
          <w:sz w:val="20"/>
        </w:rPr>
        <w:t xml:space="preserve">ive </w:t>
      </w:r>
      <w:r w:rsidR="001E605D">
        <w:rPr>
          <w:rFonts w:ascii="Arial" w:hAnsi="Arial" w:cs="Arial"/>
          <w:sz w:val="20"/>
        </w:rPr>
        <w:t>B</w:t>
      </w:r>
      <w:r w:rsidR="005D57C2">
        <w:rPr>
          <w:rFonts w:ascii="Arial" w:hAnsi="Arial" w:cs="Arial"/>
          <w:sz w:val="20"/>
        </w:rPr>
        <w:t xml:space="preserve">usiness </w:t>
      </w:r>
      <w:r w:rsidR="001E605D">
        <w:rPr>
          <w:rFonts w:ascii="Arial" w:hAnsi="Arial" w:cs="Arial"/>
          <w:sz w:val="20"/>
        </w:rPr>
        <w:t>D</w:t>
      </w:r>
      <w:r w:rsidR="005D57C2">
        <w:rPr>
          <w:rFonts w:ascii="Arial" w:hAnsi="Arial" w:cs="Arial"/>
          <w:sz w:val="20"/>
        </w:rPr>
        <w:t>ays before</w:t>
      </w:r>
      <w:r w:rsidR="00192C81" w:rsidRPr="0006114E">
        <w:rPr>
          <w:rFonts w:ascii="Arial" w:hAnsi="Arial" w:cs="Arial"/>
          <w:sz w:val="20"/>
        </w:rPr>
        <w:t xml:space="preserve"> </w:t>
      </w:r>
      <w:r w:rsidR="00D8597D" w:rsidRPr="0006114E">
        <w:rPr>
          <w:rFonts w:ascii="Arial" w:hAnsi="Arial" w:cs="Arial"/>
          <w:sz w:val="20"/>
        </w:rPr>
        <w:t xml:space="preserve">the end of the period during which that person </w:t>
      </w:r>
      <w:r w:rsidR="00192C81" w:rsidRPr="0006114E">
        <w:rPr>
          <w:rFonts w:ascii="Arial" w:hAnsi="Arial" w:cs="Arial"/>
          <w:sz w:val="20"/>
        </w:rPr>
        <w:t xml:space="preserve">first becomes </w:t>
      </w:r>
      <w:r w:rsidR="00D8597D" w:rsidRPr="0006114E">
        <w:rPr>
          <w:rFonts w:ascii="Arial" w:hAnsi="Arial" w:cs="Arial"/>
          <w:sz w:val="20"/>
        </w:rPr>
        <w:t>bound or entitled</w:t>
      </w:r>
      <w:r w:rsidR="003977DB" w:rsidRPr="0006114E">
        <w:rPr>
          <w:rFonts w:ascii="Arial" w:hAnsi="Arial" w:cs="Arial"/>
          <w:sz w:val="20"/>
        </w:rPr>
        <w:t>.</w:t>
      </w:r>
    </w:p>
    <w:p w14:paraId="1515F3BB" w14:textId="513187D3" w:rsidR="009A56F0" w:rsidRPr="0006114E" w:rsidRDefault="00F9747D" w:rsidP="006A1CE1">
      <w:pPr>
        <w:pStyle w:val="Untitledsubclause1"/>
        <w:spacing w:line="240" w:lineRule="auto"/>
        <w:rPr>
          <w:rFonts w:ascii="Arial" w:hAnsi="Arial" w:cs="Arial"/>
          <w:sz w:val="20"/>
        </w:rPr>
      </w:pPr>
      <w:bookmarkStart w:id="374" w:name="a366089"/>
      <w:bookmarkStart w:id="375" w:name="_Ref105601363"/>
      <w:bookmarkStart w:id="376" w:name="_Ref81582533"/>
      <w:bookmarkStart w:id="377" w:name="a103251"/>
      <w:bookmarkStart w:id="378" w:name="_Ref81584425"/>
      <w:bookmarkStart w:id="379" w:name="_Ref105592924"/>
      <w:r w:rsidRPr="00165535">
        <w:rPr>
          <w:rFonts w:ascii="Arial" w:hAnsi="Arial" w:cs="Arial"/>
          <w:sz w:val="20"/>
        </w:rPr>
        <w:t xml:space="preserve">If a prospective Acquiror offers Award Holders the opportunity to </w:t>
      </w:r>
      <w:bookmarkStart w:id="380" w:name="a486366"/>
      <w:bookmarkStart w:id="381" w:name="a190510"/>
      <w:bookmarkStart w:id="382" w:name="a308554"/>
      <w:bookmarkEnd w:id="374"/>
      <w:r w:rsidRPr="00165535">
        <w:rPr>
          <w:rFonts w:ascii="Arial" w:hAnsi="Arial" w:cs="Arial"/>
          <w:sz w:val="20"/>
        </w:rPr>
        <w:t xml:space="preserve">exchange their Award for a right </w:t>
      </w:r>
      <w:bookmarkStart w:id="383" w:name="a681340"/>
      <w:bookmarkEnd w:id="380"/>
      <w:r w:rsidRPr="00165535">
        <w:rPr>
          <w:rFonts w:ascii="Arial" w:hAnsi="Arial" w:cs="Arial"/>
          <w:sz w:val="20"/>
        </w:rPr>
        <w:t>in relation to shares of another company</w:t>
      </w:r>
      <w:bookmarkEnd w:id="375"/>
      <w:bookmarkEnd w:id="381"/>
      <w:bookmarkEnd w:id="383"/>
      <w:r w:rsidRPr="00165535">
        <w:rPr>
          <w:rFonts w:ascii="Arial" w:hAnsi="Arial" w:cs="Arial"/>
          <w:sz w:val="20"/>
        </w:rPr>
        <w:t xml:space="preserve"> (“</w:t>
      </w:r>
      <w:r w:rsidRPr="00165535">
        <w:rPr>
          <w:rFonts w:ascii="Arial" w:hAnsi="Arial" w:cs="Arial"/>
          <w:b/>
          <w:bCs/>
          <w:sz w:val="20"/>
        </w:rPr>
        <w:t>Replacement Awards</w:t>
      </w:r>
      <w:r w:rsidRPr="00165535">
        <w:rPr>
          <w:rFonts w:ascii="Arial" w:hAnsi="Arial" w:cs="Arial"/>
          <w:sz w:val="20"/>
        </w:rPr>
        <w:t xml:space="preserve">”) then, </w:t>
      </w:r>
      <w:r w:rsidRPr="00165535">
        <w:rPr>
          <w:rFonts w:ascii="Arial" w:hAnsi="Arial" w:cs="Arial"/>
          <w:sz w:val="20"/>
          <w:lang w:val="en-GB"/>
        </w:rPr>
        <w:t>notwithstanding any other provision of this rule</w:t>
      </w:r>
      <w:r>
        <w:rPr>
          <w:rFonts w:ascii="Arial" w:hAnsi="Arial" w:cs="Arial"/>
          <w:sz w:val="20"/>
          <w:lang w:val="en-GB"/>
        </w:rPr>
        <w:t xml:space="preserve"> </w:t>
      </w:r>
      <w:r>
        <w:rPr>
          <w:rFonts w:ascii="Arial" w:hAnsi="Arial" w:cs="Arial"/>
          <w:sz w:val="20"/>
          <w:lang w:val="en-GB"/>
        </w:rPr>
        <w:fldChar w:fldCharType="begin"/>
      </w:r>
      <w:r>
        <w:rPr>
          <w:rFonts w:ascii="Arial" w:hAnsi="Arial" w:cs="Arial"/>
          <w:sz w:val="20"/>
          <w:lang w:val="en-GB"/>
        </w:rPr>
        <w:instrText xml:space="preserve"> REF _Ref191379490 \r \h </w:instrText>
      </w:r>
      <w:r>
        <w:rPr>
          <w:rFonts w:ascii="Arial" w:hAnsi="Arial" w:cs="Arial"/>
          <w:sz w:val="20"/>
          <w:lang w:val="en-GB"/>
        </w:rPr>
      </w:r>
      <w:r>
        <w:rPr>
          <w:rFonts w:ascii="Arial" w:hAnsi="Arial" w:cs="Arial"/>
          <w:sz w:val="20"/>
          <w:lang w:val="en-GB"/>
        </w:rPr>
        <w:fldChar w:fldCharType="separate"/>
      </w:r>
      <w:r w:rsidR="00661E34">
        <w:rPr>
          <w:rFonts w:ascii="Arial" w:hAnsi="Arial" w:cs="Arial"/>
          <w:sz w:val="20"/>
          <w:lang w:val="en-GB"/>
        </w:rPr>
        <w:t>17</w:t>
      </w:r>
      <w:r>
        <w:rPr>
          <w:rFonts w:ascii="Arial" w:hAnsi="Arial" w:cs="Arial"/>
          <w:sz w:val="20"/>
          <w:lang w:val="en-GB"/>
        </w:rPr>
        <w:fldChar w:fldCharType="end"/>
      </w:r>
      <w:r w:rsidRPr="00165535">
        <w:rPr>
          <w:rFonts w:ascii="Arial" w:hAnsi="Arial" w:cs="Arial"/>
          <w:sz w:val="20"/>
          <w:lang w:val="en-GB"/>
        </w:rPr>
        <w:t xml:space="preserve">, </w:t>
      </w:r>
      <w:r w:rsidRPr="00165535">
        <w:rPr>
          <w:rFonts w:ascii="Arial" w:hAnsi="Arial" w:cs="Arial"/>
          <w:sz w:val="20"/>
        </w:rPr>
        <w:t>t</w:t>
      </w:r>
      <w:bookmarkStart w:id="384" w:name="a475597"/>
      <w:bookmarkEnd w:id="382"/>
      <w:r w:rsidRPr="00165535">
        <w:rPr>
          <w:rFonts w:ascii="Arial" w:hAnsi="Arial" w:cs="Arial"/>
          <w:sz w:val="20"/>
        </w:rPr>
        <w:t>he Remuneration Committee (as constituted before the Change of Control) will determine the treatment of Awards, which may include deciding that</w:t>
      </w:r>
      <w:bookmarkEnd w:id="384"/>
      <w:r w:rsidRPr="00165535">
        <w:rPr>
          <w:rFonts w:ascii="Arial" w:hAnsi="Arial" w:cs="Arial"/>
          <w:sz w:val="20"/>
        </w:rPr>
        <w:t xml:space="preserve"> </w:t>
      </w:r>
      <w:r w:rsidRPr="00165535">
        <w:rPr>
          <w:rFonts w:ascii="Arial" w:hAnsi="Arial" w:cs="Arial"/>
          <w:sz w:val="20"/>
          <w:lang w:val="en-GB"/>
        </w:rPr>
        <w:t xml:space="preserve">the Awards shall not </w:t>
      </w:r>
      <w:r>
        <w:rPr>
          <w:rFonts w:ascii="Arial" w:hAnsi="Arial" w:cs="Arial"/>
          <w:sz w:val="20"/>
          <w:lang w:val="en-GB"/>
        </w:rPr>
        <w:t>V</w:t>
      </w:r>
      <w:r w:rsidRPr="00165535">
        <w:rPr>
          <w:rFonts w:ascii="Arial" w:hAnsi="Arial" w:cs="Arial"/>
          <w:sz w:val="20"/>
          <w:lang w:val="en-GB"/>
        </w:rPr>
        <w:t xml:space="preserve">est and shall be automatically exchanged for </w:t>
      </w:r>
      <w:r w:rsidRPr="00165535">
        <w:rPr>
          <w:rFonts w:ascii="Arial" w:hAnsi="Arial" w:cs="Arial"/>
          <w:sz w:val="20"/>
        </w:rPr>
        <w:t>Replacement Awards</w:t>
      </w:r>
      <w:r w:rsidRPr="00165535">
        <w:rPr>
          <w:rFonts w:ascii="Arial" w:hAnsi="Arial" w:cs="Arial"/>
          <w:sz w:val="20"/>
          <w:lang w:val="en-GB"/>
        </w:rPr>
        <w:t xml:space="preserve"> on the Change of Control, </w:t>
      </w:r>
      <w:r w:rsidR="00036880" w:rsidRPr="00165535">
        <w:rPr>
          <w:rFonts w:ascii="Arial" w:hAnsi="Arial" w:cs="Arial"/>
          <w:sz w:val="20"/>
          <w:lang w:val="en-GB"/>
        </w:rPr>
        <w:t xml:space="preserve">or giving </w:t>
      </w:r>
      <w:r w:rsidR="00036880">
        <w:rPr>
          <w:rFonts w:ascii="Arial" w:hAnsi="Arial" w:cs="Arial"/>
          <w:sz w:val="20"/>
          <w:lang w:val="en-GB"/>
        </w:rPr>
        <w:t xml:space="preserve">each </w:t>
      </w:r>
      <w:r w:rsidR="00036880" w:rsidRPr="00165535">
        <w:rPr>
          <w:rFonts w:ascii="Arial" w:hAnsi="Arial" w:cs="Arial"/>
          <w:sz w:val="20"/>
          <w:lang w:val="en-GB"/>
        </w:rPr>
        <w:t xml:space="preserve">Award Holder the choice whether to accept </w:t>
      </w:r>
      <w:r w:rsidR="00036880">
        <w:rPr>
          <w:rFonts w:ascii="Arial" w:hAnsi="Arial" w:cs="Arial"/>
          <w:sz w:val="20"/>
          <w:lang w:val="en-GB"/>
        </w:rPr>
        <w:t>a</w:t>
      </w:r>
      <w:r w:rsidR="00036880" w:rsidRPr="00165535">
        <w:rPr>
          <w:rFonts w:ascii="Arial" w:hAnsi="Arial" w:cs="Arial"/>
          <w:sz w:val="20"/>
          <w:lang w:val="en-GB"/>
        </w:rPr>
        <w:t xml:space="preserve"> Replacement Award </w:t>
      </w:r>
      <w:r w:rsidR="00036880">
        <w:rPr>
          <w:rFonts w:ascii="Arial" w:hAnsi="Arial" w:cs="Arial"/>
          <w:sz w:val="20"/>
          <w:lang w:val="en-GB"/>
        </w:rPr>
        <w:t>or have their Award Vest in the manner it would have Vested had a Replacement Award not been offered</w:t>
      </w:r>
      <w:r w:rsidRPr="00165535">
        <w:rPr>
          <w:rFonts w:ascii="Arial" w:hAnsi="Arial" w:cs="Arial"/>
          <w:sz w:val="20"/>
          <w:lang w:val="en-GB"/>
        </w:rPr>
        <w:t>.</w:t>
      </w:r>
    </w:p>
    <w:bookmarkEnd w:id="376"/>
    <w:p w14:paraId="49FF6898" w14:textId="1FA2138F" w:rsidR="000F7C94" w:rsidRPr="0006114E" w:rsidRDefault="000F7C94" w:rsidP="006A1CE1">
      <w:pPr>
        <w:pStyle w:val="Untitledsubclause1"/>
        <w:spacing w:line="240" w:lineRule="auto"/>
        <w:rPr>
          <w:rFonts w:ascii="Arial" w:hAnsi="Arial" w:cs="Arial"/>
          <w:sz w:val="20"/>
        </w:rPr>
      </w:pPr>
      <w:r w:rsidRPr="0006114E">
        <w:rPr>
          <w:rFonts w:ascii="Arial" w:hAnsi="Arial" w:cs="Arial"/>
          <w:sz w:val="20"/>
        </w:rPr>
        <w:t xml:space="preserve">If the Acquiror is a company and its shareholders and the proportion of its shares held by each of them following completion of the Change of Control are substantially the same as the shareholders and their shareholdings in the Company immediately before the Change of Control, </w:t>
      </w:r>
      <w:r w:rsidR="00216EBB" w:rsidRPr="0006114E">
        <w:rPr>
          <w:rFonts w:ascii="Arial" w:hAnsi="Arial" w:cs="Arial"/>
          <w:sz w:val="20"/>
        </w:rPr>
        <w:t xml:space="preserve">any outstanding Awards will be automatically exchanged for awards on similar terms over shares in the Acquiror, unless the Remuneration Committee decides that this rule </w:t>
      </w:r>
      <w:r w:rsidR="00216EBB" w:rsidRPr="0006114E">
        <w:rPr>
          <w:rFonts w:ascii="Arial" w:hAnsi="Arial" w:cs="Arial"/>
          <w:sz w:val="20"/>
        </w:rPr>
        <w:fldChar w:fldCharType="begin"/>
      </w:r>
      <w:r w:rsidR="00216EBB" w:rsidRPr="0006114E">
        <w:rPr>
          <w:rFonts w:ascii="Arial" w:hAnsi="Arial" w:cs="Arial"/>
          <w:sz w:val="20"/>
        </w:rPr>
        <w:instrText xml:space="preserve"> REF _Ref105592924 \r \h  \* MERGEFORMAT </w:instrText>
      </w:r>
      <w:r w:rsidR="00216EBB" w:rsidRPr="0006114E">
        <w:rPr>
          <w:rFonts w:ascii="Arial" w:hAnsi="Arial" w:cs="Arial"/>
          <w:sz w:val="20"/>
        </w:rPr>
      </w:r>
      <w:r w:rsidR="00216EBB" w:rsidRPr="0006114E">
        <w:rPr>
          <w:rFonts w:ascii="Arial" w:hAnsi="Arial" w:cs="Arial"/>
          <w:sz w:val="20"/>
        </w:rPr>
        <w:fldChar w:fldCharType="separate"/>
      </w:r>
      <w:r w:rsidR="00661E34">
        <w:rPr>
          <w:rFonts w:ascii="Arial" w:hAnsi="Arial" w:cs="Arial"/>
          <w:sz w:val="20"/>
        </w:rPr>
        <w:t>17.5</w:t>
      </w:r>
      <w:r w:rsidR="00216EBB" w:rsidRPr="0006114E">
        <w:rPr>
          <w:rFonts w:ascii="Arial" w:hAnsi="Arial" w:cs="Arial"/>
          <w:sz w:val="20"/>
        </w:rPr>
        <w:fldChar w:fldCharType="end"/>
      </w:r>
      <w:r w:rsidR="00216EBB" w:rsidRPr="0006114E">
        <w:rPr>
          <w:rFonts w:ascii="Arial" w:hAnsi="Arial" w:cs="Arial"/>
          <w:sz w:val="20"/>
        </w:rPr>
        <w:t xml:space="preserve"> shall not apply. Where Awards are so exchanged, the Plan shall be interpreted in relation to any replacement awards as if references to the Company were references to the Acquiror.</w:t>
      </w:r>
      <w:bookmarkEnd w:id="377"/>
      <w:bookmarkEnd w:id="378"/>
      <w:bookmarkEnd w:id="379"/>
    </w:p>
    <w:p w14:paraId="1EBD9225" w14:textId="5517918D" w:rsidR="0012387C" w:rsidRPr="0006114E" w:rsidRDefault="0012387C" w:rsidP="006A1CE1">
      <w:pPr>
        <w:pStyle w:val="Untitledsubclause1"/>
        <w:spacing w:line="240" w:lineRule="auto"/>
        <w:rPr>
          <w:rFonts w:ascii="Arial" w:hAnsi="Arial" w:cs="Arial"/>
          <w:sz w:val="20"/>
        </w:rPr>
      </w:pPr>
      <w:bookmarkStart w:id="385" w:name="a778719"/>
      <w:r w:rsidRPr="0006114E">
        <w:rPr>
          <w:rFonts w:ascii="Arial" w:hAnsi="Arial" w:cs="Arial"/>
          <w:sz w:val="20"/>
        </w:rPr>
        <w:t xml:space="preserve">All Awards shall Vest in relation to the Relevant Number of Shares </w:t>
      </w:r>
      <w:r w:rsidR="006A209F">
        <w:rPr>
          <w:rFonts w:ascii="Arial" w:hAnsi="Arial" w:cs="Arial"/>
          <w:sz w:val="20"/>
        </w:rPr>
        <w:t xml:space="preserve">(and </w:t>
      </w:r>
      <w:r w:rsidRPr="0006114E">
        <w:rPr>
          <w:rFonts w:ascii="Arial" w:hAnsi="Arial" w:cs="Arial"/>
          <w:sz w:val="20"/>
        </w:rPr>
        <w:t>Options may be exercised) on the passing of a resolution for the voluntary and solvent winding up of the Company</w:t>
      </w:r>
      <w:r w:rsidR="005453B5">
        <w:rPr>
          <w:rFonts w:ascii="Arial" w:hAnsi="Arial" w:cs="Arial"/>
          <w:sz w:val="20"/>
        </w:rPr>
        <w:t xml:space="preserve"> </w:t>
      </w:r>
      <w:r w:rsidR="005453B5" w:rsidRPr="0006114E">
        <w:rPr>
          <w:rFonts w:ascii="Arial" w:hAnsi="Arial" w:cs="Arial"/>
          <w:sz w:val="20"/>
        </w:rPr>
        <w:t xml:space="preserve">and lapse in relation to </w:t>
      </w:r>
      <w:r w:rsidR="005453B5">
        <w:rPr>
          <w:rFonts w:ascii="Arial" w:hAnsi="Arial" w:cs="Arial"/>
          <w:sz w:val="20"/>
        </w:rPr>
        <w:t>any</w:t>
      </w:r>
      <w:r w:rsidR="005453B5" w:rsidRPr="0006114E">
        <w:rPr>
          <w:rFonts w:ascii="Arial" w:hAnsi="Arial" w:cs="Arial"/>
          <w:sz w:val="20"/>
        </w:rPr>
        <w:t xml:space="preserve"> balance</w:t>
      </w:r>
      <w:r w:rsidRPr="0006114E">
        <w:rPr>
          <w:rFonts w:ascii="Arial" w:hAnsi="Arial" w:cs="Arial"/>
          <w:sz w:val="20"/>
        </w:rPr>
        <w:t xml:space="preserve">. Options will </w:t>
      </w:r>
      <w:bookmarkStart w:id="386" w:name="a362148"/>
      <w:bookmarkEnd w:id="385"/>
      <w:r w:rsidRPr="0006114E">
        <w:rPr>
          <w:rFonts w:ascii="Arial" w:hAnsi="Arial" w:cs="Arial"/>
          <w:sz w:val="20"/>
        </w:rPr>
        <w:t>lapse when the winding up begins.</w:t>
      </w:r>
      <w:bookmarkEnd w:id="386"/>
    </w:p>
    <w:p w14:paraId="56712EF2" w14:textId="4B6AE05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"22. Variation of share capital" \l 1</w:instrText>
      </w:r>
      <w:r w:rsidRPr="0006114E">
        <w:rPr>
          <w:rFonts w:ascii="Arial" w:hAnsi="Arial" w:cs="Arial"/>
          <w:sz w:val="20"/>
        </w:rPr>
        <w:fldChar w:fldCharType="end"/>
      </w:r>
      <w:bookmarkStart w:id="387" w:name="a129837"/>
      <w:bookmarkStart w:id="388" w:name="_Toc105671035"/>
      <w:bookmarkStart w:id="389" w:name="_Toc103273411"/>
      <w:bookmarkStart w:id="390" w:name="_Toc145339792"/>
      <w:bookmarkStart w:id="391" w:name="_Toc131682142"/>
      <w:bookmarkStart w:id="392" w:name="_Toc107828235"/>
      <w:bookmarkStart w:id="393" w:name="_Toc152661663"/>
      <w:bookmarkStart w:id="394" w:name="_Toc159952469"/>
      <w:bookmarkStart w:id="395" w:name="_Toc168490290"/>
      <w:bookmarkStart w:id="396" w:name="_Toc187838780"/>
      <w:bookmarkStart w:id="397" w:name="_Toc188629314"/>
      <w:bookmarkStart w:id="398" w:name="_Toc191381414"/>
      <w:r w:rsidRPr="0006114E">
        <w:rPr>
          <w:rFonts w:ascii="Arial" w:hAnsi="Arial" w:cs="Arial"/>
          <w:sz w:val="20"/>
        </w:rPr>
        <w:t>Variation of share capital</w:t>
      </w:r>
      <w:bookmarkEnd w:id="387"/>
      <w:bookmarkEnd w:id="388"/>
      <w:bookmarkEnd w:id="389"/>
      <w:bookmarkEnd w:id="390"/>
      <w:bookmarkEnd w:id="391"/>
      <w:bookmarkEnd w:id="392"/>
      <w:bookmarkEnd w:id="393"/>
      <w:bookmarkEnd w:id="394"/>
      <w:bookmarkEnd w:id="395"/>
      <w:bookmarkEnd w:id="396"/>
      <w:bookmarkEnd w:id="397"/>
      <w:bookmarkEnd w:id="398"/>
    </w:p>
    <w:p w14:paraId="375366CF" w14:textId="68686A09" w:rsidR="004330E5" w:rsidRPr="0006114E" w:rsidRDefault="00F961D2" w:rsidP="006A1CE1">
      <w:pPr>
        <w:pStyle w:val="Untitledsubclause1"/>
        <w:spacing w:line="240" w:lineRule="auto"/>
        <w:rPr>
          <w:rFonts w:ascii="Arial" w:hAnsi="Arial" w:cs="Arial"/>
          <w:sz w:val="20"/>
        </w:rPr>
      </w:pPr>
      <w:bookmarkStart w:id="399" w:name="a733271"/>
      <w:r w:rsidRPr="0006114E">
        <w:rPr>
          <w:rFonts w:ascii="Arial" w:hAnsi="Arial" w:cs="Arial"/>
          <w:sz w:val="20"/>
        </w:rPr>
        <w:t>W</w:t>
      </w:r>
      <w:r w:rsidR="00D8597D" w:rsidRPr="0006114E">
        <w:rPr>
          <w:rFonts w:ascii="Arial" w:hAnsi="Arial" w:cs="Arial"/>
          <w:sz w:val="20"/>
        </w:rPr>
        <w:t>here there is</w:t>
      </w:r>
      <w:r w:rsidRPr="0006114E">
        <w:rPr>
          <w:rFonts w:ascii="Arial" w:hAnsi="Arial" w:cs="Arial"/>
          <w:sz w:val="20"/>
        </w:rPr>
        <w:t xml:space="preserve"> </w:t>
      </w:r>
      <w:bookmarkStart w:id="400" w:name="a293618"/>
      <w:bookmarkEnd w:id="399"/>
      <w:r w:rsidR="00D8597D" w:rsidRPr="0006114E">
        <w:rPr>
          <w:rFonts w:ascii="Arial" w:hAnsi="Arial" w:cs="Arial"/>
          <w:sz w:val="20"/>
        </w:rPr>
        <w:t>a variation of share capital</w:t>
      </w:r>
      <w:bookmarkStart w:id="401" w:name="a357706"/>
      <w:r w:rsidR="00796D7E" w:rsidRPr="0006114E">
        <w:rPr>
          <w:rFonts w:ascii="Arial" w:hAnsi="Arial" w:cs="Arial"/>
          <w:sz w:val="20"/>
        </w:rPr>
        <w:t xml:space="preserve"> </w:t>
      </w:r>
      <w:bookmarkStart w:id="402" w:name="a69311"/>
      <w:bookmarkStart w:id="403" w:name="a261574"/>
      <w:bookmarkEnd w:id="400"/>
      <w:bookmarkEnd w:id="401"/>
      <w:r w:rsidR="00965B72" w:rsidRPr="0006114E">
        <w:rPr>
          <w:rFonts w:ascii="Arial" w:hAnsi="Arial" w:cs="Arial"/>
          <w:sz w:val="20"/>
        </w:rPr>
        <w:t xml:space="preserve">(including a </w:t>
      </w:r>
      <w:proofErr w:type="spellStart"/>
      <w:r w:rsidR="00965B72" w:rsidRPr="0006114E">
        <w:rPr>
          <w:rFonts w:ascii="Arial" w:hAnsi="Arial" w:cs="Arial"/>
          <w:sz w:val="20"/>
        </w:rPr>
        <w:t>capitalisation</w:t>
      </w:r>
      <w:proofErr w:type="spellEnd"/>
      <w:r w:rsidR="00965B72" w:rsidRPr="0006114E">
        <w:rPr>
          <w:rFonts w:ascii="Arial" w:hAnsi="Arial" w:cs="Arial"/>
          <w:sz w:val="20"/>
        </w:rPr>
        <w:t xml:space="preserve"> issue, rights issue, consolidation, subdivision or reduction of the share capital of the Company, a vendor placing with </w:t>
      </w:r>
      <w:proofErr w:type="spellStart"/>
      <w:r w:rsidR="00965B72" w:rsidRPr="0006114E">
        <w:rPr>
          <w:rFonts w:ascii="Arial" w:hAnsi="Arial" w:cs="Arial"/>
          <w:sz w:val="20"/>
        </w:rPr>
        <w:t>clawback</w:t>
      </w:r>
      <w:proofErr w:type="spellEnd"/>
      <w:r w:rsidR="00965B72" w:rsidRPr="0006114E">
        <w:rPr>
          <w:rFonts w:ascii="Arial" w:hAnsi="Arial" w:cs="Arial"/>
          <w:sz w:val="20"/>
        </w:rPr>
        <w:t>, a vendor rights offer or a cash open offer)</w:t>
      </w:r>
      <w:r w:rsidR="00C372AC" w:rsidRPr="0006114E">
        <w:rPr>
          <w:rFonts w:ascii="Arial" w:hAnsi="Arial" w:cs="Arial"/>
          <w:sz w:val="20"/>
        </w:rPr>
        <w:t xml:space="preserve"> </w:t>
      </w:r>
      <w:r w:rsidR="009E69A6" w:rsidRPr="0006114E">
        <w:rPr>
          <w:rFonts w:ascii="Arial" w:hAnsi="Arial" w:cs="Arial"/>
          <w:sz w:val="20"/>
        </w:rPr>
        <w:t xml:space="preserve">or </w:t>
      </w:r>
      <w:r w:rsidR="00D8597D" w:rsidRPr="0006114E">
        <w:rPr>
          <w:rFonts w:ascii="Arial" w:hAnsi="Arial" w:cs="Arial"/>
          <w:sz w:val="20"/>
        </w:rPr>
        <w:t>extraordinary distribution</w:t>
      </w:r>
      <w:bookmarkStart w:id="404" w:name="a919478"/>
      <w:bookmarkEnd w:id="402"/>
      <w:bookmarkEnd w:id="403"/>
      <w:r w:rsidR="00C372AC" w:rsidRPr="0006114E">
        <w:rPr>
          <w:rFonts w:ascii="Arial" w:hAnsi="Arial" w:cs="Arial"/>
          <w:sz w:val="20"/>
        </w:rPr>
        <w:t xml:space="preserve"> (including a demerger or special dividend to shareholders)</w:t>
      </w:r>
      <w:r w:rsidR="009E69A6" w:rsidRPr="0006114E">
        <w:rPr>
          <w:rFonts w:ascii="Arial" w:hAnsi="Arial" w:cs="Arial"/>
          <w:sz w:val="20"/>
        </w:rPr>
        <w:t xml:space="preserve">, </w:t>
      </w:r>
      <w:r w:rsidR="00D8597D" w:rsidRPr="0006114E">
        <w:rPr>
          <w:rFonts w:ascii="Arial" w:hAnsi="Arial" w:cs="Arial"/>
          <w:sz w:val="20"/>
        </w:rPr>
        <w:t xml:space="preserve">the </w:t>
      </w:r>
      <w:r w:rsidR="00623047" w:rsidRPr="0006114E">
        <w:rPr>
          <w:rFonts w:ascii="Arial" w:hAnsi="Arial" w:cs="Arial"/>
          <w:sz w:val="20"/>
        </w:rPr>
        <w:t>Remuneration Committee</w:t>
      </w:r>
      <w:r w:rsidR="00D8597D" w:rsidRPr="0006114E">
        <w:rPr>
          <w:rFonts w:ascii="Arial" w:hAnsi="Arial" w:cs="Arial"/>
          <w:sz w:val="20"/>
        </w:rPr>
        <w:t xml:space="preserve"> </w:t>
      </w:r>
      <w:bookmarkEnd w:id="404"/>
      <w:r w:rsidR="00D8597D" w:rsidRPr="0006114E">
        <w:rPr>
          <w:rFonts w:ascii="Arial" w:hAnsi="Arial" w:cs="Arial"/>
          <w:sz w:val="20"/>
        </w:rPr>
        <w:t>may</w:t>
      </w:r>
      <w:r w:rsidR="004330E5" w:rsidRPr="0006114E">
        <w:rPr>
          <w:rFonts w:ascii="Arial" w:hAnsi="Arial" w:cs="Arial"/>
          <w:sz w:val="20"/>
        </w:rPr>
        <w:t>:</w:t>
      </w:r>
    </w:p>
    <w:p w14:paraId="079DC05F" w14:textId="6F760E23" w:rsidR="004330E5" w:rsidRPr="0006114E" w:rsidRDefault="00D8597D" w:rsidP="006A1CE1">
      <w:pPr>
        <w:pStyle w:val="Untitledsubclause2"/>
        <w:numPr>
          <w:ilvl w:val="2"/>
          <w:numId w:val="35"/>
        </w:numPr>
        <w:spacing w:line="240" w:lineRule="auto"/>
        <w:rPr>
          <w:rFonts w:ascii="Arial" w:hAnsi="Arial" w:cs="Arial"/>
          <w:sz w:val="20"/>
        </w:rPr>
      </w:pPr>
      <w:bookmarkStart w:id="405" w:name="_Ref188948476"/>
      <w:bookmarkStart w:id="406" w:name="_Ref188948201"/>
      <w:r w:rsidRPr="0006114E">
        <w:rPr>
          <w:rFonts w:ascii="Arial" w:hAnsi="Arial" w:cs="Arial"/>
          <w:sz w:val="20"/>
        </w:rPr>
        <w:t>determine that</w:t>
      </w:r>
      <w:r w:rsidR="00F936DF" w:rsidRPr="0006114E">
        <w:rPr>
          <w:rFonts w:ascii="Arial" w:hAnsi="Arial" w:cs="Arial"/>
          <w:sz w:val="20"/>
        </w:rPr>
        <w:t xml:space="preserve"> </w:t>
      </w:r>
      <w:bookmarkStart w:id="407" w:name="a79415"/>
      <w:r w:rsidR="001D71D7" w:rsidRPr="0006114E">
        <w:rPr>
          <w:rFonts w:ascii="Arial" w:hAnsi="Arial" w:cs="Arial"/>
          <w:sz w:val="20"/>
        </w:rPr>
        <w:t>Awards</w:t>
      </w:r>
      <w:r w:rsidRPr="0006114E">
        <w:rPr>
          <w:rFonts w:ascii="Arial" w:hAnsi="Arial" w:cs="Arial"/>
          <w:sz w:val="20"/>
        </w:rPr>
        <w:t xml:space="preserve"> shall </w:t>
      </w:r>
      <w:r w:rsidR="00D44FC6" w:rsidRPr="0006114E">
        <w:rPr>
          <w:rFonts w:ascii="Arial" w:hAnsi="Arial" w:cs="Arial"/>
          <w:sz w:val="20"/>
        </w:rPr>
        <w:t>Vest</w:t>
      </w:r>
      <w:r w:rsidRPr="0006114E">
        <w:rPr>
          <w:rFonts w:ascii="Arial" w:hAnsi="Arial" w:cs="Arial"/>
          <w:sz w:val="20"/>
        </w:rPr>
        <w:t xml:space="preserve"> in relation to the </w:t>
      </w:r>
      <w:r w:rsidR="00420BBF" w:rsidRPr="0006114E">
        <w:rPr>
          <w:rFonts w:ascii="Arial" w:hAnsi="Arial" w:cs="Arial"/>
          <w:sz w:val="20"/>
        </w:rPr>
        <w:t>Relevant Number</w:t>
      </w:r>
      <w:r w:rsidR="00E913EE" w:rsidRPr="0006114E">
        <w:rPr>
          <w:rFonts w:ascii="Arial" w:hAnsi="Arial" w:cs="Arial"/>
          <w:sz w:val="20"/>
        </w:rPr>
        <w:t xml:space="preserve"> of Shares</w:t>
      </w:r>
      <w:r w:rsidR="00307FA4">
        <w:rPr>
          <w:rFonts w:ascii="Arial" w:hAnsi="Arial" w:cs="Arial"/>
          <w:sz w:val="20"/>
        </w:rPr>
        <w:t xml:space="preserve"> </w:t>
      </w:r>
      <w:r w:rsidR="00F936DF" w:rsidRPr="0006114E">
        <w:rPr>
          <w:rFonts w:ascii="Arial" w:hAnsi="Arial" w:cs="Arial"/>
          <w:sz w:val="20"/>
        </w:rPr>
        <w:t>and</w:t>
      </w:r>
      <w:bookmarkStart w:id="408" w:name="a56729"/>
      <w:r w:rsidR="00F936DF" w:rsidRPr="0006114E">
        <w:rPr>
          <w:rFonts w:ascii="Arial" w:hAnsi="Arial" w:cs="Arial"/>
          <w:sz w:val="20"/>
        </w:rPr>
        <w:t xml:space="preserve"> Options may be exercised for a period set by the </w:t>
      </w:r>
      <w:r w:rsidR="000D1C9A" w:rsidRPr="0006114E">
        <w:rPr>
          <w:rFonts w:ascii="Arial" w:hAnsi="Arial" w:cs="Arial"/>
          <w:sz w:val="20"/>
        </w:rPr>
        <w:t>Remuneration</w:t>
      </w:r>
      <w:r w:rsidR="00F936DF" w:rsidRPr="0006114E">
        <w:rPr>
          <w:rFonts w:ascii="Arial" w:hAnsi="Arial" w:cs="Arial"/>
          <w:sz w:val="20"/>
        </w:rPr>
        <w:t xml:space="preserve"> Committee</w:t>
      </w:r>
      <w:r w:rsidR="000D1C9A" w:rsidRPr="0006114E">
        <w:rPr>
          <w:rFonts w:ascii="Arial" w:hAnsi="Arial" w:cs="Arial"/>
          <w:sz w:val="20"/>
        </w:rPr>
        <w:t xml:space="preserve"> </w:t>
      </w:r>
      <w:bookmarkEnd w:id="408"/>
      <w:r w:rsidR="000D1C9A" w:rsidRPr="0006114E">
        <w:rPr>
          <w:rFonts w:ascii="Arial" w:hAnsi="Arial" w:cs="Arial"/>
          <w:sz w:val="20"/>
        </w:rPr>
        <w:t>(</w:t>
      </w:r>
      <w:r w:rsidR="00266BC1" w:rsidRPr="0006114E">
        <w:rPr>
          <w:rFonts w:ascii="Arial" w:hAnsi="Arial" w:cs="Arial"/>
          <w:sz w:val="20"/>
        </w:rPr>
        <w:t xml:space="preserve">which may also decide that Options </w:t>
      </w:r>
      <w:r w:rsidR="004330E5" w:rsidRPr="0006114E">
        <w:rPr>
          <w:rFonts w:ascii="Arial" w:hAnsi="Arial" w:cs="Arial"/>
          <w:sz w:val="20"/>
        </w:rPr>
        <w:t>will lapse at the end of such period)</w:t>
      </w:r>
      <w:bookmarkStart w:id="409" w:name="a590698"/>
      <w:bookmarkEnd w:id="407"/>
      <w:r w:rsidR="004330E5" w:rsidRPr="0006114E">
        <w:rPr>
          <w:rFonts w:ascii="Arial" w:hAnsi="Arial" w:cs="Arial"/>
          <w:sz w:val="20"/>
        </w:rPr>
        <w:t>, or</w:t>
      </w:r>
      <w:bookmarkEnd w:id="405"/>
      <w:bookmarkEnd w:id="406"/>
    </w:p>
    <w:p w14:paraId="26BD686C" w14:textId="6ED3B00D" w:rsidR="00B0268C" w:rsidRPr="0006114E" w:rsidRDefault="004330E5" w:rsidP="006A1CE1">
      <w:pPr>
        <w:pStyle w:val="Untitledsubclause2"/>
        <w:numPr>
          <w:ilvl w:val="2"/>
          <w:numId w:val="35"/>
        </w:numPr>
        <w:spacing w:line="240" w:lineRule="auto"/>
        <w:rPr>
          <w:rFonts w:ascii="Arial" w:hAnsi="Arial" w:cs="Arial"/>
          <w:sz w:val="20"/>
        </w:rPr>
      </w:pPr>
      <w:r w:rsidRPr="0006114E">
        <w:rPr>
          <w:rFonts w:ascii="Arial" w:hAnsi="Arial" w:cs="Arial"/>
          <w:sz w:val="20"/>
        </w:rPr>
        <w:t>if</w:t>
      </w:r>
      <w:r w:rsidR="00B97DEC" w:rsidRPr="0006114E">
        <w:rPr>
          <w:rFonts w:ascii="Arial" w:hAnsi="Arial" w:cs="Arial"/>
          <w:sz w:val="20"/>
        </w:rPr>
        <w:t xml:space="preserve"> the variation or distribution </w:t>
      </w:r>
      <w:r w:rsidR="00D8597D" w:rsidRPr="0006114E">
        <w:rPr>
          <w:rFonts w:ascii="Arial" w:hAnsi="Arial" w:cs="Arial"/>
          <w:sz w:val="20"/>
        </w:rPr>
        <w:t xml:space="preserve">has </w:t>
      </w:r>
      <w:r w:rsidR="001B21E5" w:rsidRPr="0006114E">
        <w:rPr>
          <w:rFonts w:ascii="Arial" w:hAnsi="Arial" w:cs="Arial"/>
          <w:sz w:val="20"/>
        </w:rPr>
        <w:t xml:space="preserve">materially </w:t>
      </w:r>
      <w:r w:rsidR="00D8597D" w:rsidRPr="0006114E">
        <w:rPr>
          <w:rFonts w:ascii="Arial" w:hAnsi="Arial" w:cs="Arial"/>
          <w:sz w:val="20"/>
        </w:rPr>
        <w:t xml:space="preserve">affected the value of </w:t>
      </w:r>
      <w:r w:rsidR="001D71D7" w:rsidRPr="0006114E">
        <w:rPr>
          <w:rFonts w:ascii="Arial" w:hAnsi="Arial" w:cs="Arial"/>
          <w:sz w:val="20"/>
        </w:rPr>
        <w:t>Awards</w:t>
      </w:r>
      <w:r w:rsidR="00D8597D" w:rsidRPr="0006114E">
        <w:rPr>
          <w:rFonts w:ascii="Arial" w:hAnsi="Arial" w:cs="Arial"/>
          <w:sz w:val="20"/>
        </w:rPr>
        <w:t>, adjust</w:t>
      </w:r>
      <w:bookmarkStart w:id="410" w:name="a64726"/>
      <w:bookmarkEnd w:id="409"/>
      <w:r w:rsidR="008D31E4" w:rsidRPr="0006114E">
        <w:rPr>
          <w:rFonts w:ascii="Arial" w:hAnsi="Arial" w:cs="Arial"/>
          <w:sz w:val="20"/>
        </w:rPr>
        <w:t xml:space="preserve"> </w:t>
      </w:r>
      <w:r w:rsidR="00D8597D" w:rsidRPr="0006114E">
        <w:rPr>
          <w:rFonts w:ascii="Arial" w:hAnsi="Arial" w:cs="Arial"/>
          <w:sz w:val="20"/>
        </w:rPr>
        <w:t>the number</w:t>
      </w:r>
      <w:r w:rsidR="008D31E4" w:rsidRPr="0006114E">
        <w:rPr>
          <w:rFonts w:ascii="Arial" w:hAnsi="Arial" w:cs="Arial"/>
          <w:sz w:val="20"/>
        </w:rPr>
        <w:t xml:space="preserve"> and/or class </w:t>
      </w:r>
      <w:r w:rsidR="00D8597D" w:rsidRPr="0006114E">
        <w:rPr>
          <w:rFonts w:ascii="Arial" w:hAnsi="Arial" w:cs="Arial"/>
          <w:sz w:val="20"/>
        </w:rPr>
        <w:t xml:space="preserve">of Shares subject to the </w:t>
      </w:r>
      <w:r w:rsidR="001D71D7" w:rsidRPr="0006114E">
        <w:rPr>
          <w:rFonts w:ascii="Arial" w:hAnsi="Arial" w:cs="Arial"/>
          <w:sz w:val="20"/>
        </w:rPr>
        <w:t>Award</w:t>
      </w:r>
      <w:bookmarkEnd w:id="410"/>
      <w:r w:rsidR="00B0268C" w:rsidRPr="0006114E">
        <w:rPr>
          <w:rFonts w:ascii="Arial" w:hAnsi="Arial" w:cs="Arial"/>
          <w:sz w:val="20"/>
        </w:rPr>
        <w:t>, and the Exercise Price of an Option</w:t>
      </w:r>
      <w:bookmarkStart w:id="411" w:name="a733604"/>
      <w:r w:rsidR="00B0268C" w:rsidRPr="0006114E">
        <w:rPr>
          <w:rFonts w:ascii="Arial" w:hAnsi="Arial" w:cs="Arial"/>
          <w:sz w:val="20"/>
        </w:rPr>
        <w:t>.</w:t>
      </w:r>
    </w:p>
    <w:bookmarkEnd w:id="411"/>
    <w:p w14:paraId="56712F04" w14:textId="3782FB89"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lastRenderedPageBreak/>
        <w:fldChar w:fldCharType="begin"/>
      </w:r>
      <w:r w:rsidRPr="0006114E">
        <w:rPr>
          <w:rFonts w:ascii="Arial" w:hAnsi="Arial" w:cs="Arial"/>
          <w:sz w:val="20"/>
        </w:rPr>
        <w:instrText>TC "23. Tax liabilities" \l 1</w:instrText>
      </w:r>
      <w:r w:rsidRPr="0006114E">
        <w:rPr>
          <w:rFonts w:ascii="Arial" w:hAnsi="Arial" w:cs="Arial"/>
          <w:sz w:val="20"/>
        </w:rPr>
        <w:fldChar w:fldCharType="end"/>
      </w:r>
      <w:bookmarkStart w:id="412" w:name="a353805"/>
      <w:bookmarkStart w:id="413" w:name="_Toc105671036"/>
      <w:bookmarkStart w:id="414" w:name="_Toc103273412"/>
      <w:bookmarkStart w:id="415" w:name="_Toc145339793"/>
      <w:bookmarkStart w:id="416" w:name="_Toc131682143"/>
      <w:bookmarkStart w:id="417" w:name="_Toc107828236"/>
      <w:bookmarkStart w:id="418" w:name="_Toc152661664"/>
      <w:bookmarkStart w:id="419" w:name="_Toc159952470"/>
      <w:bookmarkStart w:id="420" w:name="_Toc168490291"/>
      <w:bookmarkStart w:id="421" w:name="_Toc187838781"/>
      <w:bookmarkStart w:id="422" w:name="_Toc188629315"/>
      <w:bookmarkStart w:id="423" w:name="_Toc191381415"/>
      <w:r w:rsidRPr="0006114E">
        <w:rPr>
          <w:rFonts w:ascii="Arial" w:hAnsi="Arial" w:cs="Arial"/>
          <w:sz w:val="20"/>
        </w:rPr>
        <w:t>Tax liabilities</w:t>
      </w:r>
      <w:bookmarkEnd w:id="412"/>
      <w:bookmarkEnd w:id="413"/>
      <w:bookmarkEnd w:id="414"/>
      <w:bookmarkEnd w:id="415"/>
      <w:bookmarkEnd w:id="416"/>
      <w:bookmarkEnd w:id="417"/>
      <w:bookmarkEnd w:id="418"/>
      <w:bookmarkEnd w:id="419"/>
      <w:bookmarkEnd w:id="420"/>
      <w:bookmarkEnd w:id="421"/>
      <w:bookmarkEnd w:id="422"/>
      <w:bookmarkEnd w:id="423"/>
    </w:p>
    <w:p w14:paraId="56712F08" w14:textId="0D254A6C" w:rsidR="00613D5A" w:rsidRPr="0006114E" w:rsidRDefault="00DF07DF" w:rsidP="006A1CE1">
      <w:pPr>
        <w:pStyle w:val="Untitledsubclause1"/>
        <w:spacing w:line="240" w:lineRule="auto"/>
        <w:rPr>
          <w:rFonts w:ascii="Arial" w:hAnsi="Arial" w:cs="Arial"/>
          <w:sz w:val="20"/>
        </w:rPr>
      </w:pPr>
      <w:bookmarkStart w:id="424" w:name="a989170"/>
      <w:r w:rsidRPr="00301284">
        <w:rPr>
          <w:rFonts w:ascii="Arial" w:hAnsi="Arial" w:cs="Arial"/>
          <w:sz w:val="20"/>
        </w:rPr>
        <w:t xml:space="preserve">Each Award Holder unconditionally and irrevocably agrees as a term of the grant of an Award to pay </w:t>
      </w:r>
      <w:r w:rsidR="00AC06AD" w:rsidRPr="00AA4EC2">
        <w:rPr>
          <w:rFonts w:ascii="Arial" w:hAnsi="Arial"/>
          <w:bCs/>
          <w:sz w:val="20"/>
        </w:rPr>
        <w:t xml:space="preserve">(or enter into arrangements to pay) </w:t>
      </w:r>
      <w:r w:rsidRPr="00301284">
        <w:rPr>
          <w:rFonts w:ascii="Arial" w:hAnsi="Arial" w:cs="Arial"/>
          <w:sz w:val="20"/>
        </w:rPr>
        <w:t>the Tax Liability to the relevant Group Company, to indemnify and keep indemnified each relevant Group Company (and any other person who has or could have similar requirements to account to any Tax Authority in respect of the Award) in respect of any Tax Liability</w:t>
      </w:r>
      <w:r>
        <w:rPr>
          <w:rFonts w:ascii="Arial" w:hAnsi="Arial" w:cs="Arial"/>
          <w:sz w:val="20"/>
        </w:rPr>
        <w:t>, and</w:t>
      </w:r>
      <w:r w:rsidR="00D648BC" w:rsidRPr="0006114E">
        <w:rPr>
          <w:rFonts w:ascii="Arial" w:hAnsi="Arial" w:cs="Arial"/>
          <w:sz w:val="20"/>
        </w:rPr>
        <w:t>:</w:t>
      </w:r>
    </w:p>
    <w:p w14:paraId="649F23AC" w14:textId="3E9429FC" w:rsidR="00E3098A" w:rsidRPr="0006114E" w:rsidRDefault="00D8597D" w:rsidP="006A1CE1">
      <w:pPr>
        <w:pStyle w:val="Untitledsubclause2"/>
        <w:numPr>
          <w:ilvl w:val="2"/>
          <w:numId w:val="35"/>
        </w:numPr>
        <w:spacing w:line="240" w:lineRule="auto"/>
        <w:rPr>
          <w:rFonts w:ascii="Arial" w:hAnsi="Arial" w:cs="Arial"/>
          <w:sz w:val="20"/>
        </w:rPr>
      </w:pPr>
      <w:bookmarkStart w:id="425" w:name="_Ref81585642"/>
      <w:r w:rsidRPr="0006114E">
        <w:rPr>
          <w:rFonts w:ascii="Arial" w:hAnsi="Arial" w:cs="Arial"/>
          <w:sz w:val="20"/>
        </w:rPr>
        <w:t>that the Company or Employer Company may</w:t>
      </w:r>
      <w:r w:rsidR="00E91BE4">
        <w:rPr>
          <w:rFonts w:ascii="Arial" w:hAnsi="Arial" w:cs="Arial"/>
          <w:sz w:val="20"/>
        </w:rPr>
        <w:t xml:space="preserve"> </w:t>
      </w:r>
      <w:r w:rsidR="00E91BE4" w:rsidRPr="00E91BE4">
        <w:rPr>
          <w:rFonts w:ascii="Arial" w:hAnsi="Arial" w:cs="Arial"/>
          <w:sz w:val="20"/>
        </w:rPr>
        <w:t>(save where the Award Holder has paid an amount equal to the Tax Liability to their Employer Company in advance of their Award Vesting or, in respect of an Option, their exercise of that Option):</w:t>
      </w:r>
      <w:bookmarkEnd w:id="424"/>
      <w:bookmarkEnd w:id="425"/>
    </w:p>
    <w:p w14:paraId="13817AC4" w14:textId="77777777" w:rsidR="00AD78C0" w:rsidRDefault="00D8597D" w:rsidP="006A1CE1">
      <w:pPr>
        <w:pStyle w:val="Untitledsubclause3"/>
        <w:spacing w:line="240" w:lineRule="auto"/>
        <w:rPr>
          <w:rFonts w:ascii="Arial" w:hAnsi="Arial" w:cs="Arial"/>
          <w:sz w:val="20"/>
        </w:rPr>
      </w:pPr>
      <w:bookmarkStart w:id="426" w:name="a380838"/>
      <w:r w:rsidRPr="0006114E">
        <w:rPr>
          <w:rFonts w:ascii="Arial" w:hAnsi="Arial" w:cs="Arial"/>
          <w:sz w:val="20"/>
        </w:rPr>
        <w:t>retain and sell such number of Shares on behalf of the Award Holder as is necessary to meet the Tax Liability and any costs of</w:t>
      </w:r>
      <w:r w:rsidR="00F64C71" w:rsidRPr="0006114E">
        <w:rPr>
          <w:rFonts w:ascii="Arial" w:hAnsi="Arial" w:cs="Arial"/>
          <w:sz w:val="20"/>
        </w:rPr>
        <w:t xml:space="preserve"> such</w:t>
      </w:r>
      <w:r w:rsidRPr="0006114E">
        <w:rPr>
          <w:rFonts w:ascii="Arial" w:hAnsi="Arial" w:cs="Arial"/>
          <w:sz w:val="20"/>
        </w:rPr>
        <w:t xml:space="preserve"> sale; </w:t>
      </w:r>
    </w:p>
    <w:p w14:paraId="694F5D09" w14:textId="117FB3D4" w:rsidR="00AD78C0" w:rsidRPr="0006114E" w:rsidRDefault="00524FD1" w:rsidP="00AD78C0">
      <w:pPr>
        <w:pStyle w:val="Untitledsubclause3"/>
        <w:spacing w:line="240" w:lineRule="auto"/>
        <w:rPr>
          <w:rFonts w:ascii="Arial" w:hAnsi="Arial" w:cs="Arial"/>
          <w:sz w:val="20"/>
        </w:rPr>
      </w:pPr>
      <w:r w:rsidRPr="0006114E">
        <w:rPr>
          <w:rFonts w:ascii="Arial" w:hAnsi="Arial" w:cs="Arial"/>
          <w:sz w:val="20"/>
        </w:rPr>
        <w:t xml:space="preserve">save where </w:t>
      </w:r>
      <w:r>
        <w:rPr>
          <w:rFonts w:ascii="Arial" w:hAnsi="Arial" w:cs="Arial"/>
          <w:sz w:val="20"/>
        </w:rPr>
        <w:t>it</w:t>
      </w:r>
      <w:r w:rsidRPr="0006114E">
        <w:rPr>
          <w:rFonts w:ascii="Arial" w:hAnsi="Arial" w:cs="Arial"/>
          <w:sz w:val="20"/>
        </w:rPr>
        <w:t xml:space="preserve"> would cause any adverse securities laws, exchange control, tax or social security issues for </w:t>
      </w:r>
      <w:r w:rsidR="00BA55A8">
        <w:rPr>
          <w:rFonts w:ascii="Arial" w:hAnsi="Arial" w:cs="Arial"/>
          <w:sz w:val="20"/>
        </w:rPr>
        <w:t xml:space="preserve">the </w:t>
      </w:r>
      <w:r w:rsidRPr="0006114E">
        <w:rPr>
          <w:rFonts w:ascii="Arial" w:hAnsi="Arial" w:cs="Arial"/>
          <w:sz w:val="20"/>
        </w:rPr>
        <w:t>Award Holder</w:t>
      </w:r>
      <w:r>
        <w:rPr>
          <w:rFonts w:ascii="Arial" w:hAnsi="Arial" w:cs="Arial"/>
          <w:sz w:val="20"/>
        </w:rPr>
        <w:t>,</w:t>
      </w:r>
      <w:r w:rsidRPr="0006114E">
        <w:rPr>
          <w:rFonts w:ascii="Arial" w:hAnsi="Arial" w:cs="Arial"/>
          <w:sz w:val="20"/>
        </w:rPr>
        <w:t xml:space="preserve"> </w:t>
      </w:r>
      <w:r w:rsidR="00AD78C0" w:rsidRPr="00100A96">
        <w:rPr>
          <w:rFonts w:ascii="Arial" w:hAnsi="Arial" w:cs="Arial"/>
          <w:sz w:val="20"/>
        </w:rPr>
        <w:t xml:space="preserve">settle part of the Award in cash that it sends to </w:t>
      </w:r>
      <w:r w:rsidR="00EE2EC5">
        <w:rPr>
          <w:rFonts w:ascii="Arial" w:hAnsi="Arial" w:cs="Arial"/>
          <w:sz w:val="20"/>
        </w:rPr>
        <w:t>the Tax Authority</w:t>
      </w:r>
      <w:r w:rsidR="00AD78C0" w:rsidRPr="00100A96">
        <w:rPr>
          <w:rFonts w:ascii="Arial" w:hAnsi="Arial" w:cs="Arial"/>
          <w:sz w:val="20"/>
        </w:rPr>
        <w:t xml:space="preserve"> in satisfaction of </w:t>
      </w:r>
      <w:r w:rsidR="00360142">
        <w:rPr>
          <w:rFonts w:ascii="Arial" w:hAnsi="Arial" w:cs="Arial"/>
          <w:sz w:val="20"/>
        </w:rPr>
        <w:t xml:space="preserve">its </w:t>
      </w:r>
      <w:r w:rsidR="00AD78C0" w:rsidRPr="00100A96">
        <w:rPr>
          <w:rFonts w:ascii="Arial" w:hAnsi="Arial" w:cs="Arial"/>
          <w:sz w:val="20"/>
        </w:rPr>
        <w:t xml:space="preserve">obligations </w:t>
      </w:r>
      <w:r w:rsidR="005E2A11">
        <w:rPr>
          <w:rFonts w:ascii="Arial" w:hAnsi="Arial" w:cs="Arial"/>
          <w:sz w:val="20"/>
        </w:rPr>
        <w:t>in respect of</w:t>
      </w:r>
      <w:r w:rsidR="009C1D14">
        <w:rPr>
          <w:rFonts w:ascii="Arial" w:hAnsi="Arial" w:cs="Arial"/>
          <w:sz w:val="20"/>
        </w:rPr>
        <w:t xml:space="preserve"> </w:t>
      </w:r>
      <w:r w:rsidR="007F39E5">
        <w:rPr>
          <w:rFonts w:ascii="Arial" w:hAnsi="Arial" w:cs="Arial"/>
          <w:sz w:val="20"/>
        </w:rPr>
        <w:t xml:space="preserve">all or any part of the </w:t>
      </w:r>
      <w:r w:rsidR="00B00C0B">
        <w:rPr>
          <w:rFonts w:ascii="Arial" w:hAnsi="Arial" w:cs="Arial"/>
          <w:sz w:val="20"/>
        </w:rPr>
        <w:t xml:space="preserve">Tax Liability </w:t>
      </w:r>
      <w:r w:rsidR="00AD78C0" w:rsidRPr="00100A96">
        <w:rPr>
          <w:rFonts w:ascii="Arial" w:hAnsi="Arial" w:cs="Arial"/>
          <w:sz w:val="20"/>
        </w:rPr>
        <w:t>(net settlement)</w:t>
      </w:r>
      <w:r w:rsidR="00AD78C0">
        <w:rPr>
          <w:rFonts w:ascii="Arial" w:hAnsi="Arial" w:cs="Arial"/>
          <w:sz w:val="20"/>
        </w:rPr>
        <w:t>, or</w:t>
      </w:r>
    </w:p>
    <w:p w14:paraId="56712F0B" w14:textId="0A398DC9" w:rsidR="00613D5A" w:rsidRPr="0006114E" w:rsidRDefault="00D8597D" w:rsidP="006A1CE1">
      <w:pPr>
        <w:pStyle w:val="Untitledsubclause3"/>
        <w:spacing w:line="240" w:lineRule="auto"/>
        <w:rPr>
          <w:rFonts w:ascii="Arial" w:hAnsi="Arial" w:cs="Arial"/>
          <w:sz w:val="20"/>
        </w:rPr>
      </w:pPr>
      <w:bookmarkStart w:id="427" w:name="a783000"/>
      <w:bookmarkEnd w:id="426"/>
      <w:r w:rsidRPr="0006114E">
        <w:rPr>
          <w:rFonts w:ascii="Arial" w:hAnsi="Arial" w:cs="Arial"/>
          <w:sz w:val="20"/>
        </w:rPr>
        <w:t>deduct the amount of any Tax Liability from any remuneration</w:t>
      </w:r>
      <w:r w:rsidR="00C240C0">
        <w:rPr>
          <w:rFonts w:ascii="Arial" w:hAnsi="Arial" w:cs="Arial"/>
          <w:sz w:val="20"/>
        </w:rPr>
        <w:t xml:space="preserve"> or </w:t>
      </w:r>
      <w:r w:rsidR="008B7624">
        <w:rPr>
          <w:rFonts w:ascii="Arial" w:hAnsi="Arial" w:cs="Arial"/>
          <w:sz w:val="20"/>
        </w:rPr>
        <w:t xml:space="preserve">termination </w:t>
      </w:r>
      <w:r w:rsidR="00C240C0">
        <w:rPr>
          <w:rFonts w:ascii="Arial" w:hAnsi="Arial" w:cs="Arial"/>
          <w:sz w:val="20"/>
        </w:rPr>
        <w:t>payments</w:t>
      </w:r>
      <w:r w:rsidRPr="0006114E">
        <w:rPr>
          <w:rFonts w:ascii="Arial" w:hAnsi="Arial" w:cs="Arial"/>
          <w:sz w:val="20"/>
        </w:rPr>
        <w:t xml:space="preserve"> made to the Award Holder</w:t>
      </w:r>
      <w:bookmarkEnd w:id="427"/>
      <w:r w:rsidR="00257F86" w:rsidRPr="0006114E">
        <w:rPr>
          <w:rFonts w:ascii="Arial" w:hAnsi="Arial" w:cs="Arial"/>
          <w:sz w:val="20"/>
        </w:rPr>
        <w:t>, and</w:t>
      </w:r>
    </w:p>
    <w:p w14:paraId="56712F0E" w14:textId="4139E50F" w:rsidR="00613D5A" w:rsidRPr="0006114E" w:rsidRDefault="00D8597D" w:rsidP="006A1CE1">
      <w:pPr>
        <w:pStyle w:val="Untitledsubclause2"/>
        <w:numPr>
          <w:ilvl w:val="2"/>
          <w:numId w:val="35"/>
        </w:numPr>
        <w:spacing w:line="240" w:lineRule="auto"/>
        <w:rPr>
          <w:rFonts w:ascii="Arial" w:hAnsi="Arial" w:cs="Arial"/>
          <w:sz w:val="20"/>
        </w:rPr>
      </w:pPr>
      <w:bookmarkStart w:id="428" w:name="a774814"/>
      <w:r w:rsidRPr="0006114E">
        <w:rPr>
          <w:rFonts w:ascii="Arial" w:hAnsi="Arial" w:cs="Arial"/>
          <w:sz w:val="20"/>
        </w:rPr>
        <w:t xml:space="preserve">to enter into a valid joint election under section 431(1) of ITEPA 2003 in respect of the Shares to be acquired on the </w:t>
      </w:r>
      <w:r w:rsidR="00D44FC6" w:rsidRPr="0006114E">
        <w:rPr>
          <w:rFonts w:ascii="Arial" w:hAnsi="Arial" w:cs="Arial"/>
          <w:sz w:val="20"/>
        </w:rPr>
        <w:t>Vesting of</w:t>
      </w:r>
      <w:r w:rsidRPr="0006114E">
        <w:rPr>
          <w:rFonts w:ascii="Arial" w:hAnsi="Arial" w:cs="Arial"/>
          <w:sz w:val="20"/>
        </w:rPr>
        <w:t xml:space="preserve"> the </w:t>
      </w:r>
      <w:r w:rsidR="00D67DB9" w:rsidRPr="0006114E">
        <w:rPr>
          <w:rFonts w:ascii="Arial" w:hAnsi="Arial" w:cs="Arial"/>
          <w:sz w:val="20"/>
        </w:rPr>
        <w:t>Award</w:t>
      </w:r>
      <w:r w:rsidRPr="0006114E">
        <w:rPr>
          <w:rFonts w:ascii="Arial" w:hAnsi="Arial" w:cs="Arial"/>
          <w:sz w:val="20"/>
        </w:rPr>
        <w:t xml:space="preserve"> or exercise of the Option, if required to do so by the Company</w:t>
      </w:r>
      <w:bookmarkStart w:id="429" w:name="a260250"/>
      <w:bookmarkEnd w:id="428"/>
      <w:r w:rsidR="00B178B2" w:rsidRPr="0006114E">
        <w:rPr>
          <w:rFonts w:ascii="Arial" w:hAnsi="Arial" w:cs="Arial"/>
          <w:sz w:val="20"/>
        </w:rPr>
        <w:t>.</w:t>
      </w:r>
    </w:p>
    <w:p w14:paraId="56712F10" w14:textId="1C7147A0" w:rsidR="007B4FB5" w:rsidRPr="0006114E" w:rsidRDefault="00F53E5F" w:rsidP="006A1CE1">
      <w:pPr>
        <w:pStyle w:val="TitleClause"/>
        <w:spacing w:line="240" w:lineRule="auto"/>
        <w:rPr>
          <w:rFonts w:ascii="Arial" w:hAnsi="Arial" w:cs="Arial"/>
          <w:sz w:val="20"/>
        </w:rPr>
      </w:pPr>
      <w:bookmarkStart w:id="430" w:name="_Toc187838782"/>
      <w:bookmarkStart w:id="431" w:name="_Toc188629316"/>
      <w:bookmarkStart w:id="432" w:name="_Toc191381416"/>
      <w:bookmarkEnd w:id="429"/>
      <w:r w:rsidRPr="0006114E">
        <w:rPr>
          <w:rFonts w:ascii="Arial" w:hAnsi="Arial" w:cs="Arial"/>
          <w:sz w:val="20"/>
        </w:rPr>
        <w:t>Relationship with Employment</w:t>
      </w:r>
      <w:bookmarkEnd w:id="430"/>
      <w:bookmarkEnd w:id="431"/>
      <w:bookmarkEnd w:id="432"/>
    </w:p>
    <w:p w14:paraId="56712F13" w14:textId="120D25D5" w:rsidR="007B4FB5" w:rsidRPr="0006114E" w:rsidRDefault="00D8597D" w:rsidP="006A1CE1">
      <w:pPr>
        <w:pStyle w:val="Untitledsubclause1"/>
        <w:spacing w:line="240" w:lineRule="auto"/>
        <w:rPr>
          <w:rFonts w:ascii="Arial" w:hAnsi="Arial" w:cs="Arial"/>
          <w:sz w:val="20"/>
        </w:rPr>
      </w:pPr>
      <w:bookmarkStart w:id="433" w:name="a608778"/>
      <w:r w:rsidRPr="0006114E">
        <w:rPr>
          <w:rFonts w:ascii="Arial" w:hAnsi="Arial" w:cs="Arial"/>
          <w:sz w:val="20"/>
        </w:rPr>
        <w:t xml:space="preserve">The Plan shall not </w:t>
      </w:r>
      <w:r w:rsidR="00E5062C" w:rsidRPr="0006114E">
        <w:rPr>
          <w:rFonts w:ascii="Arial" w:hAnsi="Arial" w:cs="Arial"/>
          <w:sz w:val="20"/>
        </w:rPr>
        <w:t xml:space="preserve">(i) </w:t>
      </w:r>
      <w:r w:rsidRPr="0006114E">
        <w:rPr>
          <w:rFonts w:ascii="Arial" w:hAnsi="Arial" w:cs="Arial"/>
          <w:sz w:val="20"/>
        </w:rPr>
        <w:t xml:space="preserve">form any part of </w:t>
      </w:r>
      <w:r w:rsidR="00133150" w:rsidRPr="0006114E">
        <w:rPr>
          <w:rFonts w:ascii="Arial" w:hAnsi="Arial" w:cs="Arial"/>
          <w:sz w:val="20"/>
        </w:rPr>
        <w:t xml:space="preserve">any person’s </w:t>
      </w:r>
      <w:r w:rsidRPr="0006114E">
        <w:rPr>
          <w:rFonts w:ascii="Arial" w:hAnsi="Arial" w:cs="Arial"/>
          <w:sz w:val="20"/>
        </w:rPr>
        <w:t>contract of employment</w:t>
      </w:r>
      <w:r w:rsidR="00F61054" w:rsidRPr="0006114E">
        <w:rPr>
          <w:rFonts w:ascii="Arial" w:hAnsi="Arial" w:cs="Arial"/>
          <w:sz w:val="20"/>
        </w:rPr>
        <w:t>,</w:t>
      </w:r>
      <w:r w:rsidR="008724F9" w:rsidRPr="0006114E">
        <w:rPr>
          <w:rFonts w:ascii="Arial" w:hAnsi="Arial" w:cs="Arial"/>
          <w:sz w:val="20"/>
        </w:rPr>
        <w:t xml:space="preserve"> </w:t>
      </w:r>
      <w:r w:rsidR="00E5062C" w:rsidRPr="0006114E">
        <w:rPr>
          <w:rFonts w:ascii="Arial" w:hAnsi="Arial" w:cs="Arial"/>
          <w:sz w:val="20"/>
        </w:rPr>
        <w:t xml:space="preserve">(ii) </w:t>
      </w:r>
      <w:r w:rsidRPr="0006114E">
        <w:rPr>
          <w:rFonts w:ascii="Arial" w:hAnsi="Arial" w:cs="Arial"/>
          <w:sz w:val="20"/>
        </w:rPr>
        <w:t xml:space="preserve">confer on any person any rights (other than those constituting the </w:t>
      </w:r>
      <w:r w:rsidR="00934747" w:rsidRPr="0006114E">
        <w:rPr>
          <w:rFonts w:ascii="Arial" w:hAnsi="Arial" w:cs="Arial"/>
          <w:sz w:val="20"/>
        </w:rPr>
        <w:t xml:space="preserve">Awards </w:t>
      </w:r>
      <w:r w:rsidRPr="0006114E">
        <w:rPr>
          <w:rFonts w:ascii="Arial" w:hAnsi="Arial" w:cs="Arial"/>
          <w:sz w:val="20"/>
        </w:rPr>
        <w:t>themselves) against any past or present Group Company</w:t>
      </w:r>
      <w:bookmarkEnd w:id="433"/>
      <w:r w:rsidR="00E5062C" w:rsidRPr="0006114E">
        <w:rPr>
          <w:rFonts w:ascii="Arial" w:hAnsi="Arial" w:cs="Arial"/>
          <w:sz w:val="20"/>
        </w:rPr>
        <w:t xml:space="preserve"> or </w:t>
      </w:r>
      <w:r w:rsidR="00DC7A33" w:rsidRPr="0006114E">
        <w:rPr>
          <w:rFonts w:ascii="Arial" w:hAnsi="Arial" w:cs="Arial"/>
          <w:sz w:val="20"/>
        </w:rPr>
        <w:t>(iii)</w:t>
      </w:r>
      <w:r w:rsidR="00150624" w:rsidRPr="0006114E">
        <w:rPr>
          <w:rFonts w:ascii="Arial" w:hAnsi="Arial" w:cs="Arial"/>
          <w:sz w:val="20"/>
        </w:rPr>
        <w:t xml:space="preserve"> impose </w:t>
      </w:r>
      <w:r w:rsidR="00D6214E" w:rsidRPr="0006114E">
        <w:rPr>
          <w:rFonts w:ascii="Arial" w:hAnsi="Arial" w:cs="Arial"/>
          <w:sz w:val="20"/>
        </w:rPr>
        <w:t xml:space="preserve">any liability </w:t>
      </w:r>
      <w:r w:rsidR="00150624" w:rsidRPr="0006114E">
        <w:rPr>
          <w:rFonts w:ascii="Arial" w:hAnsi="Arial" w:cs="Arial"/>
          <w:sz w:val="20"/>
        </w:rPr>
        <w:t>on any Group Company</w:t>
      </w:r>
      <w:r w:rsidR="00D6214E" w:rsidRPr="0006114E">
        <w:rPr>
          <w:rFonts w:ascii="Arial" w:hAnsi="Arial" w:cs="Arial"/>
          <w:sz w:val="20"/>
        </w:rPr>
        <w:t xml:space="preserve"> (</w:t>
      </w:r>
      <w:r w:rsidR="00150624" w:rsidRPr="0006114E">
        <w:rPr>
          <w:rFonts w:ascii="Arial" w:hAnsi="Arial" w:cs="Arial"/>
          <w:sz w:val="20"/>
        </w:rPr>
        <w:t>or their employees</w:t>
      </w:r>
      <w:r w:rsidR="00A9632A" w:rsidRPr="0006114E">
        <w:rPr>
          <w:rFonts w:ascii="Arial" w:hAnsi="Arial" w:cs="Arial"/>
          <w:sz w:val="20"/>
        </w:rPr>
        <w:t xml:space="preserve">) </w:t>
      </w:r>
      <w:r w:rsidR="00150624" w:rsidRPr="0006114E">
        <w:rPr>
          <w:rFonts w:ascii="Arial" w:hAnsi="Arial" w:cs="Arial"/>
          <w:sz w:val="20"/>
        </w:rPr>
        <w:t>in connection with</w:t>
      </w:r>
      <w:r w:rsidR="00A9632A" w:rsidRPr="0006114E">
        <w:rPr>
          <w:rFonts w:ascii="Arial" w:hAnsi="Arial" w:cs="Arial"/>
          <w:sz w:val="20"/>
        </w:rPr>
        <w:t xml:space="preserve"> </w:t>
      </w:r>
      <w:r w:rsidR="00150624" w:rsidRPr="0006114E">
        <w:rPr>
          <w:rFonts w:ascii="Arial" w:hAnsi="Arial" w:cs="Arial"/>
          <w:sz w:val="20"/>
        </w:rPr>
        <w:t>the loss of an Award Holder’s benefits under the Plan</w:t>
      </w:r>
      <w:r w:rsidR="00DC7A33" w:rsidRPr="0006114E">
        <w:rPr>
          <w:rFonts w:ascii="Arial" w:hAnsi="Arial" w:cs="Arial"/>
          <w:sz w:val="20"/>
        </w:rPr>
        <w:t>.</w:t>
      </w:r>
    </w:p>
    <w:p w14:paraId="2B9B240A" w14:textId="69A687C2" w:rsidR="005C7090" w:rsidRDefault="00D8597D" w:rsidP="006A1CE1">
      <w:pPr>
        <w:pStyle w:val="Untitledsubclause1"/>
        <w:spacing w:line="240" w:lineRule="auto"/>
        <w:rPr>
          <w:rFonts w:ascii="Arial" w:hAnsi="Arial" w:cs="Arial"/>
          <w:sz w:val="20"/>
        </w:rPr>
      </w:pPr>
      <w:r w:rsidRPr="0006114E">
        <w:rPr>
          <w:rFonts w:ascii="Arial" w:hAnsi="Arial" w:cs="Arial"/>
          <w:sz w:val="20"/>
        </w:rPr>
        <w:t xml:space="preserve">Award Holders and Employees shall have no rights (and by accepting their </w:t>
      </w:r>
      <w:r w:rsidR="001D71D7" w:rsidRPr="0006114E">
        <w:rPr>
          <w:rFonts w:ascii="Arial" w:hAnsi="Arial" w:cs="Arial"/>
          <w:sz w:val="20"/>
        </w:rPr>
        <w:t>Award</w:t>
      </w:r>
      <w:r w:rsidRPr="0006114E">
        <w:rPr>
          <w:rFonts w:ascii="Arial" w:hAnsi="Arial" w:cs="Arial"/>
          <w:sz w:val="20"/>
        </w:rPr>
        <w:t xml:space="preserve">, </w:t>
      </w:r>
      <w:r w:rsidR="00AA32FF" w:rsidRPr="0006114E">
        <w:rPr>
          <w:rFonts w:ascii="Arial" w:hAnsi="Arial" w:cs="Arial"/>
          <w:sz w:val="20"/>
        </w:rPr>
        <w:t>an Award Holder</w:t>
      </w:r>
      <w:r w:rsidRPr="0006114E">
        <w:rPr>
          <w:rFonts w:ascii="Arial" w:hAnsi="Arial" w:cs="Arial"/>
          <w:sz w:val="20"/>
        </w:rPr>
        <w:t xml:space="preserve"> waives any claim to such rights) to compensation or damages</w:t>
      </w:r>
      <w:r w:rsidR="005C7090">
        <w:rPr>
          <w:rFonts w:ascii="Arial" w:hAnsi="Arial" w:cs="Arial"/>
          <w:sz w:val="20"/>
        </w:rPr>
        <w:t>:</w:t>
      </w:r>
      <w:r w:rsidRPr="0006114E">
        <w:rPr>
          <w:rFonts w:ascii="Arial" w:hAnsi="Arial" w:cs="Arial"/>
          <w:sz w:val="20"/>
        </w:rPr>
        <w:t xml:space="preserve"> </w:t>
      </w:r>
    </w:p>
    <w:p w14:paraId="3D2C9C9A" w14:textId="4CF750B4" w:rsidR="00DE43F3" w:rsidRDefault="00DE43F3" w:rsidP="005C7090">
      <w:pPr>
        <w:pStyle w:val="Untitledsubclause2"/>
        <w:numPr>
          <w:ilvl w:val="2"/>
          <w:numId w:val="35"/>
        </w:numPr>
        <w:tabs>
          <w:tab w:val="clear" w:pos="1979"/>
        </w:tabs>
        <w:spacing w:line="240" w:lineRule="auto"/>
        <w:ind w:left="1418" w:hanging="709"/>
        <w:rPr>
          <w:rFonts w:ascii="Arial" w:hAnsi="Arial" w:cs="Arial"/>
          <w:sz w:val="20"/>
        </w:rPr>
      </w:pPr>
      <w:r>
        <w:rPr>
          <w:rFonts w:ascii="Arial" w:hAnsi="Arial" w:cs="Arial"/>
          <w:sz w:val="20"/>
        </w:rPr>
        <w:t xml:space="preserve">in respect of the exercise or non-exercise </w:t>
      </w:r>
      <w:r w:rsidR="00585B74">
        <w:rPr>
          <w:rFonts w:ascii="Arial" w:hAnsi="Arial" w:cs="Arial"/>
          <w:sz w:val="20"/>
        </w:rPr>
        <w:t>of any discretion by the Remuneration Committee, and</w:t>
      </w:r>
    </w:p>
    <w:p w14:paraId="47C2B047" w14:textId="03966EFD" w:rsidR="00924C37" w:rsidRPr="005C7090" w:rsidRDefault="005C427C" w:rsidP="005C7090">
      <w:pPr>
        <w:pStyle w:val="Untitledsubclause2"/>
        <w:numPr>
          <w:ilvl w:val="2"/>
          <w:numId w:val="35"/>
        </w:numPr>
        <w:tabs>
          <w:tab w:val="clear" w:pos="1979"/>
        </w:tabs>
        <w:spacing w:line="240" w:lineRule="auto"/>
        <w:ind w:left="1418" w:hanging="709"/>
        <w:rPr>
          <w:rFonts w:ascii="Arial" w:hAnsi="Arial" w:cs="Arial"/>
          <w:sz w:val="20"/>
        </w:rPr>
      </w:pPr>
      <w:r w:rsidRPr="005C7090">
        <w:rPr>
          <w:rFonts w:ascii="Arial" w:hAnsi="Arial" w:cs="Arial"/>
          <w:sz w:val="20"/>
        </w:rPr>
        <w:t xml:space="preserve">for any loss of any right or benefit or prospective right or benefit under the Plan which he </w:t>
      </w:r>
      <w:r w:rsidR="000441B9" w:rsidRPr="005C7090">
        <w:rPr>
          <w:rFonts w:ascii="Arial" w:hAnsi="Arial" w:cs="Arial"/>
          <w:sz w:val="20"/>
        </w:rPr>
        <w:t xml:space="preserve">or she </w:t>
      </w:r>
      <w:r w:rsidRPr="005C7090">
        <w:rPr>
          <w:rFonts w:ascii="Arial" w:hAnsi="Arial" w:cs="Arial"/>
          <w:sz w:val="20"/>
        </w:rPr>
        <w:t xml:space="preserve">might otherwise have enjoyed (including, without limitation, the lapse of </w:t>
      </w:r>
      <w:r w:rsidR="001D71D7" w:rsidRPr="005C7090">
        <w:rPr>
          <w:rFonts w:ascii="Arial" w:hAnsi="Arial" w:cs="Arial"/>
          <w:sz w:val="20"/>
        </w:rPr>
        <w:t>Awards</w:t>
      </w:r>
      <w:r w:rsidRPr="005C7090">
        <w:rPr>
          <w:rFonts w:ascii="Arial" w:hAnsi="Arial" w:cs="Arial"/>
          <w:sz w:val="20"/>
        </w:rPr>
        <w:t xml:space="preserve"> or part thereof by reason of his </w:t>
      </w:r>
      <w:r w:rsidR="00E11C32" w:rsidRPr="005C7090">
        <w:rPr>
          <w:rFonts w:ascii="Arial" w:hAnsi="Arial" w:cs="Arial"/>
          <w:sz w:val="20"/>
        </w:rPr>
        <w:t xml:space="preserve">or her </w:t>
      </w:r>
      <w:r w:rsidRPr="005C7090">
        <w:rPr>
          <w:rFonts w:ascii="Arial" w:hAnsi="Arial" w:cs="Arial"/>
          <w:sz w:val="20"/>
        </w:rPr>
        <w:t xml:space="preserve">ceasing to be employed by any Group Company) </w:t>
      </w:r>
      <w:r w:rsidR="00D8597D" w:rsidRPr="005C7090">
        <w:rPr>
          <w:rFonts w:ascii="Arial" w:hAnsi="Arial" w:cs="Arial"/>
          <w:sz w:val="20"/>
        </w:rPr>
        <w:t>where this loss arises (or is claimed to arise), in whole or in part, from</w:t>
      </w:r>
      <w:r w:rsidR="00F325FE" w:rsidRPr="005C7090">
        <w:rPr>
          <w:rFonts w:ascii="Arial" w:hAnsi="Arial" w:cs="Arial"/>
          <w:sz w:val="20"/>
        </w:rPr>
        <w:t xml:space="preserve"> ceasing to be an Employee</w:t>
      </w:r>
      <w:r w:rsidR="009600D6" w:rsidRPr="005C7090">
        <w:rPr>
          <w:rFonts w:ascii="Arial" w:hAnsi="Arial" w:cs="Arial"/>
          <w:sz w:val="20"/>
        </w:rPr>
        <w:t xml:space="preserve"> (or being given notice to so cease)</w:t>
      </w:r>
      <w:r w:rsidR="00EB02B0" w:rsidRPr="005C7090">
        <w:rPr>
          <w:rFonts w:ascii="Arial" w:hAnsi="Arial" w:cs="Arial"/>
          <w:sz w:val="20"/>
        </w:rPr>
        <w:t xml:space="preserve"> for any reason</w:t>
      </w:r>
      <w:r w:rsidR="0070532F" w:rsidRPr="005C7090">
        <w:rPr>
          <w:rFonts w:ascii="Arial" w:hAnsi="Arial" w:cs="Arial"/>
          <w:sz w:val="20"/>
        </w:rPr>
        <w:t xml:space="preserve">. </w:t>
      </w:r>
      <w:r w:rsidR="00D8597D" w:rsidRPr="005C7090">
        <w:rPr>
          <w:rFonts w:ascii="Arial" w:hAnsi="Arial" w:cs="Arial"/>
          <w:sz w:val="20"/>
        </w:rPr>
        <w:t xml:space="preserve">This exclusion of liability shall apply however </w:t>
      </w:r>
      <w:r w:rsidR="004A141F" w:rsidRPr="005C7090">
        <w:rPr>
          <w:rFonts w:ascii="Arial" w:hAnsi="Arial" w:cs="Arial"/>
          <w:sz w:val="20"/>
        </w:rPr>
        <w:t>the cessation as an Employee (</w:t>
      </w:r>
      <w:r w:rsidR="00D8597D" w:rsidRPr="005C7090">
        <w:rPr>
          <w:rFonts w:ascii="Arial" w:hAnsi="Arial" w:cs="Arial"/>
          <w:sz w:val="20"/>
        </w:rPr>
        <w:t>or the giving of notice</w:t>
      </w:r>
      <w:r w:rsidR="004A141F" w:rsidRPr="005C7090">
        <w:rPr>
          <w:rFonts w:ascii="Arial" w:hAnsi="Arial" w:cs="Arial"/>
          <w:sz w:val="20"/>
        </w:rPr>
        <w:t>)</w:t>
      </w:r>
      <w:r w:rsidR="00D8597D" w:rsidRPr="005C7090">
        <w:rPr>
          <w:rFonts w:ascii="Arial" w:hAnsi="Arial" w:cs="Arial"/>
          <w:sz w:val="20"/>
        </w:rPr>
        <w:t xml:space="preserve"> is caused, and however compensation or damages are claimed</w:t>
      </w:r>
      <w:r w:rsidRPr="005C7090">
        <w:rPr>
          <w:rFonts w:ascii="Arial" w:hAnsi="Arial" w:cs="Arial"/>
          <w:sz w:val="20"/>
        </w:rPr>
        <w:t xml:space="preserve"> (including, but not limited to, wrongful</w:t>
      </w:r>
      <w:r w:rsidR="00B82E91" w:rsidRPr="005C7090">
        <w:rPr>
          <w:rFonts w:ascii="Arial" w:hAnsi="Arial" w:cs="Arial"/>
          <w:sz w:val="20"/>
        </w:rPr>
        <w:t xml:space="preserve"> or unfair</w:t>
      </w:r>
      <w:r w:rsidRPr="005C7090">
        <w:rPr>
          <w:rFonts w:ascii="Arial" w:hAnsi="Arial" w:cs="Arial"/>
          <w:sz w:val="20"/>
        </w:rPr>
        <w:t xml:space="preserve"> dismissal, breach of contract or by way of compensation for loss of office</w:t>
      </w:r>
      <w:r w:rsidR="00E95E64" w:rsidRPr="005C7090">
        <w:rPr>
          <w:rFonts w:ascii="Arial" w:hAnsi="Arial" w:cs="Arial"/>
          <w:sz w:val="20"/>
        </w:rPr>
        <w:t xml:space="preserve"> or employment</w:t>
      </w:r>
      <w:r w:rsidRPr="005C7090">
        <w:rPr>
          <w:rFonts w:ascii="Arial" w:hAnsi="Arial" w:cs="Arial"/>
          <w:sz w:val="20"/>
        </w:rPr>
        <w:t>)</w:t>
      </w:r>
      <w:r w:rsidR="005C7090">
        <w:rPr>
          <w:rFonts w:ascii="Arial" w:hAnsi="Arial" w:cs="Arial"/>
          <w:sz w:val="20"/>
        </w:rPr>
        <w:t xml:space="preserve">, </w:t>
      </w:r>
    </w:p>
    <w:p w14:paraId="24178FE8" w14:textId="0507D9F3" w:rsidR="006A5EDE" w:rsidRPr="0006114E" w:rsidRDefault="00B040BC" w:rsidP="006A1CE1">
      <w:pPr>
        <w:pStyle w:val="Untitledsubclause1"/>
        <w:spacing w:line="240" w:lineRule="auto"/>
        <w:rPr>
          <w:rFonts w:ascii="Arial" w:hAnsi="Arial" w:cs="Arial"/>
          <w:sz w:val="20"/>
        </w:rPr>
      </w:pPr>
      <w:r w:rsidRPr="0006114E">
        <w:rPr>
          <w:rFonts w:ascii="Arial" w:hAnsi="Arial" w:cs="Arial"/>
          <w:sz w:val="20"/>
        </w:rPr>
        <w:t>The Remuneration Committee may at any time discontinue the grant of Awards or decide in any year not to grant any Awards.</w:t>
      </w:r>
      <w:r>
        <w:rPr>
          <w:rFonts w:ascii="Arial" w:hAnsi="Arial" w:cs="Arial"/>
          <w:sz w:val="20"/>
        </w:rPr>
        <w:t xml:space="preserve"> </w:t>
      </w:r>
      <w:r w:rsidR="006A5EDE" w:rsidRPr="0006114E">
        <w:rPr>
          <w:rFonts w:ascii="Arial" w:hAnsi="Arial" w:cs="Arial"/>
          <w:sz w:val="20"/>
        </w:rPr>
        <w:t>The grant of an Award does not give any Award Holder any expectation or entitlement to any future grant of an Award notwithstanding that other grants are made in a particular year to other Employees.</w:t>
      </w:r>
      <w:bookmarkStart w:id="434" w:name="a83996"/>
      <w:r w:rsidR="006A5EDE" w:rsidRPr="0006114E">
        <w:rPr>
          <w:rFonts w:ascii="Arial" w:hAnsi="Arial" w:cs="Arial"/>
          <w:sz w:val="20"/>
        </w:rPr>
        <w:t xml:space="preserve"> Awards are not pensionable.</w:t>
      </w:r>
    </w:p>
    <w:bookmarkEnd w:id="434"/>
    <w:p w14:paraId="56712F37" w14:textId="77777777"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"26. Administration and amendment" \l 1</w:instrText>
      </w:r>
      <w:r w:rsidRPr="0006114E">
        <w:rPr>
          <w:rFonts w:ascii="Arial" w:hAnsi="Arial" w:cs="Arial"/>
          <w:sz w:val="20"/>
        </w:rPr>
        <w:fldChar w:fldCharType="end"/>
      </w:r>
      <w:bookmarkStart w:id="435" w:name="a343464"/>
      <w:bookmarkStart w:id="436" w:name="_Toc105671039"/>
      <w:bookmarkStart w:id="437" w:name="_Toc103273415"/>
      <w:bookmarkStart w:id="438" w:name="_Toc145339796"/>
      <w:bookmarkStart w:id="439" w:name="_Toc131682146"/>
      <w:bookmarkStart w:id="440" w:name="_Toc107828239"/>
      <w:bookmarkStart w:id="441" w:name="_Toc152661667"/>
      <w:bookmarkStart w:id="442" w:name="_Toc159952472"/>
      <w:bookmarkStart w:id="443" w:name="_Toc168490293"/>
      <w:bookmarkStart w:id="444" w:name="_Toc187838783"/>
      <w:bookmarkStart w:id="445" w:name="_Toc188629317"/>
      <w:bookmarkStart w:id="446" w:name="_Toc191381417"/>
      <w:r w:rsidRPr="0006114E">
        <w:rPr>
          <w:rFonts w:ascii="Arial" w:hAnsi="Arial" w:cs="Arial"/>
          <w:sz w:val="20"/>
        </w:rPr>
        <w:t>Administration and amendment</w:t>
      </w:r>
      <w:bookmarkEnd w:id="435"/>
      <w:bookmarkEnd w:id="436"/>
      <w:bookmarkEnd w:id="437"/>
      <w:bookmarkEnd w:id="438"/>
      <w:bookmarkEnd w:id="439"/>
      <w:bookmarkEnd w:id="440"/>
      <w:bookmarkEnd w:id="441"/>
      <w:bookmarkEnd w:id="442"/>
      <w:bookmarkEnd w:id="443"/>
      <w:bookmarkEnd w:id="444"/>
      <w:bookmarkEnd w:id="445"/>
      <w:bookmarkEnd w:id="446"/>
    </w:p>
    <w:p w14:paraId="02A5D4CC" w14:textId="54FD8416" w:rsidR="00E118FC" w:rsidRDefault="00581E41" w:rsidP="00743237">
      <w:pPr>
        <w:pStyle w:val="Untitledsubclause1"/>
        <w:numPr>
          <w:ilvl w:val="1"/>
          <w:numId w:val="23"/>
        </w:numPr>
        <w:tabs>
          <w:tab w:val="num" w:pos="1554"/>
        </w:tabs>
        <w:spacing w:line="240" w:lineRule="auto"/>
        <w:rPr>
          <w:rFonts w:ascii="Arial" w:hAnsi="Arial" w:cs="Arial"/>
          <w:sz w:val="20"/>
        </w:rPr>
      </w:pPr>
      <w:bookmarkStart w:id="447" w:name="_Ref175671799"/>
      <w:bookmarkStart w:id="448" w:name="a909574"/>
      <w:r w:rsidRPr="00743237">
        <w:rPr>
          <w:rFonts w:ascii="Arial" w:hAnsi="Arial" w:cs="Arial"/>
          <w:sz w:val="20"/>
        </w:rPr>
        <w:t xml:space="preserve">The Remuneration Committee shall administer </w:t>
      </w:r>
      <w:bookmarkStart w:id="449" w:name="a945663"/>
      <w:r w:rsidRPr="00743237">
        <w:rPr>
          <w:rFonts w:ascii="Arial" w:hAnsi="Arial" w:cs="Arial"/>
          <w:sz w:val="20"/>
        </w:rPr>
        <w:t>and may amend the Plan and any Award from time to time</w:t>
      </w:r>
      <w:r w:rsidR="00986AEF" w:rsidRPr="00743237">
        <w:rPr>
          <w:rFonts w:ascii="Arial" w:hAnsi="Arial" w:cs="Arial"/>
          <w:sz w:val="20"/>
        </w:rPr>
        <w:t xml:space="preserve">, </w:t>
      </w:r>
      <w:bookmarkEnd w:id="449"/>
      <w:r w:rsidR="00B8180A">
        <w:rPr>
          <w:rFonts w:ascii="Arial" w:hAnsi="Arial" w:cs="Arial"/>
          <w:sz w:val="20"/>
        </w:rPr>
        <w:t>save</w:t>
      </w:r>
      <w:r w:rsidR="00F5467C" w:rsidRPr="00743237">
        <w:rPr>
          <w:rFonts w:ascii="Arial" w:hAnsi="Arial" w:cs="Arial"/>
          <w:sz w:val="20"/>
        </w:rPr>
        <w:t xml:space="preserve"> that</w:t>
      </w:r>
      <w:r w:rsidR="00E118FC">
        <w:rPr>
          <w:rFonts w:ascii="Arial" w:hAnsi="Arial" w:cs="Arial"/>
          <w:sz w:val="20"/>
        </w:rPr>
        <w:t>:</w:t>
      </w:r>
      <w:bookmarkEnd w:id="447"/>
    </w:p>
    <w:p w14:paraId="338FD00C" w14:textId="7E343172" w:rsidR="007B4FB5" w:rsidRPr="002E4D94" w:rsidRDefault="0087634E" w:rsidP="00E118FC">
      <w:pPr>
        <w:pStyle w:val="Untitledsubclause2"/>
        <w:tabs>
          <w:tab w:val="num" w:pos="1554"/>
        </w:tabs>
        <w:spacing w:line="240" w:lineRule="auto"/>
        <w:rPr>
          <w:rFonts w:ascii="Arial" w:hAnsi="Arial"/>
          <w:sz w:val="20"/>
        </w:rPr>
      </w:pPr>
      <w:bookmarkStart w:id="450" w:name="a958935"/>
      <w:r w:rsidRPr="002E4D94">
        <w:rPr>
          <w:rFonts w:ascii="Arial" w:hAnsi="Arial"/>
          <w:sz w:val="20"/>
        </w:rPr>
        <w:lastRenderedPageBreak/>
        <w:t>w</w:t>
      </w:r>
      <w:r w:rsidR="00D8597D" w:rsidRPr="002E4D94">
        <w:rPr>
          <w:rFonts w:ascii="Arial" w:hAnsi="Arial"/>
          <w:sz w:val="20"/>
        </w:rPr>
        <w:t>hile Shares are List</w:t>
      </w:r>
      <w:r w:rsidR="00EB4364" w:rsidRPr="002E4D94">
        <w:rPr>
          <w:rFonts w:ascii="Arial" w:hAnsi="Arial"/>
          <w:sz w:val="20"/>
        </w:rPr>
        <w:t>ed</w:t>
      </w:r>
      <w:r w:rsidR="00D8597D" w:rsidRPr="002E4D94">
        <w:rPr>
          <w:rFonts w:ascii="Arial" w:hAnsi="Arial"/>
          <w:sz w:val="20"/>
        </w:rPr>
        <w:t xml:space="preserve">, the </w:t>
      </w:r>
      <w:r w:rsidR="00623047" w:rsidRPr="002E4D94">
        <w:rPr>
          <w:rFonts w:ascii="Arial" w:hAnsi="Arial"/>
          <w:sz w:val="20"/>
        </w:rPr>
        <w:t>Remuneration Committee</w:t>
      </w:r>
      <w:r w:rsidR="00D8597D" w:rsidRPr="002E4D94">
        <w:rPr>
          <w:rFonts w:ascii="Arial" w:hAnsi="Arial"/>
          <w:sz w:val="20"/>
        </w:rPr>
        <w:t xml:space="preserve"> may not make any amendment to the </w:t>
      </w:r>
      <w:r w:rsidR="00986AEF" w:rsidRPr="002E4D94">
        <w:rPr>
          <w:rFonts w:ascii="Arial" w:hAnsi="Arial"/>
          <w:sz w:val="20"/>
        </w:rPr>
        <w:t xml:space="preserve">advantage of </w:t>
      </w:r>
      <w:r w:rsidR="00331B3C" w:rsidRPr="002E4D94">
        <w:rPr>
          <w:rFonts w:ascii="Arial" w:hAnsi="Arial"/>
          <w:sz w:val="20"/>
        </w:rPr>
        <w:t xml:space="preserve">Employees or </w:t>
      </w:r>
      <w:r w:rsidR="00D8597D" w:rsidRPr="002E4D94">
        <w:rPr>
          <w:rFonts w:ascii="Arial" w:hAnsi="Arial"/>
          <w:sz w:val="20"/>
        </w:rPr>
        <w:t>Award Holders if that amendment relates to:</w:t>
      </w:r>
      <w:bookmarkEnd w:id="450"/>
    </w:p>
    <w:p w14:paraId="2F2D1D19" w14:textId="77777777" w:rsidR="007B4FB5" w:rsidRPr="002E4D94" w:rsidRDefault="00D8597D" w:rsidP="006A1CE1">
      <w:pPr>
        <w:pStyle w:val="Untitledsubclause3"/>
        <w:numPr>
          <w:ilvl w:val="3"/>
          <w:numId w:val="23"/>
        </w:numPr>
        <w:spacing w:line="240" w:lineRule="auto"/>
        <w:rPr>
          <w:rFonts w:ascii="Arial" w:hAnsi="Arial"/>
          <w:sz w:val="20"/>
        </w:rPr>
      </w:pPr>
      <w:bookmarkStart w:id="451" w:name="a157352"/>
      <w:r w:rsidRPr="002E4D94">
        <w:rPr>
          <w:rFonts w:ascii="Arial" w:hAnsi="Arial"/>
          <w:sz w:val="20"/>
        </w:rPr>
        <w:t>the definition of Employee;</w:t>
      </w:r>
      <w:bookmarkEnd w:id="451"/>
    </w:p>
    <w:p w14:paraId="70C21F85" w14:textId="2ADA4274" w:rsidR="007B4FB5" w:rsidRPr="002E4D94" w:rsidRDefault="007B4FB5" w:rsidP="006A1CE1">
      <w:pPr>
        <w:pStyle w:val="Untitledsubclause3"/>
        <w:numPr>
          <w:ilvl w:val="3"/>
          <w:numId w:val="23"/>
        </w:numPr>
        <w:spacing w:line="240" w:lineRule="auto"/>
        <w:rPr>
          <w:rFonts w:ascii="Arial" w:hAnsi="Arial"/>
          <w:sz w:val="20"/>
        </w:rPr>
      </w:pPr>
      <w:r w:rsidRPr="002E4D94">
        <w:rPr>
          <w:rFonts w:ascii="Arial" w:hAnsi="Arial"/>
          <w:sz w:val="20"/>
        </w:rPr>
        <w:fldChar w:fldCharType="begin"/>
      </w:r>
      <w:r w:rsidRPr="002E4D94">
        <w:rPr>
          <w:rFonts w:ascii="Arial" w:hAnsi="Arial"/>
          <w:sz w:val="20"/>
        </w:rPr>
        <w:instrText>PAGEREF a272740\# "'rule '"  \h</w:instrText>
      </w:r>
      <w:r w:rsidRPr="002E4D94">
        <w:rPr>
          <w:rFonts w:ascii="Arial" w:hAnsi="Arial"/>
          <w:sz w:val="20"/>
        </w:rPr>
      </w:r>
      <w:r w:rsidRPr="002E4D94">
        <w:rPr>
          <w:rFonts w:ascii="Arial" w:hAnsi="Arial"/>
          <w:sz w:val="20"/>
        </w:rPr>
        <w:fldChar w:fldCharType="separate"/>
      </w:r>
      <w:r w:rsidR="00661E34" w:rsidRPr="002E4D94">
        <w:rPr>
          <w:rFonts w:ascii="Arial" w:hAnsi="Arial"/>
          <w:noProof/>
          <w:sz w:val="20"/>
        </w:rPr>
        <w:t xml:space="preserve">rule </w:t>
      </w:r>
      <w:r w:rsidRPr="002E4D94">
        <w:rPr>
          <w:rFonts w:ascii="Arial" w:hAnsi="Arial"/>
          <w:sz w:val="20"/>
        </w:rPr>
        <w:fldChar w:fldCharType="end"/>
      </w:r>
      <w:r w:rsidRPr="002E4D94">
        <w:rPr>
          <w:rFonts w:ascii="Arial" w:hAnsi="Arial"/>
          <w:sz w:val="20"/>
        </w:rPr>
        <w:fldChar w:fldCharType="begin"/>
      </w:r>
      <w:r w:rsidRPr="002E4D94">
        <w:rPr>
          <w:rFonts w:ascii="Arial" w:hAnsi="Arial"/>
          <w:sz w:val="20"/>
        </w:rPr>
        <w:instrText>REF a272740 \h \w</w:instrText>
      </w:r>
      <w:r w:rsidR="00F111AC" w:rsidRPr="002E4D94">
        <w:rPr>
          <w:rFonts w:ascii="Arial" w:hAnsi="Arial"/>
          <w:sz w:val="20"/>
        </w:rPr>
        <w:instrText xml:space="preserve"> \* MERGEFORMAT </w:instrText>
      </w:r>
      <w:r w:rsidRPr="002E4D94">
        <w:rPr>
          <w:rFonts w:ascii="Arial" w:hAnsi="Arial"/>
          <w:sz w:val="20"/>
        </w:rPr>
      </w:r>
      <w:r w:rsidRPr="002E4D94">
        <w:rPr>
          <w:rFonts w:ascii="Arial" w:hAnsi="Arial"/>
          <w:sz w:val="20"/>
        </w:rPr>
        <w:fldChar w:fldCharType="separate"/>
      </w:r>
      <w:r w:rsidR="00661E34">
        <w:rPr>
          <w:rFonts w:ascii="Arial" w:hAnsi="Arial"/>
          <w:sz w:val="20"/>
        </w:rPr>
        <w:t>6</w:t>
      </w:r>
      <w:r w:rsidRPr="002E4D94">
        <w:rPr>
          <w:rFonts w:ascii="Arial" w:hAnsi="Arial"/>
          <w:sz w:val="20"/>
        </w:rPr>
        <w:fldChar w:fldCharType="end"/>
      </w:r>
      <w:r w:rsidRPr="002E4D94">
        <w:rPr>
          <w:rFonts w:ascii="Arial" w:hAnsi="Arial"/>
          <w:sz w:val="20"/>
        </w:rPr>
        <w:t xml:space="preserve"> </w:t>
      </w:r>
      <w:bookmarkStart w:id="452" w:name="a487613"/>
      <w:r w:rsidR="00331B3C" w:rsidRPr="002E4D94">
        <w:rPr>
          <w:rFonts w:ascii="Arial" w:hAnsi="Arial"/>
          <w:sz w:val="20"/>
        </w:rPr>
        <w:t>(limits)</w:t>
      </w:r>
      <w:r w:rsidR="00D8597D" w:rsidRPr="002E4D94">
        <w:rPr>
          <w:rFonts w:ascii="Arial" w:hAnsi="Arial"/>
          <w:sz w:val="20"/>
        </w:rPr>
        <w:t>;</w:t>
      </w:r>
      <w:bookmarkEnd w:id="452"/>
    </w:p>
    <w:p w14:paraId="6240308B" w14:textId="423D4DFE" w:rsidR="002A037D" w:rsidRPr="002E4D94" w:rsidRDefault="00D8597D" w:rsidP="006A1CE1">
      <w:pPr>
        <w:pStyle w:val="Untitledsubclause3"/>
        <w:numPr>
          <w:ilvl w:val="3"/>
          <w:numId w:val="23"/>
        </w:numPr>
        <w:spacing w:line="240" w:lineRule="auto"/>
        <w:rPr>
          <w:rFonts w:ascii="Arial" w:hAnsi="Arial"/>
          <w:sz w:val="20"/>
        </w:rPr>
      </w:pPr>
      <w:r w:rsidRPr="002E4D94">
        <w:rPr>
          <w:rFonts w:ascii="Arial" w:hAnsi="Arial"/>
          <w:sz w:val="20"/>
        </w:rPr>
        <w:t xml:space="preserve">the basis for determining </w:t>
      </w:r>
      <w:r w:rsidR="00AA32FF" w:rsidRPr="002E4D94">
        <w:rPr>
          <w:rFonts w:ascii="Arial" w:hAnsi="Arial"/>
          <w:sz w:val="20"/>
        </w:rPr>
        <w:t>an Award Holder</w:t>
      </w:r>
      <w:r w:rsidRPr="002E4D94">
        <w:rPr>
          <w:rFonts w:ascii="Arial" w:hAnsi="Arial"/>
          <w:sz w:val="20"/>
        </w:rPr>
        <w:t>’s entitlement to, and the terms of, Shares or cash to be provided under the Plan</w:t>
      </w:r>
      <w:r w:rsidR="00F5618A" w:rsidRPr="002E4D94">
        <w:rPr>
          <w:rFonts w:ascii="Arial" w:hAnsi="Arial"/>
          <w:sz w:val="20"/>
        </w:rPr>
        <w:t>;</w:t>
      </w:r>
    </w:p>
    <w:p w14:paraId="53932ED2" w14:textId="0F2A3CE3" w:rsidR="007B4FB5" w:rsidRPr="002E4D94" w:rsidRDefault="00D8597D" w:rsidP="006A1CE1">
      <w:pPr>
        <w:pStyle w:val="Untitledsubclause3"/>
        <w:numPr>
          <w:ilvl w:val="3"/>
          <w:numId w:val="23"/>
        </w:numPr>
        <w:spacing w:line="240" w:lineRule="auto"/>
        <w:rPr>
          <w:rFonts w:ascii="Arial" w:hAnsi="Arial"/>
          <w:sz w:val="20"/>
        </w:rPr>
      </w:pPr>
      <w:r w:rsidRPr="002E4D94">
        <w:rPr>
          <w:rFonts w:ascii="Arial" w:hAnsi="Arial"/>
          <w:sz w:val="20"/>
        </w:rPr>
        <w:fldChar w:fldCharType="begin"/>
      </w:r>
      <w:r w:rsidRPr="002E4D94">
        <w:rPr>
          <w:rFonts w:ascii="Arial" w:hAnsi="Arial"/>
          <w:sz w:val="20"/>
        </w:rPr>
        <w:instrText>PAGEREF a129837\# "'rule '"  \h</w:instrText>
      </w:r>
      <w:r w:rsidRPr="002E4D94">
        <w:rPr>
          <w:rFonts w:ascii="Arial" w:hAnsi="Arial"/>
          <w:sz w:val="20"/>
        </w:rPr>
      </w:r>
      <w:r w:rsidRPr="002E4D94">
        <w:rPr>
          <w:rFonts w:ascii="Arial" w:hAnsi="Arial"/>
          <w:sz w:val="20"/>
        </w:rPr>
        <w:fldChar w:fldCharType="separate"/>
      </w:r>
      <w:r w:rsidR="00661E34" w:rsidRPr="002E4D94">
        <w:rPr>
          <w:rFonts w:ascii="Arial" w:hAnsi="Arial"/>
          <w:noProof/>
          <w:sz w:val="20"/>
        </w:rPr>
        <w:t xml:space="preserve">rule </w:t>
      </w:r>
      <w:r w:rsidRPr="002E4D94">
        <w:rPr>
          <w:rFonts w:ascii="Arial" w:hAnsi="Arial"/>
          <w:sz w:val="20"/>
        </w:rPr>
        <w:fldChar w:fldCharType="end"/>
      </w:r>
      <w:bookmarkStart w:id="453" w:name="a149855"/>
      <w:r w:rsidRPr="002E4D94">
        <w:rPr>
          <w:rFonts w:ascii="Arial" w:hAnsi="Arial"/>
          <w:sz w:val="20"/>
        </w:rPr>
        <w:fldChar w:fldCharType="begin"/>
      </w:r>
      <w:r w:rsidRPr="002E4D94">
        <w:rPr>
          <w:rFonts w:ascii="Arial" w:hAnsi="Arial" w:cs="Arial"/>
          <w:sz w:val="20"/>
        </w:rPr>
        <w:instrText>REF a129837 \h \w</w:instrText>
      </w:r>
      <w:r w:rsidR="00F111AC" w:rsidRPr="002E4D94">
        <w:rPr>
          <w:rFonts w:ascii="Arial" w:hAnsi="Arial" w:cs="Arial"/>
          <w:sz w:val="20"/>
        </w:rPr>
        <w:instrText xml:space="preserve"> \* MERGEFORMAT </w:instrText>
      </w:r>
      <w:r w:rsidRPr="002E4D94">
        <w:rPr>
          <w:rFonts w:ascii="Arial" w:hAnsi="Arial"/>
          <w:sz w:val="20"/>
        </w:rPr>
      </w:r>
      <w:r w:rsidRPr="002E4D94">
        <w:rPr>
          <w:rFonts w:ascii="Arial" w:hAnsi="Arial"/>
          <w:sz w:val="20"/>
        </w:rPr>
        <w:fldChar w:fldCharType="separate"/>
      </w:r>
      <w:r w:rsidR="00661E34">
        <w:rPr>
          <w:rFonts w:ascii="Arial" w:hAnsi="Arial" w:cs="Arial"/>
          <w:sz w:val="20"/>
        </w:rPr>
        <w:t>18</w:t>
      </w:r>
      <w:r w:rsidRPr="002E4D94">
        <w:rPr>
          <w:rFonts w:ascii="Arial" w:hAnsi="Arial"/>
          <w:sz w:val="20"/>
        </w:rPr>
        <w:fldChar w:fldCharType="end"/>
      </w:r>
      <w:bookmarkEnd w:id="453"/>
      <w:r w:rsidR="00331B3C" w:rsidRPr="002E4D94">
        <w:rPr>
          <w:rFonts w:ascii="Arial" w:hAnsi="Arial"/>
          <w:sz w:val="20"/>
        </w:rPr>
        <w:t xml:space="preserve"> (relating to the variation of share capital)</w:t>
      </w:r>
      <w:r w:rsidR="00F5618A" w:rsidRPr="002E4D94">
        <w:rPr>
          <w:rFonts w:ascii="Arial" w:hAnsi="Arial"/>
          <w:sz w:val="20"/>
        </w:rPr>
        <w:t>, or</w:t>
      </w:r>
    </w:p>
    <w:p w14:paraId="3552A5F7" w14:textId="70E84BF8" w:rsidR="00F5618A" w:rsidRPr="002E4D94" w:rsidRDefault="00F5618A" w:rsidP="006A1CE1">
      <w:pPr>
        <w:pStyle w:val="Untitledsubclause3"/>
        <w:numPr>
          <w:ilvl w:val="3"/>
          <w:numId w:val="23"/>
        </w:numPr>
        <w:spacing w:line="240" w:lineRule="auto"/>
        <w:rPr>
          <w:rFonts w:ascii="Arial" w:hAnsi="Arial"/>
          <w:sz w:val="20"/>
        </w:rPr>
      </w:pPr>
      <w:r w:rsidRPr="002E4D94">
        <w:rPr>
          <w:rFonts w:ascii="Arial" w:hAnsi="Arial"/>
          <w:sz w:val="20"/>
        </w:rPr>
        <w:t xml:space="preserve">the terms of this rule </w:t>
      </w:r>
      <w:r w:rsidR="00313955" w:rsidRPr="002E4D94">
        <w:rPr>
          <w:rFonts w:ascii="Arial" w:hAnsi="Arial"/>
          <w:sz w:val="20"/>
        </w:rPr>
        <w:fldChar w:fldCharType="begin"/>
      </w:r>
      <w:r w:rsidR="00313955" w:rsidRPr="002E4D94">
        <w:rPr>
          <w:rFonts w:ascii="Arial" w:hAnsi="Arial"/>
          <w:sz w:val="20"/>
        </w:rPr>
        <w:instrText xml:space="preserve"> REF _Ref175671799 \r \h </w:instrText>
      </w:r>
      <w:r w:rsidR="002E4D94">
        <w:rPr>
          <w:rFonts w:ascii="Arial" w:hAnsi="Arial"/>
          <w:sz w:val="20"/>
        </w:rPr>
        <w:instrText xml:space="preserve"> \* MERGEFORMAT </w:instrText>
      </w:r>
      <w:r w:rsidR="00313955" w:rsidRPr="002E4D94">
        <w:rPr>
          <w:rFonts w:ascii="Arial" w:hAnsi="Arial"/>
          <w:sz w:val="20"/>
        </w:rPr>
      </w:r>
      <w:r w:rsidR="00313955" w:rsidRPr="002E4D94">
        <w:rPr>
          <w:rFonts w:ascii="Arial" w:hAnsi="Arial"/>
          <w:sz w:val="20"/>
        </w:rPr>
        <w:fldChar w:fldCharType="separate"/>
      </w:r>
      <w:r w:rsidR="00661E34">
        <w:rPr>
          <w:rFonts w:ascii="Arial" w:hAnsi="Arial"/>
          <w:sz w:val="20"/>
        </w:rPr>
        <w:t>21.1</w:t>
      </w:r>
      <w:r w:rsidR="00313955" w:rsidRPr="002E4D94">
        <w:rPr>
          <w:rFonts w:ascii="Arial" w:hAnsi="Arial"/>
          <w:sz w:val="20"/>
        </w:rPr>
        <w:fldChar w:fldCharType="end"/>
      </w:r>
      <w:r w:rsidR="00313955" w:rsidRPr="002E4D94">
        <w:rPr>
          <w:rFonts w:ascii="Arial" w:hAnsi="Arial"/>
          <w:sz w:val="20"/>
        </w:rPr>
        <w:fldChar w:fldCharType="begin"/>
      </w:r>
      <w:r w:rsidR="00313955" w:rsidRPr="002E4D94">
        <w:rPr>
          <w:rFonts w:ascii="Arial" w:hAnsi="Arial"/>
          <w:sz w:val="20"/>
        </w:rPr>
        <w:instrText xml:space="preserve"> REF a958935 \r \h </w:instrText>
      </w:r>
      <w:r w:rsidR="002E4D94">
        <w:rPr>
          <w:rFonts w:ascii="Arial" w:hAnsi="Arial"/>
          <w:sz w:val="20"/>
        </w:rPr>
        <w:instrText xml:space="preserve"> \* MERGEFORMAT </w:instrText>
      </w:r>
      <w:r w:rsidR="00313955" w:rsidRPr="002E4D94">
        <w:rPr>
          <w:rFonts w:ascii="Arial" w:hAnsi="Arial"/>
          <w:sz w:val="20"/>
        </w:rPr>
      </w:r>
      <w:r w:rsidR="00313955" w:rsidRPr="002E4D94">
        <w:rPr>
          <w:rFonts w:ascii="Arial" w:hAnsi="Arial"/>
          <w:sz w:val="20"/>
        </w:rPr>
        <w:fldChar w:fldCharType="separate"/>
      </w:r>
      <w:r w:rsidR="00661E34">
        <w:rPr>
          <w:rFonts w:ascii="Arial" w:hAnsi="Arial"/>
          <w:sz w:val="20"/>
        </w:rPr>
        <w:t>(a)</w:t>
      </w:r>
      <w:r w:rsidR="00313955" w:rsidRPr="002E4D94">
        <w:rPr>
          <w:rFonts w:ascii="Arial" w:hAnsi="Arial"/>
          <w:sz w:val="20"/>
        </w:rPr>
        <w:fldChar w:fldCharType="end"/>
      </w:r>
    </w:p>
    <w:p w14:paraId="0E2F52CD" w14:textId="58577853" w:rsidR="00986AEF" w:rsidRPr="0006114E" w:rsidRDefault="00986AEF" w:rsidP="006A1CE1">
      <w:pPr>
        <w:pStyle w:val="Parasubclause2"/>
        <w:spacing w:line="240" w:lineRule="auto"/>
        <w:rPr>
          <w:rFonts w:ascii="Arial" w:hAnsi="Arial" w:cs="Arial"/>
          <w:sz w:val="20"/>
        </w:rPr>
      </w:pPr>
      <w:r w:rsidRPr="002E4D94">
        <w:rPr>
          <w:rFonts w:ascii="Arial" w:hAnsi="Arial"/>
          <w:sz w:val="20"/>
        </w:rPr>
        <w:t xml:space="preserve">without the </w:t>
      </w:r>
      <w:r w:rsidR="00D8597D" w:rsidRPr="002E4D94">
        <w:rPr>
          <w:rFonts w:ascii="Arial" w:hAnsi="Arial"/>
          <w:sz w:val="20"/>
        </w:rPr>
        <w:t>prior approval</w:t>
      </w:r>
      <w:r w:rsidRPr="002E4D94">
        <w:rPr>
          <w:rFonts w:ascii="Arial" w:hAnsi="Arial"/>
          <w:sz w:val="20"/>
        </w:rPr>
        <w:t xml:space="preserve"> of the Company in general meeting</w:t>
      </w:r>
      <w:r w:rsidR="00F67B45" w:rsidRPr="002E4D94">
        <w:rPr>
          <w:rFonts w:ascii="Arial" w:hAnsi="Arial"/>
          <w:sz w:val="20"/>
        </w:rPr>
        <w:t xml:space="preserve"> </w:t>
      </w:r>
      <w:r w:rsidR="00BF5E96" w:rsidRPr="002E4D94">
        <w:rPr>
          <w:rFonts w:ascii="Arial" w:hAnsi="Arial"/>
          <w:sz w:val="20"/>
        </w:rPr>
        <w:t xml:space="preserve">(except for minor amendments to benefit the administration of the Plan, to take account of a change in legislation, or to obtain or maintain </w:t>
      </w:r>
      <w:proofErr w:type="spellStart"/>
      <w:r w:rsidR="00BF5E96" w:rsidRPr="002E4D94">
        <w:rPr>
          <w:rFonts w:ascii="Arial" w:hAnsi="Arial"/>
          <w:sz w:val="20"/>
        </w:rPr>
        <w:t>favourable</w:t>
      </w:r>
      <w:proofErr w:type="spellEnd"/>
      <w:r w:rsidR="00BF5E96" w:rsidRPr="002E4D94">
        <w:rPr>
          <w:rFonts w:ascii="Arial" w:hAnsi="Arial"/>
          <w:sz w:val="20"/>
        </w:rPr>
        <w:t xml:space="preserve"> tax, exchange control or regulatory treatment for Award Holders or for a Group Company</w:t>
      </w:r>
      <w:r w:rsidR="00BF5E96" w:rsidRPr="002E4D94">
        <w:rPr>
          <w:rFonts w:ascii="Arial" w:hAnsi="Arial" w:cs="Arial"/>
          <w:sz w:val="20"/>
        </w:rPr>
        <w:t>)</w:t>
      </w:r>
      <w:r w:rsidR="0017776A" w:rsidRPr="002E4D94">
        <w:rPr>
          <w:rFonts w:ascii="Arial" w:hAnsi="Arial" w:cs="Arial"/>
          <w:sz w:val="20"/>
        </w:rPr>
        <w:t>,</w:t>
      </w:r>
      <w:r w:rsidR="0017776A" w:rsidRPr="002E4D94">
        <w:rPr>
          <w:rFonts w:ascii="Arial" w:hAnsi="Arial"/>
          <w:sz w:val="20"/>
        </w:rPr>
        <w:t xml:space="preserve"> and</w:t>
      </w:r>
    </w:p>
    <w:p w14:paraId="2F892D9C" w14:textId="57CEFA5E" w:rsidR="0017776A" w:rsidRPr="00D53B4B" w:rsidRDefault="0017776A" w:rsidP="00D53B4B">
      <w:pPr>
        <w:pStyle w:val="Untitledsubclause2"/>
        <w:tabs>
          <w:tab w:val="num" w:pos="1554"/>
        </w:tabs>
        <w:spacing w:line="240" w:lineRule="auto"/>
        <w:rPr>
          <w:rFonts w:ascii="Arial" w:hAnsi="Arial" w:cs="Arial"/>
          <w:sz w:val="20"/>
        </w:rPr>
      </w:pPr>
      <w:bookmarkStart w:id="454" w:name="_Ref177116357"/>
      <w:bookmarkStart w:id="455" w:name="a967430"/>
      <w:bookmarkEnd w:id="448"/>
      <w:r w:rsidRPr="00D53B4B">
        <w:rPr>
          <w:rFonts w:ascii="Arial" w:hAnsi="Arial" w:cs="Arial"/>
          <w:sz w:val="20"/>
        </w:rPr>
        <w:t xml:space="preserve">materially adverse amendments to an Award Holder’s existing </w:t>
      </w:r>
      <w:r w:rsidR="002211F2">
        <w:rPr>
          <w:rFonts w:ascii="Arial" w:hAnsi="Arial" w:cs="Arial"/>
          <w:sz w:val="20"/>
        </w:rPr>
        <w:t>Award(s)</w:t>
      </w:r>
      <w:r w:rsidRPr="00D53B4B">
        <w:rPr>
          <w:rFonts w:ascii="Arial" w:hAnsi="Arial" w:cs="Arial"/>
          <w:sz w:val="20"/>
        </w:rPr>
        <w:t xml:space="preserve"> may only be made </w:t>
      </w:r>
      <w:r w:rsidR="0013544B">
        <w:rPr>
          <w:rFonts w:ascii="Arial" w:hAnsi="Arial" w:cs="Arial"/>
          <w:sz w:val="20"/>
        </w:rPr>
        <w:t xml:space="preserve">(i) </w:t>
      </w:r>
      <w:r w:rsidRPr="00D53B4B">
        <w:rPr>
          <w:rFonts w:ascii="Arial" w:hAnsi="Arial" w:cs="Arial"/>
          <w:sz w:val="20"/>
        </w:rPr>
        <w:t>with the Award Holder’s prior written consent</w:t>
      </w:r>
      <w:r w:rsidR="007C3125" w:rsidRPr="00D53B4B">
        <w:rPr>
          <w:rFonts w:ascii="Arial" w:hAnsi="Arial" w:cs="Arial"/>
          <w:sz w:val="20"/>
        </w:rPr>
        <w:t xml:space="preserve">; </w:t>
      </w:r>
      <w:r w:rsidR="0013544B">
        <w:rPr>
          <w:rFonts w:ascii="Arial" w:hAnsi="Arial" w:cs="Arial"/>
          <w:sz w:val="20"/>
        </w:rPr>
        <w:t xml:space="preserve">(ii) </w:t>
      </w:r>
      <w:r w:rsidRPr="00D53B4B">
        <w:rPr>
          <w:rFonts w:ascii="Arial" w:hAnsi="Arial" w:cs="Arial"/>
          <w:sz w:val="20"/>
        </w:rPr>
        <w:t xml:space="preserve">with </w:t>
      </w:r>
      <w:r w:rsidR="00D73159" w:rsidRPr="00D73159">
        <w:rPr>
          <w:rFonts w:ascii="Arial" w:hAnsi="Arial" w:cs="Arial"/>
          <w:sz w:val="20"/>
        </w:rPr>
        <w:t xml:space="preserve">the consent of </w:t>
      </w:r>
      <w:r w:rsidR="006B61E4">
        <w:rPr>
          <w:rFonts w:ascii="Arial" w:hAnsi="Arial" w:cs="Arial"/>
          <w:sz w:val="20"/>
        </w:rPr>
        <w:t xml:space="preserve">50% of the </w:t>
      </w:r>
      <w:r w:rsidR="00D73159" w:rsidRPr="00D73159">
        <w:rPr>
          <w:rFonts w:ascii="Arial" w:hAnsi="Arial" w:cs="Arial"/>
          <w:sz w:val="20"/>
        </w:rPr>
        <w:t xml:space="preserve">Award Holders who </w:t>
      </w:r>
      <w:r w:rsidRPr="00D53B4B">
        <w:rPr>
          <w:rFonts w:ascii="Arial" w:hAnsi="Arial" w:cs="Arial"/>
          <w:sz w:val="20"/>
        </w:rPr>
        <w:t xml:space="preserve">hold Awards that </w:t>
      </w:r>
      <w:r w:rsidR="00D73159" w:rsidRPr="00D73159">
        <w:rPr>
          <w:rFonts w:ascii="Arial" w:hAnsi="Arial" w:cs="Arial"/>
          <w:sz w:val="20"/>
        </w:rPr>
        <w:t>would be affected</w:t>
      </w:r>
      <w:r w:rsidRPr="00D53B4B">
        <w:rPr>
          <w:rFonts w:ascii="Arial" w:hAnsi="Arial" w:cs="Arial"/>
          <w:sz w:val="20"/>
        </w:rPr>
        <w:t>, or</w:t>
      </w:r>
      <w:r w:rsidR="00D53B4B" w:rsidRPr="00D53B4B">
        <w:rPr>
          <w:rFonts w:ascii="Arial" w:hAnsi="Arial" w:cs="Arial"/>
          <w:sz w:val="20"/>
        </w:rPr>
        <w:t xml:space="preserve"> </w:t>
      </w:r>
      <w:r w:rsidR="0013544B">
        <w:rPr>
          <w:rFonts w:ascii="Arial" w:hAnsi="Arial" w:cs="Arial"/>
          <w:sz w:val="20"/>
        </w:rPr>
        <w:t xml:space="preserve">(iii) </w:t>
      </w:r>
      <w:r w:rsidRPr="00D53B4B">
        <w:rPr>
          <w:rFonts w:ascii="Arial" w:hAnsi="Arial" w:cs="Arial"/>
          <w:sz w:val="20"/>
        </w:rPr>
        <w:t>to enable any Group Company to comply with any relevant legal or regulatory requirement.</w:t>
      </w:r>
      <w:bookmarkEnd w:id="454"/>
    </w:p>
    <w:p w14:paraId="56712F43" w14:textId="3E8002B5" w:rsidR="007B4FB5" w:rsidRPr="0006114E" w:rsidRDefault="00D8597D" w:rsidP="006A1CE1">
      <w:pPr>
        <w:pStyle w:val="Untitledsubclause1"/>
        <w:numPr>
          <w:ilvl w:val="1"/>
          <w:numId w:val="23"/>
        </w:numPr>
        <w:spacing w:line="240" w:lineRule="auto"/>
        <w:rPr>
          <w:rFonts w:ascii="Arial" w:hAnsi="Arial" w:cs="Arial"/>
          <w:sz w:val="20"/>
        </w:rPr>
      </w:pPr>
      <w:r w:rsidRPr="0006114E">
        <w:rPr>
          <w:rFonts w:ascii="Arial" w:hAnsi="Arial" w:cs="Arial"/>
          <w:sz w:val="20"/>
        </w:rPr>
        <w:t>Any decision under</w:t>
      </w:r>
      <w:r w:rsidR="0087634E" w:rsidRPr="0006114E">
        <w:rPr>
          <w:rFonts w:ascii="Arial" w:hAnsi="Arial" w:cs="Arial"/>
          <w:sz w:val="20"/>
        </w:rPr>
        <w:t xml:space="preserve"> these rules</w:t>
      </w:r>
      <w:r w:rsidRPr="0006114E">
        <w:rPr>
          <w:rFonts w:ascii="Arial" w:hAnsi="Arial" w:cs="Arial"/>
          <w:sz w:val="20"/>
        </w:rPr>
        <w:t xml:space="preserve"> and whether to consider making such a decision</w:t>
      </w:r>
      <w:r w:rsidR="00EB238B" w:rsidRPr="0006114E">
        <w:rPr>
          <w:rFonts w:ascii="Arial" w:hAnsi="Arial" w:cs="Arial"/>
          <w:sz w:val="20"/>
        </w:rPr>
        <w:t xml:space="preserve"> </w:t>
      </w:r>
      <w:r w:rsidRPr="0006114E">
        <w:rPr>
          <w:rFonts w:ascii="Arial" w:hAnsi="Arial" w:cs="Arial"/>
          <w:sz w:val="20"/>
        </w:rPr>
        <w:t xml:space="preserve">shall be entirely at the discretion of the </w:t>
      </w:r>
      <w:r w:rsidR="00623047" w:rsidRPr="0006114E">
        <w:rPr>
          <w:rFonts w:ascii="Arial" w:hAnsi="Arial" w:cs="Arial"/>
          <w:sz w:val="20"/>
        </w:rPr>
        <w:t>Remuneration Committee</w:t>
      </w:r>
      <w:r w:rsidRPr="0006114E">
        <w:rPr>
          <w:rFonts w:ascii="Arial" w:hAnsi="Arial" w:cs="Arial"/>
          <w:sz w:val="20"/>
        </w:rPr>
        <w:t>.</w:t>
      </w:r>
      <w:bookmarkEnd w:id="455"/>
      <w:r w:rsidR="00BC2401" w:rsidRPr="0006114E">
        <w:rPr>
          <w:rFonts w:ascii="Arial" w:hAnsi="Arial" w:cs="Arial"/>
          <w:sz w:val="20"/>
        </w:rPr>
        <w:t xml:space="preserve"> </w:t>
      </w:r>
      <w:bookmarkStart w:id="456" w:name="a164018"/>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shall determine any question of interpretation and settle any dispute arising under the Plan, including determining whether anything is material. </w:t>
      </w:r>
      <w:r w:rsidR="00682C97" w:rsidRPr="0006114E">
        <w:rPr>
          <w:rFonts w:ascii="Arial" w:hAnsi="Arial" w:cs="Arial"/>
          <w:sz w:val="20"/>
        </w:rPr>
        <w:t>T</w:t>
      </w:r>
      <w:r w:rsidRPr="0006114E">
        <w:rPr>
          <w:rFonts w:ascii="Arial" w:hAnsi="Arial" w:cs="Arial"/>
          <w:sz w:val="20"/>
        </w:rPr>
        <w:t xml:space="preserve">he </w:t>
      </w:r>
      <w:r w:rsidR="00623047" w:rsidRPr="0006114E">
        <w:rPr>
          <w:rFonts w:ascii="Arial" w:hAnsi="Arial" w:cs="Arial"/>
          <w:sz w:val="20"/>
        </w:rPr>
        <w:t>Remuneration Committee</w:t>
      </w:r>
      <w:r w:rsidRPr="0006114E">
        <w:rPr>
          <w:rFonts w:ascii="Arial" w:hAnsi="Arial" w:cs="Arial"/>
          <w:sz w:val="20"/>
        </w:rPr>
        <w:t xml:space="preserve">'s decision </w:t>
      </w:r>
      <w:r w:rsidR="00EB238B" w:rsidRPr="0006114E">
        <w:rPr>
          <w:rFonts w:ascii="Arial" w:hAnsi="Arial" w:cs="Arial"/>
          <w:sz w:val="20"/>
        </w:rPr>
        <w:t>is</w:t>
      </w:r>
      <w:r w:rsidRPr="0006114E">
        <w:rPr>
          <w:rFonts w:ascii="Arial" w:hAnsi="Arial" w:cs="Arial"/>
          <w:sz w:val="20"/>
        </w:rPr>
        <w:t xml:space="preserve"> final.</w:t>
      </w:r>
      <w:bookmarkEnd w:id="456"/>
    </w:p>
    <w:p w14:paraId="7E239E77" w14:textId="640DC047" w:rsidR="00D727FB" w:rsidRPr="002E4D94" w:rsidRDefault="00D727FB" w:rsidP="006B5500">
      <w:pPr>
        <w:pStyle w:val="Untitledsubclause1"/>
        <w:numPr>
          <w:ilvl w:val="1"/>
          <w:numId w:val="23"/>
        </w:numPr>
        <w:spacing w:line="240" w:lineRule="auto"/>
        <w:rPr>
          <w:rFonts w:ascii="Arial" w:hAnsi="Arial" w:cs="Arial"/>
          <w:sz w:val="20"/>
        </w:rPr>
      </w:pPr>
      <w:bookmarkStart w:id="457" w:name="a591241"/>
      <w:r w:rsidRPr="002E4D94">
        <w:rPr>
          <w:rFonts w:ascii="Arial" w:hAnsi="Arial" w:cs="Arial"/>
          <w:sz w:val="20"/>
        </w:rPr>
        <w:t xml:space="preserve">The Company shall at all times keep available sufficient </w:t>
      </w:r>
      <w:proofErr w:type="spellStart"/>
      <w:r w:rsidRPr="002E4D94">
        <w:rPr>
          <w:rFonts w:ascii="Arial" w:hAnsi="Arial" w:cs="Arial"/>
          <w:sz w:val="20"/>
        </w:rPr>
        <w:t>authorised</w:t>
      </w:r>
      <w:proofErr w:type="spellEnd"/>
      <w:r w:rsidRPr="002E4D94">
        <w:rPr>
          <w:rFonts w:ascii="Arial" w:hAnsi="Arial" w:cs="Arial"/>
          <w:sz w:val="20"/>
        </w:rPr>
        <w:t xml:space="preserve"> but unissued Shares to satisfy the </w:t>
      </w:r>
      <w:r w:rsidR="00203135" w:rsidRPr="002E4D94">
        <w:rPr>
          <w:rFonts w:ascii="Arial" w:hAnsi="Arial" w:cs="Arial"/>
          <w:sz w:val="20"/>
        </w:rPr>
        <w:t>Vesting</w:t>
      </w:r>
      <w:r w:rsidR="00C401D9" w:rsidRPr="002E4D94">
        <w:rPr>
          <w:rFonts w:ascii="Arial" w:hAnsi="Arial" w:cs="Arial"/>
          <w:sz w:val="20"/>
        </w:rPr>
        <w:t xml:space="preserve"> (and in respect of Options, the exercise)</w:t>
      </w:r>
      <w:r w:rsidRPr="002E4D94">
        <w:rPr>
          <w:rFonts w:ascii="Arial" w:hAnsi="Arial" w:cs="Arial"/>
          <w:sz w:val="20"/>
        </w:rPr>
        <w:t xml:space="preserve"> in full of all Awards </w:t>
      </w:r>
      <w:r w:rsidR="00F147F5" w:rsidRPr="002E4D94">
        <w:rPr>
          <w:rFonts w:ascii="Arial" w:hAnsi="Arial" w:cs="Arial"/>
          <w:sz w:val="20"/>
        </w:rPr>
        <w:t>(other than those which will be satisfied by a transfer of Shares)</w:t>
      </w:r>
      <w:r w:rsidRPr="002E4D94">
        <w:rPr>
          <w:rFonts w:ascii="Arial" w:hAnsi="Arial" w:cs="Arial"/>
          <w:sz w:val="20"/>
        </w:rPr>
        <w:t xml:space="preserve"> for the time being remaining capable of </w:t>
      </w:r>
      <w:r w:rsidR="00203135" w:rsidRPr="002E4D94">
        <w:rPr>
          <w:rFonts w:ascii="Arial" w:hAnsi="Arial" w:cs="Arial"/>
          <w:sz w:val="20"/>
        </w:rPr>
        <w:t>Vesting</w:t>
      </w:r>
      <w:r w:rsidR="00C401D9" w:rsidRPr="002E4D94">
        <w:rPr>
          <w:rFonts w:ascii="Arial" w:hAnsi="Arial" w:cs="Arial"/>
          <w:sz w:val="20"/>
        </w:rPr>
        <w:t xml:space="preserve"> (and in respect of Options, exercised) </w:t>
      </w:r>
      <w:r w:rsidRPr="002E4D94">
        <w:rPr>
          <w:rFonts w:ascii="Arial" w:hAnsi="Arial" w:cs="Arial"/>
          <w:sz w:val="20"/>
        </w:rPr>
        <w:t>under this Plan.</w:t>
      </w:r>
    </w:p>
    <w:p w14:paraId="3C4DA0F7" w14:textId="77777777" w:rsidR="007B4FB5" w:rsidRPr="0006114E" w:rsidRDefault="00D8597D" w:rsidP="006A1CE1">
      <w:pPr>
        <w:pStyle w:val="Untitledsubclause1"/>
        <w:spacing w:line="240" w:lineRule="auto"/>
        <w:rPr>
          <w:rFonts w:ascii="Arial" w:hAnsi="Arial" w:cs="Arial"/>
          <w:sz w:val="20"/>
        </w:rPr>
      </w:pPr>
      <w:r w:rsidRPr="0006114E">
        <w:rPr>
          <w:rFonts w:ascii="Arial" w:hAnsi="Arial" w:cs="Arial"/>
          <w:sz w:val="20"/>
        </w:rPr>
        <w:t xml:space="preserve">The </w:t>
      </w:r>
      <w:r w:rsidR="00623047" w:rsidRPr="0006114E">
        <w:rPr>
          <w:rFonts w:ascii="Arial" w:hAnsi="Arial" w:cs="Arial"/>
          <w:sz w:val="20"/>
        </w:rPr>
        <w:t>Remuneration Committee</w:t>
      </w:r>
      <w:r w:rsidRPr="0006114E">
        <w:rPr>
          <w:rFonts w:ascii="Arial" w:hAnsi="Arial" w:cs="Arial"/>
          <w:sz w:val="20"/>
        </w:rPr>
        <w:t xml:space="preserve"> may establish sub-plans to operate in overseas territories (overseas sub-plans), provided that:</w:t>
      </w:r>
      <w:bookmarkEnd w:id="457"/>
    </w:p>
    <w:p w14:paraId="0925013F" w14:textId="7CAD3D5A" w:rsidR="007B4FB5" w:rsidRPr="0006114E" w:rsidRDefault="00D8597D" w:rsidP="006A1CE1">
      <w:pPr>
        <w:pStyle w:val="Untitledsubclause2"/>
        <w:tabs>
          <w:tab w:val="clear" w:pos="1979"/>
          <w:tab w:val="num" w:pos="1554"/>
        </w:tabs>
        <w:spacing w:line="240" w:lineRule="auto"/>
        <w:ind w:left="1554"/>
        <w:rPr>
          <w:rFonts w:ascii="Arial" w:hAnsi="Arial" w:cs="Arial"/>
          <w:sz w:val="20"/>
        </w:rPr>
      </w:pPr>
      <w:bookmarkStart w:id="458" w:name="a431021"/>
      <w:r w:rsidRPr="0006114E">
        <w:rPr>
          <w:rFonts w:ascii="Arial" w:hAnsi="Arial" w:cs="Arial"/>
          <w:sz w:val="20"/>
        </w:rPr>
        <w:t xml:space="preserve">all overseas sub-plans are subject to the </w:t>
      </w:r>
      <w:r w:rsidR="007B4FB5" w:rsidRPr="0006114E">
        <w:rPr>
          <w:rFonts w:ascii="Arial" w:hAnsi="Arial" w:cs="Arial"/>
          <w:sz w:val="20"/>
        </w:rPr>
        <w:t>limitations set out in</w:t>
      </w:r>
      <w:r w:rsidR="00FC593D" w:rsidRPr="0006114E">
        <w:rPr>
          <w:rFonts w:ascii="Arial" w:hAnsi="Arial" w:cs="Arial"/>
          <w:sz w:val="20"/>
        </w:rPr>
        <w:t xml:space="preserve"> </w:t>
      </w:r>
      <w:r w:rsidR="007B4FB5" w:rsidRPr="0006114E">
        <w:rPr>
          <w:rFonts w:ascii="Arial" w:hAnsi="Arial" w:cs="Arial"/>
          <w:sz w:val="20"/>
        </w:rPr>
        <w:fldChar w:fldCharType="begin"/>
      </w:r>
      <w:r w:rsidR="007B4FB5" w:rsidRPr="0006114E">
        <w:rPr>
          <w:rFonts w:ascii="Arial" w:hAnsi="Arial" w:cs="Arial"/>
          <w:sz w:val="20"/>
        </w:rPr>
        <w:instrText>PAGEREF a272740\# "'rule '"  \h</w:instrText>
      </w:r>
      <w:r w:rsidR="007B4FB5" w:rsidRPr="0006114E">
        <w:rPr>
          <w:rFonts w:ascii="Arial" w:hAnsi="Arial" w:cs="Arial"/>
          <w:sz w:val="20"/>
        </w:rPr>
      </w:r>
      <w:r w:rsidR="007B4FB5" w:rsidRPr="0006114E">
        <w:rPr>
          <w:rFonts w:ascii="Arial" w:hAnsi="Arial" w:cs="Arial"/>
          <w:sz w:val="20"/>
        </w:rPr>
        <w:fldChar w:fldCharType="separate"/>
      </w:r>
      <w:r w:rsidR="00661E34" w:rsidRPr="0006114E">
        <w:rPr>
          <w:rFonts w:ascii="Arial" w:hAnsi="Arial" w:cs="Arial"/>
          <w:noProof/>
          <w:sz w:val="20"/>
        </w:rPr>
        <w:t xml:space="preserve">rule </w:t>
      </w:r>
      <w:r w:rsidR="007B4FB5" w:rsidRPr="0006114E">
        <w:rPr>
          <w:rFonts w:ascii="Arial" w:hAnsi="Arial" w:cs="Arial"/>
          <w:sz w:val="20"/>
        </w:rPr>
        <w:fldChar w:fldCharType="end"/>
      </w:r>
      <w:r w:rsidR="007B4FB5" w:rsidRPr="0006114E">
        <w:rPr>
          <w:rFonts w:ascii="Arial" w:hAnsi="Arial" w:cs="Arial"/>
          <w:sz w:val="20"/>
        </w:rPr>
        <w:fldChar w:fldCharType="begin"/>
      </w:r>
      <w:r w:rsidR="007B4FB5" w:rsidRPr="0006114E">
        <w:rPr>
          <w:rFonts w:ascii="Arial" w:hAnsi="Arial" w:cs="Arial"/>
          <w:sz w:val="20"/>
        </w:rPr>
        <w:instrText>REF a272740 \h \w</w:instrText>
      </w:r>
      <w:r w:rsidR="0037270F" w:rsidRPr="0006114E">
        <w:rPr>
          <w:rFonts w:ascii="Arial" w:hAnsi="Arial" w:cs="Arial"/>
          <w:sz w:val="20"/>
        </w:rPr>
        <w:instrText xml:space="preserve"> \* MERGEFORMAT </w:instrText>
      </w:r>
      <w:r w:rsidR="007B4FB5" w:rsidRPr="0006114E">
        <w:rPr>
          <w:rFonts w:ascii="Arial" w:hAnsi="Arial" w:cs="Arial"/>
          <w:sz w:val="20"/>
        </w:rPr>
      </w:r>
      <w:r w:rsidR="007B4FB5" w:rsidRPr="0006114E">
        <w:rPr>
          <w:rFonts w:ascii="Arial" w:hAnsi="Arial" w:cs="Arial"/>
          <w:sz w:val="20"/>
        </w:rPr>
        <w:fldChar w:fldCharType="separate"/>
      </w:r>
      <w:r w:rsidR="00661E34">
        <w:rPr>
          <w:rFonts w:ascii="Arial" w:hAnsi="Arial" w:cs="Arial"/>
          <w:sz w:val="20"/>
        </w:rPr>
        <w:t>6</w:t>
      </w:r>
      <w:r w:rsidR="007B4FB5" w:rsidRPr="0006114E">
        <w:rPr>
          <w:rFonts w:ascii="Arial" w:hAnsi="Arial" w:cs="Arial"/>
          <w:sz w:val="20"/>
        </w:rPr>
        <w:fldChar w:fldCharType="end"/>
      </w:r>
      <w:r w:rsidRPr="0006114E">
        <w:rPr>
          <w:rFonts w:ascii="Arial" w:hAnsi="Arial" w:cs="Arial"/>
          <w:sz w:val="20"/>
        </w:rPr>
        <w:t>;</w:t>
      </w:r>
      <w:bookmarkEnd w:id="458"/>
    </w:p>
    <w:p w14:paraId="6BAD755F" w14:textId="77777777" w:rsidR="007B4FB5" w:rsidRPr="0006114E" w:rsidRDefault="00D8597D" w:rsidP="006A1CE1">
      <w:pPr>
        <w:pStyle w:val="Untitledsubclause2"/>
        <w:tabs>
          <w:tab w:val="clear" w:pos="1979"/>
          <w:tab w:val="num" w:pos="1554"/>
        </w:tabs>
        <w:spacing w:line="240" w:lineRule="auto"/>
        <w:ind w:left="1554"/>
        <w:rPr>
          <w:rFonts w:ascii="Arial" w:hAnsi="Arial" w:cs="Arial"/>
          <w:sz w:val="20"/>
        </w:rPr>
      </w:pPr>
      <w:bookmarkStart w:id="459" w:name="a911681"/>
      <w:r w:rsidRPr="0006114E">
        <w:rPr>
          <w:rFonts w:ascii="Arial" w:hAnsi="Arial" w:cs="Arial"/>
          <w:sz w:val="20"/>
        </w:rPr>
        <w:t>only Employees who are resident in (or otherwise subject to the tax laws of) the relevant territory are entitled to participate in any overseas sub-plan</w:t>
      </w:r>
      <w:bookmarkEnd w:id="459"/>
      <w:r w:rsidR="00215916" w:rsidRPr="0006114E">
        <w:rPr>
          <w:rFonts w:ascii="Arial" w:hAnsi="Arial" w:cs="Arial"/>
          <w:sz w:val="20"/>
        </w:rPr>
        <w:t>, and</w:t>
      </w:r>
    </w:p>
    <w:p w14:paraId="787CB325" w14:textId="77777777" w:rsidR="007B4FB5" w:rsidRPr="0006114E" w:rsidRDefault="00D8597D" w:rsidP="006A1CE1">
      <w:pPr>
        <w:pStyle w:val="Untitledsubclause2"/>
        <w:tabs>
          <w:tab w:val="clear" w:pos="1979"/>
          <w:tab w:val="num" w:pos="1554"/>
        </w:tabs>
        <w:spacing w:line="240" w:lineRule="auto"/>
        <w:ind w:left="1554"/>
        <w:rPr>
          <w:rFonts w:ascii="Arial" w:hAnsi="Arial" w:cs="Arial"/>
          <w:sz w:val="20"/>
        </w:rPr>
      </w:pPr>
      <w:bookmarkStart w:id="460" w:name="a204123"/>
      <w:r w:rsidRPr="0006114E">
        <w:rPr>
          <w:rFonts w:ascii="Arial" w:hAnsi="Arial" w:cs="Arial"/>
          <w:sz w:val="20"/>
        </w:rPr>
        <w:t>no Employee has an entitlement to awards under any overseas sub-plan greater than the maximum entitlement of an Employee under the Plan.</w:t>
      </w:r>
      <w:bookmarkEnd w:id="460"/>
    </w:p>
    <w:p w14:paraId="62F19989" w14:textId="77777777" w:rsidR="007B4FB5" w:rsidRPr="0006114E" w:rsidRDefault="00D8597D" w:rsidP="006A1CE1">
      <w:pPr>
        <w:pStyle w:val="Parasubclause1"/>
        <w:spacing w:line="240" w:lineRule="auto"/>
        <w:rPr>
          <w:rFonts w:ascii="Arial" w:hAnsi="Arial" w:cs="Arial"/>
          <w:sz w:val="20"/>
        </w:rPr>
      </w:pPr>
      <w:r w:rsidRPr="0006114E">
        <w:rPr>
          <w:rFonts w:ascii="Arial" w:hAnsi="Arial" w:cs="Arial"/>
          <w:sz w:val="20"/>
        </w:rPr>
        <w:t>Any overseas sub-plan must be governed by rules similar to the rules of the Plan, but modified to take account of applicable tax, social security, employment, company, exchange control, trust or securities (or any other relevant) law, regulation or practice.</w:t>
      </w:r>
    </w:p>
    <w:p w14:paraId="34A36546" w14:textId="77777777" w:rsidR="00EC72C1" w:rsidRPr="0006114E" w:rsidRDefault="00EC72C1"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"27. Third party rights" \l 1</w:instrText>
      </w:r>
      <w:r w:rsidRPr="0006114E">
        <w:rPr>
          <w:rFonts w:ascii="Arial" w:hAnsi="Arial" w:cs="Arial"/>
          <w:sz w:val="20"/>
        </w:rPr>
        <w:fldChar w:fldCharType="end"/>
      </w:r>
      <w:bookmarkStart w:id="461" w:name="a865806"/>
      <w:bookmarkStart w:id="462" w:name="_Toc105671040"/>
      <w:bookmarkStart w:id="463" w:name="_Toc103273416"/>
      <w:bookmarkStart w:id="464" w:name="_Toc145339797"/>
      <w:bookmarkStart w:id="465" w:name="_Toc131682147"/>
      <w:bookmarkStart w:id="466" w:name="_Toc107828240"/>
      <w:bookmarkStart w:id="467" w:name="_Toc152661668"/>
      <w:bookmarkStart w:id="468" w:name="_Toc159952473"/>
      <w:bookmarkStart w:id="469" w:name="_Toc160465047"/>
      <w:bookmarkStart w:id="470" w:name="_Toc168490294"/>
      <w:bookmarkStart w:id="471" w:name="_Toc187838784"/>
      <w:bookmarkStart w:id="472" w:name="_Toc188629318"/>
      <w:bookmarkStart w:id="473" w:name="_Toc191381418"/>
      <w:r w:rsidRPr="0006114E">
        <w:rPr>
          <w:rFonts w:ascii="Arial" w:hAnsi="Arial" w:cs="Arial"/>
          <w:sz w:val="20"/>
        </w:rPr>
        <w:t>Third party rights</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7B70FD7A" w14:textId="585BF02E" w:rsidR="00EC72C1" w:rsidRPr="0006114E" w:rsidRDefault="00EC72C1" w:rsidP="006A1CE1">
      <w:pPr>
        <w:pStyle w:val="Untitledsubclause1"/>
        <w:spacing w:line="240" w:lineRule="auto"/>
        <w:rPr>
          <w:rFonts w:ascii="Arial" w:hAnsi="Arial" w:cs="Arial"/>
          <w:sz w:val="20"/>
        </w:rPr>
      </w:pPr>
      <w:bookmarkStart w:id="474" w:name="a94160"/>
      <w:r w:rsidRPr="0006114E">
        <w:rPr>
          <w:rFonts w:ascii="Arial" w:hAnsi="Arial" w:cs="Arial"/>
          <w:sz w:val="20"/>
        </w:rPr>
        <w:t xml:space="preserve">A person who is not a party to an Award shall not have any rights under or in connection with it as a result of the Contracts (Rights of Third Parties) Act 1999 except where these rights arise under any rule of the Plan (or any document entered into pursuant to, or in connection with, the Plan) for any </w:t>
      </w:r>
      <w:r w:rsidR="00464C44">
        <w:rPr>
          <w:rFonts w:ascii="Arial" w:hAnsi="Arial" w:cs="Arial"/>
          <w:sz w:val="20"/>
        </w:rPr>
        <w:t>Group</w:t>
      </w:r>
      <w:r w:rsidRPr="0006114E">
        <w:rPr>
          <w:rFonts w:ascii="Arial" w:hAnsi="Arial" w:cs="Arial"/>
          <w:sz w:val="20"/>
        </w:rPr>
        <w:t xml:space="preserve"> Company that is not a party to an Award</w:t>
      </w:r>
      <w:r w:rsidR="00464C44">
        <w:rPr>
          <w:rFonts w:ascii="Arial" w:hAnsi="Arial" w:cs="Arial"/>
          <w:sz w:val="20"/>
        </w:rPr>
        <w:t xml:space="preserve"> (or</w:t>
      </w:r>
      <w:r w:rsidR="00464C44" w:rsidRPr="00301284">
        <w:rPr>
          <w:rFonts w:ascii="Arial" w:hAnsi="Arial" w:cs="Arial"/>
          <w:sz w:val="20"/>
        </w:rPr>
        <w:t xml:space="preserve"> any other person who has or could have similar requirements to account to any Tax Authority in respect of </w:t>
      </w:r>
      <w:r w:rsidR="00464C44">
        <w:rPr>
          <w:rFonts w:ascii="Arial" w:hAnsi="Arial" w:cs="Arial"/>
          <w:sz w:val="20"/>
        </w:rPr>
        <w:t>an</w:t>
      </w:r>
      <w:r w:rsidR="00464C44" w:rsidRPr="00301284">
        <w:rPr>
          <w:rFonts w:ascii="Arial" w:hAnsi="Arial" w:cs="Arial"/>
          <w:sz w:val="20"/>
        </w:rPr>
        <w:t xml:space="preserve"> Award</w:t>
      </w:r>
      <w:r w:rsidR="00464C44">
        <w:rPr>
          <w:rFonts w:ascii="Arial" w:hAnsi="Arial" w:cs="Arial"/>
          <w:sz w:val="20"/>
        </w:rPr>
        <w:t>)</w:t>
      </w:r>
      <w:r w:rsidR="00464C44" w:rsidRPr="00BF3CA7">
        <w:rPr>
          <w:rFonts w:ascii="Arial" w:hAnsi="Arial" w:cs="Arial"/>
          <w:sz w:val="20"/>
        </w:rPr>
        <w:t>.</w:t>
      </w:r>
      <w:bookmarkEnd w:id="474"/>
    </w:p>
    <w:p w14:paraId="38B9235D" w14:textId="77777777" w:rsidR="00EC72C1" w:rsidRPr="0006114E" w:rsidRDefault="00EC72C1" w:rsidP="006A1CE1">
      <w:pPr>
        <w:pStyle w:val="Untitledsubclause1"/>
        <w:spacing w:line="240" w:lineRule="auto"/>
        <w:rPr>
          <w:rFonts w:ascii="Arial" w:hAnsi="Arial" w:cs="Arial"/>
          <w:sz w:val="20"/>
        </w:rPr>
      </w:pPr>
      <w:bookmarkStart w:id="475" w:name="a929894"/>
      <w:r w:rsidRPr="0006114E">
        <w:rPr>
          <w:rFonts w:ascii="Arial" w:hAnsi="Arial" w:cs="Arial"/>
          <w:sz w:val="20"/>
        </w:rPr>
        <w:lastRenderedPageBreak/>
        <w:t>The rights of the parties to an Award to surrender, terminate or rescind it, or agree any variation, waiver or settlement of it, are not subject to the consent of any person that is not a party to the Award as a result of the Contracts (Rights of Third Parties) Act 1999.</w:t>
      </w:r>
      <w:bookmarkEnd w:id="475"/>
    </w:p>
    <w:p w14:paraId="7807A9EE" w14:textId="77777777" w:rsidR="00115EE7" w:rsidRPr="0006114E" w:rsidRDefault="00D8597D" w:rsidP="006A1CE1">
      <w:pPr>
        <w:pStyle w:val="TitleClause"/>
        <w:spacing w:line="240" w:lineRule="auto"/>
        <w:rPr>
          <w:rFonts w:ascii="Arial" w:hAnsi="Arial" w:cs="Arial"/>
          <w:sz w:val="20"/>
        </w:rPr>
      </w:pPr>
      <w:bookmarkStart w:id="476" w:name="_Ref83979035"/>
      <w:bookmarkStart w:id="477" w:name="_Toc88673626"/>
      <w:bookmarkStart w:id="478" w:name="_Toc105671041"/>
      <w:bookmarkStart w:id="479" w:name="_Toc103273417"/>
      <w:bookmarkStart w:id="480" w:name="_Toc131682148"/>
      <w:bookmarkStart w:id="481" w:name="_Toc175237237"/>
      <w:bookmarkStart w:id="482" w:name="_Toc187838785"/>
      <w:bookmarkStart w:id="483" w:name="_Toc188629319"/>
      <w:bookmarkStart w:id="484" w:name="_Toc191381419"/>
      <w:r w:rsidRPr="0006114E">
        <w:rPr>
          <w:rFonts w:ascii="Arial" w:hAnsi="Arial" w:cs="Arial"/>
          <w:sz w:val="20"/>
        </w:rPr>
        <w:t>Confidentiality</w:t>
      </w:r>
      <w:bookmarkEnd w:id="476"/>
      <w:bookmarkEnd w:id="477"/>
      <w:bookmarkEnd w:id="478"/>
      <w:bookmarkEnd w:id="479"/>
      <w:bookmarkEnd w:id="480"/>
      <w:bookmarkEnd w:id="481"/>
      <w:bookmarkEnd w:id="482"/>
      <w:bookmarkEnd w:id="483"/>
      <w:bookmarkEnd w:id="484"/>
    </w:p>
    <w:p w14:paraId="590F1090" w14:textId="4D25F12F" w:rsidR="00115EE7" w:rsidRPr="0006114E" w:rsidRDefault="00D8597D" w:rsidP="006A1CE1">
      <w:pPr>
        <w:pStyle w:val="Untitledsubclause1"/>
        <w:numPr>
          <w:ilvl w:val="0"/>
          <w:numId w:val="0"/>
        </w:numPr>
        <w:spacing w:line="240" w:lineRule="auto"/>
        <w:ind w:left="720"/>
        <w:rPr>
          <w:rFonts w:ascii="Arial" w:hAnsi="Arial" w:cs="Arial"/>
          <w:sz w:val="20"/>
        </w:rPr>
      </w:pPr>
      <w:r w:rsidRPr="0006114E">
        <w:rPr>
          <w:rFonts w:ascii="Arial" w:hAnsi="Arial" w:cs="Arial"/>
          <w:sz w:val="20"/>
        </w:rPr>
        <w:t xml:space="preserve">Each Award Holder must keep </w:t>
      </w:r>
      <w:r w:rsidR="009B3096" w:rsidRPr="0006114E">
        <w:rPr>
          <w:rFonts w:ascii="Arial" w:hAnsi="Arial" w:cs="Arial"/>
          <w:sz w:val="20"/>
        </w:rPr>
        <w:t xml:space="preserve">the rules of the Plan and </w:t>
      </w:r>
      <w:r w:rsidR="00A3343A" w:rsidRPr="0006114E">
        <w:rPr>
          <w:rFonts w:ascii="Arial" w:hAnsi="Arial" w:cs="Arial"/>
          <w:sz w:val="20"/>
        </w:rPr>
        <w:t>details of their</w:t>
      </w:r>
      <w:r w:rsidRPr="0006114E">
        <w:rPr>
          <w:rFonts w:ascii="Arial" w:hAnsi="Arial" w:cs="Arial"/>
          <w:sz w:val="20"/>
        </w:rPr>
        <w:t xml:space="preserve"> </w:t>
      </w:r>
      <w:r w:rsidR="00D67DB9" w:rsidRPr="0006114E">
        <w:rPr>
          <w:rFonts w:ascii="Arial" w:hAnsi="Arial" w:cs="Arial"/>
          <w:sz w:val="20"/>
        </w:rPr>
        <w:t>Award</w:t>
      </w:r>
      <w:r w:rsidRPr="0006114E">
        <w:rPr>
          <w:rFonts w:ascii="Arial" w:hAnsi="Arial" w:cs="Arial"/>
          <w:sz w:val="20"/>
        </w:rPr>
        <w:t xml:space="preserve"> </w:t>
      </w:r>
      <w:r w:rsidR="00A3343A" w:rsidRPr="0006114E">
        <w:rPr>
          <w:rFonts w:ascii="Arial" w:hAnsi="Arial" w:cs="Arial"/>
          <w:sz w:val="20"/>
        </w:rPr>
        <w:t>(</w:t>
      </w:r>
      <w:r w:rsidR="006252D6" w:rsidRPr="0006114E">
        <w:rPr>
          <w:rFonts w:ascii="Arial" w:hAnsi="Arial" w:cs="Arial"/>
          <w:sz w:val="20"/>
        </w:rPr>
        <w:t xml:space="preserve">in each case </w:t>
      </w:r>
      <w:r w:rsidR="00A3343A" w:rsidRPr="0006114E">
        <w:rPr>
          <w:rFonts w:ascii="Arial" w:hAnsi="Arial" w:cs="Arial"/>
          <w:sz w:val="20"/>
        </w:rPr>
        <w:t xml:space="preserve">save </w:t>
      </w:r>
      <w:r w:rsidR="009B3096" w:rsidRPr="0006114E">
        <w:rPr>
          <w:rFonts w:ascii="Arial" w:hAnsi="Arial" w:cs="Arial"/>
          <w:sz w:val="20"/>
        </w:rPr>
        <w:t>as publicly disclosed</w:t>
      </w:r>
      <w:r w:rsidR="00F6419A" w:rsidRPr="0006114E">
        <w:rPr>
          <w:rFonts w:ascii="Arial" w:hAnsi="Arial" w:cs="Arial"/>
          <w:sz w:val="20"/>
        </w:rPr>
        <w:t xml:space="preserve"> by the Company</w:t>
      </w:r>
      <w:r w:rsidR="009B3096" w:rsidRPr="0006114E">
        <w:rPr>
          <w:rFonts w:ascii="Arial" w:hAnsi="Arial" w:cs="Arial"/>
          <w:sz w:val="20"/>
        </w:rPr>
        <w:t>)</w:t>
      </w:r>
      <w:r w:rsidR="006252D6" w:rsidRPr="0006114E">
        <w:rPr>
          <w:rFonts w:ascii="Arial" w:hAnsi="Arial" w:cs="Arial"/>
          <w:sz w:val="20"/>
        </w:rPr>
        <w:t xml:space="preserve">, </w:t>
      </w:r>
      <w:r w:rsidRPr="0006114E">
        <w:rPr>
          <w:rFonts w:ascii="Arial" w:hAnsi="Arial" w:cs="Arial"/>
          <w:sz w:val="20"/>
        </w:rPr>
        <w:t>the Acceptance Notice and the Award Certificate (the “</w:t>
      </w:r>
      <w:r w:rsidRPr="0006114E">
        <w:rPr>
          <w:rFonts w:ascii="Arial" w:hAnsi="Arial" w:cs="Arial"/>
          <w:b/>
          <w:bCs/>
          <w:sz w:val="20"/>
        </w:rPr>
        <w:t>Plan Documents</w:t>
      </w:r>
      <w:r w:rsidRPr="0006114E">
        <w:rPr>
          <w:rFonts w:ascii="Arial" w:hAnsi="Arial" w:cs="Arial"/>
          <w:sz w:val="20"/>
        </w:rPr>
        <w:t>”) confidential, and must not disclose, or to permit the disclosure of, any of the terms of the Plan Documents to any third party (</w:t>
      </w:r>
      <w:r w:rsidR="00B13CEF" w:rsidRPr="0006114E">
        <w:rPr>
          <w:rFonts w:ascii="Arial" w:hAnsi="Arial" w:cs="Arial"/>
          <w:sz w:val="20"/>
        </w:rPr>
        <w:t xml:space="preserve">save to the extent </w:t>
      </w:r>
      <w:r w:rsidR="00DF1990" w:rsidRPr="0006114E">
        <w:rPr>
          <w:rFonts w:ascii="Arial" w:hAnsi="Arial" w:cs="Arial"/>
          <w:sz w:val="20"/>
        </w:rPr>
        <w:t>requested by the Company</w:t>
      </w:r>
      <w:r w:rsidR="00C8314C">
        <w:rPr>
          <w:rFonts w:ascii="Arial" w:hAnsi="Arial" w:cs="Arial"/>
          <w:sz w:val="20"/>
        </w:rPr>
        <w:t>, a c</w:t>
      </w:r>
      <w:r w:rsidRPr="0006114E">
        <w:rPr>
          <w:rFonts w:ascii="Arial" w:hAnsi="Arial" w:cs="Arial"/>
          <w:sz w:val="20"/>
        </w:rPr>
        <w:t>ourt of competent jurisdiction or any governmental authority</w:t>
      </w:r>
      <w:r w:rsidR="00746854">
        <w:rPr>
          <w:rFonts w:ascii="Arial" w:hAnsi="Arial" w:cs="Arial"/>
          <w:sz w:val="20"/>
        </w:rPr>
        <w:t xml:space="preserve">, </w:t>
      </w:r>
      <w:r w:rsidR="00746854" w:rsidRPr="0006114E">
        <w:rPr>
          <w:rFonts w:ascii="Arial" w:hAnsi="Arial" w:cs="Arial"/>
          <w:sz w:val="20"/>
        </w:rPr>
        <w:t>or expressly protected or required by law</w:t>
      </w:r>
      <w:r w:rsidRPr="0006114E">
        <w:rPr>
          <w:rFonts w:ascii="Arial" w:hAnsi="Arial" w:cs="Arial"/>
          <w:sz w:val="20"/>
        </w:rPr>
        <w:t>).</w:t>
      </w:r>
    </w:p>
    <w:p w14:paraId="56712F52" w14:textId="4FE5644A" w:rsidR="007B4FB5"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"28. Data protection" \l 1</w:instrText>
      </w:r>
      <w:r w:rsidRPr="0006114E">
        <w:rPr>
          <w:rFonts w:ascii="Arial" w:hAnsi="Arial" w:cs="Arial"/>
          <w:sz w:val="20"/>
        </w:rPr>
        <w:fldChar w:fldCharType="end"/>
      </w:r>
      <w:bookmarkStart w:id="485" w:name="a363784"/>
      <w:bookmarkStart w:id="486" w:name="_Toc105671042"/>
      <w:bookmarkStart w:id="487" w:name="_Toc103273418"/>
      <w:bookmarkStart w:id="488" w:name="_Toc145339799"/>
      <w:bookmarkStart w:id="489" w:name="_Toc131682149"/>
      <w:bookmarkStart w:id="490" w:name="_Toc107828242"/>
      <w:bookmarkStart w:id="491" w:name="_Toc152661670"/>
      <w:bookmarkStart w:id="492" w:name="_Toc159952475"/>
      <w:bookmarkStart w:id="493" w:name="_Toc168490295"/>
      <w:bookmarkStart w:id="494" w:name="_Toc187838786"/>
      <w:bookmarkStart w:id="495" w:name="_Toc188629320"/>
      <w:bookmarkStart w:id="496" w:name="_Toc191381420"/>
      <w:r w:rsidRPr="0006114E">
        <w:rPr>
          <w:rFonts w:ascii="Arial" w:hAnsi="Arial" w:cs="Arial"/>
          <w:sz w:val="20"/>
        </w:rPr>
        <w:t xml:space="preserve">Data </w:t>
      </w:r>
      <w:bookmarkEnd w:id="485"/>
      <w:r w:rsidR="009011C3" w:rsidRPr="0006114E">
        <w:rPr>
          <w:rFonts w:ascii="Arial" w:hAnsi="Arial" w:cs="Arial"/>
          <w:sz w:val="20"/>
        </w:rPr>
        <w:t>Privacy</w:t>
      </w:r>
      <w:bookmarkEnd w:id="486"/>
      <w:bookmarkEnd w:id="487"/>
      <w:bookmarkEnd w:id="488"/>
      <w:bookmarkEnd w:id="489"/>
      <w:bookmarkEnd w:id="490"/>
      <w:bookmarkEnd w:id="491"/>
      <w:bookmarkEnd w:id="492"/>
      <w:bookmarkEnd w:id="493"/>
      <w:bookmarkEnd w:id="494"/>
      <w:bookmarkEnd w:id="495"/>
      <w:bookmarkEnd w:id="496"/>
    </w:p>
    <w:p w14:paraId="56712F53" w14:textId="3FF8AD02" w:rsidR="007B4FB5" w:rsidRPr="0006114E" w:rsidRDefault="00D8597D" w:rsidP="006A1CE1">
      <w:pPr>
        <w:pStyle w:val="NoNumUntitledsubclause1"/>
        <w:spacing w:line="240" w:lineRule="auto"/>
        <w:rPr>
          <w:rFonts w:ascii="Arial" w:hAnsi="Arial" w:cs="Arial"/>
          <w:sz w:val="20"/>
        </w:rPr>
      </w:pPr>
      <w:bookmarkStart w:id="497" w:name="a429757"/>
      <w:r w:rsidRPr="0006114E">
        <w:rPr>
          <w:rFonts w:ascii="Arial" w:hAnsi="Arial" w:cs="Arial"/>
          <w:sz w:val="20"/>
        </w:rPr>
        <w:t xml:space="preserve">For the purpose of operating the Plan, the </w:t>
      </w:r>
      <w:r w:rsidR="00412E5E" w:rsidRPr="0006114E">
        <w:rPr>
          <w:rFonts w:ascii="Arial" w:hAnsi="Arial" w:cs="Arial"/>
          <w:sz w:val="20"/>
        </w:rPr>
        <w:t xml:space="preserve">relevant Group </w:t>
      </w:r>
      <w:r w:rsidR="00634A87" w:rsidRPr="0006114E">
        <w:rPr>
          <w:rFonts w:ascii="Arial" w:hAnsi="Arial" w:cs="Arial"/>
          <w:sz w:val="20"/>
        </w:rPr>
        <w:t>Company</w:t>
      </w:r>
      <w:r w:rsidR="00412E5E" w:rsidRPr="0006114E">
        <w:rPr>
          <w:rFonts w:ascii="Arial" w:hAnsi="Arial" w:cs="Arial"/>
          <w:sz w:val="20"/>
        </w:rPr>
        <w:t xml:space="preserve"> </w:t>
      </w:r>
      <w:r w:rsidRPr="0006114E">
        <w:rPr>
          <w:rFonts w:ascii="Arial" w:hAnsi="Arial" w:cs="Arial"/>
          <w:sz w:val="20"/>
        </w:rPr>
        <w:t xml:space="preserve">will collect and process information relating to Employees and Award Holders in accordance with the privacy notice </w:t>
      </w:r>
      <w:r w:rsidR="005F5647" w:rsidRPr="0006114E">
        <w:rPr>
          <w:rFonts w:ascii="Arial" w:hAnsi="Arial" w:cs="Arial"/>
          <w:sz w:val="20"/>
        </w:rPr>
        <w:t>available on request</w:t>
      </w:r>
      <w:r w:rsidR="00701EAF" w:rsidRPr="0006114E">
        <w:rPr>
          <w:rFonts w:ascii="Arial" w:hAnsi="Arial" w:cs="Arial"/>
          <w:sz w:val="20"/>
        </w:rPr>
        <w:t xml:space="preserve"> from the Company</w:t>
      </w:r>
      <w:r w:rsidRPr="0006114E">
        <w:rPr>
          <w:rFonts w:ascii="Arial" w:hAnsi="Arial" w:cs="Arial"/>
          <w:sz w:val="20"/>
        </w:rPr>
        <w:t>.</w:t>
      </w:r>
      <w:bookmarkEnd w:id="497"/>
    </w:p>
    <w:p w14:paraId="4BBF2C24" w14:textId="77777777" w:rsidR="0019771C" w:rsidRPr="0006114E" w:rsidRDefault="00D8597D" w:rsidP="006A1CE1">
      <w:pPr>
        <w:pStyle w:val="TitleClause"/>
        <w:spacing w:line="240" w:lineRule="auto"/>
        <w:rPr>
          <w:rFonts w:ascii="Arial" w:hAnsi="Arial" w:cs="Arial"/>
          <w:sz w:val="20"/>
        </w:rPr>
      </w:pPr>
      <w:bookmarkStart w:id="498" w:name="_Toc105671043"/>
      <w:bookmarkStart w:id="499" w:name="_Toc103273419"/>
      <w:bookmarkStart w:id="500" w:name="_Toc131682150"/>
      <w:bookmarkStart w:id="501" w:name="_Toc187838787"/>
      <w:bookmarkStart w:id="502" w:name="_Toc188629321"/>
      <w:bookmarkStart w:id="503" w:name="_Toc191381421"/>
      <w:r w:rsidRPr="0006114E">
        <w:rPr>
          <w:rFonts w:ascii="Arial" w:hAnsi="Arial" w:cs="Arial"/>
          <w:sz w:val="20"/>
        </w:rPr>
        <w:t>Severability</w:t>
      </w:r>
      <w:bookmarkEnd w:id="498"/>
      <w:bookmarkEnd w:id="499"/>
      <w:bookmarkEnd w:id="500"/>
      <w:bookmarkEnd w:id="501"/>
      <w:bookmarkEnd w:id="502"/>
      <w:bookmarkEnd w:id="503"/>
    </w:p>
    <w:p w14:paraId="000D3A52" w14:textId="77777777" w:rsidR="0019771C" w:rsidRPr="0006114E" w:rsidRDefault="00D8597D" w:rsidP="006A1CE1">
      <w:pPr>
        <w:pStyle w:val="NoNumUntitledsubclause1"/>
        <w:spacing w:line="240" w:lineRule="auto"/>
        <w:rPr>
          <w:rFonts w:ascii="Arial" w:hAnsi="Arial" w:cs="Arial"/>
          <w:sz w:val="20"/>
        </w:rPr>
      </w:pPr>
      <w:r w:rsidRPr="0006114E">
        <w:rPr>
          <w:rFonts w:ascii="Arial" w:hAnsi="Arial" w:cs="Arial"/>
          <w:sz w:val="20"/>
        </w:rPr>
        <w:t>The invalidity or non-enforceability of one or more provisions of the Plan will not affect the validity or enforceability of the other provisions of the Plan, which will remain in full force and effect.</w:t>
      </w:r>
    </w:p>
    <w:p w14:paraId="3C000A8E" w14:textId="27D9335F" w:rsidR="00A91E71" w:rsidRPr="0006114E" w:rsidRDefault="00D8597D" w:rsidP="006A1CE1">
      <w:pPr>
        <w:pStyle w:val="TitleClause"/>
        <w:spacing w:line="240" w:lineRule="auto"/>
        <w:rPr>
          <w:rFonts w:ascii="Arial" w:hAnsi="Arial" w:cs="Arial"/>
          <w:sz w:val="20"/>
        </w:rPr>
      </w:pPr>
      <w:r w:rsidRPr="0006114E">
        <w:rPr>
          <w:rFonts w:ascii="Arial" w:hAnsi="Arial" w:cs="Arial"/>
          <w:sz w:val="20"/>
        </w:rPr>
        <w:fldChar w:fldCharType="begin"/>
      </w:r>
      <w:r w:rsidRPr="0006114E">
        <w:rPr>
          <w:rFonts w:ascii="Arial" w:hAnsi="Arial" w:cs="Arial"/>
          <w:sz w:val="20"/>
        </w:rPr>
        <w:instrText>TC "29. Governing law" \l 1</w:instrText>
      </w:r>
      <w:r w:rsidRPr="0006114E">
        <w:rPr>
          <w:rFonts w:ascii="Arial" w:hAnsi="Arial" w:cs="Arial"/>
          <w:sz w:val="20"/>
        </w:rPr>
        <w:fldChar w:fldCharType="end"/>
      </w:r>
      <w:bookmarkStart w:id="504" w:name="a595944"/>
      <w:bookmarkStart w:id="505" w:name="_Toc105671044"/>
      <w:bookmarkStart w:id="506" w:name="_Toc103273420"/>
      <w:bookmarkStart w:id="507" w:name="_Toc145339801"/>
      <w:bookmarkStart w:id="508" w:name="_Toc131682151"/>
      <w:bookmarkStart w:id="509" w:name="_Toc107828244"/>
      <w:bookmarkStart w:id="510" w:name="_Toc152661672"/>
      <w:bookmarkStart w:id="511" w:name="_Toc159952477"/>
      <w:bookmarkStart w:id="512" w:name="_Toc168490296"/>
      <w:bookmarkStart w:id="513" w:name="_Toc187838788"/>
      <w:bookmarkStart w:id="514" w:name="_Toc188629322"/>
      <w:bookmarkStart w:id="515" w:name="_Toc191381422"/>
      <w:r w:rsidRPr="0006114E">
        <w:rPr>
          <w:rFonts w:ascii="Arial" w:hAnsi="Arial" w:cs="Arial"/>
          <w:sz w:val="20"/>
        </w:rPr>
        <w:t>Governing law</w:t>
      </w:r>
      <w:bookmarkEnd w:id="504"/>
      <w:bookmarkEnd w:id="505"/>
      <w:bookmarkEnd w:id="506"/>
      <w:bookmarkEnd w:id="507"/>
      <w:bookmarkEnd w:id="508"/>
      <w:bookmarkEnd w:id="509"/>
      <w:bookmarkEnd w:id="510"/>
      <w:r w:rsidR="00A91E71" w:rsidRPr="0006114E">
        <w:rPr>
          <w:rFonts w:ascii="Arial" w:hAnsi="Arial" w:cs="Arial"/>
          <w:sz w:val="20"/>
        </w:rPr>
        <w:t xml:space="preserve"> and </w:t>
      </w:r>
      <w:r w:rsidR="00A91E71" w:rsidRPr="0006114E">
        <w:rPr>
          <w:rFonts w:ascii="Arial" w:hAnsi="Arial" w:cs="Arial"/>
          <w:sz w:val="20"/>
        </w:rPr>
        <w:fldChar w:fldCharType="begin"/>
      </w:r>
      <w:r w:rsidR="00A91E71" w:rsidRPr="0006114E">
        <w:rPr>
          <w:rFonts w:ascii="Arial" w:hAnsi="Arial" w:cs="Arial"/>
          <w:sz w:val="20"/>
        </w:rPr>
        <w:instrText>TC "30. Jurisdiction" \l 1</w:instrText>
      </w:r>
      <w:r w:rsidR="00A91E71" w:rsidRPr="0006114E">
        <w:rPr>
          <w:rFonts w:ascii="Arial" w:hAnsi="Arial" w:cs="Arial"/>
          <w:sz w:val="20"/>
        </w:rPr>
        <w:fldChar w:fldCharType="end"/>
      </w:r>
      <w:bookmarkStart w:id="516" w:name="a610420"/>
      <w:bookmarkStart w:id="517" w:name="_Toc105671045"/>
      <w:bookmarkStart w:id="518" w:name="_Toc103273421"/>
      <w:bookmarkStart w:id="519" w:name="_Toc145339802"/>
      <w:bookmarkStart w:id="520" w:name="_Toc131682152"/>
      <w:r w:rsidR="00A91E71" w:rsidRPr="0006114E">
        <w:rPr>
          <w:rFonts w:ascii="Arial" w:hAnsi="Arial" w:cs="Arial"/>
          <w:sz w:val="20"/>
        </w:rPr>
        <w:t>Jurisdiction</w:t>
      </w:r>
      <w:bookmarkEnd w:id="511"/>
      <w:bookmarkEnd w:id="512"/>
      <w:bookmarkEnd w:id="513"/>
      <w:bookmarkEnd w:id="514"/>
      <w:bookmarkEnd w:id="515"/>
      <w:bookmarkEnd w:id="516"/>
      <w:bookmarkEnd w:id="517"/>
      <w:bookmarkEnd w:id="518"/>
      <w:bookmarkEnd w:id="519"/>
      <w:bookmarkEnd w:id="520"/>
    </w:p>
    <w:p w14:paraId="56712F57" w14:textId="11FA85F8" w:rsidR="007B4FB5" w:rsidRPr="0006114E" w:rsidRDefault="00D8597D" w:rsidP="006A1CE1">
      <w:pPr>
        <w:pStyle w:val="Untitledsubclause1"/>
        <w:spacing w:line="240" w:lineRule="auto"/>
        <w:rPr>
          <w:rFonts w:ascii="Arial" w:hAnsi="Arial" w:cs="Arial"/>
          <w:sz w:val="20"/>
        </w:rPr>
      </w:pPr>
      <w:bookmarkStart w:id="521" w:name="a835719"/>
      <w:r w:rsidRPr="0006114E">
        <w:rPr>
          <w:rFonts w:ascii="Arial" w:hAnsi="Arial" w:cs="Arial"/>
          <w:sz w:val="20"/>
        </w:rPr>
        <w:t>The Plan and any dispute or claim arising out of or in connection with it or its subject matter or formation (including non-contractual disputes or claims) shall be governed by and construed in accordance with the law of England and Wales.</w:t>
      </w:r>
      <w:bookmarkEnd w:id="521"/>
    </w:p>
    <w:p w14:paraId="2CB6F00A" w14:textId="337D58AC" w:rsidR="00934722" w:rsidRPr="0006114E" w:rsidRDefault="00D8597D" w:rsidP="006A1CE1">
      <w:pPr>
        <w:pStyle w:val="Untitledsubclause1"/>
        <w:spacing w:line="240" w:lineRule="auto"/>
        <w:rPr>
          <w:rFonts w:ascii="Arial" w:hAnsi="Arial" w:cs="Arial"/>
          <w:sz w:val="20"/>
        </w:rPr>
      </w:pPr>
      <w:bookmarkStart w:id="522" w:name="a1005629"/>
      <w:r w:rsidRPr="0006114E">
        <w:rPr>
          <w:rFonts w:ascii="Arial" w:hAnsi="Arial" w:cs="Arial"/>
          <w:sz w:val="20"/>
        </w:rPr>
        <w:t xml:space="preserve">Each party irrevocably agrees that the courts of England and Wales shall have exclusive jurisdiction to settle any dispute or claim arising in </w:t>
      </w:r>
      <w:r w:rsidR="00165CBE" w:rsidRPr="0006114E">
        <w:rPr>
          <w:rFonts w:ascii="Arial" w:hAnsi="Arial" w:cs="Arial"/>
          <w:sz w:val="20"/>
        </w:rPr>
        <w:t>respect of</w:t>
      </w:r>
      <w:r w:rsidRPr="0006114E">
        <w:rPr>
          <w:rFonts w:ascii="Arial" w:hAnsi="Arial" w:cs="Arial"/>
          <w:sz w:val="20"/>
        </w:rPr>
        <w:t xml:space="preserve"> the Plan.</w:t>
      </w:r>
      <w:bookmarkStart w:id="523" w:name="a820002"/>
      <w:bookmarkEnd w:id="522"/>
      <w:bookmarkEnd w:id="523"/>
    </w:p>
    <w:sectPr w:rsidR="00934722" w:rsidRPr="0006114E" w:rsidSect="007370B9">
      <w:pgSz w:w="12240" w:h="15840"/>
      <w:pgMar w:top="1440" w:right="1440"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97E5" w14:textId="77777777" w:rsidR="00442A60" w:rsidRDefault="00442A60" w:rsidP="007E1E29">
      <w:r>
        <w:separator/>
      </w:r>
    </w:p>
  </w:endnote>
  <w:endnote w:type="continuationSeparator" w:id="0">
    <w:p w14:paraId="719489C9" w14:textId="77777777" w:rsidR="00442A60" w:rsidRDefault="00442A60" w:rsidP="007E1E29">
      <w:r>
        <w:continuationSeparator/>
      </w:r>
    </w:p>
  </w:endnote>
  <w:endnote w:type="continuationNotice" w:id="1">
    <w:p w14:paraId="69A903DE" w14:textId="77777777" w:rsidR="00442A60" w:rsidRDefault="00442A60" w:rsidP="007E1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AAA" w14:textId="77777777" w:rsidR="006D5358" w:rsidRDefault="006D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F78" w14:textId="77777777" w:rsidR="00740E0A" w:rsidRDefault="00D8597D">
    <w:pPr>
      <w:jc w:val="center"/>
    </w:pPr>
    <w:r>
      <w:fldChar w:fldCharType="begin"/>
    </w:r>
    <w:r>
      <w:instrText>PAGE</w:instrText>
    </w:r>
    <w:r>
      <w:fldChar w:fldCharType="separate"/>
    </w:r>
    <w:r w:rsidR="00E949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E1A9" w14:textId="77777777" w:rsidR="00442A60" w:rsidRDefault="00442A60" w:rsidP="007E1E29">
      <w:r>
        <w:separator/>
      </w:r>
    </w:p>
  </w:footnote>
  <w:footnote w:type="continuationSeparator" w:id="0">
    <w:p w14:paraId="34927547" w14:textId="77777777" w:rsidR="00442A60" w:rsidRDefault="00442A60" w:rsidP="007E1E29">
      <w:r>
        <w:continuationSeparator/>
      </w:r>
    </w:p>
  </w:footnote>
  <w:footnote w:type="continuationNotice" w:id="1">
    <w:p w14:paraId="1F21FAFA" w14:textId="77777777" w:rsidR="00442A60" w:rsidRDefault="00442A60" w:rsidP="007E1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090" w14:textId="77777777" w:rsidR="006D5358" w:rsidRDefault="006D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979"/>
        </w:tabs>
        <w:ind w:left="1979"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8FA8DC2">
      <w:start w:val="1"/>
      <w:numFmt w:val="bullet"/>
      <w:pStyle w:val="DefinedTermBullet"/>
      <w:lvlText w:val=""/>
      <w:lvlJc w:val="left"/>
      <w:pPr>
        <w:ind w:left="1440" w:hanging="360"/>
      </w:pPr>
      <w:rPr>
        <w:rFonts w:ascii="Symbol" w:hAnsi="Symbol" w:hint="default"/>
        <w:color w:val="000000"/>
      </w:rPr>
    </w:lvl>
    <w:lvl w:ilvl="1" w:tplc="DBE2F5BA" w:tentative="1">
      <w:start w:val="1"/>
      <w:numFmt w:val="bullet"/>
      <w:lvlText w:val="o"/>
      <w:lvlJc w:val="left"/>
      <w:pPr>
        <w:ind w:left="2160" w:hanging="360"/>
      </w:pPr>
      <w:rPr>
        <w:rFonts w:ascii="Courier New" w:hAnsi="Courier New" w:cs="Courier New" w:hint="default"/>
      </w:rPr>
    </w:lvl>
    <w:lvl w:ilvl="2" w:tplc="87F0AB80" w:tentative="1">
      <w:start w:val="1"/>
      <w:numFmt w:val="bullet"/>
      <w:lvlText w:val=""/>
      <w:lvlJc w:val="left"/>
      <w:pPr>
        <w:ind w:left="2880" w:hanging="360"/>
      </w:pPr>
      <w:rPr>
        <w:rFonts w:ascii="Wingdings" w:hAnsi="Wingdings" w:hint="default"/>
      </w:rPr>
    </w:lvl>
    <w:lvl w:ilvl="3" w:tplc="F9D618EA" w:tentative="1">
      <w:start w:val="1"/>
      <w:numFmt w:val="bullet"/>
      <w:lvlText w:val=""/>
      <w:lvlJc w:val="left"/>
      <w:pPr>
        <w:ind w:left="3600" w:hanging="360"/>
      </w:pPr>
      <w:rPr>
        <w:rFonts w:ascii="Symbol" w:hAnsi="Symbol" w:hint="default"/>
      </w:rPr>
    </w:lvl>
    <w:lvl w:ilvl="4" w:tplc="21E808B0" w:tentative="1">
      <w:start w:val="1"/>
      <w:numFmt w:val="bullet"/>
      <w:lvlText w:val="o"/>
      <w:lvlJc w:val="left"/>
      <w:pPr>
        <w:ind w:left="4320" w:hanging="360"/>
      </w:pPr>
      <w:rPr>
        <w:rFonts w:ascii="Courier New" w:hAnsi="Courier New" w:cs="Courier New" w:hint="default"/>
      </w:rPr>
    </w:lvl>
    <w:lvl w:ilvl="5" w:tplc="9BFCA75A" w:tentative="1">
      <w:start w:val="1"/>
      <w:numFmt w:val="bullet"/>
      <w:lvlText w:val=""/>
      <w:lvlJc w:val="left"/>
      <w:pPr>
        <w:ind w:left="5040" w:hanging="360"/>
      </w:pPr>
      <w:rPr>
        <w:rFonts w:ascii="Wingdings" w:hAnsi="Wingdings" w:hint="default"/>
      </w:rPr>
    </w:lvl>
    <w:lvl w:ilvl="6" w:tplc="BD1A174C" w:tentative="1">
      <w:start w:val="1"/>
      <w:numFmt w:val="bullet"/>
      <w:lvlText w:val=""/>
      <w:lvlJc w:val="left"/>
      <w:pPr>
        <w:ind w:left="5760" w:hanging="360"/>
      </w:pPr>
      <w:rPr>
        <w:rFonts w:ascii="Symbol" w:hAnsi="Symbol" w:hint="default"/>
      </w:rPr>
    </w:lvl>
    <w:lvl w:ilvl="7" w:tplc="218C667C" w:tentative="1">
      <w:start w:val="1"/>
      <w:numFmt w:val="bullet"/>
      <w:lvlText w:val="o"/>
      <w:lvlJc w:val="left"/>
      <w:pPr>
        <w:ind w:left="6480" w:hanging="360"/>
      </w:pPr>
      <w:rPr>
        <w:rFonts w:ascii="Courier New" w:hAnsi="Courier New" w:cs="Courier New" w:hint="default"/>
      </w:rPr>
    </w:lvl>
    <w:lvl w:ilvl="8" w:tplc="1AAEC9B2" w:tentative="1">
      <w:start w:val="1"/>
      <w:numFmt w:val="bullet"/>
      <w:lvlText w:val=""/>
      <w:lvlJc w:val="left"/>
      <w:pPr>
        <w:ind w:left="7200" w:hanging="360"/>
      </w:pPr>
      <w:rPr>
        <w:rFonts w:ascii="Wingdings" w:hAnsi="Wingdings" w:hint="default"/>
      </w:rPr>
    </w:lvl>
  </w:abstractNum>
  <w:abstractNum w:abstractNumId="2"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5"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6" w15:restartNumberingAfterBreak="0">
    <w:nsid w:val="1D1447AD"/>
    <w:multiLevelType w:val="singleLevel"/>
    <w:tmpl w:val="F2542A62"/>
    <w:name w:val="O-Bullet ()"/>
    <w:lvl w:ilvl="0">
      <w:start w:val="1"/>
      <w:numFmt w:val="bullet"/>
      <w:pStyle w:val="O-Bullet"/>
      <w:lvlText w:val=""/>
      <w:lvlJc w:val="left"/>
      <w:pPr>
        <w:tabs>
          <w:tab w:val="num" w:pos="360"/>
        </w:tabs>
        <w:ind w:left="360" w:hanging="360"/>
      </w:pPr>
      <w:rPr>
        <w:rFonts w:ascii="Symbol" w:hAnsi="Symbol" w:hint="default"/>
      </w:rPr>
    </w:lvl>
  </w:abstractNum>
  <w:abstractNum w:abstractNumId="7" w15:restartNumberingAfterBreak="0">
    <w:nsid w:val="20E82F3A"/>
    <w:multiLevelType w:val="hybridMultilevel"/>
    <w:tmpl w:val="1DF80854"/>
    <w:lvl w:ilvl="0" w:tplc="A754D782">
      <w:start w:val="1"/>
      <w:numFmt w:val="decimal"/>
      <w:pStyle w:val="ScheduleHeading-Single"/>
      <w:lvlText w:val="Schedule"/>
      <w:lvlJc w:val="left"/>
      <w:pPr>
        <w:tabs>
          <w:tab w:val="num" w:pos="720"/>
        </w:tabs>
        <w:ind w:left="720" w:hanging="720"/>
      </w:pPr>
      <w:rPr>
        <w:color w:val="000000"/>
      </w:rPr>
    </w:lvl>
    <w:lvl w:ilvl="1" w:tplc="0EE85366" w:tentative="1">
      <w:start w:val="1"/>
      <w:numFmt w:val="lowerLetter"/>
      <w:lvlText w:val="%2."/>
      <w:lvlJc w:val="left"/>
      <w:pPr>
        <w:tabs>
          <w:tab w:val="num" w:pos="1440"/>
        </w:tabs>
        <w:ind w:left="1440" w:hanging="360"/>
      </w:pPr>
    </w:lvl>
    <w:lvl w:ilvl="2" w:tplc="ECFE835E" w:tentative="1">
      <w:start w:val="1"/>
      <w:numFmt w:val="lowerRoman"/>
      <w:lvlText w:val="%3."/>
      <w:lvlJc w:val="right"/>
      <w:pPr>
        <w:tabs>
          <w:tab w:val="num" w:pos="2160"/>
        </w:tabs>
        <w:ind w:left="2160" w:hanging="180"/>
      </w:pPr>
    </w:lvl>
    <w:lvl w:ilvl="3" w:tplc="2EEEE36C" w:tentative="1">
      <w:start w:val="1"/>
      <w:numFmt w:val="decimal"/>
      <w:lvlText w:val="%4."/>
      <w:lvlJc w:val="left"/>
      <w:pPr>
        <w:tabs>
          <w:tab w:val="num" w:pos="2880"/>
        </w:tabs>
        <w:ind w:left="2880" w:hanging="360"/>
      </w:pPr>
    </w:lvl>
    <w:lvl w:ilvl="4" w:tplc="5C3CC7B0" w:tentative="1">
      <w:start w:val="1"/>
      <w:numFmt w:val="lowerLetter"/>
      <w:lvlText w:val="%5."/>
      <w:lvlJc w:val="left"/>
      <w:pPr>
        <w:tabs>
          <w:tab w:val="num" w:pos="3600"/>
        </w:tabs>
        <w:ind w:left="3600" w:hanging="360"/>
      </w:pPr>
    </w:lvl>
    <w:lvl w:ilvl="5" w:tplc="635AF1B0" w:tentative="1">
      <w:start w:val="1"/>
      <w:numFmt w:val="lowerRoman"/>
      <w:lvlText w:val="%6."/>
      <w:lvlJc w:val="right"/>
      <w:pPr>
        <w:tabs>
          <w:tab w:val="num" w:pos="4320"/>
        </w:tabs>
        <w:ind w:left="4320" w:hanging="180"/>
      </w:pPr>
    </w:lvl>
    <w:lvl w:ilvl="6" w:tplc="AAB8FA4E" w:tentative="1">
      <w:start w:val="1"/>
      <w:numFmt w:val="decimal"/>
      <w:lvlText w:val="%7."/>
      <w:lvlJc w:val="left"/>
      <w:pPr>
        <w:tabs>
          <w:tab w:val="num" w:pos="5040"/>
        </w:tabs>
        <w:ind w:left="5040" w:hanging="360"/>
      </w:pPr>
    </w:lvl>
    <w:lvl w:ilvl="7" w:tplc="481846E8" w:tentative="1">
      <w:start w:val="1"/>
      <w:numFmt w:val="lowerLetter"/>
      <w:lvlText w:val="%8."/>
      <w:lvlJc w:val="left"/>
      <w:pPr>
        <w:tabs>
          <w:tab w:val="num" w:pos="5760"/>
        </w:tabs>
        <w:ind w:left="5760" w:hanging="360"/>
      </w:pPr>
    </w:lvl>
    <w:lvl w:ilvl="8" w:tplc="A86E2CAE" w:tentative="1">
      <w:start w:val="1"/>
      <w:numFmt w:val="lowerRoman"/>
      <w:lvlText w:val="%9."/>
      <w:lvlJc w:val="right"/>
      <w:pPr>
        <w:tabs>
          <w:tab w:val="num" w:pos="6480"/>
        </w:tabs>
        <w:ind w:left="6480" w:hanging="180"/>
      </w:pPr>
    </w:lvl>
  </w:abstractNum>
  <w:abstractNum w:abstractNumId="8" w15:restartNumberingAfterBreak="0">
    <w:nsid w:val="25B00E4C"/>
    <w:multiLevelType w:val="hybridMultilevel"/>
    <w:tmpl w:val="97C4AA26"/>
    <w:lvl w:ilvl="0" w:tplc="A5A89CB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3434FA" w:tentative="1">
      <w:start w:val="1"/>
      <w:numFmt w:val="lowerLetter"/>
      <w:lvlText w:val="%2."/>
      <w:lvlJc w:val="left"/>
      <w:pPr>
        <w:ind w:left="1440" w:hanging="360"/>
      </w:pPr>
    </w:lvl>
    <w:lvl w:ilvl="2" w:tplc="D0CE2150" w:tentative="1">
      <w:start w:val="1"/>
      <w:numFmt w:val="lowerRoman"/>
      <w:lvlText w:val="%3."/>
      <w:lvlJc w:val="right"/>
      <w:pPr>
        <w:ind w:left="2160" w:hanging="180"/>
      </w:pPr>
    </w:lvl>
    <w:lvl w:ilvl="3" w:tplc="67E08046" w:tentative="1">
      <w:start w:val="1"/>
      <w:numFmt w:val="decimal"/>
      <w:lvlText w:val="%4."/>
      <w:lvlJc w:val="left"/>
      <w:pPr>
        <w:ind w:left="2880" w:hanging="360"/>
      </w:pPr>
    </w:lvl>
    <w:lvl w:ilvl="4" w:tplc="79BC9678" w:tentative="1">
      <w:start w:val="1"/>
      <w:numFmt w:val="lowerLetter"/>
      <w:lvlText w:val="%5."/>
      <w:lvlJc w:val="left"/>
      <w:pPr>
        <w:ind w:left="3600" w:hanging="360"/>
      </w:pPr>
    </w:lvl>
    <w:lvl w:ilvl="5" w:tplc="11844DBC" w:tentative="1">
      <w:start w:val="1"/>
      <w:numFmt w:val="lowerRoman"/>
      <w:lvlText w:val="%6."/>
      <w:lvlJc w:val="right"/>
      <w:pPr>
        <w:ind w:left="4320" w:hanging="180"/>
      </w:pPr>
    </w:lvl>
    <w:lvl w:ilvl="6" w:tplc="BCD851EA" w:tentative="1">
      <w:start w:val="1"/>
      <w:numFmt w:val="decimal"/>
      <w:lvlText w:val="%7."/>
      <w:lvlJc w:val="left"/>
      <w:pPr>
        <w:ind w:left="5040" w:hanging="360"/>
      </w:pPr>
    </w:lvl>
    <w:lvl w:ilvl="7" w:tplc="0862F24A" w:tentative="1">
      <w:start w:val="1"/>
      <w:numFmt w:val="lowerLetter"/>
      <w:lvlText w:val="%8."/>
      <w:lvlJc w:val="left"/>
      <w:pPr>
        <w:ind w:left="5760" w:hanging="360"/>
      </w:pPr>
    </w:lvl>
    <w:lvl w:ilvl="8" w:tplc="B1FA5A94" w:tentative="1">
      <w:start w:val="1"/>
      <w:numFmt w:val="lowerRoman"/>
      <w:lvlText w:val="%9."/>
      <w:lvlJc w:val="right"/>
      <w:pPr>
        <w:ind w:left="6480" w:hanging="180"/>
      </w:pPr>
    </w:lvl>
  </w:abstractNum>
  <w:abstractNum w:abstractNumId="9" w15:restartNumberingAfterBreak="0">
    <w:nsid w:val="28866692"/>
    <w:multiLevelType w:val="hybridMultilevel"/>
    <w:tmpl w:val="74600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81914"/>
    <w:multiLevelType w:val="multilevel"/>
    <w:tmpl w:val="7D2C97D2"/>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11" w15:restartNumberingAfterBreak="0">
    <w:nsid w:val="29C94F29"/>
    <w:multiLevelType w:val="hybridMultilevel"/>
    <w:tmpl w:val="4CBC2A34"/>
    <w:lvl w:ilvl="0" w:tplc="B7582EA2">
      <w:start w:val="1"/>
      <w:numFmt w:val="decimal"/>
      <w:pStyle w:val="QuestionParagraph"/>
      <w:lvlText w:val="%1."/>
      <w:lvlJc w:val="left"/>
      <w:pPr>
        <w:ind w:left="720" w:hanging="360"/>
      </w:pPr>
      <w:rPr>
        <w:color w:val="000000"/>
      </w:rPr>
    </w:lvl>
    <w:lvl w:ilvl="1" w:tplc="43EABEB0" w:tentative="1">
      <w:start w:val="1"/>
      <w:numFmt w:val="lowerLetter"/>
      <w:lvlText w:val="%2."/>
      <w:lvlJc w:val="left"/>
      <w:pPr>
        <w:ind w:left="1440" w:hanging="360"/>
      </w:pPr>
    </w:lvl>
    <w:lvl w:ilvl="2" w:tplc="21D68454" w:tentative="1">
      <w:start w:val="1"/>
      <w:numFmt w:val="lowerRoman"/>
      <w:lvlText w:val="%3."/>
      <w:lvlJc w:val="right"/>
      <w:pPr>
        <w:ind w:left="2160" w:hanging="180"/>
      </w:pPr>
    </w:lvl>
    <w:lvl w:ilvl="3" w:tplc="E9F4E804" w:tentative="1">
      <w:start w:val="1"/>
      <w:numFmt w:val="decimal"/>
      <w:lvlText w:val="%4."/>
      <w:lvlJc w:val="left"/>
      <w:pPr>
        <w:ind w:left="2880" w:hanging="360"/>
      </w:pPr>
    </w:lvl>
    <w:lvl w:ilvl="4" w:tplc="6A1AC1E8" w:tentative="1">
      <w:start w:val="1"/>
      <w:numFmt w:val="lowerLetter"/>
      <w:lvlText w:val="%5."/>
      <w:lvlJc w:val="left"/>
      <w:pPr>
        <w:ind w:left="3600" w:hanging="360"/>
      </w:pPr>
    </w:lvl>
    <w:lvl w:ilvl="5" w:tplc="5EA08E12" w:tentative="1">
      <w:start w:val="1"/>
      <w:numFmt w:val="lowerRoman"/>
      <w:lvlText w:val="%6."/>
      <w:lvlJc w:val="right"/>
      <w:pPr>
        <w:ind w:left="4320" w:hanging="180"/>
      </w:pPr>
    </w:lvl>
    <w:lvl w:ilvl="6" w:tplc="D55839FA" w:tentative="1">
      <w:start w:val="1"/>
      <w:numFmt w:val="decimal"/>
      <w:lvlText w:val="%7."/>
      <w:lvlJc w:val="left"/>
      <w:pPr>
        <w:ind w:left="5040" w:hanging="360"/>
      </w:pPr>
    </w:lvl>
    <w:lvl w:ilvl="7" w:tplc="9FD2D3AE" w:tentative="1">
      <w:start w:val="1"/>
      <w:numFmt w:val="lowerLetter"/>
      <w:lvlText w:val="%8."/>
      <w:lvlJc w:val="left"/>
      <w:pPr>
        <w:ind w:left="5760" w:hanging="360"/>
      </w:pPr>
    </w:lvl>
    <w:lvl w:ilvl="8" w:tplc="3A6826AE" w:tentative="1">
      <w:start w:val="1"/>
      <w:numFmt w:val="lowerRoman"/>
      <w:lvlText w:val="%9."/>
      <w:lvlJc w:val="right"/>
      <w:pPr>
        <w:ind w:left="6480" w:hanging="180"/>
      </w:pPr>
    </w:lvl>
  </w:abstractNum>
  <w:abstractNum w:abstractNumId="12" w15:restartNumberingAfterBreak="0">
    <w:nsid w:val="2B2C7AA3"/>
    <w:multiLevelType w:val="multilevel"/>
    <w:tmpl w:val="50E83824"/>
    <w:name w:val="zzmpLNMain||LNMain|2|1|0|1|2|41||1|2|0||1|2|0||1|2|0||1|2|0||1|2|0||1|2|0||1|2|0||1|2|0||"/>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3" w15:restartNumberingAfterBreak="0">
    <w:nsid w:val="310416CA"/>
    <w:multiLevelType w:val="hybridMultilevel"/>
    <w:tmpl w:val="072EDEC8"/>
    <w:lvl w:ilvl="0" w:tplc="3F04DD1A">
      <w:start w:val="1"/>
      <w:numFmt w:val="bullet"/>
      <w:pStyle w:val="subclause2Bullet2"/>
      <w:lvlText w:val=""/>
      <w:lvlJc w:val="left"/>
      <w:pPr>
        <w:ind w:left="2279" w:hanging="360"/>
      </w:pPr>
      <w:rPr>
        <w:rFonts w:ascii="Symbol" w:hAnsi="Symbol" w:hint="default"/>
        <w:color w:val="000000"/>
      </w:rPr>
    </w:lvl>
    <w:lvl w:ilvl="1" w:tplc="B41050BC" w:tentative="1">
      <w:start w:val="1"/>
      <w:numFmt w:val="bullet"/>
      <w:lvlText w:val="o"/>
      <w:lvlJc w:val="left"/>
      <w:pPr>
        <w:ind w:left="2999" w:hanging="360"/>
      </w:pPr>
      <w:rPr>
        <w:rFonts w:ascii="Courier New" w:hAnsi="Courier New" w:cs="Courier New" w:hint="default"/>
      </w:rPr>
    </w:lvl>
    <w:lvl w:ilvl="2" w:tplc="D1846214" w:tentative="1">
      <w:start w:val="1"/>
      <w:numFmt w:val="bullet"/>
      <w:lvlText w:val=""/>
      <w:lvlJc w:val="left"/>
      <w:pPr>
        <w:ind w:left="3719" w:hanging="360"/>
      </w:pPr>
      <w:rPr>
        <w:rFonts w:ascii="Wingdings" w:hAnsi="Wingdings" w:hint="default"/>
      </w:rPr>
    </w:lvl>
    <w:lvl w:ilvl="3" w:tplc="2140EF56" w:tentative="1">
      <w:start w:val="1"/>
      <w:numFmt w:val="bullet"/>
      <w:lvlText w:val=""/>
      <w:lvlJc w:val="left"/>
      <w:pPr>
        <w:ind w:left="4439" w:hanging="360"/>
      </w:pPr>
      <w:rPr>
        <w:rFonts w:ascii="Symbol" w:hAnsi="Symbol" w:hint="default"/>
      </w:rPr>
    </w:lvl>
    <w:lvl w:ilvl="4" w:tplc="5F54A8F0" w:tentative="1">
      <w:start w:val="1"/>
      <w:numFmt w:val="bullet"/>
      <w:lvlText w:val="o"/>
      <w:lvlJc w:val="left"/>
      <w:pPr>
        <w:ind w:left="5159" w:hanging="360"/>
      </w:pPr>
      <w:rPr>
        <w:rFonts w:ascii="Courier New" w:hAnsi="Courier New" w:cs="Courier New" w:hint="default"/>
      </w:rPr>
    </w:lvl>
    <w:lvl w:ilvl="5" w:tplc="844E2986" w:tentative="1">
      <w:start w:val="1"/>
      <w:numFmt w:val="bullet"/>
      <w:lvlText w:val=""/>
      <w:lvlJc w:val="left"/>
      <w:pPr>
        <w:ind w:left="5879" w:hanging="360"/>
      </w:pPr>
      <w:rPr>
        <w:rFonts w:ascii="Wingdings" w:hAnsi="Wingdings" w:hint="default"/>
      </w:rPr>
    </w:lvl>
    <w:lvl w:ilvl="6" w:tplc="425A086E" w:tentative="1">
      <w:start w:val="1"/>
      <w:numFmt w:val="bullet"/>
      <w:lvlText w:val=""/>
      <w:lvlJc w:val="left"/>
      <w:pPr>
        <w:ind w:left="6599" w:hanging="360"/>
      </w:pPr>
      <w:rPr>
        <w:rFonts w:ascii="Symbol" w:hAnsi="Symbol" w:hint="default"/>
      </w:rPr>
    </w:lvl>
    <w:lvl w:ilvl="7" w:tplc="D27EB9A8" w:tentative="1">
      <w:start w:val="1"/>
      <w:numFmt w:val="bullet"/>
      <w:lvlText w:val="o"/>
      <w:lvlJc w:val="left"/>
      <w:pPr>
        <w:ind w:left="7319" w:hanging="360"/>
      </w:pPr>
      <w:rPr>
        <w:rFonts w:ascii="Courier New" w:hAnsi="Courier New" w:cs="Courier New" w:hint="default"/>
      </w:rPr>
    </w:lvl>
    <w:lvl w:ilvl="8" w:tplc="0374E244" w:tentative="1">
      <w:start w:val="1"/>
      <w:numFmt w:val="bullet"/>
      <w:lvlText w:val=""/>
      <w:lvlJc w:val="left"/>
      <w:pPr>
        <w:ind w:left="8039" w:hanging="360"/>
      </w:pPr>
      <w:rPr>
        <w:rFonts w:ascii="Wingdings" w:hAnsi="Wingdings" w:hint="default"/>
      </w:rPr>
    </w:lvl>
  </w:abstractNum>
  <w:abstractNum w:abstractNumId="14" w15:restartNumberingAfterBreak="0">
    <w:nsid w:val="31E9741F"/>
    <w:multiLevelType w:val="hybridMultilevel"/>
    <w:tmpl w:val="0CAC7D4E"/>
    <w:lvl w:ilvl="0" w:tplc="C37C0A0E">
      <w:start w:val="1"/>
      <w:numFmt w:val="bullet"/>
      <w:pStyle w:val="BulletList2"/>
      <w:lvlText w:val=""/>
      <w:lvlJc w:val="left"/>
      <w:pPr>
        <w:tabs>
          <w:tab w:val="num" w:pos="1077"/>
        </w:tabs>
        <w:ind w:left="1077" w:hanging="357"/>
      </w:pPr>
      <w:rPr>
        <w:rFonts w:ascii="Symbol" w:hAnsi="Symbol" w:hint="default"/>
        <w:color w:val="000000"/>
      </w:rPr>
    </w:lvl>
    <w:lvl w:ilvl="1" w:tplc="015A4A36" w:tentative="1">
      <w:start w:val="1"/>
      <w:numFmt w:val="bullet"/>
      <w:lvlText w:val="o"/>
      <w:lvlJc w:val="left"/>
      <w:pPr>
        <w:tabs>
          <w:tab w:val="num" w:pos="1440"/>
        </w:tabs>
        <w:ind w:left="1440" w:hanging="360"/>
      </w:pPr>
      <w:rPr>
        <w:rFonts w:ascii="Courier New" w:hAnsi="Courier New" w:cs="Courier New" w:hint="default"/>
      </w:rPr>
    </w:lvl>
    <w:lvl w:ilvl="2" w:tplc="834A5470" w:tentative="1">
      <w:start w:val="1"/>
      <w:numFmt w:val="bullet"/>
      <w:lvlText w:val=""/>
      <w:lvlJc w:val="left"/>
      <w:pPr>
        <w:tabs>
          <w:tab w:val="num" w:pos="2160"/>
        </w:tabs>
        <w:ind w:left="2160" w:hanging="360"/>
      </w:pPr>
      <w:rPr>
        <w:rFonts w:ascii="Wingdings" w:hAnsi="Wingdings" w:hint="default"/>
      </w:rPr>
    </w:lvl>
    <w:lvl w:ilvl="3" w:tplc="BEB6E9D8" w:tentative="1">
      <w:start w:val="1"/>
      <w:numFmt w:val="bullet"/>
      <w:lvlText w:val=""/>
      <w:lvlJc w:val="left"/>
      <w:pPr>
        <w:tabs>
          <w:tab w:val="num" w:pos="2880"/>
        </w:tabs>
        <w:ind w:left="2880" w:hanging="360"/>
      </w:pPr>
      <w:rPr>
        <w:rFonts w:ascii="Symbol" w:hAnsi="Symbol" w:hint="default"/>
      </w:rPr>
    </w:lvl>
    <w:lvl w:ilvl="4" w:tplc="C18EE3B6" w:tentative="1">
      <w:start w:val="1"/>
      <w:numFmt w:val="bullet"/>
      <w:lvlText w:val="o"/>
      <w:lvlJc w:val="left"/>
      <w:pPr>
        <w:tabs>
          <w:tab w:val="num" w:pos="3600"/>
        </w:tabs>
        <w:ind w:left="3600" w:hanging="360"/>
      </w:pPr>
      <w:rPr>
        <w:rFonts w:ascii="Courier New" w:hAnsi="Courier New" w:cs="Courier New" w:hint="default"/>
      </w:rPr>
    </w:lvl>
    <w:lvl w:ilvl="5" w:tplc="39E44764" w:tentative="1">
      <w:start w:val="1"/>
      <w:numFmt w:val="bullet"/>
      <w:lvlText w:val=""/>
      <w:lvlJc w:val="left"/>
      <w:pPr>
        <w:tabs>
          <w:tab w:val="num" w:pos="4320"/>
        </w:tabs>
        <w:ind w:left="4320" w:hanging="360"/>
      </w:pPr>
      <w:rPr>
        <w:rFonts w:ascii="Wingdings" w:hAnsi="Wingdings" w:hint="default"/>
      </w:rPr>
    </w:lvl>
    <w:lvl w:ilvl="6" w:tplc="5F04AA1A" w:tentative="1">
      <w:start w:val="1"/>
      <w:numFmt w:val="bullet"/>
      <w:lvlText w:val=""/>
      <w:lvlJc w:val="left"/>
      <w:pPr>
        <w:tabs>
          <w:tab w:val="num" w:pos="5040"/>
        </w:tabs>
        <w:ind w:left="5040" w:hanging="360"/>
      </w:pPr>
      <w:rPr>
        <w:rFonts w:ascii="Symbol" w:hAnsi="Symbol" w:hint="default"/>
      </w:rPr>
    </w:lvl>
    <w:lvl w:ilvl="7" w:tplc="1F985CFA" w:tentative="1">
      <w:start w:val="1"/>
      <w:numFmt w:val="bullet"/>
      <w:lvlText w:val="o"/>
      <w:lvlJc w:val="left"/>
      <w:pPr>
        <w:tabs>
          <w:tab w:val="num" w:pos="5760"/>
        </w:tabs>
        <w:ind w:left="5760" w:hanging="360"/>
      </w:pPr>
      <w:rPr>
        <w:rFonts w:ascii="Courier New" w:hAnsi="Courier New" w:cs="Courier New" w:hint="default"/>
      </w:rPr>
    </w:lvl>
    <w:lvl w:ilvl="8" w:tplc="54AA72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594C4DAE"/>
    <w:lvl w:ilvl="0" w:tplc="64CEA2E4">
      <w:start w:val="1"/>
      <w:numFmt w:val="bullet"/>
      <w:pStyle w:val="Bullet4"/>
      <w:lvlText w:val=""/>
      <w:lvlJc w:val="left"/>
      <w:pPr>
        <w:tabs>
          <w:tab w:val="num" w:pos="2676"/>
        </w:tabs>
        <w:ind w:left="2676" w:hanging="357"/>
      </w:pPr>
      <w:rPr>
        <w:rFonts w:ascii="Symbol" w:hAnsi="Symbol" w:hint="default"/>
        <w:color w:val="000000"/>
      </w:rPr>
    </w:lvl>
    <w:lvl w:ilvl="1" w:tplc="97F29ED2" w:tentative="1">
      <w:start w:val="1"/>
      <w:numFmt w:val="bullet"/>
      <w:lvlText w:val="o"/>
      <w:lvlJc w:val="left"/>
      <w:pPr>
        <w:tabs>
          <w:tab w:val="num" w:pos="1440"/>
        </w:tabs>
        <w:ind w:left="1440" w:hanging="360"/>
      </w:pPr>
      <w:rPr>
        <w:rFonts w:ascii="Courier New" w:hAnsi="Courier New" w:cs="Courier New" w:hint="default"/>
      </w:rPr>
    </w:lvl>
    <w:lvl w:ilvl="2" w:tplc="747636EA" w:tentative="1">
      <w:start w:val="1"/>
      <w:numFmt w:val="bullet"/>
      <w:lvlText w:val=""/>
      <w:lvlJc w:val="left"/>
      <w:pPr>
        <w:tabs>
          <w:tab w:val="num" w:pos="2160"/>
        </w:tabs>
        <w:ind w:left="2160" w:hanging="360"/>
      </w:pPr>
      <w:rPr>
        <w:rFonts w:ascii="Wingdings" w:hAnsi="Wingdings" w:hint="default"/>
      </w:rPr>
    </w:lvl>
    <w:lvl w:ilvl="3" w:tplc="1FC8C556" w:tentative="1">
      <w:start w:val="1"/>
      <w:numFmt w:val="bullet"/>
      <w:lvlText w:val=""/>
      <w:lvlJc w:val="left"/>
      <w:pPr>
        <w:tabs>
          <w:tab w:val="num" w:pos="2880"/>
        </w:tabs>
        <w:ind w:left="2880" w:hanging="360"/>
      </w:pPr>
      <w:rPr>
        <w:rFonts w:ascii="Symbol" w:hAnsi="Symbol" w:hint="default"/>
      </w:rPr>
    </w:lvl>
    <w:lvl w:ilvl="4" w:tplc="F7A881EA" w:tentative="1">
      <w:start w:val="1"/>
      <w:numFmt w:val="bullet"/>
      <w:lvlText w:val="o"/>
      <w:lvlJc w:val="left"/>
      <w:pPr>
        <w:tabs>
          <w:tab w:val="num" w:pos="3600"/>
        </w:tabs>
        <w:ind w:left="3600" w:hanging="360"/>
      </w:pPr>
      <w:rPr>
        <w:rFonts w:ascii="Courier New" w:hAnsi="Courier New" w:cs="Courier New" w:hint="default"/>
      </w:rPr>
    </w:lvl>
    <w:lvl w:ilvl="5" w:tplc="7DC0B61A" w:tentative="1">
      <w:start w:val="1"/>
      <w:numFmt w:val="bullet"/>
      <w:lvlText w:val=""/>
      <w:lvlJc w:val="left"/>
      <w:pPr>
        <w:tabs>
          <w:tab w:val="num" w:pos="4320"/>
        </w:tabs>
        <w:ind w:left="4320" w:hanging="360"/>
      </w:pPr>
      <w:rPr>
        <w:rFonts w:ascii="Wingdings" w:hAnsi="Wingdings" w:hint="default"/>
      </w:rPr>
    </w:lvl>
    <w:lvl w:ilvl="6" w:tplc="7062C7CA" w:tentative="1">
      <w:start w:val="1"/>
      <w:numFmt w:val="bullet"/>
      <w:lvlText w:val=""/>
      <w:lvlJc w:val="left"/>
      <w:pPr>
        <w:tabs>
          <w:tab w:val="num" w:pos="5040"/>
        </w:tabs>
        <w:ind w:left="5040" w:hanging="360"/>
      </w:pPr>
      <w:rPr>
        <w:rFonts w:ascii="Symbol" w:hAnsi="Symbol" w:hint="default"/>
      </w:rPr>
    </w:lvl>
    <w:lvl w:ilvl="7" w:tplc="37A2CB4C" w:tentative="1">
      <w:start w:val="1"/>
      <w:numFmt w:val="bullet"/>
      <w:lvlText w:val="o"/>
      <w:lvlJc w:val="left"/>
      <w:pPr>
        <w:tabs>
          <w:tab w:val="num" w:pos="5760"/>
        </w:tabs>
        <w:ind w:left="5760" w:hanging="360"/>
      </w:pPr>
      <w:rPr>
        <w:rFonts w:ascii="Courier New" w:hAnsi="Courier New" w:cs="Courier New" w:hint="default"/>
      </w:rPr>
    </w:lvl>
    <w:lvl w:ilvl="8" w:tplc="D71E1A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8"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9" w15:restartNumberingAfterBreak="0">
    <w:nsid w:val="38130038"/>
    <w:multiLevelType w:val="hybridMultilevel"/>
    <w:tmpl w:val="FF8A0FAE"/>
    <w:lvl w:ilvl="0" w:tplc="F59CF430">
      <w:start w:val="1"/>
      <w:numFmt w:val="bullet"/>
      <w:pStyle w:val="ClauseBullet2"/>
      <w:lvlText w:val=""/>
      <w:lvlJc w:val="left"/>
      <w:pPr>
        <w:ind w:left="1440" w:hanging="360"/>
      </w:pPr>
      <w:rPr>
        <w:rFonts w:ascii="Symbol" w:hAnsi="Symbol" w:hint="default"/>
        <w:color w:val="000000"/>
      </w:rPr>
    </w:lvl>
    <w:lvl w:ilvl="1" w:tplc="6C8CCD6E" w:tentative="1">
      <w:start w:val="1"/>
      <w:numFmt w:val="bullet"/>
      <w:lvlText w:val="o"/>
      <w:lvlJc w:val="left"/>
      <w:pPr>
        <w:ind w:left="2160" w:hanging="360"/>
      </w:pPr>
      <w:rPr>
        <w:rFonts w:ascii="Courier New" w:hAnsi="Courier New" w:cs="Courier New" w:hint="default"/>
      </w:rPr>
    </w:lvl>
    <w:lvl w:ilvl="2" w:tplc="8BA82352" w:tentative="1">
      <w:start w:val="1"/>
      <w:numFmt w:val="bullet"/>
      <w:lvlText w:val=""/>
      <w:lvlJc w:val="left"/>
      <w:pPr>
        <w:ind w:left="2880" w:hanging="360"/>
      </w:pPr>
      <w:rPr>
        <w:rFonts w:ascii="Wingdings" w:hAnsi="Wingdings" w:hint="default"/>
      </w:rPr>
    </w:lvl>
    <w:lvl w:ilvl="3" w:tplc="6242E86A" w:tentative="1">
      <w:start w:val="1"/>
      <w:numFmt w:val="bullet"/>
      <w:lvlText w:val=""/>
      <w:lvlJc w:val="left"/>
      <w:pPr>
        <w:ind w:left="3600" w:hanging="360"/>
      </w:pPr>
      <w:rPr>
        <w:rFonts w:ascii="Symbol" w:hAnsi="Symbol" w:hint="default"/>
      </w:rPr>
    </w:lvl>
    <w:lvl w:ilvl="4" w:tplc="EB7EED78" w:tentative="1">
      <w:start w:val="1"/>
      <w:numFmt w:val="bullet"/>
      <w:lvlText w:val="o"/>
      <w:lvlJc w:val="left"/>
      <w:pPr>
        <w:ind w:left="4320" w:hanging="360"/>
      </w:pPr>
      <w:rPr>
        <w:rFonts w:ascii="Courier New" w:hAnsi="Courier New" w:cs="Courier New" w:hint="default"/>
      </w:rPr>
    </w:lvl>
    <w:lvl w:ilvl="5" w:tplc="9B628FEC" w:tentative="1">
      <w:start w:val="1"/>
      <w:numFmt w:val="bullet"/>
      <w:lvlText w:val=""/>
      <w:lvlJc w:val="left"/>
      <w:pPr>
        <w:ind w:left="5040" w:hanging="360"/>
      </w:pPr>
      <w:rPr>
        <w:rFonts w:ascii="Wingdings" w:hAnsi="Wingdings" w:hint="default"/>
      </w:rPr>
    </w:lvl>
    <w:lvl w:ilvl="6" w:tplc="D220A79E" w:tentative="1">
      <w:start w:val="1"/>
      <w:numFmt w:val="bullet"/>
      <w:lvlText w:val=""/>
      <w:lvlJc w:val="left"/>
      <w:pPr>
        <w:ind w:left="5760" w:hanging="360"/>
      </w:pPr>
      <w:rPr>
        <w:rFonts w:ascii="Symbol" w:hAnsi="Symbol" w:hint="default"/>
      </w:rPr>
    </w:lvl>
    <w:lvl w:ilvl="7" w:tplc="C854BA0A" w:tentative="1">
      <w:start w:val="1"/>
      <w:numFmt w:val="bullet"/>
      <w:lvlText w:val="o"/>
      <w:lvlJc w:val="left"/>
      <w:pPr>
        <w:ind w:left="6480" w:hanging="360"/>
      </w:pPr>
      <w:rPr>
        <w:rFonts w:ascii="Courier New" w:hAnsi="Courier New" w:cs="Courier New" w:hint="default"/>
      </w:rPr>
    </w:lvl>
    <w:lvl w:ilvl="8" w:tplc="C3261688" w:tentative="1">
      <w:start w:val="1"/>
      <w:numFmt w:val="bullet"/>
      <w:lvlText w:val=""/>
      <w:lvlJc w:val="left"/>
      <w:pPr>
        <w:ind w:left="7200" w:hanging="360"/>
      </w:pPr>
      <w:rPr>
        <w:rFonts w:ascii="Wingdings" w:hAnsi="Wingdings" w:hint="default"/>
      </w:rPr>
    </w:lvl>
  </w:abstractNum>
  <w:abstractNum w:abstractNumId="20" w15:restartNumberingAfterBreak="0">
    <w:nsid w:val="3948476D"/>
    <w:multiLevelType w:val="multilevel"/>
    <w:tmpl w:val="F9CA6148"/>
    <w:lvl w:ilvl="0">
      <w:start w:val="1"/>
      <w:numFmt w:val="non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1" w15:restartNumberingAfterBreak="0">
    <w:nsid w:val="44D67987"/>
    <w:multiLevelType w:val="hybridMultilevel"/>
    <w:tmpl w:val="EBD6FB80"/>
    <w:lvl w:ilvl="0" w:tplc="91EA307A">
      <w:start w:val="1"/>
      <w:numFmt w:val="bullet"/>
      <w:pStyle w:val="subclause1Bullet2"/>
      <w:lvlText w:val=""/>
      <w:lvlJc w:val="left"/>
      <w:pPr>
        <w:ind w:left="1440" w:hanging="360"/>
      </w:pPr>
      <w:rPr>
        <w:rFonts w:ascii="Symbol" w:hAnsi="Symbol" w:hint="default"/>
        <w:color w:val="000000"/>
      </w:rPr>
    </w:lvl>
    <w:lvl w:ilvl="1" w:tplc="05BAEC40" w:tentative="1">
      <w:start w:val="1"/>
      <w:numFmt w:val="bullet"/>
      <w:lvlText w:val="o"/>
      <w:lvlJc w:val="left"/>
      <w:pPr>
        <w:ind w:left="2160" w:hanging="360"/>
      </w:pPr>
      <w:rPr>
        <w:rFonts w:ascii="Courier New" w:hAnsi="Courier New" w:cs="Courier New" w:hint="default"/>
      </w:rPr>
    </w:lvl>
    <w:lvl w:ilvl="2" w:tplc="E6CE2182" w:tentative="1">
      <w:start w:val="1"/>
      <w:numFmt w:val="bullet"/>
      <w:lvlText w:val=""/>
      <w:lvlJc w:val="left"/>
      <w:pPr>
        <w:ind w:left="2880" w:hanging="360"/>
      </w:pPr>
      <w:rPr>
        <w:rFonts w:ascii="Wingdings" w:hAnsi="Wingdings" w:hint="default"/>
      </w:rPr>
    </w:lvl>
    <w:lvl w:ilvl="3" w:tplc="DE40E16E" w:tentative="1">
      <w:start w:val="1"/>
      <w:numFmt w:val="bullet"/>
      <w:lvlText w:val=""/>
      <w:lvlJc w:val="left"/>
      <w:pPr>
        <w:ind w:left="3600" w:hanging="360"/>
      </w:pPr>
      <w:rPr>
        <w:rFonts w:ascii="Symbol" w:hAnsi="Symbol" w:hint="default"/>
      </w:rPr>
    </w:lvl>
    <w:lvl w:ilvl="4" w:tplc="C5D8865A" w:tentative="1">
      <w:start w:val="1"/>
      <w:numFmt w:val="bullet"/>
      <w:lvlText w:val="o"/>
      <w:lvlJc w:val="left"/>
      <w:pPr>
        <w:ind w:left="4320" w:hanging="360"/>
      </w:pPr>
      <w:rPr>
        <w:rFonts w:ascii="Courier New" w:hAnsi="Courier New" w:cs="Courier New" w:hint="default"/>
      </w:rPr>
    </w:lvl>
    <w:lvl w:ilvl="5" w:tplc="B3A44CE6" w:tentative="1">
      <w:start w:val="1"/>
      <w:numFmt w:val="bullet"/>
      <w:lvlText w:val=""/>
      <w:lvlJc w:val="left"/>
      <w:pPr>
        <w:ind w:left="5040" w:hanging="360"/>
      </w:pPr>
      <w:rPr>
        <w:rFonts w:ascii="Wingdings" w:hAnsi="Wingdings" w:hint="default"/>
      </w:rPr>
    </w:lvl>
    <w:lvl w:ilvl="6" w:tplc="6F2EA2FC" w:tentative="1">
      <w:start w:val="1"/>
      <w:numFmt w:val="bullet"/>
      <w:lvlText w:val=""/>
      <w:lvlJc w:val="left"/>
      <w:pPr>
        <w:ind w:left="5760" w:hanging="360"/>
      </w:pPr>
      <w:rPr>
        <w:rFonts w:ascii="Symbol" w:hAnsi="Symbol" w:hint="default"/>
      </w:rPr>
    </w:lvl>
    <w:lvl w:ilvl="7" w:tplc="3A2654A6" w:tentative="1">
      <w:start w:val="1"/>
      <w:numFmt w:val="bullet"/>
      <w:lvlText w:val="o"/>
      <w:lvlJc w:val="left"/>
      <w:pPr>
        <w:ind w:left="6480" w:hanging="360"/>
      </w:pPr>
      <w:rPr>
        <w:rFonts w:ascii="Courier New" w:hAnsi="Courier New" w:cs="Courier New" w:hint="default"/>
      </w:rPr>
    </w:lvl>
    <w:lvl w:ilvl="8" w:tplc="F1B40668" w:tentative="1">
      <w:start w:val="1"/>
      <w:numFmt w:val="bullet"/>
      <w:lvlText w:val=""/>
      <w:lvlJc w:val="left"/>
      <w:pPr>
        <w:ind w:left="7200" w:hanging="360"/>
      </w:pPr>
      <w:rPr>
        <w:rFonts w:ascii="Wingdings" w:hAnsi="Wingdings" w:hint="default"/>
      </w:rPr>
    </w:lvl>
  </w:abstractNum>
  <w:abstractNum w:abstractNumId="22" w15:restartNumberingAfterBreak="0">
    <w:nsid w:val="44E96665"/>
    <w:multiLevelType w:val="hybridMultilevel"/>
    <w:tmpl w:val="EF1E142A"/>
    <w:lvl w:ilvl="0" w:tplc="508A5232">
      <w:start w:val="1"/>
      <w:numFmt w:val="bullet"/>
      <w:pStyle w:val="subclause3Bullet1"/>
      <w:lvlText w:val=""/>
      <w:lvlJc w:val="left"/>
      <w:pPr>
        <w:ind w:left="2988" w:hanging="360"/>
      </w:pPr>
      <w:rPr>
        <w:rFonts w:ascii="Symbol" w:hAnsi="Symbol" w:hint="default"/>
        <w:color w:val="000000"/>
      </w:rPr>
    </w:lvl>
    <w:lvl w:ilvl="1" w:tplc="A2C841F6" w:tentative="1">
      <w:start w:val="1"/>
      <w:numFmt w:val="bullet"/>
      <w:lvlText w:val="o"/>
      <w:lvlJc w:val="left"/>
      <w:pPr>
        <w:ind w:left="3708" w:hanging="360"/>
      </w:pPr>
      <w:rPr>
        <w:rFonts w:ascii="Courier New" w:hAnsi="Courier New" w:cs="Courier New" w:hint="default"/>
      </w:rPr>
    </w:lvl>
    <w:lvl w:ilvl="2" w:tplc="089C89B2" w:tentative="1">
      <w:start w:val="1"/>
      <w:numFmt w:val="bullet"/>
      <w:lvlText w:val=""/>
      <w:lvlJc w:val="left"/>
      <w:pPr>
        <w:ind w:left="4428" w:hanging="360"/>
      </w:pPr>
      <w:rPr>
        <w:rFonts w:ascii="Wingdings" w:hAnsi="Wingdings" w:hint="default"/>
      </w:rPr>
    </w:lvl>
    <w:lvl w:ilvl="3" w:tplc="D2F2466E" w:tentative="1">
      <w:start w:val="1"/>
      <w:numFmt w:val="bullet"/>
      <w:lvlText w:val=""/>
      <w:lvlJc w:val="left"/>
      <w:pPr>
        <w:ind w:left="5148" w:hanging="360"/>
      </w:pPr>
      <w:rPr>
        <w:rFonts w:ascii="Symbol" w:hAnsi="Symbol" w:hint="default"/>
      </w:rPr>
    </w:lvl>
    <w:lvl w:ilvl="4" w:tplc="57E8E736" w:tentative="1">
      <w:start w:val="1"/>
      <w:numFmt w:val="bullet"/>
      <w:lvlText w:val="o"/>
      <w:lvlJc w:val="left"/>
      <w:pPr>
        <w:ind w:left="5868" w:hanging="360"/>
      </w:pPr>
      <w:rPr>
        <w:rFonts w:ascii="Courier New" w:hAnsi="Courier New" w:cs="Courier New" w:hint="default"/>
      </w:rPr>
    </w:lvl>
    <w:lvl w:ilvl="5" w:tplc="BDA029A2" w:tentative="1">
      <w:start w:val="1"/>
      <w:numFmt w:val="bullet"/>
      <w:lvlText w:val=""/>
      <w:lvlJc w:val="left"/>
      <w:pPr>
        <w:ind w:left="6588" w:hanging="360"/>
      </w:pPr>
      <w:rPr>
        <w:rFonts w:ascii="Wingdings" w:hAnsi="Wingdings" w:hint="default"/>
      </w:rPr>
    </w:lvl>
    <w:lvl w:ilvl="6" w:tplc="78C23942" w:tentative="1">
      <w:start w:val="1"/>
      <w:numFmt w:val="bullet"/>
      <w:lvlText w:val=""/>
      <w:lvlJc w:val="left"/>
      <w:pPr>
        <w:ind w:left="7308" w:hanging="360"/>
      </w:pPr>
      <w:rPr>
        <w:rFonts w:ascii="Symbol" w:hAnsi="Symbol" w:hint="default"/>
      </w:rPr>
    </w:lvl>
    <w:lvl w:ilvl="7" w:tplc="2098D754" w:tentative="1">
      <w:start w:val="1"/>
      <w:numFmt w:val="bullet"/>
      <w:lvlText w:val="o"/>
      <w:lvlJc w:val="left"/>
      <w:pPr>
        <w:ind w:left="8028" w:hanging="360"/>
      </w:pPr>
      <w:rPr>
        <w:rFonts w:ascii="Courier New" w:hAnsi="Courier New" w:cs="Courier New" w:hint="default"/>
      </w:rPr>
    </w:lvl>
    <w:lvl w:ilvl="8" w:tplc="66066420" w:tentative="1">
      <w:start w:val="1"/>
      <w:numFmt w:val="bullet"/>
      <w:lvlText w:val=""/>
      <w:lvlJc w:val="left"/>
      <w:pPr>
        <w:ind w:left="8748" w:hanging="360"/>
      </w:pPr>
      <w:rPr>
        <w:rFonts w:ascii="Wingdings" w:hAnsi="Wingdings" w:hint="default"/>
      </w:rPr>
    </w:lvl>
  </w:abstractNum>
  <w:abstractNum w:abstractNumId="23" w15:restartNumberingAfterBreak="0">
    <w:nsid w:val="46AC04C6"/>
    <w:multiLevelType w:val="hybridMultilevel"/>
    <w:tmpl w:val="E6C47700"/>
    <w:lvl w:ilvl="0" w:tplc="5C44246E">
      <w:start w:val="1"/>
      <w:numFmt w:val="bullet"/>
      <w:pStyle w:val="subclause2Bullet1"/>
      <w:lvlText w:val=""/>
      <w:lvlJc w:val="left"/>
      <w:pPr>
        <w:ind w:left="2279" w:hanging="360"/>
      </w:pPr>
      <w:rPr>
        <w:rFonts w:ascii="Symbol" w:hAnsi="Symbol" w:hint="default"/>
        <w:color w:val="000000"/>
      </w:rPr>
    </w:lvl>
    <w:lvl w:ilvl="1" w:tplc="F54E6242" w:tentative="1">
      <w:start w:val="1"/>
      <w:numFmt w:val="bullet"/>
      <w:lvlText w:val="o"/>
      <w:lvlJc w:val="left"/>
      <w:pPr>
        <w:ind w:left="2999" w:hanging="360"/>
      </w:pPr>
      <w:rPr>
        <w:rFonts w:ascii="Courier New" w:hAnsi="Courier New" w:cs="Courier New" w:hint="default"/>
      </w:rPr>
    </w:lvl>
    <w:lvl w:ilvl="2" w:tplc="E48090EE" w:tentative="1">
      <w:start w:val="1"/>
      <w:numFmt w:val="bullet"/>
      <w:lvlText w:val=""/>
      <w:lvlJc w:val="left"/>
      <w:pPr>
        <w:ind w:left="3719" w:hanging="360"/>
      </w:pPr>
      <w:rPr>
        <w:rFonts w:ascii="Wingdings" w:hAnsi="Wingdings" w:hint="default"/>
      </w:rPr>
    </w:lvl>
    <w:lvl w:ilvl="3" w:tplc="9C7CD3C8" w:tentative="1">
      <w:start w:val="1"/>
      <w:numFmt w:val="bullet"/>
      <w:lvlText w:val=""/>
      <w:lvlJc w:val="left"/>
      <w:pPr>
        <w:ind w:left="4439" w:hanging="360"/>
      </w:pPr>
      <w:rPr>
        <w:rFonts w:ascii="Symbol" w:hAnsi="Symbol" w:hint="default"/>
      </w:rPr>
    </w:lvl>
    <w:lvl w:ilvl="4" w:tplc="52C60FB0" w:tentative="1">
      <w:start w:val="1"/>
      <w:numFmt w:val="bullet"/>
      <w:lvlText w:val="o"/>
      <w:lvlJc w:val="left"/>
      <w:pPr>
        <w:ind w:left="5159" w:hanging="360"/>
      </w:pPr>
      <w:rPr>
        <w:rFonts w:ascii="Courier New" w:hAnsi="Courier New" w:cs="Courier New" w:hint="default"/>
      </w:rPr>
    </w:lvl>
    <w:lvl w:ilvl="5" w:tplc="421CA7E8" w:tentative="1">
      <w:start w:val="1"/>
      <w:numFmt w:val="bullet"/>
      <w:lvlText w:val=""/>
      <w:lvlJc w:val="left"/>
      <w:pPr>
        <w:ind w:left="5879" w:hanging="360"/>
      </w:pPr>
      <w:rPr>
        <w:rFonts w:ascii="Wingdings" w:hAnsi="Wingdings" w:hint="default"/>
      </w:rPr>
    </w:lvl>
    <w:lvl w:ilvl="6" w:tplc="FDA448BE" w:tentative="1">
      <w:start w:val="1"/>
      <w:numFmt w:val="bullet"/>
      <w:lvlText w:val=""/>
      <w:lvlJc w:val="left"/>
      <w:pPr>
        <w:ind w:left="6599" w:hanging="360"/>
      </w:pPr>
      <w:rPr>
        <w:rFonts w:ascii="Symbol" w:hAnsi="Symbol" w:hint="default"/>
      </w:rPr>
    </w:lvl>
    <w:lvl w:ilvl="7" w:tplc="1D8C0592" w:tentative="1">
      <w:start w:val="1"/>
      <w:numFmt w:val="bullet"/>
      <w:lvlText w:val="o"/>
      <w:lvlJc w:val="left"/>
      <w:pPr>
        <w:ind w:left="7319" w:hanging="360"/>
      </w:pPr>
      <w:rPr>
        <w:rFonts w:ascii="Courier New" w:hAnsi="Courier New" w:cs="Courier New" w:hint="default"/>
      </w:rPr>
    </w:lvl>
    <w:lvl w:ilvl="8" w:tplc="24C291A0" w:tentative="1">
      <w:start w:val="1"/>
      <w:numFmt w:val="bullet"/>
      <w:lvlText w:val=""/>
      <w:lvlJc w:val="left"/>
      <w:pPr>
        <w:ind w:left="8039" w:hanging="360"/>
      </w:pPr>
      <w:rPr>
        <w:rFonts w:ascii="Wingdings" w:hAnsi="Wingdings" w:hint="default"/>
      </w:rPr>
    </w:lvl>
  </w:abstractNum>
  <w:abstractNum w:abstractNumId="24" w15:restartNumberingAfterBreak="0">
    <w:nsid w:val="47F42723"/>
    <w:multiLevelType w:val="hybridMultilevel"/>
    <w:tmpl w:val="C5A02EE6"/>
    <w:lvl w:ilvl="0" w:tplc="556C8B0C">
      <w:start w:val="1"/>
      <w:numFmt w:val="bullet"/>
      <w:pStyle w:val="subclause1Bullet1"/>
      <w:lvlText w:val=""/>
      <w:lvlJc w:val="left"/>
      <w:pPr>
        <w:ind w:left="1440" w:hanging="360"/>
      </w:pPr>
      <w:rPr>
        <w:rFonts w:ascii="Symbol" w:hAnsi="Symbol" w:hint="default"/>
        <w:color w:val="000000"/>
      </w:rPr>
    </w:lvl>
    <w:lvl w:ilvl="1" w:tplc="AF98D8E8" w:tentative="1">
      <w:start w:val="1"/>
      <w:numFmt w:val="bullet"/>
      <w:lvlText w:val="o"/>
      <w:lvlJc w:val="left"/>
      <w:pPr>
        <w:ind w:left="2160" w:hanging="360"/>
      </w:pPr>
      <w:rPr>
        <w:rFonts w:ascii="Courier New" w:hAnsi="Courier New" w:cs="Courier New" w:hint="default"/>
      </w:rPr>
    </w:lvl>
    <w:lvl w:ilvl="2" w:tplc="C6F686C6" w:tentative="1">
      <w:start w:val="1"/>
      <w:numFmt w:val="bullet"/>
      <w:lvlText w:val=""/>
      <w:lvlJc w:val="left"/>
      <w:pPr>
        <w:ind w:left="2880" w:hanging="360"/>
      </w:pPr>
      <w:rPr>
        <w:rFonts w:ascii="Wingdings" w:hAnsi="Wingdings" w:hint="default"/>
      </w:rPr>
    </w:lvl>
    <w:lvl w:ilvl="3" w:tplc="D24A0750" w:tentative="1">
      <w:start w:val="1"/>
      <w:numFmt w:val="bullet"/>
      <w:lvlText w:val=""/>
      <w:lvlJc w:val="left"/>
      <w:pPr>
        <w:ind w:left="3600" w:hanging="360"/>
      </w:pPr>
      <w:rPr>
        <w:rFonts w:ascii="Symbol" w:hAnsi="Symbol" w:hint="default"/>
      </w:rPr>
    </w:lvl>
    <w:lvl w:ilvl="4" w:tplc="E7F2B680" w:tentative="1">
      <w:start w:val="1"/>
      <w:numFmt w:val="bullet"/>
      <w:lvlText w:val="o"/>
      <w:lvlJc w:val="left"/>
      <w:pPr>
        <w:ind w:left="4320" w:hanging="360"/>
      </w:pPr>
      <w:rPr>
        <w:rFonts w:ascii="Courier New" w:hAnsi="Courier New" w:cs="Courier New" w:hint="default"/>
      </w:rPr>
    </w:lvl>
    <w:lvl w:ilvl="5" w:tplc="F81CE6F4" w:tentative="1">
      <w:start w:val="1"/>
      <w:numFmt w:val="bullet"/>
      <w:lvlText w:val=""/>
      <w:lvlJc w:val="left"/>
      <w:pPr>
        <w:ind w:left="5040" w:hanging="360"/>
      </w:pPr>
      <w:rPr>
        <w:rFonts w:ascii="Wingdings" w:hAnsi="Wingdings" w:hint="default"/>
      </w:rPr>
    </w:lvl>
    <w:lvl w:ilvl="6" w:tplc="D00C1580" w:tentative="1">
      <w:start w:val="1"/>
      <w:numFmt w:val="bullet"/>
      <w:lvlText w:val=""/>
      <w:lvlJc w:val="left"/>
      <w:pPr>
        <w:ind w:left="5760" w:hanging="360"/>
      </w:pPr>
      <w:rPr>
        <w:rFonts w:ascii="Symbol" w:hAnsi="Symbol" w:hint="default"/>
      </w:rPr>
    </w:lvl>
    <w:lvl w:ilvl="7" w:tplc="41888C5C" w:tentative="1">
      <w:start w:val="1"/>
      <w:numFmt w:val="bullet"/>
      <w:lvlText w:val="o"/>
      <w:lvlJc w:val="left"/>
      <w:pPr>
        <w:ind w:left="6480" w:hanging="360"/>
      </w:pPr>
      <w:rPr>
        <w:rFonts w:ascii="Courier New" w:hAnsi="Courier New" w:cs="Courier New" w:hint="default"/>
      </w:rPr>
    </w:lvl>
    <w:lvl w:ilvl="8" w:tplc="33DCDFDA" w:tentative="1">
      <w:start w:val="1"/>
      <w:numFmt w:val="bullet"/>
      <w:lvlText w:val=""/>
      <w:lvlJc w:val="left"/>
      <w:pPr>
        <w:ind w:left="7200" w:hanging="360"/>
      </w:pPr>
      <w:rPr>
        <w:rFonts w:ascii="Wingdings" w:hAnsi="Wingdings" w:hint="default"/>
      </w:rPr>
    </w:lvl>
  </w:abstractNum>
  <w:abstractNum w:abstractNumId="25" w15:restartNumberingAfterBreak="0">
    <w:nsid w:val="523A488C"/>
    <w:multiLevelType w:val="multilevel"/>
    <w:tmpl w:val="EA7E9DD0"/>
    <w:lvl w:ilvl="0">
      <w:start w:val="1"/>
      <w:numFmt w:val="none"/>
      <w:suff w:val="nothing"/>
      <w:lvlText w:val="%1"/>
      <w:lvlJc w:val="left"/>
      <w:pPr>
        <w:ind w:left="709" w:firstLine="0"/>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upperLetter"/>
      <w:lvlText w:val="(%4)"/>
      <w:lvlJc w:val="left"/>
      <w:pPr>
        <w:tabs>
          <w:tab w:val="num" w:pos="2835"/>
        </w:tabs>
        <w:ind w:left="2835" w:hanging="709"/>
      </w:pPr>
    </w:lvl>
    <w:lvl w:ilvl="4">
      <w:start w:val="1"/>
      <w:numFmt w:val="decimal"/>
      <w:lvlText w:val="(%5)"/>
      <w:lvlJc w:val="left"/>
      <w:pPr>
        <w:tabs>
          <w:tab w:val="num" w:pos="3544"/>
        </w:tabs>
        <w:ind w:left="3544" w:hanging="709"/>
      </w:pPr>
    </w:lvl>
    <w:lvl w:ilvl="5">
      <w:start w:val="27"/>
      <w:numFmt w:val="lowerLetter"/>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6" w15:restartNumberingAfterBreak="0">
    <w:nsid w:val="55CB0AF0"/>
    <w:multiLevelType w:val="hybridMultilevel"/>
    <w:tmpl w:val="EB98B43A"/>
    <w:lvl w:ilvl="0" w:tplc="5858BE5A">
      <w:start w:val="1"/>
      <w:numFmt w:val="decimal"/>
      <w:pStyle w:val="LongQuestionPara"/>
      <w:lvlText w:val="%1."/>
      <w:lvlJc w:val="left"/>
      <w:pPr>
        <w:ind w:left="360" w:hanging="360"/>
      </w:pPr>
      <w:rPr>
        <w:rFonts w:hint="default"/>
        <w:b/>
        <w:i w:val="0"/>
        <w:color w:val="000000"/>
        <w:sz w:val="24"/>
      </w:rPr>
    </w:lvl>
    <w:lvl w:ilvl="1" w:tplc="0040FA8C" w:tentative="1">
      <w:start w:val="1"/>
      <w:numFmt w:val="lowerLetter"/>
      <w:lvlText w:val="%2."/>
      <w:lvlJc w:val="left"/>
      <w:pPr>
        <w:ind w:left="1440" w:hanging="360"/>
      </w:pPr>
    </w:lvl>
    <w:lvl w:ilvl="2" w:tplc="510EE07C" w:tentative="1">
      <w:start w:val="1"/>
      <w:numFmt w:val="lowerRoman"/>
      <w:lvlText w:val="%3."/>
      <w:lvlJc w:val="right"/>
      <w:pPr>
        <w:ind w:left="2160" w:hanging="180"/>
      </w:pPr>
    </w:lvl>
    <w:lvl w:ilvl="3" w:tplc="725CCC3A" w:tentative="1">
      <w:start w:val="1"/>
      <w:numFmt w:val="decimal"/>
      <w:lvlText w:val="%4."/>
      <w:lvlJc w:val="left"/>
      <w:pPr>
        <w:ind w:left="2880" w:hanging="360"/>
      </w:pPr>
    </w:lvl>
    <w:lvl w:ilvl="4" w:tplc="4216C6B6" w:tentative="1">
      <w:start w:val="1"/>
      <w:numFmt w:val="lowerLetter"/>
      <w:lvlText w:val="%5."/>
      <w:lvlJc w:val="left"/>
      <w:pPr>
        <w:ind w:left="3600" w:hanging="360"/>
      </w:pPr>
    </w:lvl>
    <w:lvl w:ilvl="5" w:tplc="C00E7E78" w:tentative="1">
      <w:start w:val="1"/>
      <w:numFmt w:val="lowerRoman"/>
      <w:lvlText w:val="%6."/>
      <w:lvlJc w:val="right"/>
      <w:pPr>
        <w:ind w:left="4320" w:hanging="180"/>
      </w:pPr>
    </w:lvl>
    <w:lvl w:ilvl="6" w:tplc="426A2DD2" w:tentative="1">
      <w:start w:val="1"/>
      <w:numFmt w:val="decimal"/>
      <w:lvlText w:val="%7."/>
      <w:lvlJc w:val="left"/>
      <w:pPr>
        <w:ind w:left="5040" w:hanging="360"/>
      </w:pPr>
    </w:lvl>
    <w:lvl w:ilvl="7" w:tplc="3D962676" w:tentative="1">
      <w:start w:val="1"/>
      <w:numFmt w:val="lowerLetter"/>
      <w:lvlText w:val="%8."/>
      <w:lvlJc w:val="left"/>
      <w:pPr>
        <w:ind w:left="5760" w:hanging="360"/>
      </w:pPr>
    </w:lvl>
    <w:lvl w:ilvl="8" w:tplc="DB8E89E0" w:tentative="1">
      <w:start w:val="1"/>
      <w:numFmt w:val="lowerRoman"/>
      <w:lvlText w:val="%9."/>
      <w:lvlJc w:val="right"/>
      <w:pPr>
        <w:ind w:left="6480" w:hanging="180"/>
      </w:pPr>
    </w:lvl>
  </w:abstractNum>
  <w:abstractNum w:abstractNumId="2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57B46BAE"/>
    <w:multiLevelType w:val="multilevel"/>
    <w:tmpl w:val="6362407C"/>
    <w:lvl w:ilvl="0">
      <w:start w:val="1"/>
      <w:numFmt w:val="decimal"/>
      <w:lvlText w:val="%1"/>
      <w:lvlJc w:val="left"/>
      <w:pPr>
        <w:tabs>
          <w:tab w:val="num" w:pos="964"/>
        </w:tabs>
        <w:ind w:left="964" w:hanging="964"/>
      </w:pPr>
      <w:rPr>
        <w:rFonts w:ascii="Times New Roman" w:hAnsi="Times New Roman" w:cs="Times New Roman" w:hint="default"/>
        <w:b/>
        <w:i w:val="0"/>
        <w:sz w:val="26"/>
      </w:rPr>
    </w:lvl>
    <w:lvl w:ilvl="1">
      <w:start w:val="1"/>
      <w:numFmt w:val="decimal"/>
      <w:pStyle w:val="NumText"/>
      <w:lvlText w:val="%1.%2"/>
      <w:lvlJc w:val="left"/>
      <w:pPr>
        <w:tabs>
          <w:tab w:val="num" w:pos="964"/>
        </w:tabs>
        <w:ind w:left="964" w:hanging="964"/>
      </w:pPr>
    </w:lvl>
    <w:lvl w:ilvl="2">
      <w:start w:val="1"/>
      <w:numFmt w:val="decimal"/>
      <w:lvlRestart w:val="0"/>
      <w:lvlText w:val="%1.%2.%3"/>
      <w:lvlJc w:val="left"/>
      <w:pPr>
        <w:tabs>
          <w:tab w:val="num" w:pos="964"/>
        </w:tabs>
        <w:ind w:left="964" w:hanging="96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9"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61071422"/>
    <w:multiLevelType w:val="hybridMultilevel"/>
    <w:tmpl w:val="59B858D8"/>
    <w:lvl w:ilvl="0" w:tplc="01BE2EE0">
      <w:start w:val="1"/>
      <w:numFmt w:val="bullet"/>
      <w:pStyle w:val="ClauseBullet1"/>
      <w:lvlText w:val=""/>
      <w:lvlJc w:val="left"/>
      <w:pPr>
        <w:ind w:left="1080" w:hanging="360"/>
      </w:pPr>
      <w:rPr>
        <w:rFonts w:ascii="Symbol" w:hAnsi="Symbol" w:hint="default"/>
        <w:color w:val="000000"/>
      </w:rPr>
    </w:lvl>
    <w:lvl w:ilvl="1" w:tplc="BB52CE5A" w:tentative="1">
      <w:start w:val="1"/>
      <w:numFmt w:val="bullet"/>
      <w:lvlText w:val="o"/>
      <w:lvlJc w:val="left"/>
      <w:pPr>
        <w:ind w:left="1800" w:hanging="360"/>
      </w:pPr>
      <w:rPr>
        <w:rFonts w:ascii="Courier New" w:hAnsi="Courier New" w:cs="Courier New" w:hint="default"/>
      </w:rPr>
    </w:lvl>
    <w:lvl w:ilvl="2" w:tplc="F4AE6520" w:tentative="1">
      <w:start w:val="1"/>
      <w:numFmt w:val="bullet"/>
      <w:lvlText w:val=""/>
      <w:lvlJc w:val="left"/>
      <w:pPr>
        <w:ind w:left="2520" w:hanging="360"/>
      </w:pPr>
      <w:rPr>
        <w:rFonts w:ascii="Wingdings" w:hAnsi="Wingdings" w:hint="default"/>
      </w:rPr>
    </w:lvl>
    <w:lvl w:ilvl="3" w:tplc="EE0AAB70" w:tentative="1">
      <w:start w:val="1"/>
      <w:numFmt w:val="bullet"/>
      <w:lvlText w:val=""/>
      <w:lvlJc w:val="left"/>
      <w:pPr>
        <w:ind w:left="3240" w:hanging="360"/>
      </w:pPr>
      <w:rPr>
        <w:rFonts w:ascii="Symbol" w:hAnsi="Symbol" w:hint="default"/>
      </w:rPr>
    </w:lvl>
    <w:lvl w:ilvl="4" w:tplc="561254D8" w:tentative="1">
      <w:start w:val="1"/>
      <w:numFmt w:val="bullet"/>
      <w:lvlText w:val="o"/>
      <w:lvlJc w:val="left"/>
      <w:pPr>
        <w:ind w:left="3960" w:hanging="360"/>
      </w:pPr>
      <w:rPr>
        <w:rFonts w:ascii="Courier New" w:hAnsi="Courier New" w:cs="Courier New" w:hint="default"/>
      </w:rPr>
    </w:lvl>
    <w:lvl w:ilvl="5" w:tplc="65886C94" w:tentative="1">
      <w:start w:val="1"/>
      <w:numFmt w:val="bullet"/>
      <w:lvlText w:val=""/>
      <w:lvlJc w:val="left"/>
      <w:pPr>
        <w:ind w:left="4680" w:hanging="360"/>
      </w:pPr>
      <w:rPr>
        <w:rFonts w:ascii="Wingdings" w:hAnsi="Wingdings" w:hint="default"/>
      </w:rPr>
    </w:lvl>
    <w:lvl w:ilvl="6" w:tplc="016A923A" w:tentative="1">
      <w:start w:val="1"/>
      <w:numFmt w:val="bullet"/>
      <w:lvlText w:val=""/>
      <w:lvlJc w:val="left"/>
      <w:pPr>
        <w:ind w:left="5400" w:hanging="360"/>
      </w:pPr>
      <w:rPr>
        <w:rFonts w:ascii="Symbol" w:hAnsi="Symbol" w:hint="default"/>
      </w:rPr>
    </w:lvl>
    <w:lvl w:ilvl="7" w:tplc="4C9441E6" w:tentative="1">
      <w:start w:val="1"/>
      <w:numFmt w:val="bullet"/>
      <w:lvlText w:val="o"/>
      <w:lvlJc w:val="left"/>
      <w:pPr>
        <w:ind w:left="6120" w:hanging="360"/>
      </w:pPr>
      <w:rPr>
        <w:rFonts w:ascii="Courier New" w:hAnsi="Courier New" w:cs="Courier New" w:hint="default"/>
      </w:rPr>
    </w:lvl>
    <w:lvl w:ilvl="8" w:tplc="86423438" w:tentative="1">
      <w:start w:val="1"/>
      <w:numFmt w:val="bullet"/>
      <w:lvlText w:val=""/>
      <w:lvlJc w:val="left"/>
      <w:pPr>
        <w:ind w:left="6840" w:hanging="360"/>
      </w:pPr>
      <w:rPr>
        <w:rFonts w:ascii="Wingdings" w:hAnsi="Wingdings" w:hint="default"/>
      </w:rPr>
    </w:lvl>
  </w:abstractNum>
  <w:abstractNum w:abstractNumId="31" w15:restartNumberingAfterBreak="0">
    <w:nsid w:val="642371CD"/>
    <w:multiLevelType w:val="hybridMultilevel"/>
    <w:tmpl w:val="3B76A654"/>
    <w:lvl w:ilvl="0" w:tplc="B1F0E356">
      <w:start w:val="1"/>
      <w:numFmt w:val="bullet"/>
      <w:pStyle w:val="subclause3Bullet2"/>
      <w:lvlText w:val=""/>
      <w:lvlJc w:val="left"/>
      <w:pPr>
        <w:ind w:left="3748" w:hanging="360"/>
      </w:pPr>
      <w:rPr>
        <w:rFonts w:ascii="Symbol" w:hAnsi="Symbol" w:hint="default"/>
        <w:color w:val="000000"/>
      </w:rPr>
    </w:lvl>
    <w:lvl w:ilvl="1" w:tplc="E3B406BC" w:tentative="1">
      <w:start w:val="1"/>
      <w:numFmt w:val="bullet"/>
      <w:lvlText w:val="o"/>
      <w:lvlJc w:val="left"/>
      <w:pPr>
        <w:ind w:left="4468" w:hanging="360"/>
      </w:pPr>
      <w:rPr>
        <w:rFonts w:ascii="Courier New" w:hAnsi="Courier New" w:cs="Courier New" w:hint="default"/>
      </w:rPr>
    </w:lvl>
    <w:lvl w:ilvl="2" w:tplc="D97C0E0E" w:tentative="1">
      <w:start w:val="1"/>
      <w:numFmt w:val="bullet"/>
      <w:lvlText w:val=""/>
      <w:lvlJc w:val="left"/>
      <w:pPr>
        <w:ind w:left="5188" w:hanging="360"/>
      </w:pPr>
      <w:rPr>
        <w:rFonts w:ascii="Wingdings" w:hAnsi="Wingdings" w:hint="default"/>
      </w:rPr>
    </w:lvl>
    <w:lvl w:ilvl="3" w:tplc="AE64A500" w:tentative="1">
      <w:start w:val="1"/>
      <w:numFmt w:val="bullet"/>
      <w:lvlText w:val=""/>
      <w:lvlJc w:val="left"/>
      <w:pPr>
        <w:ind w:left="5908" w:hanging="360"/>
      </w:pPr>
      <w:rPr>
        <w:rFonts w:ascii="Symbol" w:hAnsi="Symbol" w:hint="default"/>
      </w:rPr>
    </w:lvl>
    <w:lvl w:ilvl="4" w:tplc="5AD28196" w:tentative="1">
      <w:start w:val="1"/>
      <w:numFmt w:val="bullet"/>
      <w:lvlText w:val="o"/>
      <w:lvlJc w:val="left"/>
      <w:pPr>
        <w:ind w:left="6628" w:hanging="360"/>
      </w:pPr>
      <w:rPr>
        <w:rFonts w:ascii="Courier New" w:hAnsi="Courier New" w:cs="Courier New" w:hint="default"/>
      </w:rPr>
    </w:lvl>
    <w:lvl w:ilvl="5" w:tplc="B6069FDE" w:tentative="1">
      <w:start w:val="1"/>
      <w:numFmt w:val="bullet"/>
      <w:lvlText w:val=""/>
      <w:lvlJc w:val="left"/>
      <w:pPr>
        <w:ind w:left="7348" w:hanging="360"/>
      </w:pPr>
      <w:rPr>
        <w:rFonts w:ascii="Wingdings" w:hAnsi="Wingdings" w:hint="default"/>
      </w:rPr>
    </w:lvl>
    <w:lvl w:ilvl="6" w:tplc="7B4227FA" w:tentative="1">
      <w:start w:val="1"/>
      <w:numFmt w:val="bullet"/>
      <w:lvlText w:val=""/>
      <w:lvlJc w:val="left"/>
      <w:pPr>
        <w:ind w:left="8068" w:hanging="360"/>
      </w:pPr>
      <w:rPr>
        <w:rFonts w:ascii="Symbol" w:hAnsi="Symbol" w:hint="default"/>
      </w:rPr>
    </w:lvl>
    <w:lvl w:ilvl="7" w:tplc="221A815C" w:tentative="1">
      <w:start w:val="1"/>
      <w:numFmt w:val="bullet"/>
      <w:lvlText w:val="o"/>
      <w:lvlJc w:val="left"/>
      <w:pPr>
        <w:ind w:left="8788" w:hanging="360"/>
      </w:pPr>
      <w:rPr>
        <w:rFonts w:ascii="Courier New" w:hAnsi="Courier New" w:cs="Courier New" w:hint="default"/>
      </w:rPr>
    </w:lvl>
    <w:lvl w:ilvl="8" w:tplc="2AE4DDFE" w:tentative="1">
      <w:start w:val="1"/>
      <w:numFmt w:val="bullet"/>
      <w:lvlText w:val=""/>
      <w:lvlJc w:val="left"/>
      <w:pPr>
        <w:ind w:left="9508" w:hanging="360"/>
      </w:pPr>
      <w:rPr>
        <w:rFonts w:ascii="Wingdings" w:hAnsi="Wingdings" w:hint="default"/>
      </w:rPr>
    </w:lvl>
  </w:abstractNum>
  <w:abstractNum w:abstractNumId="32"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3" w15:restartNumberingAfterBreak="0">
    <w:nsid w:val="65EB2972"/>
    <w:multiLevelType w:val="multilevel"/>
    <w:tmpl w:val="35F67D14"/>
    <w:numStyleLink w:val="NumberingParties"/>
  </w:abstractNum>
  <w:abstractNum w:abstractNumId="3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6" w15:restartNumberingAfterBreak="0">
    <w:nsid w:val="6A14466B"/>
    <w:multiLevelType w:val="hybridMultilevel"/>
    <w:tmpl w:val="2402A666"/>
    <w:lvl w:ilvl="0" w:tplc="66FC5906">
      <w:start w:val="1"/>
      <w:numFmt w:val="bullet"/>
      <w:pStyle w:val="BulletList1"/>
      <w:lvlText w:val="·"/>
      <w:lvlJc w:val="left"/>
      <w:pPr>
        <w:tabs>
          <w:tab w:val="num" w:pos="360"/>
        </w:tabs>
        <w:ind w:left="360" w:hanging="360"/>
      </w:pPr>
      <w:rPr>
        <w:rFonts w:ascii="Symbol" w:hAnsi="Symbol" w:hint="default"/>
        <w:color w:val="000000"/>
      </w:rPr>
    </w:lvl>
    <w:lvl w:ilvl="1" w:tplc="AABA35E8" w:tentative="1">
      <w:start w:val="1"/>
      <w:numFmt w:val="bullet"/>
      <w:lvlText w:val="·"/>
      <w:lvlJc w:val="left"/>
      <w:pPr>
        <w:tabs>
          <w:tab w:val="num" w:pos="1440"/>
        </w:tabs>
        <w:ind w:left="1440" w:hanging="360"/>
      </w:pPr>
      <w:rPr>
        <w:rFonts w:ascii="Symbol" w:hAnsi="Symbol" w:hint="default"/>
      </w:rPr>
    </w:lvl>
    <w:lvl w:ilvl="2" w:tplc="4E849568" w:tentative="1">
      <w:start w:val="1"/>
      <w:numFmt w:val="bullet"/>
      <w:lvlText w:val="·"/>
      <w:lvlJc w:val="left"/>
      <w:pPr>
        <w:tabs>
          <w:tab w:val="num" w:pos="2160"/>
        </w:tabs>
        <w:ind w:left="2160" w:hanging="360"/>
      </w:pPr>
      <w:rPr>
        <w:rFonts w:ascii="Symbol" w:hAnsi="Symbol" w:hint="default"/>
      </w:rPr>
    </w:lvl>
    <w:lvl w:ilvl="3" w:tplc="343E85BE" w:tentative="1">
      <w:start w:val="1"/>
      <w:numFmt w:val="bullet"/>
      <w:lvlText w:val="·"/>
      <w:lvlJc w:val="left"/>
      <w:pPr>
        <w:tabs>
          <w:tab w:val="num" w:pos="2880"/>
        </w:tabs>
        <w:ind w:left="2880" w:hanging="360"/>
      </w:pPr>
      <w:rPr>
        <w:rFonts w:ascii="Symbol" w:hAnsi="Symbol" w:hint="default"/>
      </w:rPr>
    </w:lvl>
    <w:lvl w:ilvl="4" w:tplc="568CD2A6" w:tentative="1">
      <w:start w:val="1"/>
      <w:numFmt w:val="bullet"/>
      <w:lvlText w:val="o"/>
      <w:lvlJc w:val="left"/>
      <w:pPr>
        <w:tabs>
          <w:tab w:val="num" w:pos="3600"/>
        </w:tabs>
        <w:ind w:left="3600" w:hanging="360"/>
      </w:pPr>
      <w:rPr>
        <w:rFonts w:ascii="Courier New" w:hAnsi="Courier New" w:hint="default"/>
      </w:rPr>
    </w:lvl>
    <w:lvl w:ilvl="5" w:tplc="DFC2925C" w:tentative="1">
      <w:start w:val="1"/>
      <w:numFmt w:val="bullet"/>
      <w:lvlText w:val="§"/>
      <w:lvlJc w:val="left"/>
      <w:pPr>
        <w:tabs>
          <w:tab w:val="num" w:pos="4320"/>
        </w:tabs>
        <w:ind w:left="4320" w:hanging="360"/>
      </w:pPr>
      <w:rPr>
        <w:rFonts w:ascii="Wingdings" w:hAnsi="Wingdings" w:hint="default"/>
      </w:rPr>
    </w:lvl>
    <w:lvl w:ilvl="6" w:tplc="8208F07A" w:tentative="1">
      <w:start w:val="1"/>
      <w:numFmt w:val="bullet"/>
      <w:lvlText w:val="·"/>
      <w:lvlJc w:val="left"/>
      <w:pPr>
        <w:tabs>
          <w:tab w:val="num" w:pos="5040"/>
        </w:tabs>
        <w:ind w:left="5040" w:hanging="360"/>
      </w:pPr>
      <w:rPr>
        <w:rFonts w:ascii="Symbol" w:hAnsi="Symbol" w:hint="default"/>
      </w:rPr>
    </w:lvl>
    <w:lvl w:ilvl="7" w:tplc="3F9806E0" w:tentative="1">
      <w:start w:val="1"/>
      <w:numFmt w:val="bullet"/>
      <w:lvlText w:val="o"/>
      <w:lvlJc w:val="left"/>
      <w:pPr>
        <w:tabs>
          <w:tab w:val="num" w:pos="5760"/>
        </w:tabs>
        <w:ind w:left="5760" w:hanging="360"/>
      </w:pPr>
      <w:rPr>
        <w:rFonts w:ascii="Courier New" w:hAnsi="Courier New" w:hint="default"/>
      </w:rPr>
    </w:lvl>
    <w:lvl w:ilvl="8" w:tplc="1FBCD55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B5644F"/>
    <w:multiLevelType w:val="hybridMultilevel"/>
    <w:tmpl w:val="8BCC9C08"/>
    <w:lvl w:ilvl="0" w:tplc="37E0D572">
      <w:start w:val="1"/>
      <w:numFmt w:val="bullet"/>
      <w:pStyle w:val="BulletList3"/>
      <w:lvlText w:val=""/>
      <w:lvlJc w:val="left"/>
      <w:pPr>
        <w:tabs>
          <w:tab w:val="num" w:pos="1945"/>
        </w:tabs>
        <w:ind w:left="1945" w:hanging="357"/>
      </w:pPr>
      <w:rPr>
        <w:rFonts w:ascii="Symbol" w:hAnsi="Symbol" w:hint="default"/>
        <w:color w:val="000000"/>
      </w:rPr>
    </w:lvl>
    <w:lvl w:ilvl="1" w:tplc="F34A019E" w:tentative="1">
      <w:start w:val="1"/>
      <w:numFmt w:val="bullet"/>
      <w:lvlText w:val="o"/>
      <w:lvlJc w:val="left"/>
      <w:pPr>
        <w:tabs>
          <w:tab w:val="num" w:pos="1440"/>
        </w:tabs>
        <w:ind w:left="1440" w:hanging="360"/>
      </w:pPr>
      <w:rPr>
        <w:rFonts w:ascii="Courier New" w:hAnsi="Courier New" w:cs="Courier New" w:hint="default"/>
      </w:rPr>
    </w:lvl>
    <w:lvl w:ilvl="2" w:tplc="6EEA676A" w:tentative="1">
      <w:start w:val="1"/>
      <w:numFmt w:val="bullet"/>
      <w:lvlText w:val=""/>
      <w:lvlJc w:val="left"/>
      <w:pPr>
        <w:tabs>
          <w:tab w:val="num" w:pos="2160"/>
        </w:tabs>
        <w:ind w:left="2160" w:hanging="360"/>
      </w:pPr>
      <w:rPr>
        <w:rFonts w:ascii="Wingdings" w:hAnsi="Wingdings" w:hint="default"/>
      </w:rPr>
    </w:lvl>
    <w:lvl w:ilvl="3" w:tplc="ABBA8A3E" w:tentative="1">
      <w:start w:val="1"/>
      <w:numFmt w:val="bullet"/>
      <w:lvlText w:val=""/>
      <w:lvlJc w:val="left"/>
      <w:pPr>
        <w:tabs>
          <w:tab w:val="num" w:pos="2880"/>
        </w:tabs>
        <w:ind w:left="2880" w:hanging="360"/>
      </w:pPr>
      <w:rPr>
        <w:rFonts w:ascii="Symbol" w:hAnsi="Symbol" w:hint="default"/>
      </w:rPr>
    </w:lvl>
    <w:lvl w:ilvl="4" w:tplc="086C6038" w:tentative="1">
      <w:start w:val="1"/>
      <w:numFmt w:val="bullet"/>
      <w:lvlText w:val="o"/>
      <w:lvlJc w:val="left"/>
      <w:pPr>
        <w:tabs>
          <w:tab w:val="num" w:pos="3600"/>
        </w:tabs>
        <w:ind w:left="3600" w:hanging="360"/>
      </w:pPr>
      <w:rPr>
        <w:rFonts w:ascii="Courier New" w:hAnsi="Courier New" w:cs="Courier New" w:hint="default"/>
      </w:rPr>
    </w:lvl>
    <w:lvl w:ilvl="5" w:tplc="BB32EA44" w:tentative="1">
      <w:start w:val="1"/>
      <w:numFmt w:val="bullet"/>
      <w:lvlText w:val=""/>
      <w:lvlJc w:val="left"/>
      <w:pPr>
        <w:tabs>
          <w:tab w:val="num" w:pos="4320"/>
        </w:tabs>
        <w:ind w:left="4320" w:hanging="360"/>
      </w:pPr>
      <w:rPr>
        <w:rFonts w:ascii="Wingdings" w:hAnsi="Wingdings" w:hint="default"/>
      </w:rPr>
    </w:lvl>
    <w:lvl w:ilvl="6" w:tplc="BC883A7E" w:tentative="1">
      <w:start w:val="1"/>
      <w:numFmt w:val="bullet"/>
      <w:lvlText w:val=""/>
      <w:lvlJc w:val="left"/>
      <w:pPr>
        <w:tabs>
          <w:tab w:val="num" w:pos="5040"/>
        </w:tabs>
        <w:ind w:left="5040" w:hanging="360"/>
      </w:pPr>
      <w:rPr>
        <w:rFonts w:ascii="Symbol" w:hAnsi="Symbol" w:hint="default"/>
      </w:rPr>
    </w:lvl>
    <w:lvl w:ilvl="7" w:tplc="799A6C1E" w:tentative="1">
      <w:start w:val="1"/>
      <w:numFmt w:val="bullet"/>
      <w:lvlText w:val="o"/>
      <w:lvlJc w:val="left"/>
      <w:pPr>
        <w:tabs>
          <w:tab w:val="num" w:pos="5760"/>
        </w:tabs>
        <w:ind w:left="5760" w:hanging="360"/>
      </w:pPr>
      <w:rPr>
        <w:rFonts w:ascii="Courier New" w:hAnsi="Courier New" w:cs="Courier New" w:hint="default"/>
      </w:rPr>
    </w:lvl>
    <w:lvl w:ilvl="8" w:tplc="12E4048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56451"/>
    <w:multiLevelType w:val="multilevel"/>
    <w:tmpl w:val="7DB56451"/>
    <w:styleLink w:val="ScheduleListStyle"/>
    <w:lvl w:ilvl="0">
      <w:start w:val="1"/>
      <w:numFmt w:val="decimal"/>
      <w:pStyle w:val="Schedule0"/>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53"/>
    <w:multiLevelType w:val="multilevel"/>
    <w:tmpl w:val="7DB56451"/>
    <w:numStyleLink w:val="ScheduleListStyle"/>
  </w:abstractNum>
  <w:abstractNum w:abstractNumId="43" w15:restartNumberingAfterBreak="0">
    <w:nsid w:val="7DB56455"/>
    <w:multiLevelType w:val="multilevel"/>
    <w:tmpl w:val="7DB56455"/>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pStyle w:val="ScheduleUntitledsubclause1"/>
      <w:lvlText w:val="%1.%2"/>
      <w:lvlJc w:val="left"/>
      <w:pPr>
        <w:tabs>
          <w:tab w:val="num" w:pos="720"/>
        </w:tabs>
        <w:ind w:left="720" w:hanging="720"/>
      </w:pPr>
      <w:rPr>
        <w:rFonts w:hint="default"/>
        <w:color w:val="000000"/>
      </w:rPr>
    </w:lvl>
    <w:lvl w:ilvl="2">
      <w:start w:val="1"/>
      <w:numFmt w:val="lowerLetter"/>
      <w:pStyle w:val="ScheduleUntitledsubclause2"/>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56"/>
    <w:multiLevelType w:val="multilevel"/>
    <w:tmpl w:val="7DB56455"/>
    <w:numStyleLink w:val="ClauseListStyle"/>
  </w:abstractNum>
  <w:abstractNum w:abstractNumId="45" w15:restartNumberingAfterBreak="0">
    <w:nsid w:val="7DB56458"/>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612397702">
    <w:abstractNumId w:val="34"/>
  </w:num>
  <w:num w:numId="2" w16cid:durableId="1254629217">
    <w:abstractNumId w:val="36"/>
  </w:num>
  <w:num w:numId="3" w16cid:durableId="462388323">
    <w:abstractNumId w:val="14"/>
  </w:num>
  <w:num w:numId="4" w16cid:durableId="548419392">
    <w:abstractNumId w:val="40"/>
  </w:num>
  <w:num w:numId="5" w16cid:durableId="377709084">
    <w:abstractNumId w:val="39"/>
  </w:num>
  <w:num w:numId="6" w16cid:durableId="1017779816">
    <w:abstractNumId w:val="7"/>
  </w:num>
  <w:num w:numId="7" w16cid:durableId="1645350714">
    <w:abstractNumId w:val="17"/>
  </w:num>
  <w:num w:numId="8" w16cid:durableId="1485585793">
    <w:abstractNumId w:val="15"/>
  </w:num>
  <w:num w:numId="9" w16cid:durableId="1229804283">
    <w:abstractNumId w:val="11"/>
  </w:num>
  <w:num w:numId="10" w16cid:durableId="738746269">
    <w:abstractNumId w:val="27"/>
  </w:num>
  <w:num w:numId="11" w16cid:durableId="190804010">
    <w:abstractNumId w:val="8"/>
  </w:num>
  <w:num w:numId="12" w16cid:durableId="268585265">
    <w:abstractNumId w:val="26"/>
  </w:num>
  <w:num w:numId="13" w16cid:durableId="1829320137">
    <w:abstractNumId w:val="30"/>
  </w:num>
  <w:num w:numId="14" w16cid:durableId="1795753248">
    <w:abstractNumId w:val="19"/>
  </w:num>
  <w:num w:numId="15" w16cid:durableId="1436628662">
    <w:abstractNumId w:val="24"/>
  </w:num>
  <w:num w:numId="16" w16cid:durableId="458106558">
    <w:abstractNumId w:val="22"/>
  </w:num>
  <w:num w:numId="17" w16cid:durableId="129056079">
    <w:abstractNumId w:val="23"/>
  </w:num>
  <w:num w:numId="18" w16cid:durableId="1472864739">
    <w:abstractNumId w:val="21"/>
  </w:num>
  <w:num w:numId="19" w16cid:durableId="971597932">
    <w:abstractNumId w:val="13"/>
  </w:num>
  <w:num w:numId="20" w16cid:durableId="964039878">
    <w:abstractNumId w:val="31"/>
  </w:num>
  <w:num w:numId="21" w16cid:durableId="1515922953">
    <w:abstractNumId w:val="1"/>
  </w:num>
  <w:num w:numId="22" w16cid:durableId="42364375">
    <w:abstractNumId w:val="3"/>
  </w:num>
  <w:num w:numId="23" w16cid:durableId="150215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956234">
    <w:abstractNumId w:val="37"/>
  </w:num>
  <w:num w:numId="25" w16cid:durableId="1720126488">
    <w:abstractNumId w:val="41"/>
  </w:num>
  <w:num w:numId="26" w16cid:durableId="1051536803">
    <w:abstractNumId w:val="42"/>
  </w:num>
  <w:num w:numId="27" w16cid:durableId="2040163776">
    <w:abstractNumId w:val="43"/>
  </w:num>
  <w:num w:numId="28" w16cid:durableId="446509074">
    <w:abstractNumId w:val="44"/>
  </w:num>
  <w:num w:numId="29" w16cid:durableId="200142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812425">
    <w:abstractNumId w:val="29"/>
  </w:num>
  <w:num w:numId="31" w16cid:durableId="2053116072">
    <w:abstractNumId w:val="10"/>
  </w:num>
  <w:num w:numId="32" w16cid:durableId="1166017638">
    <w:abstractNumId w:val="6"/>
  </w:num>
  <w:num w:numId="33" w16cid:durableId="1703417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36323">
    <w:abstractNumId w:val="0"/>
  </w:num>
  <w:num w:numId="35" w16cid:durableId="186135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4990882">
    <w:abstractNumId w:val="25"/>
  </w:num>
  <w:num w:numId="37" w16cid:durableId="1667830068">
    <w:abstractNumId w:val="5"/>
  </w:num>
  <w:num w:numId="38" w16cid:durableId="888345291">
    <w:abstractNumId w:val="35"/>
  </w:num>
  <w:num w:numId="39" w16cid:durableId="1604612765">
    <w:abstractNumId w:val="18"/>
  </w:num>
  <w:num w:numId="40" w16cid:durableId="1212377414">
    <w:abstractNumId w:val="20"/>
  </w:num>
  <w:num w:numId="41" w16cid:durableId="117457548">
    <w:abstractNumId w:val="32"/>
  </w:num>
  <w:num w:numId="42" w16cid:durableId="124203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819397">
    <w:abstractNumId w:val="4"/>
  </w:num>
  <w:num w:numId="44" w16cid:durableId="2001613128">
    <w:abstractNumId w:val="2"/>
  </w:num>
  <w:num w:numId="45" w16cid:durableId="2130393736">
    <w:abstractNumId w:val="38"/>
  </w:num>
  <w:num w:numId="46" w16cid:durableId="1877308526">
    <w:abstractNumId w:val="33"/>
  </w:num>
  <w:num w:numId="47" w16cid:durableId="2021076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9473679">
    <w:abstractNumId w:val="45"/>
  </w:num>
  <w:num w:numId="49" w16cid:durableId="1778524050">
    <w:abstractNumId w:val="9"/>
  </w:num>
  <w:num w:numId="50" w16cid:durableId="1581408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364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340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340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477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8"/>
    <w:rsid w:val="00000F7D"/>
    <w:rsid w:val="000017C4"/>
    <w:rsid w:val="000017E9"/>
    <w:rsid w:val="00001B4F"/>
    <w:rsid w:val="00002B74"/>
    <w:rsid w:val="00002BF3"/>
    <w:rsid w:val="00003314"/>
    <w:rsid w:val="00003C26"/>
    <w:rsid w:val="00003D9A"/>
    <w:rsid w:val="0000462D"/>
    <w:rsid w:val="000047F1"/>
    <w:rsid w:val="0000482C"/>
    <w:rsid w:val="0000499A"/>
    <w:rsid w:val="00004ABA"/>
    <w:rsid w:val="00005A8D"/>
    <w:rsid w:val="000061BF"/>
    <w:rsid w:val="000062F6"/>
    <w:rsid w:val="00006E58"/>
    <w:rsid w:val="00006EC1"/>
    <w:rsid w:val="000070E4"/>
    <w:rsid w:val="00007709"/>
    <w:rsid w:val="0000773F"/>
    <w:rsid w:val="00007A5C"/>
    <w:rsid w:val="00007BE6"/>
    <w:rsid w:val="00010B12"/>
    <w:rsid w:val="00010E83"/>
    <w:rsid w:val="0001111F"/>
    <w:rsid w:val="00011C8F"/>
    <w:rsid w:val="00012362"/>
    <w:rsid w:val="00012431"/>
    <w:rsid w:val="00012B58"/>
    <w:rsid w:val="00012E68"/>
    <w:rsid w:val="000135A4"/>
    <w:rsid w:val="00013916"/>
    <w:rsid w:val="00013E32"/>
    <w:rsid w:val="000143DF"/>
    <w:rsid w:val="000145F2"/>
    <w:rsid w:val="000146B2"/>
    <w:rsid w:val="00014F18"/>
    <w:rsid w:val="00014F70"/>
    <w:rsid w:val="00014FF7"/>
    <w:rsid w:val="000150A7"/>
    <w:rsid w:val="000150F6"/>
    <w:rsid w:val="00015108"/>
    <w:rsid w:val="0001511D"/>
    <w:rsid w:val="00015222"/>
    <w:rsid w:val="00015A65"/>
    <w:rsid w:val="00016938"/>
    <w:rsid w:val="000169A7"/>
    <w:rsid w:val="00016BD2"/>
    <w:rsid w:val="000171DB"/>
    <w:rsid w:val="00017B21"/>
    <w:rsid w:val="00020ACD"/>
    <w:rsid w:val="00020B78"/>
    <w:rsid w:val="00021D92"/>
    <w:rsid w:val="00021FC3"/>
    <w:rsid w:val="000223F4"/>
    <w:rsid w:val="000224EC"/>
    <w:rsid w:val="0002287F"/>
    <w:rsid w:val="000228FD"/>
    <w:rsid w:val="00022CCA"/>
    <w:rsid w:val="000233A9"/>
    <w:rsid w:val="000233FE"/>
    <w:rsid w:val="0002342E"/>
    <w:rsid w:val="0002376E"/>
    <w:rsid w:val="00023E66"/>
    <w:rsid w:val="00024F3D"/>
    <w:rsid w:val="00025B53"/>
    <w:rsid w:val="00025CAF"/>
    <w:rsid w:val="000269F5"/>
    <w:rsid w:val="00026A7B"/>
    <w:rsid w:val="00026C3F"/>
    <w:rsid w:val="00026EAF"/>
    <w:rsid w:val="0002752E"/>
    <w:rsid w:val="0002791C"/>
    <w:rsid w:val="00027920"/>
    <w:rsid w:val="000300FC"/>
    <w:rsid w:val="00030299"/>
    <w:rsid w:val="00030C66"/>
    <w:rsid w:val="00030D22"/>
    <w:rsid w:val="00031354"/>
    <w:rsid w:val="00031732"/>
    <w:rsid w:val="000324D0"/>
    <w:rsid w:val="0003260F"/>
    <w:rsid w:val="000327BD"/>
    <w:rsid w:val="000329A5"/>
    <w:rsid w:val="0003302F"/>
    <w:rsid w:val="00033F38"/>
    <w:rsid w:val="00033F7A"/>
    <w:rsid w:val="00034A88"/>
    <w:rsid w:val="00034C3A"/>
    <w:rsid w:val="0003536F"/>
    <w:rsid w:val="000355A6"/>
    <w:rsid w:val="00035988"/>
    <w:rsid w:val="000359D2"/>
    <w:rsid w:val="00035E74"/>
    <w:rsid w:val="000365B1"/>
    <w:rsid w:val="00036880"/>
    <w:rsid w:val="00036A21"/>
    <w:rsid w:val="00037220"/>
    <w:rsid w:val="000372FE"/>
    <w:rsid w:val="00037C6B"/>
    <w:rsid w:val="0004047E"/>
    <w:rsid w:val="000408AA"/>
    <w:rsid w:val="00040958"/>
    <w:rsid w:val="000409B1"/>
    <w:rsid w:val="00040AA4"/>
    <w:rsid w:val="00040B96"/>
    <w:rsid w:val="0004149D"/>
    <w:rsid w:val="000414DF"/>
    <w:rsid w:val="000415A7"/>
    <w:rsid w:val="00041603"/>
    <w:rsid w:val="000419B8"/>
    <w:rsid w:val="00041CB8"/>
    <w:rsid w:val="0004309C"/>
    <w:rsid w:val="0004387D"/>
    <w:rsid w:val="00043DA6"/>
    <w:rsid w:val="00043EEE"/>
    <w:rsid w:val="000441B9"/>
    <w:rsid w:val="00044A9C"/>
    <w:rsid w:val="00044AB7"/>
    <w:rsid w:val="000451A6"/>
    <w:rsid w:val="0004575F"/>
    <w:rsid w:val="00045CAF"/>
    <w:rsid w:val="00046766"/>
    <w:rsid w:val="00046773"/>
    <w:rsid w:val="00046AB6"/>
    <w:rsid w:val="000475DB"/>
    <w:rsid w:val="00047DAB"/>
    <w:rsid w:val="00047E7D"/>
    <w:rsid w:val="000508AB"/>
    <w:rsid w:val="000515D0"/>
    <w:rsid w:val="000516F1"/>
    <w:rsid w:val="00051974"/>
    <w:rsid w:val="00051ED0"/>
    <w:rsid w:val="00051FC5"/>
    <w:rsid w:val="00052195"/>
    <w:rsid w:val="000521EE"/>
    <w:rsid w:val="000529D9"/>
    <w:rsid w:val="00053296"/>
    <w:rsid w:val="00053AB9"/>
    <w:rsid w:val="000547A0"/>
    <w:rsid w:val="00055364"/>
    <w:rsid w:val="000557BC"/>
    <w:rsid w:val="000558F4"/>
    <w:rsid w:val="00055A2A"/>
    <w:rsid w:val="00055D5F"/>
    <w:rsid w:val="00055F90"/>
    <w:rsid w:val="00056364"/>
    <w:rsid w:val="000567BE"/>
    <w:rsid w:val="00056A98"/>
    <w:rsid w:val="0005711A"/>
    <w:rsid w:val="000577F5"/>
    <w:rsid w:val="00057CCE"/>
    <w:rsid w:val="00057D33"/>
    <w:rsid w:val="00060354"/>
    <w:rsid w:val="00060DDD"/>
    <w:rsid w:val="0006114E"/>
    <w:rsid w:val="00061297"/>
    <w:rsid w:val="000627A1"/>
    <w:rsid w:val="00062FAA"/>
    <w:rsid w:val="00063366"/>
    <w:rsid w:val="00063A6E"/>
    <w:rsid w:val="00063BFD"/>
    <w:rsid w:val="00063E1B"/>
    <w:rsid w:val="0006446C"/>
    <w:rsid w:val="0006487D"/>
    <w:rsid w:val="00064963"/>
    <w:rsid w:val="00064D60"/>
    <w:rsid w:val="0006514D"/>
    <w:rsid w:val="000665CA"/>
    <w:rsid w:val="00066842"/>
    <w:rsid w:val="00066DA2"/>
    <w:rsid w:val="00067971"/>
    <w:rsid w:val="00067C0E"/>
    <w:rsid w:val="00067D00"/>
    <w:rsid w:val="00067F38"/>
    <w:rsid w:val="000706FD"/>
    <w:rsid w:val="000711F0"/>
    <w:rsid w:val="000716CE"/>
    <w:rsid w:val="000717CB"/>
    <w:rsid w:val="00071B74"/>
    <w:rsid w:val="00071C29"/>
    <w:rsid w:val="00072174"/>
    <w:rsid w:val="0007248F"/>
    <w:rsid w:val="000725DE"/>
    <w:rsid w:val="00072E03"/>
    <w:rsid w:val="00072F08"/>
    <w:rsid w:val="0007302E"/>
    <w:rsid w:val="00073477"/>
    <w:rsid w:val="000735A9"/>
    <w:rsid w:val="000737CB"/>
    <w:rsid w:val="000737D3"/>
    <w:rsid w:val="00073B7A"/>
    <w:rsid w:val="00073BB5"/>
    <w:rsid w:val="00073C7B"/>
    <w:rsid w:val="00074006"/>
    <w:rsid w:val="0007406F"/>
    <w:rsid w:val="0007478C"/>
    <w:rsid w:val="0007558F"/>
    <w:rsid w:val="00075AA3"/>
    <w:rsid w:val="00076111"/>
    <w:rsid w:val="0007665B"/>
    <w:rsid w:val="00076663"/>
    <w:rsid w:val="00076C69"/>
    <w:rsid w:val="00076D80"/>
    <w:rsid w:val="00076E6B"/>
    <w:rsid w:val="000777D6"/>
    <w:rsid w:val="000778EF"/>
    <w:rsid w:val="000779D7"/>
    <w:rsid w:val="00077F5B"/>
    <w:rsid w:val="000808EE"/>
    <w:rsid w:val="00081B44"/>
    <w:rsid w:val="00081FCC"/>
    <w:rsid w:val="00082A54"/>
    <w:rsid w:val="00082CDC"/>
    <w:rsid w:val="00083932"/>
    <w:rsid w:val="000841A3"/>
    <w:rsid w:val="000841FB"/>
    <w:rsid w:val="000845C5"/>
    <w:rsid w:val="000848D0"/>
    <w:rsid w:val="00084DA3"/>
    <w:rsid w:val="00084FC5"/>
    <w:rsid w:val="00084FFE"/>
    <w:rsid w:val="000854C5"/>
    <w:rsid w:val="00085785"/>
    <w:rsid w:val="000857E1"/>
    <w:rsid w:val="00085AAB"/>
    <w:rsid w:val="00085B09"/>
    <w:rsid w:val="00085DB1"/>
    <w:rsid w:val="00086717"/>
    <w:rsid w:val="000867D4"/>
    <w:rsid w:val="00086D1B"/>
    <w:rsid w:val="00086EC8"/>
    <w:rsid w:val="000877C7"/>
    <w:rsid w:val="00087D70"/>
    <w:rsid w:val="00090693"/>
    <w:rsid w:val="00090845"/>
    <w:rsid w:val="00091532"/>
    <w:rsid w:val="00091CB6"/>
    <w:rsid w:val="000924CE"/>
    <w:rsid w:val="000929F3"/>
    <w:rsid w:val="00092A7F"/>
    <w:rsid w:val="00093050"/>
    <w:rsid w:val="000937CE"/>
    <w:rsid w:val="00093A0E"/>
    <w:rsid w:val="00093B84"/>
    <w:rsid w:val="00093BA6"/>
    <w:rsid w:val="00093D18"/>
    <w:rsid w:val="00094963"/>
    <w:rsid w:val="00095456"/>
    <w:rsid w:val="00095612"/>
    <w:rsid w:val="000966A1"/>
    <w:rsid w:val="00096C4D"/>
    <w:rsid w:val="00096DB9"/>
    <w:rsid w:val="000979A7"/>
    <w:rsid w:val="00097F19"/>
    <w:rsid w:val="000A0595"/>
    <w:rsid w:val="000A103E"/>
    <w:rsid w:val="000A10AF"/>
    <w:rsid w:val="000A1868"/>
    <w:rsid w:val="000A18BB"/>
    <w:rsid w:val="000A1C86"/>
    <w:rsid w:val="000A1E7F"/>
    <w:rsid w:val="000A2264"/>
    <w:rsid w:val="000A257F"/>
    <w:rsid w:val="000A27FD"/>
    <w:rsid w:val="000A2AB3"/>
    <w:rsid w:val="000A3046"/>
    <w:rsid w:val="000A3095"/>
    <w:rsid w:val="000A4332"/>
    <w:rsid w:val="000A43AB"/>
    <w:rsid w:val="000A4D35"/>
    <w:rsid w:val="000A51C4"/>
    <w:rsid w:val="000A575C"/>
    <w:rsid w:val="000A5BE4"/>
    <w:rsid w:val="000A5C93"/>
    <w:rsid w:val="000A67DF"/>
    <w:rsid w:val="000A7B7A"/>
    <w:rsid w:val="000B0F30"/>
    <w:rsid w:val="000B18AC"/>
    <w:rsid w:val="000B1ED8"/>
    <w:rsid w:val="000B1F6D"/>
    <w:rsid w:val="000B212B"/>
    <w:rsid w:val="000B24E5"/>
    <w:rsid w:val="000B28D5"/>
    <w:rsid w:val="000B2D2E"/>
    <w:rsid w:val="000B344C"/>
    <w:rsid w:val="000B35CC"/>
    <w:rsid w:val="000B3FEF"/>
    <w:rsid w:val="000B40D5"/>
    <w:rsid w:val="000B415B"/>
    <w:rsid w:val="000B4506"/>
    <w:rsid w:val="000B4879"/>
    <w:rsid w:val="000B5613"/>
    <w:rsid w:val="000B5619"/>
    <w:rsid w:val="000B5738"/>
    <w:rsid w:val="000B59E1"/>
    <w:rsid w:val="000B5C41"/>
    <w:rsid w:val="000B6D60"/>
    <w:rsid w:val="000B7003"/>
    <w:rsid w:val="000B72B0"/>
    <w:rsid w:val="000B76AB"/>
    <w:rsid w:val="000C0603"/>
    <w:rsid w:val="000C09A6"/>
    <w:rsid w:val="000C0A0C"/>
    <w:rsid w:val="000C0BDE"/>
    <w:rsid w:val="000C0E65"/>
    <w:rsid w:val="000C12AD"/>
    <w:rsid w:val="000C1563"/>
    <w:rsid w:val="000C2027"/>
    <w:rsid w:val="000C264C"/>
    <w:rsid w:val="000C2915"/>
    <w:rsid w:val="000C2940"/>
    <w:rsid w:val="000C31B9"/>
    <w:rsid w:val="000C3817"/>
    <w:rsid w:val="000C405B"/>
    <w:rsid w:val="000C42F4"/>
    <w:rsid w:val="000C4A7F"/>
    <w:rsid w:val="000C4E64"/>
    <w:rsid w:val="000C5324"/>
    <w:rsid w:val="000C55BB"/>
    <w:rsid w:val="000C56FA"/>
    <w:rsid w:val="000C5DBE"/>
    <w:rsid w:val="000C630C"/>
    <w:rsid w:val="000C6551"/>
    <w:rsid w:val="000C6877"/>
    <w:rsid w:val="000C6986"/>
    <w:rsid w:val="000C6BB2"/>
    <w:rsid w:val="000C6C1F"/>
    <w:rsid w:val="000C6C62"/>
    <w:rsid w:val="000C6F3B"/>
    <w:rsid w:val="000C76C5"/>
    <w:rsid w:val="000C79AC"/>
    <w:rsid w:val="000D082D"/>
    <w:rsid w:val="000D0884"/>
    <w:rsid w:val="000D15B9"/>
    <w:rsid w:val="000D1896"/>
    <w:rsid w:val="000D1925"/>
    <w:rsid w:val="000D1AFE"/>
    <w:rsid w:val="000D1B81"/>
    <w:rsid w:val="000D1B9C"/>
    <w:rsid w:val="000D1C86"/>
    <w:rsid w:val="000D1C9A"/>
    <w:rsid w:val="000D2DF0"/>
    <w:rsid w:val="000D35F4"/>
    <w:rsid w:val="000D3A4B"/>
    <w:rsid w:val="000D3CE6"/>
    <w:rsid w:val="000D3D07"/>
    <w:rsid w:val="000D4F3F"/>
    <w:rsid w:val="000D5384"/>
    <w:rsid w:val="000D5770"/>
    <w:rsid w:val="000D6145"/>
    <w:rsid w:val="000D617D"/>
    <w:rsid w:val="000D6AF7"/>
    <w:rsid w:val="000D7132"/>
    <w:rsid w:val="000D73BD"/>
    <w:rsid w:val="000D7444"/>
    <w:rsid w:val="000D7AAC"/>
    <w:rsid w:val="000D7F03"/>
    <w:rsid w:val="000E0066"/>
    <w:rsid w:val="000E0BA9"/>
    <w:rsid w:val="000E0DB6"/>
    <w:rsid w:val="000E13E7"/>
    <w:rsid w:val="000E16BE"/>
    <w:rsid w:val="000E17EB"/>
    <w:rsid w:val="000E19EA"/>
    <w:rsid w:val="000E1CB9"/>
    <w:rsid w:val="000E296B"/>
    <w:rsid w:val="000E2ED3"/>
    <w:rsid w:val="000E36D9"/>
    <w:rsid w:val="000E3D9C"/>
    <w:rsid w:val="000E3EB0"/>
    <w:rsid w:val="000E3F75"/>
    <w:rsid w:val="000E43D3"/>
    <w:rsid w:val="000E4C2C"/>
    <w:rsid w:val="000E4E15"/>
    <w:rsid w:val="000E4FA6"/>
    <w:rsid w:val="000E665F"/>
    <w:rsid w:val="000E67A0"/>
    <w:rsid w:val="000E6A49"/>
    <w:rsid w:val="000E6B19"/>
    <w:rsid w:val="000E70C7"/>
    <w:rsid w:val="000E7234"/>
    <w:rsid w:val="000E77A3"/>
    <w:rsid w:val="000E7CB0"/>
    <w:rsid w:val="000F0385"/>
    <w:rsid w:val="000F05C4"/>
    <w:rsid w:val="000F1431"/>
    <w:rsid w:val="000F14B3"/>
    <w:rsid w:val="000F17E5"/>
    <w:rsid w:val="000F1AB4"/>
    <w:rsid w:val="000F1C06"/>
    <w:rsid w:val="000F2DD1"/>
    <w:rsid w:val="000F33B0"/>
    <w:rsid w:val="000F3CA4"/>
    <w:rsid w:val="000F4D08"/>
    <w:rsid w:val="000F4D58"/>
    <w:rsid w:val="000F4E9A"/>
    <w:rsid w:val="000F57BF"/>
    <w:rsid w:val="000F59AD"/>
    <w:rsid w:val="000F6027"/>
    <w:rsid w:val="000F70BB"/>
    <w:rsid w:val="000F7557"/>
    <w:rsid w:val="000F75AF"/>
    <w:rsid w:val="000F780E"/>
    <w:rsid w:val="000F7C94"/>
    <w:rsid w:val="00100505"/>
    <w:rsid w:val="00101B83"/>
    <w:rsid w:val="00101E8D"/>
    <w:rsid w:val="0010228E"/>
    <w:rsid w:val="001027FF"/>
    <w:rsid w:val="00102E2F"/>
    <w:rsid w:val="00103012"/>
    <w:rsid w:val="00103849"/>
    <w:rsid w:val="00103D4F"/>
    <w:rsid w:val="00103EAF"/>
    <w:rsid w:val="00103FF8"/>
    <w:rsid w:val="00104557"/>
    <w:rsid w:val="0010484C"/>
    <w:rsid w:val="00104F5F"/>
    <w:rsid w:val="0010528B"/>
    <w:rsid w:val="00105386"/>
    <w:rsid w:val="00105FA1"/>
    <w:rsid w:val="00106D88"/>
    <w:rsid w:val="001075B0"/>
    <w:rsid w:val="00107638"/>
    <w:rsid w:val="00107C38"/>
    <w:rsid w:val="00107DBD"/>
    <w:rsid w:val="0011087D"/>
    <w:rsid w:val="00110B50"/>
    <w:rsid w:val="00110CB0"/>
    <w:rsid w:val="00111042"/>
    <w:rsid w:val="00111307"/>
    <w:rsid w:val="001113DA"/>
    <w:rsid w:val="00111732"/>
    <w:rsid w:val="00111F25"/>
    <w:rsid w:val="00112255"/>
    <w:rsid w:val="0011264C"/>
    <w:rsid w:val="001131B7"/>
    <w:rsid w:val="00113216"/>
    <w:rsid w:val="00115297"/>
    <w:rsid w:val="001153CA"/>
    <w:rsid w:val="0011584A"/>
    <w:rsid w:val="00115C89"/>
    <w:rsid w:val="00115EE7"/>
    <w:rsid w:val="00116236"/>
    <w:rsid w:val="001163FC"/>
    <w:rsid w:val="0011646A"/>
    <w:rsid w:val="0011682A"/>
    <w:rsid w:val="001168E9"/>
    <w:rsid w:val="00116A1D"/>
    <w:rsid w:val="00117664"/>
    <w:rsid w:val="00117BF4"/>
    <w:rsid w:val="00120A86"/>
    <w:rsid w:val="00120D9D"/>
    <w:rsid w:val="00120F26"/>
    <w:rsid w:val="00121168"/>
    <w:rsid w:val="0012130D"/>
    <w:rsid w:val="00121D0A"/>
    <w:rsid w:val="00121DCE"/>
    <w:rsid w:val="001223F3"/>
    <w:rsid w:val="00122600"/>
    <w:rsid w:val="0012266E"/>
    <w:rsid w:val="0012296E"/>
    <w:rsid w:val="00122BDA"/>
    <w:rsid w:val="00122EE0"/>
    <w:rsid w:val="0012387C"/>
    <w:rsid w:val="00123BAD"/>
    <w:rsid w:val="00123F39"/>
    <w:rsid w:val="00124071"/>
    <w:rsid w:val="00124164"/>
    <w:rsid w:val="00124397"/>
    <w:rsid w:val="0012470A"/>
    <w:rsid w:val="00124DE4"/>
    <w:rsid w:val="00124F61"/>
    <w:rsid w:val="00125401"/>
    <w:rsid w:val="001257FD"/>
    <w:rsid w:val="00125CFA"/>
    <w:rsid w:val="0012613B"/>
    <w:rsid w:val="001261E3"/>
    <w:rsid w:val="00126261"/>
    <w:rsid w:val="00126CF1"/>
    <w:rsid w:val="001277AD"/>
    <w:rsid w:val="00127C03"/>
    <w:rsid w:val="00127C3A"/>
    <w:rsid w:val="001301AD"/>
    <w:rsid w:val="001309BC"/>
    <w:rsid w:val="0013118A"/>
    <w:rsid w:val="001314D0"/>
    <w:rsid w:val="00131636"/>
    <w:rsid w:val="00131F80"/>
    <w:rsid w:val="0013255F"/>
    <w:rsid w:val="00132888"/>
    <w:rsid w:val="00132A96"/>
    <w:rsid w:val="00132DCE"/>
    <w:rsid w:val="00133150"/>
    <w:rsid w:val="00133B77"/>
    <w:rsid w:val="00133C8B"/>
    <w:rsid w:val="001340F2"/>
    <w:rsid w:val="0013419D"/>
    <w:rsid w:val="00134704"/>
    <w:rsid w:val="0013473B"/>
    <w:rsid w:val="00134AEA"/>
    <w:rsid w:val="0013544B"/>
    <w:rsid w:val="00135543"/>
    <w:rsid w:val="001355C9"/>
    <w:rsid w:val="0013560E"/>
    <w:rsid w:val="00135D6F"/>
    <w:rsid w:val="001363FC"/>
    <w:rsid w:val="00136632"/>
    <w:rsid w:val="00136ABB"/>
    <w:rsid w:val="0013705A"/>
    <w:rsid w:val="0013714D"/>
    <w:rsid w:val="0013774A"/>
    <w:rsid w:val="001379C8"/>
    <w:rsid w:val="00137AD7"/>
    <w:rsid w:val="00140037"/>
    <w:rsid w:val="00141A0A"/>
    <w:rsid w:val="00141D71"/>
    <w:rsid w:val="0014262D"/>
    <w:rsid w:val="00142983"/>
    <w:rsid w:val="00142E39"/>
    <w:rsid w:val="00142F41"/>
    <w:rsid w:val="001431C4"/>
    <w:rsid w:val="00143624"/>
    <w:rsid w:val="00143D21"/>
    <w:rsid w:val="00144473"/>
    <w:rsid w:val="001446AD"/>
    <w:rsid w:val="00144B01"/>
    <w:rsid w:val="00144B50"/>
    <w:rsid w:val="00144E4A"/>
    <w:rsid w:val="00144E8C"/>
    <w:rsid w:val="001459BC"/>
    <w:rsid w:val="00145A26"/>
    <w:rsid w:val="00145B4F"/>
    <w:rsid w:val="00146711"/>
    <w:rsid w:val="00146B07"/>
    <w:rsid w:val="0014769C"/>
    <w:rsid w:val="00147850"/>
    <w:rsid w:val="00150624"/>
    <w:rsid w:val="0015093A"/>
    <w:rsid w:val="00150A14"/>
    <w:rsid w:val="00150EA1"/>
    <w:rsid w:val="00150EAB"/>
    <w:rsid w:val="001521B5"/>
    <w:rsid w:val="00152881"/>
    <w:rsid w:val="001528AE"/>
    <w:rsid w:val="0015294E"/>
    <w:rsid w:val="00152ABF"/>
    <w:rsid w:val="0015352B"/>
    <w:rsid w:val="00153F52"/>
    <w:rsid w:val="001546D6"/>
    <w:rsid w:val="001552E3"/>
    <w:rsid w:val="001557CB"/>
    <w:rsid w:val="00155A5B"/>
    <w:rsid w:val="0015629C"/>
    <w:rsid w:val="001567F1"/>
    <w:rsid w:val="00156A7B"/>
    <w:rsid w:val="00156BD3"/>
    <w:rsid w:val="00157181"/>
    <w:rsid w:val="0016047C"/>
    <w:rsid w:val="001614B3"/>
    <w:rsid w:val="00161933"/>
    <w:rsid w:val="00161C43"/>
    <w:rsid w:val="00161E99"/>
    <w:rsid w:val="00161EF4"/>
    <w:rsid w:val="0016206C"/>
    <w:rsid w:val="00162839"/>
    <w:rsid w:val="001639F7"/>
    <w:rsid w:val="00163ABA"/>
    <w:rsid w:val="00163BDC"/>
    <w:rsid w:val="00163CD7"/>
    <w:rsid w:val="001640B9"/>
    <w:rsid w:val="00165275"/>
    <w:rsid w:val="00165450"/>
    <w:rsid w:val="001655AB"/>
    <w:rsid w:val="0016568E"/>
    <w:rsid w:val="00165A87"/>
    <w:rsid w:val="00165CBE"/>
    <w:rsid w:val="00165DA6"/>
    <w:rsid w:val="00165E6A"/>
    <w:rsid w:val="001660A3"/>
    <w:rsid w:val="00166665"/>
    <w:rsid w:val="001667BB"/>
    <w:rsid w:val="00166D1A"/>
    <w:rsid w:val="001678EF"/>
    <w:rsid w:val="001703EB"/>
    <w:rsid w:val="00170449"/>
    <w:rsid w:val="001704E2"/>
    <w:rsid w:val="001705B9"/>
    <w:rsid w:val="001705FA"/>
    <w:rsid w:val="00170F9E"/>
    <w:rsid w:val="001712A0"/>
    <w:rsid w:val="0017173D"/>
    <w:rsid w:val="00171CE0"/>
    <w:rsid w:val="00172079"/>
    <w:rsid w:val="00172478"/>
    <w:rsid w:val="00172493"/>
    <w:rsid w:val="001727BA"/>
    <w:rsid w:val="001727F3"/>
    <w:rsid w:val="00172887"/>
    <w:rsid w:val="001728B3"/>
    <w:rsid w:val="001728F7"/>
    <w:rsid w:val="00172A51"/>
    <w:rsid w:val="00172EDA"/>
    <w:rsid w:val="00172F57"/>
    <w:rsid w:val="00173086"/>
    <w:rsid w:val="00173B47"/>
    <w:rsid w:val="00173E3C"/>
    <w:rsid w:val="00173F00"/>
    <w:rsid w:val="00174608"/>
    <w:rsid w:val="001747DA"/>
    <w:rsid w:val="00174834"/>
    <w:rsid w:val="00174A94"/>
    <w:rsid w:val="00174BF0"/>
    <w:rsid w:val="00174F36"/>
    <w:rsid w:val="001752DE"/>
    <w:rsid w:val="00175368"/>
    <w:rsid w:val="00175685"/>
    <w:rsid w:val="001758AA"/>
    <w:rsid w:val="00175935"/>
    <w:rsid w:val="00175B49"/>
    <w:rsid w:val="001761A2"/>
    <w:rsid w:val="001763F5"/>
    <w:rsid w:val="00176976"/>
    <w:rsid w:val="00176B22"/>
    <w:rsid w:val="00176B7E"/>
    <w:rsid w:val="00176CA7"/>
    <w:rsid w:val="00177694"/>
    <w:rsid w:val="0017776A"/>
    <w:rsid w:val="00177B14"/>
    <w:rsid w:val="00177FD8"/>
    <w:rsid w:val="00180716"/>
    <w:rsid w:val="0018087F"/>
    <w:rsid w:val="001808AA"/>
    <w:rsid w:val="00180CDC"/>
    <w:rsid w:val="001819E2"/>
    <w:rsid w:val="001820D0"/>
    <w:rsid w:val="001821EC"/>
    <w:rsid w:val="0018282A"/>
    <w:rsid w:val="00182E5C"/>
    <w:rsid w:val="00183841"/>
    <w:rsid w:val="00183CE8"/>
    <w:rsid w:val="00183EE7"/>
    <w:rsid w:val="00184025"/>
    <w:rsid w:val="00184111"/>
    <w:rsid w:val="0018413A"/>
    <w:rsid w:val="0018469A"/>
    <w:rsid w:val="00184807"/>
    <w:rsid w:val="00184DDB"/>
    <w:rsid w:val="0018588D"/>
    <w:rsid w:val="00185A89"/>
    <w:rsid w:val="00185D28"/>
    <w:rsid w:val="00185F8E"/>
    <w:rsid w:val="0018600E"/>
    <w:rsid w:val="00186AEC"/>
    <w:rsid w:val="00186B31"/>
    <w:rsid w:val="00186C3C"/>
    <w:rsid w:val="00186F67"/>
    <w:rsid w:val="0018750E"/>
    <w:rsid w:val="00187511"/>
    <w:rsid w:val="001875CA"/>
    <w:rsid w:val="001875E7"/>
    <w:rsid w:val="00187641"/>
    <w:rsid w:val="0018770F"/>
    <w:rsid w:val="00187B2D"/>
    <w:rsid w:val="00190C14"/>
    <w:rsid w:val="00191552"/>
    <w:rsid w:val="00191685"/>
    <w:rsid w:val="001924F4"/>
    <w:rsid w:val="00192822"/>
    <w:rsid w:val="0019287B"/>
    <w:rsid w:val="00192C37"/>
    <w:rsid w:val="00192C81"/>
    <w:rsid w:val="00192F4C"/>
    <w:rsid w:val="0019363E"/>
    <w:rsid w:val="00193B9E"/>
    <w:rsid w:val="00193E5E"/>
    <w:rsid w:val="00193F15"/>
    <w:rsid w:val="00194080"/>
    <w:rsid w:val="00194663"/>
    <w:rsid w:val="00194664"/>
    <w:rsid w:val="001950E5"/>
    <w:rsid w:val="00195132"/>
    <w:rsid w:val="00195569"/>
    <w:rsid w:val="0019572E"/>
    <w:rsid w:val="00195A65"/>
    <w:rsid w:val="00195E12"/>
    <w:rsid w:val="0019611D"/>
    <w:rsid w:val="00196652"/>
    <w:rsid w:val="00196F6A"/>
    <w:rsid w:val="00197023"/>
    <w:rsid w:val="00197142"/>
    <w:rsid w:val="0019771C"/>
    <w:rsid w:val="00197A06"/>
    <w:rsid w:val="00197D60"/>
    <w:rsid w:val="00197F86"/>
    <w:rsid w:val="001A0083"/>
    <w:rsid w:val="001A0104"/>
    <w:rsid w:val="001A0409"/>
    <w:rsid w:val="001A07F2"/>
    <w:rsid w:val="001A11E5"/>
    <w:rsid w:val="001A1440"/>
    <w:rsid w:val="001A1A78"/>
    <w:rsid w:val="001A1D55"/>
    <w:rsid w:val="001A234F"/>
    <w:rsid w:val="001A298F"/>
    <w:rsid w:val="001A2DAB"/>
    <w:rsid w:val="001A314C"/>
    <w:rsid w:val="001A31F4"/>
    <w:rsid w:val="001A33F3"/>
    <w:rsid w:val="001A3C20"/>
    <w:rsid w:val="001A3EE8"/>
    <w:rsid w:val="001A48AB"/>
    <w:rsid w:val="001A5144"/>
    <w:rsid w:val="001A57D1"/>
    <w:rsid w:val="001A6157"/>
    <w:rsid w:val="001A69FA"/>
    <w:rsid w:val="001A7573"/>
    <w:rsid w:val="001A76E6"/>
    <w:rsid w:val="001B02B2"/>
    <w:rsid w:val="001B02C5"/>
    <w:rsid w:val="001B095C"/>
    <w:rsid w:val="001B14FE"/>
    <w:rsid w:val="001B1D4E"/>
    <w:rsid w:val="001B1D62"/>
    <w:rsid w:val="001B21E5"/>
    <w:rsid w:val="001B23DA"/>
    <w:rsid w:val="001B24F4"/>
    <w:rsid w:val="001B27EE"/>
    <w:rsid w:val="001B2850"/>
    <w:rsid w:val="001B36A5"/>
    <w:rsid w:val="001B395E"/>
    <w:rsid w:val="001B399E"/>
    <w:rsid w:val="001B3C86"/>
    <w:rsid w:val="001B4142"/>
    <w:rsid w:val="001B48C3"/>
    <w:rsid w:val="001B497B"/>
    <w:rsid w:val="001B5704"/>
    <w:rsid w:val="001B5A73"/>
    <w:rsid w:val="001B60B6"/>
    <w:rsid w:val="001B6D76"/>
    <w:rsid w:val="001B7D44"/>
    <w:rsid w:val="001C0036"/>
    <w:rsid w:val="001C00A4"/>
    <w:rsid w:val="001C03B8"/>
    <w:rsid w:val="001C0410"/>
    <w:rsid w:val="001C06CF"/>
    <w:rsid w:val="001C0885"/>
    <w:rsid w:val="001C0B74"/>
    <w:rsid w:val="001C10EB"/>
    <w:rsid w:val="001C1314"/>
    <w:rsid w:val="001C135D"/>
    <w:rsid w:val="001C14F2"/>
    <w:rsid w:val="001C17C8"/>
    <w:rsid w:val="001C1B54"/>
    <w:rsid w:val="001C22D7"/>
    <w:rsid w:val="001C2C7F"/>
    <w:rsid w:val="001C2DC9"/>
    <w:rsid w:val="001C3DE7"/>
    <w:rsid w:val="001C3F66"/>
    <w:rsid w:val="001C40DA"/>
    <w:rsid w:val="001C4484"/>
    <w:rsid w:val="001C46F2"/>
    <w:rsid w:val="001C4BF1"/>
    <w:rsid w:val="001C4C5A"/>
    <w:rsid w:val="001C5571"/>
    <w:rsid w:val="001C5974"/>
    <w:rsid w:val="001C5AD8"/>
    <w:rsid w:val="001C5BB9"/>
    <w:rsid w:val="001C5DC7"/>
    <w:rsid w:val="001C5DEF"/>
    <w:rsid w:val="001C5F31"/>
    <w:rsid w:val="001C639D"/>
    <w:rsid w:val="001C69CB"/>
    <w:rsid w:val="001C6AFD"/>
    <w:rsid w:val="001C7621"/>
    <w:rsid w:val="001C79DC"/>
    <w:rsid w:val="001C7C9D"/>
    <w:rsid w:val="001D09FF"/>
    <w:rsid w:val="001D0E3C"/>
    <w:rsid w:val="001D0E77"/>
    <w:rsid w:val="001D1177"/>
    <w:rsid w:val="001D1297"/>
    <w:rsid w:val="001D132C"/>
    <w:rsid w:val="001D154A"/>
    <w:rsid w:val="001D15AA"/>
    <w:rsid w:val="001D1635"/>
    <w:rsid w:val="001D1A09"/>
    <w:rsid w:val="001D1AD8"/>
    <w:rsid w:val="001D2239"/>
    <w:rsid w:val="001D271C"/>
    <w:rsid w:val="001D280E"/>
    <w:rsid w:val="001D2893"/>
    <w:rsid w:val="001D2C0A"/>
    <w:rsid w:val="001D2DD4"/>
    <w:rsid w:val="001D35D7"/>
    <w:rsid w:val="001D364D"/>
    <w:rsid w:val="001D3791"/>
    <w:rsid w:val="001D3FF8"/>
    <w:rsid w:val="001D4C77"/>
    <w:rsid w:val="001D55B4"/>
    <w:rsid w:val="001D5C1A"/>
    <w:rsid w:val="001D606E"/>
    <w:rsid w:val="001D660E"/>
    <w:rsid w:val="001D6E21"/>
    <w:rsid w:val="001D71D7"/>
    <w:rsid w:val="001D7810"/>
    <w:rsid w:val="001D789C"/>
    <w:rsid w:val="001D7A5D"/>
    <w:rsid w:val="001D7CF8"/>
    <w:rsid w:val="001E029F"/>
    <w:rsid w:val="001E055A"/>
    <w:rsid w:val="001E065E"/>
    <w:rsid w:val="001E0AA1"/>
    <w:rsid w:val="001E15DE"/>
    <w:rsid w:val="001E20F5"/>
    <w:rsid w:val="001E2380"/>
    <w:rsid w:val="001E2862"/>
    <w:rsid w:val="001E2A0B"/>
    <w:rsid w:val="001E30F0"/>
    <w:rsid w:val="001E3215"/>
    <w:rsid w:val="001E3E37"/>
    <w:rsid w:val="001E4E4C"/>
    <w:rsid w:val="001E4F44"/>
    <w:rsid w:val="001E59DE"/>
    <w:rsid w:val="001E605D"/>
    <w:rsid w:val="001E638F"/>
    <w:rsid w:val="001E67B1"/>
    <w:rsid w:val="001E6A2F"/>
    <w:rsid w:val="001E6D5C"/>
    <w:rsid w:val="001E6DB7"/>
    <w:rsid w:val="001E6F49"/>
    <w:rsid w:val="001E76D5"/>
    <w:rsid w:val="001F00F3"/>
    <w:rsid w:val="001F0AB2"/>
    <w:rsid w:val="001F0C8E"/>
    <w:rsid w:val="001F0DC5"/>
    <w:rsid w:val="001F0F4C"/>
    <w:rsid w:val="001F1803"/>
    <w:rsid w:val="001F1EC7"/>
    <w:rsid w:val="001F21DD"/>
    <w:rsid w:val="001F231A"/>
    <w:rsid w:val="001F2447"/>
    <w:rsid w:val="001F249E"/>
    <w:rsid w:val="001F28B6"/>
    <w:rsid w:val="001F3868"/>
    <w:rsid w:val="001F39EE"/>
    <w:rsid w:val="001F3D47"/>
    <w:rsid w:val="001F4622"/>
    <w:rsid w:val="001F5068"/>
    <w:rsid w:val="001F507D"/>
    <w:rsid w:val="001F5A96"/>
    <w:rsid w:val="001F5B43"/>
    <w:rsid w:val="001F5EA0"/>
    <w:rsid w:val="001F5EE2"/>
    <w:rsid w:val="001F5FE9"/>
    <w:rsid w:val="001F61EC"/>
    <w:rsid w:val="001F62B8"/>
    <w:rsid w:val="001F635F"/>
    <w:rsid w:val="001F682F"/>
    <w:rsid w:val="001F6D1F"/>
    <w:rsid w:val="001F7159"/>
    <w:rsid w:val="001F747C"/>
    <w:rsid w:val="001F7622"/>
    <w:rsid w:val="001F7CEA"/>
    <w:rsid w:val="002006EC"/>
    <w:rsid w:val="00200A35"/>
    <w:rsid w:val="00200D18"/>
    <w:rsid w:val="0020106B"/>
    <w:rsid w:val="00201984"/>
    <w:rsid w:val="00201A80"/>
    <w:rsid w:val="00201D29"/>
    <w:rsid w:val="00201F7C"/>
    <w:rsid w:val="002022E6"/>
    <w:rsid w:val="00202BB9"/>
    <w:rsid w:val="00202D3C"/>
    <w:rsid w:val="00203135"/>
    <w:rsid w:val="00203149"/>
    <w:rsid w:val="002037D8"/>
    <w:rsid w:val="00203926"/>
    <w:rsid w:val="00203A47"/>
    <w:rsid w:val="00204F00"/>
    <w:rsid w:val="00205674"/>
    <w:rsid w:val="00205AA9"/>
    <w:rsid w:val="00206150"/>
    <w:rsid w:val="00206877"/>
    <w:rsid w:val="00206A2D"/>
    <w:rsid w:val="00206EA9"/>
    <w:rsid w:val="002071C2"/>
    <w:rsid w:val="00207CC8"/>
    <w:rsid w:val="00207F47"/>
    <w:rsid w:val="002109CF"/>
    <w:rsid w:val="00210C94"/>
    <w:rsid w:val="00210D0A"/>
    <w:rsid w:val="00210EB6"/>
    <w:rsid w:val="00211054"/>
    <w:rsid w:val="00211299"/>
    <w:rsid w:val="0021163C"/>
    <w:rsid w:val="002117DC"/>
    <w:rsid w:val="00211D9F"/>
    <w:rsid w:val="00211FF2"/>
    <w:rsid w:val="00212076"/>
    <w:rsid w:val="0021322C"/>
    <w:rsid w:val="002136E5"/>
    <w:rsid w:val="0021376A"/>
    <w:rsid w:val="00213996"/>
    <w:rsid w:val="002139A3"/>
    <w:rsid w:val="00214058"/>
    <w:rsid w:val="00214298"/>
    <w:rsid w:val="00214565"/>
    <w:rsid w:val="002147D4"/>
    <w:rsid w:val="00214EB7"/>
    <w:rsid w:val="00214FAE"/>
    <w:rsid w:val="00214FCC"/>
    <w:rsid w:val="002155E6"/>
    <w:rsid w:val="002158AD"/>
    <w:rsid w:val="00215916"/>
    <w:rsid w:val="00215E69"/>
    <w:rsid w:val="00215FAF"/>
    <w:rsid w:val="00216413"/>
    <w:rsid w:val="002166D7"/>
    <w:rsid w:val="0021694B"/>
    <w:rsid w:val="00216EBB"/>
    <w:rsid w:val="00216F2D"/>
    <w:rsid w:val="00217636"/>
    <w:rsid w:val="00217CD8"/>
    <w:rsid w:val="00217E7A"/>
    <w:rsid w:val="00220074"/>
    <w:rsid w:val="0022011F"/>
    <w:rsid w:val="0022050F"/>
    <w:rsid w:val="00220532"/>
    <w:rsid w:val="00220CB3"/>
    <w:rsid w:val="00220F50"/>
    <w:rsid w:val="002211F2"/>
    <w:rsid w:val="0022206A"/>
    <w:rsid w:val="002222E3"/>
    <w:rsid w:val="002225D7"/>
    <w:rsid w:val="00222CF6"/>
    <w:rsid w:val="00222D3F"/>
    <w:rsid w:val="00223AA2"/>
    <w:rsid w:val="0022414D"/>
    <w:rsid w:val="00224810"/>
    <w:rsid w:val="00224A01"/>
    <w:rsid w:val="00224CCD"/>
    <w:rsid w:val="00225034"/>
    <w:rsid w:val="0022597F"/>
    <w:rsid w:val="00225F5B"/>
    <w:rsid w:val="00226474"/>
    <w:rsid w:val="002265CE"/>
    <w:rsid w:val="00226DCE"/>
    <w:rsid w:val="00226F89"/>
    <w:rsid w:val="00227166"/>
    <w:rsid w:val="002272A8"/>
    <w:rsid w:val="002273CD"/>
    <w:rsid w:val="00227D4C"/>
    <w:rsid w:val="002301F7"/>
    <w:rsid w:val="00230A5C"/>
    <w:rsid w:val="00230BBF"/>
    <w:rsid w:val="00230C7C"/>
    <w:rsid w:val="0023137C"/>
    <w:rsid w:val="002314C8"/>
    <w:rsid w:val="00231EE1"/>
    <w:rsid w:val="0023205F"/>
    <w:rsid w:val="002326E7"/>
    <w:rsid w:val="00232773"/>
    <w:rsid w:val="00232EE6"/>
    <w:rsid w:val="0023391F"/>
    <w:rsid w:val="00233AA9"/>
    <w:rsid w:val="00233DBA"/>
    <w:rsid w:val="002346BE"/>
    <w:rsid w:val="00234B51"/>
    <w:rsid w:val="00234B6C"/>
    <w:rsid w:val="00234D20"/>
    <w:rsid w:val="00235422"/>
    <w:rsid w:val="00235DC3"/>
    <w:rsid w:val="002364D4"/>
    <w:rsid w:val="00236603"/>
    <w:rsid w:val="00236870"/>
    <w:rsid w:val="00237225"/>
    <w:rsid w:val="0023749A"/>
    <w:rsid w:val="00237801"/>
    <w:rsid w:val="002379F1"/>
    <w:rsid w:val="002403A6"/>
    <w:rsid w:val="00240A4E"/>
    <w:rsid w:val="00240F39"/>
    <w:rsid w:val="0024105D"/>
    <w:rsid w:val="002412FC"/>
    <w:rsid w:val="00241DBC"/>
    <w:rsid w:val="00241DDD"/>
    <w:rsid w:val="002428C2"/>
    <w:rsid w:val="00242F98"/>
    <w:rsid w:val="002431E6"/>
    <w:rsid w:val="00243ACE"/>
    <w:rsid w:val="00243E22"/>
    <w:rsid w:val="00244686"/>
    <w:rsid w:val="00244CDB"/>
    <w:rsid w:val="00244F07"/>
    <w:rsid w:val="002453F5"/>
    <w:rsid w:val="00245BC3"/>
    <w:rsid w:val="00245C4D"/>
    <w:rsid w:val="00245E82"/>
    <w:rsid w:val="00246B86"/>
    <w:rsid w:val="002477FB"/>
    <w:rsid w:val="00247875"/>
    <w:rsid w:val="00247973"/>
    <w:rsid w:val="00247B0A"/>
    <w:rsid w:val="00247C5F"/>
    <w:rsid w:val="00250012"/>
    <w:rsid w:val="00250388"/>
    <w:rsid w:val="00250507"/>
    <w:rsid w:val="0025084E"/>
    <w:rsid w:val="00250C8E"/>
    <w:rsid w:val="0025104F"/>
    <w:rsid w:val="00252504"/>
    <w:rsid w:val="00252BBB"/>
    <w:rsid w:val="00252C73"/>
    <w:rsid w:val="00252F7E"/>
    <w:rsid w:val="0025378C"/>
    <w:rsid w:val="00253B20"/>
    <w:rsid w:val="00254176"/>
    <w:rsid w:val="00254618"/>
    <w:rsid w:val="002546F3"/>
    <w:rsid w:val="00254CFB"/>
    <w:rsid w:val="002550E9"/>
    <w:rsid w:val="00255CE2"/>
    <w:rsid w:val="00255EDD"/>
    <w:rsid w:val="0025646B"/>
    <w:rsid w:val="0025655E"/>
    <w:rsid w:val="00256896"/>
    <w:rsid w:val="002569CC"/>
    <w:rsid w:val="00256B7E"/>
    <w:rsid w:val="00256D62"/>
    <w:rsid w:val="00256D73"/>
    <w:rsid w:val="002570A7"/>
    <w:rsid w:val="0025727D"/>
    <w:rsid w:val="002572A0"/>
    <w:rsid w:val="0025759B"/>
    <w:rsid w:val="00257F86"/>
    <w:rsid w:val="00257F8C"/>
    <w:rsid w:val="00260BB8"/>
    <w:rsid w:val="00261008"/>
    <w:rsid w:val="0026143C"/>
    <w:rsid w:val="002617BC"/>
    <w:rsid w:val="00262121"/>
    <w:rsid w:val="00262496"/>
    <w:rsid w:val="00262691"/>
    <w:rsid w:val="00263171"/>
    <w:rsid w:val="002633D5"/>
    <w:rsid w:val="00263C0B"/>
    <w:rsid w:val="00263CB3"/>
    <w:rsid w:val="0026432F"/>
    <w:rsid w:val="002648C0"/>
    <w:rsid w:val="00264BD4"/>
    <w:rsid w:val="00264E41"/>
    <w:rsid w:val="00264F41"/>
    <w:rsid w:val="00265C84"/>
    <w:rsid w:val="00265DE9"/>
    <w:rsid w:val="0026698E"/>
    <w:rsid w:val="00266BC1"/>
    <w:rsid w:val="00266FF9"/>
    <w:rsid w:val="0026706C"/>
    <w:rsid w:val="0026718C"/>
    <w:rsid w:val="00267A55"/>
    <w:rsid w:val="00267BE2"/>
    <w:rsid w:val="00267F4A"/>
    <w:rsid w:val="00270545"/>
    <w:rsid w:val="00270E21"/>
    <w:rsid w:val="00270F1A"/>
    <w:rsid w:val="00272A83"/>
    <w:rsid w:val="00273503"/>
    <w:rsid w:val="00273F14"/>
    <w:rsid w:val="00273F60"/>
    <w:rsid w:val="00274446"/>
    <w:rsid w:val="0027475D"/>
    <w:rsid w:val="00274C1B"/>
    <w:rsid w:val="00274D6B"/>
    <w:rsid w:val="002751D4"/>
    <w:rsid w:val="00275384"/>
    <w:rsid w:val="00275DAC"/>
    <w:rsid w:val="00275E4C"/>
    <w:rsid w:val="002765A8"/>
    <w:rsid w:val="0027679E"/>
    <w:rsid w:val="00276EB3"/>
    <w:rsid w:val="0027716D"/>
    <w:rsid w:val="00277225"/>
    <w:rsid w:val="00277D04"/>
    <w:rsid w:val="00277ECC"/>
    <w:rsid w:val="00277F2F"/>
    <w:rsid w:val="00280641"/>
    <w:rsid w:val="0028081B"/>
    <w:rsid w:val="0028094D"/>
    <w:rsid w:val="00280E41"/>
    <w:rsid w:val="00281711"/>
    <w:rsid w:val="00281AA3"/>
    <w:rsid w:val="00282319"/>
    <w:rsid w:val="00283180"/>
    <w:rsid w:val="00283938"/>
    <w:rsid w:val="002840FE"/>
    <w:rsid w:val="00284636"/>
    <w:rsid w:val="00284A34"/>
    <w:rsid w:val="002850B6"/>
    <w:rsid w:val="00286884"/>
    <w:rsid w:val="00286D8E"/>
    <w:rsid w:val="00286F61"/>
    <w:rsid w:val="00287043"/>
    <w:rsid w:val="002872B6"/>
    <w:rsid w:val="0028794B"/>
    <w:rsid w:val="00287CE1"/>
    <w:rsid w:val="00290004"/>
    <w:rsid w:val="002900A3"/>
    <w:rsid w:val="002900CF"/>
    <w:rsid w:val="002912C7"/>
    <w:rsid w:val="00291522"/>
    <w:rsid w:val="0029157A"/>
    <w:rsid w:val="00291790"/>
    <w:rsid w:val="002919E4"/>
    <w:rsid w:val="00291AE7"/>
    <w:rsid w:val="002926EF"/>
    <w:rsid w:val="00292AA3"/>
    <w:rsid w:val="00292B58"/>
    <w:rsid w:val="00292F28"/>
    <w:rsid w:val="00293E71"/>
    <w:rsid w:val="002941A7"/>
    <w:rsid w:val="0029421B"/>
    <w:rsid w:val="002946DF"/>
    <w:rsid w:val="00294958"/>
    <w:rsid w:val="00294992"/>
    <w:rsid w:val="00294C28"/>
    <w:rsid w:val="00294EC2"/>
    <w:rsid w:val="002953F8"/>
    <w:rsid w:val="002957D7"/>
    <w:rsid w:val="00295A12"/>
    <w:rsid w:val="00295D0B"/>
    <w:rsid w:val="002964A8"/>
    <w:rsid w:val="00296543"/>
    <w:rsid w:val="0029697D"/>
    <w:rsid w:val="00296C92"/>
    <w:rsid w:val="002970D0"/>
    <w:rsid w:val="002971B4"/>
    <w:rsid w:val="002973CD"/>
    <w:rsid w:val="00297523"/>
    <w:rsid w:val="0029753B"/>
    <w:rsid w:val="002979D0"/>
    <w:rsid w:val="00297C5C"/>
    <w:rsid w:val="00297F2C"/>
    <w:rsid w:val="002A0181"/>
    <w:rsid w:val="002A0259"/>
    <w:rsid w:val="002A037D"/>
    <w:rsid w:val="002A0E9D"/>
    <w:rsid w:val="002A1252"/>
    <w:rsid w:val="002A158E"/>
    <w:rsid w:val="002A1C44"/>
    <w:rsid w:val="002A2335"/>
    <w:rsid w:val="002A2703"/>
    <w:rsid w:val="002A29CA"/>
    <w:rsid w:val="002A2AA8"/>
    <w:rsid w:val="002A2CE2"/>
    <w:rsid w:val="002A3159"/>
    <w:rsid w:val="002A3AC9"/>
    <w:rsid w:val="002A4746"/>
    <w:rsid w:val="002A4849"/>
    <w:rsid w:val="002A4AE7"/>
    <w:rsid w:val="002A50D0"/>
    <w:rsid w:val="002A5627"/>
    <w:rsid w:val="002A57A6"/>
    <w:rsid w:val="002A5C7F"/>
    <w:rsid w:val="002A5D6D"/>
    <w:rsid w:val="002A66F2"/>
    <w:rsid w:val="002A70C7"/>
    <w:rsid w:val="002A7142"/>
    <w:rsid w:val="002A739B"/>
    <w:rsid w:val="002A7523"/>
    <w:rsid w:val="002A7669"/>
    <w:rsid w:val="002A7A73"/>
    <w:rsid w:val="002B02F7"/>
    <w:rsid w:val="002B031A"/>
    <w:rsid w:val="002B07C5"/>
    <w:rsid w:val="002B0989"/>
    <w:rsid w:val="002B0AC7"/>
    <w:rsid w:val="002B0DD5"/>
    <w:rsid w:val="002B1021"/>
    <w:rsid w:val="002B1159"/>
    <w:rsid w:val="002B15FF"/>
    <w:rsid w:val="002B1685"/>
    <w:rsid w:val="002B170F"/>
    <w:rsid w:val="002B20BA"/>
    <w:rsid w:val="002B2443"/>
    <w:rsid w:val="002B2B2D"/>
    <w:rsid w:val="002B2BC2"/>
    <w:rsid w:val="002B3127"/>
    <w:rsid w:val="002B3375"/>
    <w:rsid w:val="002B3710"/>
    <w:rsid w:val="002B3D13"/>
    <w:rsid w:val="002B4539"/>
    <w:rsid w:val="002B4A14"/>
    <w:rsid w:val="002B4A63"/>
    <w:rsid w:val="002B4D51"/>
    <w:rsid w:val="002B4D61"/>
    <w:rsid w:val="002B5B0C"/>
    <w:rsid w:val="002B5EC8"/>
    <w:rsid w:val="002B5FAB"/>
    <w:rsid w:val="002B60A6"/>
    <w:rsid w:val="002B65D2"/>
    <w:rsid w:val="002B71FF"/>
    <w:rsid w:val="002B7CB0"/>
    <w:rsid w:val="002C01DB"/>
    <w:rsid w:val="002C0AA9"/>
    <w:rsid w:val="002C0AC0"/>
    <w:rsid w:val="002C1382"/>
    <w:rsid w:val="002C15D8"/>
    <w:rsid w:val="002C1AE8"/>
    <w:rsid w:val="002C2BD0"/>
    <w:rsid w:val="002C2E80"/>
    <w:rsid w:val="002C3A29"/>
    <w:rsid w:val="002C3E2E"/>
    <w:rsid w:val="002C4B3E"/>
    <w:rsid w:val="002C4EE2"/>
    <w:rsid w:val="002C55EE"/>
    <w:rsid w:val="002C5C02"/>
    <w:rsid w:val="002C60AC"/>
    <w:rsid w:val="002C64F5"/>
    <w:rsid w:val="002C6945"/>
    <w:rsid w:val="002C7129"/>
    <w:rsid w:val="002C74EA"/>
    <w:rsid w:val="002C77E9"/>
    <w:rsid w:val="002C7858"/>
    <w:rsid w:val="002C7CCA"/>
    <w:rsid w:val="002D1805"/>
    <w:rsid w:val="002D1F57"/>
    <w:rsid w:val="002D243F"/>
    <w:rsid w:val="002D2AF6"/>
    <w:rsid w:val="002D3232"/>
    <w:rsid w:val="002D33D7"/>
    <w:rsid w:val="002D353C"/>
    <w:rsid w:val="002D367E"/>
    <w:rsid w:val="002D37AD"/>
    <w:rsid w:val="002D3C7A"/>
    <w:rsid w:val="002D405B"/>
    <w:rsid w:val="002D4544"/>
    <w:rsid w:val="002D4B38"/>
    <w:rsid w:val="002D4D73"/>
    <w:rsid w:val="002D5050"/>
    <w:rsid w:val="002D5860"/>
    <w:rsid w:val="002D5AD0"/>
    <w:rsid w:val="002D5ADD"/>
    <w:rsid w:val="002D5F63"/>
    <w:rsid w:val="002D6138"/>
    <w:rsid w:val="002D7386"/>
    <w:rsid w:val="002D76A1"/>
    <w:rsid w:val="002D78D8"/>
    <w:rsid w:val="002D7DAB"/>
    <w:rsid w:val="002E0266"/>
    <w:rsid w:val="002E0665"/>
    <w:rsid w:val="002E09FC"/>
    <w:rsid w:val="002E0CD8"/>
    <w:rsid w:val="002E136B"/>
    <w:rsid w:val="002E18F9"/>
    <w:rsid w:val="002E198D"/>
    <w:rsid w:val="002E1E2A"/>
    <w:rsid w:val="002E1EA9"/>
    <w:rsid w:val="002E22D5"/>
    <w:rsid w:val="002E23D6"/>
    <w:rsid w:val="002E2CF2"/>
    <w:rsid w:val="002E2F22"/>
    <w:rsid w:val="002E300A"/>
    <w:rsid w:val="002E356E"/>
    <w:rsid w:val="002E3661"/>
    <w:rsid w:val="002E3A2A"/>
    <w:rsid w:val="002E3B0B"/>
    <w:rsid w:val="002E43C6"/>
    <w:rsid w:val="002E446C"/>
    <w:rsid w:val="002E4D94"/>
    <w:rsid w:val="002E5592"/>
    <w:rsid w:val="002E5867"/>
    <w:rsid w:val="002E6431"/>
    <w:rsid w:val="002E716D"/>
    <w:rsid w:val="002E7181"/>
    <w:rsid w:val="002E73BB"/>
    <w:rsid w:val="002E7694"/>
    <w:rsid w:val="002E7B68"/>
    <w:rsid w:val="002F031F"/>
    <w:rsid w:val="002F0A00"/>
    <w:rsid w:val="002F14A9"/>
    <w:rsid w:val="002F1C03"/>
    <w:rsid w:val="002F245B"/>
    <w:rsid w:val="002F29A4"/>
    <w:rsid w:val="002F29E0"/>
    <w:rsid w:val="002F2A28"/>
    <w:rsid w:val="002F2AEE"/>
    <w:rsid w:val="002F2D61"/>
    <w:rsid w:val="002F3030"/>
    <w:rsid w:val="002F3375"/>
    <w:rsid w:val="002F34A2"/>
    <w:rsid w:val="002F3EC0"/>
    <w:rsid w:val="002F4005"/>
    <w:rsid w:val="002F4072"/>
    <w:rsid w:val="002F40D5"/>
    <w:rsid w:val="002F41DF"/>
    <w:rsid w:val="002F4644"/>
    <w:rsid w:val="002F4716"/>
    <w:rsid w:val="002F48C9"/>
    <w:rsid w:val="002F4D6F"/>
    <w:rsid w:val="002F4DCE"/>
    <w:rsid w:val="002F5362"/>
    <w:rsid w:val="002F5769"/>
    <w:rsid w:val="002F5EEC"/>
    <w:rsid w:val="002F6564"/>
    <w:rsid w:val="002F714D"/>
    <w:rsid w:val="002F722C"/>
    <w:rsid w:val="002F7501"/>
    <w:rsid w:val="002F7D7E"/>
    <w:rsid w:val="002F7EFC"/>
    <w:rsid w:val="0030016C"/>
    <w:rsid w:val="0030029C"/>
    <w:rsid w:val="003006F5"/>
    <w:rsid w:val="00300922"/>
    <w:rsid w:val="00301379"/>
    <w:rsid w:val="00302575"/>
    <w:rsid w:val="003025B3"/>
    <w:rsid w:val="00302A8D"/>
    <w:rsid w:val="00302E02"/>
    <w:rsid w:val="00302F66"/>
    <w:rsid w:val="0030348F"/>
    <w:rsid w:val="00303D49"/>
    <w:rsid w:val="00303F05"/>
    <w:rsid w:val="00305062"/>
    <w:rsid w:val="00305716"/>
    <w:rsid w:val="00305789"/>
    <w:rsid w:val="00305993"/>
    <w:rsid w:val="0030599A"/>
    <w:rsid w:val="00306BEC"/>
    <w:rsid w:val="00306F52"/>
    <w:rsid w:val="003070B7"/>
    <w:rsid w:val="00307913"/>
    <w:rsid w:val="00307FA4"/>
    <w:rsid w:val="00310308"/>
    <w:rsid w:val="0031063D"/>
    <w:rsid w:val="0031075D"/>
    <w:rsid w:val="00310C9B"/>
    <w:rsid w:val="0031146B"/>
    <w:rsid w:val="0031181E"/>
    <w:rsid w:val="00311C36"/>
    <w:rsid w:val="0031270E"/>
    <w:rsid w:val="003134F3"/>
    <w:rsid w:val="00313636"/>
    <w:rsid w:val="0031373E"/>
    <w:rsid w:val="00313955"/>
    <w:rsid w:val="00314065"/>
    <w:rsid w:val="00314127"/>
    <w:rsid w:val="00314C37"/>
    <w:rsid w:val="00315152"/>
    <w:rsid w:val="00315557"/>
    <w:rsid w:val="00315C26"/>
    <w:rsid w:val="00315CE4"/>
    <w:rsid w:val="00317282"/>
    <w:rsid w:val="003174AE"/>
    <w:rsid w:val="0031750C"/>
    <w:rsid w:val="003178CA"/>
    <w:rsid w:val="00317FA0"/>
    <w:rsid w:val="003201A4"/>
    <w:rsid w:val="0032042F"/>
    <w:rsid w:val="003205E7"/>
    <w:rsid w:val="0032092C"/>
    <w:rsid w:val="003211A2"/>
    <w:rsid w:val="0032159E"/>
    <w:rsid w:val="003217B7"/>
    <w:rsid w:val="00321F75"/>
    <w:rsid w:val="003221AC"/>
    <w:rsid w:val="0032282E"/>
    <w:rsid w:val="00322AED"/>
    <w:rsid w:val="003232B8"/>
    <w:rsid w:val="0032344F"/>
    <w:rsid w:val="00323A9D"/>
    <w:rsid w:val="003244C4"/>
    <w:rsid w:val="00324A0E"/>
    <w:rsid w:val="00324C8D"/>
    <w:rsid w:val="0032543B"/>
    <w:rsid w:val="00325474"/>
    <w:rsid w:val="00325733"/>
    <w:rsid w:val="00325931"/>
    <w:rsid w:val="00325F1D"/>
    <w:rsid w:val="0032680D"/>
    <w:rsid w:val="00326D73"/>
    <w:rsid w:val="003270C0"/>
    <w:rsid w:val="003276E9"/>
    <w:rsid w:val="0032792C"/>
    <w:rsid w:val="00330180"/>
    <w:rsid w:val="003303E1"/>
    <w:rsid w:val="0033055A"/>
    <w:rsid w:val="0033093E"/>
    <w:rsid w:val="00330C2A"/>
    <w:rsid w:val="003310A3"/>
    <w:rsid w:val="0033149E"/>
    <w:rsid w:val="0033180B"/>
    <w:rsid w:val="00331B3C"/>
    <w:rsid w:val="00331D54"/>
    <w:rsid w:val="00331E8F"/>
    <w:rsid w:val="00332585"/>
    <w:rsid w:val="003325DE"/>
    <w:rsid w:val="00333628"/>
    <w:rsid w:val="00333801"/>
    <w:rsid w:val="00333E53"/>
    <w:rsid w:val="00334158"/>
    <w:rsid w:val="00334229"/>
    <w:rsid w:val="003342B6"/>
    <w:rsid w:val="00334DE0"/>
    <w:rsid w:val="00334E2F"/>
    <w:rsid w:val="00335BC7"/>
    <w:rsid w:val="00335E50"/>
    <w:rsid w:val="0033617B"/>
    <w:rsid w:val="0033620D"/>
    <w:rsid w:val="00336411"/>
    <w:rsid w:val="00337082"/>
    <w:rsid w:val="00337525"/>
    <w:rsid w:val="0033756B"/>
    <w:rsid w:val="00337EB2"/>
    <w:rsid w:val="00337F0B"/>
    <w:rsid w:val="003405F6"/>
    <w:rsid w:val="0034068C"/>
    <w:rsid w:val="0034084D"/>
    <w:rsid w:val="00340DC9"/>
    <w:rsid w:val="00341CB2"/>
    <w:rsid w:val="00341DDA"/>
    <w:rsid w:val="0034211E"/>
    <w:rsid w:val="00342209"/>
    <w:rsid w:val="00342399"/>
    <w:rsid w:val="003426F5"/>
    <w:rsid w:val="00342A5C"/>
    <w:rsid w:val="00342E95"/>
    <w:rsid w:val="00343422"/>
    <w:rsid w:val="0034372D"/>
    <w:rsid w:val="00343CBF"/>
    <w:rsid w:val="00343DBD"/>
    <w:rsid w:val="00344076"/>
    <w:rsid w:val="003448CC"/>
    <w:rsid w:val="00344B73"/>
    <w:rsid w:val="00344CE5"/>
    <w:rsid w:val="003453EB"/>
    <w:rsid w:val="00345ABE"/>
    <w:rsid w:val="003460FD"/>
    <w:rsid w:val="003463BE"/>
    <w:rsid w:val="00350221"/>
    <w:rsid w:val="00350473"/>
    <w:rsid w:val="00350966"/>
    <w:rsid w:val="00350D56"/>
    <w:rsid w:val="00350E7B"/>
    <w:rsid w:val="003516F7"/>
    <w:rsid w:val="00351909"/>
    <w:rsid w:val="00352496"/>
    <w:rsid w:val="003527A4"/>
    <w:rsid w:val="003529F6"/>
    <w:rsid w:val="00352B57"/>
    <w:rsid w:val="00352F9F"/>
    <w:rsid w:val="003530AF"/>
    <w:rsid w:val="00353496"/>
    <w:rsid w:val="00353A6B"/>
    <w:rsid w:val="00353DCF"/>
    <w:rsid w:val="00354135"/>
    <w:rsid w:val="003548FA"/>
    <w:rsid w:val="00354960"/>
    <w:rsid w:val="00354D84"/>
    <w:rsid w:val="00355074"/>
    <w:rsid w:val="003552D3"/>
    <w:rsid w:val="003558B3"/>
    <w:rsid w:val="00355EBC"/>
    <w:rsid w:val="003564E8"/>
    <w:rsid w:val="00356898"/>
    <w:rsid w:val="00357046"/>
    <w:rsid w:val="00357431"/>
    <w:rsid w:val="00357D67"/>
    <w:rsid w:val="00360142"/>
    <w:rsid w:val="00360BB5"/>
    <w:rsid w:val="00360CAF"/>
    <w:rsid w:val="00360FF4"/>
    <w:rsid w:val="003613A3"/>
    <w:rsid w:val="0036176F"/>
    <w:rsid w:val="00361A4B"/>
    <w:rsid w:val="00361F10"/>
    <w:rsid w:val="0036200E"/>
    <w:rsid w:val="00362344"/>
    <w:rsid w:val="00362C3B"/>
    <w:rsid w:val="0036330C"/>
    <w:rsid w:val="00363672"/>
    <w:rsid w:val="00363AE4"/>
    <w:rsid w:val="00363C3C"/>
    <w:rsid w:val="0036462A"/>
    <w:rsid w:val="00364712"/>
    <w:rsid w:val="00364CC7"/>
    <w:rsid w:val="0036514F"/>
    <w:rsid w:val="0036515B"/>
    <w:rsid w:val="003656D6"/>
    <w:rsid w:val="003657F3"/>
    <w:rsid w:val="00365C73"/>
    <w:rsid w:val="00365D2C"/>
    <w:rsid w:val="00366C85"/>
    <w:rsid w:val="00366D40"/>
    <w:rsid w:val="003679CC"/>
    <w:rsid w:val="003679D0"/>
    <w:rsid w:val="003679D4"/>
    <w:rsid w:val="0037022A"/>
    <w:rsid w:val="0037045A"/>
    <w:rsid w:val="003708DF"/>
    <w:rsid w:val="00371309"/>
    <w:rsid w:val="00371952"/>
    <w:rsid w:val="00371A01"/>
    <w:rsid w:val="00371A3D"/>
    <w:rsid w:val="00371EE0"/>
    <w:rsid w:val="0037202A"/>
    <w:rsid w:val="0037270F"/>
    <w:rsid w:val="00372842"/>
    <w:rsid w:val="00372C0B"/>
    <w:rsid w:val="003735AF"/>
    <w:rsid w:val="00373BEF"/>
    <w:rsid w:val="00373ED4"/>
    <w:rsid w:val="003740E0"/>
    <w:rsid w:val="003747DE"/>
    <w:rsid w:val="00374B6E"/>
    <w:rsid w:val="0037508C"/>
    <w:rsid w:val="00375376"/>
    <w:rsid w:val="00375F87"/>
    <w:rsid w:val="0037623A"/>
    <w:rsid w:val="0037657F"/>
    <w:rsid w:val="003766C8"/>
    <w:rsid w:val="00376933"/>
    <w:rsid w:val="00377637"/>
    <w:rsid w:val="003779DC"/>
    <w:rsid w:val="00377B5E"/>
    <w:rsid w:val="00377BAF"/>
    <w:rsid w:val="003800DA"/>
    <w:rsid w:val="003801E3"/>
    <w:rsid w:val="00380446"/>
    <w:rsid w:val="00381A5A"/>
    <w:rsid w:val="00382D24"/>
    <w:rsid w:val="0038353C"/>
    <w:rsid w:val="003836DA"/>
    <w:rsid w:val="0038383D"/>
    <w:rsid w:val="0038519E"/>
    <w:rsid w:val="00385397"/>
    <w:rsid w:val="00385539"/>
    <w:rsid w:val="00385625"/>
    <w:rsid w:val="00385898"/>
    <w:rsid w:val="003859E1"/>
    <w:rsid w:val="00385BB3"/>
    <w:rsid w:val="00385C56"/>
    <w:rsid w:val="00385CA0"/>
    <w:rsid w:val="00386148"/>
    <w:rsid w:val="00386BA5"/>
    <w:rsid w:val="00387251"/>
    <w:rsid w:val="0038795E"/>
    <w:rsid w:val="00387C51"/>
    <w:rsid w:val="00387CF0"/>
    <w:rsid w:val="0039038C"/>
    <w:rsid w:val="003905C2"/>
    <w:rsid w:val="00390736"/>
    <w:rsid w:val="00390A41"/>
    <w:rsid w:val="00390D41"/>
    <w:rsid w:val="00390D5E"/>
    <w:rsid w:val="00390F98"/>
    <w:rsid w:val="00391C2C"/>
    <w:rsid w:val="00391C90"/>
    <w:rsid w:val="0039204D"/>
    <w:rsid w:val="0039205E"/>
    <w:rsid w:val="00392AB8"/>
    <w:rsid w:val="00392B80"/>
    <w:rsid w:val="00392B96"/>
    <w:rsid w:val="00393064"/>
    <w:rsid w:val="00393455"/>
    <w:rsid w:val="00393548"/>
    <w:rsid w:val="00393ABE"/>
    <w:rsid w:val="00395697"/>
    <w:rsid w:val="00395918"/>
    <w:rsid w:val="00395AB6"/>
    <w:rsid w:val="00396048"/>
    <w:rsid w:val="003961AA"/>
    <w:rsid w:val="0039626F"/>
    <w:rsid w:val="003968A9"/>
    <w:rsid w:val="003972AF"/>
    <w:rsid w:val="003977DB"/>
    <w:rsid w:val="003A0015"/>
    <w:rsid w:val="003A0070"/>
    <w:rsid w:val="003A0104"/>
    <w:rsid w:val="003A021B"/>
    <w:rsid w:val="003A0461"/>
    <w:rsid w:val="003A055D"/>
    <w:rsid w:val="003A0628"/>
    <w:rsid w:val="003A11F2"/>
    <w:rsid w:val="003A1769"/>
    <w:rsid w:val="003A1928"/>
    <w:rsid w:val="003A2B68"/>
    <w:rsid w:val="003A2BC6"/>
    <w:rsid w:val="003A2CAB"/>
    <w:rsid w:val="003A333D"/>
    <w:rsid w:val="003A37B4"/>
    <w:rsid w:val="003A3867"/>
    <w:rsid w:val="003A3A1F"/>
    <w:rsid w:val="003A40A4"/>
    <w:rsid w:val="003A4392"/>
    <w:rsid w:val="003A4624"/>
    <w:rsid w:val="003A5FCC"/>
    <w:rsid w:val="003A704C"/>
    <w:rsid w:val="003A756A"/>
    <w:rsid w:val="003A761C"/>
    <w:rsid w:val="003A780A"/>
    <w:rsid w:val="003A7AF9"/>
    <w:rsid w:val="003A7B36"/>
    <w:rsid w:val="003B0332"/>
    <w:rsid w:val="003B04D2"/>
    <w:rsid w:val="003B0830"/>
    <w:rsid w:val="003B0C55"/>
    <w:rsid w:val="003B0C66"/>
    <w:rsid w:val="003B1033"/>
    <w:rsid w:val="003B18C2"/>
    <w:rsid w:val="003B1B7C"/>
    <w:rsid w:val="003B21A1"/>
    <w:rsid w:val="003B3122"/>
    <w:rsid w:val="003B369B"/>
    <w:rsid w:val="003B3D67"/>
    <w:rsid w:val="003B40EA"/>
    <w:rsid w:val="003B42D7"/>
    <w:rsid w:val="003B4532"/>
    <w:rsid w:val="003B4997"/>
    <w:rsid w:val="003B5128"/>
    <w:rsid w:val="003B5B01"/>
    <w:rsid w:val="003B60EC"/>
    <w:rsid w:val="003B62B3"/>
    <w:rsid w:val="003B670F"/>
    <w:rsid w:val="003B7500"/>
    <w:rsid w:val="003B7924"/>
    <w:rsid w:val="003B7CA3"/>
    <w:rsid w:val="003B7D13"/>
    <w:rsid w:val="003B7E61"/>
    <w:rsid w:val="003B7F2D"/>
    <w:rsid w:val="003C01C0"/>
    <w:rsid w:val="003C027C"/>
    <w:rsid w:val="003C04DC"/>
    <w:rsid w:val="003C09F7"/>
    <w:rsid w:val="003C0F0A"/>
    <w:rsid w:val="003C105A"/>
    <w:rsid w:val="003C109E"/>
    <w:rsid w:val="003C1275"/>
    <w:rsid w:val="003C13D0"/>
    <w:rsid w:val="003C1801"/>
    <w:rsid w:val="003C20DB"/>
    <w:rsid w:val="003C21E0"/>
    <w:rsid w:val="003C280D"/>
    <w:rsid w:val="003C288B"/>
    <w:rsid w:val="003C2A1D"/>
    <w:rsid w:val="003C345E"/>
    <w:rsid w:val="003C3BAA"/>
    <w:rsid w:val="003C3E12"/>
    <w:rsid w:val="003C3EF5"/>
    <w:rsid w:val="003C4999"/>
    <w:rsid w:val="003C4AAB"/>
    <w:rsid w:val="003C511A"/>
    <w:rsid w:val="003C53EB"/>
    <w:rsid w:val="003C54C0"/>
    <w:rsid w:val="003C552E"/>
    <w:rsid w:val="003C64C8"/>
    <w:rsid w:val="003C67F6"/>
    <w:rsid w:val="003C7215"/>
    <w:rsid w:val="003C78B7"/>
    <w:rsid w:val="003C7A68"/>
    <w:rsid w:val="003C7C2A"/>
    <w:rsid w:val="003D02D4"/>
    <w:rsid w:val="003D06C2"/>
    <w:rsid w:val="003D0FE5"/>
    <w:rsid w:val="003D10E1"/>
    <w:rsid w:val="003D11C8"/>
    <w:rsid w:val="003D1215"/>
    <w:rsid w:val="003D1697"/>
    <w:rsid w:val="003D198D"/>
    <w:rsid w:val="003D1E87"/>
    <w:rsid w:val="003D1FEB"/>
    <w:rsid w:val="003D2384"/>
    <w:rsid w:val="003D3115"/>
    <w:rsid w:val="003D47BE"/>
    <w:rsid w:val="003D47DE"/>
    <w:rsid w:val="003D4919"/>
    <w:rsid w:val="003D4A92"/>
    <w:rsid w:val="003D4C85"/>
    <w:rsid w:val="003D56FA"/>
    <w:rsid w:val="003D575C"/>
    <w:rsid w:val="003D5892"/>
    <w:rsid w:val="003D5D44"/>
    <w:rsid w:val="003D5DD3"/>
    <w:rsid w:val="003D65AE"/>
    <w:rsid w:val="003D6BE2"/>
    <w:rsid w:val="003D7797"/>
    <w:rsid w:val="003D7FD8"/>
    <w:rsid w:val="003E038A"/>
    <w:rsid w:val="003E0D77"/>
    <w:rsid w:val="003E1399"/>
    <w:rsid w:val="003E1402"/>
    <w:rsid w:val="003E156D"/>
    <w:rsid w:val="003E185C"/>
    <w:rsid w:val="003E1B3C"/>
    <w:rsid w:val="003E1E45"/>
    <w:rsid w:val="003E27DA"/>
    <w:rsid w:val="003E280E"/>
    <w:rsid w:val="003E2BB6"/>
    <w:rsid w:val="003E2DCF"/>
    <w:rsid w:val="003E344D"/>
    <w:rsid w:val="003E3EC3"/>
    <w:rsid w:val="003E4933"/>
    <w:rsid w:val="003E4A95"/>
    <w:rsid w:val="003E4EF9"/>
    <w:rsid w:val="003E53CB"/>
    <w:rsid w:val="003E564B"/>
    <w:rsid w:val="003E5751"/>
    <w:rsid w:val="003E5AA1"/>
    <w:rsid w:val="003E5C21"/>
    <w:rsid w:val="003E63F8"/>
    <w:rsid w:val="003E64D9"/>
    <w:rsid w:val="003E67B8"/>
    <w:rsid w:val="003E6D57"/>
    <w:rsid w:val="003E71DE"/>
    <w:rsid w:val="003E72E8"/>
    <w:rsid w:val="003E7496"/>
    <w:rsid w:val="003E7559"/>
    <w:rsid w:val="003E75FA"/>
    <w:rsid w:val="003E780B"/>
    <w:rsid w:val="003E7AC3"/>
    <w:rsid w:val="003F02A3"/>
    <w:rsid w:val="003F02E9"/>
    <w:rsid w:val="003F03C6"/>
    <w:rsid w:val="003F06BA"/>
    <w:rsid w:val="003F0F76"/>
    <w:rsid w:val="003F10EE"/>
    <w:rsid w:val="003F19F3"/>
    <w:rsid w:val="003F1BC7"/>
    <w:rsid w:val="003F276C"/>
    <w:rsid w:val="003F337E"/>
    <w:rsid w:val="003F3734"/>
    <w:rsid w:val="003F38C3"/>
    <w:rsid w:val="003F3975"/>
    <w:rsid w:val="003F3EB0"/>
    <w:rsid w:val="003F4247"/>
    <w:rsid w:val="003F4DD0"/>
    <w:rsid w:val="003F5125"/>
    <w:rsid w:val="003F528F"/>
    <w:rsid w:val="003F54EB"/>
    <w:rsid w:val="003F5784"/>
    <w:rsid w:val="003F61A7"/>
    <w:rsid w:val="003F6652"/>
    <w:rsid w:val="003F66EE"/>
    <w:rsid w:val="003F6715"/>
    <w:rsid w:val="003F6962"/>
    <w:rsid w:val="003F6D18"/>
    <w:rsid w:val="004008AA"/>
    <w:rsid w:val="00400C32"/>
    <w:rsid w:val="0040139E"/>
    <w:rsid w:val="00402257"/>
    <w:rsid w:val="00402BBB"/>
    <w:rsid w:val="00402CDE"/>
    <w:rsid w:val="00403400"/>
    <w:rsid w:val="00403640"/>
    <w:rsid w:val="0040374F"/>
    <w:rsid w:val="004043EE"/>
    <w:rsid w:val="0040478D"/>
    <w:rsid w:val="004064D6"/>
    <w:rsid w:val="00406A67"/>
    <w:rsid w:val="00407A83"/>
    <w:rsid w:val="004101F3"/>
    <w:rsid w:val="00410900"/>
    <w:rsid w:val="00410936"/>
    <w:rsid w:val="00410986"/>
    <w:rsid w:val="00410FA6"/>
    <w:rsid w:val="0041112D"/>
    <w:rsid w:val="00411336"/>
    <w:rsid w:val="00411A1F"/>
    <w:rsid w:val="00411A9C"/>
    <w:rsid w:val="00412015"/>
    <w:rsid w:val="0041220B"/>
    <w:rsid w:val="0041246A"/>
    <w:rsid w:val="00412E5E"/>
    <w:rsid w:val="004133D3"/>
    <w:rsid w:val="004137B4"/>
    <w:rsid w:val="00413971"/>
    <w:rsid w:val="00413F6C"/>
    <w:rsid w:val="0041403A"/>
    <w:rsid w:val="0041453E"/>
    <w:rsid w:val="004147E2"/>
    <w:rsid w:val="00414CDE"/>
    <w:rsid w:val="0041539A"/>
    <w:rsid w:val="004155E3"/>
    <w:rsid w:val="00415616"/>
    <w:rsid w:val="00415762"/>
    <w:rsid w:val="0041598C"/>
    <w:rsid w:val="00415FF8"/>
    <w:rsid w:val="00416D01"/>
    <w:rsid w:val="00416FCD"/>
    <w:rsid w:val="004173AA"/>
    <w:rsid w:val="00417603"/>
    <w:rsid w:val="004179E8"/>
    <w:rsid w:val="004202A7"/>
    <w:rsid w:val="004207A2"/>
    <w:rsid w:val="004208C7"/>
    <w:rsid w:val="00420BBF"/>
    <w:rsid w:val="00421F21"/>
    <w:rsid w:val="004226F3"/>
    <w:rsid w:val="00422A42"/>
    <w:rsid w:val="00422BC2"/>
    <w:rsid w:val="00423449"/>
    <w:rsid w:val="0042361E"/>
    <w:rsid w:val="00423B27"/>
    <w:rsid w:val="00423BAB"/>
    <w:rsid w:val="00424978"/>
    <w:rsid w:val="004254EF"/>
    <w:rsid w:val="00425A63"/>
    <w:rsid w:val="00425DB3"/>
    <w:rsid w:val="00426028"/>
    <w:rsid w:val="004262F1"/>
    <w:rsid w:val="004266E9"/>
    <w:rsid w:val="00426707"/>
    <w:rsid w:val="00426739"/>
    <w:rsid w:val="00426CCA"/>
    <w:rsid w:val="004270E0"/>
    <w:rsid w:val="004271A6"/>
    <w:rsid w:val="0042734A"/>
    <w:rsid w:val="0042791D"/>
    <w:rsid w:val="00427F25"/>
    <w:rsid w:val="00430CCA"/>
    <w:rsid w:val="00430F03"/>
    <w:rsid w:val="004314BA"/>
    <w:rsid w:val="00431ADD"/>
    <w:rsid w:val="00432C46"/>
    <w:rsid w:val="00432C5C"/>
    <w:rsid w:val="004330E5"/>
    <w:rsid w:val="00433C10"/>
    <w:rsid w:val="00433CF1"/>
    <w:rsid w:val="00433FF4"/>
    <w:rsid w:val="004352B9"/>
    <w:rsid w:val="004354FE"/>
    <w:rsid w:val="004355D0"/>
    <w:rsid w:val="004357C4"/>
    <w:rsid w:val="00436432"/>
    <w:rsid w:val="00436B40"/>
    <w:rsid w:val="00436FFA"/>
    <w:rsid w:val="004376CB"/>
    <w:rsid w:val="00437E3D"/>
    <w:rsid w:val="0044096B"/>
    <w:rsid w:val="00440AA6"/>
    <w:rsid w:val="00440DF1"/>
    <w:rsid w:val="004411A8"/>
    <w:rsid w:val="00441497"/>
    <w:rsid w:val="0044184B"/>
    <w:rsid w:val="00441BB7"/>
    <w:rsid w:val="00441CE4"/>
    <w:rsid w:val="00442310"/>
    <w:rsid w:val="0044249A"/>
    <w:rsid w:val="00442853"/>
    <w:rsid w:val="00442A60"/>
    <w:rsid w:val="00443534"/>
    <w:rsid w:val="004444F5"/>
    <w:rsid w:val="004453F2"/>
    <w:rsid w:val="00445610"/>
    <w:rsid w:val="00445D50"/>
    <w:rsid w:val="0044613C"/>
    <w:rsid w:val="00446451"/>
    <w:rsid w:val="0044724F"/>
    <w:rsid w:val="00447475"/>
    <w:rsid w:val="004475F5"/>
    <w:rsid w:val="004502B7"/>
    <w:rsid w:val="0045034C"/>
    <w:rsid w:val="004506C1"/>
    <w:rsid w:val="0045159A"/>
    <w:rsid w:val="00451C0C"/>
    <w:rsid w:val="00451DB6"/>
    <w:rsid w:val="00452282"/>
    <w:rsid w:val="00453388"/>
    <w:rsid w:val="0045341A"/>
    <w:rsid w:val="00453893"/>
    <w:rsid w:val="00453DC2"/>
    <w:rsid w:val="00454DB4"/>
    <w:rsid w:val="0045582D"/>
    <w:rsid w:val="00455C81"/>
    <w:rsid w:val="00455EAF"/>
    <w:rsid w:val="004564C8"/>
    <w:rsid w:val="00456B9F"/>
    <w:rsid w:val="004571B5"/>
    <w:rsid w:val="004576C6"/>
    <w:rsid w:val="004578F4"/>
    <w:rsid w:val="00457E58"/>
    <w:rsid w:val="00457EB5"/>
    <w:rsid w:val="00457ECA"/>
    <w:rsid w:val="004608BF"/>
    <w:rsid w:val="00460AC3"/>
    <w:rsid w:val="00460C13"/>
    <w:rsid w:val="004615B0"/>
    <w:rsid w:val="004618D9"/>
    <w:rsid w:val="00461977"/>
    <w:rsid w:val="004619AD"/>
    <w:rsid w:val="00462210"/>
    <w:rsid w:val="004625FA"/>
    <w:rsid w:val="0046273A"/>
    <w:rsid w:val="004629E2"/>
    <w:rsid w:val="004629E7"/>
    <w:rsid w:val="00462AF4"/>
    <w:rsid w:val="00462B5C"/>
    <w:rsid w:val="0046348C"/>
    <w:rsid w:val="00463583"/>
    <w:rsid w:val="004635B9"/>
    <w:rsid w:val="0046413D"/>
    <w:rsid w:val="00464ABA"/>
    <w:rsid w:val="00464C44"/>
    <w:rsid w:val="00464C90"/>
    <w:rsid w:val="00464E36"/>
    <w:rsid w:val="00465A47"/>
    <w:rsid w:val="00465B26"/>
    <w:rsid w:val="00465D48"/>
    <w:rsid w:val="00465EEF"/>
    <w:rsid w:val="0046608C"/>
    <w:rsid w:val="0046628D"/>
    <w:rsid w:val="00466FCA"/>
    <w:rsid w:val="00467386"/>
    <w:rsid w:val="004674A6"/>
    <w:rsid w:val="0046767E"/>
    <w:rsid w:val="00470220"/>
    <w:rsid w:val="0047258B"/>
    <w:rsid w:val="004729A3"/>
    <w:rsid w:val="00472BB3"/>
    <w:rsid w:val="00472FB8"/>
    <w:rsid w:val="00472FEF"/>
    <w:rsid w:val="004737BF"/>
    <w:rsid w:val="004737CA"/>
    <w:rsid w:val="00473CC7"/>
    <w:rsid w:val="00474166"/>
    <w:rsid w:val="00474335"/>
    <w:rsid w:val="00474BD5"/>
    <w:rsid w:val="00474E49"/>
    <w:rsid w:val="004750BD"/>
    <w:rsid w:val="00475A37"/>
    <w:rsid w:val="00475C0F"/>
    <w:rsid w:val="004762CB"/>
    <w:rsid w:val="004763D9"/>
    <w:rsid w:val="00476499"/>
    <w:rsid w:val="00477924"/>
    <w:rsid w:val="004779B8"/>
    <w:rsid w:val="0048046B"/>
    <w:rsid w:val="0048070D"/>
    <w:rsid w:val="004809BA"/>
    <w:rsid w:val="004810F3"/>
    <w:rsid w:val="00481E37"/>
    <w:rsid w:val="00482021"/>
    <w:rsid w:val="0048267B"/>
    <w:rsid w:val="00482949"/>
    <w:rsid w:val="00482A8C"/>
    <w:rsid w:val="00482C54"/>
    <w:rsid w:val="00483113"/>
    <w:rsid w:val="00483479"/>
    <w:rsid w:val="00483F7F"/>
    <w:rsid w:val="004843E7"/>
    <w:rsid w:val="004843F7"/>
    <w:rsid w:val="004846C8"/>
    <w:rsid w:val="00484AFB"/>
    <w:rsid w:val="00484F3E"/>
    <w:rsid w:val="004851B4"/>
    <w:rsid w:val="00485B5A"/>
    <w:rsid w:val="00485BD2"/>
    <w:rsid w:val="00486437"/>
    <w:rsid w:val="004869AE"/>
    <w:rsid w:val="004872FA"/>
    <w:rsid w:val="004874DC"/>
    <w:rsid w:val="0049017D"/>
    <w:rsid w:val="00490517"/>
    <w:rsid w:val="004905AF"/>
    <w:rsid w:val="004907F6"/>
    <w:rsid w:val="00490A49"/>
    <w:rsid w:val="00490B5E"/>
    <w:rsid w:val="00490E55"/>
    <w:rsid w:val="0049124C"/>
    <w:rsid w:val="004914AC"/>
    <w:rsid w:val="00491668"/>
    <w:rsid w:val="0049280B"/>
    <w:rsid w:val="00492890"/>
    <w:rsid w:val="00492A86"/>
    <w:rsid w:val="004939A9"/>
    <w:rsid w:val="00493B0B"/>
    <w:rsid w:val="00493D32"/>
    <w:rsid w:val="00493E66"/>
    <w:rsid w:val="00494430"/>
    <w:rsid w:val="0049460F"/>
    <w:rsid w:val="00495326"/>
    <w:rsid w:val="00495493"/>
    <w:rsid w:val="004960B2"/>
    <w:rsid w:val="00496AB0"/>
    <w:rsid w:val="0049756C"/>
    <w:rsid w:val="00497DF3"/>
    <w:rsid w:val="004A0194"/>
    <w:rsid w:val="004A09FE"/>
    <w:rsid w:val="004A1379"/>
    <w:rsid w:val="004A13B6"/>
    <w:rsid w:val="004A141F"/>
    <w:rsid w:val="004A14D6"/>
    <w:rsid w:val="004A14F5"/>
    <w:rsid w:val="004A1666"/>
    <w:rsid w:val="004A1905"/>
    <w:rsid w:val="004A1D8A"/>
    <w:rsid w:val="004A1E24"/>
    <w:rsid w:val="004A216D"/>
    <w:rsid w:val="004A233B"/>
    <w:rsid w:val="004A233E"/>
    <w:rsid w:val="004A2F3F"/>
    <w:rsid w:val="004A3795"/>
    <w:rsid w:val="004A3899"/>
    <w:rsid w:val="004A399B"/>
    <w:rsid w:val="004A39FA"/>
    <w:rsid w:val="004A45FA"/>
    <w:rsid w:val="004A4F0F"/>
    <w:rsid w:val="004A4FBD"/>
    <w:rsid w:val="004A5036"/>
    <w:rsid w:val="004A5E15"/>
    <w:rsid w:val="004A6803"/>
    <w:rsid w:val="004A68F6"/>
    <w:rsid w:val="004A7E82"/>
    <w:rsid w:val="004A7F4D"/>
    <w:rsid w:val="004B066A"/>
    <w:rsid w:val="004B0711"/>
    <w:rsid w:val="004B08AC"/>
    <w:rsid w:val="004B09C1"/>
    <w:rsid w:val="004B0D93"/>
    <w:rsid w:val="004B0E25"/>
    <w:rsid w:val="004B18BD"/>
    <w:rsid w:val="004B198C"/>
    <w:rsid w:val="004B1C81"/>
    <w:rsid w:val="004B2194"/>
    <w:rsid w:val="004B3406"/>
    <w:rsid w:val="004B36FC"/>
    <w:rsid w:val="004B3757"/>
    <w:rsid w:val="004B3B07"/>
    <w:rsid w:val="004B3B0C"/>
    <w:rsid w:val="004B413F"/>
    <w:rsid w:val="004B42D1"/>
    <w:rsid w:val="004B499B"/>
    <w:rsid w:val="004B4EB9"/>
    <w:rsid w:val="004B5687"/>
    <w:rsid w:val="004B5AAB"/>
    <w:rsid w:val="004B5B6F"/>
    <w:rsid w:val="004B5D3E"/>
    <w:rsid w:val="004B612D"/>
    <w:rsid w:val="004B695B"/>
    <w:rsid w:val="004B7046"/>
    <w:rsid w:val="004B7083"/>
    <w:rsid w:val="004B7E42"/>
    <w:rsid w:val="004B7FEA"/>
    <w:rsid w:val="004C034D"/>
    <w:rsid w:val="004C0DC8"/>
    <w:rsid w:val="004C124E"/>
    <w:rsid w:val="004C14D5"/>
    <w:rsid w:val="004C15F8"/>
    <w:rsid w:val="004C1A6B"/>
    <w:rsid w:val="004C1F36"/>
    <w:rsid w:val="004C2210"/>
    <w:rsid w:val="004C223C"/>
    <w:rsid w:val="004C2F41"/>
    <w:rsid w:val="004C304A"/>
    <w:rsid w:val="004C3225"/>
    <w:rsid w:val="004C38A7"/>
    <w:rsid w:val="004C3B31"/>
    <w:rsid w:val="004C43B4"/>
    <w:rsid w:val="004C47A8"/>
    <w:rsid w:val="004C49B6"/>
    <w:rsid w:val="004C5AC3"/>
    <w:rsid w:val="004C5C5C"/>
    <w:rsid w:val="004C67AE"/>
    <w:rsid w:val="004C69CF"/>
    <w:rsid w:val="004C7230"/>
    <w:rsid w:val="004C7294"/>
    <w:rsid w:val="004C7691"/>
    <w:rsid w:val="004D04A1"/>
    <w:rsid w:val="004D05CD"/>
    <w:rsid w:val="004D1167"/>
    <w:rsid w:val="004D12EB"/>
    <w:rsid w:val="004D1829"/>
    <w:rsid w:val="004D1CB2"/>
    <w:rsid w:val="004D1DCA"/>
    <w:rsid w:val="004D2AD0"/>
    <w:rsid w:val="004D2ED4"/>
    <w:rsid w:val="004D2F7F"/>
    <w:rsid w:val="004D33DF"/>
    <w:rsid w:val="004D34B8"/>
    <w:rsid w:val="004D3C5B"/>
    <w:rsid w:val="004D4967"/>
    <w:rsid w:val="004D4D02"/>
    <w:rsid w:val="004D4EDB"/>
    <w:rsid w:val="004D4EFA"/>
    <w:rsid w:val="004D505D"/>
    <w:rsid w:val="004D5EB2"/>
    <w:rsid w:val="004D6075"/>
    <w:rsid w:val="004D6A25"/>
    <w:rsid w:val="004D6F70"/>
    <w:rsid w:val="004D729D"/>
    <w:rsid w:val="004D73B9"/>
    <w:rsid w:val="004D7968"/>
    <w:rsid w:val="004D7F67"/>
    <w:rsid w:val="004E038C"/>
    <w:rsid w:val="004E0A06"/>
    <w:rsid w:val="004E0DD0"/>
    <w:rsid w:val="004E107D"/>
    <w:rsid w:val="004E1481"/>
    <w:rsid w:val="004E1DC0"/>
    <w:rsid w:val="004E2FE3"/>
    <w:rsid w:val="004E3C2F"/>
    <w:rsid w:val="004E3FA7"/>
    <w:rsid w:val="004E42AF"/>
    <w:rsid w:val="004E43D2"/>
    <w:rsid w:val="004E4F6E"/>
    <w:rsid w:val="004E5241"/>
    <w:rsid w:val="004E5505"/>
    <w:rsid w:val="004E5994"/>
    <w:rsid w:val="004E63E7"/>
    <w:rsid w:val="004E6644"/>
    <w:rsid w:val="004E6874"/>
    <w:rsid w:val="004E6F7B"/>
    <w:rsid w:val="004E6F96"/>
    <w:rsid w:val="004E6FFF"/>
    <w:rsid w:val="004E7471"/>
    <w:rsid w:val="004E7717"/>
    <w:rsid w:val="004E7C8D"/>
    <w:rsid w:val="004F01B4"/>
    <w:rsid w:val="004F046C"/>
    <w:rsid w:val="004F0AB4"/>
    <w:rsid w:val="004F0AD2"/>
    <w:rsid w:val="004F12F1"/>
    <w:rsid w:val="004F1390"/>
    <w:rsid w:val="004F1ADE"/>
    <w:rsid w:val="004F2869"/>
    <w:rsid w:val="004F296D"/>
    <w:rsid w:val="004F2E2F"/>
    <w:rsid w:val="004F2ECE"/>
    <w:rsid w:val="004F2F7E"/>
    <w:rsid w:val="004F3093"/>
    <w:rsid w:val="004F4A00"/>
    <w:rsid w:val="004F4D26"/>
    <w:rsid w:val="004F4E2F"/>
    <w:rsid w:val="004F517E"/>
    <w:rsid w:val="004F52A7"/>
    <w:rsid w:val="004F542E"/>
    <w:rsid w:val="004F5488"/>
    <w:rsid w:val="004F59F9"/>
    <w:rsid w:val="004F6248"/>
    <w:rsid w:val="004F646B"/>
    <w:rsid w:val="004F65AD"/>
    <w:rsid w:val="004F6664"/>
    <w:rsid w:val="004F754D"/>
    <w:rsid w:val="004F75A8"/>
    <w:rsid w:val="005003E8"/>
    <w:rsid w:val="00500BB6"/>
    <w:rsid w:val="00501332"/>
    <w:rsid w:val="005013C4"/>
    <w:rsid w:val="005018F4"/>
    <w:rsid w:val="00502216"/>
    <w:rsid w:val="00502661"/>
    <w:rsid w:val="00502948"/>
    <w:rsid w:val="00502FD5"/>
    <w:rsid w:val="00503645"/>
    <w:rsid w:val="0050387D"/>
    <w:rsid w:val="00503979"/>
    <w:rsid w:val="00503DAF"/>
    <w:rsid w:val="00503E42"/>
    <w:rsid w:val="00504161"/>
    <w:rsid w:val="00504349"/>
    <w:rsid w:val="00504D3B"/>
    <w:rsid w:val="00505603"/>
    <w:rsid w:val="00505805"/>
    <w:rsid w:val="00505E1B"/>
    <w:rsid w:val="00505F33"/>
    <w:rsid w:val="0050676A"/>
    <w:rsid w:val="00506D3D"/>
    <w:rsid w:val="005072DC"/>
    <w:rsid w:val="00507657"/>
    <w:rsid w:val="00507A35"/>
    <w:rsid w:val="00507DCA"/>
    <w:rsid w:val="0051017A"/>
    <w:rsid w:val="00510593"/>
    <w:rsid w:val="0051086C"/>
    <w:rsid w:val="00511680"/>
    <w:rsid w:val="00511D7A"/>
    <w:rsid w:val="00511FAC"/>
    <w:rsid w:val="00512913"/>
    <w:rsid w:val="00512944"/>
    <w:rsid w:val="00512A98"/>
    <w:rsid w:val="00512AD6"/>
    <w:rsid w:val="00513627"/>
    <w:rsid w:val="0051389A"/>
    <w:rsid w:val="00513CF9"/>
    <w:rsid w:val="00513D75"/>
    <w:rsid w:val="00513E97"/>
    <w:rsid w:val="00514C27"/>
    <w:rsid w:val="005158BF"/>
    <w:rsid w:val="0051595F"/>
    <w:rsid w:val="00516045"/>
    <w:rsid w:val="005161D4"/>
    <w:rsid w:val="005161FD"/>
    <w:rsid w:val="00516B96"/>
    <w:rsid w:val="00517596"/>
    <w:rsid w:val="00517A83"/>
    <w:rsid w:val="00517C6A"/>
    <w:rsid w:val="00517F7E"/>
    <w:rsid w:val="0052018D"/>
    <w:rsid w:val="00520260"/>
    <w:rsid w:val="00520384"/>
    <w:rsid w:val="00520814"/>
    <w:rsid w:val="00520905"/>
    <w:rsid w:val="00520AE4"/>
    <w:rsid w:val="00520FE6"/>
    <w:rsid w:val="00521153"/>
    <w:rsid w:val="005214BB"/>
    <w:rsid w:val="00521D0E"/>
    <w:rsid w:val="00522167"/>
    <w:rsid w:val="0052251C"/>
    <w:rsid w:val="005226E9"/>
    <w:rsid w:val="00522E9F"/>
    <w:rsid w:val="0052336E"/>
    <w:rsid w:val="005238B3"/>
    <w:rsid w:val="00523E89"/>
    <w:rsid w:val="00523F2B"/>
    <w:rsid w:val="00523F6D"/>
    <w:rsid w:val="00524242"/>
    <w:rsid w:val="00524808"/>
    <w:rsid w:val="00524ABC"/>
    <w:rsid w:val="00524FD1"/>
    <w:rsid w:val="005250FD"/>
    <w:rsid w:val="00525261"/>
    <w:rsid w:val="0052563A"/>
    <w:rsid w:val="0052632C"/>
    <w:rsid w:val="0052654E"/>
    <w:rsid w:val="00526688"/>
    <w:rsid w:val="00527423"/>
    <w:rsid w:val="00527712"/>
    <w:rsid w:val="00527900"/>
    <w:rsid w:val="0053027A"/>
    <w:rsid w:val="00530F61"/>
    <w:rsid w:val="005319F0"/>
    <w:rsid w:val="00531D11"/>
    <w:rsid w:val="00531FE3"/>
    <w:rsid w:val="00532D23"/>
    <w:rsid w:val="00532FED"/>
    <w:rsid w:val="00533179"/>
    <w:rsid w:val="0053318F"/>
    <w:rsid w:val="00533A29"/>
    <w:rsid w:val="00533CE0"/>
    <w:rsid w:val="00534656"/>
    <w:rsid w:val="00534A4C"/>
    <w:rsid w:val="00534A88"/>
    <w:rsid w:val="00534D97"/>
    <w:rsid w:val="00534F5D"/>
    <w:rsid w:val="005350FD"/>
    <w:rsid w:val="005352BD"/>
    <w:rsid w:val="005357EB"/>
    <w:rsid w:val="0053604D"/>
    <w:rsid w:val="00536474"/>
    <w:rsid w:val="00536A97"/>
    <w:rsid w:val="00536D37"/>
    <w:rsid w:val="0053711D"/>
    <w:rsid w:val="00537343"/>
    <w:rsid w:val="00537442"/>
    <w:rsid w:val="005375AE"/>
    <w:rsid w:val="00537C61"/>
    <w:rsid w:val="00540743"/>
    <w:rsid w:val="00540756"/>
    <w:rsid w:val="005407F5"/>
    <w:rsid w:val="00540A64"/>
    <w:rsid w:val="00540CE5"/>
    <w:rsid w:val="00541340"/>
    <w:rsid w:val="0054160E"/>
    <w:rsid w:val="00541750"/>
    <w:rsid w:val="00541FBC"/>
    <w:rsid w:val="00542117"/>
    <w:rsid w:val="0054223E"/>
    <w:rsid w:val="005422E0"/>
    <w:rsid w:val="00542ABA"/>
    <w:rsid w:val="00542D02"/>
    <w:rsid w:val="00542D23"/>
    <w:rsid w:val="0054300B"/>
    <w:rsid w:val="0054362A"/>
    <w:rsid w:val="00544253"/>
    <w:rsid w:val="00544762"/>
    <w:rsid w:val="0054505C"/>
    <w:rsid w:val="005452DC"/>
    <w:rsid w:val="005453B5"/>
    <w:rsid w:val="005455AD"/>
    <w:rsid w:val="00545867"/>
    <w:rsid w:val="00546040"/>
    <w:rsid w:val="0054614E"/>
    <w:rsid w:val="005461F4"/>
    <w:rsid w:val="00546967"/>
    <w:rsid w:val="0055043B"/>
    <w:rsid w:val="0055080F"/>
    <w:rsid w:val="00551212"/>
    <w:rsid w:val="00551377"/>
    <w:rsid w:val="005516D1"/>
    <w:rsid w:val="00551B2B"/>
    <w:rsid w:val="0055205B"/>
    <w:rsid w:val="0055208C"/>
    <w:rsid w:val="005523E1"/>
    <w:rsid w:val="005528D5"/>
    <w:rsid w:val="00552C12"/>
    <w:rsid w:val="00553296"/>
    <w:rsid w:val="005533C2"/>
    <w:rsid w:val="005533FF"/>
    <w:rsid w:val="005534D9"/>
    <w:rsid w:val="005537C3"/>
    <w:rsid w:val="005539C8"/>
    <w:rsid w:val="00553E42"/>
    <w:rsid w:val="00553F3A"/>
    <w:rsid w:val="00553F5B"/>
    <w:rsid w:val="00554208"/>
    <w:rsid w:val="0055446B"/>
    <w:rsid w:val="005546A2"/>
    <w:rsid w:val="005558BA"/>
    <w:rsid w:val="00555AC4"/>
    <w:rsid w:val="00555F73"/>
    <w:rsid w:val="005571E1"/>
    <w:rsid w:val="005575F3"/>
    <w:rsid w:val="00557B7C"/>
    <w:rsid w:val="00560644"/>
    <w:rsid w:val="005606A2"/>
    <w:rsid w:val="005613B3"/>
    <w:rsid w:val="00561451"/>
    <w:rsid w:val="00561EDD"/>
    <w:rsid w:val="00561FCA"/>
    <w:rsid w:val="00562796"/>
    <w:rsid w:val="00562C5B"/>
    <w:rsid w:val="00562F3A"/>
    <w:rsid w:val="00562F94"/>
    <w:rsid w:val="005635EF"/>
    <w:rsid w:val="005637B0"/>
    <w:rsid w:val="00563E04"/>
    <w:rsid w:val="00563E94"/>
    <w:rsid w:val="00563EFA"/>
    <w:rsid w:val="005643F7"/>
    <w:rsid w:val="00564A0D"/>
    <w:rsid w:val="00564E7D"/>
    <w:rsid w:val="005664F4"/>
    <w:rsid w:val="00566C97"/>
    <w:rsid w:val="00566CC2"/>
    <w:rsid w:val="0056769D"/>
    <w:rsid w:val="0056787B"/>
    <w:rsid w:val="00567BE9"/>
    <w:rsid w:val="005700EB"/>
    <w:rsid w:val="00570379"/>
    <w:rsid w:val="00570600"/>
    <w:rsid w:val="00570C8A"/>
    <w:rsid w:val="00570D09"/>
    <w:rsid w:val="0057107E"/>
    <w:rsid w:val="005710B7"/>
    <w:rsid w:val="0057178E"/>
    <w:rsid w:val="0057192C"/>
    <w:rsid w:val="0057197E"/>
    <w:rsid w:val="00571B11"/>
    <w:rsid w:val="00571B70"/>
    <w:rsid w:val="00571F78"/>
    <w:rsid w:val="00572C1A"/>
    <w:rsid w:val="00573587"/>
    <w:rsid w:val="005736F3"/>
    <w:rsid w:val="005739A8"/>
    <w:rsid w:val="00573FBB"/>
    <w:rsid w:val="00574092"/>
    <w:rsid w:val="005747DE"/>
    <w:rsid w:val="00574CF4"/>
    <w:rsid w:val="00575205"/>
    <w:rsid w:val="00575A04"/>
    <w:rsid w:val="00575E77"/>
    <w:rsid w:val="00575E96"/>
    <w:rsid w:val="005763DF"/>
    <w:rsid w:val="005771BE"/>
    <w:rsid w:val="00577520"/>
    <w:rsid w:val="00577815"/>
    <w:rsid w:val="00577954"/>
    <w:rsid w:val="00577E96"/>
    <w:rsid w:val="005803CC"/>
    <w:rsid w:val="00580430"/>
    <w:rsid w:val="00580501"/>
    <w:rsid w:val="00580745"/>
    <w:rsid w:val="005810FE"/>
    <w:rsid w:val="00581B48"/>
    <w:rsid w:val="00581E23"/>
    <w:rsid w:val="00581E41"/>
    <w:rsid w:val="005820A2"/>
    <w:rsid w:val="0058221B"/>
    <w:rsid w:val="005823EF"/>
    <w:rsid w:val="005827B3"/>
    <w:rsid w:val="005830DD"/>
    <w:rsid w:val="005831A6"/>
    <w:rsid w:val="005836C6"/>
    <w:rsid w:val="0058373B"/>
    <w:rsid w:val="00583B83"/>
    <w:rsid w:val="00583C4E"/>
    <w:rsid w:val="00583D05"/>
    <w:rsid w:val="00583ED3"/>
    <w:rsid w:val="00583FDE"/>
    <w:rsid w:val="0058420D"/>
    <w:rsid w:val="00584505"/>
    <w:rsid w:val="00584509"/>
    <w:rsid w:val="00584DF5"/>
    <w:rsid w:val="00585168"/>
    <w:rsid w:val="00585185"/>
    <w:rsid w:val="00585337"/>
    <w:rsid w:val="00585B74"/>
    <w:rsid w:val="00586059"/>
    <w:rsid w:val="005862B0"/>
    <w:rsid w:val="0058632B"/>
    <w:rsid w:val="00586358"/>
    <w:rsid w:val="005865FD"/>
    <w:rsid w:val="0058697C"/>
    <w:rsid w:val="00586EE6"/>
    <w:rsid w:val="00586F71"/>
    <w:rsid w:val="005901B1"/>
    <w:rsid w:val="00590519"/>
    <w:rsid w:val="00590946"/>
    <w:rsid w:val="00590F77"/>
    <w:rsid w:val="00590FCE"/>
    <w:rsid w:val="0059178A"/>
    <w:rsid w:val="00591CF9"/>
    <w:rsid w:val="00591D65"/>
    <w:rsid w:val="00591E35"/>
    <w:rsid w:val="00592237"/>
    <w:rsid w:val="0059243D"/>
    <w:rsid w:val="00592A94"/>
    <w:rsid w:val="00593559"/>
    <w:rsid w:val="00593821"/>
    <w:rsid w:val="00593A2C"/>
    <w:rsid w:val="00593C26"/>
    <w:rsid w:val="00593DAF"/>
    <w:rsid w:val="00594F2A"/>
    <w:rsid w:val="00595313"/>
    <w:rsid w:val="00595EF7"/>
    <w:rsid w:val="005969F4"/>
    <w:rsid w:val="00596F75"/>
    <w:rsid w:val="0059785A"/>
    <w:rsid w:val="005A01B6"/>
    <w:rsid w:val="005A104B"/>
    <w:rsid w:val="005A1248"/>
    <w:rsid w:val="005A1FAB"/>
    <w:rsid w:val="005A2580"/>
    <w:rsid w:val="005A27D9"/>
    <w:rsid w:val="005A2817"/>
    <w:rsid w:val="005A2B44"/>
    <w:rsid w:val="005A2B7F"/>
    <w:rsid w:val="005A2C7B"/>
    <w:rsid w:val="005A2F25"/>
    <w:rsid w:val="005A36C0"/>
    <w:rsid w:val="005A3A61"/>
    <w:rsid w:val="005A3B9A"/>
    <w:rsid w:val="005A3DA8"/>
    <w:rsid w:val="005A3EDF"/>
    <w:rsid w:val="005A430D"/>
    <w:rsid w:val="005A4539"/>
    <w:rsid w:val="005A458E"/>
    <w:rsid w:val="005A486A"/>
    <w:rsid w:val="005A4906"/>
    <w:rsid w:val="005A4C49"/>
    <w:rsid w:val="005A4D5B"/>
    <w:rsid w:val="005A4F31"/>
    <w:rsid w:val="005A56EB"/>
    <w:rsid w:val="005A5C86"/>
    <w:rsid w:val="005A6159"/>
    <w:rsid w:val="005A63A2"/>
    <w:rsid w:val="005A757D"/>
    <w:rsid w:val="005B0076"/>
    <w:rsid w:val="005B0233"/>
    <w:rsid w:val="005B0342"/>
    <w:rsid w:val="005B0394"/>
    <w:rsid w:val="005B05BD"/>
    <w:rsid w:val="005B0A6C"/>
    <w:rsid w:val="005B14A4"/>
    <w:rsid w:val="005B14FF"/>
    <w:rsid w:val="005B2022"/>
    <w:rsid w:val="005B2463"/>
    <w:rsid w:val="005B39B4"/>
    <w:rsid w:val="005B3B2E"/>
    <w:rsid w:val="005B3DD4"/>
    <w:rsid w:val="005B4025"/>
    <w:rsid w:val="005B420A"/>
    <w:rsid w:val="005B47F1"/>
    <w:rsid w:val="005B5C37"/>
    <w:rsid w:val="005B5D9B"/>
    <w:rsid w:val="005B5EB9"/>
    <w:rsid w:val="005B672F"/>
    <w:rsid w:val="005B7343"/>
    <w:rsid w:val="005B73EF"/>
    <w:rsid w:val="005C00C8"/>
    <w:rsid w:val="005C05CD"/>
    <w:rsid w:val="005C08D8"/>
    <w:rsid w:val="005C0E53"/>
    <w:rsid w:val="005C0EBC"/>
    <w:rsid w:val="005C1FA2"/>
    <w:rsid w:val="005C23D2"/>
    <w:rsid w:val="005C30E6"/>
    <w:rsid w:val="005C36B0"/>
    <w:rsid w:val="005C427C"/>
    <w:rsid w:val="005C48C2"/>
    <w:rsid w:val="005C4F09"/>
    <w:rsid w:val="005C518F"/>
    <w:rsid w:val="005C5524"/>
    <w:rsid w:val="005C5540"/>
    <w:rsid w:val="005C5760"/>
    <w:rsid w:val="005C5AF0"/>
    <w:rsid w:val="005C5B49"/>
    <w:rsid w:val="005C620F"/>
    <w:rsid w:val="005C6625"/>
    <w:rsid w:val="005C6680"/>
    <w:rsid w:val="005C6738"/>
    <w:rsid w:val="005C6984"/>
    <w:rsid w:val="005C6C71"/>
    <w:rsid w:val="005C6D0A"/>
    <w:rsid w:val="005C7090"/>
    <w:rsid w:val="005C7461"/>
    <w:rsid w:val="005C7475"/>
    <w:rsid w:val="005C7F5A"/>
    <w:rsid w:val="005D0018"/>
    <w:rsid w:val="005D0341"/>
    <w:rsid w:val="005D0508"/>
    <w:rsid w:val="005D0537"/>
    <w:rsid w:val="005D05CD"/>
    <w:rsid w:val="005D0C5A"/>
    <w:rsid w:val="005D0E89"/>
    <w:rsid w:val="005D147A"/>
    <w:rsid w:val="005D14CE"/>
    <w:rsid w:val="005D1867"/>
    <w:rsid w:val="005D213B"/>
    <w:rsid w:val="005D218B"/>
    <w:rsid w:val="005D2ABB"/>
    <w:rsid w:val="005D2DA7"/>
    <w:rsid w:val="005D316E"/>
    <w:rsid w:val="005D39B1"/>
    <w:rsid w:val="005D3D64"/>
    <w:rsid w:val="005D4333"/>
    <w:rsid w:val="005D46AC"/>
    <w:rsid w:val="005D5307"/>
    <w:rsid w:val="005D5503"/>
    <w:rsid w:val="005D57C2"/>
    <w:rsid w:val="005D5D10"/>
    <w:rsid w:val="005D6171"/>
    <w:rsid w:val="005D63B4"/>
    <w:rsid w:val="005D6509"/>
    <w:rsid w:val="005D66F9"/>
    <w:rsid w:val="005D7168"/>
    <w:rsid w:val="005D781D"/>
    <w:rsid w:val="005D7AF8"/>
    <w:rsid w:val="005E010F"/>
    <w:rsid w:val="005E02BB"/>
    <w:rsid w:val="005E0F34"/>
    <w:rsid w:val="005E15B3"/>
    <w:rsid w:val="005E15F1"/>
    <w:rsid w:val="005E178D"/>
    <w:rsid w:val="005E1D50"/>
    <w:rsid w:val="005E2A11"/>
    <w:rsid w:val="005E2CFA"/>
    <w:rsid w:val="005E30DF"/>
    <w:rsid w:val="005E32B9"/>
    <w:rsid w:val="005E3CA7"/>
    <w:rsid w:val="005E4247"/>
    <w:rsid w:val="005E436D"/>
    <w:rsid w:val="005E43E9"/>
    <w:rsid w:val="005E4567"/>
    <w:rsid w:val="005E4BCE"/>
    <w:rsid w:val="005E4ED5"/>
    <w:rsid w:val="005E4F7F"/>
    <w:rsid w:val="005E517D"/>
    <w:rsid w:val="005E5BF9"/>
    <w:rsid w:val="005E5C6A"/>
    <w:rsid w:val="005E6080"/>
    <w:rsid w:val="005E613A"/>
    <w:rsid w:val="005E620B"/>
    <w:rsid w:val="005E6886"/>
    <w:rsid w:val="005E70AD"/>
    <w:rsid w:val="005E7B9A"/>
    <w:rsid w:val="005E7F3B"/>
    <w:rsid w:val="005F02E7"/>
    <w:rsid w:val="005F07D0"/>
    <w:rsid w:val="005F0845"/>
    <w:rsid w:val="005F19DD"/>
    <w:rsid w:val="005F1DCC"/>
    <w:rsid w:val="005F1EB1"/>
    <w:rsid w:val="005F2696"/>
    <w:rsid w:val="005F27DD"/>
    <w:rsid w:val="005F2863"/>
    <w:rsid w:val="005F28CD"/>
    <w:rsid w:val="005F35D6"/>
    <w:rsid w:val="005F364F"/>
    <w:rsid w:val="005F396F"/>
    <w:rsid w:val="005F3AC9"/>
    <w:rsid w:val="005F3CF8"/>
    <w:rsid w:val="005F3D07"/>
    <w:rsid w:val="005F4205"/>
    <w:rsid w:val="005F4219"/>
    <w:rsid w:val="005F435C"/>
    <w:rsid w:val="005F51A1"/>
    <w:rsid w:val="005F5647"/>
    <w:rsid w:val="005F5765"/>
    <w:rsid w:val="005F5A1F"/>
    <w:rsid w:val="005F5ED1"/>
    <w:rsid w:val="005F6BFB"/>
    <w:rsid w:val="005F6F09"/>
    <w:rsid w:val="005F7987"/>
    <w:rsid w:val="0060009C"/>
    <w:rsid w:val="006009EA"/>
    <w:rsid w:val="0060119A"/>
    <w:rsid w:val="006015A6"/>
    <w:rsid w:val="00602118"/>
    <w:rsid w:val="00602540"/>
    <w:rsid w:val="00602AA4"/>
    <w:rsid w:val="0060319A"/>
    <w:rsid w:val="006038CF"/>
    <w:rsid w:val="00603DDD"/>
    <w:rsid w:val="00603FA4"/>
    <w:rsid w:val="006043B0"/>
    <w:rsid w:val="00604496"/>
    <w:rsid w:val="00604886"/>
    <w:rsid w:val="006048A4"/>
    <w:rsid w:val="00604B2C"/>
    <w:rsid w:val="00604B45"/>
    <w:rsid w:val="006050C3"/>
    <w:rsid w:val="0060553A"/>
    <w:rsid w:val="0060580F"/>
    <w:rsid w:val="00605C88"/>
    <w:rsid w:val="00605F96"/>
    <w:rsid w:val="0060645E"/>
    <w:rsid w:val="006066CF"/>
    <w:rsid w:val="00606844"/>
    <w:rsid w:val="00607678"/>
    <w:rsid w:val="00607E59"/>
    <w:rsid w:val="00610172"/>
    <w:rsid w:val="00610A95"/>
    <w:rsid w:val="00610E02"/>
    <w:rsid w:val="00610FE1"/>
    <w:rsid w:val="00611F05"/>
    <w:rsid w:val="0061212D"/>
    <w:rsid w:val="00612428"/>
    <w:rsid w:val="00612952"/>
    <w:rsid w:val="0061345E"/>
    <w:rsid w:val="00613B9B"/>
    <w:rsid w:val="00613D5A"/>
    <w:rsid w:val="006149B0"/>
    <w:rsid w:val="00614C0D"/>
    <w:rsid w:val="00614C82"/>
    <w:rsid w:val="00614D94"/>
    <w:rsid w:val="00615337"/>
    <w:rsid w:val="006154E0"/>
    <w:rsid w:val="00615787"/>
    <w:rsid w:val="00615F88"/>
    <w:rsid w:val="006161B7"/>
    <w:rsid w:val="00616ED2"/>
    <w:rsid w:val="00617B3F"/>
    <w:rsid w:val="00620190"/>
    <w:rsid w:val="00620538"/>
    <w:rsid w:val="00620E42"/>
    <w:rsid w:val="00621D04"/>
    <w:rsid w:val="0062231B"/>
    <w:rsid w:val="00622453"/>
    <w:rsid w:val="0062279B"/>
    <w:rsid w:val="00622E8E"/>
    <w:rsid w:val="00623047"/>
    <w:rsid w:val="006230F2"/>
    <w:rsid w:val="006237CB"/>
    <w:rsid w:val="00623D11"/>
    <w:rsid w:val="00623F6F"/>
    <w:rsid w:val="0062442E"/>
    <w:rsid w:val="00624532"/>
    <w:rsid w:val="006247F6"/>
    <w:rsid w:val="00624BEF"/>
    <w:rsid w:val="0062529F"/>
    <w:rsid w:val="006252D6"/>
    <w:rsid w:val="006253D4"/>
    <w:rsid w:val="006256D2"/>
    <w:rsid w:val="00625B45"/>
    <w:rsid w:val="00625B84"/>
    <w:rsid w:val="00625CE1"/>
    <w:rsid w:val="00625D55"/>
    <w:rsid w:val="006261D8"/>
    <w:rsid w:val="0062685F"/>
    <w:rsid w:val="00626D6E"/>
    <w:rsid w:val="0062741B"/>
    <w:rsid w:val="00627841"/>
    <w:rsid w:val="00630113"/>
    <w:rsid w:val="00630335"/>
    <w:rsid w:val="0063089B"/>
    <w:rsid w:val="0063092B"/>
    <w:rsid w:val="00630ACE"/>
    <w:rsid w:val="006313FF"/>
    <w:rsid w:val="00631893"/>
    <w:rsid w:val="006318DE"/>
    <w:rsid w:val="00631B8A"/>
    <w:rsid w:val="00632196"/>
    <w:rsid w:val="00632217"/>
    <w:rsid w:val="00632E4E"/>
    <w:rsid w:val="006332FD"/>
    <w:rsid w:val="0063385F"/>
    <w:rsid w:val="006338E7"/>
    <w:rsid w:val="00634A84"/>
    <w:rsid w:val="00634A87"/>
    <w:rsid w:val="00634C6D"/>
    <w:rsid w:val="00634F0A"/>
    <w:rsid w:val="00634F30"/>
    <w:rsid w:val="0063537E"/>
    <w:rsid w:val="00635753"/>
    <w:rsid w:val="00635F21"/>
    <w:rsid w:val="00636C53"/>
    <w:rsid w:val="006376D9"/>
    <w:rsid w:val="00637A75"/>
    <w:rsid w:val="00637D45"/>
    <w:rsid w:val="00637DBA"/>
    <w:rsid w:val="006405F9"/>
    <w:rsid w:val="00640959"/>
    <w:rsid w:val="00641708"/>
    <w:rsid w:val="00641CAD"/>
    <w:rsid w:val="006421C1"/>
    <w:rsid w:val="0064241D"/>
    <w:rsid w:val="00642C71"/>
    <w:rsid w:val="00642DD4"/>
    <w:rsid w:val="00642F8B"/>
    <w:rsid w:val="0064300C"/>
    <w:rsid w:val="0064389F"/>
    <w:rsid w:val="006438D7"/>
    <w:rsid w:val="00643D53"/>
    <w:rsid w:val="00643DD2"/>
    <w:rsid w:val="006441E6"/>
    <w:rsid w:val="006443EB"/>
    <w:rsid w:val="006456B3"/>
    <w:rsid w:val="00646662"/>
    <w:rsid w:val="00646879"/>
    <w:rsid w:val="006469D2"/>
    <w:rsid w:val="00646F4E"/>
    <w:rsid w:val="0064706F"/>
    <w:rsid w:val="00647188"/>
    <w:rsid w:val="006477B2"/>
    <w:rsid w:val="00647E5C"/>
    <w:rsid w:val="00647EC3"/>
    <w:rsid w:val="00650D45"/>
    <w:rsid w:val="0065105D"/>
    <w:rsid w:val="0065144E"/>
    <w:rsid w:val="006514AF"/>
    <w:rsid w:val="00651D85"/>
    <w:rsid w:val="00652079"/>
    <w:rsid w:val="00652131"/>
    <w:rsid w:val="006521D1"/>
    <w:rsid w:val="006523A3"/>
    <w:rsid w:val="00652E55"/>
    <w:rsid w:val="006530E6"/>
    <w:rsid w:val="006546B5"/>
    <w:rsid w:val="00654929"/>
    <w:rsid w:val="00655436"/>
    <w:rsid w:val="006554BC"/>
    <w:rsid w:val="006556E5"/>
    <w:rsid w:val="00655729"/>
    <w:rsid w:val="00655732"/>
    <w:rsid w:val="00655BB8"/>
    <w:rsid w:val="006564E1"/>
    <w:rsid w:val="00657988"/>
    <w:rsid w:val="00657CAB"/>
    <w:rsid w:val="006612F5"/>
    <w:rsid w:val="00661DE2"/>
    <w:rsid w:val="00661E2E"/>
    <w:rsid w:val="00661E34"/>
    <w:rsid w:val="00661FEF"/>
    <w:rsid w:val="0066279D"/>
    <w:rsid w:val="00662DD9"/>
    <w:rsid w:val="00664CA7"/>
    <w:rsid w:val="00664CB0"/>
    <w:rsid w:val="006650FD"/>
    <w:rsid w:val="00665226"/>
    <w:rsid w:val="00665ADA"/>
    <w:rsid w:val="00665EDE"/>
    <w:rsid w:val="00666254"/>
    <w:rsid w:val="00666CCD"/>
    <w:rsid w:val="006670DB"/>
    <w:rsid w:val="00667AAB"/>
    <w:rsid w:val="006703C7"/>
    <w:rsid w:val="00670586"/>
    <w:rsid w:val="00670690"/>
    <w:rsid w:val="006714A2"/>
    <w:rsid w:val="006718A4"/>
    <w:rsid w:val="00671AB3"/>
    <w:rsid w:val="00672369"/>
    <w:rsid w:val="00672628"/>
    <w:rsid w:val="00673033"/>
    <w:rsid w:val="006731E8"/>
    <w:rsid w:val="0067394D"/>
    <w:rsid w:val="00674010"/>
    <w:rsid w:val="00674314"/>
    <w:rsid w:val="00674488"/>
    <w:rsid w:val="00674C20"/>
    <w:rsid w:val="00674E41"/>
    <w:rsid w:val="00675105"/>
    <w:rsid w:val="006753F9"/>
    <w:rsid w:val="006757E1"/>
    <w:rsid w:val="006759BE"/>
    <w:rsid w:val="006760A6"/>
    <w:rsid w:val="00676E8F"/>
    <w:rsid w:val="00676FA2"/>
    <w:rsid w:val="00677459"/>
    <w:rsid w:val="00677BF7"/>
    <w:rsid w:val="00680A57"/>
    <w:rsid w:val="00680F85"/>
    <w:rsid w:val="00681226"/>
    <w:rsid w:val="006819F8"/>
    <w:rsid w:val="00681BC8"/>
    <w:rsid w:val="00682902"/>
    <w:rsid w:val="00682947"/>
    <w:rsid w:val="00682C97"/>
    <w:rsid w:val="00682E1B"/>
    <w:rsid w:val="00683054"/>
    <w:rsid w:val="00683D20"/>
    <w:rsid w:val="0068405A"/>
    <w:rsid w:val="00684240"/>
    <w:rsid w:val="006850F0"/>
    <w:rsid w:val="0068511C"/>
    <w:rsid w:val="0068539C"/>
    <w:rsid w:val="00685C82"/>
    <w:rsid w:val="00685E9B"/>
    <w:rsid w:val="00685EC2"/>
    <w:rsid w:val="0068623E"/>
    <w:rsid w:val="00686C73"/>
    <w:rsid w:val="00687F53"/>
    <w:rsid w:val="006901B1"/>
    <w:rsid w:val="006904E1"/>
    <w:rsid w:val="00690620"/>
    <w:rsid w:val="00690A38"/>
    <w:rsid w:val="00690B88"/>
    <w:rsid w:val="0069138C"/>
    <w:rsid w:val="00691753"/>
    <w:rsid w:val="00691A2A"/>
    <w:rsid w:val="00691DD0"/>
    <w:rsid w:val="00692611"/>
    <w:rsid w:val="006926B1"/>
    <w:rsid w:val="0069270B"/>
    <w:rsid w:val="006928ED"/>
    <w:rsid w:val="00692EB9"/>
    <w:rsid w:val="00692F9D"/>
    <w:rsid w:val="00693142"/>
    <w:rsid w:val="00693EAE"/>
    <w:rsid w:val="00694494"/>
    <w:rsid w:val="00694664"/>
    <w:rsid w:val="00694D5A"/>
    <w:rsid w:val="00694F2B"/>
    <w:rsid w:val="00694FE7"/>
    <w:rsid w:val="0069527F"/>
    <w:rsid w:val="006954CC"/>
    <w:rsid w:val="0069577A"/>
    <w:rsid w:val="0069621B"/>
    <w:rsid w:val="00696BE8"/>
    <w:rsid w:val="00696F47"/>
    <w:rsid w:val="006A0EAD"/>
    <w:rsid w:val="006A16AD"/>
    <w:rsid w:val="006A1B06"/>
    <w:rsid w:val="006A1CE1"/>
    <w:rsid w:val="006A1E1E"/>
    <w:rsid w:val="006A209F"/>
    <w:rsid w:val="006A254E"/>
    <w:rsid w:val="006A29A9"/>
    <w:rsid w:val="006A2CAA"/>
    <w:rsid w:val="006A2DCD"/>
    <w:rsid w:val="006A3113"/>
    <w:rsid w:val="006A3243"/>
    <w:rsid w:val="006A37D3"/>
    <w:rsid w:val="006A3D32"/>
    <w:rsid w:val="006A3F40"/>
    <w:rsid w:val="006A546E"/>
    <w:rsid w:val="006A5DB9"/>
    <w:rsid w:val="006A5EDE"/>
    <w:rsid w:val="006A5F01"/>
    <w:rsid w:val="006A650C"/>
    <w:rsid w:val="006A6F83"/>
    <w:rsid w:val="006A7341"/>
    <w:rsid w:val="006A7595"/>
    <w:rsid w:val="006B03D1"/>
    <w:rsid w:val="006B08F2"/>
    <w:rsid w:val="006B0DF8"/>
    <w:rsid w:val="006B0E95"/>
    <w:rsid w:val="006B1A2F"/>
    <w:rsid w:val="006B243F"/>
    <w:rsid w:val="006B25B9"/>
    <w:rsid w:val="006B279F"/>
    <w:rsid w:val="006B2E3E"/>
    <w:rsid w:val="006B3461"/>
    <w:rsid w:val="006B37A9"/>
    <w:rsid w:val="006B3EF6"/>
    <w:rsid w:val="006B4142"/>
    <w:rsid w:val="006B4681"/>
    <w:rsid w:val="006B46E8"/>
    <w:rsid w:val="006B4BCA"/>
    <w:rsid w:val="006B4CCD"/>
    <w:rsid w:val="006B5500"/>
    <w:rsid w:val="006B5B75"/>
    <w:rsid w:val="006B61E4"/>
    <w:rsid w:val="006B6932"/>
    <w:rsid w:val="006B6CC7"/>
    <w:rsid w:val="006B74A9"/>
    <w:rsid w:val="006B7D76"/>
    <w:rsid w:val="006C07A7"/>
    <w:rsid w:val="006C12FF"/>
    <w:rsid w:val="006C1341"/>
    <w:rsid w:val="006C16F4"/>
    <w:rsid w:val="006C26A3"/>
    <w:rsid w:val="006C27C4"/>
    <w:rsid w:val="006C2FB2"/>
    <w:rsid w:val="006C3596"/>
    <w:rsid w:val="006C36B7"/>
    <w:rsid w:val="006C3809"/>
    <w:rsid w:val="006C3827"/>
    <w:rsid w:val="006C3A5C"/>
    <w:rsid w:val="006C3A82"/>
    <w:rsid w:val="006C47C8"/>
    <w:rsid w:val="006C5AE0"/>
    <w:rsid w:val="006C5B8F"/>
    <w:rsid w:val="006C609F"/>
    <w:rsid w:val="006C679E"/>
    <w:rsid w:val="006C68D8"/>
    <w:rsid w:val="006C69EE"/>
    <w:rsid w:val="006C6DC4"/>
    <w:rsid w:val="006C6EAF"/>
    <w:rsid w:val="006C715F"/>
    <w:rsid w:val="006C71F5"/>
    <w:rsid w:val="006D045D"/>
    <w:rsid w:val="006D09F1"/>
    <w:rsid w:val="006D0A08"/>
    <w:rsid w:val="006D0CFE"/>
    <w:rsid w:val="006D1163"/>
    <w:rsid w:val="006D11B9"/>
    <w:rsid w:val="006D130D"/>
    <w:rsid w:val="006D22E5"/>
    <w:rsid w:val="006D2682"/>
    <w:rsid w:val="006D26E0"/>
    <w:rsid w:val="006D28E4"/>
    <w:rsid w:val="006D2FDE"/>
    <w:rsid w:val="006D3077"/>
    <w:rsid w:val="006D3174"/>
    <w:rsid w:val="006D39F9"/>
    <w:rsid w:val="006D3F06"/>
    <w:rsid w:val="006D40EA"/>
    <w:rsid w:val="006D4B78"/>
    <w:rsid w:val="006D5358"/>
    <w:rsid w:val="006D5D1B"/>
    <w:rsid w:val="006D5FAF"/>
    <w:rsid w:val="006D6686"/>
    <w:rsid w:val="006D6968"/>
    <w:rsid w:val="006D7059"/>
    <w:rsid w:val="006D79B6"/>
    <w:rsid w:val="006D7C61"/>
    <w:rsid w:val="006D7DBC"/>
    <w:rsid w:val="006E022C"/>
    <w:rsid w:val="006E0865"/>
    <w:rsid w:val="006E1343"/>
    <w:rsid w:val="006E1597"/>
    <w:rsid w:val="006E1D46"/>
    <w:rsid w:val="006E225C"/>
    <w:rsid w:val="006E2C1E"/>
    <w:rsid w:val="006E2E84"/>
    <w:rsid w:val="006E326D"/>
    <w:rsid w:val="006E36F6"/>
    <w:rsid w:val="006E3918"/>
    <w:rsid w:val="006E3A2E"/>
    <w:rsid w:val="006E3C9E"/>
    <w:rsid w:val="006E3CE4"/>
    <w:rsid w:val="006E3F58"/>
    <w:rsid w:val="006E53AE"/>
    <w:rsid w:val="006E5545"/>
    <w:rsid w:val="006E5929"/>
    <w:rsid w:val="006E6E92"/>
    <w:rsid w:val="006E73DC"/>
    <w:rsid w:val="006E7531"/>
    <w:rsid w:val="006E7D09"/>
    <w:rsid w:val="006E7D6C"/>
    <w:rsid w:val="006F02E4"/>
    <w:rsid w:val="006F0383"/>
    <w:rsid w:val="006F0507"/>
    <w:rsid w:val="006F0BC1"/>
    <w:rsid w:val="006F0FBC"/>
    <w:rsid w:val="006F1C45"/>
    <w:rsid w:val="006F27D7"/>
    <w:rsid w:val="006F2AE5"/>
    <w:rsid w:val="006F3290"/>
    <w:rsid w:val="006F3504"/>
    <w:rsid w:val="006F3FCA"/>
    <w:rsid w:val="006F3FD0"/>
    <w:rsid w:val="006F4460"/>
    <w:rsid w:val="006F45FE"/>
    <w:rsid w:val="006F47AA"/>
    <w:rsid w:val="006F47D7"/>
    <w:rsid w:val="006F5477"/>
    <w:rsid w:val="006F5817"/>
    <w:rsid w:val="006F59E9"/>
    <w:rsid w:val="006F5F5C"/>
    <w:rsid w:val="006F6386"/>
    <w:rsid w:val="006F6500"/>
    <w:rsid w:val="006F666C"/>
    <w:rsid w:val="006F6901"/>
    <w:rsid w:val="006F712F"/>
    <w:rsid w:val="006F7E98"/>
    <w:rsid w:val="006F7F7C"/>
    <w:rsid w:val="00700908"/>
    <w:rsid w:val="00700CED"/>
    <w:rsid w:val="00700EC3"/>
    <w:rsid w:val="00700FD3"/>
    <w:rsid w:val="00701121"/>
    <w:rsid w:val="00701451"/>
    <w:rsid w:val="00701471"/>
    <w:rsid w:val="0070195A"/>
    <w:rsid w:val="00701E26"/>
    <w:rsid w:val="00701EAF"/>
    <w:rsid w:val="00702FD6"/>
    <w:rsid w:val="00703869"/>
    <w:rsid w:val="00703A69"/>
    <w:rsid w:val="00703D27"/>
    <w:rsid w:val="00703D8D"/>
    <w:rsid w:val="0070420A"/>
    <w:rsid w:val="007044D7"/>
    <w:rsid w:val="00704592"/>
    <w:rsid w:val="00704970"/>
    <w:rsid w:val="00704ABE"/>
    <w:rsid w:val="007050F3"/>
    <w:rsid w:val="0070532F"/>
    <w:rsid w:val="007059C9"/>
    <w:rsid w:val="00705B44"/>
    <w:rsid w:val="0070634A"/>
    <w:rsid w:val="0070637E"/>
    <w:rsid w:val="007067A9"/>
    <w:rsid w:val="00706842"/>
    <w:rsid w:val="00707002"/>
    <w:rsid w:val="007070D1"/>
    <w:rsid w:val="00707182"/>
    <w:rsid w:val="007073C2"/>
    <w:rsid w:val="007074A3"/>
    <w:rsid w:val="0070763B"/>
    <w:rsid w:val="007079BA"/>
    <w:rsid w:val="00707AD5"/>
    <w:rsid w:val="00707CB0"/>
    <w:rsid w:val="0071041A"/>
    <w:rsid w:val="00711219"/>
    <w:rsid w:val="007114B6"/>
    <w:rsid w:val="007126FC"/>
    <w:rsid w:val="00712F96"/>
    <w:rsid w:val="00713150"/>
    <w:rsid w:val="007132B1"/>
    <w:rsid w:val="007134C4"/>
    <w:rsid w:val="0071369F"/>
    <w:rsid w:val="007137A7"/>
    <w:rsid w:val="00713B4F"/>
    <w:rsid w:val="00714339"/>
    <w:rsid w:val="00714D30"/>
    <w:rsid w:val="00715397"/>
    <w:rsid w:val="00715A3A"/>
    <w:rsid w:val="00715E3B"/>
    <w:rsid w:val="00715FAB"/>
    <w:rsid w:val="0071603B"/>
    <w:rsid w:val="00716043"/>
    <w:rsid w:val="007167C9"/>
    <w:rsid w:val="00716FDA"/>
    <w:rsid w:val="00717319"/>
    <w:rsid w:val="00717320"/>
    <w:rsid w:val="0071735C"/>
    <w:rsid w:val="0071767C"/>
    <w:rsid w:val="007177A3"/>
    <w:rsid w:val="007179C0"/>
    <w:rsid w:val="00717BBE"/>
    <w:rsid w:val="00717C08"/>
    <w:rsid w:val="00717D81"/>
    <w:rsid w:val="00717E7B"/>
    <w:rsid w:val="00720256"/>
    <w:rsid w:val="00720660"/>
    <w:rsid w:val="00721383"/>
    <w:rsid w:val="007213C6"/>
    <w:rsid w:val="007217E7"/>
    <w:rsid w:val="00721E75"/>
    <w:rsid w:val="007229DA"/>
    <w:rsid w:val="00722D0C"/>
    <w:rsid w:val="007231F7"/>
    <w:rsid w:val="0072391D"/>
    <w:rsid w:val="00723A07"/>
    <w:rsid w:val="00723B88"/>
    <w:rsid w:val="00723BDA"/>
    <w:rsid w:val="00723D30"/>
    <w:rsid w:val="00724733"/>
    <w:rsid w:val="00724BCF"/>
    <w:rsid w:val="00724BEE"/>
    <w:rsid w:val="007257DB"/>
    <w:rsid w:val="00725AD7"/>
    <w:rsid w:val="00725C22"/>
    <w:rsid w:val="00725EE4"/>
    <w:rsid w:val="0072689F"/>
    <w:rsid w:val="007270BC"/>
    <w:rsid w:val="0072720C"/>
    <w:rsid w:val="0072736F"/>
    <w:rsid w:val="0072739F"/>
    <w:rsid w:val="00727EF4"/>
    <w:rsid w:val="0073034D"/>
    <w:rsid w:val="00730595"/>
    <w:rsid w:val="007309B0"/>
    <w:rsid w:val="007309D0"/>
    <w:rsid w:val="00731691"/>
    <w:rsid w:val="00731916"/>
    <w:rsid w:val="00731D2B"/>
    <w:rsid w:val="007325A5"/>
    <w:rsid w:val="0073293C"/>
    <w:rsid w:val="00732E49"/>
    <w:rsid w:val="00733061"/>
    <w:rsid w:val="0073364F"/>
    <w:rsid w:val="007336BE"/>
    <w:rsid w:val="007337A7"/>
    <w:rsid w:val="0073431E"/>
    <w:rsid w:val="007343C2"/>
    <w:rsid w:val="00734D6B"/>
    <w:rsid w:val="00734FFE"/>
    <w:rsid w:val="007354AC"/>
    <w:rsid w:val="00736933"/>
    <w:rsid w:val="00736C8A"/>
    <w:rsid w:val="00736CBB"/>
    <w:rsid w:val="00736DA2"/>
    <w:rsid w:val="0073701A"/>
    <w:rsid w:val="007370B9"/>
    <w:rsid w:val="00737222"/>
    <w:rsid w:val="00737507"/>
    <w:rsid w:val="007377D8"/>
    <w:rsid w:val="007379E0"/>
    <w:rsid w:val="00737AD2"/>
    <w:rsid w:val="00737C2B"/>
    <w:rsid w:val="007408E7"/>
    <w:rsid w:val="00740A71"/>
    <w:rsid w:val="00740E0A"/>
    <w:rsid w:val="0074100A"/>
    <w:rsid w:val="0074166D"/>
    <w:rsid w:val="00741709"/>
    <w:rsid w:val="0074170A"/>
    <w:rsid w:val="0074174F"/>
    <w:rsid w:val="00741AB2"/>
    <w:rsid w:val="00741B52"/>
    <w:rsid w:val="00741D2A"/>
    <w:rsid w:val="007424E2"/>
    <w:rsid w:val="00743237"/>
    <w:rsid w:val="00743238"/>
    <w:rsid w:val="00743457"/>
    <w:rsid w:val="007435E5"/>
    <w:rsid w:val="00743D61"/>
    <w:rsid w:val="00743F3E"/>
    <w:rsid w:val="00744065"/>
    <w:rsid w:val="00744761"/>
    <w:rsid w:val="007447DB"/>
    <w:rsid w:val="007449B7"/>
    <w:rsid w:val="00744EA2"/>
    <w:rsid w:val="00744F15"/>
    <w:rsid w:val="00745361"/>
    <w:rsid w:val="00745A2F"/>
    <w:rsid w:val="00746287"/>
    <w:rsid w:val="00746798"/>
    <w:rsid w:val="00746821"/>
    <w:rsid w:val="00746854"/>
    <w:rsid w:val="00746AF7"/>
    <w:rsid w:val="00746B8F"/>
    <w:rsid w:val="00747503"/>
    <w:rsid w:val="0074782C"/>
    <w:rsid w:val="00747A7C"/>
    <w:rsid w:val="007500A3"/>
    <w:rsid w:val="0075048E"/>
    <w:rsid w:val="00750A40"/>
    <w:rsid w:val="0075147D"/>
    <w:rsid w:val="0075221D"/>
    <w:rsid w:val="00752D40"/>
    <w:rsid w:val="007533D7"/>
    <w:rsid w:val="0075379B"/>
    <w:rsid w:val="00754040"/>
    <w:rsid w:val="00754733"/>
    <w:rsid w:val="0075494C"/>
    <w:rsid w:val="00754D5E"/>
    <w:rsid w:val="0075563D"/>
    <w:rsid w:val="007563AE"/>
    <w:rsid w:val="007567E0"/>
    <w:rsid w:val="0075689E"/>
    <w:rsid w:val="00756F37"/>
    <w:rsid w:val="00760243"/>
    <w:rsid w:val="00760985"/>
    <w:rsid w:val="00760EF8"/>
    <w:rsid w:val="00761035"/>
    <w:rsid w:val="007611CA"/>
    <w:rsid w:val="007613C2"/>
    <w:rsid w:val="007618C0"/>
    <w:rsid w:val="00761B99"/>
    <w:rsid w:val="00761C48"/>
    <w:rsid w:val="00762438"/>
    <w:rsid w:val="0076287C"/>
    <w:rsid w:val="007641F3"/>
    <w:rsid w:val="00764873"/>
    <w:rsid w:val="007649EB"/>
    <w:rsid w:val="007651BC"/>
    <w:rsid w:val="00765286"/>
    <w:rsid w:val="007652D7"/>
    <w:rsid w:val="00765362"/>
    <w:rsid w:val="0076548B"/>
    <w:rsid w:val="00765B5A"/>
    <w:rsid w:val="00765BAA"/>
    <w:rsid w:val="00766591"/>
    <w:rsid w:val="007666FE"/>
    <w:rsid w:val="00766F8D"/>
    <w:rsid w:val="0076758F"/>
    <w:rsid w:val="007675C5"/>
    <w:rsid w:val="00767C1F"/>
    <w:rsid w:val="00767C4B"/>
    <w:rsid w:val="00770919"/>
    <w:rsid w:val="00770F8A"/>
    <w:rsid w:val="00770FDC"/>
    <w:rsid w:val="007712AF"/>
    <w:rsid w:val="007713B1"/>
    <w:rsid w:val="007714D3"/>
    <w:rsid w:val="007716B9"/>
    <w:rsid w:val="00771C12"/>
    <w:rsid w:val="0077235B"/>
    <w:rsid w:val="00772BCD"/>
    <w:rsid w:val="00772E31"/>
    <w:rsid w:val="00772FB3"/>
    <w:rsid w:val="00772FFF"/>
    <w:rsid w:val="00773B04"/>
    <w:rsid w:val="00773FCB"/>
    <w:rsid w:val="00773FCC"/>
    <w:rsid w:val="007744FC"/>
    <w:rsid w:val="00774F49"/>
    <w:rsid w:val="007758F9"/>
    <w:rsid w:val="00775F30"/>
    <w:rsid w:val="00776D35"/>
    <w:rsid w:val="00776D4E"/>
    <w:rsid w:val="00776E18"/>
    <w:rsid w:val="00777292"/>
    <w:rsid w:val="007777B1"/>
    <w:rsid w:val="00777B55"/>
    <w:rsid w:val="00777D6C"/>
    <w:rsid w:val="007802A0"/>
    <w:rsid w:val="00780330"/>
    <w:rsid w:val="007804C4"/>
    <w:rsid w:val="00780914"/>
    <w:rsid w:val="007809A5"/>
    <w:rsid w:val="00781084"/>
    <w:rsid w:val="0078108F"/>
    <w:rsid w:val="0078130F"/>
    <w:rsid w:val="00781C61"/>
    <w:rsid w:val="00782472"/>
    <w:rsid w:val="00782B5E"/>
    <w:rsid w:val="00782B76"/>
    <w:rsid w:val="00784022"/>
    <w:rsid w:val="00785EFE"/>
    <w:rsid w:val="00786079"/>
    <w:rsid w:val="007860B3"/>
    <w:rsid w:val="007863D4"/>
    <w:rsid w:val="007875EA"/>
    <w:rsid w:val="00787B57"/>
    <w:rsid w:val="0079001D"/>
    <w:rsid w:val="00790689"/>
    <w:rsid w:val="00790912"/>
    <w:rsid w:val="00790DCB"/>
    <w:rsid w:val="00791735"/>
    <w:rsid w:val="007932F6"/>
    <w:rsid w:val="00793BAE"/>
    <w:rsid w:val="00794050"/>
    <w:rsid w:val="007941B0"/>
    <w:rsid w:val="007944CC"/>
    <w:rsid w:val="00794A5A"/>
    <w:rsid w:val="00794ACF"/>
    <w:rsid w:val="00794D44"/>
    <w:rsid w:val="00795BF8"/>
    <w:rsid w:val="00795D2A"/>
    <w:rsid w:val="00796496"/>
    <w:rsid w:val="007966C4"/>
    <w:rsid w:val="00796D24"/>
    <w:rsid w:val="00796D7E"/>
    <w:rsid w:val="00797183"/>
    <w:rsid w:val="00797C74"/>
    <w:rsid w:val="00797F40"/>
    <w:rsid w:val="007A00F1"/>
    <w:rsid w:val="007A05ED"/>
    <w:rsid w:val="007A1076"/>
    <w:rsid w:val="007A1217"/>
    <w:rsid w:val="007A146F"/>
    <w:rsid w:val="007A179F"/>
    <w:rsid w:val="007A1B55"/>
    <w:rsid w:val="007A1DCE"/>
    <w:rsid w:val="007A23D5"/>
    <w:rsid w:val="007A29E9"/>
    <w:rsid w:val="007A2CA7"/>
    <w:rsid w:val="007A3323"/>
    <w:rsid w:val="007A39AB"/>
    <w:rsid w:val="007A4A78"/>
    <w:rsid w:val="007A4DD2"/>
    <w:rsid w:val="007A5430"/>
    <w:rsid w:val="007A58E3"/>
    <w:rsid w:val="007A5A67"/>
    <w:rsid w:val="007A64AA"/>
    <w:rsid w:val="007A69DA"/>
    <w:rsid w:val="007A6D62"/>
    <w:rsid w:val="007A6E46"/>
    <w:rsid w:val="007A7208"/>
    <w:rsid w:val="007A7F9A"/>
    <w:rsid w:val="007B06FB"/>
    <w:rsid w:val="007B0D79"/>
    <w:rsid w:val="007B0DCD"/>
    <w:rsid w:val="007B1884"/>
    <w:rsid w:val="007B1A54"/>
    <w:rsid w:val="007B21D3"/>
    <w:rsid w:val="007B2307"/>
    <w:rsid w:val="007B2497"/>
    <w:rsid w:val="007B2A2D"/>
    <w:rsid w:val="007B2CEA"/>
    <w:rsid w:val="007B34CB"/>
    <w:rsid w:val="007B39B1"/>
    <w:rsid w:val="007B39DC"/>
    <w:rsid w:val="007B3AA1"/>
    <w:rsid w:val="007B4CFA"/>
    <w:rsid w:val="007B4FB5"/>
    <w:rsid w:val="007B52AD"/>
    <w:rsid w:val="007B5558"/>
    <w:rsid w:val="007B59AB"/>
    <w:rsid w:val="007B5B0F"/>
    <w:rsid w:val="007B5BA6"/>
    <w:rsid w:val="007B5DE5"/>
    <w:rsid w:val="007B5FCB"/>
    <w:rsid w:val="007B62C8"/>
    <w:rsid w:val="007B6E16"/>
    <w:rsid w:val="007B761F"/>
    <w:rsid w:val="007B76E3"/>
    <w:rsid w:val="007B7F3B"/>
    <w:rsid w:val="007C02A9"/>
    <w:rsid w:val="007C06DC"/>
    <w:rsid w:val="007C099B"/>
    <w:rsid w:val="007C1259"/>
    <w:rsid w:val="007C1408"/>
    <w:rsid w:val="007C1592"/>
    <w:rsid w:val="007C1D81"/>
    <w:rsid w:val="007C251D"/>
    <w:rsid w:val="007C2530"/>
    <w:rsid w:val="007C2B6C"/>
    <w:rsid w:val="007C300B"/>
    <w:rsid w:val="007C3125"/>
    <w:rsid w:val="007C34C6"/>
    <w:rsid w:val="007C389C"/>
    <w:rsid w:val="007C3B6D"/>
    <w:rsid w:val="007C3F01"/>
    <w:rsid w:val="007C4574"/>
    <w:rsid w:val="007C4C6E"/>
    <w:rsid w:val="007C57F1"/>
    <w:rsid w:val="007C5CE4"/>
    <w:rsid w:val="007C6027"/>
    <w:rsid w:val="007C6A6C"/>
    <w:rsid w:val="007C6E73"/>
    <w:rsid w:val="007C70C6"/>
    <w:rsid w:val="007C748C"/>
    <w:rsid w:val="007C7734"/>
    <w:rsid w:val="007C7B2B"/>
    <w:rsid w:val="007C7B59"/>
    <w:rsid w:val="007C7B95"/>
    <w:rsid w:val="007C7BDB"/>
    <w:rsid w:val="007C7BEB"/>
    <w:rsid w:val="007C7E5D"/>
    <w:rsid w:val="007D0A48"/>
    <w:rsid w:val="007D0B1E"/>
    <w:rsid w:val="007D0C08"/>
    <w:rsid w:val="007D17EF"/>
    <w:rsid w:val="007D19B3"/>
    <w:rsid w:val="007D1CCC"/>
    <w:rsid w:val="007D22CF"/>
    <w:rsid w:val="007D2A02"/>
    <w:rsid w:val="007D2A7B"/>
    <w:rsid w:val="007D2D8E"/>
    <w:rsid w:val="007D2DD8"/>
    <w:rsid w:val="007D30CC"/>
    <w:rsid w:val="007D32E2"/>
    <w:rsid w:val="007D3410"/>
    <w:rsid w:val="007D38CD"/>
    <w:rsid w:val="007D3BA0"/>
    <w:rsid w:val="007D3D93"/>
    <w:rsid w:val="007D46AE"/>
    <w:rsid w:val="007D4959"/>
    <w:rsid w:val="007D5481"/>
    <w:rsid w:val="007D6438"/>
    <w:rsid w:val="007D6C7B"/>
    <w:rsid w:val="007D703E"/>
    <w:rsid w:val="007D7903"/>
    <w:rsid w:val="007E0223"/>
    <w:rsid w:val="007E07B2"/>
    <w:rsid w:val="007E12DC"/>
    <w:rsid w:val="007E1545"/>
    <w:rsid w:val="007E1636"/>
    <w:rsid w:val="007E1E29"/>
    <w:rsid w:val="007E1EB5"/>
    <w:rsid w:val="007E1F7B"/>
    <w:rsid w:val="007E25C9"/>
    <w:rsid w:val="007E2981"/>
    <w:rsid w:val="007E2CC1"/>
    <w:rsid w:val="007E2D78"/>
    <w:rsid w:val="007E30EE"/>
    <w:rsid w:val="007E3A3E"/>
    <w:rsid w:val="007E3A81"/>
    <w:rsid w:val="007E42E3"/>
    <w:rsid w:val="007E470D"/>
    <w:rsid w:val="007E489B"/>
    <w:rsid w:val="007E4B26"/>
    <w:rsid w:val="007E55F1"/>
    <w:rsid w:val="007E62A2"/>
    <w:rsid w:val="007E7271"/>
    <w:rsid w:val="007E74FB"/>
    <w:rsid w:val="007E7773"/>
    <w:rsid w:val="007E7B37"/>
    <w:rsid w:val="007E7E32"/>
    <w:rsid w:val="007F0409"/>
    <w:rsid w:val="007F0773"/>
    <w:rsid w:val="007F117A"/>
    <w:rsid w:val="007F1B72"/>
    <w:rsid w:val="007F21E8"/>
    <w:rsid w:val="007F2279"/>
    <w:rsid w:val="007F240A"/>
    <w:rsid w:val="007F24C9"/>
    <w:rsid w:val="007F272C"/>
    <w:rsid w:val="007F2D2F"/>
    <w:rsid w:val="007F3232"/>
    <w:rsid w:val="007F3352"/>
    <w:rsid w:val="007F36EB"/>
    <w:rsid w:val="007F3736"/>
    <w:rsid w:val="007F39E5"/>
    <w:rsid w:val="007F447E"/>
    <w:rsid w:val="007F4C82"/>
    <w:rsid w:val="007F4F53"/>
    <w:rsid w:val="007F5174"/>
    <w:rsid w:val="007F555C"/>
    <w:rsid w:val="007F58B2"/>
    <w:rsid w:val="007F5FFF"/>
    <w:rsid w:val="007F6079"/>
    <w:rsid w:val="007F62F3"/>
    <w:rsid w:val="007F68D9"/>
    <w:rsid w:val="007F6AE5"/>
    <w:rsid w:val="007F6B96"/>
    <w:rsid w:val="007F70E1"/>
    <w:rsid w:val="007F7243"/>
    <w:rsid w:val="007F7657"/>
    <w:rsid w:val="007F788D"/>
    <w:rsid w:val="008001AE"/>
    <w:rsid w:val="008005D0"/>
    <w:rsid w:val="00800F40"/>
    <w:rsid w:val="00801344"/>
    <w:rsid w:val="00801859"/>
    <w:rsid w:val="008020DB"/>
    <w:rsid w:val="0080232E"/>
    <w:rsid w:val="008026BC"/>
    <w:rsid w:val="00802CDB"/>
    <w:rsid w:val="00802D7C"/>
    <w:rsid w:val="00802FE3"/>
    <w:rsid w:val="008038DF"/>
    <w:rsid w:val="00803E8F"/>
    <w:rsid w:val="00803F14"/>
    <w:rsid w:val="008046CA"/>
    <w:rsid w:val="008049F1"/>
    <w:rsid w:val="00804A89"/>
    <w:rsid w:val="00805B77"/>
    <w:rsid w:val="008070F5"/>
    <w:rsid w:val="0080721E"/>
    <w:rsid w:val="008072DA"/>
    <w:rsid w:val="0081065F"/>
    <w:rsid w:val="00810DD8"/>
    <w:rsid w:val="00811536"/>
    <w:rsid w:val="0081196B"/>
    <w:rsid w:val="00811994"/>
    <w:rsid w:val="00811DDA"/>
    <w:rsid w:val="0081243D"/>
    <w:rsid w:val="0081285B"/>
    <w:rsid w:val="008129CA"/>
    <w:rsid w:val="00813A34"/>
    <w:rsid w:val="00813AFA"/>
    <w:rsid w:val="00813DE0"/>
    <w:rsid w:val="0081442B"/>
    <w:rsid w:val="00814751"/>
    <w:rsid w:val="00814B3C"/>
    <w:rsid w:val="00814BC3"/>
    <w:rsid w:val="00814C08"/>
    <w:rsid w:val="00814DE9"/>
    <w:rsid w:val="0081553F"/>
    <w:rsid w:val="0081557E"/>
    <w:rsid w:val="008155BF"/>
    <w:rsid w:val="00815C86"/>
    <w:rsid w:val="00815FD8"/>
    <w:rsid w:val="0081606D"/>
    <w:rsid w:val="008161D5"/>
    <w:rsid w:val="0081662D"/>
    <w:rsid w:val="0081681D"/>
    <w:rsid w:val="008169BA"/>
    <w:rsid w:val="008173E8"/>
    <w:rsid w:val="00817D82"/>
    <w:rsid w:val="00817F66"/>
    <w:rsid w:val="00820519"/>
    <w:rsid w:val="00820C24"/>
    <w:rsid w:val="0082142D"/>
    <w:rsid w:val="008218F5"/>
    <w:rsid w:val="00821985"/>
    <w:rsid w:val="00821BC6"/>
    <w:rsid w:val="00821E81"/>
    <w:rsid w:val="00821F3B"/>
    <w:rsid w:val="008224AD"/>
    <w:rsid w:val="0082266B"/>
    <w:rsid w:val="00822E92"/>
    <w:rsid w:val="008231A6"/>
    <w:rsid w:val="00823B80"/>
    <w:rsid w:val="00823C3A"/>
    <w:rsid w:val="00824870"/>
    <w:rsid w:val="00824B61"/>
    <w:rsid w:val="00824BEB"/>
    <w:rsid w:val="008259C2"/>
    <w:rsid w:val="00825F39"/>
    <w:rsid w:val="0082627B"/>
    <w:rsid w:val="00826769"/>
    <w:rsid w:val="00826FB5"/>
    <w:rsid w:val="00827306"/>
    <w:rsid w:val="008276F1"/>
    <w:rsid w:val="00827877"/>
    <w:rsid w:val="00827C71"/>
    <w:rsid w:val="00827CC7"/>
    <w:rsid w:val="0083113A"/>
    <w:rsid w:val="00831437"/>
    <w:rsid w:val="0083146D"/>
    <w:rsid w:val="008318EB"/>
    <w:rsid w:val="00831A1A"/>
    <w:rsid w:val="00831C22"/>
    <w:rsid w:val="00831CC1"/>
    <w:rsid w:val="00831D8D"/>
    <w:rsid w:val="008321A3"/>
    <w:rsid w:val="00832740"/>
    <w:rsid w:val="00832C5C"/>
    <w:rsid w:val="008337DC"/>
    <w:rsid w:val="00833E0E"/>
    <w:rsid w:val="008342A9"/>
    <w:rsid w:val="00834C35"/>
    <w:rsid w:val="008359B3"/>
    <w:rsid w:val="00835FD4"/>
    <w:rsid w:val="00836717"/>
    <w:rsid w:val="008371A4"/>
    <w:rsid w:val="00837EE0"/>
    <w:rsid w:val="0084003B"/>
    <w:rsid w:val="00840429"/>
    <w:rsid w:val="00840B58"/>
    <w:rsid w:val="00840E19"/>
    <w:rsid w:val="00840F36"/>
    <w:rsid w:val="00840FB8"/>
    <w:rsid w:val="00841329"/>
    <w:rsid w:val="008414CB"/>
    <w:rsid w:val="00841591"/>
    <w:rsid w:val="00841640"/>
    <w:rsid w:val="00841BB7"/>
    <w:rsid w:val="00842343"/>
    <w:rsid w:val="00842350"/>
    <w:rsid w:val="0084236A"/>
    <w:rsid w:val="00842A9E"/>
    <w:rsid w:val="00842B41"/>
    <w:rsid w:val="008432C2"/>
    <w:rsid w:val="00843B48"/>
    <w:rsid w:val="00843C2E"/>
    <w:rsid w:val="00844C7F"/>
    <w:rsid w:val="00845474"/>
    <w:rsid w:val="008454DB"/>
    <w:rsid w:val="0084597D"/>
    <w:rsid w:val="00845F95"/>
    <w:rsid w:val="0084697C"/>
    <w:rsid w:val="008469E2"/>
    <w:rsid w:val="00847338"/>
    <w:rsid w:val="00847D3E"/>
    <w:rsid w:val="00850400"/>
    <w:rsid w:val="0085118F"/>
    <w:rsid w:val="008511ED"/>
    <w:rsid w:val="00852363"/>
    <w:rsid w:val="008525EE"/>
    <w:rsid w:val="008526D9"/>
    <w:rsid w:val="00852B60"/>
    <w:rsid w:val="00852F7E"/>
    <w:rsid w:val="00852FCD"/>
    <w:rsid w:val="0085303F"/>
    <w:rsid w:val="0085307C"/>
    <w:rsid w:val="00853825"/>
    <w:rsid w:val="008540FE"/>
    <w:rsid w:val="0085479F"/>
    <w:rsid w:val="00854DA6"/>
    <w:rsid w:val="008550F7"/>
    <w:rsid w:val="0085526E"/>
    <w:rsid w:val="00855FE2"/>
    <w:rsid w:val="008565A6"/>
    <w:rsid w:val="008569C4"/>
    <w:rsid w:val="00856A4F"/>
    <w:rsid w:val="00856A9C"/>
    <w:rsid w:val="00856BD4"/>
    <w:rsid w:val="00856CC1"/>
    <w:rsid w:val="0085700E"/>
    <w:rsid w:val="00857412"/>
    <w:rsid w:val="00857821"/>
    <w:rsid w:val="00857A21"/>
    <w:rsid w:val="00857AF3"/>
    <w:rsid w:val="008600FE"/>
    <w:rsid w:val="008608AB"/>
    <w:rsid w:val="00860E01"/>
    <w:rsid w:val="0086183E"/>
    <w:rsid w:val="008625B5"/>
    <w:rsid w:val="008625E3"/>
    <w:rsid w:val="00862F5C"/>
    <w:rsid w:val="00862FD2"/>
    <w:rsid w:val="008638DA"/>
    <w:rsid w:val="00863CDA"/>
    <w:rsid w:val="00864546"/>
    <w:rsid w:val="00864855"/>
    <w:rsid w:val="008649C1"/>
    <w:rsid w:val="00864C5F"/>
    <w:rsid w:val="00864CC3"/>
    <w:rsid w:val="00864DE6"/>
    <w:rsid w:val="0086577B"/>
    <w:rsid w:val="00865C79"/>
    <w:rsid w:val="00866334"/>
    <w:rsid w:val="008665DF"/>
    <w:rsid w:val="00867177"/>
    <w:rsid w:val="00870680"/>
    <w:rsid w:val="00870766"/>
    <w:rsid w:val="008708D9"/>
    <w:rsid w:val="00870CC3"/>
    <w:rsid w:val="00871213"/>
    <w:rsid w:val="008713A3"/>
    <w:rsid w:val="00871C46"/>
    <w:rsid w:val="00871CBC"/>
    <w:rsid w:val="00871F86"/>
    <w:rsid w:val="00872428"/>
    <w:rsid w:val="0087248D"/>
    <w:rsid w:val="008724F9"/>
    <w:rsid w:val="00872ABB"/>
    <w:rsid w:val="00872B5E"/>
    <w:rsid w:val="008736AB"/>
    <w:rsid w:val="00873952"/>
    <w:rsid w:val="008742B0"/>
    <w:rsid w:val="008744C4"/>
    <w:rsid w:val="00874572"/>
    <w:rsid w:val="0087479F"/>
    <w:rsid w:val="00874D50"/>
    <w:rsid w:val="00875170"/>
    <w:rsid w:val="00875280"/>
    <w:rsid w:val="008753B7"/>
    <w:rsid w:val="008756FF"/>
    <w:rsid w:val="008757DB"/>
    <w:rsid w:val="0087634E"/>
    <w:rsid w:val="00876881"/>
    <w:rsid w:val="00876C51"/>
    <w:rsid w:val="00876E53"/>
    <w:rsid w:val="00877022"/>
    <w:rsid w:val="00877271"/>
    <w:rsid w:val="008772A0"/>
    <w:rsid w:val="00880301"/>
    <w:rsid w:val="00880605"/>
    <w:rsid w:val="008818B9"/>
    <w:rsid w:val="008818E0"/>
    <w:rsid w:val="008819D9"/>
    <w:rsid w:val="00881CFB"/>
    <w:rsid w:val="00882146"/>
    <w:rsid w:val="00882266"/>
    <w:rsid w:val="00882EEC"/>
    <w:rsid w:val="0088325D"/>
    <w:rsid w:val="00883537"/>
    <w:rsid w:val="008837A4"/>
    <w:rsid w:val="0088388D"/>
    <w:rsid w:val="0088389E"/>
    <w:rsid w:val="00883B71"/>
    <w:rsid w:val="0088433A"/>
    <w:rsid w:val="008849B4"/>
    <w:rsid w:val="00884AF4"/>
    <w:rsid w:val="00884F00"/>
    <w:rsid w:val="00885066"/>
    <w:rsid w:val="00885182"/>
    <w:rsid w:val="008852CF"/>
    <w:rsid w:val="00885B47"/>
    <w:rsid w:val="00885FFF"/>
    <w:rsid w:val="00886AD7"/>
    <w:rsid w:val="00886BCA"/>
    <w:rsid w:val="00886CA6"/>
    <w:rsid w:val="00887192"/>
    <w:rsid w:val="008879A8"/>
    <w:rsid w:val="00887A2F"/>
    <w:rsid w:val="00887D74"/>
    <w:rsid w:val="00887FCB"/>
    <w:rsid w:val="0089023D"/>
    <w:rsid w:val="008908CB"/>
    <w:rsid w:val="00890E8B"/>
    <w:rsid w:val="0089162B"/>
    <w:rsid w:val="00891BE6"/>
    <w:rsid w:val="00891C3A"/>
    <w:rsid w:val="00891D1C"/>
    <w:rsid w:val="00892A72"/>
    <w:rsid w:val="00893061"/>
    <w:rsid w:val="0089344C"/>
    <w:rsid w:val="008936D7"/>
    <w:rsid w:val="008938D5"/>
    <w:rsid w:val="00893E15"/>
    <w:rsid w:val="00893FA1"/>
    <w:rsid w:val="00894666"/>
    <w:rsid w:val="00894E01"/>
    <w:rsid w:val="00894E22"/>
    <w:rsid w:val="00895AB2"/>
    <w:rsid w:val="00895D83"/>
    <w:rsid w:val="00895FD2"/>
    <w:rsid w:val="00896089"/>
    <w:rsid w:val="0089654C"/>
    <w:rsid w:val="008966CE"/>
    <w:rsid w:val="008A00BC"/>
    <w:rsid w:val="008A0618"/>
    <w:rsid w:val="008A092A"/>
    <w:rsid w:val="008A0A0C"/>
    <w:rsid w:val="008A0A7F"/>
    <w:rsid w:val="008A0B59"/>
    <w:rsid w:val="008A0EA3"/>
    <w:rsid w:val="008A1843"/>
    <w:rsid w:val="008A20BF"/>
    <w:rsid w:val="008A276E"/>
    <w:rsid w:val="008A3374"/>
    <w:rsid w:val="008A3880"/>
    <w:rsid w:val="008A4119"/>
    <w:rsid w:val="008A437D"/>
    <w:rsid w:val="008A43AD"/>
    <w:rsid w:val="008A44A9"/>
    <w:rsid w:val="008A4B69"/>
    <w:rsid w:val="008A5630"/>
    <w:rsid w:val="008A5C58"/>
    <w:rsid w:val="008A6005"/>
    <w:rsid w:val="008A65EA"/>
    <w:rsid w:val="008A6610"/>
    <w:rsid w:val="008A662D"/>
    <w:rsid w:val="008A697E"/>
    <w:rsid w:val="008A7203"/>
    <w:rsid w:val="008A78A3"/>
    <w:rsid w:val="008A7AF6"/>
    <w:rsid w:val="008B0441"/>
    <w:rsid w:val="008B0CE7"/>
    <w:rsid w:val="008B22BD"/>
    <w:rsid w:val="008B2C0F"/>
    <w:rsid w:val="008B2C7D"/>
    <w:rsid w:val="008B2CFB"/>
    <w:rsid w:val="008B3145"/>
    <w:rsid w:val="008B393E"/>
    <w:rsid w:val="008B42A2"/>
    <w:rsid w:val="008B5478"/>
    <w:rsid w:val="008B55CA"/>
    <w:rsid w:val="008B6851"/>
    <w:rsid w:val="008B6A40"/>
    <w:rsid w:val="008B70C1"/>
    <w:rsid w:val="008B7624"/>
    <w:rsid w:val="008B781A"/>
    <w:rsid w:val="008B7D22"/>
    <w:rsid w:val="008B7D7A"/>
    <w:rsid w:val="008B7F96"/>
    <w:rsid w:val="008C0199"/>
    <w:rsid w:val="008C0949"/>
    <w:rsid w:val="008C0A53"/>
    <w:rsid w:val="008C1F20"/>
    <w:rsid w:val="008C20C7"/>
    <w:rsid w:val="008C262F"/>
    <w:rsid w:val="008C2659"/>
    <w:rsid w:val="008C2A9B"/>
    <w:rsid w:val="008C3221"/>
    <w:rsid w:val="008C3B8A"/>
    <w:rsid w:val="008C41F2"/>
    <w:rsid w:val="008C46A7"/>
    <w:rsid w:val="008C46BE"/>
    <w:rsid w:val="008C489E"/>
    <w:rsid w:val="008C4C86"/>
    <w:rsid w:val="008C4F5B"/>
    <w:rsid w:val="008C51FF"/>
    <w:rsid w:val="008C5B13"/>
    <w:rsid w:val="008C6104"/>
    <w:rsid w:val="008C692D"/>
    <w:rsid w:val="008C779B"/>
    <w:rsid w:val="008C7EB9"/>
    <w:rsid w:val="008D04C4"/>
    <w:rsid w:val="008D0ED7"/>
    <w:rsid w:val="008D0FBB"/>
    <w:rsid w:val="008D1944"/>
    <w:rsid w:val="008D199A"/>
    <w:rsid w:val="008D1B38"/>
    <w:rsid w:val="008D1C13"/>
    <w:rsid w:val="008D298B"/>
    <w:rsid w:val="008D30FA"/>
    <w:rsid w:val="008D31E4"/>
    <w:rsid w:val="008D39A9"/>
    <w:rsid w:val="008D39E0"/>
    <w:rsid w:val="008D3B80"/>
    <w:rsid w:val="008D3C59"/>
    <w:rsid w:val="008D46A2"/>
    <w:rsid w:val="008D4AF1"/>
    <w:rsid w:val="008D5111"/>
    <w:rsid w:val="008D5542"/>
    <w:rsid w:val="008D58DD"/>
    <w:rsid w:val="008D5AC5"/>
    <w:rsid w:val="008D5AC8"/>
    <w:rsid w:val="008D5B3E"/>
    <w:rsid w:val="008D5E0F"/>
    <w:rsid w:val="008D619B"/>
    <w:rsid w:val="008D6445"/>
    <w:rsid w:val="008D6522"/>
    <w:rsid w:val="008D6832"/>
    <w:rsid w:val="008D6E93"/>
    <w:rsid w:val="008D7063"/>
    <w:rsid w:val="008D733F"/>
    <w:rsid w:val="008D737F"/>
    <w:rsid w:val="008D7445"/>
    <w:rsid w:val="008E00B5"/>
    <w:rsid w:val="008E00C4"/>
    <w:rsid w:val="008E0739"/>
    <w:rsid w:val="008E076B"/>
    <w:rsid w:val="008E082E"/>
    <w:rsid w:val="008E0F80"/>
    <w:rsid w:val="008E1517"/>
    <w:rsid w:val="008E1576"/>
    <w:rsid w:val="008E1C93"/>
    <w:rsid w:val="008E1E2F"/>
    <w:rsid w:val="008E212B"/>
    <w:rsid w:val="008E27B8"/>
    <w:rsid w:val="008E2B83"/>
    <w:rsid w:val="008E2BBB"/>
    <w:rsid w:val="008E2E4F"/>
    <w:rsid w:val="008E3001"/>
    <w:rsid w:val="008E31DB"/>
    <w:rsid w:val="008E3C0F"/>
    <w:rsid w:val="008E3D65"/>
    <w:rsid w:val="008E3E46"/>
    <w:rsid w:val="008E41AD"/>
    <w:rsid w:val="008E441A"/>
    <w:rsid w:val="008E4CE3"/>
    <w:rsid w:val="008E4EFD"/>
    <w:rsid w:val="008E5AAB"/>
    <w:rsid w:val="008E65A7"/>
    <w:rsid w:val="008E683A"/>
    <w:rsid w:val="008E695C"/>
    <w:rsid w:val="008E7180"/>
    <w:rsid w:val="008E7423"/>
    <w:rsid w:val="008E7ABB"/>
    <w:rsid w:val="008E7C8A"/>
    <w:rsid w:val="008F016C"/>
    <w:rsid w:val="008F048C"/>
    <w:rsid w:val="008F04DE"/>
    <w:rsid w:val="008F0592"/>
    <w:rsid w:val="008F0B77"/>
    <w:rsid w:val="008F16BF"/>
    <w:rsid w:val="008F1B08"/>
    <w:rsid w:val="008F1CA4"/>
    <w:rsid w:val="008F1F3E"/>
    <w:rsid w:val="008F209C"/>
    <w:rsid w:val="008F2240"/>
    <w:rsid w:val="008F2265"/>
    <w:rsid w:val="008F230A"/>
    <w:rsid w:val="008F232C"/>
    <w:rsid w:val="008F2503"/>
    <w:rsid w:val="008F257F"/>
    <w:rsid w:val="008F2680"/>
    <w:rsid w:val="008F29E2"/>
    <w:rsid w:val="008F2FC8"/>
    <w:rsid w:val="008F3FC1"/>
    <w:rsid w:val="008F4C12"/>
    <w:rsid w:val="008F4E8D"/>
    <w:rsid w:val="008F4F26"/>
    <w:rsid w:val="008F4FB7"/>
    <w:rsid w:val="008F54FB"/>
    <w:rsid w:val="008F55D3"/>
    <w:rsid w:val="008F5A84"/>
    <w:rsid w:val="008F5AA6"/>
    <w:rsid w:val="008F5D10"/>
    <w:rsid w:val="008F63FA"/>
    <w:rsid w:val="008F6765"/>
    <w:rsid w:val="008F6E9F"/>
    <w:rsid w:val="008F79A2"/>
    <w:rsid w:val="00900286"/>
    <w:rsid w:val="00900EC9"/>
    <w:rsid w:val="009011C3"/>
    <w:rsid w:val="00901534"/>
    <w:rsid w:val="009015A0"/>
    <w:rsid w:val="009015AE"/>
    <w:rsid w:val="0090196B"/>
    <w:rsid w:val="00902170"/>
    <w:rsid w:val="00902277"/>
    <w:rsid w:val="00902A0B"/>
    <w:rsid w:val="00902DE8"/>
    <w:rsid w:val="00902F13"/>
    <w:rsid w:val="0090360E"/>
    <w:rsid w:val="009036D5"/>
    <w:rsid w:val="009038E8"/>
    <w:rsid w:val="009039C3"/>
    <w:rsid w:val="00903CE9"/>
    <w:rsid w:val="00903D3C"/>
    <w:rsid w:val="00903EFC"/>
    <w:rsid w:val="00903F93"/>
    <w:rsid w:val="009044EC"/>
    <w:rsid w:val="00904548"/>
    <w:rsid w:val="00904C6C"/>
    <w:rsid w:val="00904FB0"/>
    <w:rsid w:val="009062BE"/>
    <w:rsid w:val="00906530"/>
    <w:rsid w:val="009068B2"/>
    <w:rsid w:val="0090707A"/>
    <w:rsid w:val="00907ABE"/>
    <w:rsid w:val="00907DD6"/>
    <w:rsid w:val="00907EA5"/>
    <w:rsid w:val="009108A6"/>
    <w:rsid w:val="00910D0C"/>
    <w:rsid w:val="00910D97"/>
    <w:rsid w:val="00910F79"/>
    <w:rsid w:val="00910F88"/>
    <w:rsid w:val="00911652"/>
    <w:rsid w:val="00911AB3"/>
    <w:rsid w:val="009128DE"/>
    <w:rsid w:val="009128FD"/>
    <w:rsid w:val="00912F81"/>
    <w:rsid w:val="00912FE6"/>
    <w:rsid w:val="009137B7"/>
    <w:rsid w:val="0091399B"/>
    <w:rsid w:val="00913F66"/>
    <w:rsid w:val="00914545"/>
    <w:rsid w:val="009147E7"/>
    <w:rsid w:val="0091481A"/>
    <w:rsid w:val="009150E6"/>
    <w:rsid w:val="0091541C"/>
    <w:rsid w:val="009155DB"/>
    <w:rsid w:val="009155E1"/>
    <w:rsid w:val="00915E0B"/>
    <w:rsid w:val="00915EC2"/>
    <w:rsid w:val="00916327"/>
    <w:rsid w:val="00916A0F"/>
    <w:rsid w:val="009174CA"/>
    <w:rsid w:val="0091764B"/>
    <w:rsid w:val="0091774A"/>
    <w:rsid w:val="00917DD1"/>
    <w:rsid w:val="00920294"/>
    <w:rsid w:val="009206D8"/>
    <w:rsid w:val="00920920"/>
    <w:rsid w:val="00920F50"/>
    <w:rsid w:val="0092173C"/>
    <w:rsid w:val="00921985"/>
    <w:rsid w:val="00921ACC"/>
    <w:rsid w:val="009224C7"/>
    <w:rsid w:val="0092253C"/>
    <w:rsid w:val="00922581"/>
    <w:rsid w:val="00922592"/>
    <w:rsid w:val="00922C94"/>
    <w:rsid w:val="0092311C"/>
    <w:rsid w:val="0092315F"/>
    <w:rsid w:val="00923466"/>
    <w:rsid w:val="00923767"/>
    <w:rsid w:val="00924C37"/>
    <w:rsid w:val="00924DE5"/>
    <w:rsid w:val="00924DE9"/>
    <w:rsid w:val="00925220"/>
    <w:rsid w:val="00925673"/>
    <w:rsid w:val="00925713"/>
    <w:rsid w:val="009258CB"/>
    <w:rsid w:val="00925C02"/>
    <w:rsid w:val="00925D28"/>
    <w:rsid w:val="009269C8"/>
    <w:rsid w:val="00926F36"/>
    <w:rsid w:val="00927436"/>
    <w:rsid w:val="0092793D"/>
    <w:rsid w:val="00927E77"/>
    <w:rsid w:val="0093047F"/>
    <w:rsid w:val="009307D9"/>
    <w:rsid w:val="0093081F"/>
    <w:rsid w:val="00930A3A"/>
    <w:rsid w:val="00930B8D"/>
    <w:rsid w:val="00931570"/>
    <w:rsid w:val="00931637"/>
    <w:rsid w:val="0093183E"/>
    <w:rsid w:val="00931AF7"/>
    <w:rsid w:val="00931BB5"/>
    <w:rsid w:val="00932461"/>
    <w:rsid w:val="00932D85"/>
    <w:rsid w:val="0093321A"/>
    <w:rsid w:val="009335A3"/>
    <w:rsid w:val="009336FD"/>
    <w:rsid w:val="00933728"/>
    <w:rsid w:val="00933762"/>
    <w:rsid w:val="00934029"/>
    <w:rsid w:val="00934598"/>
    <w:rsid w:val="00934722"/>
    <w:rsid w:val="00934747"/>
    <w:rsid w:val="00934796"/>
    <w:rsid w:val="00934DAE"/>
    <w:rsid w:val="009353DF"/>
    <w:rsid w:val="00935401"/>
    <w:rsid w:val="009356A3"/>
    <w:rsid w:val="00935EBD"/>
    <w:rsid w:val="00935FCF"/>
    <w:rsid w:val="00936123"/>
    <w:rsid w:val="00936456"/>
    <w:rsid w:val="009369AA"/>
    <w:rsid w:val="00936F9E"/>
    <w:rsid w:val="009372F3"/>
    <w:rsid w:val="009379F4"/>
    <w:rsid w:val="00940E0B"/>
    <w:rsid w:val="0094130F"/>
    <w:rsid w:val="00941CB6"/>
    <w:rsid w:val="00941DAE"/>
    <w:rsid w:val="009421AF"/>
    <w:rsid w:val="00942276"/>
    <w:rsid w:val="009427AE"/>
    <w:rsid w:val="00942BB9"/>
    <w:rsid w:val="00942C6B"/>
    <w:rsid w:val="00942CD1"/>
    <w:rsid w:val="0094300D"/>
    <w:rsid w:val="00943201"/>
    <w:rsid w:val="00943523"/>
    <w:rsid w:val="0094352D"/>
    <w:rsid w:val="009438E0"/>
    <w:rsid w:val="00944B24"/>
    <w:rsid w:val="00944C9B"/>
    <w:rsid w:val="00944E06"/>
    <w:rsid w:val="00945190"/>
    <w:rsid w:val="00945313"/>
    <w:rsid w:val="0094575E"/>
    <w:rsid w:val="00945F9D"/>
    <w:rsid w:val="009462CA"/>
    <w:rsid w:val="00946993"/>
    <w:rsid w:val="00946D43"/>
    <w:rsid w:val="00946DBE"/>
    <w:rsid w:val="009502BB"/>
    <w:rsid w:val="009503C4"/>
    <w:rsid w:val="0095058A"/>
    <w:rsid w:val="0095153A"/>
    <w:rsid w:val="00951B7E"/>
    <w:rsid w:val="00951D67"/>
    <w:rsid w:val="00951D99"/>
    <w:rsid w:val="00952292"/>
    <w:rsid w:val="0095263A"/>
    <w:rsid w:val="009527E0"/>
    <w:rsid w:val="00952800"/>
    <w:rsid w:val="00952BF5"/>
    <w:rsid w:val="0095313F"/>
    <w:rsid w:val="009537FA"/>
    <w:rsid w:val="00953906"/>
    <w:rsid w:val="00953BA4"/>
    <w:rsid w:val="00953BFF"/>
    <w:rsid w:val="00953D80"/>
    <w:rsid w:val="00953FCC"/>
    <w:rsid w:val="009545E5"/>
    <w:rsid w:val="00954BE6"/>
    <w:rsid w:val="00954E6F"/>
    <w:rsid w:val="009552A9"/>
    <w:rsid w:val="00955581"/>
    <w:rsid w:val="0095594B"/>
    <w:rsid w:val="00955EC1"/>
    <w:rsid w:val="009562B1"/>
    <w:rsid w:val="0095637A"/>
    <w:rsid w:val="0095643F"/>
    <w:rsid w:val="009564B2"/>
    <w:rsid w:val="00956ACC"/>
    <w:rsid w:val="00956E09"/>
    <w:rsid w:val="0095740E"/>
    <w:rsid w:val="00957676"/>
    <w:rsid w:val="0095779D"/>
    <w:rsid w:val="0096007B"/>
    <w:rsid w:val="009600D6"/>
    <w:rsid w:val="00960525"/>
    <w:rsid w:val="009608DD"/>
    <w:rsid w:val="00960993"/>
    <w:rsid w:val="00960DA5"/>
    <w:rsid w:val="00960EC8"/>
    <w:rsid w:val="009612A1"/>
    <w:rsid w:val="00962BF6"/>
    <w:rsid w:val="00962F55"/>
    <w:rsid w:val="009633D5"/>
    <w:rsid w:val="00963471"/>
    <w:rsid w:val="00963BC3"/>
    <w:rsid w:val="00963C68"/>
    <w:rsid w:val="0096467D"/>
    <w:rsid w:val="00964B1C"/>
    <w:rsid w:val="00965208"/>
    <w:rsid w:val="00965567"/>
    <w:rsid w:val="00965B72"/>
    <w:rsid w:val="009660DA"/>
    <w:rsid w:val="00966D57"/>
    <w:rsid w:val="00967426"/>
    <w:rsid w:val="009674D9"/>
    <w:rsid w:val="0096752D"/>
    <w:rsid w:val="0096753B"/>
    <w:rsid w:val="00967746"/>
    <w:rsid w:val="00967B8B"/>
    <w:rsid w:val="009704BE"/>
    <w:rsid w:val="0097076F"/>
    <w:rsid w:val="009710C0"/>
    <w:rsid w:val="00971217"/>
    <w:rsid w:val="00971395"/>
    <w:rsid w:val="00971452"/>
    <w:rsid w:val="009715C5"/>
    <w:rsid w:val="009717E3"/>
    <w:rsid w:val="00971F27"/>
    <w:rsid w:val="009722EC"/>
    <w:rsid w:val="00972409"/>
    <w:rsid w:val="0097254B"/>
    <w:rsid w:val="00972667"/>
    <w:rsid w:val="00972991"/>
    <w:rsid w:val="00972DA9"/>
    <w:rsid w:val="00972FEC"/>
    <w:rsid w:val="00973013"/>
    <w:rsid w:val="0097320A"/>
    <w:rsid w:val="00973CF5"/>
    <w:rsid w:val="00974623"/>
    <w:rsid w:val="00974833"/>
    <w:rsid w:val="00974852"/>
    <w:rsid w:val="00974DB4"/>
    <w:rsid w:val="00974DD2"/>
    <w:rsid w:val="00974FD0"/>
    <w:rsid w:val="0097608C"/>
    <w:rsid w:val="009761FB"/>
    <w:rsid w:val="009764A8"/>
    <w:rsid w:val="00976E1E"/>
    <w:rsid w:val="0097762C"/>
    <w:rsid w:val="009778A7"/>
    <w:rsid w:val="009779A2"/>
    <w:rsid w:val="00977AE9"/>
    <w:rsid w:val="00977C54"/>
    <w:rsid w:val="00977EB0"/>
    <w:rsid w:val="0098011B"/>
    <w:rsid w:val="00980166"/>
    <w:rsid w:val="0098044C"/>
    <w:rsid w:val="00981E4E"/>
    <w:rsid w:val="00981F3B"/>
    <w:rsid w:val="0098201C"/>
    <w:rsid w:val="00982358"/>
    <w:rsid w:val="00982B3F"/>
    <w:rsid w:val="00982BA5"/>
    <w:rsid w:val="0098395B"/>
    <w:rsid w:val="00983B6A"/>
    <w:rsid w:val="00983C03"/>
    <w:rsid w:val="009844E5"/>
    <w:rsid w:val="009846D9"/>
    <w:rsid w:val="00984974"/>
    <w:rsid w:val="009849F1"/>
    <w:rsid w:val="00985063"/>
    <w:rsid w:val="00985251"/>
    <w:rsid w:val="00985A03"/>
    <w:rsid w:val="009862A3"/>
    <w:rsid w:val="00986AEF"/>
    <w:rsid w:val="00986FD4"/>
    <w:rsid w:val="009877E3"/>
    <w:rsid w:val="00987A02"/>
    <w:rsid w:val="009900AF"/>
    <w:rsid w:val="00990237"/>
    <w:rsid w:val="00990301"/>
    <w:rsid w:val="00990689"/>
    <w:rsid w:val="00990B76"/>
    <w:rsid w:val="00990B8F"/>
    <w:rsid w:val="00990D7E"/>
    <w:rsid w:val="00991250"/>
    <w:rsid w:val="009915F0"/>
    <w:rsid w:val="009915F9"/>
    <w:rsid w:val="00991609"/>
    <w:rsid w:val="009920DA"/>
    <w:rsid w:val="00992697"/>
    <w:rsid w:val="009928A6"/>
    <w:rsid w:val="00992A75"/>
    <w:rsid w:val="00992AC3"/>
    <w:rsid w:val="009937D7"/>
    <w:rsid w:val="00994333"/>
    <w:rsid w:val="00994BC4"/>
    <w:rsid w:val="00994D0A"/>
    <w:rsid w:val="00994E47"/>
    <w:rsid w:val="0099524D"/>
    <w:rsid w:val="00995A2D"/>
    <w:rsid w:val="0099613A"/>
    <w:rsid w:val="00996876"/>
    <w:rsid w:val="00996EE2"/>
    <w:rsid w:val="0099725A"/>
    <w:rsid w:val="009979C6"/>
    <w:rsid w:val="009A01E8"/>
    <w:rsid w:val="009A0748"/>
    <w:rsid w:val="009A0B20"/>
    <w:rsid w:val="009A0D23"/>
    <w:rsid w:val="009A0E03"/>
    <w:rsid w:val="009A173D"/>
    <w:rsid w:val="009A18E5"/>
    <w:rsid w:val="009A23B0"/>
    <w:rsid w:val="009A280E"/>
    <w:rsid w:val="009A2927"/>
    <w:rsid w:val="009A305F"/>
    <w:rsid w:val="009A44A1"/>
    <w:rsid w:val="009A4726"/>
    <w:rsid w:val="009A4BA2"/>
    <w:rsid w:val="009A56F0"/>
    <w:rsid w:val="009A5976"/>
    <w:rsid w:val="009A5B84"/>
    <w:rsid w:val="009A5C0F"/>
    <w:rsid w:val="009A680B"/>
    <w:rsid w:val="009A6B2E"/>
    <w:rsid w:val="009A6ED2"/>
    <w:rsid w:val="009A7994"/>
    <w:rsid w:val="009B066F"/>
    <w:rsid w:val="009B09A4"/>
    <w:rsid w:val="009B0A0C"/>
    <w:rsid w:val="009B0FA2"/>
    <w:rsid w:val="009B1457"/>
    <w:rsid w:val="009B18EF"/>
    <w:rsid w:val="009B1F68"/>
    <w:rsid w:val="009B240C"/>
    <w:rsid w:val="009B2665"/>
    <w:rsid w:val="009B2744"/>
    <w:rsid w:val="009B29C7"/>
    <w:rsid w:val="009B3021"/>
    <w:rsid w:val="009B3096"/>
    <w:rsid w:val="009B3556"/>
    <w:rsid w:val="009B37D1"/>
    <w:rsid w:val="009B3C67"/>
    <w:rsid w:val="009B3C6F"/>
    <w:rsid w:val="009B3F9B"/>
    <w:rsid w:val="009B4031"/>
    <w:rsid w:val="009B4198"/>
    <w:rsid w:val="009B4702"/>
    <w:rsid w:val="009B4756"/>
    <w:rsid w:val="009B4C87"/>
    <w:rsid w:val="009B5591"/>
    <w:rsid w:val="009B63B0"/>
    <w:rsid w:val="009B6681"/>
    <w:rsid w:val="009B67C4"/>
    <w:rsid w:val="009B6C6B"/>
    <w:rsid w:val="009B72EB"/>
    <w:rsid w:val="009B7313"/>
    <w:rsid w:val="009C0211"/>
    <w:rsid w:val="009C05BD"/>
    <w:rsid w:val="009C0D6E"/>
    <w:rsid w:val="009C121D"/>
    <w:rsid w:val="009C16A8"/>
    <w:rsid w:val="009C1D14"/>
    <w:rsid w:val="009C2323"/>
    <w:rsid w:val="009C25FF"/>
    <w:rsid w:val="009C2763"/>
    <w:rsid w:val="009C2765"/>
    <w:rsid w:val="009C27E1"/>
    <w:rsid w:val="009C39B9"/>
    <w:rsid w:val="009C4167"/>
    <w:rsid w:val="009C4258"/>
    <w:rsid w:val="009C42FE"/>
    <w:rsid w:val="009C4C5C"/>
    <w:rsid w:val="009C521A"/>
    <w:rsid w:val="009C5BED"/>
    <w:rsid w:val="009C5CB3"/>
    <w:rsid w:val="009C5F4E"/>
    <w:rsid w:val="009C5F7A"/>
    <w:rsid w:val="009C65E2"/>
    <w:rsid w:val="009C66C7"/>
    <w:rsid w:val="009C71D9"/>
    <w:rsid w:val="009C79F4"/>
    <w:rsid w:val="009D0054"/>
    <w:rsid w:val="009D0278"/>
    <w:rsid w:val="009D048B"/>
    <w:rsid w:val="009D0F97"/>
    <w:rsid w:val="009D1611"/>
    <w:rsid w:val="009D186A"/>
    <w:rsid w:val="009D1F64"/>
    <w:rsid w:val="009D22E8"/>
    <w:rsid w:val="009D2799"/>
    <w:rsid w:val="009D2DE8"/>
    <w:rsid w:val="009D2F2A"/>
    <w:rsid w:val="009D30E0"/>
    <w:rsid w:val="009D3C80"/>
    <w:rsid w:val="009D442A"/>
    <w:rsid w:val="009D476A"/>
    <w:rsid w:val="009D554B"/>
    <w:rsid w:val="009D562D"/>
    <w:rsid w:val="009D56A2"/>
    <w:rsid w:val="009D5ED9"/>
    <w:rsid w:val="009D647C"/>
    <w:rsid w:val="009D6B97"/>
    <w:rsid w:val="009D6FFB"/>
    <w:rsid w:val="009D71AA"/>
    <w:rsid w:val="009D73AD"/>
    <w:rsid w:val="009D7A1B"/>
    <w:rsid w:val="009D7DD9"/>
    <w:rsid w:val="009E0102"/>
    <w:rsid w:val="009E1711"/>
    <w:rsid w:val="009E1996"/>
    <w:rsid w:val="009E1E9E"/>
    <w:rsid w:val="009E237B"/>
    <w:rsid w:val="009E2FD3"/>
    <w:rsid w:val="009E3023"/>
    <w:rsid w:val="009E3646"/>
    <w:rsid w:val="009E397E"/>
    <w:rsid w:val="009E3B7A"/>
    <w:rsid w:val="009E3D65"/>
    <w:rsid w:val="009E3E4C"/>
    <w:rsid w:val="009E3F9E"/>
    <w:rsid w:val="009E4302"/>
    <w:rsid w:val="009E4D8D"/>
    <w:rsid w:val="009E519F"/>
    <w:rsid w:val="009E5F3B"/>
    <w:rsid w:val="009E614C"/>
    <w:rsid w:val="009E69A6"/>
    <w:rsid w:val="009E69FF"/>
    <w:rsid w:val="009E7B49"/>
    <w:rsid w:val="009E7E7A"/>
    <w:rsid w:val="009F05B4"/>
    <w:rsid w:val="009F0724"/>
    <w:rsid w:val="009F0914"/>
    <w:rsid w:val="009F0A87"/>
    <w:rsid w:val="009F0D2B"/>
    <w:rsid w:val="009F13A4"/>
    <w:rsid w:val="009F1477"/>
    <w:rsid w:val="009F14F2"/>
    <w:rsid w:val="009F16CA"/>
    <w:rsid w:val="009F1940"/>
    <w:rsid w:val="009F1990"/>
    <w:rsid w:val="009F231D"/>
    <w:rsid w:val="009F26BE"/>
    <w:rsid w:val="009F2AB8"/>
    <w:rsid w:val="009F2F82"/>
    <w:rsid w:val="009F2FBF"/>
    <w:rsid w:val="009F3374"/>
    <w:rsid w:val="009F34D5"/>
    <w:rsid w:val="009F38AB"/>
    <w:rsid w:val="009F396D"/>
    <w:rsid w:val="009F4289"/>
    <w:rsid w:val="009F47EF"/>
    <w:rsid w:val="009F52A5"/>
    <w:rsid w:val="009F539D"/>
    <w:rsid w:val="009F5506"/>
    <w:rsid w:val="009F557D"/>
    <w:rsid w:val="009F578D"/>
    <w:rsid w:val="009F5B6E"/>
    <w:rsid w:val="009F6836"/>
    <w:rsid w:val="009F6EC3"/>
    <w:rsid w:val="009F6F73"/>
    <w:rsid w:val="009F75EA"/>
    <w:rsid w:val="009F7C55"/>
    <w:rsid w:val="009F7E3C"/>
    <w:rsid w:val="009F7ED4"/>
    <w:rsid w:val="00A006D0"/>
    <w:rsid w:val="00A0158F"/>
    <w:rsid w:val="00A01DD9"/>
    <w:rsid w:val="00A01DE8"/>
    <w:rsid w:val="00A01FEE"/>
    <w:rsid w:val="00A0224B"/>
    <w:rsid w:val="00A02ED9"/>
    <w:rsid w:val="00A03730"/>
    <w:rsid w:val="00A037C9"/>
    <w:rsid w:val="00A041DF"/>
    <w:rsid w:val="00A04339"/>
    <w:rsid w:val="00A05082"/>
    <w:rsid w:val="00A05677"/>
    <w:rsid w:val="00A05C64"/>
    <w:rsid w:val="00A06593"/>
    <w:rsid w:val="00A066DF"/>
    <w:rsid w:val="00A06764"/>
    <w:rsid w:val="00A06B0A"/>
    <w:rsid w:val="00A06FCB"/>
    <w:rsid w:val="00A071C7"/>
    <w:rsid w:val="00A0726E"/>
    <w:rsid w:val="00A07762"/>
    <w:rsid w:val="00A07BB4"/>
    <w:rsid w:val="00A10022"/>
    <w:rsid w:val="00A10732"/>
    <w:rsid w:val="00A10DAD"/>
    <w:rsid w:val="00A1120D"/>
    <w:rsid w:val="00A12720"/>
    <w:rsid w:val="00A12C6E"/>
    <w:rsid w:val="00A13034"/>
    <w:rsid w:val="00A1336A"/>
    <w:rsid w:val="00A13505"/>
    <w:rsid w:val="00A13650"/>
    <w:rsid w:val="00A1394A"/>
    <w:rsid w:val="00A13A5D"/>
    <w:rsid w:val="00A13F6A"/>
    <w:rsid w:val="00A13F6E"/>
    <w:rsid w:val="00A144EF"/>
    <w:rsid w:val="00A14723"/>
    <w:rsid w:val="00A149D1"/>
    <w:rsid w:val="00A14DEE"/>
    <w:rsid w:val="00A15A44"/>
    <w:rsid w:val="00A15FEE"/>
    <w:rsid w:val="00A16061"/>
    <w:rsid w:val="00A161E5"/>
    <w:rsid w:val="00A16425"/>
    <w:rsid w:val="00A16912"/>
    <w:rsid w:val="00A1710B"/>
    <w:rsid w:val="00A176BC"/>
    <w:rsid w:val="00A2011B"/>
    <w:rsid w:val="00A207D3"/>
    <w:rsid w:val="00A207E1"/>
    <w:rsid w:val="00A21545"/>
    <w:rsid w:val="00A21810"/>
    <w:rsid w:val="00A22459"/>
    <w:rsid w:val="00A2292A"/>
    <w:rsid w:val="00A23354"/>
    <w:rsid w:val="00A2440D"/>
    <w:rsid w:val="00A24864"/>
    <w:rsid w:val="00A24F2B"/>
    <w:rsid w:val="00A24FDD"/>
    <w:rsid w:val="00A253C4"/>
    <w:rsid w:val="00A258E5"/>
    <w:rsid w:val="00A2591D"/>
    <w:rsid w:val="00A2612D"/>
    <w:rsid w:val="00A26794"/>
    <w:rsid w:val="00A26C30"/>
    <w:rsid w:val="00A26E06"/>
    <w:rsid w:val="00A26EA1"/>
    <w:rsid w:val="00A2707E"/>
    <w:rsid w:val="00A27331"/>
    <w:rsid w:val="00A2748F"/>
    <w:rsid w:val="00A274FF"/>
    <w:rsid w:val="00A27803"/>
    <w:rsid w:val="00A2783D"/>
    <w:rsid w:val="00A27DBD"/>
    <w:rsid w:val="00A27EBD"/>
    <w:rsid w:val="00A3002C"/>
    <w:rsid w:val="00A30658"/>
    <w:rsid w:val="00A307A0"/>
    <w:rsid w:val="00A308B9"/>
    <w:rsid w:val="00A3098F"/>
    <w:rsid w:val="00A31422"/>
    <w:rsid w:val="00A314E7"/>
    <w:rsid w:val="00A31CD4"/>
    <w:rsid w:val="00A31EA5"/>
    <w:rsid w:val="00A32574"/>
    <w:rsid w:val="00A3290A"/>
    <w:rsid w:val="00A32AFB"/>
    <w:rsid w:val="00A332A0"/>
    <w:rsid w:val="00A332D1"/>
    <w:rsid w:val="00A33403"/>
    <w:rsid w:val="00A3343A"/>
    <w:rsid w:val="00A334D3"/>
    <w:rsid w:val="00A34074"/>
    <w:rsid w:val="00A344F5"/>
    <w:rsid w:val="00A34AB7"/>
    <w:rsid w:val="00A34DBA"/>
    <w:rsid w:val="00A35224"/>
    <w:rsid w:val="00A35363"/>
    <w:rsid w:val="00A35B60"/>
    <w:rsid w:val="00A3624C"/>
    <w:rsid w:val="00A37797"/>
    <w:rsid w:val="00A40084"/>
    <w:rsid w:val="00A40357"/>
    <w:rsid w:val="00A404F5"/>
    <w:rsid w:val="00A40A2D"/>
    <w:rsid w:val="00A4146C"/>
    <w:rsid w:val="00A415B3"/>
    <w:rsid w:val="00A41B5B"/>
    <w:rsid w:val="00A41CD9"/>
    <w:rsid w:val="00A41FAB"/>
    <w:rsid w:val="00A422A7"/>
    <w:rsid w:val="00A4241D"/>
    <w:rsid w:val="00A4278E"/>
    <w:rsid w:val="00A42B13"/>
    <w:rsid w:val="00A433AF"/>
    <w:rsid w:val="00A43472"/>
    <w:rsid w:val="00A436A5"/>
    <w:rsid w:val="00A439ED"/>
    <w:rsid w:val="00A43D5C"/>
    <w:rsid w:val="00A44011"/>
    <w:rsid w:val="00A445C4"/>
    <w:rsid w:val="00A446FD"/>
    <w:rsid w:val="00A44812"/>
    <w:rsid w:val="00A44FAB"/>
    <w:rsid w:val="00A452C4"/>
    <w:rsid w:val="00A45556"/>
    <w:rsid w:val="00A45EE0"/>
    <w:rsid w:val="00A46360"/>
    <w:rsid w:val="00A4757D"/>
    <w:rsid w:val="00A500F0"/>
    <w:rsid w:val="00A50EC7"/>
    <w:rsid w:val="00A512F9"/>
    <w:rsid w:val="00A5184F"/>
    <w:rsid w:val="00A51912"/>
    <w:rsid w:val="00A51BC2"/>
    <w:rsid w:val="00A51DE0"/>
    <w:rsid w:val="00A51E33"/>
    <w:rsid w:val="00A51E40"/>
    <w:rsid w:val="00A522C6"/>
    <w:rsid w:val="00A524BD"/>
    <w:rsid w:val="00A52B73"/>
    <w:rsid w:val="00A52B8D"/>
    <w:rsid w:val="00A52DE3"/>
    <w:rsid w:val="00A539B7"/>
    <w:rsid w:val="00A53E3B"/>
    <w:rsid w:val="00A546B6"/>
    <w:rsid w:val="00A546D8"/>
    <w:rsid w:val="00A546E8"/>
    <w:rsid w:val="00A549E8"/>
    <w:rsid w:val="00A54D04"/>
    <w:rsid w:val="00A54E92"/>
    <w:rsid w:val="00A554F4"/>
    <w:rsid w:val="00A5588D"/>
    <w:rsid w:val="00A55E2E"/>
    <w:rsid w:val="00A56E85"/>
    <w:rsid w:val="00A56EF4"/>
    <w:rsid w:val="00A56FF7"/>
    <w:rsid w:val="00A573CB"/>
    <w:rsid w:val="00A57C18"/>
    <w:rsid w:val="00A6017F"/>
    <w:rsid w:val="00A609E5"/>
    <w:rsid w:val="00A61C4F"/>
    <w:rsid w:val="00A62018"/>
    <w:rsid w:val="00A6339C"/>
    <w:rsid w:val="00A634EC"/>
    <w:rsid w:val="00A640D5"/>
    <w:rsid w:val="00A6441D"/>
    <w:rsid w:val="00A64602"/>
    <w:rsid w:val="00A649B1"/>
    <w:rsid w:val="00A64F9F"/>
    <w:rsid w:val="00A6500F"/>
    <w:rsid w:val="00A6550F"/>
    <w:rsid w:val="00A65966"/>
    <w:rsid w:val="00A66B4C"/>
    <w:rsid w:val="00A67973"/>
    <w:rsid w:val="00A7075F"/>
    <w:rsid w:val="00A70770"/>
    <w:rsid w:val="00A70B0E"/>
    <w:rsid w:val="00A70FF2"/>
    <w:rsid w:val="00A71253"/>
    <w:rsid w:val="00A71722"/>
    <w:rsid w:val="00A71B7E"/>
    <w:rsid w:val="00A71E9D"/>
    <w:rsid w:val="00A72564"/>
    <w:rsid w:val="00A7280A"/>
    <w:rsid w:val="00A735CA"/>
    <w:rsid w:val="00A73945"/>
    <w:rsid w:val="00A74472"/>
    <w:rsid w:val="00A744CD"/>
    <w:rsid w:val="00A744E3"/>
    <w:rsid w:val="00A755A4"/>
    <w:rsid w:val="00A75A8A"/>
    <w:rsid w:val="00A75E87"/>
    <w:rsid w:val="00A7632A"/>
    <w:rsid w:val="00A763C5"/>
    <w:rsid w:val="00A766E9"/>
    <w:rsid w:val="00A77630"/>
    <w:rsid w:val="00A778AE"/>
    <w:rsid w:val="00A77C8A"/>
    <w:rsid w:val="00A801A0"/>
    <w:rsid w:val="00A804E8"/>
    <w:rsid w:val="00A80777"/>
    <w:rsid w:val="00A80CB9"/>
    <w:rsid w:val="00A80CEC"/>
    <w:rsid w:val="00A80F37"/>
    <w:rsid w:val="00A817F9"/>
    <w:rsid w:val="00A819C9"/>
    <w:rsid w:val="00A81AE6"/>
    <w:rsid w:val="00A81E19"/>
    <w:rsid w:val="00A82142"/>
    <w:rsid w:val="00A825BF"/>
    <w:rsid w:val="00A82C88"/>
    <w:rsid w:val="00A82FDA"/>
    <w:rsid w:val="00A82FDC"/>
    <w:rsid w:val="00A830AB"/>
    <w:rsid w:val="00A83226"/>
    <w:rsid w:val="00A834B0"/>
    <w:rsid w:val="00A83780"/>
    <w:rsid w:val="00A8419F"/>
    <w:rsid w:val="00A8431A"/>
    <w:rsid w:val="00A84BDC"/>
    <w:rsid w:val="00A84E4E"/>
    <w:rsid w:val="00A85A48"/>
    <w:rsid w:val="00A864D2"/>
    <w:rsid w:val="00A86C8D"/>
    <w:rsid w:val="00A86FDA"/>
    <w:rsid w:val="00A8783D"/>
    <w:rsid w:val="00A87CAB"/>
    <w:rsid w:val="00A90057"/>
    <w:rsid w:val="00A901C2"/>
    <w:rsid w:val="00A910DF"/>
    <w:rsid w:val="00A919B4"/>
    <w:rsid w:val="00A91E71"/>
    <w:rsid w:val="00A920DC"/>
    <w:rsid w:val="00A92139"/>
    <w:rsid w:val="00A922C1"/>
    <w:rsid w:val="00A9331A"/>
    <w:rsid w:val="00A94053"/>
    <w:rsid w:val="00A942CA"/>
    <w:rsid w:val="00A942FE"/>
    <w:rsid w:val="00A94458"/>
    <w:rsid w:val="00A9448D"/>
    <w:rsid w:val="00A9469C"/>
    <w:rsid w:val="00A94885"/>
    <w:rsid w:val="00A94938"/>
    <w:rsid w:val="00A94BA6"/>
    <w:rsid w:val="00A95077"/>
    <w:rsid w:val="00A954A5"/>
    <w:rsid w:val="00A954AA"/>
    <w:rsid w:val="00A954E2"/>
    <w:rsid w:val="00A95823"/>
    <w:rsid w:val="00A95E16"/>
    <w:rsid w:val="00A95FBF"/>
    <w:rsid w:val="00A9632A"/>
    <w:rsid w:val="00A96CF7"/>
    <w:rsid w:val="00A97177"/>
    <w:rsid w:val="00A973CE"/>
    <w:rsid w:val="00A97722"/>
    <w:rsid w:val="00A977AC"/>
    <w:rsid w:val="00A97D50"/>
    <w:rsid w:val="00A97E5E"/>
    <w:rsid w:val="00AA038E"/>
    <w:rsid w:val="00AA0988"/>
    <w:rsid w:val="00AA09A1"/>
    <w:rsid w:val="00AA1151"/>
    <w:rsid w:val="00AA1BB2"/>
    <w:rsid w:val="00AA2ABB"/>
    <w:rsid w:val="00AA2AC5"/>
    <w:rsid w:val="00AA2B40"/>
    <w:rsid w:val="00AA2BF8"/>
    <w:rsid w:val="00AA2C80"/>
    <w:rsid w:val="00AA2E1A"/>
    <w:rsid w:val="00AA303C"/>
    <w:rsid w:val="00AA32FF"/>
    <w:rsid w:val="00AA3609"/>
    <w:rsid w:val="00AA3EE2"/>
    <w:rsid w:val="00AA408C"/>
    <w:rsid w:val="00AA42BC"/>
    <w:rsid w:val="00AA5509"/>
    <w:rsid w:val="00AA5B59"/>
    <w:rsid w:val="00AA5FA0"/>
    <w:rsid w:val="00AA6050"/>
    <w:rsid w:val="00AA6311"/>
    <w:rsid w:val="00AA651F"/>
    <w:rsid w:val="00AA6E9F"/>
    <w:rsid w:val="00AA6FEB"/>
    <w:rsid w:val="00AA721A"/>
    <w:rsid w:val="00AA72D0"/>
    <w:rsid w:val="00AA755F"/>
    <w:rsid w:val="00AA7CF1"/>
    <w:rsid w:val="00AB03DA"/>
    <w:rsid w:val="00AB09F3"/>
    <w:rsid w:val="00AB0F48"/>
    <w:rsid w:val="00AB16C9"/>
    <w:rsid w:val="00AB1F4A"/>
    <w:rsid w:val="00AB2A49"/>
    <w:rsid w:val="00AB2B11"/>
    <w:rsid w:val="00AB2B32"/>
    <w:rsid w:val="00AB2BC9"/>
    <w:rsid w:val="00AB2E5F"/>
    <w:rsid w:val="00AB34DF"/>
    <w:rsid w:val="00AB3853"/>
    <w:rsid w:val="00AB385B"/>
    <w:rsid w:val="00AB3C9B"/>
    <w:rsid w:val="00AB3E0A"/>
    <w:rsid w:val="00AB3E12"/>
    <w:rsid w:val="00AB3E93"/>
    <w:rsid w:val="00AB425B"/>
    <w:rsid w:val="00AB44D3"/>
    <w:rsid w:val="00AB4768"/>
    <w:rsid w:val="00AB5A35"/>
    <w:rsid w:val="00AB5B53"/>
    <w:rsid w:val="00AB5BCA"/>
    <w:rsid w:val="00AB6050"/>
    <w:rsid w:val="00AB67D0"/>
    <w:rsid w:val="00AB681F"/>
    <w:rsid w:val="00AB6B62"/>
    <w:rsid w:val="00AB6BF6"/>
    <w:rsid w:val="00AB6D1B"/>
    <w:rsid w:val="00AC06AD"/>
    <w:rsid w:val="00AC084B"/>
    <w:rsid w:val="00AC0A9A"/>
    <w:rsid w:val="00AC14CF"/>
    <w:rsid w:val="00AC1712"/>
    <w:rsid w:val="00AC198D"/>
    <w:rsid w:val="00AC1C17"/>
    <w:rsid w:val="00AC263C"/>
    <w:rsid w:val="00AC2A27"/>
    <w:rsid w:val="00AC2D65"/>
    <w:rsid w:val="00AC301A"/>
    <w:rsid w:val="00AC324D"/>
    <w:rsid w:val="00AC3278"/>
    <w:rsid w:val="00AC3C3F"/>
    <w:rsid w:val="00AC3DDE"/>
    <w:rsid w:val="00AC3E7A"/>
    <w:rsid w:val="00AC4094"/>
    <w:rsid w:val="00AC4639"/>
    <w:rsid w:val="00AC4C00"/>
    <w:rsid w:val="00AC5729"/>
    <w:rsid w:val="00AC594F"/>
    <w:rsid w:val="00AC61B9"/>
    <w:rsid w:val="00AC629A"/>
    <w:rsid w:val="00AC6B09"/>
    <w:rsid w:val="00AC6B2F"/>
    <w:rsid w:val="00AC70C0"/>
    <w:rsid w:val="00AC7876"/>
    <w:rsid w:val="00AC7AD2"/>
    <w:rsid w:val="00AD0565"/>
    <w:rsid w:val="00AD0E8C"/>
    <w:rsid w:val="00AD19CC"/>
    <w:rsid w:val="00AD1B56"/>
    <w:rsid w:val="00AD1B63"/>
    <w:rsid w:val="00AD1C23"/>
    <w:rsid w:val="00AD1D4B"/>
    <w:rsid w:val="00AD2152"/>
    <w:rsid w:val="00AD252B"/>
    <w:rsid w:val="00AD32E1"/>
    <w:rsid w:val="00AD37AD"/>
    <w:rsid w:val="00AD3B74"/>
    <w:rsid w:val="00AD4072"/>
    <w:rsid w:val="00AD4663"/>
    <w:rsid w:val="00AD4A51"/>
    <w:rsid w:val="00AD4B4F"/>
    <w:rsid w:val="00AD5651"/>
    <w:rsid w:val="00AD5769"/>
    <w:rsid w:val="00AD58D0"/>
    <w:rsid w:val="00AD595E"/>
    <w:rsid w:val="00AD5A11"/>
    <w:rsid w:val="00AD5A98"/>
    <w:rsid w:val="00AD5B94"/>
    <w:rsid w:val="00AD6242"/>
    <w:rsid w:val="00AD66E0"/>
    <w:rsid w:val="00AD69D2"/>
    <w:rsid w:val="00AD78C0"/>
    <w:rsid w:val="00AD7BCB"/>
    <w:rsid w:val="00AD7FCE"/>
    <w:rsid w:val="00AE0429"/>
    <w:rsid w:val="00AE0510"/>
    <w:rsid w:val="00AE0AC5"/>
    <w:rsid w:val="00AE15FE"/>
    <w:rsid w:val="00AE1F0C"/>
    <w:rsid w:val="00AE2628"/>
    <w:rsid w:val="00AE2A7A"/>
    <w:rsid w:val="00AE2AEE"/>
    <w:rsid w:val="00AE2C58"/>
    <w:rsid w:val="00AE3587"/>
    <w:rsid w:val="00AE405F"/>
    <w:rsid w:val="00AE4268"/>
    <w:rsid w:val="00AE4576"/>
    <w:rsid w:val="00AE4735"/>
    <w:rsid w:val="00AE497D"/>
    <w:rsid w:val="00AE5A24"/>
    <w:rsid w:val="00AE5E11"/>
    <w:rsid w:val="00AE6076"/>
    <w:rsid w:val="00AE6232"/>
    <w:rsid w:val="00AE6443"/>
    <w:rsid w:val="00AE648A"/>
    <w:rsid w:val="00AE64B1"/>
    <w:rsid w:val="00AE6CE5"/>
    <w:rsid w:val="00AF0227"/>
    <w:rsid w:val="00AF02C9"/>
    <w:rsid w:val="00AF06A5"/>
    <w:rsid w:val="00AF0839"/>
    <w:rsid w:val="00AF0AAB"/>
    <w:rsid w:val="00AF0B2F"/>
    <w:rsid w:val="00AF0E80"/>
    <w:rsid w:val="00AF0EFA"/>
    <w:rsid w:val="00AF10ED"/>
    <w:rsid w:val="00AF1658"/>
    <w:rsid w:val="00AF176A"/>
    <w:rsid w:val="00AF17DA"/>
    <w:rsid w:val="00AF1D49"/>
    <w:rsid w:val="00AF2073"/>
    <w:rsid w:val="00AF2100"/>
    <w:rsid w:val="00AF3286"/>
    <w:rsid w:val="00AF3722"/>
    <w:rsid w:val="00AF4D73"/>
    <w:rsid w:val="00AF4DA4"/>
    <w:rsid w:val="00AF52C3"/>
    <w:rsid w:val="00AF53EA"/>
    <w:rsid w:val="00AF56E7"/>
    <w:rsid w:val="00AF5D9D"/>
    <w:rsid w:val="00AF5DF0"/>
    <w:rsid w:val="00AF5E0B"/>
    <w:rsid w:val="00AF66CE"/>
    <w:rsid w:val="00AF6B20"/>
    <w:rsid w:val="00AF7067"/>
    <w:rsid w:val="00AF7220"/>
    <w:rsid w:val="00AF7636"/>
    <w:rsid w:val="00AF7638"/>
    <w:rsid w:val="00AF783E"/>
    <w:rsid w:val="00AF7BBD"/>
    <w:rsid w:val="00B000B7"/>
    <w:rsid w:val="00B007AC"/>
    <w:rsid w:val="00B00984"/>
    <w:rsid w:val="00B009E9"/>
    <w:rsid w:val="00B00B6F"/>
    <w:rsid w:val="00B00C0B"/>
    <w:rsid w:val="00B00FCE"/>
    <w:rsid w:val="00B012C6"/>
    <w:rsid w:val="00B01587"/>
    <w:rsid w:val="00B015EC"/>
    <w:rsid w:val="00B01804"/>
    <w:rsid w:val="00B0196E"/>
    <w:rsid w:val="00B01AD0"/>
    <w:rsid w:val="00B01CFF"/>
    <w:rsid w:val="00B01E47"/>
    <w:rsid w:val="00B0230C"/>
    <w:rsid w:val="00B0268C"/>
    <w:rsid w:val="00B027DD"/>
    <w:rsid w:val="00B02B9F"/>
    <w:rsid w:val="00B02DEE"/>
    <w:rsid w:val="00B036B7"/>
    <w:rsid w:val="00B03E72"/>
    <w:rsid w:val="00B040BC"/>
    <w:rsid w:val="00B042CC"/>
    <w:rsid w:val="00B04427"/>
    <w:rsid w:val="00B04706"/>
    <w:rsid w:val="00B049D3"/>
    <w:rsid w:val="00B05108"/>
    <w:rsid w:val="00B0593D"/>
    <w:rsid w:val="00B05C39"/>
    <w:rsid w:val="00B05E10"/>
    <w:rsid w:val="00B05FCB"/>
    <w:rsid w:val="00B06452"/>
    <w:rsid w:val="00B0682E"/>
    <w:rsid w:val="00B06AE0"/>
    <w:rsid w:val="00B070F6"/>
    <w:rsid w:val="00B077E9"/>
    <w:rsid w:val="00B0799E"/>
    <w:rsid w:val="00B07FC2"/>
    <w:rsid w:val="00B10185"/>
    <w:rsid w:val="00B1050A"/>
    <w:rsid w:val="00B11118"/>
    <w:rsid w:val="00B11391"/>
    <w:rsid w:val="00B117EA"/>
    <w:rsid w:val="00B1225B"/>
    <w:rsid w:val="00B12D9C"/>
    <w:rsid w:val="00B13453"/>
    <w:rsid w:val="00B13555"/>
    <w:rsid w:val="00B138AB"/>
    <w:rsid w:val="00B13A11"/>
    <w:rsid w:val="00B13CEF"/>
    <w:rsid w:val="00B1458F"/>
    <w:rsid w:val="00B146C1"/>
    <w:rsid w:val="00B14A14"/>
    <w:rsid w:val="00B15083"/>
    <w:rsid w:val="00B15415"/>
    <w:rsid w:val="00B16E5C"/>
    <w:rsid w:val="00B16EBB"/>
    <w:rsid w:val="00B1745D"/>
    <w:rsid w:val="00B1777F"/>
    <w:rsid w:val="00B178B2"/>
    <w:rsid w:val="00B17BD1"/>
    <w:rsid w:val="00B20FA9"/>
    <w:rsid w:val="00B218EC"/>
    <w:rsid w:val="00B21C67"/>
    <w:rsid w:val="00B21DC3"/>
    <w:rsid w:val="00B21E87"/>
    <w:rsid w:val="00B22379"/>
    <w:rsid w:val="00B2282A"/>
    <w:rsid w:val="00B22E93"/>
    <w:rsid w:val="00B2326C"/>
    <w:rsid w:val="00B23AD4"/>
    <w:rsid w:val="00B2485F"/>
    <w:rsid w:val="00B24C9F"/>
    <w:rsid w:val="00B24CB8"/>
    <w:rsid w:val="00B25006"/>
    <w:rsid w:val="00B25CE2"/>
    <w:rsid w:val="00B262F9"/>
    <w:rsid w:val="00B27484"/>
    <w:rsid w:val="00B27A2D"/>
    <w:rsid w:val="00B27FA4"/>
    <w:rsid w:val="00B30494"/>
    <w:rsid w:val="00B306D3"/>
    <w:rsid w:val="00B30865"/>
    <w:rsid w:val="00B315B9"/>
    <w:rsid w:val="00B315F0"/>
    <w:rsid w:val="00B32BD3"/>
    <w:rsid w:val="00B32FA3"/>
    <w:rsid w:val="00B336C3"/>
    <w:rsid w:val="00B337B5"/>
    <w:rsid w:val="00B33ADF"/>
    <w:rsid w:val="00B3401C"/>
    <w:rsid w:val="00B34433"/>
    <w:rsid w:val="00B34B38"/>
    <w:rsid w:val="00B34CA8"/>
    <w:rsid w:val="00B34E2F"/>
    <w:rsid w:val="00B34F08"/>
    <w:rsid w:val="00B351DB"/>
    <w:rsid w:val="00B353A9"/>
    <w:rsid w:val="00B353E7"/>
    <w:rsid w:val="00B35475"/>
    <w:rsid w:val="00B355FE"/>
    <w:rsid w:val="00B35636"/>
    <w:rsid w:val="00B363A5"/>
    <w:rsid w:val="00B36703"/>
    <w:rsid w:val="00B369F9"/>
    <w:rsid w:val="00B3738E"/>
    <w:rsid w:val="00B37613"/>
    <w:rsid w:val="00B3793F"/>
    <w:rsid w:val="00B379C3"/>
    <w:rsid w:val="00B37CAF"/>
    <w:rsid w:val="00B403CF"/>
    <w:rsid w:val="00B40439"/>
    <w:rsid w:val="00B40BA7"/>
    <w:rsid w:val="00B40C36"/>
    <w:rsid w:val="00B40C6E"/>
    <w:rsid w:val="00B40D94"/>
    <w:rsid w:val="00B41841"/>
    <w:rsid w:val="00B41C14"/>
    <w:rsid w:val="00B424C9"/>
    <w:rsid w:val="00B425CA"/>
    <w:rsid w:val="00B42AA7"/>
    <w:rsid w:val="00B42ACD"/>
    <w:rsid w:val="00B42BAF"/>
    <w:rsid w:val="00B42BC8"/>
    <w:rsid w:val="00B43EA9"/>
    <w:rsid w:val="00B44316"/>
    <w:rsid w:val="00B449CA"/>
    <w:rsid w:val="00B44B00"/>
    <w:rsid w:val="00B44DFA"/>
    <w:rsid w:val="00B45060"/>
    <w:rsid w:val="00B450D3"/>
    <w:rsid w:val="00B45423"/>
    <w:rsid w:val="00B45594"/>
    <w:rsid w:val="00B455CD"/>
    <w:rsid w:val="00B45929"/>
    <w:rsid w:val="00B459A5"/>
    <w:rsid w:val="00B46671"/>
    <w:rsid w:val="00B466DA"/>
    <w:rsid w:val="00B46BD6"/>
    <w:rsid w:val="00B46C0A"/>
    <w:rsid w:val="00B474A1"/>
    <w:rsid w:val="00B47748"/>
    <w:rsid w:val="00B47D8B"/>
    <w:rsid w:val="00B47E86"/>
    <w:rsid w:val="00B50F95"/>
    <w:rsid w:val="00B51272"/>
    <w:rsid w:val="00B51428"/>
    <w:rsid w:val="00B51977"/>
    <w:rsid w:val="00B51A0F"/>
    <w:rsid w:val="00B51DD4"/>
    <w:rsid w:val="00B52131"/>
    <w:rsid w:val="00B5271C"/>
    <w:rsid w:val="00B528E0"/>
    <w:rsid w:val="00B52959"/>
    <w:rsid w:val="00B52ECE"/>
    <w:rsid w:val="00B53377"/>
    <w:rsid w:val="00B5380E"/>
    <w:rsid w:val="00B53B49"/>
    <w:rsid w:val="00B53E0F"/>
    <w:rsid w:val="00B53E1B"/>
    <w:rsid w:val="00B5415E"/>
    <w:rsid w:val="00B545B1"/>
    <w:rsid w:val="00B5536A"/>
    <w:rsid w:val="00B55EED"/>
    <w:rsid w:val="00B55FAB"/>
    <w:rsid w:val="00B56823"/>
    <w:rsid w:val="00B57081"/>
    <w:rsid w:val="00B601A1"/>
    <w:rsid w:val="00B60534"/>
    <w:rsid w:val="00B60998"/>
    <w:rsid w:val="00B61415"/>
    <w:rsid w:val="00B615D9"/>
    <w:rsid w:val="00B619CB"/>
    <w:rsid w:val="00B61BC1"/>
    <w:rsid w:val="00B61C5E"/>
    <w:rsid w:val="00B61F3E"/>
    <w:rsid w:val="00B62140"/>
    <w:rsid w:val="00B627EC"/>
    <w:rsid w:val="00B6309E"/>
    <w:rsid w:val="00B6338E"/>
    <w:rsid w:val="00B63471"/>
    <w:rsid w:val="00B639E9"/>
    <w:rsid w:val="00B63A19"/>
    <w:rsid w:val="00B63B56"/>
    <w:rsid w:val="00B63B77"/>
    <w:rsid w:val="00B63CB8"/>
    <w:rsid w:val="00B64079"/>
    <w:rsid w:val="00B64350"/>
    <w:rsid w:val="00B648B1"/>
    <w:rsid w:val="00B65210"/>
    <w:rsid w:val="00B65338"/>
    <w:rsid w:val="00B656D0"/>
    <w:rsid w:val="00B658CB"/>
    <w:rsid w:val="00B66AF0"/>
    <w:rsid w:val="00B66FC8"/>
    <w:rsid w:val="00B70698"/>
    <w:rsid w:val="00B70791"/>
    <w:rsid w:val="00B70C0C"/>
    <w:rsid w:val="00B70F52"/>
    <w:rsid w:val="00B719D9"/>
    <w:rsid w:val="00B71E69"/>
    <w:rsid w:val="00B724F5"/>
    <w:rsid w:val="00B72F31"/>
    <w:rsid w:val="00B73214"/>
    <w:rsid w:val="00B732DA"/>
    <w:rsid w:val="00B73E92"/>
    <w:rsid w:val="00B744B2"/>
    <w:rsid w:val="00B74866"/>
    <w:rsid w:val="00B74AD0"/>
    <w:rsid w:val="00B74D28"/>
    <w:rsid w:val="00B75FB6"/>
    <w:rsid w:val="00B7630B"/>
    <w:rsid w:val="00B766B3"/>
    <w:rsid w:val="00B76CB2"/>
    <w:rsid w:val="00B7734A"/>
    <w:rsid w:val="00B774B4"/>
    <w:rsid w:val="00B77DB1"/>
    <w:rsid w:val="00B77F2B"/>
    <w:rsid w:val="00B80842"/>
    <w:rsid w:val="00B8157A"/>
    <w:rsid w:val="00B8180A"/>
    <w:rsid w:val="00B81A1B"/>
    <w:rsid w:val="00B81C79"/>
    <w:rsid w:val="00B81E4C"/>
    <w:rsid w:val="00B82081"/>
    <w:rsid w:val="00B82141"/>
    <w:rsid w:val="00B8221A"/>
    <w:rsid w:val="00B8244D"/>
    <w:rsid w:val="00B826F2"/>
    <w:rsid w:val="00B82A50"/>
    <w:rsid w:val="00B82E91"/>
    <w:rsid w:val="00B83157"/>
    <w:rsid w:val="00B8345B"/>
    <w:rsid w:val="00B83E88"/>
    <w:rsid w:val="00B8420C"/>
    <w:rsid w:val="00B843C5"/>
    <w:rsid w:val="00B84560"/>
    <w:rsid w:val="00B84575"/>
    <w:rsid w:val="00B8477F"/>
    <w:rsid w:val="00B85222"/>
    <w:rsid w:val="00B85349"/>
    <w:rsid w:val="00B85955"/>
    <w:rsid w:val="00B86013"/>
    <w:rsid w:val="00B86156"/>
    <w:rsid w:val="00B870A0"/>
    <w:rsid w:val="00B871F1"/>
    <w:rsid w:val="00B875AE"/>
    <w:rsid w:val="00B87733"/>
    <w:rsid w:val="00B87D58"/>
    <w:rsid w:val="00B87E65"/>
    <w:rsid w:val="00B87FBB"/>
    <w:rsid w:val="00B90036"/>
    <w:rsid w:val="00B90857"/>
    <w:rsid w:val="00B90DCE"/>
    <w:rsid w:val="00B9109A"/>
    <w:rsid w:val="00B913EE"/>
    <w:rsid w:val="00B91802"/>
    <w:rsid w:val="00B91906"/>
    <w:rsid w:val="00B91E38"/>
    <w:rsid w:val="00B92640"/>
    <w:rsid w:val="00B932AD"/>
    <w:rsid w:val="00B93B16"/>
    <w:rsid w:val="00B93E42"/>
    <w:rsid w:val="00B9425C"/>
    <w:rsid w:val="00B944FF"/>
    <w:rsid w:val="00B95121"/>
    <w:rsid w:val="00B954A7"/>
    <w:rsid w:val="00B9585D"/>
    <w:rsid w:val="00B96195"/>
    <w:rsid w:val="00B9623F"/>
    <w:rsid w:val="00B962C0"/>
    <w:rsid w:val="00B9696E"/>
    <w:rsid w:val="00B97120"/>
    <w:rsid w:val="00B97DEC"/>
    <w:rsid w:val="00BA033C"/>
    <w:rsid w:val="00BA05F1"/>
    <w:rsid w:val="00BA0959"/>
    <w:rsid w:val="00BA0982"/>
    <w:rsid w:val="00BA0AB6"/>
    <w:rsid w:val="00BA0B85"/>
    <w:rsid w:val="00BA0F49"/>
    <w:rsid w:val="00BA1337"/>
    <w:rsid w:val="00BA17C3"/>
    <w:rsid w:val="00BA1929"/>
    <w:rsid w:val="00BA1D82"/>
    <w:rsid w:val="00BA1EA7"/>
    <w:rsid w:val="00BA1F29"/>
    <w:rsid w:val="00BA2FFC"/>
    <w:rsid w:val="00BA3FDB"/>
    <w:rsid w:val="00BA43F3"/>
    <w:rsid w:val="00BA4979"/>
    <w:rsid w:val="00BA55A8"/>
    <w:rsid w:val="00BA5697"/>
    <w:rsid w:val="00BA598E"/>
    <w:rsid w:val="00BA5A47"/>
    <w:rsid w:val="00BA65AC"/>
    <w:rsid w:val="00BA6672"/>
    <w:rsid w:val="00BA6D8D"/>
    <w:rsid w:val="00BA7BBD"/>
    <w:rsid w:val="00BB061D"/>
    <w:rsid w:val="00BB0AAC"/>
    <w:rsid w:val="00BB0C88"/>
    <w:rsid w:val="00BB0C96"/>
    <w:rsid w:val="00BB0C99"/>
    <w:rsid w:val="00BB0CFD"/>
    <w:rsid w:val="00BB16A6"/>
    <w:rsid w:val="00BB18AD"/>
    <w:rsid w:val="00BB1A00"/>
    <w:rsid w:val="00BB1B44"/>
    <w:rsid w:val="00BB230E"/>
    <w:rsid w:val="00BB2319"/>
    <w:rsid w:val="00BB23F7"/>
    <w:rsid w:val="00BB299F"/>
    <w:rsid w:val="00BB2C3B"/>
    <w:rsid w:val="00BB318A"/>
    <w:rsid w:val="00BB318E"/>
    <w:rsid w:val="00BB34DB"/>
    <w:rsid w:val="00BB37A8"/>
    <w:rsid w:val="00BB37FA"/>
    <w:rsid w:val="00BB3BDF"/>
    <w:rsid w:val="00BB421D"/>
    <w:rsid w:val="00BB4E7D"/>
    <w:rsid w:val="00BB5928"/>
    <w:rsid w:val="00BB5CED"/>
    <w:rsid w:val="00BB5F52"/>
    <w:rsid w:val="00BB623F"/>
    <w:rsid w:val="00BB65C5"/>
    <w:rsid w:val="00BB680F"/>
    <w:rsid w:val="00BB7298"/>
    <w:rsid w:val="00BB73CB"/>
    <w:rsid w:val="00BB741B"/>
    <w:rsid w:val="00BB7F0B"/>
    <w:rsid w:val="00BC0831"/>
    <w:rsid w:val="00BC088A"/>
    <w:rsid w:val="00BC0899"/>
    <w:rsid w:val="00BC09A2"/>
    <w:rsid w:val="00BC0BD6"/>
    <w:rsid w:val="00BC0D2F"/>
    <w:rsid w:val="00BC139F"/>
    <w:rsid w:val="00BC1849"/>
    <w:rsid w:val="00BC1AFE"/>
    <w:rsid w:val="00BC1B99"/>
    <w:rsid w:val="00BC2401"/>
    <w:rsid w:val="00BC2529"/>
    <w:rsid w:val="00BC3244"/>
    <w:rsid w:val="00BC47F6"/>
    <w:rsid w:val="00BC4A87"/>
    <w:rsid w:val="00BC4C32"/>
    <w:rsid w:val="00BC4E1D"/>
    <w:rsid w:val="00BC5253"/>
    <w:rsid w:val="00BC53FD"/>
    <w:rsid w:val="00BC6347"/>
    <w:rsid w:val="00BC64DF"/>
    <w:rsid w:val="00BC6835"/>
    <w:rsid w:val="00BC6C23"/>
    <w:rsid w:val="00BC6E29"/>
    <w:rsid w:val="00BC70ED"/>
    <w:rsid w:val="00BC72BC"/>
    <w:rsid w:val="00BC72D6"/>
    <w:rsid w:val="00BC7D38"/>
    <w:rsid w:val="00BD01F5"/>
    <w:rsid w:val="00BD060D"/>
    <w:rsid w:val="00BD0DB3"/>
    <w:rsid w:val="00BD1537"/>
    <w:rsid w:val="00BD15E8"/>
    <w:rsid w:val="00BD17D3"/>
    <w:rsid w:val="00BD1872"/>
    <w:rsid w:val="00BD194D"/>
    <w:rsid w:val="00BD19CA"/>
    <w:rsid w:val="00BD1D7E"/>
    <w:rsid w:val="00BD1E9E"/>
    <w:rsid w:val="00BD1FD7"/>
    <w:rsid w:val="00BD22E9"/>
    <w:rsid w:val="00BD23D6"/>
    <w:rsid w:val="00BD2F81"/>
    <w:rsid w:val="00BD3640"/>
    <w:rsid w:val="00BD41BF"/>
    <w:rsid w:val="00BD42E6"/>
    <w:rsid w:val="00BD4D4F"/>
    <w:rsid w:val="00BD4F1D"/>
    <w:rsid w:val="00BD4F4A"/>
    <w:rsid w:val="00BD54EF"/>
    <w:rsid w:val="00BD609C"/>
    <w:rsid w:val="00BD68D1"/>
    <w:rsid w:val="00BD6F3E"/>
    <w:rsid w:val="00BD74BA"/>
    <w:rsid w:val="00BD7ACD"/>
    <w:rsid w:val="00BD7BE9"/>
    <w:rsid w:val="00BE06B9"/>
    <w:rsid w:val="00BE07D6"/>
    <w:rsid w:val="00BE092D"/>
    <w:rsid w:val="00BE0BE3"/>
    <w:rsid w:val="00BE0CFF"/>
    <w:rsid w:val="00BE103A"/>
    <w:rsid w:val="00BE1C59"/>
    <w:rsid w:val="00BE1DD0"/>
    <w:rsid w:val="00BE2386"/>
    <w:rsid w:val="00BE249A"/>
    <w:rsid w:val="00BE2C3B"/>
    <w:rsid w:val="00BE31CB"/>
    <w:rsid w:val="00BE33DA"/>
    <w:rsid w:val="00BE358C"/>
    <w:rsid w:val="00BE388B"/>
    <w:rsid w:val="00BE41F9"/>
    <w:rsid w:val="00BE4988"/>
    <w:rsid w:val="00BE4A64"/>
    <w:rsid w:val="00BE5CDB"/>
    <w:rsid w:val="00BE5E87"/>
    <w:rsid w:val="00BE648C"/>
    <w:rsid w:val="00BE652E"/>
    <w:rsid w:val="00BE736B"/>
    <w:rsid w:val="00BE7432"/>
    <w:rsid w:val="00BE787F"/>
    <w:rsid w:val="00BE7B0B"/>
    <w:rsid w:val="00BF05FB"/>
    <w:rsid w:val="00BF0AA6"/>
    <w:rsid w:val="00BF1085"/>
    <w:rsid w:val="00BF1526"/>
    <w:rsid w:val="00BF16DF"/>
    <w:rsid w:val="00BF1ABE"/>
    <w:rsid w:val="00BF1AE7"/>
    <w:rsid w:val="00BF1F27"/>
    <w:rsid w:val="00BF2076"/>
    <w:rsid w:val="00BF2304"/>
    <w:rsid w:val="00BF2441"/>
    <w:rsid w:val="00BF2C9C"/>
    <w:rsid w:val="00BF2F42"/>
    <w:rsid w:val="00BF3E06"/>
    <w:rsid w:val="00BF423E"/>
    <w:rsid w:val="00BF4376"/>
    <w:rsid w:val="00BF48F5"/>
    <w:rsid w:val="00BF4BB8"/>
    <w:rsid w:val="00BF501B"/>
    <w:rsid w:val="00BF51FC"/>
    <w:rsid w:val="00BF528C"/>
    <w:rsid w:val="00BF5336"/>
    <w:rsid w:val="00BF5876"/>
    <w:rsid w:val="00BF5BBC"/>
    <w:rsid w:val="00BF5E96"/>
    <w:rsid w:val="00BF64C3"/>
    <w:rsid w:val="00BF67A2"/>
    <w:rsid w:val="00BF6A04"/>
    <w:rsid w:val="00BF6A30"/>
    <w:rsid w:val="00BF6D89"/>
    <w:rsid w:val="00BF706B"/>
    <w:rsid w:val="00BF7357"/>
    <w:rsid w:val="00BF741F"/>
    <w:rsid w:val="00BF77B4"/>
    <w:rsid w:val="00C0063E"/>
    <w:rsid w:val="00C0085E"/>
    <w:rsid w:val="00C008F6"/>
    <w:rsid w:val="00C00A19"/>
    <w:rsid w:val="00C014E1"/>
    <w:rsid w:val="00C028B2"/>
    <w:rsid w:val="00C02B65"/>
    <w:rsid w:val="00C0367E"/>
    <w:rsid w:val="00C04099"/>
    <w:rsid w:val="00C043E7"/>
    <w:rsid w:val="00C04B0C"/>
    <w:rsid w:val="00C05859"/>
    <w:rsid w:val="00C05DE1"/>
    <w:rsid w:val="00C05F42"/>
    <w:rsid w:val="00C06481"/>
    <w:rsid w:val="00C064F7"/>
    <w:rsid w:val="00C06D64"/>
    <w:rsid w:val="00C076D2"/>
    <w:rsid w:val="00C078E3"/>
    <w:rsid w:val="00C07936"/>
    <w:rsid w:val="00C07B54"/>
    <w:rsid w:val="00C07CEE"/>
    <w:rsid w:val="00C10741"/>
    <w:rsid w:val="00C10A95"/>
    <w:rsid w:val="00C1114C"/>
    <w:rsid w:val="00C11698"/>
    <w:rsid w:val="00C11778"/>
    <w:rsid w:val="00C117DE"/>
    <w:rsid w:val="00C11B86"/>
    <w:rsid w:val="00C1212D"/>
    <w:rsid w:val="00C1250A"/>
    <w:rsid w:val="00C13056"/>
    <w:rsid w:val="00C131EB"/>
    <w:rsid w:val="00C132F2"/>
    <w:rsid w:val="00C13382"/>
    <w:rsid w:val="00C13831"/>
    <w:rsid w:val="00C13B7F"/>
    <w:rsid w:val="00C13E5F"/>
    <w:rsid w:val="00C13F6D"/>
    <w:rsid w:val="00C15030"/>
    <w:rsid w:val="00C15077"/>
    <w:rsid w:val="00C150F9"/>
    <w:rsid w:val="00C153D2"/>
    <w:rsid w:val="00C1550C"/>
    <w:rsid w:val="00C156E4"/>
    <w:rsid w:val="00C158EE"/>
    <w:rsid w:val="00C16067"/>
    <w:rsid w:val="00C163DB"/>
    <w:rsid w:val="00C165BD"/>
    <w:rsid w:val="00C1690E"/>
    <w:rsid w:val="00C17217"/>
    <w:rsid w:val="00C1745C"/>
    <w:rsid w:val="00C17AF9"/>
    <w:rsid w:val="00C17FDF"/>
    <w:rsid w:val="00C20160"/>
    <w:rsid w:val="00C2027A"/>
    <w:rsid w:val="00C203A9"/>
    <w:rsid w:val="00C203B7"/>
    <w:rsid w:val="00C20810"/>
    <w:rsid w:val="00C20C34"/>
    <w:rsid w:val="00C20C39"/>
    <w:rsid w:val="00C20DDB"/>
    <w:rsid w:val="00C21418"/>
    <w:rsid w:val="00C21468"/>
    <w:rsid w:val="00C21489"/>
    <w:rsid w:val="00C21D3B"/>
    <w:rsid w:val="00C221B5"/>
    <w:rsid w:val="00C22899"/>
    <w:rsid w:val="00C22ADA"/>
    <w:rsid w:val="00C2308A"/>
    <w:rsid w:val="00C233B5"/>
    <w:rsid w:val="00C2343E"/>
    <w:rsid w:val="00C240C0"/>
    <w:rsid w:val="00C242F1"/>
    <w:rsid w:val="00C24599"/>
    <w:rsid w:val="00C24A72"/>
    <w:rsid w:val="00C250EE"/>
    <w:rsid w:val="00C260B1"/>
    <w:rsid w:val="00C26444"/>
    <w:rsid w:val="00C27213"/>
    <w:rsid w:val="00C27F92"/>
    <w:rsid w:val="00C304EB"/>
    <w:rsid w:val="00C30611"/>
    <w:rsid w:val="00C3072B"/>
    <w:rsid w:val="00C30C01"/>
    <w:rsid w:val="00C315EE"/>
    <w:rsid w:val="00C326CE"/>
    <w:rsid w:val="00C330D1"/>
    <w:rsid w:val="00C33656"/>
    <w:rsid w:val="00C339F0"/>
    <w:rsid w:val="00C33B09"/>
    <w:rsid w:val="00C34366"/>
    <w:rsid w:val="00C345DB"/>
    <w:rsid w:val="00C346CE"/>
    <w:rsid w:val="00C3475C"/>
    <w:rsid w:val="00C34D8A"/>
    <w:rsid w:val="00C3518D"/>
    <w:rsid w:val="00C3524F"/>
    <w:rsid w:val="00C35C26"/>
    <w:rsid w:val="00C35DB8"/>
    <w:rsid w:val="00C367AA"/>
    <w:rsid w:val="00C368FF"/>
    <w:rsid w:val="00C37290"/>
    <w:rsid w:val="00C372AC"/>
    <w:rsid w:val="00C37EE4"/>
    <w:rsid w:val="00C37EFE"/>
    <w:rsid w:val="00C401D9"/>
    <w:rsid w:val="00C41008"/>
    <w:rsid w:val="00C4101C"/>
    <w:rsid w:val="00C41139"/>
    <w:rsid w:val="00C413A3"/>
    <w:rsid w:val="00C4156C"/>
    <w:rsid w:val="00C41883"/>
    <w:rsid w:val="00C420DC"/>
    <w:rsid w:val="00C42733"/>
    <w:rsid w:val="00C42815"/>
    <w:rsid w:val="00C4283C"/>
    <w:rsid w:val="00C42AE9"/>
    <w:rsid w:val="00C43A8D"/>
    <w:rsid w:val="00C43BF9"/>
    <w:rsid w:val="00C43FD0"/>
    <w:rsid w:val="00C442A2"/>
    <w:rsid w:val="00C4433B"/>
    <w:rsid w:val="00C4442A"/>
    <w:rsid w:val="00C44772"/>
    <w:rsid w:val="00C451BB"/>
    <w:rsid w:val="00C4550F"/>
    <w:rsid w:val="00C45545"/>
    <w:rsid w:val="00C4566A"/>
    <w:rsid w:val="00C45FDA"/>
    <w:rsid w:val="00C4645F"/>
    <w:rsid w:val="00C46A03"/>
    <w:rsid w:val="00C46D7E"/>
    <w:rsid w:val="00C46FF0"/>
    <w:rsid w:val="00C47ECF"/>
    <w:rsid w:val="00C505B3"/>
    <w:rsid w:val="00C50D84"/>
    <w:rsid w:val="00C519E2"/>
    <w:rsid w:val="00C51A9E"/>
    <w:rsid w:val="00C51F20"/>
    <w:rsid w:val="00C52B34"/>
    <w:rsid w:val="00C5315D"/>
    <w:rsid w:val="00C531EA"/>
    <w:rsid w:val="00C53358"/>
    <w:rsid w:val="00C53F3E"/>
    <w:rsid w:val="00C54A24"/>
    <w:rsid w:val="00C54C28"/>
    <w:rsid w:val="00C54DC5"/>
    <w:rsid w:val="00C550FE"/>
    <w:rsid w:val="00C554E6"/>
    <w:rsid w:val="00C55A8F"/>
    <w:rsid w:val="00C56DDF"/>
    <w:rsid w:val="00C57AAD"/>
    <w:rsid w:val="00C57B60"/>
    <w:rsid w:val="00C57DD5"/>
    <w:rsid w:val="00C6021F"/>
    <w:rsid w:val="00C603E5"/>
    <w:rsid w:val="00C606D2"/>
    <w:rsid w:val="00C60913"/>
    <w:rsid w:val="00C60D50"/>
    <w:rsid w:val="00C60F46"/>
    <w:rsid w:val="00C61282"/>
    <w:rsid w:val="00C61464"/>
    <w:rsid w:val="00C620A1"/>
    <w:rsid w:val="00C62313"/>
    <w:rsid w:val="00C62B05"/>
    <w:rsid w:val="00C62DE9"/>
    <w:rsid w:val="00C62E4D"/>
    <w:rsid w:val="00C63146"/>
    <w:rsid w:val="00C6316F"/>
    <w:rsid w:val="00C63465"/>
    <w:rsid w:val="00C6378D"/>
    <w:rsid w:val="00C6391F"/>
    <w:rsid w:val="00C63F68"/>
    <w:rsid w:val="00C640CC"/>
    <w:rsid w:val="00C642D9"/>
    <w:rsid w:val="00C647DF"/>
    <w:rsid w:val="00C6481F"/>
    <w:rsid w:val="00C64840"/>
    <w:rsid w:val="00C64D01"/>
    <w:rsid w:val="00C64DE0"/>
    <w:rsid w:val="00C6634A"/>
    <w:rsid w:val="00C66483"/>
    <w:rsid w:val="00C6671E"/>
    <w:rsid w:val="00C667F5"/>
    <w:rsid w:val="00C66DC2"/>
    <w:rsid w:val="00C66E14"/>
    <w:rsid w:val="00C67A61"/>
    <w:rsid w:val="00C707DB"/>
    <w:rsid w:val="00C70A45"/>
    <w:rsid w:val="00C71762"/>
    <w:rsid w:val="00C717D2"/>
    <w:rsid w:val="00C7184A"/>
    <w:rsid w:val="00C71916"/>
    <w:rsid w:val="00C71A82"/>
    <w:rsid w:val="00C72661"/>
    <w:rsid w:val="00C727B7"/>
    <w:rsid w:val="00C72805"/>
    <w:rsid w:val="00C72A9E"/>
    <w:rsid w:val="00C730CF"/>
    <w:rsid w:val="00C73453"/>
    <w:rsid w:val="00C738BD"/>
    <w:rsid w:val="00C73DF0"/>
    <w:rsid w:val="00C7404E"/>
    <w:rsid w:val="00C749CC"/>
    <w:rsid w:val="00C7529B"/>
    <w:rsid w:val="00C752E7"/>
    <w:rsid w:val="00C753B2"/>
    <w:rsid w:val="00C75FA6"/>
    <w:rsid w:val="00C760D1"/>
    <w:rsid w:val="00C76B52"/>
    <w:rsid w:val="00C76CCB"/>
    <w:rsid w:val="00C76F44"/>
    <w:rsid w:val="00C77510"/>
    <w:rsid w:val="00C7764D"/>
    <w:rsid w:val="00C8003A"/>
    <w:rsid w:val="00C801A2"/>
    <w:rsid w:val="00C802B7"/>
    <w:rsid w:val="00C804D5"/>
    <w:rsid w:val="00C806C4"/>
    <w:rsid w:val="00C80B76"/>
    <w:rsid w:val="00C8100D"/>
    <w:rsid w:val="00C817C4"/>
    <w:rsid w:val="00C81C21"/>
    <w:rsid w:val="00C826E7"/>
    <w:rsid w:val="00C82876"/>
    <w:rsid w:val="00C82B46"/>
    <w:rsid w:val="00C82F39"/>
    <w:rsid w:val="00C82FED"/>
    <w:rsid w:val="00C8314C"/>
    <w:rsid w:val="00C83201"/>
    <w:rsid w:val="00C83953"/>
    <w:rsid w:val="00C83C16"/>
    <w:rsid w:val="00C83CD8"/>
    <w:rsid w:val="00C841A1"/>
    <w:rsid w:val="00C84460"/>
    <w:rsid w:val="00C847B0"/>
    <w:rsid w:val="00C84B5E"/>
    <w:rsid w:val="00C84F72"/>
    <w:rsid w:val="00C8522D"/>
    <w:rsid w:val="00C852E9"/>
    <w:rsid w:val="00C853D8"/>
    <w:rsid w:val="00C8624E"/>
    <w:rsid w:val="00C8674A"/>
    <w:rsid w:val="00C8685A"/>
    <w:rsid w:val="00C87EC8"/>
    <w:rsid w:val="00C9093D"/>
    <w:rsid w:val="00C90A02"/>
    <w:rsid w:val="00C90BEE"/>
    <w:rsid w:val="00C911B5"/>
    <w:rsid w:val="00C92B8B"/>
    <w:rsid w:val="00C92C56"/>
    <w:rsid w:val="00C93008"/>
    <w:rsid w:val="00C93713"/>
    <w:rsid w:val="00C94398"/>
    <w:rsid w:val="00C9440F"/>
    <w:rsid w:val="00C95225"/>
    <w:rsid w:val="00C95252"/>
    <w:rsid w:val="00C96238"/>
    <w:rsid w:val="00C97148"/>
    <w:rsid w:val="00C973F1"/>
    <w:rsid w:val="00C97644"/>
    <w:rsid w:val="00C977D9"/>
    <w:rsid w:val="00C97A4B"/>
    <w:rsid w:val="00C97C07"/>
    <w:rsid w:val="00C97D55"/>
    <w:rsid w:val="00CA17C8"/>
    <w:rsid w:val="00CA1877"/>
    <w:rsid w:val="00CA1B38"/>
    <w:rsid w:val="00CA2122"/>
    <w:rsid w:val="00CA22EA"/>
    <w:rsid w:val="00CA28B9"/>
    <w:rsid w:val="00CA2971"/>
    <w:rsid w:val="00CA2DB8"/>
    <w:rsid w:val="00CA310E"/>
    <w:rsid w:val="00CA3130"/>
    <w:rsid w:val="00CA3FB9"/>
    <w:rsid w:val="00CA4879"/>
    <w:rsid w:val="00CA5007"/>
    <w:rsid w:val="00CA51C2"/>
    <w:rsid w:val="00CA5561"/>
    <w:rsid w:val="00CA5C48"/>
    <w:rsid w:val="00CA6009"/>
    <w:rsid w:val="00CA6076"/>
    <w:rsid w:val="00CA60C8"/>
    <w:rsid w:val="00CA6259"/>
    <w:rsid w:val="00CA628C"/>
    <w:rsid w:val="00CA684A"/>
    <w:rsid w:val="00CA6D58"/>
    <w:rsid w:val="00CA6D6B"/>
    <w:rsid w:val="00CA7007"/>
    <w:rsid w:val="00CA71E1"/>
    <w:rsid w:val="00CA7222"/>
    <w:rsid w:val="00CA761F"/>
    <w:rsid w:val="00CA7D5F"/>
    <w:rsid w:val="00CA7D62"/>
    <w:rsid w:val="00CB0545"/>
    <w:rsid w:val="00CB06DD"/>
    <w:rsid w:val="00CB0997"/>
    <w:rsid w:val="00CB13F9"/>
    <w:rsid w:val="00CB15A7"/>
    <w:rsid w:val="00CB2182"/>
    <w:rsid w:val="00CB2260"/>
    <w:rsid w:val="00CB23FC"/>
    <w:rsid w:val="00CB271F"/>
    <w:rsid w:val="00CB297B"/>
    <w:rsid w:val="00CB2BB1"/>
    <w:rsid w:val="00CB2C13"/>
    <w:rsid w:val="00CB3264"/>
    <w:rsid w:val="00CB35AC"/>
    <w:rsid w:val="00CB362D"/>
    <w:rsid w:val="00CB39E2"/>
    <w:rsid w:val="00CB43EF"/>
    <w:rsid w:val="00CB46D2"/>
    <w:rsid w:val="00CB5300"/>
    <w:rsid w:val="00CB5484"/>
    <w:rsid w:val="00CB56CF"/>
    <w:rsid w:val="00CB5E08"/>
    <w:rsid w:val="00CB6EE9"/>
    <w:rsid w:val="00CB789B"/>
    <w:rsid w:val="00CB7944"/>
    <w:rsid w:val="00CB7E21"/>
    <w:rsid w:val="00CC0185"/>
    <w:rsid w:val="00CC0372"/>
    <w:rsid w:val="00CC05AF"/>
    <w:rsid w:val="00CC05F8"/>
    <w:rsid w:val="00CC0E9A"/>
    <w:rsid w:val="00CC1642"/>
    <w:rsid w:val="00CC1821"/>
    <w:rsid w:val="00CC1888"/>
    <w:rsid w:val="00CC1B8F"/>
    <w:rsid w:val="00CC1DDA"/>
    <w:rsid w:val="00CC2550"/>
    <w:rsid w:val="00CC2C7D"/>
    <w:rsid w:val="00CC2D1B"/>
    <w:rsid w:val="00CC2D57"/>
    <w:rsid w:val="00CC300A"/>
    <w:rsid w:val="00CC334B"/>
    <w:rsid w:val="00CC364D"/>
    <w:rsid w:val="00CC3CB2"/>
    <w:rsid w:val="00CC424A"/>
    <w:rsid w:val="00CC45ED"/>
    <w:rsid w:val="00CC47D1"/>
    <w:rsid w:val="00CC481E"/>
    <w:rsid w:val="00CC4960"/>
    <w:rsid w:val="00CC49CB"/>
    <w:rsid w:val="00CC4D20"/>
    <w:rsid w:val="00CC4E9D"/>
    <w:rsid w:val="00CC52F5"/>
    <w:rsid w:val="00CC5DC6"/>
    <w:rsid w:val="00CC6503"/>
    <w:rsid w:val="00CC6769"/>
    <w:rsid w:val="00CC7EEC"/>
    <w:rsid w:val="00CC7F01"/>
    <w:rsid w:val="00CC7FB8"/>
    <w:rsid w:val="00CD11CB"/>
    <w:rsid w:val="00CD179B"/>
    <w:rsid w:val="00CD2226"/>
    <w:rsid w:val="00CD2804"/>
    <w:rsid w:val="00CD2B8B"/>
    <w:rsid w:val="00CD2B96"/>
    <w:rsid w:val="00CD2C0E"/>
    <w:rsid w:val="00CD2DFF"/>
    <w:rsid w:val="00CD2F12"/>
    <w:rsid w:val="00CD3686"/>
    <w:rsid w:val="00CD377E"/>
    <w:rsid w:val="00CD3D98"/>
    <w:rsid w:val="00CD4250"/>
    <w:rsid w:val="00CD4DAB"/>
    <w:rsid w:val="00CD51F9"/>
    <w:rsid w:val="00CD5261"/>
    <w:rsid w:val="00CD55D9"/>
    <w:rsid w:val="00CD595D"/>
    <w:rsid w:val="00CD5BC3"/>
    <w:rsid w:val="00CD5D29"/>
    <w:rsid w:val="00CD65B1"/>
    <w:rsid w:val="00CD67E5"/>
    <w:rsid w:val="00CD6C08"/>
    <w:rsid w:val="00CD6EE3"/>
    <w:rsid w:val="00CD71D9"/>
    <w:rsid w:val="00CD7297"/>
    <w:rsid w:val="00CD7517"/>
    <w:rsid w:val="00CD7736"/>
    <w:rsid w:val="00CE02BE"/>
    <w:rsid w:val="00CE058D"/>
    <w:rsid w:val="00CE0FAF"/>
    <w:rsid w:val="00CE1420"/>
    <w:rsid w:val="00CE1525"/>
    <w:rsid w:val="00CE1586"/>
    <w:rsid w:val="00CE1750"/>
    <w:rsid w:val="00CE2A82"/>
    <w:rsid w:val="00CE2B9B"/>
    <w:rsid w:val="00CE2BB0"/>
    <w:rsid w:val="00CE2BFA"/>
    <w:rsid w:val="00CE2EC2"/>
    <w:rsid w:val="00CE31CB"/>
    <w:rsid w:val="00CE33D6"/>
    <w:rsid w:val="00CE3405"/>
    <w:rsid w:val="00CE3A8C"/>
    <w:rsid w:val="00CE3C47"/>
    <w:rsid w:val="00CE3DF7"/>
    <w:rsid w:val="00CE3EAA"/>
    <w:rsid w:val="00CE412E"/>
    <w:rsid w:val="00CE42B8"/>
    <w:rsid w:val="00CE472E"/>
    <w:rsid w:val="00CE51D0"/>
    <w:rsid w:val="00CE59C9"/>
    <w:rsid w:val="00CE5B5B"/>
    <w:rsid w:val="00CE632E"/>
    <w:rsid w:val="00CE65B1"/>
    <w:rsid w:val="00CE65EA"/>
    <w:rsid w:val="00CE67ED"/>
    <w:rsid w:val="00CE6E28"/>
    <w:rsid w:val="00CE749E"/>
    <w:rsid w:val="00CE76B6"/>
    <w:rsid w:val="00CE778B"/>
    <w:rsid w:val="00CE7BED"/>
    <w:rsid w:val="00CE7C64"/>
    <w:rsid w:val="00CF0AEC"/>
    <w:rsid w:val="00CF112C"/>
    <w:rsid w:val="00CF12B8"/>
    <w:rsid w:val="00CF1C5C"/>
    <w:rsid w:val="00CF237A"/>
    <w:rsid w:val="00CF255E"/>
    <w:rsid w:val="00CF2919"/>
    <w:rsid w:val="00CF29E2"/>
    <w:rsid w:val="00CF2A06"/>
    <w:rsid w:val="00CF2B72"/>
    <w:rsid w:val="00CF2BBD"/>
    <w:rsid w:val="00CF2CE5"/>
    <w:rsid w:val="00CF2D4D"/>
    <w:rsid w:val="00CF32F9"/>
    <w:rsid w:val="00CF38FB"/>
    <w:rsid w:val="00CF42CF"/>
    <w:rsid w:val="00CF4474"/>
    <w:rsid w:val="00CF4527"/>
    <w:rsid w:val="00CF4817"/>
    <w:rsid w:val="00CF4D35"/>
    <w:rsid w:val="00CF5365"/>
    <w:rsid w:val="00CF5E97"/>
    <w:rsid w:val="00CF601C"/>
    <w:rsid w:val="00CF6117"/>
    <w:rsid w:val="00CF630E"/>
    <w:rsid w:val="00CF63A7"/>
    <w:rsid w:val="00CF6C63"/>
    <w:rsid w:val="00CF717A"/>
    <w:rsid w:val="00CF7394"/>
    <w:rsid w:val="00CF745A"/>
    <w:rsid w:val="00CF75FB"/>
    <w:rsid w:val="00CF798A"/>
    <w:rsid w:val="00CF79A0"/>
    <w:rsid w:val="00CF7D45"/>
    <w:rsid w:val="00D0036F"/>
    <w:rsid w:val="00D00877"/>
    <w:rsid w:val="00D00C95"/>
    <w:rsid w:val="00D01689"/>
    <w:rsid w:val="00D01885"/>
    <w:rsid w:val="00D018E9"/>
    <w:rsid w:val="00D01E3C"/>
    <w:rsid w:val="00D02074"/>
    <w:rsid w:val="00D02407"/>
    <w:rsid w:val="00D024AA"/>
    <w:rsid w:val="00D02618"/>
    <w:rsid w:val="00D02C1F"/>
    <w:rsid w:val="00D02DEF"/>
    <w:rsid w:val="00D0374C"/>
    <w:rsid w:val="00D03FAE"/>
    <w:rsid w:val="00D04106"/>
    <w:rsid w:val="00D04464"/>
    <w:rsid w:val="00D0480B"/>
    <w:rsid w:val="00D05271"/>
    <w:rsid w:val="00D053A6"/>
    <w:rsid w:val="00D05F9A"/>
    <w:rsid w:val="00D060D5"/>
    <w:rsid w:val="00D060E8"/>
    <w:rsid w:val="00D065DF"/>
    <w:rsid w:val="00D06A45"/>
    <w:rsid w:val="00D06A7C"/>
    <w:rsid w:val="00D072C9"/>
    <w:rsid w:val="00D0733D"/>
    <w:rsid w:val="00D07A34"/>
    <w:rsid w:val="00D07C91"/>
    <w:rsid w:val="00D07DF9"/>
    <w:rsid w:val="00D10089"/>
    <w:rsid w:val="00D112E1"/>
    <w:rsid w:val="00D124B7"/>
    <w:rsid w:val="00D12585"/>
    <w:rsid w:val="00D12F9F"/>
    <w:rsid w:val="00D1321D"/>
    <w:rsid w:val="00D13595"/>
    <w:rsid w:val="00D14BAF"/>
    <w:rsid w:val="00D14DCF"/>
    <w:rsid w:val="00D15233"/>
    <w:rsid w:val="00D15488"/>
    <w:rsid w:val="00D158E3"/>
    <w:rsid w:val="00D15B0C"/>
    <w:rsid w:val="00D16015"/>
    <w:rsid w:val="00D16750"/>
    <w:rsid w:val="00D17159"/>
    <w:rsid w:val="00D171AC"/>
    <w:rsid w:val="00D17CEF"/>
    <w:rsid w:val="00D200DB"/>
    <w:rsid w:val="00D20860"/>
    <w:rsid w:val="00D21094"/>
    <w:rsid w:val="00D2160A"/>
    <w:rsid w:val="00D2171D"/>
    <w:rsid w:val="00D21EF3"/>
    <w:rsid w:val="00D2208B"/>
    <w:rsid w:val="00D224DA"/>
    <w:rsid w:val="00D22646"/>
    <w:rsid w:val="00D227E6"/>
    <w:rsid w:val="00D2285B"/>
    <w:rsid w:val="00D22C37"/>
    <w:rsid w:val="00D22FE7"/>
    <w:rsid w:val="00D2380C"/>
    <w:rsid w:val="00D23AC6"/>
    <w:rsid w:val="00D23B98"/>
    <w:rsid w:val="00D24022"/>
    <w:rsid w:val="00D24086"/>
    <w:rsid w:val="00D24B2B"/>
    <w:rsid w:val="00D24BC7"/>
    <w:rsid w:val="00D24C74"/>
    <w:rsid w:val="00D250BC"/>
    <w:rsid w:val="00D26342"/>
    <w:rsid w:val="00D2642E"/>
    <w:rsid w:val="00D26594"/>
    <w:rsid w:val="00D26918"/>
    <w:rsid w:val="00D26C70"/>
    <w:rsid w:val="00D273AF"/>
    <w:rsid w:val="00D27C39"/>
    <w:rsid w:val="00D27CA7"/>
    <w:rsid w:val="00D304ED"/>
    <w:rsid w:val="00D312D0"/>
    <w:rsid w:val="00D3130D"/>
    <w:rsid w:val="00D315A1"/>
    <w:rsid w:val="00D3213A"/>
    <w:rsid w:val="00D321DC"/>
    <w:rsid w:val="00D3222F"/>
    <w:rsid w:val="00D32EC9"/>
    <w:rsid w:val="00D32FD5"/>
    <w:rsid w:val="00D33A4F"/>
    <w:rsid w:val="00D33B07"/>
    <w:rsid w:val="00D33C4E"/>
    <w:rsid w:val="00D3467C"/>
    <w:rsid w:val="00D346FC"/>
    <w:rsid w:val="00D349F6"/>
    <w:rsid w:val="00D34E42"/>
    <w:rsid w:val="00D34E8F"/>
    <w:rsid w:val="00D350A5"/>
    <w:rsid w:val="00D35387"/>
    <w:rsid w:val="00D353EF"/>
    <w:rsid w:val="00D35847"/>
    <w:rsid w:val="00D35B12"/>
    <w:rsid w:val="00D35B60"/>
    <w:rsid w:val="00D35C86"/>
    <w:rsid w:val="00D361C7"/>
    <w:rsid w:val="00D3651E"/>
    <w:rsid w:val="00D36F93"/>
    <w:rsid w:val="00D371FE"/>
    <w:rsid w:val="00D3782A"/>
    <w:rsid w:val="00D3791F"/>
    <w:rsid w:val="00D37AE1"/>
    <w:rsid w:val="00D403C8"/>
    <w:rsid w:val="00D40F00"/>
    <w:rsid w:val="00D415CB"/>
    <w:rsid w:val="00D41A0F"/>
    <w:rsid w:val="00D43338"/>
    <w:rsid w:val="00D437CA"/>
    <w:rsid w:val="00D44048"/>
    <w:rsid w:val="00D44326"/>
    <w:rsid w:val="00D44374"/>
    <w:rsid w:val="00D44B68"/>
    <w:rsid w:val="00D44FC6"/>
    <w:rsid w:val="00D455FC"/>
    <w:rsid w:val="00D4595D"/>
    <w:rsid w:val="00D45B3D"/>
    <w:rsid w:val="00D45E7C"/>
    <w:rsid w:val="00D462E6"/>
    <w:rsid w:val="00D46633"/>
    <w:rsid w:val="00D4672A"/>
    <w:rsid w:val="00D46A46"/>
    <w:rsid w:val="00D46DFC"/>
    <w:rsid w:val="00D470AF"/>
    <w:rsid w:val="00D47896"/>
    <w:rsid w:val="00D47A49"/>
    <w:rsid w:val="00D5013B"/>
    <w:rsid w:val="00D50E38"/>
    <w:rsid w:val="00D51583"/>
    <w:rsid w:val="00D516EC"/>
    <w:rsid w:val="00D51710"/>
    <w:rsid w:val="00D539EE"/>
    <w:rsid w:val="00D53B4B"/>
    <w:rsid w:val="00D53E78"/>
    <w:rsid w:val="00D53FB9"/>
    <w:rsid w:val="00D5444E"/>
    <w:rsid w:val="00D55921"/>
    <w:rsid w:val="00D5623C"/>
    <w:rsid w:val="00D56A6E"/>
    <w:rsid w:val="00D56C07"/>
    <w:rsid w:val="00D5771D"/>
    <w:rsid w:val="00D60C14"/>
    <w:rsid w:val="00D60D2F"/>
    <w:rsid w:val="00D6182A"/>
    <w:rsid w:val="00D6214E"/>
    <w:rsid w:val="00D6234C"/>
    <w:rsid w:val="00D623F1"/>
    <w:rsid w:val="00D62C51"/>
    <w:rsid w:val="00D632BE"/>
    <w:rsid w:val="00D635FC"/>
    <w:rsid w:val="00D63DB1"/>
    <w:rsid w:val="00D64344"/>
    <w:rsid w:val="00D6436B"/>
    <w:rsid w:val="00D64712"/>
    <w:rsid w:val="00D648BC"/>
    <w:rsid w:val="00D64B6F"/>
    <w:rsid w:val="00D64F6E"/>
    <w:rsid w:val="00D6541F"/>
    <w:rsid w:val="00D65602"/>
    <w:rsid w:val="00D659C5"/>
    <w:rsid w:val="00D65C20"/>
    <w:rsid w:val="00D6633C"/>
    <w:rsid w:val="00D66C4E"/>
    <w:rsid w:val="00D67192"/>
    <w:rsid w:val="00D678D9"/>
    <w:rsid w:val="00D67BE9"/>
    <w:rsid w:val="00D67C61"/>
    <w:rsid w:val="00D67DB9"/>
    <w:rsid w:val="00D704A4"/>
    <w:rsid w:val="00D70568"/>
    <w:rsid w:val="00D70EFF"/>
    <w:rsid w:val="00D71153"/>
    <w:rsid w:val="00D712BD"/>
    <w:rsid w:val="00D717EA"/>
    <w:rsid w:val="00D725E2"/>
    <w:rsid w:val="00D727FB"/>
    <w:rsid w:val="00D73159"/>
    <w:rsid w:val="00D733D9"/>
    <w:rsid w:val="00D740EA"/>
    <w:rsid w:val="00D74128"/>
    <w:rsid w:val="00D7467A"/>
    <w:rsid w:val="00D74954"/>
    <w:rsid w:val="00D74C42"/>
    <w:rsid w:val="00D74E55"/>
    <w:rsid w:val="00D75786"/>
    <w:rsid w:val="00D75E3A"/>
    <w:rsid w:val="00D7609B"/>
    <w:rsid w:val="00D763C2"/>
    <w:rsid w:val="00D76BC8"/>
    <w:rsid w:val="00D7732D"/>
    <w:rsid w:val="00D7767E"/>
    <w:rsid w:val="00D77852"/>
    <w:rsid w:val="00D77B63"/>
    <w:rsid w:val="00D80833"/>
    <w:rsid w:val="00D816FF"/>
    <w:rsid w:val="00D82986"/>
    <w:rsid w:val="00D82C04"/>
    <w:rsid w:val="00D832B5"/>
    <w:rsid w:val="00D83633"/>
    <w:rsid w:val="00D83F44"/>
    <w:rsid w:val="00D85142"/>
    <w:rsid w:val="00D851F4"/>
    <w:rsid w:val="00D8571E"/>
    <w:rsid w:val="00D8597D"/>
    <w:rsid w:val="00D85A81"/>
    <w:rsid w:val="00D85C65"/>
    <w:rsid w:val="00D86AC4"/>
    <w:rsid w:val="00D87585"/>
    <w:rsid w:val="00D87775"/>
    <w:rsid w:val="00D87C1D"/>
    <w:rsid w:val="00D87C82"/>
    <w:rsid w:val="00D87E4A"/>
    <w:rsid w:val="00D87F3E"/>
    <w:rsid w:val="00D9057B"/>
    <w:rsid w:val="00D9087B"/>
    <w:rsid w:val="00D90D12"/>
    <w:rsid w:val="00D90F03"/>
    <w:rsid w:val="00D91090"/>
    <w:rsid w:val="00D910BC"/>
    <w:rsid w:val="00D91A98"/>
    <w:rsid w:val="00D92740"/>
    <w:rsid w:val="00D92A8E"/>
    <w:rsid w:val="00D92AC2"/>
    <w:rsid w:val="00D92B86"/>
    <w:rsid w:val="00D92BB4"/>
    <w:rsid w:val="00D9315B"/>
    <w:rsid w:val="00D933C4"/>
    <w:rsid w:val="00D935E7"/>
    <w:rsid w:val="00D93800"/>
    <w:rsid w:val="00D93C59"/>
    <w:rsid w:val="00D947F0"/>
    <w:rsid w:val="00D94A19"/>
    <w:rsid w:val="00D94BDD"/>
    <w:rsid w:val="00D95615"/>
    <w:rsid w:val="00D960F1"/>
    <w:rsid w:val="00D96C0A"/>
    <w:rsid w:val="00D977A4"/>
    <w:rsid w:val="00D9781D"/>
    <w:rsid w:val="00D97AF0"/>
    <w:rsid w:val="00DA01F7"/>
    <w:rsid w:val="00DA06E1"/>
    <w:rsid w:val="00DA0F11"/>
    <w:rsid w:val="00DA11FE"/>
    <w:rsid w:val="00DA140E"/>
    <w:rsid w:val="00DA1668"/>
    <w:rsid w:val="00DA1671"/>
    <w:rsid w:val="00DA19AA"/>
    <w:rsid w:val="00DA2134"/>
    <w:rsid w:val="00DA2648"/>
    <w:rsid w:val="00DA2958"/>
    <w:rsid w:val="00DA33A6"/>
    <w:rsid w:val="00DA33D3"/>
    <w:rsid w:val="00DA3499"/>
    <w:rsid w:val="00DA3CB3"/>
    <w:rsid w:val="00DA4397"/>
    <w:rsid w:val="00DA49DD"/>
    <w:rsid w:val="00DA4D60"/>
    <w:rsid w:val="00DA4F92"/>
    <w:rsid w:val="00DA523E"/>
    <w:rsid w:val="00DA53BF"/>
    <w:rsid w:val="00DA5843"/>
    <w:rsid w:val="00DA59F7"/>
    <w:rsid w:val="00DA67BE"/>
    <w:rsid w:val="00DA67F8"/>
    <w:rsid w:val="00DA773D"/>
    <w:rsid w:val="00DA7EE7"/>
    <w:rsid w:val="00DB0816"/>
    <w:rsid w:val="00DB0847"/>
    <w:rsid w:val="00DB0859"/>
    <w:rsid w:val="00DB0F4F"/>
    <w:rsid w:val="00DB14F4"/>
    <w:rsid w:val="00DB16A1"/>
    <w:rsid w:val="00DB1B21"/>
    <w:rsid w:val="00DB1C04"/>
    <w:rsid w:val="00DB22EE"/>
    <w:rsid w:val="00DB2995"/>
    <w:rsid w:val="00DB3269"/>
    <w:rsid w:val="00DB3270"/>
    <w:rsid w:val="00DB35B3"/>
    <w:rsid w:val="00DB38B2"/>
    <w:rsid w:val="00DB4120"/>
    <w:rsid w:val="00DB5B13"/>
    <w:rsid w:val="00DB5B82"/>
    <w:rsid w:val="00DB5C86"/>
    <w:rsid w:val="00DB63D3"/>
    <w:rsid w:val="00DB688E"/>
    <w:rsid w:val="00DB7868"/>
    <w:rsid w:val="00DB7A9C"/>
    <w:rsid w:val="00DB7DA6"/>
    <w:rsid w:val="00DB7E39"/>
    <w:rsid w:val="00DB7EE8"/>
    <w:rsid w:val="00DC0165"/>
    <w:rsid w:val="00DC08F4"/>
    <w:rsid w:val="00DC0B73"/>
    <w:rsid w:val="00DC23E3"/>
    <w:rsid w:val="00DC29F3"/>
    <w:rsid w:val="00DC2BB7"/>
    <w:rsid w:val="00DC2DDF"/>
    <w:rsid w:val="00DC30C3"/>
    <w:rsid w:val="00DC3527"/>
    <w:rsid w:val="00DC41CF"/>
    <w:rsid w:val="00DC48FA"/>
    <w:rsid w:val="00DC50E3"/>
    <w:rsid w:val="00DC5249"/>
    <w:rsid w:val="00DC53BB"/>
    <w:rsid w:val="00DC564B"/>
    <w:rsid w:val="00DC61AF"/>
    <w:rsid w:val="00DC623F"/>
    <w:rsid w:val="00DC632A"/>
    <w:rsid w:val="00DC72D8"/>
    <w:rsid w:val="00DC73F9"/>
    <w:rsid w:val="00DC7A33"/>
    <w:rsid w:val="00DC7B5F"/>
    <w:rsid w:val="00DC7E76"/>
    <w:rsid w:val="00DD00F8"/>
    <w:rsid w:val="00DD022A"/>
    <w:rsid w:val="00DD0B38"/>
    <w:rsid w:val="00DD1156"/>
    <w:rsid w:val="00DD1275"/>
    <w:rsid w:val="00DD1B5F"/>
    <w:rsid w:val="00DD2480"/>
    <w:rsid w:val="00DD24FC"/>
    <w:rsid w:val="00DD252C"/>
    <w:rsid w:val="00DD2593"/>
    <w:rsid w:val="00DD27BF"/>
    <w:rsid w:val="00DD2857"/>
    <w:rsid w:val="00DD3183"/>
    <w:rsid w:val="00DD35BC"/>
    <w:rsid w:val="00DD38AC"/>
    <w:rsid w:val="00DD3C0D"/>
    <w:rsid w:val="00DD3F07"/>
    <w:rsid w:val="00DD4697"/>
    <w:rsid w:val="00DD4B46"/>
    <w:rsid w:val="00DD57F6"/>
    <w:rsid w:val="00DD59CB"/>
    <w:rsid w:val="00DD609C"/>
    <w:rsid w:val="00DD644F"/>
    <w:rsid w:val="00DD6B24"/>
    <w:rsid w:val="00DD6F07"/>
    <w:rsid w:val="00DD74CF"/>
    <w:rsid w:val="00DE0156"/>
    <w:rsid w:val="00DE0245"/>
    <w:rsid w:val="00DE05C1"/>
    <w:rsid w:val="00DE08EC"/>
    <w:rsid w:val="00DE0DE5"/>
    <w:rsid w:val="00DE1006"/>
    <w:rsid w:val="00DE1350"/>
    <w:rsid w:val="00DE1751"/>
    <w:rsid w:val="00DE22E1"/>
    <w:rsid w:val="00DE26A4"/>
    <w:rsid w:val="00DE27DC"/>
    <w:rsid w:val="00DE2D35"/>
    <w:rsid w:val="00DE350E"/>
    <w:rsid w:val="00DE3634"/>
    <w:rsid w:val="00DE3668"/>
    <w:rsid w:val="00DE36D1"/>
    <w:rsid w:val="00DE39CA"/>
    <w:rsid w:val="00DE3D72"/>
    <w:rsid w:val="00DE433D"/>
    <w:rsid w:val="00DE437A"/>
    <w:rsid w:val="00DE43F3"/>
    <w:rsid w:val="00DE477D"/>
    <w:rsid w:val="00DE4839"/>
    <w:rsid w:val="00DE4D44"/>
    <w:rsid w:val="00DE5000"/>
    <w:rsid w:val="00DE5247"/>
    <w:rsid w:val="00DE5E72"/>
    <w:rsid w:val="00DE5EE9"/>
    <w:rsid w:val="00DE704D"/>
    <w:rsid w:val="00DE7DFE"/>
    <w:rsid w:val="00DE7E5F"/>
    <w:rsid w:val="00DE7FF6"/>
    <w:rsid w:val="00DF07DF"/>
    <w:rsid w:val="00DF0E72"/>
    <w:rsid w:val="00DF1169"/>
    <w:rsid w:val="00DF1990"/>
    <w:rsid w:val="00DF1BB4"/>
    <w:rsid w:val="00DF26C0"/>
    <w:rsid w:val="00DF2EB6"/>
    <w:rsid w:val="00DF2EE4"/>
    <w:rsid w:val="00DF3677"/>
    <w:rsid w:val="00DF5162"/>
    <w:rsid w:val="00DF535A"/>
    <w:rsid w:val="00DF5522"/>
    <w:rsid w:val="00DF5F7F"/>
    <w:rsid w:val="00DF6079"/>
    <w:rsid w:val="00DF6A8F"/>
    <w:rsid w:val="00DF6E04"/>
    <w:rsid w:val="00DF70AA"/>
    <w:rsid w:val="00DF71E3"/>
    <w:rsid w:val="00E00010"/>
    <w:rsid w:val="00E00859"/>
    <w:rsid w:val="00E01291"/>
    <w:rsid w:val="00E0139E"/>
    <w:rsid w:val="00E01CA9"/>
    <w:rsid w:val="00E02257"/>
    <w:rsid w:val="00E02604"/>
    <w:rsid w:val="00E02737"/>
    <w:rsid w:val="00E0287A"/>
    <w:rsid w:val="00E048EE"/>
    <w:rsid w:val="00E0571F"/>
    <w:rsid w:val="00E0644B"/>
    <w:rsid w:val="00E06713"/>
    <w:rsid w:val="00E074E3"/>
    <w:rsid w:val="00E0790F"/>
    <w:rsid w:val="00E079CC"/>
    <w:rsid w:val="00E10484"/>
    <w:rsid w:val="00E1061E"/>
    <w:rsid w:val="00E10AC9"/>
    <w:rsid w:val="00E118FC"/>
    <w:rsid w:val="00E11C32"/>
    <w:rsid w:val="00E1238A"/>
    <w:rsid w:val="00E1271A"/>
    <w:rsid w:val="00E12FEF"/>
    <w:rsid w:val="00E131EF"/>
    <w:rsid w:val="00E132E8"/>
    <w:rsid w:val="00E133E8"/>
    <w:rsid w:val="00E135D4"/>
    <w:rsid w:val="00E137B2"/>
    <w:rsid w:val="00E1392A"/>
    <w:rsid w:val="00E13E37"/>
    <w:rsid w:val="00E13F56"/>
    <w:rsid w:val="00E14306"/>
    <w:rsid w:val="00E1432F"/>
    <w:rsid w:val="00E14CAB"/>
    <w:rsid w:val="00E15347"/>
    <w:rsid w:val="00E156DC"/>
    <w:rsid w:val="00E15778"/>
    <w:rsid w:val="00E15931"/>
    <w:rsid w:val="00E15AF7"/>
    <w:rsid w:val="00E15E84"/>
    <w:rsid w:val="00E15FB0"/>
    <w:rsid w:val="00E17216"/>
    <w:rsid w:val="00E17914"/>
    <w:rsid w:val="00E17BA2"/>
    <w:rsid w:val="00E17C82"/>
    <w:rsid w:val="00E2010D"/>
    <w:rsid w:val="00E20753"/>
    <w:rsid w:val="00E225CA"/>
    <w:rsid w:val="00E22762"/>
    <w:rsid w:val="00E228CD"/>
    <w:rsid w:val="00E229D6"/>
    <w:rsid w:val="00E23322"/>
    <w:rsid w:val="00E23890"/>
    <w:rsid w:val="00E239E0"/>
    <w:rsid w:val="00E2416D"/>
    <w:rsid w:val="00E24DA6"/>
    <w:rsid w:val="00E24E33"/>
    <w:rsid w:val="00E2532F"/>
    <w:rsid w:val="00E2541A"/>
    <w:rsid w:val="00E25451"/>
    <w:rsid w:val="00E25D0F"/>
    <w:rsid w:val="00E260E9"/>
    <w:rsid w:val="00E26AF3"/>
    <w:rsid w:val="00E26C42"/>
    <w:rsid w:val="00E27669"/>
    <w:rsid w:val="00E27BFB"/>
    <w:rsid w:val="00E30049"/>
    <w:rsid w:val="00E3098A"/>
    <w:rsid w:val="00E30A80"/>
    <w:rsid w:val="00E30E1C"/>
    <w:rsid w:val="00E310CD"/>
    <w:rsid w:val="00E32211"/>
    <w:rsid w:val="00E3233D"/>
    <w:rsid w:val="00E324A7"/>
    <w:rsid w:val="00E32E6C"/>
    <w:rsid w:val="00E32FA7"/>
    <w:rsid w:val="00E333BE"/>
    <w:rsid w:val="00E33481"/>
    <w:rsid w:val="00E33BBF"/>
    <w:rsid w:val="00E33C23"/>
    <w:rsid w:val="00E34161"/>
    <w:rsid w:val="00E343FB"/>
    <w:rsid w:val="00E34581"/>
    <w:rsid w:val="00E3487C"/>
    <w:rsid w:val="00E34E24"/>
    <w:rsid w:val="00E35382"/>
    <w:rsid w:val="00E3640F"/>
    <w:rsid w:val="00E36B8F"/>
    <w:rsid w:val="00E3709A"/>
    <w:rsid w:val="00E371C5"/>
    <w:rsid w:val="00E372E3"/>
    <w:rsid w:val="00E376D8"/>
    <w:rsid w:val="00E37B4D"/>
    <w:rsid w:val="00E37D88"/>
    <w:rsid w:val="00E37E43"/>
    <w:rsid w:val="00E37FCF"/>
    <w:rsid w:val="00E406D7"/>
    <w:rsid w:val="00E40848"/>
    <w:rsid w:val="00E40F6D"/>
    <w:rsid w:val="00E421EA"/>
    <w:rsid w:val="00E42855"/>
    <w:rsid w:val="00E429BF"/>
    <w:rsid w:val="00E4414E"/>
    <w:rsid w:val="00E4443E"/>
    <w:rsid w:val="00E44D2B"/>
    <w:rsid w:val="00E44DF1"/>
    <w:rsid w:val="00E452D1"/>
    <w:rsid w:val="00E452E2"/>
    <w:rsid w:val="00E467F3"/>
    <w:rsid w:val="00E46808"/>
    <w:rsid w:val="00E46935"/>
    <w:rsid w:val="00E46B00"/>
    <w:rsid w:val="00E46FF0"/>
    <w:rsid w:val="00E47040"/>
    <w:rsid w:val="00E473F0"/>
    <w:rsid w:val="00E477BE"/>
    <w:rsid w:val="00E5062C"/>
    <w:rsid w:val="00E50633"/>
    <w:rsid w:val="00E50ABD"/>
    <w:rsid w:val="00E50FAD"/>
    <w:rsid w:val="00E5105A"/>
    <w:rsid w:val="00E515C1"/>
    <w:rsid w:val="00E51B4B"/>
    <w:rsid w:val="00E51CD0"/>
    <w:rsid w:val="00E51CF3"/>
    <w:rsid w:val="00E52108"/>
    <w:rsid w:val="00E521E4"/>
    <w:rsid w:val="00E527E3"/>
    <w:rsid w:val="00E52D84"/>
    <w:rsid w:val="00E53683"/>
    <w:rsid w:val="00E53852"/>
    <w:rsid w:val="00E53943"/>
    <w:rsid w:val="00E53A2F"/>
    <w:rsid w:val="00E54180"/>
    <w:rsid w:val="00E54247"/>
    <w:rsid w:val="00E54C10"/>
    <w:rsid w:val="00E559C4"/>
    <w:rsid w:val="00E559F4"/>
    <w:rsid w:val="00E55ABF"/>
    <w:rsid w:val="00E55AF0"/>
    <w:rsid w:val="00E55DF3"/>
    <w:rsid w:val="00E56922"/>
    <w:rsid w:val="00E5694E"/>
    <w:rsid w:val="00E56BC0"/>
    <w:rsid w:val="00E57530"/>
    <w:rsid w:val="00E576BC"/>
    <w:rsid w:val="00E5771C"/>
    <w:rsid w:val="00E60044"/>
    <w:rsid w:val="00E60F03"/>
    <w:rsid w:val="00E618B5"/>
    <w:rsid w:val="00E61C15"/>
    <w:rsid w:val="00E61E54"/>
    <w:rsid w:val="00E61F79"/>
    <w:rsid w:val="00E62143"/>
    <w:rsid w:val="00E62186"/>
    <w:rsid w:val="00E62AE4"/>
    <w:rsid w:val="00E62D78"/>
    <w:rsid w:val="00E632F3"/>
    <w:rsid w:val="00E6398E"/>
    <w:rsid w:val="00E63A55"/>
    <w:rsid w:val="00E63E09"/>
    <w:rsid w:val="00E6443F"/>
    <w:rsid w:val="00E64614"/>
    <w:rsid w:val="00E64991"/>
    <w:rsid w:val="00E649CF"/>
    <w:rsid w:val="00E659DA"/>
    <w:rsid w:val="00E65CB2"/>
    <w:rsid w:val="00E65D25"/>
    <w:rsid w:val="00E65E33"/>
    <w:rsid w:val="00E665B8"/>
    <w:rsid w:val="00E66949"/>
    <w:rsid w:val="00E675DC"/>
    <w:rsid w:val="00E67736"/>
    <w:rsid w:val="00E67B86"/>
    <w:rsid w:val="00E67CCB"/>
    <w:rsid w:val="00E67FE6"/>
    <w:rsid w:val="00E700F9"/>
    <w:rsid w:val="00E70136"/>
    <w:rsid w:val="00E7106D"/>
    <w:rsid w:val="00E71523"/>
    <w:rsid w:val="00E7186F"/>
    <w:rsid w:val="00E71C16"/>
    <w:rsid w:val="00E71C1D"/>
    <w:rsid w:val="00E72045"/>
    <w:rsid w:val="00E7261F"/>
    <w:rsid w:val="00E729D8"/>
    <w:rsid w:val="00E72A08"/>
    <w:rsid w:val="00E72E34"/>
    <w:rsid w:val="00E72EDF"/>
    <w:rsid w:val="00E736D3"/>
    <w:rsid w:val="00E73B50"/>
    <w:rsid w:val="00E73C1E"/>
    <w:rsid w:val="00E73F90"/>
    <w:rsid w:val="00E742DF"/>
    <w:rsid w:val="00E7477F"/>
    <w:rsid w:val="00E754D2"/>
    <w:rsid w:val="00E7558A"/>
    <w:rsid w:val="00E7594F"/>
    <w:rsid w:val="00E759BB"/>
    <w:rsid w:val="00E75E80"/>
    <w:rsid w:val="00E75FEA"/>
    <w:rsid w:val="00E7608F"/>
    <w:rsid w:val="00E76B30"/>
    <w:rsid w:val="00E77884"/>
    <w:rsid w:val="00E80E4A"/>
    <w:rsid w:val="00E80EC5"/>
    <w:rsid w:val="00E812B7"/>
    <w:rsid w:val="00E818C1"/>
    <w:rsid w:val="00E82835"/>
    <w:rsid w:val="00E828F4"/>
    <w:rsid w:val="00E82AD5"/>
    <w:rsid w:val="00E82B9F"/>
    <w:rsid w:val="00E82D09"/>
    <w:rsid w:val="00E83B5A"/>
    <w:rsid w:val="00E83C26"/>
    <w:rsid w:val="00E83D21"/>
    <w:rsid w:val="00E83E10"/>
    <w:rsid w:val="00E847AB"/>
    <w:rsid w:val="00E8502A"/>
    <w:rsid w:val="00E8555B"/>
    <w:rsid w:val="00E85A08"/>
    <w:rsid w:val="00E8619B"/>
    <w:rsid w:val="00E86743"/>
    <w:rsid w:val="00E87616"/>
    <w:rsid w:val="00E8786A"/>
    <w:rsid w:val="00E878C7"/>
    <w:rsid w:val="00E9004A"/>
    <w:rsid w:val="00E9023D"/>
    <w:rsid w:val="00E90EC5"/>
    <w:rsid w:val="00E90F0B"/>
    <w:rsid w:val="00E9128B"/>
    <w:rsid w:val="00E913EE"/>
    <w:rsid w:val="00E91BE4"/>
    <w:rsid w:val="00E92146"/>
    <w:rsid w:val="00E9267F"/>
    <w:rsid w:val="00E92893"/>
    <w:rsid w:val="00E92D63"/>
    <w:rsid w:val="00E92F64"/>
    <w:rsid w:val="00E93578"/>
    <w:rsid w:val="00E938BA"/>
    <w:rsid w:val="00E93D9B"/>
    <w:rsid w:val="00E94939"/>
    <w:rsid w:val="00E94B88"/>
    <w:rsid w:val="00E95062"/>
    <w:rsid w:val="00E950B6"/>
    <w:rsid w:val="00E95132"/>
    <w:rsid w:val="00E959B8"/>
    <w:rsid w:val="00E95E64"/>
    <w:rsid w:val="00E96369"/>
    <w:rsid w:val="00E963DF"/>
    <w:rsid w:val="00E96798"/>
    <w:rsid w:val="00E96E6F"/>
    <w:rsid w:val="00E97657"/>
    <w:rsid w:val="00E97B0F"/>
    <w:rsid w:val="00E97B2A"/>
    <w:rsid w:val="00E97D9A"/>
    <w:rsid w:val="00EA008F"/>
    <w:rsid w:val="00EA016B"/>
    <w:rsid w:val="00EA0245"/>
    <w:rsid w:val="00EA0446"/>
    <w:rsid w:val="00EA0ECB"/>
    <w:rsid w:val="00EA0FEE"/>
    <w:rsid w:val="00EA11B0"/>
    <w:rsid w:val="00EA16FE"/>
    <w:rsid w:val="00EA1BA5"/>
    <w:rsid w:val="00EA1F2E"/>
    <w:rsid w:val="00EA2136"/>
    <w:rsid w:val="00EA281E"/>
    <w:rsid w:val="00EA2BF7"/>
    <w:rsid w:val="00EA335D"/>
    <w:rsid w:val="00EA3D6E"/>
    <w:rsid w:val="00EA3DF8"/>
    <w:rsid w:val="00EA3EB2"/>
    <w:rsid w:val="00EA4142"/>
    <w:rsid w:val="00EA425E"/>
    <w:rsid w:val="00EA4A12"/>
    <w:rsid w:val="00EA4C75"/>
    <w:rsid w:val="00EA4CE4"/>
    <w:rsid w:val="00EA4DAE"/>
    <w:rsid w:val="00EA50CB"/>
    <w:rsid w:val="00EA5F83"/>
    <w:rsid w:val="00EA64DE"/>
    <w:rsid w:val="00EA6F35"/>
    <w:rsid w:val="00EA7021"/>
    <w:rsid w:val="00EA7681"/>
    <w:rsid w:val="00EA7945"/>
    <w:rsid w:val="00EA7CBB"/>
    <w:rsid w:val="00EA7F6E"/>
    <w:rsid w:val="00EB02B0"/>
    <w:rsid w:val="00EB0483"/>
    <w:rsid w:val="00EB0865"/>
    <w:rsid w:val="00EB0E9D"/>
    <w:rsid w:val="00EB124F"/>
    <w:rsid w:val="00EB12FF"/>
    <w:rsid w:val="00EB1B4F"/>
    <w:rsid w:val="00EB238B"/>
    <w:rsid w:val="00EB28A2"/>
    <w:rsid w:val="00EB28AB"/>
    <w:rsid w:val="00EB2C0F"/>
    <w:rsid w:val="00EB2C78"/>
    <w:rsid w:val="00EB2CC3"/>
    <w:rsid w:val="00EB2CCB"/>
    <w:rsid w:val="00EB2E8D"/>
    <w:rsid w:val="00EB35D3"/>
    <w:rsid w:val="00EB4364"/>
    <w:rsid w:val="00EB458E"/>
    <w:rsid w:val="00EB46ED"/>
    <w:rsid w:val="00EB491E"/>
    <w:rsid w:val="00EB4BC4"/>
    <w:rsid w:val="00EB4F4A"/>
    <w:rsid w:val="00EB52DC"/>
    <w:rsid w:val="00EB53E6"/>
    <w:rsid w:val="00EB55CE"/>
    <w:rsid w:val="00EB5D2D"/>
    <w:rsid w:val="00EB5F1E"/>
    <w:rsid w:val="00EB67F8"/>
    <w:rsid w:val="00EB6B0E"/>
    <w:rsid w:val="00EB6CF1"/>
    <w:rsid w:val="00EB6D05"/>
    <w:rsid w:val="00EB6E06"/>
    <w:rsid w:val="00EB7069"/>
    <w:rsid w:val="00EB71C8"/>
    <w:rsid w:val="00EC016A"/>
    <w:rsid w:val="00EC01BE"/>
    <w:rsid w:val="00EC0AB4"/>
    <w:rsid w:val="00EC0D68"/>
    <w:rsid w:val="00EC1220"/>
    <w:rsid w:val="00EC185D"/>
    <w:rsid w:val="00EC1C0B"/>
    <w:rsid w:val="00EC1EFA"/>
    <w:rsid w:val="00EC277F"/>
    <w:rsid w:val="00EC3919"/>
    <w:rsid w:val="00EC3A8F"/>
    <w:rsid w:val="00EC3EE7"/>
    <w:rsid w:val="00EC41C7"/>
    <w:rsid w:val="00EC4BEE"/>
    <w:rsid w:val="00EC4DF6"/>
    <w:rsid w:val="00EC501F"/>
    <w:rsid w:val="00EC556A"/>
    <w:rsid w:val="00EC5615"/>
    <w:rsid w:val="00EC5976"/>
    <w:rsid w:val="00EC5DFA"/>
    <w:rsid w:val="00EC63B9"/>
    <w:rsid w:val="00EC6560"/>
    <w:rsid w:val="00EC6F80"/>
    <w:rsid w:val="00EC7110"/>
    <w:rsid w:val="00EC72C1"/>
    <w:rsid w:val="00EC7541"/>
    <w:rsid w:val="00EC7B7B"/>
    <w:rsid w:val="00EC7D04"/>
    <w:rsid w:val="00ED05D6"/>
    <w:rsid w:val="00ED0AF2"/>
    <w:rsid w:val="00ED154C"/>
    <w:rsid w:val="00ED156D"/>
    <w:rsid w:val="00ED17CF"/>
    <w:rsid w:val="00ED1C0A"/>
    <w:rsid w:val="00ED1EFA"/>
    <w:rsid w:val="00ED1FB1"/>
    <w:rsid w:val="00ED2059"/>
    <w:rsid w:val="00ED2328"/>
    <w:rsid w:val="00ED2748"/>
    <w:rsid w:val="00ED3654"/>
    <w:rsid w:val="00ED369F"/>
    <w:rsid w:val="00ED3942"/>
    <w:rsid w:val="00ED3A62"/>
    <w:rsid w:val="00ED3C0F"/>
    <w:rsid w:val="00ED482F"/>
    <w:rsid w:val="00ED551C"/>
    <w:rsid w:val="00ED578E"/>
    <w:rsid w:val="00ED60B6"/>
    <w:rsid w:val="00ED64C1"/>
    <w:rsid w:val="00ED685B"/>
    <w:rsid w:val="00ED6BC1"/>
    <w:rsid w:val="00ED77BE"/>
    <w:rsid w:val="00ED7BD7"/>
    <w:rsid w:val="00ED7ED4"/>
    <w:rsid w:val="00EE09FF"/>
    <w:rsid w:val="00EE1892"/>
    <w:rsid w:val="00EE1B78"/>
    <w:rsid w:val="00EE224E"/>
    <w:rsid w:val="00EE226A"/>
    <w:rsid w:val="00EE23C1"/>
    <w:rsid w:val="00EE29DF"/>
    <w:rsid w:val="00EE2BAC"/>
    <w:rsid w:val="00EE2EC5"/>
    <w:rsid w:val="00EE3230"/>
    <w:rsid w:val="00EE333C"/>
    <w:rsid w:val="00EE3ED9"/>
    <w:rsid w:val="00EE4058"/>
    <w:rsid w:val="00EE4193"/>
    <w:rsid w:val="00EE4342"/>
    <w:rsid w:val="00EE45B3"/>
    <w:rsid w:val="00EE4F1F"/>
    <w:rsid w:val="00EE555F"/>
    <w:rsid w:val="00EE57F1"/>
    <w:rsid w:val="00EE5E1C"/>
    <w:rsid w:val="00EE7333"/>
    <w:rsid w:val="00EE77CD"/>
    <w:rsid w:val="00EE7AF0"/>
    <w:rsid w:val="00EF0140"/>
    <w:rsid w:val="00EF04C6"/>
    <w:rsid w:val="00EF0B47"/>
    <w:rsid w:val="00EF0CDB"/>
    <w:rsid w:val="00EF12E5"/>
    <w:rsid w:val="00EF1675"/>
    <w:rsid w:val="00EF1754"/>
    <w:rsid w:val="00EF1791"/>
    <w:rsid w:val="00EF1B9A"/>
    <w:rsid w:val="00EF33E1"/>
    <w:rsid w:val="00EF3AC4"/>
    <w:rsid w:val="00EF4087"/>
    <w:rsid w:val="00EF4A6F"/>
    <w:rsid w:val="00EF546F"/>
    <w:rsid w:val="00EF5721"/>
    <w:rsid w:val="00EF62E4"/>
    <w:rsid w:val="00EF684D"/>
    <w:rsid w:val="00EF6899"/>
    <w:rsid w:val="00EF6996"/>
    <w:rsid w:val="00EF69BA"/>
    <w:rsid w:val="00EF74EF"/>
    <w:rsid w:val="00EF7E61"/>
    <w:rsid w:val="00F002B0"/>
    <w:rsid w:val="00F0033C"/>
    <w:rsid w:val="00F0046B"/>
    <w:rsid w:val="00F005B4"/>
    <w:rsid w:val="00F008DA"/>
    <w:rsid w:val="00F00E19"/>
    <w:rsid w:val="00F00FCE"/>
    <w:rsid w:val="00F01019"/>
    <w:rsid w:val="00F01C0F"/>
    <w:rsid w:val="00F01D92"/>
    <w:rsid w:val="00F0256C"/>
    <w:rsid w:val="00F0272B"/>
    <w:rsid w:val="00F02B0A"/>
    <w:rsid w:val="00F02C89"/>
    <w:rsid w:val="00F0332C"/>
    <w:rsid w:val="00F03A06"/>
    <w:rsid w:val="00F03A57"/>
    <w:rsid w:val="00F03B5C"/>
    <w:rsid w:val="00F041F2"/>
    <w:rsid w:val="00F045CB"/>
    <w:rsid w:val="00F04799"/>
    <w:rsid w:val="00F04988"/>
    <w:rsid w:val="00F04E1E"/>
    <w:rsid w:val="00F0587F"/>
    <w:rsid w:val="00F05884"/>
    <w:rsid w:val="00F05F02"/>
    <w:rsid w:val="00F0604B"/>
    <w:rsid w:val="00F06CB3"/>
    <w:rsid w:val="00F06E88"/>
    <w:rsid w:val="00F07327"/>
    <w:rsid w:val="00F07851"/>
    <w:rsid w:val="00F07F20"/>
    <w:rsid w:val="00F10382"/>
    <w:rsid w:val="00F103B3"/>
    <w:rsid w:val="00F104D7"/>
    <w:rsid w:val="00F109F9"/>
    <w:rsid w:val="00F10D11"/>
    <w:rsid w:val="00F111AC"/>
    <w:rsid w:val="00F115DC"/>
    <w:rsid w:val="00F11C92"/>
    <w:rsid w:val="00F11E40"/>
    <w:rsid w:val="00F12176"/>
    <w:rsid w:val="00F121E4"/>
    <w:rsid w:val="00F1223A"/>
    <w:rsid w:val="00F125BE"/>
    <w:rsid w:val="00F12640"/>
    <w:rsid w:val="00F12904"/>
    <w:rsid w:val="00F12990"/>
    <w:rsid w:val="00F129F6"/>
    <w:rsid w:val="00F12B22"/>
    <w:rsid w:val="00F12DF5"/>
    <w:rsid w:val="00F13133"/>
    <w:rsid w:val="00F1359A"/>
    <w:rsid w:val="00F147F5"/>
    <w:rsid w:val="00F14ADA"/>
    <w:rsid w:val="00F15B9B"/>
    <w:rsid w:val="00F15F31"/>
    <w:rsid w:val="00F16004"/>
    <w:rsid w:val="00F16614"/>
    <w:rsid w:val="00F16630"/>
    <w:rsid w:val="00F16CB9"/>
    <w:rsid w:val="00F1772A"/>
    <w:rsid w:val="00F177EA"/>
    <w:rsid w:val="00F17E31"/>
    <w:rsid w:val="00F20496"/>
    <w:rsid w:val="00F208AA"/>
    <w:rsid w:val="00F20CA2"/>
    <w:rsid w:val="00F21136"/>
    <w:rsid w:val="00F21BE7"/>
    <w:rsid w:val="00F21FDF"/>
    <w:rsid w:val="00F220C8"/>
    <w:rsid w:val="00F2269A"/>
    <w:rsid w:val="00F22BCE"/>
    <w:rsid w:val="00F22D73"/>
    <w:rsid w:val="00F2369B"/>
    <w:rsid w:val="00F24239"/>
    <w:rsid w:val="00F24729"/>
    <w:rsid w:val="00F2477D"/>
    <w:rsid w:val="00F2497A"/>
    <w:rsid w:val="00F24BB1"/>
    <w:rsid w:val="00F24CC3"/>
    <w:rsid w:val="00F24D33"/>
    <w:rsid w:val="00F251AF"/>
    <w:rsid w:val="00F25272"/>
    <w:rsid w:val="00F25C95"/>
    <w:rsid w:val="00F25E5A"/>
    <w:rsid w:val="00F2650E"/>
    <w:rsid w:val="00F2690E"/>
    <w:rsid w:val="00F27391"/>
    <w:rsid w:val="00F274AA"/>
    <w:rsid w:val="00F277AB"/>
    <w:rsid w:val="00F278F6"/>
    <w:rsid w:val="00F3041A"/>
    <w:rsid w:val="00F30760"/>
    <w:rsid w:val="00F30B0B"/>
    <w:rsid w:val="00F30FA1"/>
    <w:rsid w:val="00F31038"/>
    <w:rsid w:val="00F31173"/>
    <w:rsid w:val="00F315CF"/>
    <w:rsid w:val="00F315F0"/>
    <w:rsid w:val="00F31859"/>
    <w:rsid w:val="00F3239A"/>
    <w:rsid w:val="00F325FE"/>
    <w:rsid w:val="00F3272B"/>
    <w:rsid w:val="00F33E01"/>
    <w:rsid w:val="00F35377"/>
    <w:rsid w:val="00F357EB"/>
    <w:rsid w:val="00F35AD3"/>
    <w:rsid w:val="00F36172"/>
    <w:rsid w:val="00F36176"/>
    <w:rsid w:val="00F363D1"/>
    <w:rsid w:val="00F3704C"/>
    <w:rsid w:val="00F37107"/>
    <w:rsid w:val="00F371E7"/>
    <w:rsid w:val="00F375DD"/>
    <w:rsid w:val="00F377B8"/>
    <w:rsid w:val="00F37C97"/>
    <w:rsid w:val="00F37CD5"/>
    <w:rsid w:val="00F37E9D"/>
    <w:rsid w:val="00F37FE0"/>
    <w:rsid w:val="00F40348"/>
    <w:rsid w:val="00F40C80"/>
    <w:rsid w:val="00F40CBD"/>
    <w:rsid w:val="00F40D29"/>
    <w:rsid w:val="00F40F0B"/>
    <w:rsid w:val="00F40F2F"/>
    <w:rsid w:val="00F415AA"/>
    <w:rsid w:val="00F41864"/>
    <w:rsid w:val="00F41952"/>
    <w:rsid w:val="00F41A82"/>
    <w:rsid w:val="00F41E14"/>
    <w:rsid w:val="00F424D5"/>
    <w:rsid w:val="00F42FDE"/>
    <w:rsid w:val="00F4337F"/>
    <w:rsid w:val="00F43637"/>
    <w:rsid w:val="00F438D5"/>
    <w:rsid w:val="00F4396C"/>
    <w:rsid w:val="00F43C23"/>
    <w:rsid w:val="00F43FA7"/>
    <w:rsid w:val="00F440E1"/>
    <w:rsid w:val="00F443CA"/>
    <w:rsid w:val="00F44417"/>
    <w:rsid w:val="00F44507"/>
    <w:rsid w:val="00F44887"/>
    <w:rsid w:val="00F4498C"/>
    <w:rsid w:val="00F449D0"/>
    <w:rsid w:val="00F451C5"/>
    <w:rsid w:val="00F45226"/>
    <w:rsid w:val="00F45F4F"/>
    <w:rsid w:val="00F4672C"/>
    <w:rsid w:val="00F46B11"/>
    <w:rsid w:val="00F46E21"/>
    <w:rsid w:val="00F4711E"/>
    <w:rsid w:val="00F472E6"/>
    <w:rsid w:val="00F506A6"/>
    <w:rsid w:val="00F50C6F"/>
    <w:rsid w:val="00F51330"/>
    <w:rsid w:val="00F5188C"/>
    <w:rsid w:val="00F5233A"/>
    <w:rsid w:val="00F52802"/>
    <w:rsid w:val="00F528AE"/>
    <w:rsid w:val="00F52BF7"/>
    <w:rsid w:val="00F52D06"/>
    <w:rsid w:val="00F53265"/>
    <w:rsid w:val="00F532F4"/>
    <w:rsid w:val="00F536CA"/>
    <w:rsid w:val="00F53958"/>
    <w:rsid w:val="00F53E5F"/>
    <w:rsid w:val="00F54084"/>
    <w:rsid w:val="00F54652"/>
    <w:rsid w:val="00F5467C"/>
    <w:rsid w:val="00F5484F"/>
    <w:rsid w:val="00F54BB4"/>
    <w:rsid w:val="00F54ED2"/>
    <w:rsid w:val="00F5517A"/>
    <w:rsid w:val="00F55735"/>
    <w:rsid w:val="00F558FF"/>
    <w:rsid w:val="00F559AB"/>
    <w:rsid w:val="00F55C5D"/>
    <w:rsid w:val="00F55E8E"/>
    <w:rsid w:val="00F55F7E"/>
    <w:rsid w:val="00F5618A"/>
    <w:rsid w:val="00F5621F"/>
    <w:rsid w:val="00F562E9"/>
    <w:rsid w:val="00F5640F"/>
    <w:rsid w:val="00F56467"/>
    <w:rsid w:val="00F564B4"/>
    <w:rsid w:val="00F56910"/>
    <w:rsid w:val="00F57373"/>
    <w:rsid w:val="00F6084E"/>
    <w:rsid w:val="00F60C9C"/>
    <w:rsid w:val="00F61054"/>
    <w:rsid w:val="00F61188"/>
    <w:rsid w:val="00F61253"/>
    <w:rsid w:val="00F61ACD"/>
    <w:rsid w:val="00F61CBF"/>
    <w:rsid w:val="00F61F90"/>
    <w:rsid w:val="00F62887"/>
    <w:rsid w:val="00F62E9B"/>
    <w:rsid w:val="00F62FF7"/>
    <w:rsid w:val="00F63860"/>
    <w:rsid w:val="00F63A1E"/>
    <w:rsid w:val="00F63E40"/>
    <w:rsid w:val="00F63EEF"/>
    <w:rsid w:val="00F6419A"/>
    <w:rsid w:val="00F64C71"/>
    <w:rsid w:val="00F64F76"/>
    <w:rsid w:val="00F6658D"/>
    <w:rsid w:val="00F6683B"/>
    <w:rsid w:val="00F66A4E"/>
    <w:rsid w:val="00F6762C"/>
    <w:rsid w:val="00F678E0"/>
    <w:rsid w:val="00F67B45"/>
    <w:rsid w:val="00F67C3F"/>
    <w:rsid w:val="00F67E61"/>
    <w:rsid w:val="00F70A0D"/>
    <w:rsid w:val="00F70C9B"/>
    <w:rsid w:val="00F70DAD"/>
    <w:rsid w:val="00F71267"/>
    <w:rsid w:val="00F71ABF"/>
    <w:rsid w:val="00F71BF9"/>
    <w:rsid w:val="00F71E59"/>
    <w:rsid w:val="00F723D2"/>
    <w:rsid w:val="00F72448"/>
    <w:rsid w:val="00F72657"/>
    <w:rsid w:val="00F72C10"/>
    <w:rsid w:val="00F72CBF"/>
    <w:rsid w:val="00F7333A"/>
    <w:rsid w:val="00F73468"/>
    <w:rsid w:val="00F7346B"/>
    <w:rsid w:val="00F73BAB"/>
    <w:rsid w:val="00F73C71"/>
    <w:rsid w:val="00F745EA"/>
    <w:rsid w:val="00F74710"/>
    <w:rsid w:val="00F748A4"/>
    <w:rsid w:val="00F74BFD"/>
    <w:rsid w:val="00F74DAA"/>
    <w:rsid w:val="00F76AE6"/>
    <w:rsid w:val="00F76DB8"/>
    <w:rsid w:val="00F76E29"/>
    <w:rsid w:val="00F77791"/>
    <w:rsid w:val="00F777C0"/>
    <w:rsid w:val="00F77C7C"/>
    <w:rsid w:val="00F80174"/>
    <w:rsid w:val="00F802B4"/>
    <w:rsid w:val="00F80458"/>
    <w:rsid w:val="00F80509"/>
    <w:rsid w:val="00F80CD4"/>
    <w:rsid w:val="00F80D1F"/>
    <w:rsid w:val="00F80DDC"/>
    <w:rsid w:val="00F81296"/>
    <w:rsid w:val="00F81F64"/>
    <w:rsid w:val="00F82DFE"/>
    <w:rsid w:val="00F83150"/>
    <w:rsid w:val="00F834CD"/>
    <w:rsid w:val="00F83997"/>
    <w:rsid w:val="00F83B88"/>
    <w:rsid w:val="00F83DEE"/>
    <w:rsid w:val="00F847B8"/>
    <w:rsid w:val="00F848F1"/>
    <w:rsid w:val="00F85201"/>
    <w:rsid w:val="00F865A3"/>
    <w:rsid w:val="00F86796"/>
    <w:rsid w:val="00F869B7"/>
    <w:rsid w:val="00F86CA7"/>
    <w:rsid w:val="00F86CFE"/>
    <w:rsid w:val="00F86FEB"/>
    <w:rsid w:val="00F87558"/>
    <w:rsid w:val="00F87596"/>
    <w:rsid w:val="00F9076D"/>
    <w:rsid w:val="00F907CF"/>
    <w:rsid w:val="00F9092F"/>
    <w:rsid w:val="00F90D87"/>
    <w:rsid w:val="00F91521"/>
    <w:rsid w:val="00F9158B"/>
    <w:rsid w:val="00F92637"/>
    <w:rsid w:val="00F92CE2"/>
    <w:rsid w:val="00F93033"/>
    <w:rsid w:val="00F933D5"/>
    <w:rsid w:val="00F936DF"/>
    <w:rsid w:val="00F93AF1"/>
    <w:rsid w:val="00F93F5A"/>
    <w:rsid w:val="00F94374"/>
    <w:rsid w:val="00F943AC"/>
    <w:rsid w:val="00F9552D"/>
    <w:rsid w:val="00F956E6"/>
    <w:rsid w:val="00F961D2"/>
    <w:rsid w:val="00F96F4E"/>
    <w:rsid w:val="00F9747D"/>
    <w:rsid w:val="00F9765A"/>
    <w:rsid w:val="00FA0032"/>
    <w:rsid w:val="00FA010A"/>
    <w:rsid w:val="00FA06BD"/>
    <w:rsid w:val="00FA0B98"/>
    <w:rsid w:val="00FA1222"/>
    <w:rsid w:val="00FA14DE"/>
    <w:rsid w:val="00FA15FB"/>
    <w:rsid w:val="00FA1AD0"/>
    <w:rsid w:val="00FA1E70"/>
    <w:rsid w:val="00FA2713"/>
    <w:rsid w:val="00FA31C2"/>
    <w:rsid w:val="00FA3922"/>
    <w:rsid w:val="00FA396A"/>
    <w:rsid w:val="00FA3FDF"/>
    <w:rsid w:val="00FA4217"/>
    <w:rsid w:val="00FA4B54"/>
    <w:rsid w:val="00FA4D67"/>
    <w:rsid w:val="00FA6080"/>
    <w:rsid w:val="00FA650F"/>
    <w:rsid w:val="00FA6792"/>
    <w:rsid w:val="00FA6F77"/>
    <w:rsid w:val="00FA734C"/>
    <w:rsid w:val="00FA7ADD"/>
    <w:rsid w:val="00FA7E18"/>
    <w:rsid w:val="00FB05E7"/>
    <w:rsid w:val="00FB0BE9"/>
    <w:rsid w:val="00FB12BB"/>
    <w:rsid w:val="00FB1DB7"/>
    <w:rsid w:val="00FB21FF"/>
    <w:rsid w:val="00FB2513"/>
    <w:rsid w:val="00FB3532"/>
    <w:rsid w:val="00FB36AE"/>
    <w:rsid w:val="00FB383A"/>
    <w:rsid w:val="00FB4284"/>
    <w:rsid w:val="00FB4657"/>
    <w:rsid w:val="00FB4937"/>
    <w:rsid w:val="00FB4E5F"/>
    <w:rsid w:val="00FB4FCC"/>
    <w:rsid w:val="00FB508F"/>
    <w:rsid w:val="00FB5A30"/>
    <w:rsid w:val="00FB5ADA"/>
    <w:rsid w:val="00FB601C"/>
    <w:rsid w:val="00FB65BC"/>
    <w:rsid w:val="00FB668B"/>
    <w:rsid w:val="00FB6EB8"/>
    <w:rsid w:val="00FB7B41"/>
    <w:rsid w:val="00FC001C"/>
    <w:rsid w:val="00FC0EED"/>
    <w:rsid w:val="00FC13B3"/>
    <w:rsid w:val="00FC2379"/>
    <w:rsid w:val="00FC2CAA"/>
    <w:rsid w:val="00FC2F57"/>
    <w:rsid w:val="00FC3E9C"/>
    <w:rsid w:val="00FC3FC8"/>
    <w:rsid w:val="00FC46A8"/>
    <w:rsid w:val="00FC4CB4"/>
    <w:rsid w:val="00FC4D8E"/>
    <w:rsid w:val="00FC4E58"/>
    <w:rsid w:val="00FC4FA4"/>
    <w:rsid w:val="00FC5544"/>
    <w:rsid w:val="00FC577F"/>
    <w:rsid w:val="00FC593D"/>
    <w:rsid w:val="00FC5AEF"/>
    <w:rsid w:val="00FC5E5D"/>
    <w:rsid w:val="00FC5F27"/>
    <w:rsid w:val="00FC6096"/>
    <w:rsid w:val="00FC617A"/>
    <w:rsid w:val="00FC672F"/>
    <w:rsid w:val="00FC6E5A"/>
    <w:rsid w:val="00FC717E"/>
    <w:rsid w:val="00FC7896"/>
    <w:rsid w:val="00FC7BDB"/>
    <w:rsid w:val="00FC7D04"/>
    <w:rsid w:val="00FD030D"/>
    <w:rsid w:val="00FD0822"/>
    <w:rsid w:val="00FD0846"/>
    <w:rsid w:val="00FD08D1"/>
    <w:rsid w:val="00FD1CC4"/>
    <w:rsid w:val="00FD23B3"/>
    <w:rsid w:val="00FD2570"/>
    <w:rsid w:val="00FD2AAD"/>
    <w:rsid w:val="00FD2B89"/>
    <w:rsid w:val="00FD35FE"/>
    <w:rsid w:val="00FD371D"/>
    <w:rsid w:val="00FD4333"/>
    <w:rsid w:val="00FD5E69"/>
    <w:rsid w:val="00FD5ECB"/>
    <w:rsid w:val="00FD6221"/>
    <w:rsid w:val="00FD62DF"/>
    <w:rsid w:val="00FD6D2A"/>
    <w:rsid w:val="00FD7484"/>
    <w:rsid w:val="00FE0034"/>
    <w:rsid w:val="00FE1119"/>
    <w:rsid w:val="00FE1174"/>
    <w:rsid w:val="00FE16C1"/>
    <w:rsid w:val="00FE1C3B"/>
    <w:rsid w:val="00FE1F35"/>
    <w:rsid w:val="00FE223D"/>
    <w:rsid w:val="00FE2963"/>
    <w:rsid w:val="00FE29B8"/>
    <w:rsid w:val="00FE2CE5"/>
    <w:rsid w:val="00FE33E9"/>
    <w:rsid w:val="00FE3400"/>
    <w:rsid w:val="00FE3AEC"/>
    <w:rsid w:val="00FE3EB7"/>
    <w:rsid w:val="00FE4B4E"/>
    <w:rsid w:val="00FE4FAC"/>
    <w:rsid w:val="00FE50E9"/>
    <w:rsid w:val="00FE5239"/>
    <w:rsid w:val="00FE55E6"/>
    <w:rsid w:val="00FE608D"/>
    <w:rsid w:val="00FE7661"/>
    <w:rsid w:val="00FE7CD7"/>
    <w:rsid w:val="00FE7F0B"/>
    <w:rsid w:val="00FF039C"/>
    <w:rsid w:val="00FF0B32"/>
    <w:rsid w:val="00FF1175"/>
    <w:rsid w:val="00FF1424"/>
    <w:rsid w:val="00FF1ABE"/>
    <w:rsid w:val="00FF1B96"/>
    <w:rsid w:val="00FF1E30"/>
    <w:rsid w:val="00FF210B"/>
    <w:rsid w:val="00FF2166"/>
    <w:rsid w:val="00FF2E4D"/>
    <w:rsid w:val="00FF3C0C"/>
    <w:rsid w:val="00FF4C29"/>
    <w:rsid w:val="00FF4D41"/>
    <w:rsid w:val="00FF5301"/>
    <w:rsid w:val="00FF553B"/>
    <w:rsid w:val="00FF6049"/>
    <w:rsid w:val="00FF6292"/>
    <w:rsid w:val="00FF6721"/>
    <w:rsid w:val="00FF69A8"/>
    <w:rsid w:val="00FF69DA"/>
    <w:rsid w:val="00FF6AE7"/>
    <w:rsid w:val="00FF6B4D"/>
    <w:rsid w:val="00FF71E0"/>
    <w:rsid w:val="00FF7289"/>
    <w:rsid w:val="00FF728F"/>
    <w:rsid w:val="00FF75C9"/>
    <w:rsid w:val="2002067B"/>
    <w:rsid w:val="63D7498F"/>
    <w:rsid w:val="73E2795B"/>
    <w:rsid w:val="76A10594"/>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12D58"/>
  <w15:docId w15:val="{79DCFDB9-FB7F-4CF9-B97B-C2F60750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0"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8"/>
    <w:pPr>
      <w:spacing w:after="160" w:line="259" w:lineRule="auto"/>
    </w:pPr>
    <w:rPr>
      <w:rFonts w:asciiTheme="minorHAnsi" w:eastAsiaTheme="minorHAnsi" w:hAnsiTheme="minorHAnsi" w:cstheme="minorBidi"/>
      <w:sz w:val="22"/>
      <w:szCs w:val="22"/>
    </w:rPr>
  </w:style>
  <w:style w:type="paragraph" w:styleId="Heading1">
    <w:name w:val="heading 1"/>
    <w:basedOn w:val="Normal"/>
    <w:next w:val="Heading2"/>
    <w:link w:val="Heading1Char"/>
    <w:uiPriority w:val="9"/>
    <w:qFormat/>
    <w:rsid w:val="001D71D7"/>
    <w:pPr>
      <w:keepNext/>
      <w:keepLines/>
      <w:numPr>
        <w:numId w:val="10"/>
      </w:numPr>
      <w:spacing w:before="480" w:after="0"/>
      <w:outlineLvl w:val="0"/>
    </w:pPr>
    <w:rPr>
      <w:rFonts w:ascii="Cambria" w:eastAsia="Times New Roman" w:hAnsi="Cambria"/>
      <w:b/>
      <w:bCs/>
      <w:sz w:val="28"/>
      <w:szCs w:val="28"/>
      <w:lang w:val="en-GB"/>
    </w:rPr>
  </w:style>
  <w:style w:type="paragraph" w:styleId="Heading2">
    <w:name w:val="heading 2"/>
    <w:basedOn w:val="Normal"/>
    <w:link w:val="Heading2Char"/>
    <w:uiPriority w:val="9"/>
    <w:qFormat/>
    <w:rsid w:val="002F7D7E"/>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link w:val="Heading3Char"/>
    <w:uiPriority w:val="9"/>
    <w:qFormat/>
    <w:rsid w:val="002F7D7E"/>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link w:val="Heading4Char"/>
    <w:uiPriority w:val="9"/>
    <w:unhideWhenUsed/>
    <w:qFormat/>
    <w:rsid w:val="002F7D7E"/>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link w:val="Heading5Char"/>
    <w:uiPriority w:val="9"/>
    <w:unhideWhenUsed/>
    <w:qFormat/>
    <w:rsid w:val="002F7D7E"/>
    <w:pPr>
      <w:keepNext/>
      <w:keepLines/>
      <w:numPr>
        <w:ilvl w:val="4"/>
        <w:numId w:val="10"/>
      </w:numPr>
      <w:spacing w:before="200" w:after="0"/>
      <w:outlineLvl w:val="4"/>
    </w:pPr>
    <w:rPr>
      <w:rFonts w:ascii="Cambria" w:eastAsia="Times New Roman" w:hAnsi="Cambria"/>
    </w:rPr>
  </w:style>
  <w:style w:type="paragraph" w:styleId="Heading6">
    <w:name w:val="heading 6"/>
    <w:basedOn w:val="Normal"/>
    <w:link w:val="Heading6Char"/>
    <w:uiPriority w:val="9"/>
    <w:unhideWhenUsed/>
    <w:qFormat/>
    <w:rsid w:val="002F7D7E"/>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link w:val="Heading7Char"/>
    <w:uiPriority w:val="9"/>
    <w:unhideWhenUsed/>
    <w:qFormat/>
    <w:rsid w:val="002F7D7E"/>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link w:val="Heading8Char"/>
    <w:uiPriority w:val="9"/>
    <w:qFormat/>
    <w:rsid w:val="002F7D7E"/>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link w:val="Heading9Char"/>
    <w:uiPriority w:val="9"/>
    <w:qFormat/>
    <w:rsid w:val="002F7D7E"/>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qFormat/>
    <w:rsid w:val="007E489B"/>
    <w:pPr>
      <w:spacing w:after="120"/>
    </w:pPr>
    <w:rPr>
      <w:rFonts w:ascii="Arial" w:eastAsia="Arial Unicode MS" w:hAnsi="Arial" w:cs="Arial"/>
      <w:color w:val="000000"/>
      <w:sz w:val="24"/>
      <w:szCs w:val="24"/>
    </w:rPr>
  </w:style>
  <w:style w:type="character" w:customStyle="1" w:styleId="AbstractChar">
    <w:name w:val="Abstract Char"/>
    <w:link w:val="Abstract"/>
    <w:qFormat/>
    <w:rsid w:val="00F846C0"/>
    <w:rPr>
      <w:rFonts w:ascii="Arial" w:eastAsia="Arial Unicode MS" w:hAnsi="Arial" w:cs="Arial"/>
      <w:color w:val="000000"/>
      <w:sz w:val="24"/>
      <w:szCs w:val="24"/>
    </w:rPr>
  </w:style>
  <w:style w:type="paragraph" w:customStyle="1" w:styleId="Annex">
    <w:name w:val="Annex"/>
    <w:basedOn w:val="Paragraph"/>
    <w:next w:val="Paragraph"/>
    <w:qFormat/>
    <w:rsid w:val="001D71D7"/>
    <w:pPr>
      <w:numPr>
        <w:numId w:val="11"/>
      </w:numPr>
      <w:spacing w:before="240" w:after="240"/>
    </w:pPr>
    <w:rPr>
      <w:b/>
    </w:rPr>
  </w:style>
  <w:style w:type="paragraph" w:customStyle="1" w:styleId="AuthoringGroup">
    <w:name w:val="Authoring Group"/>
    <w:link w:val="AuthoringGroupChar"/>
    <w:qFormat/>
    <w:rsid w:val="007E489B"/>
    <w:pPr>
      <w:spacing w:after="120"/>
    </w:pPr>
    <w:rPr>
      <w:rFonts w:ascii="Arial" w:eastAsia="Arial Unicode MS" w:hAnsi="Arial" w:cs="Arial"/>
      <w:color w:val="000000"/>
      <w:sz w:val="24"/>
      <w:szCs w:val="22"/>
    </w:rPr>
  </w:style>
  <w:style w:type="character" w:customStyle="1" w:styleId="AuthoringGroupChar">
    <w:name w:val="Authoring Group Char"/>
    <w:link w:val="AuthoringGroup"/>
    <w:qFormat/>
    <w:rsid w:val="00F846C0"/>
    <w:rPr>
      <w:rFonts w:ascii="Arial" w:eastAsia="Arial Unicode MS" w:hAnsi="Arial" w:cs="Arial"/>
      <w:color w:val="000000"/>
      <w:sz w:val="24"/>
      <w:szCs w:val="22"/>
    </w:rPr>
  </w:style>
  <w:style w:type="paragraph" w:customStyle="1" w:styleId="Background">
    <w:name w:val="Background"/>
    <w:aliases w:val="(A) Background"/>
    <w:basedOn w:val="Normal"/>
    <w:qFormat/>
    <w:rsid w:val="007E489B"/>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qFormat/>
    <w:rsid w:val="007E489B"/>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qFormat/>
    <w:rsid w:val="007E489B"/>
    <w:pPr>
      <w:numPr>
        <w:numId w:val="3"/>
      </w:numPr>
      <w:spacing w:after="120" w:line="240" w:lineRule="auto"/>
      <w:jc w:val="both"/>
    </w:pPr>
    <w:rPr>
      <w:rFonts w:eastAsia="Arial Unicode MS"/>
      <w:szCs w:val="20"/>
      <w:lang w:val="en-GB"/>
    </w:rPr>
  </w:style>
  <w:style w:type="paragraph" w:customStyle="1" w:styleId="BulletList3">
    <w:name w:val="Bullet List 3"/>
    <w:aliases w:val="Bullet3"/>
    <w:basedOn w:val="Normal"/>
    <w:qFormat/>
    <w:rsid w:val="007E489B"/>
    <w:pPr>
      <w:numPr>
        <w:numId w:val="4"/>
      </w:numPr>
      <w:spacing w:after="240" w:line="240" w:lineRule="auto"/>
      <w:jc w:val="both"/>
    </w:pPr>
    <w:rPr>
      <w:rFonts w:eastAsia="Arial Unicode MS"/>
      <w:szCs w:val="20"/>
      <w:lang w:val="en-GB"/>
    </w:rPr>
  </w:style>
  <w:style w:type="paragraph" w:customStyle="1" w:styleId="TitleClause">
    <w:name w:val="Title Clause"/>
    <w:basedOn w:val="Normal"/>
    <w:qFormat/>
    <w:rsid w:val="001D71D7"/>
    <w:pPr>
      <w:keepNext/>
      <w:numPr>
        <w:numId w:val="35"/>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qFormat/>
    <w:rsid w:val="007E489B"/>
    <w:rPr>
      <w:b w:val="0"/>
      <w:smallCaps/>
    </w:rPr>
  </w:style>
  <w:style w:type="paragraph" w:customStyle="1" w:styleId="ClosingPara">
    <w:name w:val="Closing Para"/>
    <w:basedOn w:val="Normal"/>
    <w:qFormat/>
    <w:rsid w:val="007E489B"/>
    <w:pPr>
      <w:spacing w:before="120" w:after="240" w:line="300" w:lineRule="atLeast"/>
      <w:jc w:val="both"/>
    </w:pPr>
    <w:rPr>
      <w:rFonts w:eastAsia="Arial Unicode MS"/>
      <w:szCs w:val="20"/>
    </w:rPr>
  </w:style>
  <w:style w:type="paragraph" w:customStyle="1" w:styleId="ClosingSignOff">
    <w:name w:val="Closing SignOff"/>
    <w:basedOn w:val="Normal"/>
    <w:qFormat/>
    <w:rsid w:val="007E489B"/>
    <w:pPr>
      <w:spacing w:after="120" w:line="300" w:lineRule="atLeast"/>
      <w:jc w:val="both"/>
    </w:pPr>
    <w:rPr>
      <w:rFonts w:eastAsia="Arial Unicode MS"/>
      <w:szCs w:val="20"/>
    </w:rPr>
  </w:style>
  <w:style w:type="paragraph" w:customStyle="1" w:styleId="CoversheetTitle">
    <w:name w:val="Coversheet Title"/>
    <w:basedOn w:val="Normal"/>
    <w:autoRedefine/>
    <w:qFormat/>
    <w:rsid w:val="0006114E"/>
    <w:pPr>
      <w:tabs>
        <w:tab w:val="left" w:pos="344"/>
        <w:tab w:val="center" w:pos="4680"/>
      </w:tabs>
      <w:spacing w:before="480" w:after="480" w:line="240" w:lineRule="auto"/>
      <w:jc w:val="center"/>
    </w:pPr>
    <w:rPr>
      <w:rFonts w:ascii="Arial" w:eastAsia="Arial Unicode MS" w:hAnsi="Arial" w:cs="Arial"/>
      <w:b/>
      <w:smallCaps/>
      <w:sz w:val="32"/>
      <w:szCs w:val="32"/>
    </w:rPr>
  </w:style>
  <w:style w:type="paragraph" w:customStyle="1" w:styleId="CoverSheetHeading">
    <w:name w:val="Cover Sheet Heading"/>
    <w:aliases w:val="Coversheet Title2"/>
    <w:basedOn w:val="CoversheetTitle"/>
    <w:qFormat/>
    <w:rsid w:val="007E489B"/>
  </w:style>
  <w:style w:type="paragraph" w:customStyle="1" w:styleId="CoverSheetSubjectText">
    <w:name w:val="Cover Sheet Subject Text"/>
    <w:basedOn w:val="Normal"/>
    <w:qFormat/>
    <w:rsid w:val="007E489B"/>
    <w:pPr>
      <w:spacing w:after="0" w:line="300" w:lineRule="atLeast"/>
      <w:jc w:val="center"/>
    </w:pPr>
    <w:rPr>
      <w:rFonts w:eastAsia="Arial Unicode MS"/>
      <w:szCs w:val="20"/>
    </w:rPr>
  </w:style>
  <w:style w:type="paragraph" w:customStyle="1" w:styleId="CoverSheetSubjectTitle">
    <w:name w:val="Cover Sheet Subject Title"/>
    <w:basedOn w:val="Normal"/>
    <w:qFormat/>
    <w:rsid w:val="007E489B"/>
    <w:pPr>
      <w:spacing w:after="0" w:line="300" w:lineRule="atLeast"/>
      <w:jc w:val="center"/>
    </w:pPr>
    <w:rPr>
      <w:rFonts w:eastAsia="Arial Unicode MS"/>
      <w:szCs w:val="20"/>
    </w:rPr>
  </w:style>
  <w:style w:type="paragraph" w:customStyle="1" w:styleId="DefinedTermPara">
    <w:name w:val="Defined Term Para"/>
    <w:basedOn w:val="Paragraph"/>
    <w:qFormat/>
    <w:rsid w:val="00F846C0"/>
    <w:pPr>
      <w:numPr>
        <w:numId w:val="24"/>
      </w:numPr>
    </w:pPr>
  </w:style>
  <w:style w:type="paragraph" w:customStyle="1" w:styleId="DescriptiveHeading">
    <w:name w:val="DescriptiveHeading"/>
    <w:next w:val="Paragraph"/>
    <w:link w:val="DescriptiveHeadingChar"/>
    <w:qFormat/>
    <w:rsid w:val="007E489B"/>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qFormat/>
    <w:rsid w:val="00F846C0"/>
    <w:rPr>
      <w:rFonts w:ascii="Arial" w:eastAsia="Arial Unicode MS" w:hAnsi="Arial" w:cs="Arial"/>
      <w:b/>
      <w:color w:val="000000"/>
      <w:sz w:val="22"/>
      <w:szCs w:val="22"/>
    </w:rPr>
  </w:style>
  <w:style w:type="paragraph" w:customStyle="1" w:styleId="DraftingnoteSection1Para">
    <w:name w:val="Draftingnote Section1 Para"/>
    <w:basedOn w:val="Normal"/>
    <w:qFormat/>
    <w:rsid w:val="007E489B"/>
    <w:pPr>
      <w:spacing w:after="120" w:line="300" w:lineRule="atLeast"/>
      <w:jc w:val="both"/>
    </w:pPr>
    <w:rPr>
      <w:rFonts w:eastAsia="Arial Unicode MS"/>
      <w:szCs w:val="20"/>
    </w:rPr>
  </w:style>
  <w:style w:type="paragraph" w:customStyle="1" w:styleId="DraftingnoteSection1Title">
    <w:name w:val="Draftingnote Section1 Title"/>
    <w:basedOn w:val="Normal"/>
    <w:qFormat/>
    <w:rsid w:val="007E489B"/>
    <w:pPr>
      <w:spacing w:after="120" w:line="300" w:lineRule="atLeast"/>
      <w:jc w:val="both"/>
    </w:pPr>
    <w:rPr>
      <w:rFonts w:eastAsia="Arial Unicode MS"/>
      <w:b/>
      <w:sz w:val="36"/>
      <w:szCs w:val="20"/>
    </w:rPr>
  </w:style>
  <w:style w:type="paragraph" w:customStyle="1" w:styleId="DraftingnoteSection2Para">
    <w:name w:val="Draftingnote Section2 Para"/>
    <w:basedOn w:val="Normal"/>
    <w:qFormat/>
    <w:rsid w:val="007E489B"/>
    <w:pPr>
      <w:spacing w:after="120" w:line="300" w:lineRule="atLeast"/>
      <w:jc w:val="both"/>
    </w:pPr>
    <w:rPr>
      <w:rFonts w:eastAsia="Arial Unicode MS"/>
      <w:szCs w:val="20"/>
    </w:rPr>
  </w:style>
  <w:style w:type="paragraph" w:customStyle="1" w:styleId="DraftingnoteSection2Title">
    <w:name w:val="Draftingnote Section2 Title"/>
    <w:basedOn w:val="Normal"/>
    <w:qFormat/>
    <w:rsid w:val="007E489B"/>
    <w:pPr>
      <w:spacing w:after="120" w:line="300" w:lineRule="atLeast"/>
      <w:jc w:val="both"/>
    </w:pPr>
    <w:rPr>
      <w:rFonts w:eastAsia="Arial Unicode MS"/>
      <w:b/>
      <w:sz w:val="28"/>
      <w:szCs w:val="20"/>
    </w:rPr>
  </w:style>
  <w:style w:type="paragraph" w:customStyle="1" w:styleId="DraftingnoteSection3Para">
    <w:name w:val="Draftingnote Section3 Para"/>
    <w:basedOn w:val="Normal"/>
    <w:qFormat/>
    <w:rsid w:val="007E489B"/>
    <w:pPr>
      <w:spacing w:after="120" w:line="300" w:lineRule="atLeast"/>
      <w:jc w:val="both"/>
    </w:pPr>
    <w:rPr>
      <w:rFonts w:eastAsia="Arial Unicode MS"/>
      <w:szCs w:val="20"/>
    </w:rPr>
  </w:style>
  <w:style w:type="paragraph" w:customStyle="1" w:styleId="DraftingnoteSection3Title">
    <w:name w:val="Draftingnote Section3 Title"/>
    <w:basedOn w:val="Normal"/>
    <w:qFormat/>
    <w:rsid w:val="007E489B"/>
    <w:pPr>
      <w:spacing w:after="120" w:line="300" w:lineRule="atLeast"/>
      <w:jc w:val="both"/>
    </w:pPr>
    <w:rPr>
      <w:rFonts w:eastAsia="Arial Unicode MS"/>
      <w:b/>
      <w:i/>
      <w:sz w:val="28"/>
      <w:szCs w:val="20"/>
    </w:rPr>
  </w:style>
  <w:style w:type="paragraph" w:customStyle="1" w:styleId="DraftingnoteSection4Para">
    <w:name w:val="Draftingnote Section4 Para"/>
    <w:basedOn w:val="Normal"/>
    <w:qFormat/>
    <w:rsid w:val="007E489B"/>
    <w:pPr>
      <w:spacing w:after="120" w:line="300" w:lineRule="atLeast"/>
      <w:jc w:val="both"/>
    </w:pPr>
    <w:rPr>
      <w:rFonts w:eastAsia="Arial Unicode MS"/>
      <w:szCs w:val="20"/>
    </w:rPr>
  </w:style>
  <w:style w:type="paragraph" w:customStyle="1" w:styleId="DraftingnoteSection4Title">
    <w:name w:val="Draftingnote Section4 Title"/>
    <w:basedOn w:val="Normal"/>
    <w:qFormat/>
    <w:rsid w:val="007E489B"/>
    <w:pPr>
      <w:spacing w:after="120" w:line="300" w:lineRule="atLeast"/>
      <w:jc w:val="both"/>
    </w:pPr>
    <w:rPr>
      <w:rFonts w:eastAsia="Arial Unicode MS"/>
      <w:b/>
      <w:i/>
      <w:sz w:val="28"/>
      <w:szCs w:val="20"/>
    </w:rPr>
  </w:style>
  <w:style w:type="paragraph" w:customStyle="1" w:styleId="DraftingnoteTitle">
    <w:name w:val="Draftingnote Title"/>
    <w:basedOn w:val="Normal"/>
    <w:qFormat/>
    <w:rsid w:val="007E489B"/>
    <w:pPr>
      <w:spacing w:after="120" w:line="300" w:lineRule="atLeast"/>
      <w:jc w:val="both"/>
    </w:pPr>
    <w:rPr>
      <w:rFonts w:eastAsia="Arial Unicode MS"/>
      <w:b/>
      <w:sz w:val="28"/>
      <w:szCs w:val="20"/>
    </w:rPr>
  </w:style>
  <w:style w:type="paragraph" w:customStyle="1" w:styleId="FulltextBridgehead">
    <w:name w:val="Fulltext Bridgehead"/>
    <w:basedOn w:val="Normal"/>
    <w:qFormat/>
    <w:rsid w:val="007E489B"/>
    <w:pPr>
      <w:spacing w:after="120" w:line="300" w:lineRule="atLeast"/>
      <w:jc w:val="both"/>
    </w:pPr>
    <w:rPr>
      <w:rFonts w:eastAsia="Arial Unicode MS"/>
      <w:b/>
      <w:sz w:val="48"/>
      <w:szCs w:val="20"/>
    </w:rPr>
  </w:style>
  <w:style w:type="paragraph" w:customStyle="1" w:styleId="FulltextSection1Para">
    <w:name w:val="Fulltext Section1 Para"/>
    <w:basedOn w:val="Normal"/>
    <w:qFormat/>
    <w:rsid w:val="007E489B"/>
    <w:pPr>
      <w:spacing w:after="120" w:line="300" w:lineRule="atLeast"/>
      <w:jc w:val="both"/>
    </w:pPr>
    <w:rPr>
      <w:rFonts w:eastAsia="Arial Unicode MS"/>
      <w:szCs w:val="20"/>
    </w:rPr>
  </w:style>
  <w:style w:type="paragraph" w:customStyle="1" w:styleId="FulltextSection1Title">
    <w:name w:val="Fulltext Section1 Title"/>
    <w:basedOn w:val="Normal"/>
    <w:qFormat/>
    <w:rsid w:val="007E489B"/>
    <w:pPr>
      <w:spacing w:after="120" w:line="300" w:lineRule="atLeast"/>
      <w:jc w:val="both"/>
    </w:pPr>
    <w:rPr>
      <w:rFonts w:eastAsia="Arial Unicode MS"/>
      <w:b/>
      <w:sz w:val="36"/>
      <w:szCs w:val="20"/>
    </w:rPr>
  </w:style>
  <w:style w:type="paragraph" w:customStyle="1" w:styleId="FulltextSection2Para">
    <w:name w:val="Fulltext Section2 Para"/>
    <w:basedOn w:val="Normal"/>
    <w:qFormat/>
    <w:rsid w:val="007E489B"/>
    <w:pPr>
      <w:spacing w:after="120" w:line="300" w:lineRule="atLeast"/>
      <w:jc w:val="both"/>
    </w:pPr>
    <w:rPr>
      <w:rFonts w:eastAsia="Arial Unicode MS"/>
      <w:szCs w:val="20"/>
    </w:rPr>
  </w:style>
  <w:style w:type="paragraph" w:customStyle="1" w:styleId="FulltextSection2Title">
    <w:name w:val="Fulltext Section2 Title"/>
    <w:basedOn w:val="Normal"/>
    <w:qFormat/>
    <w:rsid w:val="007E489B"/>
    <w:pPr>
      <w:spacing w:after="120" w:line="300" w:lineRule="atLeast"/>
      <w:jc w:val="both"/>
    </w:pPr>
    <w:rPr>
      <w:rFonts w:eastAsia="Arial Unicode MS"/>
      <w:b/>
      <w:sz w:val="28"/>
      <w:szCs w:val="20"/>
    </w:rPr>
  </w:style>
  <w:style w:type="paragraph" w:customStyle="1" w:styleId="FulltextSection3Para">
    <w:name w:val="Fulltext Section3 Para"/>
    <w:basedOn w:val="Normal"/>
    <w:qFormat/>
    <w:rsid w:val="007E489B"/>
    <w:pPr>
      <w:spacing w:after="120" w:line="300" w:lineRule="atLeast"/>
      <w:jc w:val="both"/>
    </w:pPr>
    <w:rPr>
      <w:rFonts w:eastAsia="Arial Unicode MS"/>
      <w:szCs w:val="20"/>
    </w:rPr>
  </w:style>
  <w:style w:type="paragraph" w:customStyle="1" w:styleId="FulltextSection3Title">
    <w:name w:val="Fulltext Section3 Title"/>
    <w:basedOn w:val="Normal"/>
    <w:qFormat/>
    <w:rsid w:val="007E489B"/>
    <w:pPr>
      <w:spacing w:after="120" w:line="300" w:lineRule="atLeast"/>
      <w:jc w:val="both"/>
    </w:pPr>
    <w:rPr>
      <w:rFonts w:eastAsia="Arial Unicode MS"/>
      <w:b/>
      <w:i/>
      <w:sz w:val="28"/>
      <w:szCs w:val="20"/>
    </w:rPr>
  </w:style>
  <w:style w:type="paragraph" w:customStyle="1" w:styleId="FulltextSection4Para">
    <w:name w:val="Fulltext Section4 Para"/>
    <w:basedOn w:val="Normal"/>
    <w:qFormat/>
    <w:rsid w:val="007E489B"/>
    <w:pPr>
      <w:spacing w:after="120" w:line="300" w:lineRule="atLeast"/>
      <w:jc w:val="both"/>
    </w:pPr>
    <w:rPr>
      <w:rFonts w:eastAsia="Arial Unicode MS"/>
      <w:szCs w:val="20"/>
    </w:rPr>
  </w:style>
  <w:style w:type="paragraph" w:customStyle="1" w:styleId="FulltextSection4Title">
    <w:name w:val="Fulltext Section4 Title"/>
    <w:basedOn w:val="Normal"/>
    <w:qFormat/>
    <w:rsid w:val="007E489B"/>
    <w:pPr>
      <w:spacing w:after="120" w:line="300" w:lineRule="atLeast"/>
      <w:jc w:val="both"/>
    </w:pPr>
    <w:rPr>
      <w:rFonts w:eastAsia="Arial Unicode MS"/>
      <w:b/>
      <w:i/>
      <w:sz w:val="28"/>
      <w:szCs w:val="20"/>
    </w:rPr>
  </w:style>
  <w:style w:type="paragraph" w:customStyle="1" w:styleId="GlossItemGlossdefPara">
    <w:name w:val="GlossItem Glossdef Para"/>
    <w:basedOn w:val="Normal"/>
    <w:qFormat/>
    <w:rsid w:val="007E489B"/>
    <w:pPr>
      <w:spacing w:after="120" w:line="300" w:lineRule="atLeast"/>
      <w:jc w:val="both"/>
    </w:pPr>
    <w:rPr>
      <w:rFonts w:eastAsia="Arial Unicode MS"/>
      <w:szCs w:val="20"/>
    </w:rPr>
  </w:style>
  <w:style w:type="paragraph" w:customStyle="1" w:styleId="GlossItemGlossterm">
    <w:name w:val="GlossItem Glossterm"/>
    <w:basedOn w:val="Normal"/>
    <w:qFormat/>
    <w:rsid w:val="007E489B"/>
    <w:pPr>
      <w:spacing w:after="120" w:line="300" w:lineRule="atLeast"/>
      <w:jc w:val="both"/>
    </w:pPr>
    <w:rPr>
      <w:rFonts w:eastAsia="Arial Unicode MS"/>
      <w:b/>
      <w:sz w:val="48"/>
      <w:szCs w:val="20"/>
    </w:rPr>
  </w:style>
  <w:style w:type="paragraph" w:customStyle="1" w:styleId="HeadingAddressLine">
    <w:name w:val="Heading Address Line"/>
    <w:basedOn w:val="Normal"/>
    <w:qFormat/>
    <w:rsid w:val="007E489B"/>
    <w:pPr>
      <w:spacing w:after="120" w:line="300" w:lineRule="atLeast"/>
      <w:jc w:val="both"/>
    </w:pPr>
    <w:rPr>
      <w:rFonts w:eastAsia="Arial Unicode MS"/>
      <w:szCs w:val="20"/>
    </w:rPr>
  </w:style>
  <w:style w:type="paragraph" w:customStyle="1" w:styleId="HeadingDate">
    <w:name w:val="Heading Date"/>
    <w:basedOn w:val="Normal"/>
    <w:qFormat/>
    <w:rsid w:val="007E489B"/>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qFormat/>
    <w:rsid w:val="007E489B"/>
    <w:pPr>
      <w:spacing w:after="120" w:line="300" w:lineRule="atLeast"/>
      <w:jc w:val="both"/>
    </w:pPr>
    <w:rPr>
      <w:rFonts w:eastAsia="Arial Unicode MS"/>
      <w:szCs w:val="20"/>
    </w:rPr>
  </w:style>
  <w:style w:type="paragraph" w:customStyle="1" w:styleId="HeadingSalutation">
    <w:name w:val="Heading Salutation"/>
    <w:basedOn w:val="Normal"/>
    <w:qFormat/>
    <w:rsid w:val="007E489B"/>
    <w:pPr>
      <w:spacing w:after="120" w:line="300" w:lineRule="atLeast"/>
      <w:jc w:val="both"/>
    </w:pPr>
    <w:rPr>
      <w:rFonts w:eastAsia="Arial Unicode MS"/>
      <w:szCs w:val="20"/>
    </w:rPr>
  </w:style>
  <w:style w:type="paragraph" w:customStyle="1" w:styleId="IgnoredSpacing">
    <w:name w:val="Ignored Spacing"/>
    <w:link w:val="IgnoredSpacingChar"/>
    <w:qFormat/>
    <w:rsid w:val="007E489B"/>
    <w:pPr>
      <w:spacing w:after="120"/>
    </w:pPr>
    <w:rPr>
      <w:rFonts w:ascii="Arial" w:eastAsia="Arial Unicode MS" w:hAnsi="Arial" w:cs="Arial"/>
      <w:color w:val="000000"/>
      <w:sz w:val="24"/>
      <w:szCs w:val="24"/>
    </w:rPr>
  </w:style>
  <w:style w:type="character" w:customStyle="1" w:styleId="IgnoredSpacingChar">
    <w:name w:val="Ignored Spacing Char"/>
    <w:link w:val="IgnoredSpacing"/>
    <w:qFormat/>
    <w:rsid w:val="00F846C0"/>
    <w:rPr>
      <w:rFonts w:ascii="Arial" w:eastAsia="Arial Unicode MS" w:hAnsi="Arial" w:cs="Arial"/>
      <w:color w:val="000000"/>
      <w:sz w:val="24"/>
      <w:szCs w:val="24"/>
    </w:rPr>
  </w:style>
  <w:style w:type="paragraph" w:customStyle="1" w:styleId="InternalAuthor">
    <w:name w:val="Internal Author"/>
    <w:link w:val="InternalAuthorChar"/>
    <w:qFormat/>
    <w:rsid w:val="007E489B"/>
    <w:pPr>
      <w:spacing w:after="120"/>
    </w:pPr>
    <w:rPr>
      <w:rFonts w:ascii="Arial" w:eastAsia="Arial Unicode MS" w:hAnsi="Arial" w:cs="Arial"/>
      <w:color w:val="000000"/>
      <w:sz w:val="24"/>
      <w:szCs w:val="22"/>
    </w:rPr>
  </w:style>
  <w:style w:type="character" w:customStyle="1" w:styleId="InternalAuthorChar">
    <w:name w:val="Internal Author Char"/>
    <w:link w:val="InternalAuthor"/>
    <w:qFormat/>
    <w:rsid w:val="00F846C0"/>
    <w:rPr>
      <w:rFonts w:ascii="Arial" w:eastAsia="Arial Unicode MS" w:hAnsi="Arial" w:cs="Arial"/>
      <w:color w:val="000000"/>
      <w:sz w:val="24"/>
      <w:szCs w:val="22"/>
    </w:rPr>
  </w:style>
  <w:style w:type="paragraph" w:customStyle="1" w:styleId="MaintenanceEditor">
    <w:name w:val="Maintenance Editor"/>
    <w:link w:val="MaintenanceEditorChar"/>
    <w:qFormat/>
    <w:rsid w:val="007E489B"/>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qFormat/>
    <w:rsid w:val="00F846C0"/>
    <w:rPr>
      <w:rFonts w:ascii="Arial" w:eastAsia="Arial Unicode MS" w:hAnsi="Arial" w:cs="Arial"/>
      <w:color w:val="000000"/>
      <w:sz w:val="24"/>
      <w:szCs w:val="22"/>
    </w:rPr>
  </w:style>
  <w:style w:type="paragraph" w:customStyle="1" w:styleId="ParaClause">
    <w:name w:val="Para Clause"/>
    <w:basedOn w:val="Normal"/>
    <w:qFormat/>
    <w:rsid w:val="007E489B"/>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qFormat/>
    <w:rsid w:val="007E489B"/>
    <w:pPr>
      <w:spacing w:before="240" w:after="120" w:line="300" w:lineRule="atLeast"/>
      <w:ind w:left="720"/>
      <w:jc w:val="both"/>
    </w:pPr>
    <w:rPr>
      <w:rFonts w:eastAsia="Arial Unicode MS"/>
      <w:szCs w:val="20"/>
    </w:rPr>
  </w:style>
  <w:style w:type="paragraph" w:customStyle="1" w:styleId="Untitledsubclause1">
    <w:name w:val="Untitled subclause 1"/>
    <w:basedOn w:val="Normal"/>
    <w:qFormat/>
    <w:rsid w:val="00376933"/>
    <w:pPr>
      <w:numPr>
        <w:ilvl w:val="1"/>
        <w:numId w:val="35"/>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qFormat/>
    <w:rsid w:val="007E489B"/>
    <w:pPr>
      <w:spacing w:after="240" w:line="300" w:lineRule="atLeast"/>
      <w:ind w:left="1559"/>
      <w:jc w:val="both"/>
    </w:pPr>
    <w:rPr>
      <w:rFonts w:eastAsia="Arial Unicode MS"/>
      <w:szCs w:val="20"/>
    </w:rPr>
  </w:style>
  <w:style w:type="paragraph" w:customStyle="1" w:styleId="Untitledsubclause2">
    <w:name w:val="Untitled subclause 2"/>
    <w:basedOn w:val="Normal"/>
    <w:qFormat/>
    <w:rsid w:val="007E489B"/>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qFormat/>
    <w:rsid w:val="007E489B"/>
    <w:pPr>
      <w:spacing w:after="120" w:line="300" w:lineRule="atLeast"/>
      <w:ind w:left="2268"/>
      <w:jc w:val="both"/>
    </w:pPr>
    <w:rPr>
      <w:rFonts w:eastAsia="Arial Unicode MS"/>
      <w:szCs w:val="20"/>
    </w:rPr>
  </w:style>
  <w:style w:type="paragraph" w:customStyle="1" w:styleId="Untitledsubclause3">
    <w:name w:val="Untitled subclause 3"/>
    <w:basedOn w:val="Normal"/>
    <w:qFormat/>
    <w:rsid w:val="001D71D7"/>
    <w:pPr>
      <w:numPr>
        <w:ilvl w:val="3"/>
        <w:numId w:val="35"/>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846C0"/>
    <w:pPr>
      <w:spacing w:after="240"/>
      <w:ind w:left="3028"/>
    </w:pPr>
  </w:style>
  <w:style w:type="paragraph" w:customStyle="1" w:styleId="Untitledsubclause4">
    <w:name w:val="Untitled subclause 4"/>
    <w:basedOn w:val="Normal"/>
    <w:qFormat/>
    <w:rsid w:val="001D71D7"/>
    <w:pPr>
      <w:numPr>
        <w:ilvl w:val="4"/>
        <w:numId w:val="35"/>
      </w:numPr>
      <w:spacing w:after="120" w:line="300" w:lineRule="atLeast"/>
      <w:jc w:val="both"/>
      <w:outlineLvl w:val="4"/>
    </w:pPr>
    <w:rPr>
      <w:rFonts w:eastAsia="Arial Unicode MS"/>
      <w:szCs w:val="20"/>
    </w:rPr>
  </w:style>
  <w:style w:type="paragraph" w:customStyle="1" w:styleId="Para">
    <w:name w:val="Para"/>
    <w:aliases w:val="PLC Style - Normal"/>
    <w:basedOn w:val="Normal"/>
    <w:qFormat/>
    <w:rsid w:val="007E489B"/>
    <w:pPr>
      <w:spacing w:after="120" w:line="300" w:lineRule="atLeast"/>
      <w:jc w:val="both"/>
    </w:pPr>
    <w:rPr>
      <w:rFonts w:eastAsia="Arial Unicode MS"/>
      <w:szCs w:val="20"/>
    </w:rPr>
  </w:style>
  <w:style w:type="paragraph" w:customStyle="1" w:styleId="Parties">
    <w:name w:val="Parties"/>
    <w:aliases w:val="(1) Parties"/>
    <w:basedOn w:val="Normal"/>
    <w:qFormat/>
    <w:rsid w:val="001D71D7"/>
    <w:pPr>
      <w:numPr>
        <w:numId w:val="5"/>
      </w:numPr>
      <w:spacing w:before="120" w:after="120" w:line="300" w:lineRule="atLeast"/>
      <w:jc w:val="both"/>
    </w:pPr>
    <w:rPr>
      <w:rFonts w:eastAsia="Arial Unicode MS"/>
      <w:szCs w:val="20"/>
      <w:lang w:val="en-GB"/>
    </w:rPr>
  </w:style>
  <w:style w:type="paragraph" w:customStyle="1" w:styleId="ResourceHistoryAuthor">
    <w:name w:val="Resource History Author"/>
    <w:link w:val="ResourceHistoryAuthorChar"/>
    <w:qFormat/>
    <w:rsid w:val="007E489B"/>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qFormat/>
    <w:rsid w:val="00F846C0"/>
    <w:rPr>
      <w:rFonts w:ascii="Arial" w:eastAsia="Arial Unicode MS" w:hAnsi="Arial" w:cs="Arial"/>
      <w:color w:val="000000"/>
      <w:sz w:val="24"/>
      <w:szCs w:val="24"/>
    </w:rPr>
  </w:style>
  <w:style w:type="paragraph" w:customStyle="1" w:styleId="ResourceHistoryDate">
    <w:name w:val="Resource History Date"/>
    <w:link w:val="ResourceHistoryDateChar"/>
    <w:qFormat/>
    <w:rsid w:val="007E489B"/>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qFormat/>
    <w:rsid w:val="00F846C0"/>
    <w:rPr>
      <w:rFonts w:ascii="Arial" w:eastAsia="Arial Unicode MS" w:hAnsi="Arial" w:cs="Arial"/>
      <w:color w:val="000000"/>
      <w:sz w:val="24"/>
      <w:szCs w:val="24"/>
    </w:rPr>
  </w:style>
  <w:style w:type="paragraph" w:customStyle="1" w:styleId="ResourceHistoryDesc">
    <w:name w:val="Resource History Desc"/>
    <w:link w:val="ResourceHistoryDescChar"/>
    <w:qFormat/>
    <w:rsid w:val="007E489B"/>
    <w:pPr>
      <w:spacing w:after="120"/>
    </w:pPr>
    <w:rPr>
      <w:rFonts w:ascii="Verdana" w:hAnsi="Verdana" w:cs="Verdana"/>
      <w:color w:val="000000"/>
      <w:sz w:val="18"/>
      <w:szCs w:val="24"/>
    </w:rPr>
  </w:style>
  <w:style w:type="character" w:customStyle="1" w:styleId="ResourceHistoryDescChar">
    <w:name w:val="Resource History Desc Char"/>
    <w:link w:val="ResourceHistoryDesc"/>
    <w:qFormat/>
    <w:rsid w:val="00F846C0"/>
    <w:rPr>
      <w:rFonts w:ascii="Verdana" w:hAnsi="Verdana" w:cs="Verdana"/>
      <w:color w:val="000000"/>
      <w:sz w:val="18"/>
      <w:szCs w:val="24"/>
    </w:rPr>
  </w:style>
  <w:style w:type="paragraph" w:customStyle="1" w:styleId="ResourceHistoryTitle">
    <w:name w:val="Resource History Title"/>
    <w:link w:val="ResourceHistoryTitleChar"/>
    <w:qFormat/>
    <w:rsid w:val="007E489B"/>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qFormat/>
    <w:rsid w:val="00F846C0"/>
    <w:rPr>
      <w:rFonts w:ascii="Arial" w:eastAsia="Arial Unicode MS" w:hAnsi="Arial" w:cs="Arial"/>
      <w:b/>
      <w:bCs/>
      <w:color w:val="000000"/>
      <w:sz w:val="24"/>
      <w:szCs w:val="22"/>
    </w:rPr>
  </w:style>
  <w:style w:type="paragraph" w:customStyle="1" w:styleId="ResourceType">
    <w:name w:val="Resource Type"/>
    <w:link w:val="ResourceTypeChar"/>
    <w:qFormat/>
    <w:rsid w:val="007E489B"/>
    <w:pPr>
      <w:spacing w:after="120"/>
    </w:pPr>
    <w:rPr>
      <w:rFonts w:ascii="Arial" w:eastAsia="Arial Unicode MS" w:hAnsi="Arial" w:cs="Arial"/>
      <w:color w:val="000000"/>
      <w:sz w:val="24"/>
      <w:szCs w:val="24"/>
    </w:rPr>
  </w:style>
  <w:style w:type="character" w:customStyle="1" w:styleId="ResourceTypeChar">
    <w:name w:val="Resource Type Char"/>
    <w:link w:val="ResourceType"/>
    <w:qFormat/>
    <w:rsid w:val="00F846C0"/>
    <w:rPr>
      <w:rFonts w:ascii="Arial" w:eastAsia="Arial Unicode MS" w:hAnsi="Arial" w:cs="Arial"/>
      <w:color w:val="000000"/>
      <w:sz w:val="24"/>
      <w:szCs w:val="24"/>
    </w:rPr>
  </w:style>
  <w:style w:type="paragraph" w:customStyle="1" w:styleId="ScheduleHeading-Single">
    <w:name w:val="Schedule Heading - Single"/>
    <w:aliases w:val="Sch   main head inc single"/>
    <w:basedOn w:val="Normal"/>
    <w:next w:val="Normal"/>
    <w:qFormat/>
    <w:rsid w:val="007E489B"/>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qFormat/>
    <w:rsid w:val="007E489B"/>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qFormat/>
    <w:rsid w:val="007E489B"/>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qFormat/>
    <w:rsid w:val="007E489B"/>
    <w:pPr>
      <w:spacing w:after="120" w:line="300" w:lineRule="atLeast"/>
      <w:jc w:val="both"/>
    </w:pPr>
    <w:rPr>
      <w:rFonts w:eastAsia="Arial Unicode MS"/>
      <w:szCs w:val="20"/>
    </w:rPr>
  </w:style>
  <w:style w:type="paragraph" w:customStyle="1" w:styleId="SpeedreadPara">
    <w:name w:val="Speedread Para"/>
    <w:basedOn w:val="Normal"/>
    <w:qFormat/>
    <w:rsid w:val="007E489B"/>
    <w:pPr>
      <w:spacing w:after="120" w:line="300" w:lineRule="atLeast"/>
      <w:jc w:val="both"/>
    </w:pPr>
    <w:rPr>
      <w:rFonts w:eastAsia="Arial Unicode MS"/>
      <w:szCs w:val="20"/>
    </w:rPr>
  </w:style>
  <w:style w:type="paragraph" w:customStyle="1" w:styleId="SpeedreadSection1Para">
    <w:name w:val="Speedread Section1 Para"/>
    <w:basedOn w:val="Normal"/>
    <w:qFormat/>
    <w:rsid w:val="007E489B"/>
    <w:pPr>
      <w:spacing w:after="120" w:line="300" w:lineRule="atLeast"/>
      <w:jc w:val="both"/>
    </w:pPr>
    <w:rPr>
      <w:rFonts w:eastAsia="Arial Unicode MS"/>
      <w:szCs w:val="20"/>
    </w:rPr>
  </w:style>
  <w:style w:type="paragraph" w:customStyle="1" w:styleId="SpeedreadSection1Text">
    <w:name w:val="Speedread Section1 Text"/>
    <w:basedOn w:val="Normal"/>
    <w:qFormat/>
    <w:rsid w:val="007E489B"/>
    <w:pPr>
      <w:spacing w:after="120" w:line="300" w:lineRule="atLeast"/>
      <w:jc w:val="both"/>
    </w:pPr>
    <w:rPr>
      <w:rFonts w:eastAsia="Arial Unicode MS"/>
      <w:szCs w:val="20"/>
    </w:rPr>
  </w:style>
  <w:style w:type="paragraph" w:customStyle="1" w:styleId="SpeedreadText">
    <w:name w:val="Speedread Text"/>
    <w:basedOn w:val="Normal"/>
    <w:qFormat/>
    <w:rsid w:val="007E489B"/>
    <w:pPr>
      <w:spacing w:after="120" w:line="300" w:lineRule="atLeast"/>
      <w:jc w:val="both"/>
    </w:pPr>
    <w:rPr>
      <w:rFonts w:eastAsia="Arial Unicode MS"/>
      <w:szCs w:val="20"/>
    </w:rPr>
  </w:style>
  <w:style w:type="paragraph" w:customStyle="1" w:styleId="SpeedreadTitle">
    <w:name w:val="Speedread Title"/>
    <w:basedOn w:val="Normal"/>
    <w:qFormat/>
    <w:rsid w:val="007E489B"/>
    <w:pPr>
      <w:spacing w:after="120" w:line="300" w:lineRule="atLeast"/>
      <w:jc w:val="both"/>
    </w:pPr>
    <w:rPr>
      <w:rFonts w:eastAsia="Arial Unicode MS"/>
      <w:b/>
      <w:sz w:val="36"/>
      <w:szCs w:val="20"/>
    </w:rPr>
  </w:style>
  <w:style w:type="paragraph" w:customStyle="1" w:styleId="TemplateType">
    <w:name w:val="Template Type"/>
    <w:link w:val="TemplateTypeChar"/>
    <w:qFormat/>
    <w:rsid w:val="007E489B"/>
    <w:pPr>
      <w:spacing w:after="120"/>
    </w:pPr>
    <w:rPr>
      <w:rFonts w:ascii="Arial" w:eastAsia="Arial Unicode MS" w:hAnsi="Arial" w:cs="Arial"/>
      <w:color w:val="000000"/>
      <w:sz w:val="24"/>
      <w:szCs w:val="24"/>
    </w:rPr>
  </w:style>
  <w:style w:type="character" w:customStyle="1" w:styleId="TemplateTypeChar">
    <w:name w:val="Template Type Char"/>
    <w:link w:val="TemplateType"/>
    <w:qFormat/>
    <w:rsid w:val="00F846C0"/>
    <w:rPr>
      <w:rFonts w:ascii="Arial" w:eastAsia="Arial Unicode MS" w:hAnsi="Arial" w:cs="Arial"/>
      <w:color w:val="000000"/>
      <w:sz w:val="24"/>
      <w:szCs w:val="24"/>
    </w:rPr>
  </w:style>
  <w:style w:type="paragraph" w:styleId="Title">
    <w:name w:val="Title"/>
    <w:basedOn w:val="Normal"/>
    <w:link w:val="TitleChar"/>
    <w:qFormat/>
    <w:rsid w:val="002F7D7E"/>
    <w:pPr>
      <w:spacing w:after="120" w:line="240" w:lineRule="auto"/>
    </w:pPr>
    <w:rPr>
      <w:rFonts w:ascii="Arial" w:eastAsia="Arial Unicode MS" w:hAnsi="Arial" w:cs="Arial"/>
      <w:color w:val="000000"/>
      <w:sz w:val="24"/>
    </w:rPr>
  </w:style>
  <w:style w:type="character" w:customStyle="1" w:styleId="TitleChar">
    <w:name w:val="Title Char"/>
    <w:link w:val="Title"/>
    <w:rsid w:val="00411336"/>
    <w:rPr>
      <w:rFonts w:ascii="Arial" w:eastAsia="Arial Unicode MS" w:hAnsi="Arial" w:cs="Arial"/>
      <w:color w:val="000000"/>
      <w:sz w:val="24"/>
      <w:szCs w:val="22"/>
    </w:rPr>
  </w:style>
  <w:style w:type="paragraph" w:styleId="Footer">
    <w:name w:val="footer"/>
    <w:basedOn w:val="Normal"/>
    <w:link w:val="FooterChar"/>
    <w:rsid w:val="006D5358"/>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411336"/>
    <w:rPr>
      <w:rFonts w:ascii="Times New Roman" w:hAnsi="Times New Roman" w:cstheme="minorBidi"/>
      <w:sz w:val="22"/>
    </w:rPr>
  </w:style>
  <w:style w:type="character" w:styleId="Hyperlink">
    <w:name w:val="Hyperlink"/>
    <w:uiPriority w:val="99"/>
    <w:rsid w:val="006D5358"/>
    <w:rPr>
      <w:rFonts w:ascii="Arial" w:eastAsia="Arial" w:hAnsi="Arial" w:cs="Arial"/>
      <w:i/>
      <w:color w:val="000000"/>
      <w:u w:val="single"/>
    </w:rPr>
  </w:style>
  <w:style w:type="paragraph" w:customStyle="1" w:styleId="Bullet4">
    <w:name w:val="Bullet4"/>
    <w:basedOn w:val="Normal"/>
    <w:rsid w:val="001D71D7"/>
    <w:pPr>
      <w:numPr>
        <w:numId w:val="8"/>
      </w:numPr>
      <w:spacing w:after="240" w:line="240" w:lineRule="auto"/>
      <w:jc w:val="both"/>
    </w:pPr>
    <w:rPr>
      <w:rFonts w:ascii="Times New Roman" w:eastAsia="Times New Roman" w:hAnsi="Times New Roman"/>
      <w:szCs w:val="20"/>
      <w:lang w:val="en-GB"/>
    </w:rPr>
  </w:style>
  <w:style w:type="paragraph" w:customStyle="1" w:styleId="Paragraph">
    <w:name w:val="Paragraph"/>
    <w:basedOn w:val="Normal"/>
    <w:link w:val="ParagraphChar"/>
    <w:qFormat/>
    <w:rsid w:val="00F846C0"/>
    <w:pPr>
      <w:spacing w:after="120" w:line="300" w:lineRule="atLeast"/>
      <w:jc w:val="both"/>
    </w:pPr>
    <w:rPr>
      <w:rFonts w:eastAsia="Arial Unicode MS"/>
      <w:szCs w:val="20"/>
    </w:rPr>
  </w:style>
  <w:style w:type="paragraph" w:customStyle="1" w:styleId="IgnoredTemplateText">
    <w:name w:val="Ignored Template Text"/>
    <w:link w:val="IgnoredTemplateTextChar"/>
    <w:rsid w:val="001D71D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846C0"/>
    <w:rPr>
      <w:rFonts w:ascii="Arial" w:eastAsia="Arial Unicode MS" w:hAnsi="Arial" w:cs="Arial"/>
      <w:b/>
      <w:i/>
      <w:color w:val="000000"/>
      <w:sz w:val="22"/>
      <w:szCs w:val="18"/>
      <w:shd w:val="pct15" w:color="auto" w:fill="FBD4B4"/>
    </w:rPr>
  </w:style>
  <w:style w:type="paragraph" w:customStyle="1" w:styleId="InternalTOC">
    <w:name w:val="Internal TOC"/>
    <w:rsid w:val="00F846C0"/>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846C0"/>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846C0"/>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846C0"/>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rsid w:val="002F7D7E"/>
    <w:pPr>
      <w:tabs>
        <w:tab w:val="center" w:pos="4513"/>
        <w:tab w:val="right" w:pos="9026"/>
      </w:tabs>
      <w:spacing w:after="0" w:line="240" w:lineRule="auto"/>
    </w:pPr>
  </w:style>
  <w:style w:type="character" w:customStyle="1" w:styleId="HeaderChar">
    <w:name w:val="Header Char"/>
    <w:link w:val="Header"/>
    <w:uiPriority w:val="99"/>
    <w:rsid w:val="00411336"/>
    <w:rPr>
      <w:rFonts w:asciiTheme="minorHAnsi" w:eastAsiaTheme="minorHAnsi" w:hAnsiTheme="minorHAnsi" w:cstheme="minorBidi"/>
      <w:sz w:val="22"/>
      <w:szCs w:val="22"/>
    </w:rPr>
  </w:style>
  <w:style w:type="character" w:styleId="PlaceholderText">
    <w:name w:val="Placeholder Text"/>
    <w:uiPriority w:val="99"/>
    <w:rsid w:val="006D5358"/>
    <w:rPr>
      <w:rFonts w:ascii="Arial" w:eastAsia="Arial" w:hAnsi="Arial" w:cs="Arial"/>
      <w:color w:val="000000"/>
    </w:rPr>
  </w:style>
  <w:style w:type="paragraph" w:styleId="BalloonText">
    <w:name w:val="Balloon Text"/>
    <w:basedOn w:val="Normal"/>
    <w:link w:val="BalloonTextChar"/>
    <w:uiPriority w:val="99"/>
    <w:semiHidden/>
    <w:rsid w:val="002F7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336"/>
    <w:rPr>
      <w:rFonts w:ascii="Tahoma" w:eastAsiaTheme="minorHAnsi" w:hAnsi="Tahoma" w:cs="Tahoma"/>
      <w:sz w:val="16"/>
      <w:szCs w:val="16"/>
    </w:rPr>
  </w:style>
  <w:style w:type="paragraph" w:customStyle="1" w:styleId="PinPointRef">
    <w:name w:val="PinPoint Ref"/>
    <w:link w:val="PinPointRefChar"/>
    <w:qFormat/>
    <w:rsid w:val="00F846C0"/>
    <w:rPr>
      <w:rFonts w:ascii="Times New Roman" w:hAnsi="Times New Roman"/>
      <w:b/>
      <w:vanish/>
      <w:color w:val="000000"/>
      <w:sz w:val="18"/>
    </w:rPr>
  </w:style>
  <w:style w:type="character" w:customStyle="1" w:styleId="PinPointRefChar">
    <w:name w:val="PinPoint Ref Char"/>
    <w:link w:val="PinPointRef"/>
    <w:rsid w:val="00F846C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46C0"/>
    <w:pPr>
      <w:spacing w:before="120"/>
      <w:ind w:left="720"/>
    </w:pPr>
    <w:rPr>
      <w:rFonts w:ascii="Arial" w:eastAsia="Arial Unicode MS" w:hAnsi="Arial" w:cs="Arial"/>
      <w:color w:val="000000"/>
      <w:sz w:val="18"/>
    </w:rPr>
  </w:style>
  <w:style w:type="character" w:customStyle="1" w:styleId="BlockQuoteChar">
    <w:name w:val="Block Quote Char"/>
    <w:link w:val="BlockQuote"/>
    <w:rsid w:val="00F846C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46C0"/>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846C0"/>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846C0"/>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846C0"/>
    <w:rPr>
      <w:rFonts w:ascii="Arial" w:eastAsia="Arial Unicode MS" w:hAnsi="Arial" w:cs="Arial"/>
      <w:color w:val="000000"/>
      <w:szCs w:val="24"/>
      <w:lang w:val="en-US" w:eastAsia="en-US"/>
    </w:rPr>
  </w:style>
  <w:style w:type="paragraph" w:customStyle="1" w:styleId="IntroDefault">
    <w:name w:val="Intro Default"/>
    <w:basedOn w:val="Paragraph"/>
    <w:qFormat/>
    <w:rsid w:val="00F846C0"/>
  </w:style>
  <w:style w:type="paragraph" w:customStyle="1" w:styleId="IntroCustom">
    <w:name w:val="Intro Custom"/>
    <w:basedOn w:val="Paragraph"/>
    <w:qFormat/>
    <w:rsid w:val="00F846C0"/>
  </w:style>
  <w:style w:type="paragraph" w:customStyle="1" w:styleId="PrecedentType">
    <w:name w:val="Precedent Type"/>
    <w:basedOn w:val="IgnoredSpacing"/>
    <w:qFormat/>
    <w:rsid w:val="00F846C0"/>
  </w:style>
  <w:style w:type="paragraph" w:customStyle="1" w:styleId="Operative">
    <w:name w:val="Operative"/>
    <w:basedOn w:val="IgnoredSpacing"/>
    <w:qFormat/>
    <w:rsid w:val="00F846C0"/>
    <w:rPr>
      <w:vanish/>
    </w:rPr>
  </w:style>
  <w:style w:type="paragraph" w:customStyle="1" w:styleId="SpeedreadBulletList1">
    <w:name w:val="Speedread Bullet List 1"/>
    <w:basedOn w:val="BulletList1"/>
    <w:qFormat/>
    <w:rsid w:val="00F846C0"/>
  </w:style>
  <w:style w:type="paragraph" w:customStyle="1" w:styleId="PartiesTitle">
    <w:name w:val="Parties Title"/>
    <w:basedOn w:val="Paragraph"/>
    <w:qFormat/>
    <w:rsid w:val="00F846C0"/>
    <w:rPr>
      <w:b/>
    </w:rPr>
  </w:style>
  <w:style w:type="table" w:styleId="TableGrid">
    <w:name w:val="Table Grid"/>
    <w:basedOn w:val="TableNormal"/>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1D71D7"/>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846C0"/>
    <w:pPr>
      <w:shd w:val="clear" w:color="auto" w:fill="D9D9D9"/>
      <w:spacing w:after="120" w:line="240" w:lineRule="auto"/>
      <w:ind w:left="714" w:hanging="357"/>
    </w:pPr>
  </w:style>
  <w:style w:type="character" w:customStyle="1" w:styleId="QuestionParagraphChar">
    <w:name w:val="Question Paragraph Char"/>
    <w:link w:val="QuestionParagraph"/>
    <w:rsid w:val="00F846C0"/>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985063"/>
    <w:pPr>
      <w:shd w:val="clear" w:color="auto" w:fill="D9D9D9"/>
    </w:pPr>
  </w:style>
  <w:style w:type="paragraph" w:customStyle="1" w:styleId="TestimoniumContract">
    <w:name w:val="Testimonium Contract"/>
    <w:basedOn w:val="Paragraph"/>
    <w:qFormat/>
    <w:rsid w:val="00F846C0"/>
  </w:style>
  <w:style w:type="paragraph" w:customStyle="1" w:styleId="TestimoniumDeed">
    <w:name w:val="Testimonium Deed"/>
    <w:basedOn w:val="Paragraph"/>
    <w:qFormat/>
    <w:rsid w:val="00F846C0"/>
  </w:style>
  <w:style w:type="paragraph" w:customStyle="1" w:styleId="Titlesubclause2">
    <w:name w:val="Title subclause2"/>
    <w:basedOn w:val="Untitledsubclause2"/>
    <w:qFormat/>
    <w:rsid w:val="00F846C0"/>
    <w:rPr>
      <w:b/>
    </w:rPr>
  </w:style>
  <w:style w:type="paragraph" w:customStyle="1" w:styleId="Titlesubclause3">
    <w:name w:val="Title subclause3"/>
    <w:basedOn w:val="Untitledsubclause3"/>
    <w:qFormat/>
    <w:rsid w:val="00F846C0"/>
    <w:rPr>
      <w:b/>
    </w:rPr>
  </w:style>
  <w:style w:type="paragraph" w:customStyle="1" w:styleId="Titlesubclause4">
    <w:name w:val="Title subclause4"/>
    <w:basedOn w:val="Untitledsubclause4"/>
    <w:qFormat/>
    <w:rsid w:val="00F846C0"/>
    <w:rPr>
      <w:b/>
    </w:rPr>
  </w:style>
  <w:style w:type="paragraph" w:customStyle="1" w:styleId="UntitledClause">
    <w:name w:val="Untitled Clause"/>
    <w:basedOn w:val="TitleClause"/>
    <w:qFormat/>
    <w:rsid w:val="00F846C0"/>
    <w:pPr>
      <w:spacing w:before="120"/>
    </w:pPr>
    <w:rPr>
      <w:b w:val="0"/>
    </w:rPr>
  </w:style>
  <w:style w:type="paragraph" w:customStyle="1" w:styleId="Titlesubclause1">
    <w:name w:val="Title subclause1"/>
    <w:basedOn w:val="Untitledsubclause1"/>
    <w:qFormat/>
    <w:rsid w:val="00F846C0"/>
    <w:pPr>
      <w:spacing w:before="120"/>
    </w:pPr>
    <w:rPr>
      <w:b/>
    </w:rPr>
  </w:style>
  <w:style w:type="paragraph" w:customStyle="1" w:styleId="Schedule0">
    <w:name w:val="Schedule"/>
    <w:qFormat/>
    <w:rsid w:val="001D71D7"/>
    <w:pPr>
      <w:numPr>
        <w:numId w:val="26"/>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411336"/>
    <w:rPr>
      <w:rFonts w:ascii="Cambria" w:hAnsi="Cambria" w:cstheme="minorBidi"/>
      <w:b/>
      <w:bCs/>
      <w:sz w:val="28"/>
      <w:szCs w:val="28"/>
      <w:lang w:val="en-GB"/>
    </w:rPr>
  </w:style>
  <w:style w:type="character" w:customStyle="1" w:styleId="Heading2Char">
    <w:name w:val="Heading 2 Char"/>
    <w:link w:val="Heading2"/>
    <w:uiPriority w:val="9"/>
    <w:rsid w:val="00411336"/>
    <w:rPr>
      <w:rFonts w:ascii="Cambria" w:hAnsi="Cambria" w:cstheme="minorBidi"/>
      <w:b/>
      <w:bCs/>
      <w:sz w:val="26"/>
      <w:szCs w:val="26"/>
    </w:rPr>
  </w:style>
  <w:style w:type="character" w:customStyle="1" w:styleId="Heading3Char">
    <w:name w:val="Heading 3 Char"/>
    <w:link w:val="Heading3"/>
    <w:uiPriority w:val="9"/>
    <w:rsid w:val="00411336"/>
    <w:rPr>
      <w:rFonts w:ascii="Cambria" w:hAnsi="Cambria" w:cstheme="minorBidi"/>
      <w:b/>
      <w:bCs/>
      <w:sz w:val="22"/>
      <w:szCs w:val="22"/>
    </w:rPr>
  </w:style>
  <w:style w:type="character" w:customStyle="1" w:styleId="Heading4Char">
    <w:name w:val="Heading 4 Char"/>
    <w:link w:val="Heading4"/>
    <w:uiPriority w:val="9"/>
    <w:rsid w:val="00411336"/>
    <w:rPr>
      <w:rFonts w:ascii="Cambria" w:hAnsi="Cambria" w:cstheme="minorBidi"/>
      <w:b/>
      <w:bCs/>
      <w:i/>
      <w:iCs/>
      <w:sz w:val="22"/>
      <w:szCs w:val="22"/>
    </w:rPr>
  </w:style>
  <w:style w:type="character" w:customStyle="1" w:styleId="Heading5Char">
    <w:name w:val="Heading 5 Char"/>
    <w:link w:val="Heading5"/>
    <w:uiPriority w:val="9"/>
    <w:rsid w:val="00411336"/>
    <w:rPr>
      <w:rFonts w:ascii="Cambria" w:hAnsi="Cambria" w:cstheme="minorBidi"/>
      <w:sz w:val="22"/>
      <w:szCs w:val="22"/>
    </w:rPr>
  </w:style>
  <w:style w:type="character" w:customStyle="1" w:styleId="Heading6Char">
    <w:name w:val="Heading 6 Char"/>
    <w:link w:val="Heading6"/>
    <w:uiPriority w:val="9"/>
    <w:rsid w:val="00411336"/>
    <w:rPr>
      <w:rFonts w:ascii="Cambria" w:hAnsi="Cambria" w:cstheme="minorBidi"/>
      <w:i/>
      <w:iCs/>
      <w:sz w:val="22"/>
      <w:szCs w:val="22"/>
    </w:rPr>
  </w:style>
  <w:style w:type="character" w:customStyle="1" w:styleId="Heading7Char">
    <w:name w:val="Heading 7 Char"/>
    <w:link w:val="Heading7"/>
    <w:uiPriority w:val="9"/>
    <w:rsid w:val="00411336"/>
    <w:rPr>
      <w:rFonts w:ascii="Cambria" w:hAnsi="Cambria" w:cstheme="minorBidi"/>
      <w:i/>
      <w:iCs/>
      <w:sz w:val="22"/>
      <w:szCs w:val="22"/>
    </w:rPr>
  </w:style>
  <w:style w:type="character" w:customStyle="1" w:styleId="Heading8Char">
    <w:name w:val="Heading 8 Char"/>
    <w:link w:val="Heading8"/>
    <w:uiPriority w:val="9"/>
    <w:rsid w:val="00411336"/>
    <w:rPr>
      <w:rFonts w:ascii="Cambria" w:hAnsi="Cambria" w:cstheme="minorBidi"/>
    </w:rPr>
  </w:style>
  <w:style w:type="character" w:customStyle="1" w:styleId="Heading9Char">
    <w:name w:val="Heading 9 Char"/>
    <w:link w:val="Heading9"/>
    <w:uiPriority w:val="9"/>
    <w:rsid w:val="00411336"/>
    <w:rPr>
      <w:rFonts w:ascii="Cambria" w:hAnsi="Cambria" w:cstheme="minorBidi"/>
      <w:i/>
      <w:iCs/>
    </w:rPr>
  </w:style>
  <w:style w:type="paragraph" w:customStyle="1" w:styleId="ScheduleTitle">
    <w:name w:val="Schedule Title"/>
    <w:basedOn w:val="Normal"/>
    <w:next w:val="Schedule1"/>
    <w:qFormat/>
    <w:rsid w:val="002F7D7E"/>
    <w:pPr>
      <w:spacing w:after="120" w:line="300" w:lineRule="atLeast"/>
      <w:jc w:val="both"/>
    </w:pPr>
    <w:rPr>
      <w:rFonts w:eastAsia="Arial Unicode MS"/>
      <w:b/>
      <w:szCs w:val="20"/>
    </w:rPr>
  </w:style>
  <w:style w:type="paragraph" w:customStyle="1" w:styleId="Part">
    <w:name w:val="Part"/>
    <w:basedOn w:val="Paragraph"/>
    <w:qFormat/>
    <w:rsid w:val="001D71D7"/>
    <w:pPr>
      <w:numPr>
        <w:ilvl w:val="1"/>
        <w:numId w:val="22"/>
      </w:numPr>
      <w:spacing w:before="240" w:after="240"/>
      <w:jc w:val="left"/>
    </w:pPr>
    <w:rPr>
      <w:b/>
    </w:rPr>
  </w:style>
  <w:style w:type="paragraph" w:customStyle="1" w:styleId="AnnexTitle">
    <w:name w:val="Annex Title"/>
    <w:basedOn w:val="Paragraph"/>
    <w:next w:val="Paragraph"/>
    <w:qFormat/>
    <w:rsid w:val="00F846C0"/>
    <w:pPr>
      <w:spacing w:before="240" w:after="240"/>
    </w:pPr>
    <w:rPr>
      <w:b/>
    </w:rPr>
  </w:style>
  <w:style w:type="paragraph" w:customStyle="1" w:styleId="PartTitle">
    <w:name w:val="Part Title"/>
    <w:basedOn w:val="Paragraph"/>
    <w:qFormat/>
    <w:rsid w:val="00F846C0"/>
    <w:rPr>
      <w:b/>
    </w:rPr>
  </w:style>
  <w:style w:type="paragraph" w:customStyle="1" w:styleId="Testimonium">
    <w:name w:val="Testimonium"/>
    <w:basedOn w:val="Paragraph"/>
    <w:qFormat/>
    <w:rsid w:val="00F846C0"/>
  </w:style>
  <w:style w:type="character" w:customStyle="1" w:styleId="apple-converted-space">
    <w:name w:val="apple-converted-space"/>
    <w:rsid w:val="00F846C0"/>
    <w:rPr>
      <w:rFonts w:ascii="Arial" w:eastAsia="Arial" w:hAnsi="Arial" w:cs="Arial"/>
      <w:color w:val="000000"/>
    </w:rPr>
  </w:style>
  <w:style w:type="character" w:styleId="Emphasis">
    <w:name w:val="Emphasis"/>
    <w:uiPriority w:val="20"/>
    <w:qFormat/>
    <w:rsid w:val="006D5358"/>
    <w:rPr>
      <w:rFonts w:ascii="Arial" w:eastAsia="Arial" w:hAnsi="Arial" w:cs="Arial"/>
      <w:i/>
      <w:iCs/>
      <w:color w:val="000000"/>
    </w:rPr>
  </w:style>
  <w:style w:type="paragraph" w:customStyle="1" w:styleId="NoNumTitle-Clause">
    <w:name w:val="No Num Title - Clause"/>
    <w:basedOn w:val="TitleClause"/>
    <w:qFormat/>
    <w:rsid w:val="001D71D7"/>
    <w:pPr>
      <w:numPr>
        <w:numId w:val="0"/>
      </w:numPr>
      <w:ind w:left="720"/>
    </w:pPr>
  </w:style>
  <w:style w:type="paragraph" w:customStyle="1" w:styleId="NoNumTitlesubclause1">
    <w:name w:val="No Num Title subclause1"/>
    <w:basedOn w:val="Titlesubclause1"/>
    <w:qFormat/>
    <w:rsid w:val="00F846C0"/>
    <w:pPr>
      <w:numPr>
        <w:ilvl w:val="0"/>
        <w:numId w:val="0"/>
      </w:numPr>
      <w:ind w:left="720"/>
    </w:pPr>
  </w:style>
  <w:style w:type="paragraph" w:customStyle="1" w:styleId="AddressLine">
    <w:name w:val="Address Line"/>
    <w:basedOn w:val="Paragraph"/>
    <w:qFormat/>
    <w:rsid w:val="00F846C0"/>
  </w:style>
  <w:style w:type="paragraph" w:styleId="Date">
    <w:name w:val="Date"/>
    <w:basedOn w:val="Normal"/>
    <w:next w:val="Normal"/>
    <w:link w:val="DateChar"/>
    <w:qFormat/>
    <w:rsid w:val="002F7D7E"/>
    <w:pPr>
      <w:spacing w:after="120" w:line="300" w:lineRule="atLeast"/>
      <w:jc w:val="both"/>
    </w:pPr>
    <w:rPr>
      <w:rFonts w:eastAsia="Arial Unicode MS"/>
      <w:szCs w:val="20"/>
    </w:rPr>
  </w:style>
  <w:style w:type="paragraph" w:customStyle="1" w:styleId="SalutationPara">
    <w:name w:val="Salutation Para"/>
    <w:basedOn w:val="Paragraph"/>
    <w:next w:val="Paragraph"/>
    <w:qFormat/>
    <w:rsid w:val="00F846C0"/>
    <w:pPr>
      <w:spacing w:before="240"/>
    </w:pPr>
  </w:style>
  <w:style w:type="character" w:styleId="FollowedHyperlink">
    <w:name w:val="FollowedHyperlink"/>
    <w:uiPriority w:val="99"/>
    <w:semiHidden/>
    <w:rsid w:val="002F7D7E"/>
    <w:rPr>
      <w:rFonts w:ascii="Arial" w:eastAsia="Arial" w:hAnsi="Arial" w:cs="Arial"/>
      <w:i/>
      <w:color w:val="000000"/>
      <w:u w:val="single"/>
    </w:rPr>
  </w:style>
  <w:style w:type="character" w:customStyle="1" w:styleId="DefTerm">
    <w:name w:val="DefTerm"/>
    <w:uiPriority w:val="1"/>
    <w:qFormat/>
    <w:rsid w:val="00F846C0"/>
    <w:rPr>
      <w:rFonts w:ascii="Arial" w:eastAsia="Arial" w:hAnsi="Arial" w:cs="Arial"/>
      <w:b/>
      <w:color w:val="000000"/>
    </w:rPr>
  </w:style>
  <w:style w:type="table" w:customStyle="1" w:styleId="ShadedTable">
    <w:name w:val="Shaded Table"/>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F846C0"/>
    <w:rPr>
      <w:i/>
    </w:rPr>
  </w:style>
  <w:style w:type="paragraph" w:customStyle="1" w:styleId="LetterTitle">
    <w:name w:val="Letter Title"/>
    <w:basedOn w:val="Paragraph"/>
    <w:qFormat/>
    <w:rsid w:val="00F846C0"/>
    <w:rPr>
      <w:b/>
    </w:rPr>
  </w:style>
  <w:style w:type="paragraph" w:customStyle="1" w:styleId="LongQuestionPara">
    <w:name w:val="Long Question Para"/>
    <w:basedOn w:val="Paragraph"/>
    <w:link w:val="LongQuestionParaChar"/>
    <w:rsid w:val="001D71D7"/>
    <w:pPr>
      <w:numPr>
        <w:numId w:val="12"/>
      </w:numPr>
      <w:spacing w:before="240" w:after="240" w:line="240" w:lineRule="auto"/>
      <w:outlineLvl w:val="1"/>
    </w:pPr>
    <w:rPr>
      <w:sz w:val="20"/>
    </w:rPr>
  </w:style>
  <w:style w:type="character" w:customStyle="1" w:styleId="LongQuestionParaChar">
    <w:name w:val="Long Question Para Char"/>
    <w:link w:val="LongQuestionPara"/>
    <w:rsid w:val="00F846C0"/>
    <w:rPr>
      <w:rFonts w:asciiTheme="minorHAnsi" w:eastAsia="Arial Unicode MS" w:hAnsiTheme="minorHAnsi" w:cstheme="minorBidi"/>
    </w:rPr>
  </w:style>
  <w:style w:type="paragraph" w:customStyle="1" w:styleId="ShortQuestionPara">
    <w:name w:val="Short Question Para"/>
    <w:basedOn w:val="Paragraph"/>
    <w:link w:val="ShortQuestionParaChar"/>
    <w:rsid w:val="00F846C0"/>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846C0"/>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846C0"/>
    <w:rPr>
      <w:rFonts w:ascii="Arial" w:eastAsia="Arial Unicode MS" w:hAnsi="Arial" w:cs="Arial"/>
      <w:color w:val="000000"/>
      <w:szCs w:val="20"/>
      <w:lang w:eastAsia="en-US"/>
    </w:rPr>
  </w:style>
  <w:style w:type="paragraph" w:customStyle="1" w:styleId="811D3A974D454A258B71E3C4DE24C4F210">
    <w:name w:val="811D3A974D454A258B71E3C4DE24C4F210"/>
    <w:rsid w:val="005E01B9"/>
    <w:pPr>
      <w:spacing w:after="120"/>
    </w:pPr>
    <w:rPr>
      <w:rFonts w:ascii="Arial" w:eastAsia="Arial Unicode MS" w:hAnsi="Arial" w:cs="Arial"/>
      <w:color w:val="000000"/>
      <w:sz w:val="24"/>
      <w:szCs w:val="22"/>
    </w:rPr>
  </w:style>
  <w:style w:type="paragraph" w:customStyle="1" w:styleId="ListParagraphLevel3">
    <w:name w:val="List Paragraph Level 3"/>
    <w:qFormat/>
    <w:rsid w:val="00F846C0"/>
    <w:pPr>
      <w:spacing w:after="120"/>
      <w:ind w:left="2160"/>
    </w:pPr>
    <w:rPr>
      <w:rFonts w:ascii="Times New Roman" w:hAnsi="Times New Roman"/>
      <w:color w:val="000000"/>
      <w:sz w:val="24"/>
    </w:rPr>
  </w:style>
  <w:style w:type="paragraph" w:customStyle="1" w:styleId="DocumentTitle">
    <w:name w:val="Document Title"/>
    <w:basedOn w:val="Paragraph"/>
    <w:qFormat/>
    <w:rsid w:val="00F846C0"/>
    <w:pPr>
      <w:jc w:val="center"/>
    </w:pPr>
    <w:rPr>
      <w:sz w:val="28"/>
    </w:rPr>
  </w:style>
  <w:style w:type="paragraph" w:customStyle="1" w:styleId="Title-Clause">
    <w:name w:val="Title - Clause"/>
    <w:aliases w:val="BIWS Heading 1"/>
    <w:basedOn w:val="Normal"/>
    <w:rsid w:val="001D71D7"/>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846C0"/>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846C0"/>
    <w:pPr>
      <w:spacing w:before="120"/>
    </w:pPr>
    <w:rPr>
      <w:b w:val="0"/>
    </w:rPr>
  </w:style>
  <w:style w:type="paragraph" w:customStyle="1" w:styleId="CoversheetParagraph">
    <w:name w:val="Coversheet Paragraph"/>
    <w:basedOn w:val="Normal"/>
    <w:autoRedefine/>
    <w:rsid w:val="006D5358"/>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F846C0"/>
    <w:rPr>
      <w:smallCaps w:val="0"/>
      <w:sz w:val="22"/>
    </w:rPr>
  </w:style>
  <w:style w:type="paragraph" w:customStyle="1" w:styleId="CoversheetStaticText">
    <w:name w:val="Coversheet Static Text"/>
    <w:basedOn w:val="CoversheetIntro"/>
    <w:qFormat/>
    <w:rsid w:val="00F846C0"/>
    <w:rPr>
      <w:b w:val="0"/>
    </w:rPr>
  </w:style>
  <w:style w:type="paragraph" w:customStyle="1" w:styleId="CoversheetParty">
    <w:name w:val="Coversheet Party"/>
    <w:basedOn w:val="CoversheetIntro"/>
    <w:qFormat/>
    <w:rsid w:val="00F846C0"/>
  </w:style>
  <w:style w:type="paragraph" w:customStyle="1" w:styleId="NoNumUntitledClause">
    <w:name w:val="No Num Untitled Clause"/>
    <w:basedOn w:val="UntitledClause"/>
    <w:qFormat/>
    <w:rsid w:val="001D71D7"/>
    <w:pPr>
      <w:numPr>
        <w:numId w:val="0"/>
      </w:numPr>
      <w:ind w:left="720"/>
    </w:pPr>
  </w:style>
  <w:style w:type="paragraph" w:customStyle="1" w:styleId="BackgroundSubclause1">
    <w:name w:val="Background Subclause1"/>
    <w:basedOn w:val="Background"/>
    <w:qFormat/>
    <w:rsid w:val="00F846C0"/>
    <w:pPr>
      <w:numPr>
        <w:ilvl w:val="1"/>
      </w:numPr>
    </w:pPr>
  </w:style>
  <w:style w:type="paragraph" w:customStyle="1" w:styleId="BackgroundSubclause2">
    <w:name w:val="Background Subclause2"/>
    <w:basedOn w:val="Background"/>
    <w:qFormat/>
    <w:rsid w:val="00F846C0"/>
    <w:pPr>
      <w:numPr>
        <w:ilvl w:val="3"/>
      </w:numPr>
    </w:pPr>
  </w:style>
  <w:style w:type="paragraph" w:customStyle="1" w:styleId="HeadingLevel2CQA">
    <w:name w:val="Heading Level 2 CQA"/>
    <w:basedOn w:val="HeadingLevel2"/>
    <w:qFormat/>
    <w:rsid w:val="00F846C0"/>
  </w:style>
  <w:style w:type="paragraph" w:customStyle="1" w:styleId="ClauseBullet1">
    <w:name w:val="Clause Bullet 1"/>
    <w:basedOn w:val="ParaClause"/>
    <w:qFormat/>
    <w:rsid w:val="001D71D7"/>
    <w:pPr>
      <w:numPr>
        <w:numId w:val="13"/>
      </w:numPr>
      <w:outlineLvl w:val="0"/>
    </w:pPr>
  </w:style>
  <w:style w:type="paragraph" w:customStyle="1" w:styleId="ClauseBullet2">
    <w:name w:val="Clause Bullet 2"/>
    <w:basedOn w:val="ParaClause"/>
    <w:qFormat/>
    <w:rsid w:val="001D71D7"/>
    <w:pPr>
      <w:numPr>
        <w:numId w:val="14"/>
      </w:numPr>
      <w:outlineLvl w:val="1"/>
    </w:pPr>
  </w:style>
  <w:style w:type="paragraph" w:customStyle="1" w:styleId="subclause1Bullet1">
    <w:name w:val="subclause 1 Bullet 1"/>
    <w:basedOn w:val="Parasubclause1"/>
    <w:qFormat/>
    <w:rsid w:val="001D71D7"/>
    <w:pPr>
      <w:numPr>
        <w:numId w:val="15"/>
      </w:numPr>
    </w:pPr>
  </w:style>
  <w:style w:type="paragraph" w:customStyle="1" w:styleId="subclause2Bullet1">
    <w:name w:val="subclause 2 Bullet 1"/>
    <w:basedOn w:val="Parasubclause2"/>
    <w:qFormat/>
    <w:rsid w:val="001D71D7"/>
    <w:pPr>
      <w:numPr>
        <w:numId w:val="17"/>
      </w:numPr>
    </w:pPr>
  </w:style>
  <w:style w:type="paragraph" w:customStyle="1" w:styleId="subclause3Bullet1">
    <w:name w:val="subclause 3 Bullet 1"/>
    <w:basedOn w:val="Parasubclause3"/>
    <w:qFormat/>
    <w:rsid w:val="001D71D7"/>
    <w:pPr>
      <w:numPr>
        <w:numId w:val="16"/>
      </w:numPr>
    </w:pPr>
  </w:style>
  <w:style w:type="paragraph" w:customStyle="1" w:styleId="subclause1Bullet2">
    <w:name w:val="subclause 1 Bullet 2"/>
    <w:basedOn w:val="Parasubclause1"/>
    <w:qFormat/>
    <w:rsid w:val="00985063"/>
    <w:pPr>
      <w:numPr>
        <w:numId w:val="18"/>
      </w:numPr>
    </w:pPr>
  </w:style>
  <w:style w:type="paragraph" w:customStyle="1" w:styleId="subclause2Bullet2">
    <w:name w:val="subclause 2 Bullet 2"/>
    <w:basedOn w:val="Parasubclause2"/>
    <w:qFormat/>
    <w:rsid w:val="001D71D7"/>
    <w:pPr>
      <w:numPr>
        <w:numId w:val="19"/>
      </w:numPr>
    </w:pPr>
  </w:style>
  <w:style w:type="paragraph" w:customStyle="1" w:styleId="subclause3Bullet2">
    <w:name w:val="subclause 3 Bullet 2"/>
    <w:basedOn w:val="Parasubclause3"/>
    <w:qFormat/>
    <w:rsid w:val="001D71D7"/>
    <w:pPr>
      <w:numPr>
        <w:numId w:val="20"/>
      </w:numPr>
    </w:pPr>
  </w:style>
  <w:style w:type="paragraph" w:customStyle="1" w:styleId="DefinedTermBullet">
    <w:name w:val="Defined Term Bullet"/>
    <w:basedOn w:val="DefinedTermPara"/>
    <w:qFormat/>
    <w:rsid w:val="00F846C0"/>
    <w:pPr>
      <w:numPr>
        <w:numId w:val="21"/>
      </w:numPr>
    </w:pPr>
  </w:style>
  <w:style w:type="paragraph" w:customStyle="1" w:styleId="DefinedTermNumber">
    <w:name w:val="Defined Term Number"/>
    <w:basedOn w:val="DefinedTermPara"/>
    <w:qFormat/>
    <w:rsid w:val="00F846C0"/>
    <w:pPr>
      <w:numPr>
        <w:ilvl w:val="1"/>
      </w:numPr>
    </w:pPr>
  </w:style>
  <w:style w:type="paragraph" w:customStyle="1" w:styleId="AdditionalTitle">
    <w:name w:val="Additional Title"/>
    <w:basedOn w:val="Paragraph"/>
    <w:qFormat/>
    <w:rsid w:val="00F846C0"/>
    <w:pPr>
      <w:jc w:val="left"/>
    </w:pPr>
    <w:rPr>
      <w:b/>
      <w:sz w:val="24"/>
    </w:rPr>
  </w:style>
  <w:style w:type="character" w:customStyle="1" w:styleId="error">
    <w:name w:val="error"/>
    <w:rsid w:val="00F846C0"/>
    <w:rPr>
      <w:rFonts w:ascii="Arial" w:eastAsia="Arial" w:hAnsi="Arial" w:cs="Arial"/>
      <w:color w:val="000000"/>
    </w:rPr>
  </w:style>
  <w:style w:type="paragraph" w:customStyle="1" w:styleId="NoNumUntitledsubclause1">
    <w:name w:val="No Num Untitled subclause 1"/>
    <w:basedOn w:val="Untitledsubclause1"/>
    <w:qFormat/>
    <w:rsid w:val="00F846C0"/>
    <w:pPr>
      <w:numPr>
        <w:ilvl w:val="0"/>
        <w:numId w:val="0"/>
      </w:numPr>
      <w:ind w:left="720"/>
    </w:pPr>
  </w:style>
  <w:style w:type="paragraph" w:customStyle="1" w:styleId="BackgroundParaClause">
    <w:name w:val="Background Para Clause"/>
    <w:basedOn w:val="Background"/>
    <w:qFormat/>
    <w:rsid w:val="001D71D7"/>
    <w:pPr>
      <w:numPr>
        <w:numId w:val="0"/>
      </w:numPr>
    </w:pPr>
  </w:style>
  <w:style w:type="paragraph" w:customStyle="1" w:styleId="BackgroundParaSubclause1">
    <w:name w:val="Background Para Subclause1"/>
    <w:basedOn w:val="BackgroundSubclause1"/>
    <w:qFormat/>
    <w:rsid w:val="00F846C0"/>
    <w:pPr>
      <w:numPr>
        <w:ilvl w:val="0"/>
        <w:numId w:val="0"/>
      </w:numPr>
      <w:ind w:left="994"/>
    </w:pPr>
  </w:style>
  <w:style w:type="paragraph" w:customStyle="1" w:styleId="BackgroundParaSubclause2">
    <w:name w:val="Background Para Subclause2"/>
    <w:basedOn w:val="BackgroundSubclause2"/>
    <w:qFormat/>
    <w:rsid w:val="00F846C0"/>
    <w:pPr>
      <w:numPr>
        <w:ilvl w:val="0"/>
        <w:numId w:val="0"/>
      </w:numPr>
      <w:ind w:left="1701"/>
    </w:pPr>
  </w:style>
  <w:style w:type="paragraph" w:customStyle="1" w:styleId="ClauseBulletPara">
    <w:name w:val="Clause Bullet Para"/>
    <w:basedOn w:val="ClauseBullet1"/>
    <w:qFormat/>
    <w:rsid w:val="00F846C0"/>
    <w:pPr>
      <w:numPr>
        <w:numId w:val="0"/>
      </w:numPr>
      <w:ind w:left="1080"/>
    </w:pPr>
  </w:style>
  <w:style w:type="paragraph" w:customStyle="1" w:styleId="ClauseBullet2Para">
    <w:name w:val="Clause Bullet 2 Para"/>
    <w:basedOn w:val="ClauseBullet2"/>
    <w:qFormat/>
    <w:rsid w:val="00F846C0"/>
    <w:pPr>
      <w:numPr>
        <w:numId w:val="0"/>
      </w:numPr>
      <w:ind w:left="1440"/>
    </w:pPr>
  </w:style>
  <w:style w:type="paragraph" w:customStyle="1" w:styleId="ACTJurisdictionCheckList">
    <w:name w:val="ACTJurisdictionCheckList"/>
    <w:basedOn w:val="Normal"/>
    <w:rsid w:val="00F846C0"/>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846C0"/>
  </w:style>
  <w:style w:type="paragraph" w:customStyle="1" w:styleId="ScheduleTitleClause">
    <w:name w:val="Schedule Title Clause"/>
    <w:basedOn w:val="Normal"/>
    <w:rsid w:val="00F846C0"/>
    <w:pPr>
      <w:keepNext/>
      <w:numPr>
        <w:numId w:val="2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846C0"/>
    <w:pPr>
      <w:numPr>
        <w:ilvl w:val="1"/>
        <w:numId w:val="2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1D71D7"/>
    <w:pPr>
      <w:numPr>
        <w:ilvl w:val="2"/>
        <w:numId w:val="2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1D71D7"/>
    <w:pPr>
      <w:tabs>
        <w:tab w:val="left" w:pos="2261"/>
        <w:tab w:val="num" w:pos="2419"/>
      </w:tabs>
      <w:spacing w:after="120" w:line="300" w:lineRule="atLeast"/>
      <w:ind w:left="2275" w:hanging="576"/>
      <w:jc w:val="both"/>
      <w:outlineLvl w:val="3"/>
    </w:pPr>
    <w:rPr>
      <w:rFonts w:eastAsia="Arial Unicode MS"/>
      <w:szCs w:val="20"/>
    </w:rPr>
  </w:style>
  <w:style w:type="paragraph" w:customStyle="1" w:styleId="ScheduleUntitledsubclause4">
    <w:name w:val="Schedule Untitled subclause 4"/>
    <w:basedOn w:val="Normal"/>
    <w:rsid w:val="00F846C0"/>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846C0"/>
    <w:pPr>
      <w:shd w:val="clear" w:color="auto" w:fill="D9D9D9"/>
      <w:spacing w:after="120" w:line="240" w:lineRule="auto"/>
      <w:ind w:left="714" w:hanging="357"/>
    </w:pPr>
  </w:style>
  <w:style w:type="paragraph" w:customStyle="1" w:styleId="BulletListPattern2">
    <w:name w:val="Bullet List Pattern 2"/>
    <w:basedOn w:val="BulletList2"/>
    <w:qFormat/>
    <w:rsid w:val="00985063"/>
    <w:pPr>
      <w:shd w:val="clear" w:color="auto" w:fill="D9D9D9"/>
    </w:pPr>
  </w:style>
  <w:style w:type="paragraph" w:customStyle="1" w:styleId="ScheduleUntitledClause">
    <w:name w:val="Schedule Untitled Clause"/>
    <w:basedOn w:val="ScheduleTitleClause"/>
    <w:qFormat/>
    <w:rsid w:val="00F846C0"/>
    <w:pPr>
      <w:spacing w:before="120"/>
    </w:pPr>
    <w:rPr>
      <w:b w:val="0"/>
    </w:rPr>
  </w:style>
  <w:style w:type="paragraph" w:customStyle="1" w:styleId="EmptyClausePara">
    <w:name w:val="Empty Clause Para"/>
    <w:basedOn w:val="IgnoredSpacing"/>
    <w:qFormat/>
    <w:rsid w:val="00F846C0"/>
  </w:style>
  <w:style w:type="paragraph" w:styleId="ListParagraph">
    <w:name w:val="List Paragraph"/>
    <w:basedOn w:val="Normal"/>
    <w:uiPriority w:val="34"/>
    <w:qFormat/>
    <w:rsid w:val="006D5358"/>
    <w:pPr>
      <w:ind w:left="720"/>
      <w:contextualSpacing/>
    </w:pPr>
  </w:style>
  <w:style w:type="paragraph" w:customStyle="1" w:styleId="ScheduleTitlesubclause1">
    <w:name w:val="Schedule Title subclause1"/>
    <w:basedOn w:val="ScheduleUntitledsubclause1"/>
    <w:qFormat/>
    <w:rsid w:val="00F846C0"/>
    <w:pPr>
      <w:spacing w:before="120"/>
    </w:pPr>
    <w:rPr>
      <w:b/>
    </w:rPr>
  </w:style>
  <w:style w:type="paragraph" w:customStyle="1" w:styleId="835FF0B0D5344FE4A8EE41F54AA7E17C16">
    <w:name w:val="835FF0B0D5344FE4A8EE41F54AA7E17C16"/>
    <w:rsid w:val="00F3029B"/>
    <w:pPr>
      <w:spacing w:after="120"/>
    </w:pPr>
    <w:rPr>
      <w:rFonts w:ascii="Arial" w:hAnsi="Arial"/>
      <w:color w:val="000000"/>
      <w:sz w:val="24"/>
      <w:szCs w:val="24"/>
    </w:rPr>
  </w:style>
  <w:style w:type="character" w:customStyle="1" w:styleId="UnresolvedMention1">
    <w:name w:val="Unresolved Mention1"/>
    <w:uiPriority w:val="99"/>
    <w:semiHidden/>
    <w:unhideWhenUsed/>
    <w:rsid w:val="0082475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846C0"/>
  </w:style>
  <w:style w:type="table" w:customStyle="1" w:styleId="ShadedTable1">
    <w:name w:val="Shaded Table1"/>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F846C0"/>
  </w:style>
  <w:style w:type="character" w:customStyle="1" w:styleId="IgnoredEmptysubclauseChar">
    <w:name w:val="Ignored Empty subclause Char"/>
    <w:link w:val="IgnoredEmptysubclause"/>
    <w:rsid w:val="00F846C0"/>
    <w:rPr>
      <w:rFonts w:ascii="Arial" w:eastAsia="Arial" w:hAnsi="Arial" w:cs="Arial"/>
      <w:color w:val="000000"/>
    </w:rPr>
  </w:style>
  <w:style w:type="numbering" w:customStyle="1" w:styleId="ScheduleListStyle">
    <w:name w:val="ScheduleListStyle"/>
    <w:pPr>
      <w:numPr>
        <w:numId w:val="25"/>
      </w:numPr>
    </w:pPr>
  </w:style>
  <w:style w:type="numbering" w:customStyle="1" w:styleId="ClauseListStyle">
    <w:name w:val="ClauseListStyle"/>
    <w:pPr>
      <w:numPr>
        <w:numId w:val="27"/>
      </w:numPr>
    </w:pPr>
  </w:style>
  <w:style w:type="paragraph" w:styleId="TOC1">
    <w:name w:val="toc 1"/>
    <w:basedOn w:val="Normal"/>
    <w:uiPriority w:val="39"/>
    <w:rsid w:val="002F7D7E"/>
    <w:pPr>
      <w:tabs>
        <w:tab w:val="left" w:pos="440"/>
        <w:tab w:val="right" w:leader="dot" w:pos="9350"/>
      </w:tabs>
      <w:spacing w:after="100" w:line="240" w:lineRule="auto"/>
    </w:pPr>
  </w:style>
  <w:style w:type="paragraph" w:styleId="FootnoteText">
    <w:name w:val="footnote text"/>
    <w:basedOn w:val="Normal"/>
    <w:link w:val="FootnoteTextChar"/>
    <w:uiPriority w:val="94"/>
    <w:rsid w:val="002F7D7E"/>
    <w:rPr>
      <w:sz w:val="20"/>
      <w:szCs w:val="20"/>
    </w:rPr>
  </w:style>
  <w:style w:type="character" w:customStyle="1" w:styleId="FootnoteTextChar">
    <w:name w:val="Footnote Text Char"/>
    <w:link w:val="FootnoteText"/>
    <w:uiPriority w:val="94"/>
    <w:rsid w:val="00411336"/>
    <w:rPr>
      <w:rFonts w:asciiTheme="minorHAnsi" w:eastAsiaTheme="minorHAnsi" w:hAnsiTheme="minorHAnsi" w:cstheme="minorBidi"/>
    </w:rPr>
  </w:style>
  <w:style w:type="character" w:styleId="FootnoteReference">
    <w:name w:val="footnote reference"/>
    <w:uiPriority w:val="99"/>
    <w:semiHidden/>
    <w:rsid w:val="002F7D7E"/>
    <w:rPr>
      <w:rFonts w:ascii="Arial" w:eastAsia="Arial" w:hAnsi="Arial" w:cs="Arial"/>
      <w:color w:val="000000"/>
      <w:vertAlign w:val="superscript"/>
    </w:rPr>
  </w:style>
  <w:style w:type="paragraph" w:customStyle="1" w:styleId="O-BodyTextJ">
    <w:name w:val="O-Body Text (J)"/>
    <w:aliases w:val="3Body,s13"/>
    <w:basedOn w:val="Normal"/>
    <w:uiPriority w:val="7"/>
    <w:qFormat/>
    <w:rsid w:val="006D5358"/>
    <w:pPr>
      <w:spacing w:after="240" w:line="300" w:lineRule="atLeast"/>
      <w:jc w:val="both"/>
    </w:pPr>
    <w:rPr>
      <w:rFonts w:eastAsia="Times New Roman"/>
      <w:sz w:val="21"/>
      <w:szCs w:val="21"/>
    </w:rPr>
  </w:style>
  <w:style w:type="paragraph" w:customStyle="1" w:styleId="Definition">
    <w:name w:val="Definition"/>
    <w:basedOn w:val="BodyText"/>
    <w:uiPriority w:val="39"/>
    <w:qFormat/>
    <w:rsid w:val="001D71D7"/>
    <w:pPr>
      <w:numPr>
        <w:numId w:val="30"/>
      </w:numPr>
      <w:spacing w:after="240" w:line="288" w:lineRule="auto"/>
      <w:jc w:val="both"/>
    </w:pPr>
    <w:rPr>
      <w:rFonts w:eastAsia="Times New Roman"/>
      <w:sz w:val="20"/>
      <w:lang w:val="en-GB" w:eastAsia="en-GB"/>
    </w:rPr>
  </w:style>
  <w:style w:type="paragraph" w:customStyle="1" w:styleId="Definition1">
    <w:name w:val="Definition 1"/>
    <w:basedOn w:val="Normal"/>
    <w:uiPriority w:val="39"/>
    <w:qFormat/>
    <w:rsid w:val="001D71D7"/>
    <w:pPr>
      <w:numPr>
        <w:ilvl w:val="1"/>
        <w:numId w:val="30"/>
      </w:numPr>
      <w:tabs>
        <w:tab w:val="clear" w:pos="1440"/>
        <w:tab w:val="num" w:pos="720"/>
      </w:tabs>
      <w:spacing w:after="240" w:line="288" w:lineRule="auto"/>
      <w:ind w:left="720"/>
      <w:jc w:val="both"/>
    </w:pPr>
    <w:rPr>
      <w:rFonts w:eastAsia="Times New Roman"/>
      <w:sz w:val="20"/>
      <w:szCs w:val="20"/>
      <w:lang w:eastAsia="en-GB"/>
    </w:rPr>
  </w:style>
  <w:style w:type="paragraph" w:customStyle="1" w:styleId="Definition2">
    <w:name w:val="Definition 2"/>
    <w:basedOn w:val="Normal"/>
    <w:uiPriority w:val="39"/>
    <w:qFormat/>
    <w:rsid w:val="001D71D7"/>
    <w:pPr>
      <w:numPr>
        <w:ilvl w:val="2"/>
        <w:numId w:val="30"/>
      </w:numPr>
      <w:tabs>
        <w:tab w:val="clear" w:pos="2160"/>
        <w:tab w:val="num" w:pos="1555"/>
      </w:tabs>
      <w:spacing w:after="240" w:line="288" w:lineRule="auto"/>
      <w:ind w:left="1555" w:hanging="561"/>
      <w:jc w:val="both"/>
    </w:pPr>
    <w:rPr>
      <w:rFonts w:eastAsia="Times New Roman"/>
      <w:sz w:val="20"/>
      <w:szCs w:val="20"/>
      <w:lang w:eastAsia="en-GB"/>
    </w:rPr>
  </w:style>
  <w:style w:type="paragraph" w:customStyle="1" w:styleId="Definition3">
    <w:name w:val="Definition 3"/>
    <w:basedOn w:val="Normal"/>
    <w:uiPriority w:val="39"/>
    <w:qFormat/>
    <w:rsid w:val="001D71D7"/>
    <w:pPr>
      <w:numPr>
        <w:ilvl w:val="3"/>
        <w:numId w:val="30"/>
      </w:numPr>
      <w:tabs>
        <w:tab w:val="clear" w:pos="2880"/>
        <w:tab w:val="num" w:pos="2419"/>
      </w:tabs>
      <w:spacing w:after="240" w:line="288" w:lineRule="auto"/>
      <w:ind w:left="2275" w:hanging="576"/>
      <w:jc w:val="both"/>
    </w:pPr>
    <w:rPr>
      <w:rFonts w:eastAsia="Times New Roman"/>
      <w:sz w:val="20"/>
      <w:szCs w:val="20"/>
      <w:lang w:eastAsia="en-GB"/>
    </w:rPr>
  </w:style>
  <w:style w:type="paragraph" w:customStyle="1" w:styleId="Definition4">
    <w:name w:val="Definition 4"/>
    <w:basedOn w:val="Normal"/>
    <w:uiPriority w:val="39"/>
    <w:qFormat/>
    <w:rsid w:val="001D71D7"/>
    <w:pPr>
      <w:numPr>
        <w:ilvl w:val="4"/>
        <w:numId w:val="30"/>
      </w:numPr>
      <w:tabs>
        <w:tab w:val="clear" w:pos="3600"/>
        <w:tab w:val="num" w:pos="0"/>
      </w:tabs>
      <w:spacing w:after="240" w:line="288" w:lineRule="auto"/>
      <w:ind w:left="2520" w:hanging="360"/>
      <w:jc w:val="both"/>
    </w:pPr>
    <w:rPr>
      <w:rFonts w:eastAsia="Times New Roman"/>
      <w:sz w:val="20"/>
      <w:szCs w:val="20"/>
      <w:lang w:eastAsia="en-GB"/>
    </w:rPr>
  </w:style>
  <w:style w:type="paragraph" w:customStyle="1" w:styleId="Definition5">
    <w:name w:val="Definition 5"/>
    <w:basedOn w:val="Normal"/>
    <w:uiPriority w:val="39"/>
    <w:qFormat/>
    <w:rsid w:val="001D71D7"/>
    <w:pPr>
      <w:numPr>
        <w:ilvl w:val="5"/>
        <w:numId w:val="30"/>
      </w:numPr>
      <w:tabs>
        <w:tab w:val="clear" w:pos="4321"/>
        <w:tab w:val="num" w:pos="0"/>
        <w:tab w:val="num" w:pos="4320"/>
      </w:tabs>
      <w:spacing w:after="240" w:line="288" w:lineRule="auto"/>
      <w:ind w:left="2880" w:hanging="360"/>
      <w:jc w:val="both"/>
    </w:pPr>
    <w:rPr>
      <w:rFonts w:eastAsia="Times New Roman"/>
      <w:sz w:val="20"/>
      <w:szCs w:val="20"/>
      <w:lang w:eastAsia="en-GB"/>
    </w:rPr>
  </w:style>
  <w:style w:type="paragraph" w:customStyle="1" w:styleId="Definition6">
    <w:name w:val="Definition 6"/>
    <w:basedOn w:val="Normal"/>
    <w:uiPriority w:val="39"/>
    <w:unhideWhenUsed/>
    <w:qFormat/>
    <w:rsid w:val="001D71D7"/>
    <w:pPr>
      <w:numPr>
        <w:ilvl w:val="6"/>
        <w:numId w:val="30"/>
      </w:numPr>
      <w:tabs>
        <w:tab w:val="clear" w:pos="5041"/>
        <w:tab w:val="num" w:pos="0"/>
        <w:tab w:val="num" w:pos="5040"/>
      </w:tabs>
      <w:spacing w:after="240" w:line="288" w:lineRule="auto"/>
      <w:ind w:left="3240" w:hanging="360"/>
      <w:jc w:val="both"/>
    </w:pPr>
    <w:rPr>
      <w:rFonts w:eastAsia="Times New Roman"/>
      <w:sz w:val="20"/>
      <w:szCs w:val="20"/>
      <w:lang w:eastAsia="en-GB"/>
    </w:rPr>
  </w:style>
  <w:style w:type="numbering" w:customStyle="1" w:styleId="NumberingDefinitions">
    <w:name w:val="Numbering Definitions"/>
    <w:uiPriority w:val="99"/>
    <w:rsid w:val="00E33C23"/>
    <w:pPr>
      <w:numPr>
        <w:numId w:val="30"/>
      </w:numPr>
    </w:pPr>
  </w:style>
  <w:style w:type="paragraph" w:styleId="BodyText">
    <w:name w:val="Body Text"/>
    <w:basedOn w:val="Normal"/>
    <w:next w:val="BodyText1"/>
    <w:link w:val="BodyTextChar"/>
    <w:uiPriority w:val="99"/>
    <w:semiHidden/>
    <w:rsid w:val="002F7D7E"/>
    <w:pPr>
      <w:spacing w:after="120"/>
    </w:pPr>
  </w:style>
  <w:style w:type="character" w:customStyle="1" w:styleId="BodyTextChar">
    <w:name w:val="Body Text Char"/>
    <w:link w:val="BodyText"/>
    <w:uiPriority w:val="99"/>
    <w:semiHidden/>
    <w:rsid w:val="00411336"/>
    <w:rPr>
      <w:rFonts w:asciiTheme="minorHAnsi" w:eastAsiaTheme="minorHAnsi" w:hAnsiTheme="minorHAnsi" w:cstheme="minorBidi"/>
      <w:sz w:val="22"/>
      <w:szCs w:val="22"/>
    </w:rPr>
  </w:style>
  <w:style w:type="paragraph" w:customStyle="1" w:styleId="LNMainL1">
    <w:name w:val="LNMain_L1"/>
    <w:basedOn w:val="Normal"/>
    <w:next w:val="LNMainL2"/>
    <w:link w:val="LNMainL1Char"/>
    <w:rsid w:val="006D5358"/>
    <w:pPr>
      <w:keepNext/>
      <w:numPr>
        <w:numId w:val="31"/>
      </w:numPr>
      <w:tabs>
        <w:tab w:val="clear" w:pos="720"/>
      </w:tabs>
      <w:spacing w:after="240" w:line="300" w:lineRule="exact"/>
      <w:ind w:hanging="360"/>
      <w:jc w:val="both"/>
      <w:outlineLvl w:val="0"/>
    </w:pPr>
    <w:rPr>
      <w:rFonts w:eastAsia="Times New Roman"/>
      <w:b/>
      <w:caps/>
      <w:sz w:val="21"/>
      <w:szCs w:val="20"/>
      <w:lang w:val="en-GB" w:eastAsia="x-none"/>
    </w:rPr>
  </w:style>
  <w:style w:type="paragraph" w:customStyle="1" w:styleId="LNMainL2">
    <w:name w:val="LNMain_L2"/>
    <w:basedOn w:val="LNMainL1"/>
    <w:link w:val="LNMainL2Char"/>
    <w:rsid w:val="001D71D7"/>
    <w:pPr>
      <w:keepNext w:val="0"/>
      <w:numPr>
        <w:ilvl w:val="1"/>
      </w:numPr>
      <w:ind w:left="1440"/>
      <w:outlineLvl w:val="1"/>
    </w:pPr>
    <w:rPr>
      <w:b w:val="0"/>
      <w:caps w:val="0"/>
    </w:rPr>
  </w:style>
  <w:style w:type="paragraph" w:customStyle="1" w:styleId="LNMainL3">
    <w:name w:val="LNMain_L3"/>
    <w:basedOn w:val="LNMainL2"/>
    <w:link w:val="LNMainL3Char"/>
    <w:rsid w:val="001D71D7"/>
    <w:pPr>
      <w:numPr>
        <w:ilvl w:val="2"/>
      </w:numPr>
      <w:tabs>
        <w:tab w:val="clear" w:pos="1440"/>
      </w:tabs>
      <w:ind w:left="2160" w:hanging="360"/>
      <w:outlineLvl w:val="2"/>
    </w:pPr>
  </w:style>
  <w:style w:type="character" w:customStyle="1" w:styleId="LNMainL3Char">
    <w:name w:val="LNMain_L3 Char"/>
    <w:link w:val="LNMainL3"/>
    <w:rsid w:val="00C6481F"/>
    <w:rPr>
      <w:rFonts w:asciiTheme="minorHAnsi" w:hAnsiTheme="minorHAnsi" w:cstheme="minorBidi"/>
      <w:sz w:val="21"/>
      <w:lang w:val="en-GB" w:eastAsia="x-none"/>
    </w:rPr>
  </w:style>
  <w:style w:type="paragraph" w:customStyle="1" w:styleId="LNMainL4">
    <w:name w:val="LNMain_L4"/>
    <w:basedOn w:val="LNMainL3"/>
    <w:rsid w:val="001D71D7"/>
    <w:pPr>
      <w:numPr>
        <w:ilvl w:val="3"/>
      </w:numPr>
      <w:tabs>
        <w:tab w:val="clear" w:pos="2160"/>
        <w:tab w:val="num" w:pos="2880"/>
      </w:tabs>
      <w:ind w:left="2880" w:hanging="360"/>
      <w:outlineLvl w:val="3"/>
    </w:pPr>
  </w:style>
  <w:style w:type="paragraph" w:customStyle="1" w:styleId="LNMainL5">
    <w:name w:val="LNMain_L5"/>
    <w:basedOn w:val="LNMainL4"/>
    <w:rsid w:val="001D71D7"/>
    <w:pPr>
      <w:numPr>
        <w:ilvl w:val="4"/>
      </w:numPr>
      <w:tabs>
        <w:tab w:val="clear" w:pos="2880"/>
        <w:tab w:val="num" w:pos="3600"/>
      </w:tabs>
      <w:ind w:left="3600" w:hanging="360"/>
      <w:outlineLvl w:val="4"/>
    </w:pPr>
  </w:style>
  <w:style w:type="paragraph" w:customStyle="1" w:styleId="LNMainL6">
    <w:name w:val="LNMain_L6"/>
    <w:basedOn w:val="LNMainL5"/>
    <w:rsid w:val="001D71D7"/>
    <w:pPr>
      <w:numPr>
        <w:ilvl w:val="5"/>
      </w:numPr>
      <w:tabs>
        <w:tab w:val="clear" w:pos="3600"/>
        <w:tab w:val="num" w:pos="4320"/>
      </w:tabs>
      <w:ind w:left="4320" w:hanging="360"/>
      <w:outlineLvl w:val="5"/>
    </w:pPr>
  </w:style>
  <w:style w:type="paragraph" w:customStyle="1" w:styleId="LNMainL7">
    <w:name w:val="LNMain_L7"/>
    <w:basedOn w:val="LNMainL6"/>
    <w:rsid w:val="001D71D7"/>
    <w:pPr>
      <w:numPr>
        <w:ilvl w:val="6"/>
      </w:numPr>
      <w:tabs>
        <w:tab w:val="clear" w:pos="2160"/>
        <w:tab w:val="num" w:pos="5040"/>
      </w:tabs>
      <w:ind w:left="5040" w:hanging="360"/>
      <w:outlineLvl w:val="6"/>
    </w:pPr>
  </w:style>
  <w:style w:type="paragraph" w:customStyle="1" w:styleId="LNMainL8">
    <w:name w:val="LNMain_L8"/>
    <w:basedOn w:val="LNMainL7"/>
    <w:rsid w:val="001D71D7"/>
    <w:pPr>
      <w:numPr>
        <w:ilvl w:val="7"/>
      </w:numPr>
      <w:tabs>
        <w:tab w:val="clear" w:pos="2880"/>
        <w:tab w:val="num" w:pos="5760"/>
      </w:tabs>
      <w:ind w:left="5760" w:hanging="360"/>
      <w:outlineLvl w:val="7"/>
    </w:pPr>
  </w:style>
  <w:style w:type="paragraph" w:customStyle="1" w:styleId="LNMainL9">
    <w:name w:val="LNMain_L9"/>
    <w:basedOn w:val="LNMainL8"/>
    <w:rsid w:val="001D71D7"/>
    <w:pPr>
      <w:numPr>
        <w:ilvl w:val="8"/>
      </w:numPr>
      <w:tabs>
        <w:tab w:val="clear" w:pos="3600"/>
        <w:tab w:val="num" w:pos="6480"/>
      </w:tabs>
      <w:ind w:left="6480" w:hanging="360"/>
      <w:outlineLvl w:val="8"/>
    </w:pPr>
  </w:style>
  <w:style w:type="character" w:customStyle="1" w:styleId="LNMainL2Char">
    <w:name w:val="LNMain_L2 Char"/>
    <w:link w:val="LNMainL2"/>
    <w:rsid w:val="00924C37"/>
    <w:rPr>
      <w:rFonts w:asciiTheme="minorHAnsi" w:hAnsiTheme="minorHAnsi" w:cstheme="minorBidi"/>
      <w:sz w:val="21"/>
      <w:lang w:val="en-GB" w:eastAsia="x-none"/>
    </w:rPr>
  </w:style>
  <w:style w:type="paragraph" w:customStyle="1" w:styleId="Body">
    <w:name w:val="Body"/>
    <w:basedOn w:val="Normal"/>
    <w:uiPriority w:val="29"/>
    <w:qFormat/>
    <w:rsid w:val="006D5358"/>
    <w:pPr>
      <w:spacing w:after="240" w:line="240" w:lineRule="auto"/>
      <w:jc w:val="both"/>
    </w:pPr>
    <w:rPr>
      <w:rFonts w:eastAsia="Times New Roman"/>
      <w:sz w:val="20"/>
      <w:szCs w:val="20"/>
      <w:lang w:eastAsia="en-GB"/>
    </w:rPr>
  </w:style>
  <w:style w:type="paragraph" w:customStyle="1" w:styleId="O-Bullet">
    <w:name w:val="O-Bullet ()"/>
    <w:aliases w:val="1Bullet,s4"/>
    <w:basedOn w:val="Normal"/>
    <w:uiPriority w:val="32"/>
    <w:rsid w:val="001D71D7"/>
    <w:pPr>
      <w:numPr>
        <w:numId w:val="32"/>
      </w:numPr>
      <w:tabs>
        <w:tab w:val="clear" w:pos="360"/>
        <w:tab w:val="num" w:pos="720"/>
      </w:tabs>
      <w:spacing w:after="0" w:line="300" w:lineRule="atLeast"/>
      <w:ind w:left="720" w:hanging="720"/>
    </w:pPr>
    <w:rPr>
      <w:rFonts w:eastAsia="Times New Roman"/>
      <w:sz w:val="21"/>
      <w:szCs w:val="21"/>
      <w:lang w:val="en-GB"/>
    </w:rPr>
  </w:style>
  <w:style w:type="paragraph" w:customStyle="1" w:styleId="LNMainCont1">
    <w:name w:val="LNMain Cont 1"/>
    <w:basedOn w:val="Normal"/>
    <w:link w:val="LNMainCont1Char"/>
    <w:rsid w:val="006D5358"/>
    <w:pPr>
      <w:spacing w:after="240" w:line="300" w:lineRule="atLeast"/>
      <w:ind w:left="720"/>
      <w:jc w:val="both"/>
    </w:pPr>
    <w:rPr>
      <w:rFonts w:eastAsia="Times New Roman"/>
      <w:sz w:val="21"/>
      <w:szCs w:val="20"/>
      <w:lang w:eastAsia="x-none"/>
    </w:rPr>
  </w:style>
  <w:style w:type="character" w:customStyle="1" w:styleId="LNMainCont1Char">
    <w:name w:val="LNMain Cont 1 Char"/>
    <w:link w:val="LNMainCont1"/>
    <w:rsid w:val="0048070D"/>
    <w:rPr>
      <w:rFonts w:asciiTheme="minorHAnsi" w:hAnsiTheme="minorHAnsi" w:cstheme="minorBidi"/>
      <w:sz w:val="21"/>
      <w:lang w:eastAsia="x-none"/>
    </w:rPr>
  </w:style>
  <w:style w:type="character" w:customStyle="1" w:styleId="LNMainL1Char">
    <w:name w:val="LNMain_L1 Char"/>
    <w:link w:val="LNMainL1"/>
    <w:rsid w:val="0048070D"/>
    <w:rPr>
      <w:rFonts w:asciiTheme="minorHAnsi" w:hAnsiTheme="minorHAnsi" w:cstheme="minorBidi"/>
      <w:b/>
      <w:caps/>
      <w:sz w:val="21"/>
      <w:lang w:val="en-GB" w:eastAsia="x-none"/>
    </w:rPr>
  </w:style>
  <w:style w:type="character" w:customStyle="1" w:styleId="cosearchterm">
    <w:name w:val="co_searchterm"/>
    <w:rsid w:val="00F220C8"/>
  </w:style>
  <w:style w:type="character" w:customStyle="1" w:styleId="NumTextChar">
    <w:name w:val="NumText Char"/>
    <w:link w:val="NumText"/>
    <w:locked/>
    <w:rsid w:val="00D727FB"/>
    <w:rPr>
      <w:rFonts w:asciiTheme="minorHAnsi" w:eastAsiaTheme="minorHAnsi" w:hAnsiTheme="minorHAnsi" w:cstheme="minorBidi"/>
      <w:sz w:val="22"/>
      <w:szCs w:val="24"/>
    </w:rPr>
  </w:style>
  <w:style w:type="paragraph" w:customStyle="1" w:styleId="NumText">
    <w:name w:val="NumText"/>
    <w:basedOn w:val="Normal"/>
    <w:link w:val="NumTextChar"/>
    <w:rsid w:val="001D71D7"/>
    <w:pPr>
      <w:numPr>
        <w:ilvl w:val="1"/>
        <w:numId w:val="33"/>
      </w:numPr>
      <w:tabs>
        <w:tab w:val="clear" w:pos="964"/>
        <w:tab w:val="num" w:pos="720"/>
      </w:tabs>
      <w:spacing w:after="284" w:line="240" w:lineRule="auto"/>
      <w:ind w:left="720" w:hanging="720"/>
      <w:outlineLvl w:val="1"/>
    </w:pPr>
    <w:rPr>
      <w:szCs w:val="24"/>
    </w:rPr>
  </w:style>
  <w:style w:type="paragraph" w:styleId="NormalWeb">
    <w:name w:val="Normal (Web)"/>
    <w:basedOn w:val="Normal"/>
    <w:uiPriority w:val="99"/>
    <w:rsid w:val="002F7D7E"/>
    <w:pPr>
      <w:spacing w:before="100" w:beforeAutospacing="1" w:after="100" w:afterAutospacing="1" w:line="240" w:lineRule="auto"/>
    </w:pPr>
    <w:rPr>
      <w:rFonts w:cs="Calibri"/>
    </w:rPr>
  </w:style>
  <w:style w:type="paragraph" w:styleId="BodyText2">
    <w:name w:val="Body Text 2"/>
    <w:basedOn w:val="Normal"/>
    <w:next w:val="Normal"/>
    <w:link w:val="BodyText2Char"/>
    <w:uiPriority w:val="99"/>
    <w:semiHidden/>
    <w:rsid w:val="002F7D7E"/>
    <w:pPr>
      <w:spacing w:after="120" w:line="480" w:lineRule="auto"/>
    </w:pPr>
  </w:style>
  <w:style w:type="character" w:customStyle="1" w:styleId="BodyText2Char">
    <w:name w:val="Body Text 2 Char"/>
    <w:link w:val="BodyText2"/>
    <w:uiPriority w:val="99"/>
    <w:semiHidden/>
    <w:rsid w:val="00411336"/>
    <w:rPr>
      <w:rFonts w:asciiTheme="minorHAnsi" w:eastAsiaTheme="minorHAnsi" w:hAnsiTheme="minorHAnsi" w:cstheme="minorBidi"/>
      <w:sz w:val="22"/>
      <w:szCs w:val="22"/>
    </w:rPr>
  </w:style>
  <w:style w:type="paragraph" w:styleId="Revision">
    <w:name w:val="Revision"/>
    <w:hidden/>
    <w:uiPriority w:val="99"/>
    <w:semiHidden/>
    <w:rsid w:val="00531FE3"/>
    <w:rPr>
      <w:rFonts w:ascii="Arial" w:eastAsia="Arial" w:hAnsi="Arial" w:cs="Arial"/>
      <w:color w:val="000000"/>
      <w:sz w:val="22"/>
      <w:szCs w:val="22"/>
    </w:rPr>
  </w:style>
  <w:style w:type="character" w:styleId="CommentReference">
    <w:name w:val="annotation reference"/>
    <w:uiPriority w:val="99"/>
    <w:semiHidden/>
    <w:rsid w:val="002F7D7E"/>
    <w:rPr>
      <w:rFonts w:ascii="Arial" w:eastAsia="Arial" w:hAnsi="Arial" w:cs="Arial"/>
      <w:color w:val="000000"/>
      <w:sz w:val="16"/>
      <w:szCs w:val="16"/>
    </w:rPr>
  </w:style>
  <w:style w:type="paragraph" w:styleId="CommentText">
    <w:name w:val="annotation text"/>
    <w:basedOn w:val="Normal"/>
    <w:link w:val="CommentTextChar"/>
    <w:uiPriority w:val="99"/>
    <w:rsid w:val="002F7D7E"/>
    <w:rPr>
      <w:sz w:val="20"/>
      <w:szCs w:val="20"/>
    </w:rPr>
  </w:style>
  <w:style w:type="character" w:customStyle="1" w:styleId="CommentTextChar">
    <w:name w:val="Comment Text Char"/>
    <w:link w:val="CommentText"/>
    <w:uiPriority w:val="99"/>
    <w:rsid w:val="004113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rsid w:val="002F7D7E"/>
    <w:rPr>
      <w:b/>
      <w:bCs/>
    </w:rPr>
  </w:style>
  <w:style w:type="character" w:customStyle="1" w:styleId="CommentSubjectChar">
    <w:name w:val="Comment Subject Char"/>
    <w:link w:val="CommentSubject"/>
    <w:uiPriority w:val="99"/>
    <w:semiHidden/>
    <w:rsid w:val="00411336"/>
    <w:rPr>
      <w:rFonts w:asciiTheme="minorHAnsi" w:eastAsiaTheme="minorHAnsi" w:hAnsiTheme="minorHAnsi" w:cstheme="minorBidi"/>
      <w:b/>
      <w:bCs/>
    </w:rPr>
  </w:style>
  <w:style w:type="paragraph" w:customStyle="1" w:styleId="legclearfix">
    <w:name w:val="legclearfix"/>
    <w:basedOn w:val="Normal"/>
    <w:rsid w:val="006D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ddition">
    <w:name w:val="legaddition"/>
    <w:basedOn w:val="DefaultParagraphFont"/>
    <w:rsid w:val="009353DF"/>
  </w:style>
  <w:style w:type="character" w:customStyle="1" w:styleId="Level1asHeadingtext">
    <w:name w:val="Level 1 as Heading (text)"/>
    <w:uiPriority w:val="29"/>
    <w:qFormat/>
    <w:rsid w:val="003463BE"/>
    <w:rPr>
      <w:b/>
      <w:bCs/>
      <w:caps/>
    </w:rPr>
  </w:style>
  <w:style w:type="character" w:customStyle="1" w:styleId="cf01">
    <w:name w:val="cf01"/>
    <w:basedOn w:val="DefaultParagraphFont"/>
    <w:rsid w:val="00C014E1"/>
    <w:rPr>
      <w:rFonts w:ascii="Segoe UI" w:hAnsi="Segoe UI" w:cs="Segoe UI" w:hint="default"/>
      <w:sz w:val="18"/>
      <w:szCs w:val="18"/>
    </w:rPr>
  </w:style>
  <w:style w:type="paragraph" w:styleId="Bibliography">
    <w:name w:val="Bibliography"/>
    <w:basedOn w:val="Normal"/>
    <w:next w:val="Normal"/>
    <w:uiPriority w:val="99"/>
    <w:semiHidden/>
    <w:rsid w:val="00411336"/>
    <w:rPr>
      <w:rFonts w:cs="Times New Roman"/>
      <w:szCs w:val="20"/>
    </w:rPr>
  </w:style>
  <w:style w:type="paragraph" w:styleId="BlockText">
    <w:name w:val="Block Text"/>
    <w:basedOn w:val="Normal"/>
    <w:uiPriority w:val="39"/>
    <w:semiHidden/>
    <w:rsid w:val="00411336"/>
    <w:pPr>
      <w:spacing w:after="120"/>
      <w:ind w:left="1440" w:right="1440"/>
    </w:pPr>
    <w:rPr>
      <w:rFonts w:cs="Times New Roman"/>
      <w:szCs w:val="20"/>
    </w:rPr>
  </w:style>
  <w:style w:type="paragraph" w:styleId="BodyText3">
    <w:name w:val="Body Text 3"/>
    <w:basedOn w:val="Normal"/>
    <w:next w:val="Normal"/>
    <w:link w:val="BodyText3Char"/>
    <w:uiPriority w:val="99"/>
    <w:semiHidden/>
    <w:rsid w:val="00411336"/>
    <w:pPr>
      <w:spacing w:after="220"/>
      <w:ind w:left="1418"/>
      <w:jc w:val="both"/>
    </w:pPr>
    <w:rPr>
      <w:rFonts w:cs="Times New Roman"/>
      <w:szCs w:val="16"/>
    </w:rPr>
  </w:style>
  <w:style w:type="character" w:customStyle="1" w:styleId="BodyText3Char">
    <w:name w:val="Body Text 3 Char"/>
    <w:link w:val="BodyText3"/>
    <w:uiPriority w:val="99"/>
    <w:semiHidden/>
    <w:rsid w:val="00411336"/>
    <w:rPr>
      <w:rFonts w:ascii="Times New Roman" w:hAnsi="Times New Roman"/>
      <w:sz w:val="22"/>
      <w:szCs w:val="16"/>
      <w:lang w:val="en-GB"/>
    </w:rPr>
  </w:style>
  <w:style w:type="paragraph" w:styleId="BodyTextFirstIndent">
    <w:name w:val="Body Text First Indent"/>
    <w:basedOn w:val="BodyText1"/>
    <w:link w:val="BodyTextFirstIndentChar"/>
    <w:uiPriority w:val="99"/>
    <w:semiHidden/>
    <w:rsid w:val="00411336"/>
    <w:pPr>
      <w:ind w:firstLine="210"/>
    </w:pPr>
  </w:style>
  <w:style w:type="character" w:customStyle="1" w:styleId="BodyTextFirstIndentChar">
    <w:name w:val="Body Text First Indent Char"/>
    <w:link w:val="BodyTextFirstIndent"/>
    <w:uiPriority w:val="99"/>
    <w:semiHidden/>
    <w:rsid w:val="00411336"/>
    <w:rPr>
      <w:rFonts w:ascii="Times New Roman" w:hAnsi="Times New Roman"/>
      <w:sz w:val="22"/>
      <w:szCs w:val="24"/>
      <w:lang w:val="en-GB"/>
    </w:rPr>
  </w:style>
  <w:style w:type="paragraph" w:styleId="BodyTextIndent">
    <w:name w:val="Body Text Indent"/>
    <w:basedOn w:val="Normal"/>
    <w:link w:val="BodyTextIndentChar"/>
    <w:uiPriority w:val="99"/>
    <w:semiHidden/>
    <w:rsid w:val="00411336"/>
    <w:pPr>
      <w:spacing w:after="120"/>
      <w:ind w:left="283"/>
    </w:pPr>
    <w:rPr>
      <w:rFonts w:cs="Times New Roman"/>
      <w:szCs w:val="20"/>
    </w:rPr>
  </w:style>
  <w:style w:type="character" w:customStyle="1" w:styleId="BodyTextIndentChar">
    <w:name w:val="Body Text Indent Char"/>
    <w:link w:val="BodyTextIndent"/>
    <w:uiPriority w:val="99"/>
    <w:semiHidden/>
    <w:rsid w:val="00411336"/>
    <w:rPr>
      <w:rFonts w:ascii="Times New Roman" w:hAnsi="Times New Roman"/>
      <w:sz w:val="22"/>
      <w:lang w:val="en-GB"/>
    </w:rPr>
  </w:style>
  <w:style w:type="paragraph" w:styleId="BodyTextFirstIndent2">
    <w:name w:val="Body Text First Indent 2"/>
    <w:basedOn w:val="BodyTextIndent"/>
    <w:link w:val="BodyTextFirstIndent2Char"/>
    <w:uiPriority w:val="99"/>
    <w:semiHidden/>
    <w:rsid w:val="00411336"/>
    <w:pPr>
      <w:ind w:left="360" w:firstLine="210"/>
    </w:pPr>
  </w:style>
  <w:style w:type="character" w:customStyle="1" w:styleId="BodyTextFirstIndent2Char">
    <w:name w:val="Body Text First Indent 2 Char"/>
    <w:link w:val="BodyTextFirstIndent2"/>
    <w:uiPriority w:val="99"/>
    <w:semiHidden/>
    <w:rsid w:val="00411336"/>
    <w:rPr>
      <w:rFonts w:ascii="Times New Roman" w:hAnsi="Times New Roman"/>
      <w:sz w:val="22"/>
      <w:lang w:val="en-GB"/>
    </w:rPr>
  </w:style>
  <w:style w:type="paragraph" w:styleId="BodyTextIndent2">
    <w:name w:val="Body Text Indent 2"/>
    <w:basedOn w:val="Normal"/>
    <w:link w:val="BodyTextIndent2Char"/>
    <w:uiPriority w:val="99"/>
    <w:semiHidden/>
    <w:rsid w:val="00411336"/>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411336"/>
    <w:rPr>
      <w:rFonts w:ascii="Times New Roman" w:hAnsi="Times New Roman"/>
      <w:sz w:val="22"/>
      <w:lang w:val="en-GB"/>
    </w:rPr>
  </w:style>
  <w:style w:type="paragraph" w:styleId="BodyTextIndent3">
    <w:name w:val="Body Text Indent 3"/>
    <w:basedOn w:val="Normal"/>
    <w:link w:val="BodyTextIndent3Char"/>
    <w:uiPriority w:val="99"/>
    <w:semiHidden/>
    <w:rsid w:val="00411336"/>
    <w:pPr>
      <w:spacing w:after="120"/>
      <w:ind w:left="360"/>
    </w:pPr>
    <w:rPr>
      <w:rFonts w:cs="Times New Roman"/>
      <w:sz w:val="16"/>
      <w:szCs w:val="16"/>
    </w:rPr>
  </w:style>
  <w:style w:type="character" w:customStyle="1" w:styleId="BodyTextIndent3Char">
    <w:name w:val="Body Text Indent 3 Char"/>
    <w:link w:val="BodyTextIndent3"/>
    <w:uiPriority w:val="99"/>
    <w:semiHidden/>
    <w:rsid w:val="00411336"/>
    <w:rPr>
      <w:rFonts w:ascii="Times New Roman" w:hAnsi="Times New Roman"/>
      <w:sz w:val="16"/>
      <w:szCs w:val="16"/>
      <w:lang w:val="en-GB"/>
    </w:rPr>
  </w:style>
  <w:style w:type="character" w:styleId="BookTitle">
    <w:name w:val="Book Title"/>
    <w:uiPriority w:val="99"/>
    <w:rsid w:val="00411336"/>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411336"/>
    <w:pPr>
      <w:spacing w:before="120" w:after="120"/>
    </w:pPr>
    <w:rPr>
      <w:rFonts w:cs="Times New Roman"/>
      <w:b/>
      <w:szCs w:val="20"/>
    </w:rPr>
  </w:style>
  <w:style w:type="paragraph" w:styleId="Closing">
    <w:name w:val="Closing"/>
    <w:basedOn w:val="Normal"/>
    <w:link w:val="ClosingChar"/>
    <w:uiPriority w:val="99"/>
    <w:semiHidden/>
    <w:rsid w:val="00411336"/>
    <w:pPr>
      <w:keepNext/>
      <w:keepLines/>
    </w:pPr>
    <w:rPr>
      <w:rFonts w:eastAsia="MS Mincho" w:cs="Times New Roman"/>
      <w:szCs w:val="20"/>
    </w:rPr>
  </w:style>
  <w:style w:type="character" w:customStyle="1" w:styleId="ClosingChar">
    <w:name w:val="Closing Char"/>
    <w:link w:val="Closing"/>
    <w:uiPriority w:val="99"/>
    <w:semiHidden/>
    <w:rsid w:val="00411336"/>
    <w:rPr>
      <w:rFonts w:ascii="Times New Roman" w:eastAsia="MS Mincho" w:hAnsi="Times New Roman"/>
      <w:sz w:val="22"/>
      <w:lang w:val="en-GB"/>
    </w:rPr>
  </w:style>
  <w:style w:type="table" w:styleId="ColorfulGrid">
    <w:name w:val="Colorful Grid"/>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411336"/>
    <w:rPr>
      <w:rFonts w:asciiTheme="minorHAnsi" w:eastAsia="Arial Unicode MS" w:hAnsiTheme="minorHAnsi" w:cstheme="minorBidi"/>
      <w:sz w:val="22"/>
    </w:rPr>
  </w:style>
  <w:style w:type="paragraph" w:styleId="DocumentMap">
    <w:name w:val="Document Map"/>
    <w:basedOn w:val="Normal"/>
    <w:link w:val="DocumentMapChar"/>
    <w:uiPriority w:val="99"/>
    <w:semiHidden/>
    <w:rsid w:val="0041133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411336"/>
    <w:rPr>
      <w:rFonts w:ascii="Tahoma" w:hAnsi="Tahoma" w:cs="Tahoma"/>
      <w:shd w:val="clear" w:color="auto" w:fill="000080"/>
      <w:lang w:val="en-GB"/>
    </w:rPr>
  </w:style>
  <w:style w:type="paragraph" w:styleId="E-mailSignature">
    <w:name w:val="E-mail Signature"/>
    <w:basedOn w:val="Normal"/>
    <w:link w:val="E-mailSignatureChar"/>
    <w:uiPriority w:val="99"/>
    <w:semiHidden/>
    <w:rsid w:val="00411336"/>
    <w:rPr>
      <w:rFonts w:cs="Times New Roman"/>
      <w:szCs w:val="20"/>
    </w:rPr>
  </w:style>
  <w:style w:type="character" w:customStyle="1" w:styleId="E-mailSignatureChar">
    <w:name w:val="E-mail Signature Char"/>
    <w:link w:val="E-mailSignature"/>
    <w:uiPriority w:val="99"/>
    <w:semiHidden/>
    <w:rsid w:val="00411336"/>
    <w:rPr>
      <w:rFonts w:ascii="Times New Roman" w:hAnsi="Times New Roman"/>
      <w:sz w:val="22"/>
      <w:lang w:val="en-GB"/>
    </w:rPr>
  </w:style>
  <w:style w:type="character" w:styleId="EndnoteReference">
    <w:name w:val="endnote reference"/>
    <w:uiPriority w:val="99"/>
    <w:semiHidden/>
    <w:rsid w:val="00411336"/>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411336"/>
    <w:rPr>
      <w:rFonts w:cs="Times New Roman"/>
      <w:sz w:val="20"/>
      <w:szCs w:val="20"/>
    </w:rPr>
  </w:style>
  <w:style w:type="character" w:customStyle="1" w:styleId="EndnoteTextChar">
    <w:name w:val="Endnote Text Char"/>
    <w:link w:val="EndnoteText"/>
    <w:uiPriority w:val="40"/>
    <w:semiHidden/>
    <w:rsid w:val="00411336"/>
    <w:rPr>
      <w:rFonts w:ascii="Times New Roman" w:hAnsi="Times New Roman"/>
      <w:lang w:val="en-GB"/>
    </w:rPr>
  </w:style>
  <w:style w:type="paragraph" w:styleId="EnvelopeAddress">
    <w:name w:val="envelope address"/>
    <w:basedOn w:val="Normal"/>
    <w:uiPriority w:val="99"/>
    <w:semiHidden/>
    <w:rsid w:val="00411336"/>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411336"/>
    <w:rPr>
      <w:sz w:val="20"/>
      <w:szCs w:val="20"/>
    </w:rPr>
  </w:style>
  <w:style w:type="table" w:styleId="GridTable1Light">
    <w:name w:val="Grid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uiPriority w:val="99"/>
    <w:semiHidden/>
    <w:rsid w:val="00411336"/>
    <w:rPr>
      <w:rFonts w:ascii="Times New Roman" w:hAnsi="Times New Roman" w:cs="Times New Roman"/>
    </w:rPr>
  </w:style>
  <w:style w:type="paragraph" w:styleId="HTMLAddress">
    <w:name w:val="HTML Address"/>
    <w:basedOn w:val="Normal"/>
    <w:link w:val="HTMLAddressChar"/>
    <w:uiPriority w:val="99"/>
    <w:semiHidden/>
    <w:rsid w:val="00411336"/>
    <w:rPr>
      <w:i/>
      <w:iCs/>
    </w:rPr>
  </w:style>
  <w:style w:type="character" w:customStyle="1" w:styleId="HTMLAddressChar">
    <w:name w:val="HTML Address Char"/>
    <w:link w:val="HTMLAddress"/>
    <w:uiPriority w:val="99"/>
    <w:semiHidden/>
    <w:rsid w:val="00411336"/>
    <w:rPr>
      <w:rFonts w:ascii="Times New Roman" w:hAnsi="Times New Roman" w:cs="Arial"/>
      <w:i/>
      <w:iCs/>
      <w:sz w:val="22"/>
      <w:szCs w:val="22"/>
      <w:lang w:val="en-GB"/>
    </w:rPr>
  </w:style>
  <w:style w:type="character" w:styleId="HTMLCite">
    <w:name w:val="HTML Cite"/>
    <w:uiPriority w:val="99"/>
    <w:semiHidden/>
    <w:rsid w:val="00411336"/>
    <w:rPr>
      <w:rFonts w:ascii="Times New Roman" w:hAnsi="Times New Roman" w:cs="Times New Roman"/>
      <w:i/>
      <w:iCs/>
    </w:rPr>
  </w:style>
  <w:style w:type="character" w:styleId="HTMLCode">
    <w:name w:val="HTML Code"/>
    <w:uiPriority w:val="99"/>
    <w:semiHidden/>
    <w:rsid w:val="00411336"/>
    <w:rPr>
      <w:rFonts w:ascii="Consolas" w:hAnsi="Consolas" w:cs="Consolas"/>
      <w:sz w:val="20"/>
      <w:szCs w:val="20"/>
    </w:rPr>
  </w:style>
  <w:style w:type="character" w:styleId="HTMLDefinition">
    <w:name w:val="HTML Definition"/>
    <w:uiPriority w:val="99"/>
    <w:semiHidden/>
    <w:rsid w:val="00411336"/>
    <w:rPr>
      <w:rFonts w:ascii="Times New Roman" w:hAnsi="Times New Roman" w:cs="Times New Roman"/>
      <w:i/>
      <w:iCs/>
    </w:rPr>
  </w:style>
  <w:style w:type="character" w:styleId="HTMLKeyboard">
    <w:name w:val="HTML Keyboard"/>
    <w:uiPriority w:val="99"/>
    <w:semiHidden/>
    <w:rsid w:val="00411336"/>
    <w:rPr>
      <w:rFonts w:ascii="Consolas" w:hAnsi="Consolas" w:cs="Consolas"/>
      <w:sz w:val="20"/>
      <w:szCs w:val="20"/>
    </w:rPr>
  </w:style>
  <w:style w:type="paragraph" w:styleId="HTMLPreformatted">
    <w:name w:val="HTML Preformatted"/>
    <w:basedOn w:val="Normal"/>
    <w:link w:val="HTMLPreformattedChar"/>
    <w:uiPriority w:val="99"/>
    <w:semiHidden/>
    <w:rsid w:val="00411336"/>
    <w:rPr>
      <w:rFonts w:ascii="Consolas" w:hAnsi="Consolas" w:cs="Consolas"/>
      <w:sz w:val="20"/>
      <w:szCs w:val="20"/>
    </w:rPr>
  </w:style>
  <w:style w:type="character" w:customStyle="1" w:styleId="HTMLPreformattedChar">
    <w:name w:val="HTML Preformatted Char"/>
    <w:link w:val="HTMLPreformatted"/>
    <w:uiPriority w:val="99"/>
    <w:semiHidden/>
    <w:rsid w:val="00411336"/>
    <w:rPr>
      <w:rFonts w:ascii="Consolas" w:hAnsi="Consolas" w:cs="Consolas"/>
      <w:lang w:val="en-GB"/>
    </w:rPr>
  </w:style>
  <w:style w:type="character" w:styleId="HTMLSample">
    <w:name w:val="HTML Sample"/>
    <w:uiPriority w:val="99"/>
    <w:semiHidden/>
    <w:rsid w:val="00411336"/>
    <w:rPr>
      <w:rFonts w:ascii="Consolas" w:hAnsi="Consolas" w:cs="Consolas"/>
      <w:sz w:val="24"/>
      <w:szCs w:val="24"/>
    </w:rPr>
  </w:style>
  <w:style w:type="character" w:styleId="HTMLTypewriter">
    <w:name w:val="HTML Typewriter"/>
    <w:uiPriority w:val="99"/>
    <w:semiHidden/>
    <w:rsid w:val="00411336"/>
    <w:rPr>
      <w:rFonts w:ascii="Consolas" w:hAnsi="Consolas" w:cs="Consolas"/>
      <w:sz w:val="20"/>
      <w:szCs w:val="20"/>
    </w:rPr>
  </w:style>
  <w:style w:type="character" w:styleId="HTMLVariable">
    <w:name w:val="HTML Variable"/>
    <w:uiPriority w:val="99"/>
    <w:semiHidden/>
    <w:rsid w:val="00411336"/>
    <w:rPr>
      <w:rFonts w:ascii="Times New Roman" w:hAnsi="Times New Roman" w:cs="Times New Roman"/>
      <w:i/>
      <w:iCs/>
    </w:rPr>
  </w:style>
  <w:style w:type="paragraph" w:styleId="Index1">
    <w:name w:val="index 1"/>
    <w:basedOn w:val="Normal"/>
    <w:next w:val="Normal"/>
    <w:uiPriority w:val="99"/>
    <w:semiHidden/>
    <w:rsid w:val="00411336"/>
    <w:pPr>
      <w:ind w:left="220" w:hanging="220"/>
    </w:pPr>
    <w:rPr>
      <w:rFonts w:cs="Times New Roman"/>
      <w:szCs w:val="20"/>
    </w:rPr>
  </w:style>
  <w:style w:type="paragraph" w:styleId="Index2">
    <w:name w:val="index 2"/>
    <w:basedOn w:val="Normal"/>
    <w:next w:val="Normal"/>
    <w:uiPriority w:val="99"/>
    <w:semiHidden/>
    <w:rsid w:val="00411336"/>
    <w:pPr>
      <w:ind w:left="440" w:hanging="220"/>
    </w:pPr>
    <w:rPr>
      <w:rFonts w:cs="Times New Roman"/>
      <w:szCs w:val="20"/>
    </w:rPr>
  </w:style>
  <w:style w:type="paragraph" w:styleId="Index3">
    <w:name w:val="index 3"/>
    <w:basedOn w:val="Normal"/>
    <w:next w:val="Normal"/>
    <w:uiPriority w:val="99"/>
    <w:semiHidden/>
    <w:rsid w:val="00411336"/>
    <w:pPr>
      <w:ind w:left="660" w:hanging="220"/>
    </w:pPr>
    <w:rPr>
      <w:rFonts w:cs="Times New Roman"/>
      <w:szCs w:val="20"/>
    </w:rPr>
  </w:style>
  <w:style w:type="paragraph" w:styleId="Index4">
    <w:name w:val="index 4"/>
    <w:basedOn w:val="Normal"/>
    <w:next w:val="Normal"/>
    <w:uiPriority w:val="99"/>
    <w:semiHidden/>
    <w:rsid w:val="00411336"/>
    <w:pPr>
      <w:ind w:left="880" w:hanging="220"/>
    </w:pPr>
    <w:rPr>
      <w:rFonts w:cs="Times New Roman"/>
      <w:szCs w:val="20"/>
    </w:rPr>
  </w:style>
  <w:style w:type="paragraph" w:styleId="Index5">
    <w:name w:val="index 5"/>
    <w:basedOn w:val="Normal"/>
    <w:next w:val="Normal"/>
    <w:uiPriority w:val="99"/>
    <w:semiHidden/>
    <w:rsid w:val="00411336"/>
    <w:pPr>
      <w:ind w:left="1100" w:hanging="220"/>
    </w:pPr>
    <w:rPr>
      <w:rFonts w:cs="Times New Roman"/>
      <w:szCs w:val="20"/>
    </w:rPr>
  </w:style>
  <w:style w:type="paragraph" w:styleId="Index6">
    <w:name w:val="index 6"/>
    <w:basedOn w:val="Normal"/>
    <w:next w:val="Normal"/>
    <w:uiPriority w:val="99"/>
    <w:semiHidden/>
    <w:rsid w:val="00411336"/>
    <w:pPr>
      <w:ind w:left="1320" w:hanging="220"/>
    </w:pPr>
    <w:rPr>
      <w:rFonts w:cs="Times New Roman"/>
      <w:szCs w:val="20"/>
    </w:rPr>
  </w:style>
  <w:style w:type="paragraph" w:styleId="Index7">
    <w:name w:val="index 7"/>
    <w:basedOn w:val="Normal"/>
    <w:next w:val="Normal"/>
    <w:uiPriority w:val="99"/>
    <w:semiHidden/>
    <w:rsid w:val="00411336"/>
    <w:pPr>
      <w:ind w:left="1540" w:hanging="220"/>
    </w:pPr>
    <w:rPr>
      <w:rFonts w:cs="Times New Roman"/>
      <w:szCs w:val="20"/>
    </w:rPr>
  </w:style>
  <w:style w:type="paragraph" w:styleId="Index8">
    <w:name w:val="index 8"/>
    <w:basedOn w:val="Normal"/>
    <w:next w:val="Normal"/>
    <w:uiPriority w:val="99"/>
    <w:semiHidden/>
    <w:rsid w:val="00411336"/>
    <w:pPr>
      <w:ind w:left="1760" w:hanging="220"/>
    </w:pPr>
    <w:rPr>
      <w:rFonts w:cs="Times New Roman"/>
      <w:szCs w:val="20"/>
    </w:rPr>
  </w:style>
  <w:style w:type="paragraph" w:styleId="Index9">
    <w:name w:val="index 9"/>
    <w:basedOn w:val="Normal"/>
    <w:next w:val="Normal"/>
    <w:uiPriority w:val="99"/>
    <w:semiHidden/>
    <w:rsid w:val="00411336"/>
    <w:pPr>
      <w:ind w:left="1980" w:hanging="220"/>
    </w:pPr>
    <w:rPr>
      <w:rFonts w:cs="Times New Roman"/>
      <w:szCs w:val="20"/>
    </w:rPr>
  </w:style>
  <w:style w:type="paragraph" w:styleId="IndexHeading">
    <w:name w:val="index heading"/>
    <w:basedOn w:val="Normal"/>
    <w:next w:val="Index1"/>
    <w:uiPriority w:val="99"/>
    <w:semiHidden/>
    <w:rsid w:val="00411336"/>
    <w:rPr>
      <w:rFonts w:ascii="Arial" w:hAnsi="Arial"/>
      <w:b/>
      <w:bCs/>
      <w:szCs w:val="20"/>
    </w:rPr>
  </w:style>
  <w:style w:type="character" w:styleId="IntenseEmphasis">
    <w:name w:val="Intense Emphasis"/>
    <w:uiPriority w:val="99"/>
    <w:rsid w:val="00411336"/>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rsid w:val="00411336"/>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rsid w:val="00411336"/>
    <w:rPr>
      <w:rFonts w:ascii="Times New Roman" w:hAnsi="Times New Roman"/>
      <w:b/>
      <w:bCs/>
      <w:i/>
      <w:iCs/>
      <w:color w:val="4F81BD"/>
      <w:sz w:val="22"/>
      <w:lang w:val="en-GB"/>
    </w:rPr>
  </w:style>
  <w:style w:type="character" w:styleId="IntenseReference">
    <w:name w:val="Intense Reference"/>
    <w:uiPriority w:val="99"/>
    <w:rsid w:val="00411336"/>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11336"/>
    <w:pPr>
      <w:spacing w:after="160" w:line="259" w:lineRule="auto"/>
    </w:pPr>
    <w:rPr>
      <w:rFonts w:ascii="Times New Roman" w:hAnsi="Times New Roman" w:cs="Arial"/>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11336"/>
    <w:pPr>
      <w:spacing w:after="160" w:line="259" w:lineRule="auto"/>
    </w:pPr>
    <w:rPr>
      <w:rFonts w:ascii="Times New Roman" w:hAnsi="Times New Roman" w:cs="Arial"/>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11336"/>
    <w:pPr>
      <w:spacing w:after="160" w:line="259" w:lineRule="auto"/>
    </w:pPr>
    <w:rPr>
      <w:rFonts w:ascii="Times New Roman" w:hAnsi="Times New Roman" w:cs="Arial"/>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11336"/>
    <w:pPr>
      <w:spacing w:after="160" w:line="259" w:lineRule="auto"/>
    </w:pPr>
    <w:rPr>
      <w:rFonts w:ascii="Times New Roman" w:hAnsi="Times New Roman" w:cs="Arial"/>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11336"/>
    <w:pPr>
      <w:spacing w:after="160" w:line="259" w:lineRule="auto"/>
    </w:pPr>
    <w:rPr>
      <w:rFonts w:ascii="Times New Roman" w:hAnsi="Times New Roman" w:cs="Arial"/>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11336"/>
    <w:pPr>
      <w:spacing w:after="160" w:line="259" w:lineRule="auto"/>
    </w:pPr>
    <w:rPr>
      <w:rFonts w:ascii="Times New Roman" w:hAnsi="Times New Roman" w:cs="Arial"/>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411336"/>
    <w:rPr>
      <w:rFonts w:ascii="Times New Roman" w:hAnsi="Times New Roman" w:cs="Times New Roman"/>
      <w:lang w:val="en-GB"/>
    </w:rPr>
  </w:style>
  <w:style w:type="paragraph" w:styleId="List">
    <w:name w:val="List"/>
    <w:basedOn w:val="Normal"/>
    <w:uiPriority w:val="99"/>
    <w:semiHidden/>
    <w:rsid w:val="00411336"/>
    <w:pPr>
      <w:ind w:left="360" w:hanging="360"/>
      <w:contextualSpacing/>
    </w:pPr>
    <w:rPr>
      <w:rFonts w:cs="Times New Roman"/>
      <w:szCs w:val="20"/>
    </w:rPr>
  </w:style>
  <w:style w:type="paragraph" w:styleId="List2">
    <w:name w:val="List 2"/>
    <w:basedOn w:val="Normal"/>
    <w:uiPriority w:val="99"/>
    <w:semiHidden/>
    <w:rsid w:val="00411336"/>
    <w:pPr>
      <w:ind w:left="720" w:hanging="360"/>
      <w:contextualSpacing/>
    </w:pPr>
    <w:rPr>
      <w:rFonts w:cs="Times New Roman"/>
      <w:szCs w:val="20"/>
    </w:rPr>
  </w:style>
  <w:style w:type="paragraph" w:styleId="List3">
    <w:name w:val="List 3"/>
    <w:basedOn w:val="Normal"/>
    <w:uiPriority w:val="99"/>
    <w:semiHidden/>
    <w:rsid w:val="00411336"/>
    <w:pPr>
      <w:ind w:left="1080" w:hanging="360"/>
      <w:contextualSpacing/>
    </w:pPr>
    <w:rPr>
      <w:rFonts w:cs="Times New Roman"/>
      <w:szCs w:val="20"/>
    </w:rPr>
  </w:style>
  <w:style w:type="paragraph" w:styleId="List4">
    <w:name w:val="List 4"/>
    <w:basedOn w:val="Normal"/>
    <w:uiPriority w:val="99"/>
    <w:semiHidden/>
    <w:rsid w:val="00411336"/>
    <w:pPr>
      <w:ind w:left="1440" w:hanging="360"/>
      <w:contextualSpacing/>
    </w:pPr>
    <w:rPr>
      <w:rFonts w:cs="Times New Roman"/>
      <w:szCs w:val="20"/>
    </w:rPr>
  </w:style>
  <w:style w:type="paragraph" w:styleId="List5">
    <w:name w:val="List 5"/>
    <w:basedOn w:val="Normal"/>
    <w:uiPriority w:val="99"/>
    <w:semiHidden/>
    <w:rsid w:val="00411336"/>
    <w:pPr>
      <w:ind w:left="1800" w:hanging="360"/>
      <w:contextualSpacing/>
    </w:pPr>
    <w:rPr>
      <w:rFonts w:cs="Times New Roman"/>
      <w:szCs w:val="20"/>
    </w:rPr>
  </w:style>
  <w:style w:type="paragraph" w:styleId="ListBullet">
    <w:name w:val="List Bullet"/>
    <w:basedOn w:val="BodyText1"/>
    <w:uiPriority w:val="24"/>
    <w:qFormat/>
    <w:rsid w:val="001D71D7"/>
    <w:pPr>
      <w:numPr>
        <w:numId w:val="37"/>
      </w:numPr>
    </w:pPr>
    <w:rPr>
      <w:szCs w:val="20"/>
    </w:rPr>
  </w:style>
  <w:style w:type="paragraph" w:styleId="ListBullet2">
    <w:name w:val="List Bullet 2"/>
    <w:basedOn w:val="BodyText1"/>
    <w:uiPriority w:val="24"/>
    <w:qFormat/>
    <w:rsid w:val="001D71D7"/>
    <w:pPr>
      <w:numPr>
        <w:ilvl w:val="1"/>
        <w:numId w:val="37"/>
      </w:numPr>
    </w:pPr>
    <w:rPr>
      <w:szCs w:val="20"/>
    </w:rPr>
  </w:style>
  <w:style w:type="paragraph" w:styleId="ListBullet3">
    <w:name w:val="List Bullet 3"/>
    <w:basedOn w:val="BodyText1"/>
    <w:uiPriority w:val="24"/>
    <w:qFormat/>
    <w:rsid w:val="001D71D7"/>
    <w:pPr>
      <w:numPr>
        <w:ilvl w:val="2"/>
        <w:numId w:val="37"/>
      </w:numPr>
    </w:pPr>
    <w:rPr>
      <w:szCs w:val="20"/>
    </w:rPr>
  </w:style>
  <w:style w:type="paragraph" w:styleId="ListBullet4">
    <w:name w:val="List Bullet 4"/>
    <w:basedOn w:val="BodyText1"/>
    <w:uiPriority w:val="24"/>
    <w:semiHidden/>
    <w:unhideWhenUsed/>
    <w:rsid w:val="001D71D7"/>
    <w:pPr>
      <w:numPr>
        <w:ilvl w:val="3"/>
        <w:numId w:val="37"/>
      </w:numPr>
    </w:pPr>
    <w:rPr>
      <w:szCs w:val="20"/>
    </w:rPr>
  </w:style>
  <w:style w:type="paragraph" w:styleId="ListBullet5">
    <w:name w:val="List Bullet 5"/>
    <w:basedOn w:val="BodyText1"/>
    <w:uiPriority w:val="24"/>
    <w:semiHidden/>
    <w:unhideWhenUsed/>
    <w:rsid w:val="001D71D7"/>
    <w:pPr>
      <w:numPr>
        <w:ilvl w:val="4"/>
        <w:numId w:val="37"/>
      </w:numPr>
    </w:pPr>
    <w:rPr>
      <w:szCs w:val="20"/>
    </w:rPr>
  </w:style>
  <w:style w:type="paragraph" w:styleId="ListContinue">
    <w:name w:val="List Continue"/>
    <w:basedOn w:val="Normal"/>
    <w:uiPriority w:val="99"/>
    <w:semiHidden/>
    <w:rsid w:val="00411336"/>
    <w:pPr>
      <w:spacing w:after="120"/>
      <w:ind w:left="360"/>
      <w:contextualSpacing/>
    </w:pPr>
    <w:rPr>
      <w:rFonts w:cs="Times New Roman"/>
      <w:szCs w:val="20"/>
    </w:rPr>
  </w:style>
  <w:style w:type="paragraph" w:styleId="ListContinue2">
    <w:name w:val="List Continue 2"/>
    <w:basedOn w:val="Normal"/>
    <w:uiPriority w:val="99"/>
    <w:semiHidden/>
    <w:rsid w:val="00411336"/>
    <w:pPr>
      <w:spacing w:after="120"/>
      <w:ind w:left="720"/>
      <w:contextualSpacing/>
    </w:pPr>
    <w:rPr>
      <w:rFonts w:cs="Times New Roman"/>
      <w:szCs w:val="20"/>
    </w:rPr>
  </w:style>
  <w:style w:type="paragraph" w:styleId="ListContinue3">
    <w:name w:val="List Continue 3"/>
    <w:basedOn w:val="Normal"/>
    <w:uiPriority w:val="99"/>
    <w:semiHidden/>
    <w:rsid w:val="00411336"/>
    <w:pPr>
      <w:spacing w:after="120"/>
      <w:ind w:left="1080"/>
      <w:contextualSpacing/>
    </w:pPr>
    <w:rPr>
      <w:rFonts w:cs="Times New Roman"/>
      <w:szCs w:val="20"/>
    </w:rPr>
  </w:style>
  <w:style w:type="paragraph" w:styleId="ListContinue4">
    <w:name w:val="List Continue 4"/>
    <w:basedOn w:val="Normal"/>
    <w:uiPriority w:val="99"/>
    <w:semiHidden/>
    <w:rsid w:val="00411336"/>
    <w:pPr>
      <w:spacing w:after="120"/>
      <w:ind w:left="1440"/>
      <w:contextualSpacing/>
    </w:pPr>
    <w:rPr>
      <w:rFonts w:cs="Times New Roman"/>
      <w:szCs w:val="20"/>
    </w:rPr>
  </w:style>
  <w:style w:type="paragraph" w:styleId="ListContinue5">
    <w:name w:val="List Continue 5"/>
    <w:basedOn w:val="Normal"/>
    <w:uiPriority w:val="99"/>
    <w:semiHidden/>
    <w:rsid w:val="00411336"/>
    <w:pPr>
      <w:spacing w:after="120"/>
      <w:ind w:left="1800"/>
      <w:contextualSpacing/>
    </w:pPr>
    <w:rPr>
      <w:rFonts w:cs="Times New Roman"/>
      <w:szCs w:val="20"/>
    </w:rPr>
  </w:style>
  <w:style w:type="paragraph" w:styleId="ListNumber">
    <w:name w:val="List Number"/>
    <w:basedOn w:val="BodyText1"/>
    <w:uiPriority w:val="24"/>
    <w:qFormat/>
    <w:rsid w:val="001D71D7"/>
    <w:pPr>
      <w:numPr>
        <w:numId w:val="38"/>
      </w:numPr>
    </w:pPr>
    <w:rPr>
      <w:szCs w:val="20"/>
    </w:rPr>
  </w:style>
  <w:style w:type="paragraph" w:styleId="ListNumber2">
    <w:name w:val="List Number 2"/>
    <w:basedOn w:val="BodyText1"/>
    <w:uiPriority w:val="24"/>
    <w:semiHidden/>
    <w:unhideWhenUsed/>
    <w:rsid w:val="001D71D7"/>
    <w:pPr>
      <w:numPr>
        <w:ilvl w:val="1"/>
        <w:numId w:val="38"/>
      </w:numPr>
    </w:pPr>
    <w:rPr>
      <w:szCs w:val="20"/>
    </w:rPr>
  </w:style>
  <w:style w:type="paragraph" w:styleId="ListNumber3">
    <w:name w:val="List Number 3"/>
    <w:basedOn w:val="BodyText1"/>
    <w:uiPriority w:val="24"/>
    <w:semiHidden/>
    <w:unhideWhenUsed/>
    <w:rsid w:val="001D71D7"/>
    <w:pPr>
      <w:numPr>
        <w:ilvl w:val="2"/>
        <w:numId w:val="38"/>
      </w:numPr>
    </w:pPr>
    <w:rPr>
      <w:szCs w:val="20"/>
    </w:rPr>
  </w:style>
  <w:style w:type="paragraph" w:styleId="ListNumber4">
    <w:name w:val="List Number 4"/>
    <w:basedOn w:val="BodyText1"/>
    <w:uiPriority w:val="24"/>
    <w:semiHidden/>
    <w:unhideWhenUsed/>
    <w:rsid w:val="001D71D7"/>
    <w:pPr>
      <w:numPr>
        <w:ilvl w:val="3"/>
        <w:numId w:val="38"/>
      </w:numPr>
    </w:pPr>
    <w:rPr>
      <w:szCs w:val="20"/>
    </w:rPr>
  </w:style>
  <w:style w:type="paragraph" w:styleId="ListNumber5">
    <w:name w:val="List Number 5"/>
    <w:basedOn w:val="BodyText1"/>
    <w:uiPriority w:val="24"/>
    <w:semiHidden/>
    <w:unhideWhenUsed/>
    <w:rsid w:val="001D71D7"/>
    <w:pPr>
      <w:numPr>
        <w:ilvl w:val="4"/>
        <w:numId w:val="38"/>
      </w:numPr>
    </w:pPr>
    <w:rPr>
      <w:szCs w:val="20"/>
    </w:rPr>
  </w:style>
  <w:style w:type="table" w:styleId="ListTable1Light">
    <w:name w:val="List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11336"/>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semiHidden/>
    <w:rsid w:val="00411336"/>
    <w:rPr>
      <w:rFonts w:ascii="Courier New" w:hAnsi="Courier New" w:cs="Courier New"/>
      <w:lang w:val="en-GB" w:eastAsia="zh-CN"/>
    </w:rPr>
  </w:style>
  <w:style w:type="table" w:styleId="MediumGrid1">
    <w:name w:val="Medium Grid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113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411336"/>
    <w:rPr>
      <w:rFonts w:ascii="Arial" w:hAnsi="Arial" w:cs="Arial"/>
      <w:sz w:val="24"/>
      <w:szCs w:val="24"/>
      <w:shd w:val="pct20" w:color="auto" w:fill="auto"/>
      <w:lang w:val="en-GB"/>
    </w:rPr>
  </w:style>
  <w:style w:type="paragraph" w:styleId="NoSpacing">
    <w:name w:val="No Spacing"/>
    <w:uiPriority w:val="99"/>
    <w:rsid w:val="00411336"/>
    <w:rPr>
      <w:rFonts w:ascii="Times New Roman" w:hAnsi="Times New Roman" w:cs="Arial"/>
      <w:sz w:val="22"/>
      <w:szCs w:val="22"/>
      <w:lang w:val="en-GB"/>
    </w:rPr>
  </w:style>
  <w:style w:type="paragraph" w:styleId="NormalIndent">
    <w:name w:val="Normal Indent"/>
    <w:basedOn w:val="Normal"/>
    <w:uiPriority w:val="99"/>
    <w:semiHidden/>
    <w:rsid w:val="00411336"/>
    <w:pPr>
      <w:ind w:left="720"/>
    </w:pPr>
  </w:style>
  <w:style w:type="paragraph" w:styleId="NoteHeading">
    <w:name w:val="Note Heading"/>
    <w:basedOn w:val="Normal"/>
    <w:next w:val="Normal"/>
    <w:link w:val="NoteHeadingChar"/>
    <w:uiPriority w:val="99"/>
    <w:rsid w:val="00411336"/>
    <w:rPr>
      <w:rFonts w:cs="Times New Roman"/>
      <w:szCs w:val="20"/>
    </w:rPr>
  </w:style>
  <w:style w:type="character" w:customStyle="1" w:styleId="NoteHeadingChar">
    <w:name w:val="Note Heading Char"/>
    <w:link w:val="NoteHeading"/>
    <w:uiPriority w:val="99"/>
    <w:rsid w:val="00411336"/>
    <w:rPr>
      <w:rFonts w:ascii="Times New Roman" w:hAnsi="Times New Roman"/>
      <w:sz w:val="22"/>
      <w:lang w:val="en-GB"/>
    </w:rPr>
  </w:style>
  <w:style w:type="character" w:styleId="PageNumber">
    <w:name w:val="page number"/>
    <w:uiPriority w:val="99"/>
    <w:semiHidden/>
    <w:rsid w:val="00411336"/>
    <w:rPr>
      <w:rFonts w:ascii="Times New Roman" w:hAnsi="Times New Roman" w:cs="Times New Roman"/>
      <w:lang w:val="en-GB"/>
    </w:rPr>
  </w:style>
  <w:style w:type="table" w:styleId="PlainTable1">
    <w:name w:val="Plain Table 1"/>
    <w:basedOn w:val="TableNormal"/>
    <w:uiPriority w:val="41"/>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1336"/>
    <w:rPr>
      <w:rFonts w:ascii="Courier New" w:hAnsi="Courier New" w:cs="Courier New"/>
      <w:sz w:val="20"/>
      <w:szCs w:val="20"/>
    </w:rPr>
  </w:style>
  <w:style w:type="character" w:customStyle="1" w:styleId="PlainTextChar">
    <w:name w:val="Plain Text Char"/>
    <w:link w:val="PlainText"/>
    <w:uiPriority w:val="99"/>
    <w:semiHidden/>
    <w:rsid w:val="00411336"/>
    <w:rPr>
      <w:rFonts w:ascii="Courier New" w:hAnsi="Courier New" w:cs="Courier New"/>
      <w:lang w:val="en-GB"/>
    </w:rPr>
  </w:style>
  <w:style w:type="paragraph" w:styleId="Quote">
    <w:name w:val="Quote"/>
    <w:basedOn w:val="Normal"/>
    <w:next w:val="Normal"/>
    <w:link w:val="QuoteChar"/>
    <w:uiPriority w:val="39"/>
    <w:rsid w:val="00411336"/>
    <w:pPr>
      <w:spacing w:after="220"/>
      <w:ind w:left="1418" w:right="1418"/>
      <w:jc w:val="both"/>
    </w:pPr>
    <w:rPr>
      <w:rFonts w:cs="Times New Roman"/>
      <w:szCs w:val="20"/>
    </w:rPr>
  </w:style>
  <w:style w:type="character" w:customStyle="1" w:styleId="QuoteChar">
    <w:name w:val="Quote Char"/>
    <w:link w:val="Quote"/>
    <w:uiPriority w:val="39"/>
    <w:rsid w:val="00411336"/>
    <w:rPr>
      <w:rFonts w:ascii="Times New Roman" w:hAnsi="Times New Roman"/>
      <w:sz w:val="22"/>
      <w:lang w:val="en-GB"/>
    </w:rPr>
  </w:style>
  <w:style w:type="paragraph" w:styleId="Salutation">
    <w:name w:val="Salutation"/>
    <w:basedOn w:val="Normal"/>
    <w:next w:val="Normal"/>
    <w:link w:val="SalutationChar"/>
    <w:uiPriority w:val="99"/>
    <w:semiHidden/>
    <w:rsid w:val="00411336"/>
    <w:rPr>
      <w:rFonts w:cs="Times New Roman"/>
      <w:szCs w:val="20"/>
    </w:rPr>
  </w:style>
  <w:style w:type="character" w:customStyle="1" w:styleId="SalutationChar">
    <w:name w:val="Salutation Char"/>
    <w:link w:val="Salutation"/>
    <w:uiPriority w:val="99"/>
    <w:semiHidden/>
    <w:rsid w:val="00411336"/>
    <w:rPr>
      <w:rFonts w:ascii="Times New Roman" w:hAnsi="Times New Roman"/>
      <w:sz w:val="22"/>
      <w:lang w:val="en-GB"/>
    </w:rPr>
  </w:style>
  <w:style w:type="paragraph" w:styleId="Signature">
    <w:name w:val="Signature"/>
    <w:basedOn w:val="Normal"/>
    <w:link w:val="SignatureChar"/>
    <w:uiPriority w:val="39"/>
    <w:semiHidden/>
    <w:unhideWhenUsed/>
    <w:rsid w:val="00411336"/>
    <w:rPr>
      <w:rFonts w:cs="Times New Roman"/>
      <w:szCs w:val="20"/>
    </w:rPr>
  </w:style>
  <w:style w:type="character" w:customStyle="1" w:styleId="SignatureChar">
    <w:name w:val="Signature Char"/>
    <w:link w:val="Signature"/>
    <w:uiPriority w:val="39"/>
    <w:semiHidden/>
    <w:rsid w:val="00411336"/>
    <w:rPr>
      <w:rFonts w:ascii="Times New Roman" w:hAnsi="Times New Roman"/>
      <w:sz w:val="22"/>
      <w:lang w:val="en-GB"/>
    </w:rPr>
  </w:style>
  <w:style w:type="character" w:styleId="Strong">
    <w:name w:val="Strong"/>
    <w:uiPriority w:val="99"/>
    <w:rsid w:val="00411336"/>
    <w:rPr>
      <w:rFonts w:ascii="Times New Roman" w:hAnsi="Times New Roman" w:cs="Times New Roman"/>
      <w:b/>
      <w:bCs/>
      <w:lang w:val="en-GB"/>
    </w:rPr>
  </w:style>
  <w:style w:type="paragraph" w:styleId="Subtitle">
    <w:name w:val="Subtitle"/>
    <w:basedOn w:val="Normal"/>
    <w:link w:val="SubtitleChar"/>
    <w:uiPriority w:val="39"/>
    <w:unhideWhenUsed/>
    <w:rsid w:val="00411336"/>
    <w:pPr>
      <w:spacing w:after="220"/>
      <w:jc w:val="center"/>
    </w:pPr>
    <w:rPr>
      <w:rFonts w:cs="Times New Roman"/>
      <w:b/>
      <w:i/>
      <w:szCs w:val="20"/>
    </w:rPr>
  </w:style>
  <w:style w:type="character" w:customStyle="1" w:styleId="SubtitleChar">
    <w:name w:val="Subtitle Char"/>
    <w:link w:val="Subtitle"/>
    <w:uiPriority w:val="39"/>
    <w:rsid w:val="00411336"/>
    <w:rPr>
      <w:rFonts w:ascii="Times New Roman" w:hAnsi="Times New Roman"/>
      <w:b/>
      <w:i/>
      <w:sz w:val="22"/>
      <w:lang w:val="en-GB"/>
    </w:rPr>
  </w:style>
  <w:style w:type="character" w:styleId="SubtleEmphasis">
    <w:name w:val="Subtle Emphasis"/>
    <w:uiPriority w:val="99"/>
    <w:rsid w:val="00411336"/>
    <w:rPr>
      <w:rFonts w:ascii="Times New Roman" w:hAnsi="Times New Roman" w:cs="Times New Roman"/>
      <w:i/>
      <w:iCs/>
      <w:color w:val="808080"/>
      <w:lang w:val="en-GB"/>
    </w:rPr>
  </w:style>
  <w:style w:type="character" w:styleId="SubtleReference">
    <w:name w:val="Subtle Reference"/>
    <w:uiPriority w:val="99"/>
    <w:rsid w:val="00411336"/>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411336"/>
    <w:pPr>
      <w:spacing w:after="160" w:line="259" w:lineRule="auto"/>
    </w:pPr>
    <w:rPr>
      <w:rFonts w:ascii="Times New Roman" w:hAnsi="Times New Roman" w:cs="Arial"/>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1336"/>
    <w:pPr>
      <w:spacing w:after="160" w:line="259" w:lineRule="auto"/>
    </w:pPr>
    <w:rPr>
      <w:rFonts w:ascii="Times New Roman" w:hAnsi="Times New Roman" w:cs="Arial"/>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1336"/>
    <w:pPr>
      <w:spacing w:after="160" w:line="259" w:lineRule="auto"/>
    </w:pPr>
    <w:rPr>
      <w:rFonts w:ascii="Times New Roman" w:hAnsi="Times New Roman" w:cs="Arial"/>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1336"/>
    <w:pPr>
      <w:spacing w:after="160" w:line="259" w:lineRule="auto"/>
    </w:pPr>
    <w:rPr>
      <w:rFonts w:ascii="Times New Roman" w:hAnsi="Times New Roman" w:cs="Arial"/>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1336"/>
    <w:pPr>
      <w:spacing w:after="160" w:line="259" w:lineRule="auto"/>
    </w:pPr>
    <w:rPr>
      <w:rFonts w:ascii="Times New Roman" w:hAnsi="Times New Roman" w:cs="Arial"/>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1336"/>
    <w:pPr>
      <w:spacing w:after="160" w:line="259" w:lineRule="auto"/>
    </w:pPr>
    <w:rPr>
      <w:rFonts w:ascii="Times New Roman" w:hAnsi="Times New Roman" w:cs="Arial"/>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1336"/>
    <w:pPr>
      <w:spacing w:after="160" w:line="259" w:lineRule="auto"/>
    </w:pPr>
    <w:rPr>
      <w:rFonts w:ascii="Times New Roman" w:hAnsi="Times New Roman" w:cs="Arial"/>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1336"/>
    <w:pPr>
      <w:spacing w:after="160" w:line="259" w:lineRule="auto"/>
    </w:pPr>
    <w:rPr>
      <w:rFonts w:ascii="Times New Roman" w:hAnsi="Times New Roman" w:cs="Arial"/>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1336"/>
    <w:pPr>
      <w:spacing w:after="160" w:line="259" w:lineRule="auto"/>
    </w:pPr>
    <w:rPr>
      <w:rFonts w:ascii="Times New Roman" w:hAnsi="Times New Roman" w:cs="Arial"/>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1336"/>
    <w:pPr>
      <w:spacing w:after="160" w:line="259" w:lineRule="auto"/>
    </w:pPr>
    <w:rPr>
      <w:rFonts w:ascii="Times New Roman" w:hAnsi="Times New Roman" w:cs="Arial"/>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1336"/>
    <w:pPr>
      <w:spacing w:after="160" w:line="259" w:lineRule="auto"/>
    </w:pPr>
    <w:rPr>
      <w:rFonts w:ascii="Times New Roman" w:hAnsi="Times New Roman" w:cs="Arial"/>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1336"/>
    <w:pPr>
      <w:spacing w:after="160" w:line="259" w:lineRule="auto"/>
    </w:pPr>
    <w:rPr>
      <w:rFonts w:ascii="Times New Roman" w:hAnsi="Times New Roman" w:cs="Arial"/>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1336"/>
    <w:pPr>
      <w:spacing w:after="160" w:line="259" w:lineRule="auto"/>
    </w:pPr>
    <w:rPr>
      <w:rFonts w:ascii="Times New Roman" w:hAnsi="Times New Roman" w:cs="Arial"/>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11336"/>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1336"/>
    <w:pPr>
      <w:spacing w:after="160" w:line="259" w:lineRule="auto"/>
    </w:pPr>
    <w:rPr>
      <w:rFonts w:ascii="Times New Roman" w:hAnsi="Times New Roman" w:cs="Arial"/>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411336"/>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411336"/>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1336"/>
    <w:pPr>
      <w:spacing w:after="160" w:line="259" w:lineRule="auto"/>
    </w:pPr>
    <w:rPr>
      <w:rFonts w:ascii="Times New Roman" w:hAnsi="Times New Roman" w:cs="Arial"/>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1336"/>
    <w:pPr>
      <w:spacing w:after="160" w:line="259" w:lineRule="auto"/>
    </w:pPr>
    <w:rPr>
      <w:rFonts w:ascii="Times New Roman" w:hAnsi="Times New Roman" w:cs="Arial"/>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1336"/>
    <w:pPr>
      <w:spacing w:after="160" w:line="259" w:lineRule="auto"/>
    </w:pPr>
    <w:rPr>
      <w:rFonts w:ascii="Times New Roman" w:hAnsi="Times New Roman" w:cs="Arial"/>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411336"/>
    <w:pPr>
      <w:spacing w:after="240"/>
    </w:pPr>
    <w:rPr>
      <w:rFonts w:cs="Times New Roman"/>
      <w:b/>
      <w:caps/>
      <w:szCs w:val="20"/>
    </w:rPr>
  </w:style>
  <w:style w:type="paragraph" w:styleId="TOC2">
    <w:name w:val="toc 2"/>
    <w:basedOn w:val="Normal"/>
    <w:uiPriority w:val="39"/>
    <w:semiHidden/>
    <w:rsid w:val="00411336"/>
    <w:pPr>
      <w:keepLines/>
      <w:widowControl w:val="0"/>
      <w:tabs>
        <w:tab w:val="right" w:leader="dot" w:pos="9000"/>
      </w:tabs>
      <w:spacing w:before="60" w:after="60"/>
      <w:ind w:left="1418" w:right="709" w:hanging="709"/>
    </w:pPr>
    <w:rPr>
      <w:rFonts w:cs="Times New Roman"/>
      <w:b/>
      <w:caps/>
      <w:szCs w:val="24"/>
    </w:rPr>
  </w:style>
  <w:style w:type="paragraph" w:styleId="TOC3">
    <w:name w:val="toc 3"/>
    <w:basedOn w:val="Normal"/>
    <w:uiPriority w:val="39"/>
    <w:semiHidden/>
    <w:unhideWhenUsed/>
    <w:rsid w:val="00411336"/>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411336"/>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411336"/>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411336"/>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411336"/>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411336"/>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411336"/>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411336"/>
    <w:pPr>
      <w:numPr>
        <w:numId w:val="0"/>
      </w:numPr>
      <w:outlineLvl w:val="9"/>
    </w:pPr>
    <w:rPr>
      <w:szCs w:val="22"/>
    </w:rPr>
  </w:style>
  <w:style w:type="paragraph" w:customStyle="1" w:styleId="BodyTextContinued">
    <w:name w:val="Body Text Continued"/>
    <w:basedOn w:val="Normal"/>
    <w:next w:val="BodyText1"/>
    <w:uiPriority w:val="2"/>
    <w:semiHidden/>
    <w:rsid w:val="00411336"/>
    <w:pPr>
      <w:spacing w:after="220"/>
      <w:jc w:val="both"/>
    </w:pPr>
    <w:rPr>
      <w:rFonts w:cs="Times New Roman"/>
      <w:szCs w:val="24"/>
    </w:rPr>
  </w:style>
  <w:style w:type="paragraph" w:customStyle="1" w:styleId="BodyText1">
    <w:name w:val="BodyText 1"/>
    <w:basedOn w:val="Normal"/>
    <w:uiPriority w:val="1"/>
    <w:qFormat/>
    <w:rsid w:val="00411336"/>
    <w:pPr>
      <w:spacing w:after="220"/>
      <w:jc w:val="both"/>
    </w:pPr>
    <w:rPr>
      <w:rFonts w:cs="Times New Roman"/>
      <w:szCs w:val="24"/>
    </w:rPr>
  </w:style>
  <w:style w:type="paragraph" w:customStyle="1" w:styleId="BodyText20">
    <w:name w:val="BodyText 2"/>
    <w:basedOn w:val="Normal"/>
    <w:uiPriority w:val="1"/>
    <w:qFormat/>
    <w:rsid w:val="00411336"/>
    <w:pPr>
      <w:spacing w:after="220"/>
      <w:ind w:left="706"/>
      <w:jc w:val="both"/>
    </w:pPr>
    <w:rPr>
      <w:rFonts w:eastAsia="Calibri" w:cs="Times New Roman"/>
      <w:szCs w:val="20"/>
    </w:rPr>
  </w:style>
  <w:style w:type="paragraph" w:customStyle="1" w:styleId="BodyText30">
    <w:name w:val="BodyText 3"/>
    <w:basedOn w:val="Normal"/>
    <w:uiPriority w:val="1"/>
    <w:qFormat/>
    <w:rsid w:val="00411336"/>
    <w:pPr>
      <w:spacing w:after="220"/>
      <w:ind w:left="1418"/>
      <w:jc w:val="both"/>
    </w:pPr>
    <w:rPr>
      <w:rFonts w:eastAsia="Calibri" w:cs="Times New Roman"/>
      <w:szCs w:val="20"/>
    </w:rPr>
  </w:style>
  <w:style w:type="paragraph" w:customStyle="1" w:styleId="BodyText4">
    <w:name w:val="BodyText 4"/>
    <w:basedOn w:val="Normal"/>
    <w:uiPriority w:val="1"/>
    <w:rsid w:val="00411336"/>
    <w:pPr>
      <w:spacing w:after="220"/>
      <w:ind w:left="2126"/>
      <w:jc w:val="both"/>
    </w:pPr>
    <w:rPr>
      <w:rFonts w:eastAsia="MS Mincho" w:cs="Times New Roman"/>
      <w:szCs w:val="20"/>
    </w:rPr>
  </w:style>
  <w:style w:type="paragraph" w:customStyle="1" w:styleId="BodyText5">
    <w:name w:val="BodyText 5"/>
    <w:basedOn w:val="Normal"/>
    <w:uiPriority w:val="1"/>
    <w:rsid w:val="00411336"/>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411336"/>
    <w:pPr>
      <w:spacing w:after="220"/>
      <w:ind w:left="3544"/>
      <w:jc w:val="both"/>
    </w:pPr>
    <w:rPr>
      <w:rFonts w:cs="Times New Roman"/>
      <w:szCs w:val="20"/>
    </w:rPr>
  </w:style>
  <w:style w:type="paragraph" w:customStyle="1" w:styleId="BodyText7">
    <w:name w:val="BodyText 7"/>
    <w:basedOn w:val="Normal"/>
    <w:uiPriority w:val="1"/>
    <w:semiHidden/>
    <w:unhideWhenUsed/>
    <w:rsid w:val="00411336"/>
    <w:pPr>
      <w:spacing w:after="220"/>
      <w:ind w:left="4253"/>
      <w:jc w:val="both"/>
    </w:pPr>
    <w:rPr>
      <w:rFonts w:cs="Times New Roman"/>
      <w:szCs w:val="20"/>
    </w:rPr>
  </w:style>
  <w:style w:type="paragraph" w:customStyle="1" w:styleId="Centered">
    <w:name w:val="Centered"/>
    <w:basedOn w:val="Normal"/>
    <w:next w:val="BodyText1"/>
    <w:qFormat/>
    <w:rsid w:val="00411336"/>
    <w:pPr>
      <w:spacing w:after="220"/>
      <w:jc w:val="center"/>
    </w:pPr>
    <w:rPr>
      <w:rFonts w:cs="Times New Roman"/>
      <w:b/>
      <w:szCs w:val="20"/>
    </w:rPr>
  </w:style>
  <w:style w:type="paragraph" w:customStyle="1" w:styleId="Definition7">
    <w:name w:val="Definition 7"/>
    <w:basedOn w:val="Normal"/>
    <w:uiPriority w:val="3"/>
    <w:semiHidden/>
    <w:unhideWhenUsed/>
    <w:rsid w:val="001D71D7"/>
    <w:pPr>
      <w:numPr>
        <w:ilvl w:val="6"/>
        <w:numId w:val="36"/>
      </w:numPr>
      <w:spacing w:after="220"/>
      <w:jc w:val="both"/>
    </w:pPr>
    <w:rPr>
      <w:rFonts w:cs="Times New Roman"/>
      <w:szCs w:val="20"/>
    </w:rPr>
  </w:style>
  <w:style w:type="paragraph" w:customStyle="1" w:styleId="Definition8">
    <w:name w:val="Definition 8"/>
    <w:basedOn w:val="Normal"/>
    <w:uiPriority w:val="3"/>
    <w:semiHidden/>
    <w:unhideWhenUsed/>
    <w:rsid w:val="001D71D7"/>
    <w:pPr>
      <w:numPr>
        <w:ilvl w:val="7"/>
        <w:numId w:val="36"/>
      </w:numPr>
      <w:spacing w:after="220"/>
      <w:jc w:val="both"/>
    </w:pPr>
    <w:rPr>
      <w:rFonts w:cs="Times New Roman"/>
      <w:szCs w:val="20"/>
    </w:rPr>
  </w:style>
  <w:style w:type="paragraph" w:customStyle="1" w:styleId="Definition9">
    <w:name w:val="Definition 9"/>
    <w:basedOn w:val="Normal"/>
    <w:uiPriority w:val="3"/>
    <w:semiHidden/>
    <w:unhideWhenUsed/>
    <w:rsid w:val="001D71D7"/>
    <w:pPr>
      <w:numPr>
        <w:ilvl w:val="8"/>
        <w:numId w:val="36"/>
      </w:numPr>
      <w:spacing w:after="220"/>
      <w:jc w:val="both"/>
    </w:pPr>
    <w:rPr>
      <w:rFonts w:cs="Times New Roman"/>
      <w:szCs w:val="20"/>
    </w:rPr>
  </w:style>
  <w:style w:type="paragraph" w:customStyle="1" w:styleId="Recitals">
    <w:name w:val="Recitals"/>
    <w:basedOn w:val="Normal"/>
    <w:uiPriority w:val="2"/>
    <w:qFormat/>
    <w:rsid w:val="001D71D7"/>
    <w:pPr>
      <w:numPr>
        <w:numId w:val="39"/>
      </w:numPr>
      <w:spacing w:after="220"/>
      <w:jc w:val="both"/>
    </w:pPr>
    <w:rPr>
      <w:rFonts w:cs="Times New Roman"/>
      <w:szCs w:val="20"/>
    </w:rPr>
  </w:style>
  <w:style w:type="paragraph" w:customStyle="1" w:styleId="Schedule2">
    <w:name w:val="Schedule 2"/>
    <w:basedOn w:val="Normal"/>
    <w:uiPriority w:val="19"/>
    <w:qFormat/>
    <w:rsid w:val="001D71D7"/>
    <w:pPr>
      <w:numPr>
        <w:ilvl w:val="2"/>
        <w:numId w:val="40"/>
      </w:numPr>
      <w:spacing w:after="220"/>
      <w:jc w:val="both"/>
    </w:pPr>
    <w:rPr>
      <w:rFonts w:cs="Times New Roman"/>
      <w:szCs w:val="20"/>
    </w:rPr>
  </w:style>
  <w:style w:type="paragraph" w:customStyle="1" w:styleId="Schedule3">
    <w:name w:val="Schedule 3"/>
    <w:basedOn w:val="Normal"/>
    <w:uiPriority w:val="19"/>
    <w:qFormat/>
    <w:rsid w:val="001D71D7"/>
    <w:pPr>
      <w:numPr>
        <w:ilvl w:val="3"/>
        <w:numId w:val="40"/>
      </w:numPr>
      <w:spacing w:after="220"/>
      <w:jc w:val="both"/>
    </w:pPr>
    <w:rPr>
      <w:rFonts w:cs="Times New Roman"/>
      <w:szCs w:val="20"/>
    </w:rPr>
  </w:style>
  <w:style w:type="paragraph" w:customStyle="1" w:styleId="Schedule4">
    <w:name w:val="Schedule 4"/>
    <w:basedOn w:val="Normal"/>
    <w:uiPriority w:val="19"/>
    <w:qFormat/>
    <w:rsid w:val="001D71D7"/>
    <w:pPr>
      <w:numPr>
        <w:ilvl w:val="4"/>
        <w:numId w:val="40"/>
      </w:numPr>
      <w:spacing w:after="220"/>
      <w:jc w:val="both"/>
    </w:pPr>
    <w:rPr>
      <w:rFonts w:cs="Times New Roman"/>
      <w:szCs w:val="20"/>
    </w:rPr>
  </w:style>
  <w:style w:type="paragraph" w:customStyle="1" w:styleId="Schedule5">
    <w:name w:val="Schedule 5"/>
    <w:basedOn w:val="Normal"/>
    <w:uiPriority w:val="19"/>
    <w:rsid w:val="001D71D7"/>
    <w:pPr>
      <w:numPr>
        <w:ilvl w:val="5"/>
        <w:numId w:val="40"/>
      </w:numPr>
      <w:spacing w:after="220"/>
      <w:jc w:val="both"/>
    </w:pPr>
    <w:rPr>
      <w:rFonts w:cs="Times New Roman"/>
      <w:szCs w:val="20"/>
    </w:rPr>
  </w:style>
  <w:style w:type="paragraph" w:customStyle="1" w:styleId="Schedule6">
    <w:name w:val="Schedule 6"/>
    <w:basedOn w:val="Normal"/>
    <w:uiPriority w:val="19"/>
    <w:semiHidden/>
    <w:unhideWhenUsed/>
    <w:rsid w:val="001D71D7"/>
    <w:pPr>
      <w:numPr>
        <w:ilvl w:val="6"/>
        <w:numId w:val="40"/>
      </w:numPr>
      <w:spacing w:after="220"/>
      <w:jc w:val="both"/>
    </w:pPr>
    <w:rPr>
      <w:rFonts w:cs="Times New Roman"/>
      <w:szCs w:val="20"/>
    </w:rPr>
  </w:style>
  <w:style w:type="paragraph" w:customStyle="1" w:styleId="Schedule7">
    <w:name w:val="Schedule 7"/>
    <w:basedOn w:val="Normal"/>
    <w:uiPriority w:val="19"/>
    <w:semiHidden/>
    <w:unhideWhenUsed/>
    <w:rsid w:val="001D71D7"/>
    <w:pPr>
      <w:numPr>
        <w:ilvl w:val="7"/>
        <w:numId w:val="40"/>
      </w:numPr>
      <w:spacing w:after="220"/>
      <w:jc w:val="both"/>
    </w:pPr>
    <w:rPr>
      <w:rFonts w:cs="Times New Roman"/>
      <w:szCs w:val="20"/>
    </w:rPr>
  </w:style>
  <w:style w:type="paragraph" w:customStyle="1" w:styleId="Schedule8">
    <w:name w:val="Schedule 8"/>
    <w:basedOn w:val="Normal"/>
    <w:uiPriority w:val="19"/>
    <w:semiHidden/>
    <w:unhideWhenUsed/>
    <w:rsid w:val="001D71D7"/>
    <w:pPr>
      <w:numPr>
        <w:ilvl w:val="8"/>
        <w:numId w:val="40"/>
      </w:numPr>
      <w:spacing w:after="220"/>
      <w:jc w:val="both"/>
    </w:pPr>
    <w:rPr>
      <w:rFonts w:cs="Times New Roman"/>
      <w:szCs w:val="20"/>
    </w:rPr>
  </w:style>
  <w:style w:type="paragraph" w:customStyle="1" w:styleId="Schedule">
    <w:name w:val="Schedule #"/>
    <w:basedOn w:val="Normal"/>
    <w:next w:val="ScheduleTitle"/>
    <w:uiPriority w:val="16"/>
    <w:qFormat/>
    <w:rsid w:val="001D71D7"/>
    <w:pPr>
      <w:pageBreakBefore/>
      <w:numPr>
        <w:numId w:val="42"/>
      </w:numPr>
      <w:spacing w:after="220"/>
      <w:jc w:val="center"/>
      <w:outlineLvl w:val="0"/>
    </w:pPr>
    <w:rPr>
      <w:rFonts w:cs="Times New Roman"/>
      <w:szCs w:val="20"/>
    </w:rPr>
  </w:style>
  <w:style w:type="paragraph" w:customStyle="1" w:styleId="Num1">
    <w:name w:val="Num 1"/>
    <w:basedOn w:val="Normal"/>
    <w:next w:val="BodyText1"/>
    <w:uiPriority w:val="20"/>
    <w:qFormat/>
    <w:rsid w:val="001D71D7"/>
    <w:pPr>
      <w:numPr>
        <w:numId w:val="41"/>
      </w:numPr>
      <w:spacing w:after="220"/>
      <w:jc w:val="both"/>
    </w:pPr>
    <w:rPr>
      <w:rFonts w:cs="Times New Roman"/>
      <w:szCs w:val="20"/>
    </w:rPr>
  </w:style>
  <w:style w:type="paragraph" w:customStyle="1" w:styleId="Num2">
    <w:name w:val="Num 2"/>
    <w:basedOn w:val="Normal"/>
    <w:next w:val="BodyText20"/>
    <w:uiPriority w:val="20"/>
    <w:qFormat/>
    <w:rsid w:val="001D71D7"/>
    <w:pPr>
      <w:numPr>
        <w:ilvl w:val="1"/>
        <w:numId w:val="41"/>
      </w:numPr>
      <w:spacing w:after="220"/>
      <w:jc w:val="both"/>
    </w:pPr>
    <w:rPr>
      <w:rFonts w:cs="Times New Roman"/>
      <w:szCs w:val="20"/>
    </w:rPr>
  </w:style>
  <w:style w:type="paragraph" w:customStyle="1" w:styleId="Num3">
    <w:name w:val="Num 3"/>
    <w:basedOn w:val="Normal"/>
    <w:next w:val="BodyText30"/>
    <w:uiPriority w:val="20"/>
    <w:qFormat/>
    <w:rsid w:val="001D71D7"/>
    <w:pPr>
      <w:numPr>
        <w:ilvl w:val="2"/>
        <w:numId w:val="41"/>
      </w:numPr>
      <w:spacing w:after="220"/>
      <w:jc w:val="both"/>
    </w:pPr>
    <w:rPr>
      <w:rFonts w:cs="Times New Roman"/>
      <w:szCs w:val="20"/>
    </w:rPr>
  </w:style>
  <w:style w:type="paragraph" w:customStyle="1" w:styleId="Num4">
    <w:name w:val="Num 4"/>
    <w:basedOn w:val="Normal"/>
    <w:next w:val="BodyText4"/>
    <w:uiPriority w:val="20"/>
    <w:semiHidden/>
    <w:unhideWhenUsed/>
    <w:rsid w:val="001D71D7"/>
    <w:pPr>
      <w:numPr>
        <w:ilvl w:val="3"/>
        <w:numId w:val="41"/>
      </w:numPr>
      <w:spacing w:after="220"/>
      <w:ind w:left="2835"/>
      <w:jc w:val="both"/>
    </w:pPr>
    <w:rPr>
      <w:rFonts w:cs="Times New Roman"/>
      <w:szCs w:val="20"/>
    </w:rPr>
  </w:style>
  <w:style w:type="paragraph" w:customStyle="1" w:styleId="Num5">
    <w:name w:val="Num 5"/>
    <w:basedOn w:val="Normal"/>
    <w:next w:val="BodyText5"/>
    <w:uiPriority w:val="20"/>
    <w:semiHidden/>
    <w:unhideWhenUsed/>
    <w:rsid w:val="001D71D7"/>
    <w:pPr>
      <w:numPr>
        <w:ilvl w:val="4"/>
        <w:numId w:val="41"/>
      </w:numPr>
      <w:spacing w:after="220"/>
      <w:ind w:left="3544"/>
      <w:jc w:val="both"/>
    </w:pPr>
    <w:rPr>
      <w:rFonts w:cs="Times New Roman"/>
      <w:szCs w:val="20"/>
    </w:rPr>
  </w:style>
  <w:style w:type="paragraph" w:customStyle="1" w:styleId="Num6">
    <w:name w:val="Num 6"/>
    <w:basedOn w:val="Normal"/>
    <w:next w:val="BodyText6"/>
    <w:uiPriority w:val="20"/>
    <w:semiHidden/>
    <w:unhideWhenUsed/>
    <w:rsid w:val="001D71D7"/>
    <w:pPr>
      <w:numPr>
        <w:ilvl w:val="5"/>
        <w:numId w:val="41"/>
      </w:numPr>
      <w:spacing w:after="220"/>
      <w:ind w:left="4253"/>
      <w:jc w:val="both"/>
    </w:pPr>
    <w:rPr>
      <w:rFonts w:cs="Times New Roman"/>
      <w:szCs w:val="20"/>
    </w:rPr>
  </w:style>
  <w:style w:type="paragraph" w:customStyle="1" w:styleId="Num7">
    <w:name w:val="Num 7"/>
    <w:basedOn w:val="Normal"/>
    <w:next w:val="BodyText7"/>
    <w:uiPriority w:val="20"/>
    <w:semiHidden/>
    <w:unhideWhenUsed/>
    <w:rsid w:val="001D71D7"/>
    <w:pPr>
      <w:numPr>
        <w:ilvl w:val="6"/>
        <w:numId w:val="41"/>
      </w:numPr>
      <w:spacing w:after="220"/>
      <w:ind w:left="4962"/>
      <w:jc w:val="both"/>
    </w:pPr>
    <w:rPr>
      <w:rFonts w:cs="Times New Roman"/>
      <w:szCs w:val="20"/>
    </w:rPr>
  </w:style>
  <w:style w:type="paragraph" w:customStyle="1" w:styleId="Num8">
    <w:name w:val="Num 8"/>
    <w:basedOn w:val="Normal"/>
    <w:next w:val="Normal"/>
    <w:uiPriority w:val="20"/>
    <w:semiHidden/>
    <w:unhideWhenUsed/>
    <w:rsid w:val="001D71D7"/>
    <w:pPr>
      <w:numPr>
        <w:ilvl w:val="7"/>
        <w:numId w:val="41"/>
      </w:numPr>
      <w:spacing w:after="220"/>
      <w:ind w:left="5670"/>
      <w:jc w:val="both"/>
    </w:pPr>
    <w:rPr>
      <w:rFonts w:cs="Times New Roman"/>
      <w:szCs w:val="20"/>
    </w:rPr>
  </w:style>
  <w:style w:type="paragraph" w:customStyle="1" w:styleId="Num9">
    <w:name w:val="Num 9"/>
    <w:basedOn w:val="Normal"/>
    <w:next w:val="Normal"/>
    <w:uiPriority w:val="20"/>
    <w:semiHidden/>
    <w:unhideWhenUsed/>
    <w:rsid w:val="001D71D7"/>
    <w:pPr>
      <w:numPr>
        <w:ilvl w:val="8"/>
        <w:numId w:val="41"/>
      </w:numPr>
      <w:spacing w:after="220"/>
      <w:ind w:left="6379"/>
      <w:jc w:val="both"/>
    </w:pPr>
    <w:rPr>
      <w:rFonts w:cs="Times New Roman"/>
      <w:szCs w:val="20"/>
    </w:rPr>
  </w:style>
  <w:style w:type="paragraph" w:customStyle="1" w:styleId="SchedulePart">
    <w:name w:val="Schedule Part"/>
    <w:basedOn w:val="Schedule"/>
    <w:next w:val="Schedule1"/>
    <w:uiPriority w:val="18"/>
    <w:qFormat/>
    <w:rsid w:val="001D71D7"/>
    <w:pPr>
      <w:pageBreakBefore w:val="0"/>
      <w:numPr>
        <w:ilvl w:val="1"/>
      </w:numPr>
      <w:outlineLvl w:val="9"/>
    </w:pPr>
    <w:rPr>
      <w:b/>
    </w:rPr>
  </w:style>
  <w:style w:type="paragraph" w:customStyle="1" w:styleId="Schedule1">
    <w:name w:val="Schedule 1"/>
    <w:basedOn w:val="Normal"/>
    <w:next w:val="Schedule2"/>
    <w:uiPriority w:val="19"/>
    <w:rsid w:val="001D71D7"/>
    <w:pPr>
      <w:keepLines/>
      <w:numPr>
        <w:ilvl w:val="1"/>
        <w:numId w:val="40"/>
      </w:numPr>
      <w:spacing w:after="220"/>
      <w:ind w:left="706" w:hanging="706"/>
      <w:jc w:val="both"/>
    </w:pPr>
    <w:rPr>
      <w:b/>
      <w:caps/>
    </w:rPr>
  </w:style>
  <w:style w:type="paragraph" w:customStyle="1" w:styleId="Exhibit">
    <w:name w:val="Exhibit #"/>
    <w:basedOn w:val="Normal"/>
    <w:next w:val="ScheduleTitle"/>
    <w:uiPriority w:val="20"/>
    <w:qFormat/>
    <w:rsid w:val="001D71D7"/>
    <w:pPr>
      <w:pageBreakBefore/>
      <w:numPr>
        <w:numId w:val="43"/>
      </w:numPr>
      <w:spacing w:after="220"/>
      <w:jc w:val="center"/>
      <w:outlineLvl w:val="0"/>
    </w:pPr>
    <w:rPr>
      <w:rFonts w:cs="Times New Roman"/>
      <w:szCs w:val="20"/>
    </w:rPr>
  </w:style>
  <w:style w:type="character" w:styleId="UnresolvedMention">
    <w:name w:val="Unresolved Mention"/>
    <w:uiPriority w:val="99"/>
    <w:semiHidden/>
    <w:unhideWhenUsed/>
    <w:rsid w:val="006D5358"/>
    <w:rPr>
      <w:rFonts w:ascii="Arial" w:eastAsia="Arial" w:hAnsi="Arial" w:cs="Arial"/>
      <w:color w:val="000000"/>
      <w:shd w:val="clear" w:color="auto" w:fill="E6E6E6"/>
    </w:rPr>
  </w:style>
  <w:style w:type="character" w:customStyle="1" w:styleId="UnresolvedMention2">
    <w:name w:val="Unresolved Mention2"/>
    <w:uiPriority w:val="99"/>
    <w:semiHidden/>
    <w:unhideWhenUsed/>
    <w:rsid w:val="001D71D7"/>
    <w:rPr>
      <w:rFonts w:ascii="Arial" w:eastAsia="Arial" w:hAnsi="Arial" w:cs="Arial"/>
      <w:color w:val="000000"/>
      <w:shd w:val="clear" w:color="auto" w:fill="E6E6E6"/>
    </w:rPr>
  </w:style>
  <w:style w:type="paragraph" w:customStyle="1" w:styleId="Revision1">
    <w:name w:val="Revision1"/>
    <w:hidden/>
    <w:uiPriority w:val="99"/>
    <w:semiHidden/>
    <w:rsid w:val="001D71D7"/>
    <w:rPr>
      <w:rFonts w:ascii="Arial" w:eastAsia="Arial" w:hAnsi="Arial" w:cs="Arial"/>
      <w:color w:val="000000"/>
      <w:sz w:val="22"/>
      <w:szCs w:val="22"/>
    </w:rPr>
  </w:style>
  <w:style w:type="paragraph" w:customStyle="1" w:styleId="Bibliography1">
    <w:name w:val="Bibliography1"/>
    <w:basedOn w:val="Normal"/>
    <w:next w:val="Normal"/>
    <w:uiPriority w:val="99"/>
    <w:semiHidden/>
    <w:rsid w:val="001D71D7"/>
    <w:rPr>
      <w:rFonts w:cs="Times New Roman"/>
      <w:szCs w:val="20"/>
    </w:rPr>
  </w:style>
  <w:style w:type="character" w:customStyle="1" w:styleId="BookTitle1">
    <w:name w:val="Book Title1"/>
    <w:uiPriority w:val="99"/>
    <w:rsid w:val="001D71D7"/>
    <w:rPr>
      <w:rFonts w:ascii="Times New Roman" w:hAnsi="Times New Roman" w:cs="Times New Roman"/>
      <w:b/>
      <w:bCs/>
      <w:smallCaps/>
      <w:spacing w:val="5"/>
      <w:lang w:val="en-GB"/>
    </w:rPr>
  </w:style>
  <w:style w:type="table" w:customStyle="1" w:styleId="GridTable1Light1">
    <w:name w:val="Grid Table 1 Light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D71D7"/>
    <w:pPr>
      <w:spacing w:after="160" w:line="259" w:lineRule="auto"/>
    </w:pPr>
    <w:rPr>
      <w:rFonts w:asciiTheme="minorHAnsi" w:hAnsiTheme="minorHAnsi" w:cstheme="minorBidi"/>
      <w:sz w:val="22"/>
      <w:szCs w:val="22"/>
      <w:lang w:val="en-GB"/>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1D71D7"/>
    <w:pPr>
      <w:spacing w:after="160" w:line="259" w:lineRule="auto"/>
    </w:pPr>
    <w:rPr>
      <w:rFonts w:asciiTheme="minorHAnsi" w:hAnsiTheme="minorHAnsi" w:cstheme="minorBidi"/>
      <w:sz w:val="22"/>
      <w:szCs w:val="22"/>
      <w:lang w:val="en-GB"/>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1D71D7"/>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IntenseEmphasis1">
    <w:name w:val="Intense Emphasis1"/>
    <w:uiPriority w:val="99"/>
    <w:rsid w:val="001D71D7"/>
    <w:rPr>
      <w:rFonts w:ascii="Times New Roman" w:hAnsi="Times New Roman" w:cs="Times New Roman"/>
      <w:b/>
      <w:bCs/>
      <w:i/>
      <w:iCs/>
      <w:color w:val="4F81BD"/>
      <w:lang w:val="en-GB"/>
    </w:rPr>
  </w:style>
  <w:style w:type="character" w:customStyle="1" w:styleId="IntenseReference1">
    <w:name w:val="Intense Reference1"/>
    <w:uiPriority w:val="99"/>
    <w:rsid w:val="001D71D7"/>
    <w:rPr>
      <w:rFonts w:ascii="Times New Roman" w:hAnsi="Times New Roman" w:cs="Times New Roman"/>
      <w:b/>
      <w:bCs/>
      <w:smallCaps/>
      <w:color w:val="C0504D"/>
      <w:spacing w:val="5"/>
      <w:u w:val="single"/>
      <w:lang w:val="en-GB"/>
    </w:rPr>
  </w:style>
  <w:style w:type="table" w:customStyle="1" w:styleId="ListTable1Light1">
    <w:name w:val="List Table 1 Light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1D71D7"/>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1D71D7"/>
    <w:pPr>
      <w:spacing w:after="160" w:line="259" w:lineRule="auto"/>
    </w:pPr>
    <w:rPr>
      <w:rFonts w:asciiTheme="minorHAnsi" w:hAnsiTheme="minorHAnsi" w:cstheme="minorBidi"/>
      <w:sz w:val="22"/>
      <w:szCs w:val="22"/>
      <w:lang w:val="en-GB"/>
    </w:rPr>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1D71D7"/>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D71D7"/>
    <w:pPr>
      <w:spacing w:after="160" w:line="259" w:lineRule="auto"/>
    </w:pPr>
    <w:rPr>
      <w:rFonts w:asciiTheme="minorHAnsi" w:hAnsiTheme="minorHAnsi" w:cstheme="minorBidi"/>
      <w:color w:val="FFFFFF" w:themeColor="background1"/>
      <w:sz w:val="22"/>
      <w:szCs w:val="22"/>
      <w:lang w:val="en-GB"/>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D71D7"/>
    <w:pPr>
      <w:spacing w:after="160" w:line="259" w:lineRule="auto"/>
    </w:pPr>
    <w:rPr>
      <w:rFonts w:asciiTheme="minorHAnsi" w:hAnsiTheme="minorHAnsi" w:cstheme="minorBidi"/>
      <w:color w:val="000000" w:themeColor="text1"/>
      <w:sz w:val="22"/>
      <w:szCs w:val="22"/>
      <w:lang w:val="en-GB"/>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D71D7"/>
    <w:pPr>
      <w:spacing w:after="160" w:line="259" w:lineRule="auto"/>
    </w:pPr>
    <w:rPr>
      <w:rFonts w:asciiTheme="minorHAnsi" w:hAnsiTheme="minorHAnsi" w:cstheme="minorBidi"/>
      <w:color w:val="2F5496" w:themeColor="accent1" w:themeShade="BF"/>
      <w:sz w:val="22"/>
      <w:szCs w:val="22"/>
      <w:lang w:val="en-GB"/>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1D71D7"/>
    <w:pPr>
      <w:spacing w:after="160" w:line="259" w:lineRule="auto"/>
    </w:pPr>
    <w:rPr>
      <w:rFonts w:asciiTheme="minorHAnsi" w:hAnsiTheme="minorHAnsi" w:cstheme="minorBidi"/>
      <w:color w:val="C45911" w:themeColor="accent2" w:themeShade="BF"/>
      <w:sz w:val="22"/>
      <w:szCs w:val="22"/>
      <w:lang w:val="en-GB"/>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1D71D7"/>
    <w:pPr>
      <w:spacing w:after="160" w:line="259" w:lineRule="auto"/>
    </w:pPr>
    <w:rPr>
      <w:rFonts w:asciiTheme="minorHAnsi" w:hAnsiTheme="minorHAnsi" w:cstheme="minorBidi"/>
      <w:color w:val="7B7B7B" w:themeColor="accent3" w:themeShade="BF"/>
      <w:sz w:val="22"/>
      <w:szCs w:val="22"/>
      <w:lang w:val="en-GB"/>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1D71D7"/>
    <w:pPr>
      <w:spacing w:after="160" w:line="259" w:lineRule="auto"/>
    </w:pPr>
    <w:rPr>
      <w:rFonts w:asciiTheme="minorHAnsi" w:hAnsiTheme="minorHAnsi" w:cstheme="minorBidi"/>
      <w:color w:val="BF8F00" w:themeColor="accent4" w:themeShade="BF"/>
      <w:sz w:val="22"/>
      <w:szCs w:val="22"/>
      <w:lang w:val="en-GB"/>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1D71D7"/>
    <w:pPr>
      <w:spacing w:after="160" w:line="259" w:lineRule="auto"/>
    </w:pPr>
    <w:rPr>
      <w:rFonts w:asciiTheme="minorHAnsi" w:hAnsiTheme="minorHAnsi" w:cstheme="minorBidi"/>
      <w:color w:val="2E74B5" w:themeColor="accent5" w:themeShade="BF"/>
      <w:sz w:val="22"/>
      <w:szCs w:val="22"/>
      <w:lang w:val="en-GB"/>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1D71D7"/>
    <w:pPr>
      <w:spacing w:after="160" w:line="259" w:lineRule="auto"/>
    </w:pPr>
    <w:rPr>
      <w:rFonts w:asciiTheme="minorHAnsi" w:hAnsiTheme="minorHAnsi" w:cstheme="minorBidi"/>
      <w:color w:val="538135" w:themeColor="accent6" w:themeShade="BF"/>
      <w:sz w:val="22"/>
      <w:szCs w:val="22"/>
      <w:lang w:val="en-GB"/>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1D71D7"/>
    <w:pPr>
      <w:spacing w:after="160" w:line="259" w:lineRule="auto"/>
    </w:pPr>
    <w:rPr>
      <w:rFonts w:asciiTheme="minorHAnsi" w:hAnsiTheme="minorHAnsi" w:cstheme="minorBidi"/>
      <w:color w:val="000000" w:themeColor="text1"/>
      <w:sz w:val="22"/>
      <w:szCs w:val="22"/>
      <w:lang w:val="en-GB"/>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D71D7"/>
    <w:pPr>
      <w:spacing w:after="160" w:line="259" w:lineRule="auto"/>
    </w:pPr>
    <w:rPr>
      <w:rFonts w:asciiTheme="minorHAnsi" w:hAnsiTheme="minorHAnsi" w:cstheme="minorBidi"/>
      <w:color w:val="2F5496" w:themeColor="accent1"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D71D7"/>
    <w:pPr>
      <w:spacing w:after="160" w:line="259" w:lineRule="auto"/>
    </w:pPr>
    <w:rPr>
      <w:rFonts w:asciiTheme="minorHAnsi" w:hAnsiTheme="minorHAnsi" w:cstheme="minorBidi"/>
      <w:color w:val="C45911" w:themeColor="accent2"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D71D7"/>
    <w:pPr>
      <w:spacing w:after="160" w:line="259" w:lineRule="auto"/>
    </w:pPr>
    <w:rPr>
      <w:rFonts w:asciiTheme="minorHAnsi" w:hAnsiTheme="minorHAnsi" w:cstheme="minorBidi"/>
      <w:color w:val="7B7B7B" w:themeColor="accent3"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D71D7"/>
    <w:pPr>
      <w:spacing w:after="160" w:line="259" w:lineRule="auto"/>
    </w:pPr>
    <w:rPr>
      <w:rFonts w:asciiTheme="minorHAnsi" w:hAnsiTheme="minorHAnsi" w:cstheme="minorBidi"/>
      <w:color w:val="BF8F00" w:themeColor="accent4"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D71D7"/>
    <w:pPr>
      <w:spacing w:after="160" w:line="259" w:lineRule="auto"/>
    </w:pPr>
    <w:rPr>
      <w:rFonts w:asciiTheme="minorHAnsi" w:hAnsiTheme="minorHAnsi" w:cstheme="minorBidi"/>
      <w:color w:val="2E74B5" w:themeColor="accent5"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D71D7"/>
    <w:pPr>
      <w:spacing w:after="160" w:line="259" w:lineRule="auto"/>
    </w:pPr>
    <w:rPr>
      <w:rFonts w:asciiTheme="minorHAnsi" w:hAnsiTheme="minorHAnsi" w:cstheme="minorBidi"/>
      <w:color w:val="538135" w:themeColor="accent6"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D71D7"/>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D71D7"/>
    <w:pPr>
      <w:spacing w:after="160" w:line="259" w:lineRule="auto"/>
    </w:pPr>
    <w:rPr>
      <w:rFonts w:asciiTheme="minorHAnsi" w:hAnsiTheme="minorHAnsi" w:cstheme="minorBidi"/>
      <w:sz w:val="22"/>
      <w:szCs w:val="22"/>
      <w:lang w:val="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D71D7"/>
    <w:pPr>
      <w:spacing w:after="160" w:line="259" w:lineRule="auto"/>
    </w:pPr>
    <w:rPr>
      <w:rFonts w:asciiTheme="minorHAnsi" w:hAnsiTheme="minorHAnsi" w:cstheme="minorBidi"/>
      <w:sz w:val="22"/>
      <w:szCs w:val="22"/>
      <w:lang w:val="en-GB"/>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D71D7"/>
    <w:pPr>
      <w:spacing w:after="160" w:line="259" w:lineRule="auto"/>
    </w:pPr>
    <w:rPr>
      <w:rFonts w:asciiTheme="minorHAnsi" w:hAnsiTheme="minorHAnsi" w:cstheme="minorBidi"/>
      <w:sz w:val="22"/>
      <w:szCs w:val="22"/>
      <w:lang w:val="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D71D7"/>
    <w:pPr>
      <w:spacing w:after="160" w:line="259" w:lineRule="auto"/>
    </w:pPr>
    <w:rPr>
      <w:rFonts w:asciiTheme="minorHAnsi" w:hAnsiTheme="minorHAnsi" w:cstheme="minorBidi"/>
      <w:sz w:val="22"/>
      <w:szCs w:val="22"/>
      <w:lang w:val="en-GB"/>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ubtleEmphasis1">
    <w:name w:val="Subtle Emphasis1"/>
    <w:uiPriority w:val="99"/>
    <w:rsid w:val="001D71D7"/>
    <w:rPr>
      <w:rFonts w:ascii="Times New Roman" w:hAnsi="Times New Roman" w:cs="Times New Roman"/>
      <w:i/>
      <w:iCs/>
      <w:color w:val="808080"/>
      <w:lang w:val="en-GB"/>
    </w:rPr>
  </w:style>
  <w:style w:type="character" w:customStyle="1" w:styleId="SubtleReference1">
    <w:name w:val="Subtle Reference1"/>
    <w:uiPriority w:val="99"/>
    <w:rsid w:val="001D71D7"/>
    <w:rPr>
      <w:rFonts w:ascii="Times New Roman" w:hAnsi="Times New Roman" w:cs="Times New Roman"/>
      <w:smallCaps/>
      <w:color w:val="C0504D"/>
      <w:u w:val="single"/>
      <w:lang w:val="en-GB"/>
    </w:rPr>
  </w:style>
  <w:style w:type="table" w:customStyle="1" w:styleId="TableGridLight1">
    <w:name w:val="Table Grid Light1"/>
    <w:basedOn w:val="TableNormal"/>
    <w:uiPriority w:val="40"/>
    <w:rsid w:val="001D71D7"/>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semiHidden/>
    <w:unhideWhenUsed/>
    <w:rsid w:val="001D71D7"/>
    <w:pPr>
      <w:numPr>
        <w:numId w:val="0"/>
      </w:numPr>
      <w:outlineLvl w:val="9"/>
    </w:pPr>
    <w:rPr>
      <w:b w:val="0"/>
      <w:bCs w:val="0"/>
      <w:szCs w:val="22"/>
    </w:rPr>
  </w:style>
  <w:style w:type="paragraph" w:customStyle="1" w:styleId="Level1Heading">
    <w:name w:val="Level 1 Heading"/>
    <w:basedOn w:val="BodyText"/>
    <w:uiPriority w:val="69"/>
    <w:qFormat/>
    <w:rsid w:val="00761035"/>
    <w:pPr>
      <w:keepNext/>
      <w:numPr>
        <w:numId w:val="44"/>
      </w:numPr>
      <w:spacing w:after="240" w:line="288" w:lineRule="auto"/>
      <w:jc w:val="both"/>
      <w:outlineLvl w:val="0"/>
    </w:pPr>
    <w:rPr>
      <w:rFonts w:eastAsiaTheme="minorEastAsia"/>
      <w:b/>
      <w:sz w:val="20"/>
      <w:szCs w:val="20"/>
      <w:lang w:val="en-GB" w:eastAsia="en-GB"/>
    </w:rPr>
  </w:style>
  <w:style w:type="paragraph" w:customStyle="1" w:styleId="Level2Number">
    <w:name w:val="Level 2 Number"/>
    <w:basedOn w:val="BodyText"/>
    <w:uiPriority w:val="69"/>
    <w:qFormat/>
    <w:rsid w:val="00761035"/>
    <w:pPr>
      <w:numPr>
        <w:ilvl w:val="1"/>
        <w:numId w:val="44"/>
      </w:numPr>
      <w:spacing w:after="240" w:line="288" w:lineRule="auto"/>
      <w:jc w:val="both"/>
    </w:pPr>
    <w:rPr>
      <w:rFonts w:eastAsiaTheme="minorEastAsia"/>
      <w:sz w:val="20"/>
      <w:szCs w:val="20"/>
      <w:lang w:val="en-GB" w:eastAsia="en-GB"/>
    </w:rPr>
  </w:style>
  <w:style w:type="paragraph" w:customStyle="1" w:styleId="Level3Number">
    <w:name w:val="Level 3 Number"/>
    <w:basedOn w:val="BodyText"/>
    <w:uiPriority w:val="69"/>
    <w:qFormat/>
    <w:rsid w:val="00761035"/>
    <w:pPr>
      <w:numPr>
        <w:ilvl w:val="2"/>
        <w:numId w:val="44"/>
      </w:numPr>
      <w:tabs>
        <w:tab w:val="clear" w:pos="1440"/>
        <w:tab w:val="num" w:pos="1555"/>
      </w:tabs>
      <w:spacing w:after="240" w:line="288" w:lineRule="auto"/>
      <w:ind w:left="1555" w:hanging="561"/>
      <w:jc w:val="both"/>
    </w:pPr>
    <w:rPr>
      <w:rFonts w:eastAsiaTheme="minorEastAsia"/>
      <w:sz w:val="20"/>
      <w:szCs w:val="20"/>
      <w:lang w:val="en-GB" w:eastAsia="en-GB"/>
    </w:rPr>
  </w:style>
  <w:style w:type="paragraph" w:customStyle="1" w:styleId="Level4Number">
    <w:name w:val="Level 4 Number"/>
    <w:basedOn w:val="BodyText"/>
    <w:uiPriority w:val="69"/>
    <w:qFormat/>
    <w:rsid w:val="00761035"/>
    <w:pPr>
      <w:numPr>
        <w:ilvl w:val="3"/>
        <w:numId w:val="44"/>
      </w:numPr>
      <w:tabs>
        <w:tab w:val="clear" w:pos="2160"/>
        <w:tab w:val="num" w:pos="2419"/>
      </w:tabs>
      <w:spacing w:after="240" w:line="288" w:lineRule="auto"/>
      <w:ind w:left="2275" w:hanging="576"/>
      <w:jc w:val="both"/>
    </w:pPr>
    <w:rPr>
      <w:rFonts w:eastAsiaTheme="minorEastAsia"/>
      <w:sz w:val="20"/>
      <w:szCs w:val="20"/>
      <w:lang w:val="en-GB" w:eastAsia="en-GB"/>
    </w:rPr>
  </w:style>
  <w:style w:type="paragraph" w:customStyle="1" w:styleId="Level5Number">
    <w:name w:val="Level 5 Number"/>
    <w:basedOn w:val="BodyText"/>
    <w:uiPriority w:val="69"/>
    <w:qFormat/>
    <w:rsid w:val="00761035"/>
    <w:pPr>
      <w:numPr>
        <w:ilvl w:val="4"/>
        <w:numId w:val="44"/>
      </w:numPr>
      <w:tabs>
        <w:tab w:val="clear" w:pos="2880"/>
        <w:tab w:val="num" w:pos="0"/>
      </w:tabs>
      <w:spacing w:after="240" w:line="288" w:lineRule="auto"/>
      <w:ind w:left="2520" w:hanging="360"/>
      <w:jc w:val="both"/>
    </w:pPr>
    <w:rPr>
      <w:rFonts w:eastAsiaTheme="minorEastAsia"/>
      <w:sz w:val="20"/>
      <w:szCs w:val="20"/>
      <w:lang w:val="en-GB" w:eastAsia="en-GB"/>
    </w:rPr>
  </w:style>
  <w:style w:type="paragraph" w:customStyle="1" w:styleId="Level6Number">
    <w:name w:val="Level 6 Number"/>
    <w:basedOn w:val="BodyText"/>
    <w:uiPriority w:val="69"/>
    <w:qFormat/>
    <w:rsid w:val="00761035"/>
    <w:pPr>
      <w:numPr>
        <w:ilvl w:val="5"/>
        <w:numId w:val="44"/>
      </w:numPr>
      <w:tabs>
        <w:tab w:val="clear" w:pos="3600"/>
        <w:tab w:val="num" w:pos="0"/>
      </w:tabs>
      <w:spacing w:after="240" w:line="288" w:lineRule="auto"/>
      <w:ind w:left="2880" w:hanging="360"/>
      <w:jc w:val="both"/>
    </w:pPr>
    <w:rPr>
      <w:rFonts w:eastAsiaTheme="minorEastAsia"/>
      <w:sz w:val="20"/>
      <w:szCs w:val="20"/>
      <w:lang w:val="en-GB" w:eastAsia="en-GB"/>
    </w:rPr>
  </w:style>
  <w:style w:type="paragraph" w:customStyle="1" w:styleId="Level7Number">
    <w:name w:val="Level 7 Number"/>
    <w:basedOn w:val="BodyText"/>
    <w:uiPriority w:val="69"/>
    <w:qFormat/>
    <w:rsid w:val="00761035"/>
    <w:pPr>
      <w:numPr>
        <w:ilvl w:val="6"/>
        <w:numId w:val="44"/>
      </w:numPr>
      <w:tabs>
        <w:tab w:val="clear" w:pos="4321"/>
        <w:tab w:val="num" w:pos="0"/>
      </w:tabs>
      <w:spacing w:after="240" w:line="288" w:lineRule="auto"/>
      <w:ind w:left="3240" w:hanging="360"/>
      <w:jc w:val="both"/>
    </w:pPr>
    <w:rPr>
      <w:rFonts w:eastAsiaTheme="minorEastAsia"/>
      <w:sz w:val="20"/>
      <w:szCs w:val="20"/>
      <w:lang w:val="en-GB" w:eastAsia="en-GB"/>
    </w:rPr>
  </w:style>
  <w:style w:type="paragraph" w:customStyle="1" w:styleId="Level8Number">
    <w:name w:val="Level 8 Number"/>
    <w:basedOn w:val="BodyText"/>
    <w:uiPriority w:val="69"/>
    <w:qFormat/>
    <w:rsid w:val="00761035"/>
    <w:pPr>
      <w:numPr>
        <w:ilvl w:val="7"/>
        <w:numId w:val="44"/>
      </w:numPr>
      <w:tabs>
        <w:tab w:val="clear" w:pos="5041"/>
        <w:tab w:val="num" w:pos="0"/>
      </w:tabs>
      <w:spacing w:after="240" w:line="288" w:lineRule="auto"/>
      <w:ind w:left="0" w:firstLine="0"/>
      <w:jc w:val="both"/>
    </w:pPr>
    <w:rPr>
      <w:rFonts w:eastAsiaTheme="minorEastAsia"/>
      <w:sz w:val="20"/>
      <w:szCs w:val="20"/>
      <w:lang w:val="en-GB" w:eastAsia="en-GB"/>
    </w:rPr>
  </w:style>
  <w:style w:type="numbering" w:customStyle="1" w:styleId="NumberingMain">
    <w:name w:val="Numbering Main"/>
    <w:uiPriority w:val="99"/>
    <w:rsid w:val="00761035"/>
    <w:pPr>
      <w:numPr>
        <w:numId w:val="44"/>
      </w:numPr>
    </w:pPr>
  </w:style>
  <w:style w:type="numbering" w:customStyle="1" w:styleId="NumberingParties">
    <w:name w:val="Numbering Parties"/>
    <w:uiPriority w:val="99"/>
    <w:rsid w:val="00761035"/>
    <w:pPr>
      <w:numPr>
        <w:numId w:val="45"/>
      </w:numPr>
    </w:pPr>
  </w:style>
  <w:style w:type="paragraph" w:customStyle="1" w:styleId="Parties1">
    <w:name w:val="Parties 1"/>
    <w:basedOn w:val="BodyText"/>
    <w:uiPriority w:val="19"/>
    <w:rsid w:val="00761035"/>
    <w:pPr>
      <w:numPr>
        <w:numId w:val="46"/>
      </w:numPr>
      <w:spacing w:after="240" w:line="288" w:lineRule="auto"/>
      <w:jc w:val="both"/>
    </w:pPr>
    <w:rPr>
      <w:rFonts w:eastAsiaTheme="minorEastAsia"/>
      <w:sz w:val="20"/>
      <w:szCs w:val="20"/>
      <w:lang w:val="en-GB" w:eastAsia="en-GB"/>
    </w:rPr>
  </w:style>
  <w:style w:type="paragraph" w:customStyle="1" w:styleId="Parties2">
    <w:name w:val="Parties 2"/>
    <w:basedOn w:val="BodyText"/>
    <w:uiPriority w:val="19"/>
    <w:rsid w:val="00761035"/>
    <w:pPr>
      <w:numPr>
        <w:ilvl w:val="1"/>
        <w:numId w:val="46"/>
      </w:numPr>
      <w:spacing w:after="240" w:line="288" w:lineRule="auto"/>
      <w:jc w:val="both"/>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841">
      <w:bodyDiv w:val="1"/>
      <w:marLeft w:val="0"/>
      <w:marRight w:val="0"/>
      <w:marTop w:val="0"/>
      <w:marBottom w:val="0"/>
      <w:divBdr>
        <w:top w:val="none" w:sz="0" w:space="0" w:color="auto"/>
        <w:left w:val="none" w:sz="0" w:space="0" w:color="auto"/>
        <w:bottom w:val="none" w:sz="0" w:space="0" w:color="auto"/>
        <w:right w:val="none" w:sz="0" w:space="0" w:color="auto"/>
      </w:divBdr>
    </w:div>
    <w:div w:id="144974235">
      <w:bodyDiv w:val="1"/>
      <w:marLeft w:val="0"/>
      <w:marRight w:val="0"/>
      <w:marTop w:val="0"/>
      <w:marBottom w:val="0"/>
      <w:divBdr>
        <w:top w:val="none" w:sz="0" w:space="0" w:color="auto"/>
        <w:left w:val="none" w:sz="0" w:space="0" w:color="auto"/>
        <w:bottom w:val="none" w:sz="0" w:space="0" w:color="auto"/>
        <w:right w:val="none" w:sz="0" w:space="0" w:color="auto"/>
      </w:divBdr>
    </w:div>
    <w:div w:id="199897049">
      <w:bodyDiv w:val="1"/>
      <w:marLeft w:val="0"/>
      <w:marRight w:val="0"/>
      <w:marTop w:val="0"/>
      <w:marBottom w:val="0"/>
      <w:divBdr>
        <w:top w:val="none" w:sz="0" w:space="0" w:color="auto"/>
        <w:left w:val="none" w:sz="0" w:space="0" w:color="auto"/>
        <w:bottom w:val="none" w:sz="0" w:space="0" w:color="auto"/>
        <w:right w:val="none" w:sz="0" w:space="0" w:color="auto"/>
      </w:divBdr>
    </w:div>
    <w:div w:id="214705050">
      <w:bodyDiv w:val="1"/>
      <w:marLeft w:val="0"/>
      <w:marRight w:val="0"/>
      <w:marTop w:val="0"/>
      <w:marBottom w:val="0"/>
      <w:divBdr>
        <w:top w:val="none" w:sz="0" w:space="0" w:color="auto"/>
        <w:left w:val="none" w:sz="0" w:space="0" w:color="auto"/>
        <w:bottom w:val="none" w:sz="0" w:space="0" w:color="auto"/>
        <w:right w:val="none" w:sz="0" w:space="0" w:color="auto"/>
      </w:divBdr>
    </w:div>
    <w:div w:id="240718637">
      <w:bodyDiv w:val="1"/>
      <w:marLeft w:val="0"/>
      <w:marRight w:val="0"/>
      <w:marTop w:val="0"/>
      <w:marBottom w:val="0"/>
      <w:divBdr>
        <w:top w:val="none" w:sz="0" w:space="0" w:color="auto"/>
        <w:left w:val="none" w:sz="0" w:space="0" w:color="auto"/>
        <w:bottom w:val="none" w:sz="0" w:space="0" w:color="auto"/>
        <w:right w:val="none" w:sz="0" w:space="0" w:color="auto"/>
      </w:divBdr>
    </w:div>
    <w:div w:id="2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5036450">
          <w:marLeft w:val="0"/>
          <w:marRight w:val="0"/>
          <w:marTop w:val="0"/>
          <w:marBottom w:val="0"/>
          <w:divBdr>
            <w:top w:val="none" w:sz="0" w:space="0" w:color="auto"/>
            <w:left w:val="none" w:sz="0" w:space="0" w:color="auto"/>
            <w:bottom w:val="none" w:sz="0" w:space="0" w:color="auto"/>
            <w:right w:val="none" w:sz="0" w:space="0" w:color="auto"/>
          </w:divBdr>
          <w:divsChild>
            <w:div w:id="693458586">
              <w:marLeft w:val="0"/>
              <w:marRight w:val="0"/>
              <w:marTop w:val="0"/>
              <w:marBottom w:val="0"/>
              <w:divBdr>
                <w:top w:val="none" w:sz="0" w:space="0" w:color="auto"/>
                <w:left w:val="none" w:sz="0" w:space="0" w:color="auto"/>
                <w:bottom w:val="none" w:sz="0" w:space="0" w:color="auto"/>
                <w:right w:val="none" w:sz="0" w:space="0" w:color="auto"/>
              </w:divBdr>
            </w:div>
          </w:divsChild>
        </w:div>
        <w:div w:id="1119301996">
          <w:blockQuote w:val="1"/>
          <w:marLeft w:val="0"/>
          <w:marRight w:val="0"/>
          <w:marTop w:val="0"/>
          <w:marBottom w:val="0"/>
          <w:divBdr>
            <w:top w:val="none" w:sz="0" w:space="0" w:color="auto"/>
            <w:left w:val="none" w:sz="0" w:space="0" w:color="auto"/>
            <w:bottom w:val="none" w:sz="0" w:space="0" w:color="auto"/>
            <w:right w:val="none" w:sz="0" w:space="0" w:color="auto"/>
          </w:divBdr>
          <w:divsChild>
            <w:div w:id="250429967">
              <w:marLeft w:val="0"/>
              <w:marRight w:val="0"/>
              <w:marTop w:val="0"/>
              <w:marBottom w:val="0"/>
              <w:divBdr>
                <w:top w:val="none" w:sz="0" w:space="0" w:color="auto"/>
                <w:left w:val="none" w:sz="0" w:space="0" w:color="auto"/>
                <w:bottom w:val="none" w:sz="0" w:space="0" w:color="auto"/>
                <w:right w:val="none" w:sz="0" w:space="0" w:color="auto"/>
              </w:divBdr>
              <w:divsChild>
                <w:div w:id="939339232">
                  <w:marLeft w:val="0"/>
                  <w:marRight w:val="0"/>
                  <w:marTop w:val="0"/>
                  <w:marBottom w:val="0"/>
                  <w:divBdr>
                    <w:top w:val="none" w:sz="0" w:space="0" w:color="auto"/>
                    <w:left w:val="none" w:sz="0" w:space="0" w:color="auto"/>
                    <w:bottom w:val="none" w:sz="0" w:space="0" w:color="auto"/>
                    <w:right w:val="none" w:sz="0" w:space="0" w:color="auto"/>
                  </w:divBdr>
                  <w:divsChild>
                    <w:div w:id="164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9627">
      <w:bodyDiv w:val="1"/>
      <w:marLeft w:val="0"/>
      <w:marRight w:val="0"/>
      <w:marTop w:val="0"/>
      <w:marBottom w:val="0"/>
      <w:divBdr>
        <w:top w:val="none" w:sz="0" w:space="0" w:color="auto"/>
        <w:left w:val="none" w:sz="0" w:space="0" w:color="auto"/>
        <w:bottom w:val="none" w:sz="0" w:space="0" w:color="auto"/>
        <w:right w:val="none" w:sz="0" w:space="0" w:color="auto"/>
      </w:divBdr>
    </w:div>
    <w:div w:id="372852281">
      <w:bodyDiv w:val="1"/>
      <w:marLeft w:val="0"/>
      <w:marRight w:val="0"/>
      <w:marTop w:val="0"/>
      <w:marBottom w:val="0"/>
      <w:divBdr>
        <w:top w:val="none" w:sz="0" w:space="0" w:color="auto"/>
        <w:left w:val="none" w:sz="0" w:space="0" w:color="auto"/>
        <w:bottom w:val="none" w:sz="0" w:space="0" w:color="auto"/>
        <w:right w:val="none" w:sz="0" w:space="0" w:color="auto"/>
      </w:divBdr>
      <w:divsChild>
        <w:div w:id="629166575">
          <w:marLeft w:val="0"/>
          <w:marRight w:val="0"/>
          <w:marTop w:val="0"/>
          <w:marBottom w:val="0"/>
          <w:divBdr>
            <w:top w:val="none" w:sz="0" w:space="0" w:color="auto"/>
            <w:left w:val="none" w:sz="0" w:space="0" w:color="auto"/>
            <w:bottom w:val="none" w:sz="0" w:space="0" w:color="auto"/>
            <w:right w:val="none" w:sz="0" w:space="0" w:color="auto"/>
          </w:divBdr>
          <w:divsChild>
            <w:div w:id="1411393486">
              <w:marLeft w:val="0"/>
              <w:marRight w:val="0"/>
              <w:marTop w:val="0"/>
              <w:marBottom w:val="0"/>
              <w:divBdr>
                <w:top w:val="none" w:sz="0" w:space="0" w:color="auto"/>
                <w:left w:val="none" w:sz="0" w:space="0" w:color="auto"/>
                <w:bottom w:val="none" w:sz="0" w:space="0" w:color="auto"/>
                <w:right w:val="none" w:sz="0" w:space="0" w:color="auto"/>
              </w:divBdr>
            </w:div>
          </w:divsChild>
        </w:div>
        <w:div w:id="1339967827">
          <w:marLeft w:val="0"/>
          <w:marRight w:val="0"/>
          <w:marTop w:val="0"/>
          <w:marBottom w:val="0"/>
          <w:divBdr>
            <w:top w:val="none" w:sz="0" w:space="0" w:color="auto"/>
            <w:left w:val="none" w:sz="0" w:space="0" w:color="auto"/>
            <w:bottom w:val="none" w:sz="0" w:space="0" w:color="auto"/>
            <w:right w:val="none" w:sz="0" w:space="0" w:color="auto"/>
          </w:divBdr>
          <w:divsChild>
            <w:div w:id="1180972478">
              <w:marLeft w:val="0"/>
              <w:marRight w:val="0"/>
              <w:marTop w:val="0"/>
              <w:marBottom w:val="0"/>
              <w:divBdr>
                <w:top w:val="none" w:sz="0" w:space="0" w:color="auto"/>
                <w:left w:val="none" w:sz="0" w:space="0" w:color="auto"/>
                <w:bottom w:val="none" w:sz="0" w:space="0" w:color="auto"/>
                <w:right w:val="none" w:sz="0" w:space="0" w:color="auto"/>
              </w:divBdr>
              <w:divsChild>
                <w:div w:id="265771036">
                  <w:marLeft w:val="0"/>
                  <w:marRight w:val="0"/>
                  <w:marTop w:val="0"/>
                  <w:marBottom w:val="0"/>
                  <w:divBdr>
                    <w:top w:val="none" w:sz="0" w:space="0" w:color="auto"/>
                    <w:left w:val="none" w:sz="0" w:space="0" w:color="auto"/>
                    <w:bottom w:val="none" w:sz="0" w:space="0" w:color="auto"/>
                    <w:right w:val="none" w:sz="0" w:space="0" w:color="auto"/>
                  </w:divBdr>
                  <w:divsChild>
                    <w:div w:id="1593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519">
              <w:marLeft w:val="0"/>
              <w:marRight w:val="0"/>
              <w:marTop w:val="0"/>
              <w:marBottom w:val="0"/>
              <w:divBdr>
                <w:top w:val="none" w:sz="0" w:space="0" w:color="auto"/>
                <w:left w:val="none" w:sz="0" w:space="0" w:color="auto"/>
                <w:bottom w:val="none" w:sz="0" w:space="0" w:color="auto"/>
                <w:right w:val="none" w:sz="0" w:space="0" w:color="auto"/>
              </w:divBdr>
              <w:divsChild>
                <w:div w:id="1760321792">
                  <w:marLeft w:val="0"/>
                  <w:marRight w:val="0"/>
                  <w:marTop w:val="0"/>
                  <w:marBottom w:val="0"/>
                  <w:divBdr>
                    <w:top w:val="none" w:sz="0" w:space="0" w:color="auto"/>
                    <w:left w:val="none" w:sz="0" w:space="0" w:color="auto"/>
                    <w:bottom w:val="none" w:sz="0" w:space="0" w:color="auto"/>
                    <w:right w:val="none" w:sz="0" w:space="0" w:color="auto"/>
                  </w:divBdr>
                  <w:divsChild>
                    <w:div w:id="1933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5723">
      <w:bodyDiv w:val="1"/>
      <w:marLeft w:val="0"/>
      <w:marRight w:val="0"/>
      <w:marTop w:val="0"/>
      <w:marBottom w:val="0"/>
      <w:divBdr>
        <w:top w:val="none" w:sz="0" w:space="0" w:color="auto"/>
        <w:left w:val="none" w:sz="0" w:space="0" w:color="auto"/>
        <w:bottom w:val="none" w:sz="0" w:space="0" w:color="auto"/>
        <w:right w:val="none" w:sz="0" w:space="0" w:color="auto"/>
      </w:divBdr>
    </w:div>
    <w:div w:id="386421297">
      <w:bodyDiv w:val="1"/>
      <w:marLeft w:val="0"/>
      <w:marRight w:val="0"/>
      <w:marTop w:val="0"/>
      <w:marBottom w:val="0"/>
      <w:divBdr>
        <w:top w:val="none" w:sz="0" w:space="0" w:color="auto"/>
        <w:left w:val="none" w:sz="0" w:space="0" w:color="auto"/>
        <w:bottom w:val="none" w:sz="0" w:space="0" w:color="auto"/>
        <w:right w:val="none" w:sz="0" w:space="0" w:color="auto"/>
      </w:divBdr>
    </w:div>
    <w:div w:id="398405659">
      <w:bodyDiv w:val="1"/>
      <w:marLeft w:val="0"/>
      <w:marRight w:val="0"/>
      <w:marTop w:val="0"/>
      <w:marBottom w:val="0"/>
      <w:divBdr>
        <w:top w:val="none" w:sz="0" w:space="0" w:color="auto"/>
        <w:left w:val="none" w:sz="0" w:space="0" w:color="auto"/>
        <w:bottom w:val="none" w:sz="0" w:space="0" w:color="auto"/>
        <w:right w:val="none" w:sz="0" w:space="0" w:color="auto"/>
      </w:divBdr>
    </w:div>
    <w:div w:id="414325145">
      <w:bodyDiv w:val="1"/>
      <w:marLeft w:val="0"/>
      <w:marRight w:val="0"/>
      <w:marTop w:val="0"/>
      <w:marBottom w:val="0"/>
      <w:divBdr>
        <w:top w:val="none" w:sz="0" w:space="0" w:color="auto"/>
        <w:left w:val="none" w:sz="0" w:space="0" w:color="auto"/>
        <w:bottom w:val="none" w:sz="0" w:space="0" w:color="auto"/>
        <w:right w:val="none" w:sz="0" w:space="0" w:color="auto"/>
      </w:divBdr>
    </w:div>
    <w:div w:id="425657939">
      <w:bodyDiv w:val="1"/>
      <w:marLeft w:val="0"/>
      <w:marRight w:val="0"/>
      <w:marTop w:val="0"/>
      <w:marBottom w:val="0"/>
      <w:divBdr>
        <w:top w:val="none" w:sz="0" w:space="0" w:color="auto"/>
        <w:left w:val="none" w:sz="0" w:space="0" w:color="auto"/>
        <w:bottom w:val="none" w:sz="0" w:space="0" w:color="auto"/>
        <w:right w:val="none" w:sz="0" w:space="0" w:color="auto"/>
      </w:divBdr>
    </w:div>
    <w:div w:id="475680491">
      <w:bodyDiv w:val="1"/>
      <w:marLeft w:val="0"/>
      <w:marRight w:val="0"/>
      <w:marTop w:val="0"/>
      <w:marBottom w:val="0"/>
      <w:divBdr>
        <w:top w:val="none" w:sz="0" w:space="0" w:color="auto"/>
        <w:left w:val="none" w:sz="0" w:space="0" w:color="auto"/>
        <w:bottom w:val="none" w:sz="0" w:space="0" w:color="auto"/>
        <w:right w:val="none" w:sz="0" w:space="0" w:color="auto"/>
      </w:divBdr>
    </w:div>
    <w:div w:id="511115888">
      <w:bodyDiv w:val="1"/>
      <w:marLeft w:val="0"/>
      <w:marRight w:val="0"/>
      <w:marTop w:val="0"/>
      <w:marBottom w:val="0"/>
      <w:divBdr>
        <w:top w:val="none" w:sz="0" w:space="0" w:color="auto"/>
        <w:left w:val="none" w:sz="0" w:space="0" w:color="auto"/>
        <w:bottom w:val="none" w:sz="0" w:space="0" w:color="auto"/>
        <w:right w:val="none" w:sz="0" w:space="0" w:color="auto"/>
      </w:divBdr>
    </w:div>
    <w:div w:id="535657203">
      <w:bodyDiv w:val="1"/>
      <w:marLeft w:val="0"/>
      <w:marRight w:val="0"/>
      <w:marTop w:val="0"/>
      <w:marBottom w:val="0"/>
      <w:divBdr>
        <w:top w:val="none" w:sz="0" w:space="0" w:color="auto"/>
        <w:left w:val="none" w:sz="0" w:space="0" w:color="auto"/>
        <w:bottom w:val="none" w:sz="0" w:space="0" w:color="auto"/>
        <w:right w:val="none" w:sz="0" w:space="0" w:color="auto"/>
      </w:divBdr>
    </w:div>
    <w:div w:id="611324490">
      <w:bodyDiv w:val="1"/>
      <w:marLeft w:val="0"/>
      <w:marRight w:val="0"/>
      <w:marTop w:val="0"/>
      <w:marBottom w:val="0"/>
      <w:divBdr>
        <w:top w:val="none" w:sz="0" w:space="0" w:color="auto"/>
        <w:left w:val="none" w:sz="0" w:space="0" w:color="auto"/>
        <w:bottom w:val="none" w:sz="0" w:space="0" w:color="auto"/>
        <w:right w:val="none" w:sz="0" w:space="0" w:color="auto"/>
      </w:divBdr>
    </w:div>
    <w:div w:id="647713075">
      <w:bodyDiv w:val="1"/>
      <w:marLeft w:val="0"/>
      <w:marRight w:val="0"/>
      <w:marTop w:val="0"/>
      <w:marBottom w:val="0"/>
      <w:divBdr>
        <w:top w:val="none" w:sz="0" w:space="0" w:color="auto"/>
        <w:left w:val="none" w:sz="0" w:space="0" w:color="auto"/>
        <w:bottom w:val="none" w:sz="0" w:space="0" w:color="auto"/>
        <w:right w:val="none" w:sz="0" w:space="0" w:color="auto"/>
      </w:divBdr>
    </w:div>
    <w:div w:id="666787727">
      <w:bodyDiv w:val="1"/>
      <w:marLeft w:val="0"/>
      <w:marRight w:val="0"/>
      <w:marTop w:val="0"/>
      <w:marBottom w:val="0"/>
      <w:divBdr>
        <w:top w:val="none" w:sz="0" w:space="0" w:color="auto"/>
        <w:left w:val="none" w:sz="0" w:space="0" w:color="auto"/>
        <w:bottom w:val="none" w:sz="0" w:space="0" w:color="auto"/>
        <w:right w:val="none" w:sz="0" w:space="0" w:color="auto"/>
      </w:divBdr>
    </w:div>
    <w:div w:id="703214959">
      <w:bodyDiv w:val="1"/>
      <w:marLeft w:val="0"/>
      <w:marRight w:val="0"/>
      <w:marTop w:val="0"/>
      <w:marBottom w:val="0"/>
      <w:divBdr>
        <w:top w:val="none" w:sz="0" w:space="0" w:color="auto"/>
        <w:left w:val="none" w:sz="0" w:space="0" w:color="auto"/>
        <w:bottom w:val="none" w:sz="0" w:space="0" w:color="auto"/>
        <w:right w:val="none" w:sz="0" w:space="0" w:color="auto"/>
      </w:divBdr>
    </w:div>
    <w:div w:id="712076154">
      <w:bodyDiv w:val="1"/>
      <w:marLeft w:val="0"/>
      <w:marRight w:val="0"/>
      <w:marTop w:val="0"/>
      <w:marBottom w:val="0"/>
      <w:divBdr>
        <w:top w:val="none" w:sz="0" w:space="0" w:color="auto"/>
        <w:left w:val="none" w:sz="0" w:space="0" w:color="auto"/>
        <w:bottom w:val="none" w:sz="0" w:space="0" w:color="auto"/>
        <w:right w:val="none" w:sz="0" w:space="0" w:color="auto"/>
      </w:divBdr>
    </w:div>
    <w:div w:id="722102548">
      <w:bodyDiv w:val="1"/>
      <w:marLeft w:val="0"/>
      <w:marRight w:val="0"/>
      <w:marTop w:val="0"/>
      <w:marBottom w:val="0"/>
      <w:divBdr>
        <w:top w:val="none" w:sz="0" w:space="0" w:color="auto"/>
        <w:left w:val="none" w:sz="0" w:space="0" w:color="auto"/>
        <w:bottom w:val="none" w:sz="0" w:space="0" w:color="auto"/>
        <w:right w:val="none" w:sz="0" w:space="0" w:color="auto"/>
      </w:divBdr>
    </w:div>
    <w:div w:id="780220168">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925186467">
      <w:bodyDiv w:val="1"/>
      <w:marLeft w:val="0"/>
      <w:marRight w:val="0"/>
      <w:marTop w:val="0"/>
      <w:marBottom w:val="0"/>
      <w:divBdr>
        <w:top w:val="none" w:sz="0" w:space="0" w:color="auto"/>
        <w:left w:val="none" w:sz="0" w:space="0" w:color="auto"/>
        <w:bottom w:val="none" w:sz="0" w:space="0" w:color="auto"/>
        <w:right w:val="none" w:sz="0" w:space="0" w:color="auto"/>
      </w:divBdr>
    </w:div>
    <w:div w:id="926231262">
      <w:bodyDiv w:val="1"/>
      <w:marLeft w:val="0"/>
      <w:marRight w:val="0"/>
      <w:marTop w:val="0"/>
      <w:marBottom w:val="0"/>
      <w:divBdr>
        <w:top w:val="none" w:sz="0" w:space="0" w:color="auto"/>
        <w:left w:val="none" w:sz="0" w:space="0" w:color="auto"/>
        <w:bottom w:val="none" w:sz="0" w:space="0" w:color="auto"/>
        <w:right w:val="none" w:sz="0" w:space="0" w:color="auto"/>
      </w:divBdr>
    </w:div>
    <w:div w:id="926352643">
      <w:bodyDiv w:val="1"/>
      <w:marLeft w:val="0"/>
      <w:marRight w:val="0"/>
      <w:marTop w:val="0"/>
      <w:marBottom w:val="0"/>
      <w:divBdr>
        <w:top w:val="none" w:sz="0" w:space="0" w:color="auto"/>
        <w:left w:val="none" w:sz="0" w:space="0" w:color="auto"/>
        <w:bottom w:val="none" w:sz="0" w:space="0" w:color="auto"/>
        <w:right w:val="none" w:sz="0" w:space="0" w:color="auto"/>
      </w:divBdr>
    </w:div>
    <w:div w:id="926691445">
      <w:bodyDiv w:val="1"/>
      <w:marLeft w:val="0"/>
      <w:marRight w:val="0"/>
      <w:marTop w:val="0"/>
      <w:marBottom w:val="0"/>
      <w:divBdr>
        <w:top w:val="none" w:sz="0" w:space="0" w:color="auto"/>
        <w:left w:val="none" w:sz="0" w:space="0" w:color="auto"/>
        <w:bottom w:val="none" w:sz="0" w:space="0" w:color="auto"/>
        <w:right w:val="none" w:sz="0" w:space="0" w:color="auto"/>
      </w:divBdr>
    </w:div>
    <w:div w:id="929778704">
      <w:bodyDiv w:val="1"/>
      <w:marLeft w:val="0"/>
      <w:marRight w:val="0"/>
      <w:marTop w:val="0"/>
      <w:marBottom w:val="0"/>
      <w:divBdr>
        <w:top w:val="none" w:sz="0" w:space="0" w:color="auto"/>
        <w:left w:val="none" w:sz="0" w:space="0" w:color="auto"/>
        <w:bottom w:val="none" w:sz="0" w:space="0" w:color="auto"/>
        <w:right w:val="none" w:sz="0" w:space="0" w:color="auto"/>
      </w:divBdr>
    </w:div>
    <w:div w:id="964963091">
      <w:bodyDiv w:val="1"/>
      <w:marLeft w:val="0"/>
      <w:marRight w:val="0"/>
      <w:marTop w:val="0"/>
      <w:marBottom w:val="0"/>
      <w:divBdr>
        <w:top w:val="none" w:sz="0" w:space="0" w:color="auto"/>
        <w:left w:val="none" w:sz="0" w:space="0" w:color="auto"/>
        <w:bottom w:val="none" w:sz="0" w:space="0" w:color="auto"/>
        <w:right w:val="none" w:sz="0" w:space="0" w:color="auto"/>
      </w:divBdr>
    </w:div>
    <w:div w:id="986667463">
      <w:bodyDiv w:val="1"/>
      <w:marLeft w:val="0"/>
      <w:marRight w:val="0"/>
      <w:marTop w:val="0"/>
      <w:marBottom w:val="0"/>
      <w:divBdr>
        <w:top w:val="none" w:sz="0" w:space="0" w:color="auto"/>
        <w:left w:val="none" w:sz="0" w:space="0" w:color="auto"/>
        <w:bottom w:val="none" w:sz="0" w:space="0" w:color="auto"/>
        <w:right w:val="none" w:sz="0" w:space="0" w:color="auto"/>
      </w:divBdr>
    </w:div>
    <w:div w:id="998583963">
      <w:bodyDiv w:val="1"/>
      <w:marLeft w:val="0"/>
      <w:marRight w:val="0"/>
      <w:marTop w:val="0"/>
      <w:marBottom w:val="0"/>
      <w:divBdr>
        <w:top w:val="none" w:sz="0" w:space="0" w:color="auto"/>
        <w:left w:val="none" w:sz="0" w:space="0" w:color="auto"/>
        <w:bottom w:val="none" w:sz="0" w:space="0" w:color="auto"/>
        <w:right w:val="none" w:sz="0" w:space="0" w:color="auto"/>
      </w:divBdr>
    </w:div>
    <w:div w:id="1038045317">
      <w:bodyDiv w:val="1"/>
      <w:marLeft w:val="0"/>
      <w:marRight w:val="0"/>
      <w:marTop w:val="0"/>
      <w:marBottom w:val="0"/>
      <w:divBdr>
        <w:top w:val="none" w:sz="0" w:space="0" w:color="auto"/>
        <w:left w:val="none" w:sz="0" w:space="0" w:color="auto"/>
        <w:bottom w:val="none" w:sz="0" w:space="0" w:color="auto"/>
        <w:right w:val="none" w:sz="0" w:space="0" w:color="auto"/>
      </w:divBdr>
      <w:divsChild>
        <w:div w:id="878710888">
          <w:marLeft w:val="0"/>
          <w:marRight w:val="0"/>
          <w:marTop w:val="0"/>
          <w:marBottom w:val="0"/>
          <w:divBdr>
            <w:top w:val="none" w:sz="0" w:space="0" w:color="auto"/>
            <w:left w:val="none" w:sz="0" w:space="0" w:color="auto"/>
            <w:bottom w:val="none" w:sz="0" w:space="0" w:color="auto"/>
            <w:right w:val="none" w:sz="0" w:space="0" w:color="auto"/>
          </w:divBdr>
          <w:divsChild>
            <w:div w:id="251743312">
              <w:marLeft w:val="0"/>
              <w:marRight w:val="0"/>
              <w:marTop w:val="0"/>
              <w:marBottom w:val="0"/>
              <w:divBdr>
                <w:top w:val="none" w:sz="0" w:space="0" w:color="auto"/>
                <w:left w:val="none" w:sz="0" w:space="0" w:color="auto"/>
                <w:bottom w:val="none" w:sz="0" w:space="0" w:color="auto"/>
                <w:right w:val="none" w:sz="0" w:space="0" w:color="auto"/>
              </w:divBdr>
            </w:div>
          </w:divsChild>
        </w:div>
        <w:div w:id="1395465696">
          <w:marLeft w:val="0"/>
          <w:marRight w:val="0"/>
          <w:marTop w:val="0"/>
          <w:marBottom w:val="0"/>
          <w:divBdr>
            <w:top w:val="none" w:sz="0" w:space="0" w:color="auto"/>
            <w:left w:val="none" w:sz="0" w:space="0" w:color="auto"/>
            <w:bottom w:val="none" w:sz="0" w:space="0" w:color="auto"/>
            <w:right w:val="none" w:sz="0" w:space="0" w:color="auto"/>
          </w:divBdr>
          <w:divsChild>
            <w:div w:id="965429715">
              <w:marLeft w:val="0"/>
              <w:marRight w:val="0"/>
              <w:marTop w:val="0"/>
              <w:marBottom w:val="0"/>
              <w:divBdr>
                <w:top w:val="none" w:sz="0" w:space="0" w:color="auto"/>
                <w:left w:val="none" w:sz="0" w:space="0" w:color="auto"/>
                <w:bottom w:val="none" w:sz="0" w:space="0" w:color="auto"/>
                <w:right w:val="none" w:sz="0" w:space="0" w:color="auto"/>
              </w:divBdr>
            </w:div>
          </w:divsChild>
        </w:div>
        <w:div w:id="1499420113">
          <w:marLeft w:val="0"/>
          <w:marRight w:val="0"/>
          <w:marTop w:val="0"/>
          <w:marBottom w:val="0"/>
          <w:divBdr>
            <w:top w:val="none" w:sz="0" w:space="0" w:color="auto"/>
            <w:left w:val="none" w:sz="0" w:space="0" w:color="auto"/>
            <w:bottom w:val="none" w:sz="0" w:space="0" w:color="auto"/>
            <w:right w:val="none" w:sz="0" w:space="0" w:color="auto"/>
          </w:divBdr>
          <w:divsChild>
            <w:div w:id="1662151960">
              <w:marLeft w:val="0"/>
              <w:marRight w:val="0"/>
              <w:marTop w:val="0"/>
              <w:marBottom w:val="0"/>
              <w:divBdr>
                <w:top w:val="none" w:sz="0" w:space="0" w:color="auto"/>
                <w:left w:val="none" w:sz="0" w:space="0" w:color="auto"/>
                <w:bottom w:val="none" w:sz="0" w:space="0" w:color="auto"/>
                <w:right w:val="none" w:sz="0" w:space="0" w:color="auto"/>
              </w:divBdr>
              <w:divsChild>
                <w:div w:id="20036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036">
          <w:marLeft w:val="0"/>
          <w:marRight w:val="0"/>
          <w:marTop w:val="0"/>
          <w:marBottom w:val="0"/>
          <w:divBdr>
            <w:top w:val="none" w:sz="0" w:space="0" w:color="auto"/>
            <w:left w:val="none" w:sz="0" w:space="0" w:color="auto"/>
            <w:bottom w:val="none" w:sz="0" w:space="0" w:color="auto"/>
            <w:right w:val="none" w:sz="0" w:space="0" w:color="auto"/>
          </w:divBdr>
          <w:divsChild>
            <w:div w:id="876048411">
              <w:marLeft w:val="0"/>
              <w:marRight w:val="0"/>
              <w:marTop w:val="0"/>
              <w:marBottom w:val="0"/>
              <w:divBdr>
                <w:top w:val="none" w:sz="0" w:space="0" w:color="auto"/>
                <w:left w:val="none" w:sz="0" w:space="0" w:color="auto"/>
                <w:bottom w:val="none" w:sz="0" w:space="0" w:color="auto"/>
                <w:right w:val="none" w:sz="0" w:space="0" w:color="auto"/>
              </w:divBdr>
              <w:divsChild>
                <w:div w:id="1112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1916">
      <w:bodyDiv w:val="1"/>
      <w:marLeft w:val="0"/>
      <w:marRight w:val="0"/>
      <w:marTop w:val="0"/>
      <w:marBottom w:val="0"/>
      <w:divBdr>
        <w:top w:val="none" w:sz="0" w:space="0" w:color="auto"/>
        <w:left w:val="none" w:sz="0" w:space="0" w:color="auto"/>
        <w:bottom w:val="none" w:sz="0" w:space="0" w:color="auto"/>
        <w:right w:val="none" w:sz="0" w:space="0" w:color="auto"/>
      </w:divBdr>
      <w:divsChild>
        <w:div w:id="9456660">
          <w:marLeft w:val="0"/>
          <w:marRight w:val="0"/>
          <w:marTop w:val="0"/>
          <w:marBottom w:val="0"/>
          <w:divBdr>
            <w:top w:val="none" w:sz="0" w:space="0" w:color="auto"/>
            <w:left w:val="none" w:sz="0" w:space="0" w:color="auto"/>
            <w:bottom w:val="none" w:sz="0" w:space="0" w:color="auto"/>
            <w:right w:val="none" w:sz="0" w:space="0" w:color="auto"/>
          </w:divBdr>
          <w:divsChild>
            <w:div w:id="1212762451">
              <w:marLeft w:val="0"/>
              <w:marRight w:val="0"/>
              <w:marTop w:val="0"/>
              <w:marBottom w:val="0"/>
              <w:divBdr>
                <w:top w:val="none" w:sz="0" w:space="0" w:color="auto"/>
                <w:left w:val="none" w:sz="0" w:space="0" w:color="auto"/>
                <w:bottom w:val="none" w:sz="0" w:space="0" w:color="auto"/>
                <w:right w:val="none" w:sz="0" w:space="0" w:color="auto"/>
              </w:divBdr>
            </w:div>
          </w:divsChild>
        </w:div>
        <w:div w:id="561256311">
          <w:marLeft w:val="0"/>
          <w:marRight w:val="0"/>
          <w:marTop w:val="0"/>
          <w:marBottom w:val="0"/>
          <w:divBdr>
            <w:top w:val="none" w:sz="0" w:space="0" w:color="auto"/>
            <w:left w:val="none" w:sz="0" w:space="0" w:color="auto"/>
            <w:bottom w:val="none" w:sz="0" w:space="0" w:color="auto"/>
            <w:right w:val="none" w:sz="0" w:space="0" w:color="auto"/>
          </w:divBdr>
          <w:divsChild>
            <w:div w:id="1124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3119">
      <w:bodyDiv w:val="1"/>
      <w:marLeft w:val="0"/>
      <w:marRight w:val="0"/>
      <w:marTop w:val="0"/>
      <w:marBottom w:val="0"/>
      <w:divBdr>
        <w:top w:val="none" w:sz="0" w:space="0" w:color="auto"/>
        <w:left w:val="none" w:sz="0" w:space="0" w:color="auto"/>
        <w:bottom w:val="none" w:sz="0" w:space="0" w:color="auto"/>
        <w:right w:val="none" w:sz="0" w:space="0" w:color="auto"/>
      </w:divBdr>
    </w:div>
    <w:div w:id="1084376038">
      <w:bodyDiv w:val="1"/>
      <w:marLeft w:val="0"/>
      <w:marRight w:val="0"/>
      <w:marTop w:val="0"/>
      <w:marBottom w:val="0"/>
      <w:divBdr>
        <w:top w:val="none" w:sz="0" w:space="0" w:color="auto"/>
        <w:left w:val="none" w:sz="0" w:space="0" w:color="auto"/>
        <w:bottom w:val="none" w:sz="0" w:space="0" w:color="auto"/>
        <w:right w:val="none" w:sz="0" w:space="0" w:color="auto"/>
      </w:divBdr>
      <w:divsChild>
        <w:div w:id="644704675">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
          </w:divsChild>
        </w:div>
        <w:div w:id="739716264">
          <w:marLeft w:val="0"/>
          <w:marRight w:val="0"/>
          <w:marTop w:val="0"/>
          <w:marBottom w:val="0"/>
          <w:divBdr>
            <w:top w:val="none" w:sz="0" w:space="0" w:color="auto"/>
            <w:left w:val="none" w:sz="0" w:space="0" w:color="auto"/>
            <w:bottom w:val="none" w:sz="0" w:space="0" w:color="auto"/>
            <w:right w:val="none" w:sz="0" w:space="0" w:color="auto"/>
          </w:divBdr>
          <w:divsChild>
            <w:div w:id="1932422743">
              <w:marLeft w:val="0"/>
              <w:marRight w:val="0"/>
              <w:marTop w:val="0"/>
              <w:marBottom w:val="0"/>
              <w:divBdr>
                <w:top w:val="none" w:sz="0" w:space="0" w:color="auto"/>
                <w:left w:val="none" w:sz="0" w:space="0" w:color="auto"/>
                <w:bottom w:val="none" w:sz="0" w:space="0" w:color="auto"/>
                <w:right w:val="none" w:sz="0" w:space="0" w:color="auto"/>
              </w:divBdr>
            </w:div>
          </w:divsChild>
        </w:div>
        <w:div w:id="1742874830">
          <w:marLeft w:val="0"/>
          <w:marRight w:val="0"/>
          <w:marTop w:val="0"/>
          <w:marBottom w:val="0"/>
          <w:divBdr>
            <w:top w:val="none" w:sz="0" w:space="0" w:color="auto"/>
            <w:left w:val="none" w:sz="0" w:space="0" w:color="auto"/>
            <w:bottom w:val="none" w:sz="0" w:space="0" w:color="auto"/>
            <w:right w:val="none" w:sz="0" w:space="0" w:color="auto"/>
          </w:divBdr>
          <w:divsChild>
            <w:div w:id="530145877">
              <w:marLeft w:val="0"/>
              <w:marRight w:val="0"/>
              <w:marTop w:val="0"/>
              <w:marBottom w:val="0"/>
              <w:divBdr>
                <w:top w:val="none" w:sz="0" w:space="0" w:color="auto"/>
                <w:left w:val="none" w:sz="0" w:space="0" w:color="auto"/>
                <w:bottom w:val="none" w:sz="0" w:space="0" w:color="auto"/>
                <w:right w:val="none" w:sz="0" w:space="0" w:color="auto"/>
              </w:divBdr>
              <w:divsChild>
                <w:div w:id="415632699">
                  <w:marLeft w:val="0"/>
                  <w:marRight w:val="0"/>
                  <w:marTop w:val="0"/>
                  <w:marBottom w:val="0"/>
                  <w:divBdr>
                    <w:top w:val="none" w:sz="0" w:space="0" w:color="auto"/>
                    <w:left w:val="none" w:sz="0" w:space="0" w:color="auto"/>
                    <w:bottom w:val="none" w:sz="0" w:space="0" w:color="auto"/>
                    <w:right w:val="none" w:sz="0" w:space="0" w:color="auto"/>
                  </w:divBdr>
                  <w:divsChild>
                    <w:div w:id="716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644">
              <w:marLeft w:val="0"/>
              <w:marRight w:val="0"/>
              <w:marTop w:val="0"/>
              <w:marBottom w:val="0"/>
              <w:divBdr>
                <w:top w:val="none" w:sz="0" w:space="0" w:color="auto"/>
                <w:left w:val="none" w:sz="0" w:space="0" w:color="auto"/>
                <w:bottom w:val="none" w:sz="0" w:space="0" w:color="auto"/>
                <w:right w:val="none" w:sz="0" w:space="0" w:color="auto"/>
              </w:divBdr>
              <w:divsChild>
                <w:div w:id="1829900570">
                  <w:marLeft w:val="0"/>
                  <w:marRight w:val="0"/>
                  <w:marTop w:val="0"/>
                  <w:marBottom w:val="0"/>
                  <w:divBdr>
                    <w:top w:val="none" w:sz="0" w:space="0" w:color="auto"/>
                    <w:left w:val="none" w:sz="0" w:space="0" w:color="auto"/>
                    <w:bottom w:val="none" w:sz="0" w:space="0" w:color="auto"/>
                    <w:right w:val="none" w:sz="0" w:space="0" w:color="auto"/>
                  </w:divBdr>
                  <w:divsChild>
                    <w:div w:id="865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568">
              <w:marLeft w:val="0"/>
              <w:marRight w:val="0"/>
              <w:marTop w:val="0"/>
              <w:marBottom w:val="0"/>
              <w:divBdr>
                <w:top w:val="none" w:sz="0" w:space="0" w:color="auto"/>
                <w:left w:val="none" w:sz="0" w:space="0" w:color="auto"/>
                <w:bottom w:val="none" w:sz="0" w:space="0" w:color="auto"/>
                <w:right w:val="none" w:sz="0" w:space="0" w:color="auto"/>
              </w:divBdr>
              <w:divsChild>
                <w:div w:id="1911113110">
                  <w:marLeft w:val="0"/>
                  <w:marRight w:val="0"/>
                  <w:marTop w:val="0"/>
                  <w:marBottom w:val="0"/>
                  <w:divBdr>
                    <w:top w:val="none" w:sz="0" w:space="0" w:color="auto"/>
                    <w:left w:val="none" w:sz="0" w:space="0" w:color="auto"/>
                    <w:bottom w:val="none" w:sz="0" w:space="0" w:color="auto"/>
                    <w:right w:val="none" w:sz="0" w:space="0" w:color="auto"/>
                  </w:divBdr>
                  <w:divsChild>
                    <w:div w:id="206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298">
              <w:marLeft w:val="0"/>
              <w:marRight w:val="0"/>
              <w:marTop w:val="0"/>
              <w:marBottom w:val="0"/>
              <w:divBdr>
                <w:top w:val="none" w:sz="0" w:space="0" w:color="auto"/>
                <w:left w:val="none" w:sz="0" w:space="0" w:color="auto"/>
                <w:bottom w:val="none" w:sz="0" w:space="0" w:color="auto"/>
                <w:right w:val="none" w:sz="0" w:space="0" w:color="auto"/>
              </w:divBdr>
              <w:divsChild>
                <w:div w:id="945622503">
                  <w:marLeft w:val="0"/>
                  <w:marRight w:val="0"/>
                  <w:marTop w:val="0"/>
                  <w:marBottom w:val="0"/>
                  <w:divBdr>
                    <w:top w:val="none" w:sz="0" w:space="0" w:color="auto"/>
                    <w:left w:val="none" w:sz="0" w:space="0" w:color="auto"/>
                    <w:bottom w:val="none" w:sz="0" w:space="0" w:color="auto"/>
                    <w:right w:val="none" w:sz="0" w:space="0" w:color="auto"/>
                  </w:divBdr>
                  <w:divsChild>
                    <w:div w:id="1779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1967">
              <w:marLeft w:val="0"/>
              <w:marRight w:val="0"/>
              <w:marTop w:val="0"/>
              <w:marBottom w:val="0"/>
              <w:divBdr>
                <w:top w:val="none" w:sz="0" w:space="0" w:color="auto"/>
                <w:left w:val="none" w:sz="0" w:space="0" w:color="auto"/>
                <w:bottom w:val="none" w:sz="0" w:space="0" w:color="auto"/>
                <w:right w:val="none" w:sz="0" w:space="0" w:color="auto"/>
              </w:divBdr>
              <w:divsChild>
                <w:div w:id="1651325435">
                  <w:marLeft w:val="0"/>
                  <w:marRight w:val="0"/>
                  <w:marTop w:val="0"/>
                  <w:marBottom w:val="0"/>
                  <w:divBdr>
                    <w:top w:val="none" w:sz="0" w:space="0" w:color="auto"/>
                    <w:left w:val="none" w:sz="0" w:space="0" w:color="auto"/>
                    <w:bottom w:val="none" w:sz="0" w:space="0" w:color="auto"/>
                    <w:right w:val="none" w:sz="0" w:space="0" w:color="auto"/>
                  </w:divBdr>
                  <w:divsChild>
                    <w:div w:id="13477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456">
              <w:marLeft w:val="0"/>
              <w:marRight w:val="0"/>
              <w:marTop w:val="0"/>
              <w:marBottom w:val="0"/>
              <w:divBdr>
                <w:top w:val="none" w:sz="0" w:space="0" w:color="auto"/>
                <w:left w:val="none" w:sz="0" w:space="0" w:color="auto"/>
                <w:bottom w:val="none" w:sz="0" w:space="0" w:color="auto"/>
                <w:right w:val="none" w:sz="0" w:space="0" w:color="auto"/>
              </w:divBdr>
              <w:divsChild>
                <w:div w:id="453865476">
                  <w:marLeft w:val="0"/>
                  <w:marRight w:val="0"/>
                  <w:marTop w:val="0"/>
                  <w:marBottom w:val="0"/>
                  <w:divBdr>
                    <w:top w:val="none" w:sz="0" w:space="0" w:color="auto"/>
                    <w:left w:val="none" w:sz="0" w:space="0" w:color="auto"/>
                    <w:bottom w:val="none" w:sz="0" w:space="0" w:color="auto"/>
                    <w:right w:val="none" w:sz="0" w:space="0" w:color="auto"/>
                  </w:divBdr>
                  <w:divsChild>
                    <w:div w:id="106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70600">
      <w:bodyDiv w:val="1"/>
      <w:marLeft w:val="0"/>
      <w:marRight w:val="0"/>
      <w:marTop w:val="0"/>
      <w:marBottom w:val="0"/>
      <w:divBdr>
        <w:top w:val="none" w:sz="0" w:space="0" w:color="auto"/>
        <w:left w:val="none" w:sz="0" w:space="0" w:color="auto"/>
        <w:bottom w:val="none" w:sz="0" w:space="0" w:color="auto"/>
        <w:right w:val="none" w:sz="0" w:space="0" w:color="auto"/>
      </w:divBdr>
    </w:div>
    <w:div w:id="1210074129">
      <w:bodyDiv w:val="1"/>
      <w:marLeft w:val="0"/>
      <w:marRight w:val="0"/>
      <w:marTop w:val="0"/>
      <w:marBottom w:val="0"/>
      <w:divBdr>
        <w:top w:val="none" w:sz="0" w:space="0" w:color="auto"/>
        <w:left w:val="none" w:sz="0" w:space="0" w:color="auto"/>
        <w:bottom w:val="none" w:sz="0" w:space="0" w:color="auto"/>
        <w:right w:val="none" w:sz="0" w:space="0" w:color="auto"/>
      </w:divBdr>
    </w:div>
    <w:div w:id="1216314119">
      <w:bodyDiv w:val="1"/>
      <w:marLeft w:val="0"/>
      <w:marRight w:val="0"/>
      <w:marTop w:val="0"/>
      <w:marBottom w:val="0"/>
      <w:divBdr>
        <w:top w:val="none" w:sz="0" w:space="0" w:color="auto"/>
        <w:left w:val="none" w:sz="0" w:space="0" w:color="auto"/>
        <w:bottom w:val="none" w:sz="0" w:space="0" w:color="auto"/>
        <w:right w:val="none" w:sz="0" w:space="0" w:color="auto"/>
      </w:divBdr>
    </w:div>
    <w:div w:id="1260287773">
      <w:bodyDiv w:val="1"/>
      <w:marLeft w:val="0"/>
      <w:marRight w:val="0"/>
      <w:marTop w:val="0"/>
      <w:marBottom w:val="0"/>
      <w:divBdr>
        <w:top w:val="none" w:sz="0" w:space="0" w:color="auto"/>
        <w:left w:val="none" w:sz="0" w:space="0" w:color="auto"/>
        <w:bottom w:val="none" w:sz="0" w:space="0" w:color="auto"/>
        <w:right w:val="none" w:sz="0" w:space="0" w:color="auto"/>
      </w:divBdr>
    </w:div>
    <w:div w:id="1262101429">
      <w:bodyDiv w:val="1"/>
      <w:marLeft w:val="0"/>
      <w:marRight w:val="0"/>
      <w:marTop w:val="0"/>
      <w:marBottom w:val="0"/>
      <w:divBdr>
        <w:top w:val="none" w:sz="0" w:space="0" w:color="auto"/>
        <w:left w:val="none" w:sz="0" w:space="0" w:color="auto"/>
        <w:bottom w:val="none" w:sz="0" w:space="0" w:color="auto"/>
        <w:right w:val="none" w:sz="0" w:space="0" w:color="auto"/>
      </w:divBdr>
    </w:div>
    <w:div w:id="1295719344">
      <w:bodyDiv w:val="1"/>
      <w:marLeft w:val="0"/>
      <w:marRight w:val="0"/>
      <w:marTop w:val="0"/>
      <w:marBottom w:val="0"/>
      <w:divBdr>
        <w:top w:val="none" w:sz="0" w:space="0" w:color="auto"/>
        <w:left w:val="none" w:sz="0" w:space="0" w:color="auto"/>
        <w:bottom w:val="none" w:sz="0" w:space="0" w:color="auto"/>
        <w:right w:val="none" w:sz="0" w:space="0" w:color="auto"/>
      </w:divBdr>
    </w:div>
    <w:div w:id="1301812591">
      <w:bodyDiv w:val="1"/>
      <w:marLeft w:val="0"/>
      <w:marRight w:val="0"/>
      <w:marTop w:val="0"/>
      <w:marBottom w:val="0"/>
      <w:divBdr>
        <w:top w:val="none" w:sz="0" w:space="0" w:color="auto"/>
        <w:left w:val="none" w:sz="0" w:space="0" w:color="auto"/>
        <w:bottom w:val="none" w:sz="0" w:space="0" w:color="auto"/>
        <w:right w:val="none" w:sz="0" w:space="0" w:color="auto"/>
      </w:divBdr>
    </w:div>
    <w:div w:id="1343825775">
      <w:bodyDiv w:val="1"/>
      <w:marLeft w:val="0"/>
      <w:marRight w:val="0"/>
      <w:marTop w:val="0"/>
      <w:marBottom w:val="0"/>
      <w:divBdr>
        <w:top w:val="none" w:sz="0" w:space="0" w:color="auto"/>
        <w:left w:val="none" w:sz="0" w:space="0" w:color="auto"/>
        <w:bottom w:val="none" w:sz="0" w:space="0" w:color="auto"/>
        <w:right w:val="none" w:sz="0" w:space="0" w:color="auto"/>
      </w:divBdr>
    </w:div>
    <w:div w:id="1391269358">
      <w:bodyDiv w:val="1"/>
      <w:marLeft w:val="0"/>
      <w:marRight w:val="0"/>
      <w:marTop w:val="0"/>
      <w:marBottom w:val="0"/>
      <w:divBdr>
        <w:top w:val="none" w:sz="0" w:space="0" w:color="auto"/>
        <w:left w:val="none" w:sz="0" w:space="0" w:color="auto"/>
        <w:bottom w:val="none" w:sz="0" w:space="0" w:color="auto"/>
        <w:right w:val="none" w:sz="0" w:space="0" w:color="auto"/>
      </w:divBdr>
    </w:div>
    <w:div w:id="1439526832">
      <w:bodyDiv w:val="1"/>
      <w:marLeft w:val="0"/>
      <w:marRight w:val="0"/>
      <w:marTop w:val="0"/>
      <w:marBottom w:val="0"/>
      <w:divBdr>
        <w:top w:val="none" w:sz="0" w:space="0" w:color="auto"/>
        <w:left w:val="none" w:sz="0" w:space="0" w:color="auto"/>
        <w:bottom w:val="none" w:sz="0" w:space="0" w:color="auto"/>
        <w:right w:val="none" w:sz="0" w:space="0" w:color="auto"/>
      </w:divBdr>
    </w:div>
    <w:div w:id="1463886198">
      <w:bodyDiv w:val="1"/>
      <w:marLeft w:val="0"/>
      <w:marRight w:val="0"/>
      <w:marTop w:val="0"/>
      <w:marBottom w:val="0"/>
      <w:divBdr>
        <w:top w:val="none" w:sz="0" w:space="0" w:color="auto"/>
        <w:left w:val="none" w:sz="0" w:space="0" w:color="auto"/>
        <w:bottom w:val="none" w:sz="0" w:space="0" w:color="auto"/>
        <w:right w:val="none" w:sz="0" w:space="0" w:color="auto"/>
      </w:divBdr>
    </w:div>
    <w:div w:id="1487208735">
      <w:bodyDiv w:val="1"/>
      <w:marLeft w:val="0"/>
      <w:marRight w:val="0"/>
      <w:marTop w:val="0"/>
      <w:marBottom w:val="0"/>
      <w:divBdr>
        <w:top w:val="none" w:sz="0" w:space="0" w:color="auto"/>
        <w:left w:val="none" w:sz="0" w:space="0" w:color="auto"/>
        <w:bottom w:val="none" w:sz="0" w:space="0" w:color="auto"/>
        <w:right w:val="none" w:sz="0" w:space="0" w:color="auto"/>
      </w:divBdr>
    </w:div>
    <w:div w:id="1565752985">
      <w:bodyDiv w:val="1"/>
      <w:marLeft w:val="0"/>
      <w:marRight w:val="0"/>
      <w:marTop w:val="0"/>
      <w:marBottom w:val="0"/>
      <w:divBdr>
        <w:top w:val="none" w:sz="0" w:space="0" w:color="auto"/>
        <w:left w:val="none" w:sz="0" w:space="0" w:color="auto"/>
        <w:bottom w:val="none" w:sz="0" w:space="0" w:color="auto"/>
        <w:right w:val="none" w:sz="0" w:space="0" w:color="auto"/>
      </w:divBdr>
    </w:div>
    <w:div w:id="1575967467">
      <w:bodyDiv w:val="1"/>
      <w:marLeft w:val="0"/>
      <w:marRight w:val="0"/>
      <w:marTop w:val="0"/>
      <w:marBottom w:val="0"/>
      <w:divBdr>
        <w:top w:val="none" w:sz="0" w:space="0" w:color="auto"/>
        <w:left w:val="none" w:sz="0" w:space="0" w:color="auto"/>
        <w:bottom w:val="none" w:sz="0" w:space="0" w:color="auto"/>
        <w:right w:val="none" w:sz="0" w:space="0" w:color="auto"/>
      </w:divBdr>
    </w:div>
    <w:div w:id="1582981977">
      <w:bodyDiv w:val="1"/>
      <w:marLeft w:val="0"/>
      <w:marRight w:val="0"/>
      <w:marTop w:val="0"/>
      <w:marBottom w:val="0"/>
      <w:divBdr>
        <w:top w:val="none" w:sz="0" w:space="0" w:color="auto"/>
        <w:left w:val="none" w:sz="0" w:space="0" w:color="auto"/>
        <w:bottom w:val="none" w:sz="0" w:space="0" w:color="auto"/>
        <w:right w:val="none" w:sz="0" w:space="0" w:color="auto"/>
      </w:divBdr>
    </w:div>
    <w:div w:id="1607687398">
      <w:bodyDiv w:val="1"/>
      <w:marLeft w:val="0"/>
      <w:marRight w:val="0"/>
      <w:marTop w:val="0"/>
      <w:marBottom w:val="0"/>
      <w:divBdr>
        <w:top w:val="none" w:sz="0" w:space="0" w:color="auto"/>
        <w:left w:val="none" w:sz="0" w:space="0" w:color="auto"/>
        <w:bottom w:val="none" w:sz="0" w:space="0" w:color="auto"/>
        <w:right w:val="none" w:sz="0" w:space="0" w:color="auto"/>
      </w:divBdr>
    </w:div>
    <w:div w:id="1609968127">
      <w:bodyDiv w:val="1"/>
      <w:marLeft w:val="0"/>
      <w:marRight w:val="0"/>
      <w:marTop w:val="0"/>
      <w:marBottom w:val="0"/>
      <w:divBdr>
        <w:top w:val="none" w:sz="0" w:space="0" w:color="auto"/>
        <w:left w:val="none" w:sz="0" w:space="0" w:color="auto"/>
        <w:bottom w:val="none" w:sz="0" w:space="0" w:color="auto"/>
        <w:right w:val="none" w:sz="0" w:space="0" w:color="auto"/>
      </w:divBdr>
    </w:div>
    <w:div w:id="1626621121">
      <w:bodyDiv w:val="1"/>
      <w:marLeft w:val="0"/>
      <w:marRight w:val="0"/>
      <w:marTop w:val="0"/>
      <w:marBottom w:val="0"/>
      <w:divBdr>
        <w:top w:val="none" w:sz="0" w:space="0" w:color="auto"/>
        <w:left w:val="none" w:sz="0" w:space="0" w:color="auto"/>
        <w:bottom w:val="none" w:sz="0" w:space="0" w:color="auto"/>
        <w:right w:val="none" w:sz="0" w:space="0" w:color="auto"/>
      </w:divBdr>
    </w:div>
    <w:div w:id="1658340297">
      <w:bodyDiv w:val="1"/>
      <w:marLeft w:val="0"/>
      <w:marRight w:val="0"/>
      <w:marTop w:val="0"/>
      <w:marBottom w:val="0"/>
      <w:divBdr>
        <w:top w:val="none" w:sz="0" w:space="0" w:color="auto"/>
        <w:left w:val="none" w:sz="0" w:space="0" w:color="auto"/>
        <w:bottom w:val="none" w:sz="0" w:space="0" w:color="auto"/>
        <w:right w:val="none" w:sz="0" w:space="0" w:color="auto"/>
      </w:divBdr>
    </w:div>
    <w:div w:id="1661274365">
      <w:bodyDiv w:val="1"/>
      <w:marLeft w:val="0"/>
      <w:marRight w:val="0"/>
      <w:marTop w:val="0"/>
      <w:marBottom w:val="0"/>
      <w:divBdr>
        <w:top w:val="none" w:sz="0" w:space="0" w:color="auto"/>
        <w:left w:val="none" w:sz="0" w:space="0" w:color="auto"/>
        <w:bottom w:val="none" w:sz="0" w:space="0" w:color="auto"/>
        <w:right w:val="none" w:sz="0" w:space="0" w:color="auto"/>
      </w:divBdr>
    </w:div>
    <w:div w:id="1670401844">
      <w:bodyDiv w:val="1"/>
      <w:marLeft w:val="0"/>
      <w:marRight w:val="0"/>
      <w:marTop w:val="0"/>
      <w:marBottom w:val="0"/>
      <w:divBdr>
        <w:top w:val="none" w:sz="0" w:space="0" w:color="auto"/>
        <w:left w:val="none" w:sz="0" w:space="0" w:color="auto"/>
        <w:bottom w:val="none" w:sz="0" w:space="0" w:color="auto"/>
        <w:right w:val="none" w:sz="0" w:space="0" w:color="auto"/>
      </w:divBdr>
    </w:div>
    <w:div w:id="1690987847">
      <w:bodyDiv w:val="1"/>
      <w:marLeft w:val="0"/>
      <w:marRight w:val="0"/>
      <w:marTop w:val="0"/>
      <w:marBottom w:val="0"/>
      <w:divBdr>
        <w:top w:val="none" w:sz="0" w:space="0" w:color="auto"/>
        <w:left w:val="none" w:sz="0" w:space="0" w:color="auto"/>
        <w:bottom w:val="none" w:sz="0" w:space="0" w:color="auto"/>
        <w:right w:val="none" w:sz="0" w:space="0" w:color="auto"/>
      </w:divBdr>
    </w:div>
    <w:div w:id="1703241635">
      <w:bodyDiv w:val="1"/>
      <w:marLeft w:val="0"/>
      <w:marRight w:val="0"/>
      <w:marTop w:val="0"/>
      <w:marBottom w:val="0"/>
      <w:divBdr>
        <w:top w:val="none" w:sz="0" w:space="0" w:color="auto"/>
        <w:left w:val="none" w:sz="0" w:space="0" w:color="auto"/>
        <w:bottom w:val="none" w:sz="0" w:space="0" w:color="auto"/>
        <w:right w:val="none" w:sz="0" w:space="0" w:color="auto"/>
      </w:divBdr>
    </w:div>
    <w:div w:id="1735545933">
      <w:bodyDiv w:val="1"/>
      <w:marLeft w:val="0"/>
      <w:marRight w:val="0"/>
      <w:marTop w:val="0"/>
      <w:marBottom w:val="0"/>
      <w:divBdr>
        <w:top w:val="none" w:sz="0" w:space="0" w:color="auto"/>
        <w:left w:val="none" w:sz="0" w:space="0" w:color="auto"/>
        <w:bottom w:val="none" w:sz="0" w:space="0" w:color="auto"/>
        <w:right w:val="none" w:sz="0" w:space="0" w:color="auto"/>
      </w:divBdr>
    </w:div>
    <w:div w:id="1750345059">
      <w:bodyDiv w:val="1"/>
      <w:marLeft w:val="0"/>
      <w:marRight w:val="0"/>
      <w:marTop w:val="0"/>
      <w:marBottom w:val="0"/>
      <w:divBdr>
        <w:top w:val="none" w:sz="0" w:space="0" w:color="auto"/>
        <w:left w:val="none" w:sz="0" w:space="0" w:color="auto"/>
        <w:bottom w:val="none" w:sz="0" w:space="0" w:color="auto"/>
        <w:right w:val="none" w:sz="0" w:space="0" w:color="auto"/>
      </w:divBdr>
    </w:div>
    <w:div w:id="1772045802">
      <w:bodyDiv w:val="1"/>
      <w:marLeft w:val="0"/>
      <w:marRight w:val="0"/>
      <w:marTop w:val="0"/>
      <w:marBottom w:val="0"/>
      <w:divBdr>
        <w:top w:val="none" w:sz="0" w:space="0" w:color="auto"/>
        <w:left w:val="none" w:sz="0" w:space="0" w:color="auto"/>
        <w:bottom w:val="none" w:sz="0" w:space="0" w:color="auto"/>
        <w:right w:val="none" w:sz="0" w:space="0" w:color="auto"/>
      </w:divBdr>
      <w:divsChild>
        <w:div w:id="1528330842">
          <w:marLeft w:val="0"/>
          <w:marRight w:val="0"/>
          <w:marTop w:val="0"/>
          <w:marBottom w:val="0"/>
          <w:divBdr>
            <w:top w:val="none" w:sz="0" w:space="0" w:color="auto"/>
            <w:left w:val="none" w:sz="0" w:space="0" w:color="auto"/>
            <w:bottom w:val="none" w:sz="0" w:space="0" w:color="auto"/>
            <w:right w:val="none" w:sz="0" w:space="0" w:color="auto"/>
          </w:divBdr>
          <w:divsChild>
            <w:div w:id="74405760">
              <w:marLeft w:val="0"/>
              <w:marRight w:val="0"/>
              <w:marTop w:val="0"/>
              <w:marBottom w:val="0"/>
              <w:divBdr>
                <w:top w:val="none" w:sz="0" w:space="0" w:color="auto"/>
                <w:left w:val="none" w:sz="0" w:space="0" w:color="auto"/>
                <w:bottom w:val="none" w:sz="0" w:space="0" w:color="auto"/>
                <w:right w:val="none" w:sz="0" w:space="0" w:color="auto"/>
              </w:divBdr>
            </w:div>
          </w:divsChild>
        </w:div>
        <w:div w:id="1956401021">
          <w:marLeft w:val="0"/>
          <w:marRight w:val="0"/>
          <w:marTop w:val="0"/>
          <w:marBottom w:val="0"/>
          <w:divBdr>
            <w:top w:val="none" w:sz="0" w:space="0" w:color="auto"/>
            <w:left w:val="none" w:sz="0" w:space="0" w:color="auto"/>
            <w:bottom w:val="none" w:sz="0" w:space="0" w:color="auto"/>
            <w:right w:val="none" w:sz="0" w:space="0" w:color="auto"/>
          </w:divBdr>
          <w:divsChild>
            <w:div w:id="2040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715">
      <w:bodyDiv w:val="1"/>
      <w:marLeft w:val="0"/>
      <w:marRight w:val="0"/>
      <w:marTop w:val="0"/>
      <w:marBottom w:val="0"/>
      <w:divBdr>
        <w:top w:val="none" w:sz="0" w:space="0" w:color="auto"/>
        <w:left w:val="none" w:sz="0" w:space="0" w:color="auto"/>
        <w:bottom w:val="none" w:sz="0" w:space="0" w:color="auto"/>
        <w:right w:val="none" w:sz="0" w:space="0" w:color="auto"/>
      </w:divBdr>
    </w:div>
    <w:div w:id="1817839845">
      <w:bodyDiv w:val="1"/>
      <w:marLeft w:val="0"/>
      <w:marRight w:val="0"/>
      <w:marTop w:val="0"/>
      <w:marBottom w:val="0"/>
      <w:divBdr>
        <w:top w:val="none" w:sz="0" w:space="0" w:color="auto"/>
        <w:left w:val="none" w:sz="0" w:space="0" w:color="auto"/>
        <w:bottom w:val="none" w:sz="0" w:space="0" w:color="auto"/>
        <w:right w:val="none" w:sz="0" w:space="0" w:color="auto"/>
      </w:divBdr>
    </w:div>
    <w:div w:id="1861164056">
      <w:bodyDiv w:val="1"/>
      <w:marLeft w:val="0"/>
      <w:marRight w:val="0"/>
      <w:marTop w:val="0"/>
      <w:marBottom w:val="0"/>
      <w:divBdr>
        <w:top w:val="none" w:sz="0" w:space="0" w:color="auto"/>
        <w:left w:val="none" w:sz="0" w:space="0" w:color="auto"/>
        <w:bottom w:val="none" w:sz="0" w:space="0" w:color="auto"/>
        <w:right w:val="none" w:sz="0" w:space="0" w:color="auto"/>
      </w:divBdr>
    </w:div>
    <w:div w:id="1868904741">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 w:id="208478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dm:cachedDataManifest xmlns:cdm="http://schemas.microsoft.com/2004/VisualStudio/Tools/Applications/CachedDataManifest.xsd" cdm:revision="1"/>
</file>

<file path=customXml/item10.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n-document xmlns:xsd="http://www.w3.org/2001/XMLSchema" xmlns:xsi="http://www.w3.org/2001/XMLSchema-instance" guid="0" synced="true" validated="true">
  <n-docbody>
    <standard.doc precedenttype="agreement">
      <prelim>
        <product.name>product.name0</product.name>
        <title>Long term incentive plan (LTIP): rules</title>
        <author>
          <link href="http://uk.practicallaw.com/about/our-team/uk-share-schemes-incentives" style="ACTLinkURL">
            <ital>Practical Law Share Schemes &amp; Incentives</ital>
          </link>
           with assistance from Graham Rowlands-Hempel, Neil Sharpe of Linklaters and Nicholas Stretch of Ashurst
        </author>
        <resource.type>Standard documents</resource.type>
        <juris>juris0</juris>
        <juris>juris1</juris>
      </prelim>
      <abstract>
        <para>
          <paratext>Template standard rules for a listed company's long term incentive plan (LTIP), sometimes called a performance share plan (PSP). These rules provide for non tax-advantaged market value options and nil-cost options, conditional shares (restricted share units), forfeitable shares, phantom shares, phantom options and share appreciation rights. It includes schedules to allow the grant of tax-advantaged CSOP options and US incentive stock options (ISOs).</paratext>
        </para>
      </abstract>
      <toc.identifier hasToc="true"/>
      <body>
        <drafting.note id="a917088" jurisdiction="">
          <head align="left" preservecase="true">
            <headtext>About this document</headtext>
          </head>
          <division id="a000007" level="1">
            <para>
              <paratext>
                This document is designed to constitute an 
                <link href="6-107-6213" style="ACTLinkPLCtoPLC">
                  <bold>
                    <ital>employees' share scheme</ital>
                  </bold>
                </link>
                . It is for use by a 
                <link href="6-203-2398" style="ACTLinkPLCtoPLC">
                  <bold>
                    <ital>listed company</ital>
                  </bold>
                </link>
                 which wishes to establish a flexible omnibus 
                <link href="0-107-6796" style="ACTLinkPLCtoPLC">
                  <bold>
                    <ital>long term incentive plan</ital>
                  </bold>
                </link>
                 (LTIP). An LTIP can also be called a performance share plan (PSP), although PSPs tend to use only Conditional Share Awards.
              </paratext>
            </para>
            <para>
              <paratext>
                The Plan is intended to comply with the 
                <link href="7-107-6774" style="ACTLinkPLCtoPLC">
                  <bold>
                    <ital>Listing Rules</ital>
                  </bold>
                </link>
                 (LR) and 
                <link href="2-205-8149" style="ACTLinkPLCtoPLC">
                  <bold>
                    <ital>The Investment Association principles of remuneration</ital>
                  </bold>
                </link>
                .
              </paratext>
            </para>
            <para>
              <paratext>
                For further information about LTIPs, see 
                <link href="3-604-1205" style="ACTLinkPLCtoPLC">
                  <ital>Practice note, Long term incentive plans (LTIPs)</ital>
                </link>
                .
              </paratext>
            </para>
          </division>
          <division id="a275908" level="1">
            <head align="left" preservecase="true">
              <headtext>Types of award</headtext>
            </head>
            <para>
              <paratext>The plan provides for the following types of award:</paratext>
            </para>
            <list type="bulleted">
              <list.item>
                <para>
                  <paratext>Non tax-advantaged Options (at nil-cost or with an Exercise Price).</paratext>
                </para>
              </list.item>
              <list.item>
                <para>
                  <paratext>Conditional Share Awards (sometimes called restricted share units, performance shares or deferred shares).</paratext>
                </para>
              </list.item>
              <list.item>
                <para>
                  <paratext>Forfeitable Share Awards (sometimes called restricted shares).</paratext>
                </para>
              </list.item>
              <list.item>
                <para>
                  <paratext>Phantom Share Awards.</paratext>
                </para>
              </list.item>
              <list.item>
                <para>
                  <paratext>
                    <link href="3-376-5197" style="ACTLinkPLCtoPLC">
                      <bold>
                        <ital>Phantom Options</ital>
                      </bold>
                    </link>
                     (see 
                    <link href="0-585-2565" style="ACTLinkPLCtoPLC">
                      <ital>Practice note, Phantom shares and options</ital>
                    </link>
                    ).
                  </paratext>
                </para>
              </list.item>
              <list.item>
                <para>
                  <paratext>
                    Share Appreciation Rights (SARs) (see 
                    <link href="8-205-2979" style="ACTLinkPLCtoPLC">
                      <ital>Practice note, Share appreciation rights (SARs)</ital>
                    </link>
                    ).
                  </paratext>
                </para>
              </list.item>
            </list>
            <para>
              <paratext>
                It includes schedules to allow the grant of tax-advantaged 
                <link href="1-107-5956" style="ACTLinkPLCtoPLC">
                  <bold>
                    <ital>CSOP</ital>
                  </bold>
                </link>
                 options and 
                <link href="1-502-4585" style="ACTLinkPLCtoPLC">
                  <bold>
                    <ital>Incentive Stock Options</ital>
                  </bold>
                </link>
                 (ISOs) for US taxpayers.
              </paratext>
            </para>
            <para>
              <paratext>The type of Award that will be appropriate in any situation will depend on what the company wants to achieve. The types of Award can be categorised according to three characteristics:</paratext>
            </para>
            <list type="bulleted">
              <list.item>
                <para>
                  <paratext>
                    <bold>Shares or cash?</bold>
                     Cash-settled Awards are intended be settled only in cash while Share-settled Awards are settled in Shares. Cash-settled Awards are typically used for employees who reside in countries where there are exchange control or securities law obstacles to using real Shares.
                  </paratext>
                </para>
              </list.item>
              <list.item>
                <para>
                  <paratext>
                    <bold>Whole value or growth?</bold>
                     Some types of Award deliver the whole value of a Share while others deliver only the growth in value of a Share above a certain amount, known as the Exercise Price or Base Price depending on the Award type.
                  </paratext>
                </para>
              </list.item>
              <list.item>
                <para>
                  <paratext>
                    <bold>Automatic release or option?</bold>
                     Non-Option Awards are settled by an automatic delivery of value to the Award Holder on the Release Date while Options do not deliver value until the Award Holder exercises them.
                  </paratext>
                </para>
              </list.item>
            </list>
            <para>
              <paratext>
                These features are summarised in 
                <link anchor="a171010" href="3-604-1205" style="ACTLinkPLCtoPLC">
                  <ital>Practice note, Long term incentive plans (LTIPs): Comparison table</ital>
                </link>
                .
              </paratext>
            </para>
            <para>
              <paratext>The most common type of Awards granted to UK resident employees of a listed company are Nil Cost Options or Conditional Shares. Market practice differs over time and which Award type is used may depend on the economic climate and the tax regime in force.</paratext>
            </para>
            <para>
              <paratext>Currently we understand that Nil Cost Options are favoured because they allow the Award Holder to decide when to exercise and trigger an income tax liability. This is particularly important in allowing the Award Holder to exercise either before an increase in tax rates or after a reduction.</paratext>
            </para>
            <para>
              <paratext>The disadvantages are that the company has less control over its exposure to Employer NICs on Options compared with Conditional Shares (although it is possible to transfer this exposure to the Award Holder), and there is a timing advantage for the corporation tax deduction for Conditional Shares.</paratext>
            </para>
            <division id="a917523" level="2">
              <head align="left" preservecase="true">
                <headtext>Transfer Only Awards</headtext>
              </head>
              <para>
                <paratext>
                  The five types of Award that can be settled in shares can be designated as Transfer Only Awards. This means that they must be settled by the transfer of existing Shares from a shareholder (such as an 
                  <link href="6-205-8072" style="ACTLinkPLCtoPLC">
                    <bold>
                      <ital>employee benefit trust</ital>
                    </bold>
                  </link>
                   (EBT), rather than by the issue of new Shares or the transfer of 
                  <link href="1-107-7413" style="ACTLinkPLCtoPLC">
                    <bold>
                      <ital>treasury shares</ital>
                    </bold>
                  </link>
                  . The designation as a Transfer Only Award can be removed, as long as this does not cause a breach of the dilution limits in 
                  <internal.reference refid="a56752">rule 5.3</internal.reference>
                  .
                </paratext>
              </para>
            </division>
          </division>
          <division id="a921212" level="1">
            <head align="left" preservecase="true">
              <headtext>Timing issues</headtext>
            </head>
            <division id="a162528" level="2">
              <head align="left" preservecase="true">
                <headtext>Employment Period, Performance Period and Holding Period</headtext>
              </head>
              <para>
                <paratext>The rules refer to three different periods:</paratext>
              </para>
              <list type="bulleted">
                <list.item>
                  <para>
                    <paratext>
                      The Employment Period is the period during which the Award Holder is required to work for the Group. It starts on the Grant Date and continues for at least three years. The relevance of the Employment Period is to time-apportion the Awards of early leavers and on a change of Control. An Award Holder who leaves during the Employment Period will usually forfeit their Award, unless they are a good leaver, in which case it will be time-apportioned. The Investment Association principles of remuneration refer to a "service period" which lasts three years from the grant date; the Employment Period gives effect to this. (
                      <link href="4-209-4976" style="ACTLinkPLCtoPLC">
                        <ital>The Investment Association: Guidance for remuneration committees: Section C2 (x)</ital>
                      </link>
                      .)
                    </paratext>
                  </para>
                </list.item>
                <list.item>
                  <para>
                    <paratext>
                      The Performance Period is the period over which performance is measured to see whether the Performance Condition has been met. It will often start before the Grant Date and finish before the end of the Employment Period. For example, the Performance Period might be three consecutive financial years, but the Grant Date might not occur until a few months after the beginning of the first of those financial years. The Investment Association principles of remuneration require that the Performance Period should not be less than three years. (
                      <link href="4-209-4976" style="ACTLinkPLCtoPLC">
                        <ital>The Investment Association: Guidance for remuneration committees: Section C2 (ii)(a)</ital>
                      </link>
                      .)
                    </paratext>
                  </para>
                </list.item>
                <list.item>
                  <para>
                    <paratext>
                      The Holding Period is the period during which the Award Holder must continue to hold Shares after they have been Released. It starts on the Release Date and continues until (at the earliest), the fifth anniversary of the Grant Date. Award Holders can sell enough Shares to cover the Tax Liability arising on Release (or exercise in the case of an Option) but must retain the remaining Shares. This gives effect to the requirement of 
                      <link anchor="a283006" href="w-014-0498" style="ACTLinkPLCtoPLC">
                        <ital>Provision 36</ital>
                      </link>
                       of the 
                      <link href="2-502-1888" style="ACTLinkPLCtoPLC">
                        <ital>UK Corporate Governance Code</ital>
                      </link>
                       that share awards should be subject to a total vesting and holding period of five years or more.
                    </paratext>
                  </para>
                </list.item>
              </list>
            </division>
            <division id="a858245" level="2">
              <head align="left" preservecase="true">
                <headtext>Performance Measurement Date and Release Date</headtext>
              </head>
              <para>
                <paratext>The Performance Measurement Date is the date when the Board meets to consider whether the Performance Condition has been achieved.</paratext>
              </para>
              <para>
                <paratext>The Release Date is the date on which the Award is Released. This means that the Award Holder can exercise an Option, and the Shares subject to a Non-Option Award are delivered to the Nominee to be held for the Award Holder until the end of the Holding Period.</paratext>
              </para>
              <para>
                <paratext>Normally the Performance Measurement Date and the Release Date will be the same, but it is possible that they will be different if, for example, the Performance Measurement Date occurs in a Closed Period.</paratext>
              </para>
            </division>
            <division id="a793572" level="2">
              <head align="left" preservecase="true">
                <headtext>Vest and vesting</headtext>
              </head>
              <para>
                <paratext>This document intentionally does not use the words "vest" or "vesting". This is because this term is often misunderstood. All Awards are subject to:</paratext>
              </para>
              <list type="bulleted">
                <list.item>
                  <para>
                    <paratext>The requirement to stay in employment throughout the Employment Period.</paratext>
                  </para>
                </list.item>
                <list.item>
                  <para>
                    <paratext>The Performance Condition.</paratext>
                  </para>
                </list.item>
                <list.item>
                  <para>
                    <paratext>Malus and clawback.</paratext>
                  </para>
                </list.item>
              </list>
            </division>
          </division>
          <division id="a900503" level="1">
            <head align="left" preservecase="true">
              <headtext>Market practice</headtext>
            </head>
            <para>
              <paratext>Market practice in relation to LTIPs is evolving. As practice develops, Practical Law will update this document and, where relevant, give examples of companies that have adopted particular approaches.</paratext>
            </para>
          </division>
        </drafting.note>
        <cover.sheet>
          <head align="left" preservecase="true">
            <headtext>Name of Company</headtext>
          </head>
          <subject.intro>Long term incentive plan</subject.intro>
        </cover.sheet>
        <preamble>
          <drafting.note id="a626782" jurisdiction="">
            <head align="left" preservecase="true">
              <headtext>Shareholder approval</headtext>
            </head>
            <division id="a000008" level="1">
              <para>
                <paratext>
                  It is a requirement of the LR that a long-term incentive scheme (as defined in the LR) must be approved by shareholders. It is also a requirement under US tax law for a plan that permits the grant of ISOs. For more information on the LR, see 
                  <link href="4-382-0184" style="ACTLinkPLCtoPLC">
                    <ital>Practice note, Listing Rules: employee share schemes aspects</ital>
                  </link>
                  .
                </paratext>
              </para>
              <para>
                <paratext>
                  For specimen wording describing the Plan to be contained in a 
                  <link href="5-200-1420" style="ACTLinkPLCtoPLC">
                    <ital>circular</ital>
                  </link>
                   to shareholders, an 
                  <link href="3-203-1164" style="ACTLinkPLCtoPLC">
                    <ital>AIM admission document</ital>
                  </link>
                   or a 
                  <link href="5-107-7072" style="ACTLinkPLCtoPLC">
                    <ital>prospectus</ital>
                  </link>
                  , see 
                  <link href="w-016-9014" style="ACTLinkPLCtoPLC">
                    <ital>Standard document, Summary of proposed long term incentive plan</ital>
                  </link>
                  .
                </paratext>
              </para>
            </division>
          </drafting.note>
          <para>
            <paratext>Rules of the [COMPANY NAME] Long term incentive plan.</paratext>
          </para>
          <para>
            <paratext>Established by resolution of the board of directors of the Company on [DATE].</paratext>
          </para>
          <para>
            <paratext>Approved at a general meeting of shareholders on [DATE].</paratext>
          </para>
        </preamble>
        <operative xrefname="rule">
          <clause id="a474021">
            <identifier>1.</identifier>
            <head align="left" preservecase="true">
              <headtext>Interpretation</headtext>
            </head>
            <para>
              <paratext>The following definitions and rules of interpretation apply in the Plan.</paratext>
            </para>
            <subclause1 id="a336895">
              <identifier>1.1</identifier>
              <para>
                <paratext>Definitions</paratext>
              </para>
              <defn.item id="a154425">
                <defn.term>Acceptance Notice</defn.term>
                <defn>
                  <para>
                    <paratext>a document in a form approved by the Board that the Award Holder must sign and return to the Company as a condition of the Release of a Non-Option Award.</paratext>
                  </para>
                </defn>
                <drafting.note id="a323660" jurisdiction="">
                  <head align="left" preservecase="true">
                    <headtext>Acceptance Notice</headtext>
                  </head>
                  <division id="a000009" level="1">
                    <para>
                      <paratext>This is a notice that the Award Holder must sign as a condition of the Release of a Non-Option Award. It includes the Award Holder's acceptance of the clawback provisions and a power of attorney allowing the Company to sell sufficient shares to cover a Tax Liability. The Exercise Notice fulfils the same role for an Option.</paratext>
                    </para>
                  </division>
                </drafting.note>
              </defn.item>
              <defn.item id="a242108">
                <defn.term>Acquiror</defn.term>
                <defn>
                  <para>
                    <paratext>a person who obtains Control of the Company either alone or together with persons Acting in Concert.</paratext>
                  </para>
                </defn>
              </defn.item>
              <defn.item id="a337576">
                <defn.term>Acting in Concert</defn.term>
                <defn>
                  <para>
                    <paratext>has the meaning given to it in the City Code on Takeovers and Mergers published by the Panel on Takeovers and Mergers.</paratext>
                  </para>
                </defn>
                <drafting.note id="a862357" jurisdiction="">
                  <head align="left" preservecase="true">
                    <headtext>Acting in Concert</headtext>
                  </head>
                  <division id="a000010" level="1">
                    <para>
                      <paratext>This definition is principally used in the definition of Acquiror.</paratext>
                    </para>
                  </division>
                </drafting.note>
              </defn.item>
              <defn.item id="a918149">
                <defn.term>Adoption Date</defn.term>
                <defn>
                  <para>
                    <paratext>the date of the approval of the Plan by the Company's shareholders.</paratext>
                  </para>
                </defn>
              </defn.item>
              <defn.item id="a280550">
                <defn.term>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Phantom Option;</paratext>
                      </para>
                    </list.item>
                    <list.item>
                      <para>
                        <paratext>a Phantom Share Award; or</paratext>
                      </para>
                    </list.item>
                    <list.item>
                      <para>
                        <paratext>a Share-settled Share Appreciation Right.</paratext>
                      </para>
                    </list.item>
                  </list>
                </defn>
              </defn.item>
              <defn.item id="a969369">
                <defn.term>Award Certificate</defn.term>
                <defn>
                  <para>
                    <paratext>
                      a certificate setting out the terms of an Award, in accordance with 
                      <internal.reference refid="a959101">rule 2.4</internal.reference>
                      .
                    </paratext>
                  </para>
                </defn>
              </defn.item>
              <defn.item id="a910198">
                <defn.term>Award Holder</defn.term>
                <defn>
                  <para>
                    <paratext>an individual who holds an Award or, where applicable, that individual's personal representatives.</paratext>
                  </para>
                </defn>
              </defn.item>
              <defn.item id="a714690">
                <defn.term>Base Price</defn.term>
                <defn>
                  <para>
                    <paratext>the amount (if any) which is deducted from the Market Value of a Share in order to determine the amount due to the Award Holder who exercises a Phantom Option or when a Share Appreciation Right is Released. For the avoidance of doubt, the Base Price in relation to a Phantom Option may be nil.</paratext>
                  </para>
                </defn>
                <drafting.note id="a1011688" jurisdiction="">
                  <head align="left" preservecase="true">
                    <headtext>Base Price</headtext>
                  </head>
                  <division id="a000011" level="1">
                    <para>
                      <paratext>Base Price is used to calculate the amount of value due to an Award Holder who exercises a Phantom Option, or when a Share Appreciation Right is Released.</paratext>
                    </para>
                  </division>
                </drafting.note>
              </defn.item>
              <defn.item id="a284081">
                <defn.term>Board</defn.term>
                <defn>
                  <para>
                    <paratext>the board of directors of the Company or a committee of directors appointed by that board to carry out any of its functions under the Plan.</paratext>
                  </para>
                </defn>
                <drafting.note id="a197316" jurisdiction="">
                  <head align="left" preservecase="true">
                    <headtext>Board</headtext>
                  </head>
                  <division id="a000012" level="1">
                    <para>
                      <paratext>An appropriately constituted remuneration committee should be responsible for most decisions relating to share incentives awarded to directors and senior managers by companies subject to the Investment Association principles of remuneration. This definition includes a remuneration committee, or any other type of committee to whom the board of directors delegate their functions under the Plan.</paratext>
                    </para>
                  </division>
                </drafting.note>
              </defn.item>
              <defn.item id="a676033">
                <defn.term>Business Day</defn.term>
                <defn>
                  <para>
                    <paratext>a day other than a Saturday, Sunday or public holiday in England when banks in London are open for business.</paratext>
                  </para>
                </defn>
                <drafting.note id="a903033" jurisdiction="">
                  <head align="left" preservecase="true">
                    <headtext>Business Day</headtext>
                  </head>
                  <division id="a000013" level="1">
                    <para>
                      <paratext>
                        This is only used in 
                        <internal.reference refid="a360067">rule 25</internal.reference>
                         (Notices).
                      </paratext>
                    </para>
                  </division>
                </drafting.note>
              </defn.item>
              <defn.item id="a651148">
                <defn.term>Cash-settled Award</defn.term>
                <defn>
                  <para>
                    <paratext>any of the following:</paratext>
                  </para>
                  <list type="loweralpha">
                    <list.item>
                      <para>
                        <paratext>a Cash-settled Share Appreciation Right;</paratext>
                      </para>
                    </list.item>
                    <list.item>
                      <para>
                        <paratext>a Phantom Option; or</paratext>
                      </para>
                    </list.item>
                    <list.item>
                      <para>
                        <paratext>a Phantom Share Award.</paratext>
                      </para>
                    </list.item>
                  </list>
                </defn>
              </defn.item>
              <defn.item id="a684250">
                <defn.term>Cash-settled Share Appreciation Right</defn.term>
                <defn>
                  <para>
                    <paratext>a right to receive a cash payment on the Release Date equal to the Market Value of a specified number (N) of Shares minus the Base Price of those Shares.</paratext>
                  </para>
                </defn>
                <drafting.note id="a470985" jurisdiction="">
                  <head align="left" preservecase="true">
                    <headtext>Cash-settled Share Appreciation Right</headtext>
                  </head>
                  <division id="a000014" level="1">
                    <para>
                      <paratext>This is a right to receive a cash payment on the Release Date. The cash payment is calculated as the Market Value of a number (N) of Shares minus a Base Price. For example:</paratext>
                    </para>
                    <list type="bulleted">
                      <list.item>
                        <para>
                          <paratext>The Award Holder receives a Cash-settled Share Appreciation Right over 20,000 Shares with a Base Price of £10 per Share.</paratext>
                        </para>
                      </list.item>
                      <list.item>
                        <para>
                          <paratext>On the Release Date, the Market Value of a Share is £15.</paratext>
                        </para>
                      </list.item>
                      <list.item>
                        <para>
                          <paratext>The payment due under the Cash-settled Share Appreciation Right is £100,000, calculated as (£15 - £10) x 20,000.</paratext>
                        </para>
                      </list.item>
                    </list>
                  </division>
                </drafting.note>
              </defn.item>
              <defn.item id="a418292">
                <defn.term>Clawback Amount</defn.term>
                <defn>
                  <para>
                    <paratext>
                      an amount of value determined in accordance with 
                      <internal.reference refid="a391918">rule 11</internal.reference>
                      .
                    </paratext>
                  </para>
                </defn>
              </defn.item>
              <defn.item id="a157429">
                <defn.term>Closed Period</defn.term>
                <defn>
                  <para>
                    <paratext>has the same meaning as in UK MAR.</paratext>
                  </para>
                </defn>
              </defn.item>
              <defn.item id="a170979">
                <defn.term>Company</defn.term>
                <defn>
                  <para>
                    <paratext>[FULL COMPANY NAME] incorporated and registered in [COUNTRY OF INCORPORATION] with number [NUMBER].</paratext>
                  </para>
                </defn>
              </defn.item>
              <defn.item id="a600353">
                <defn.term>Conditional Share Award</defn.term>
                <defn>
                  <para>
                    <paratext>a right to acquire for no cost a specified number of Shares on the Release Date.</paratext>
                  </para>
                </defn>
                <drafting.note id="a795470" jurisdiction="">
                  <head align="left" preservecase="true">
                    <headtext>Conditional Share Award</headtext>
                  </head>
                  <division id="a000015" level="1">
                    <para>
                      <paratext>
                        This is a right to acquire a specified number of Shares in future. The Shares must be delivered to the Award Holder on the Release Date. No payment is due from the Award Holder for the Shares. At first sight this conflicts with the requirement in 
                        <link href="2-506-2001" style="ACTLinkPLCtoPLC">
                          <ital>section 580</ital>
                        </link>
                         of the Companies Act 2006 that a company cannot issue shares at a discount to their nominal value. This is generally dealt with by funding an EBT to subscribe for new shares, or acquire shares in the market, and transfer them to the Award Holder. For more information, see 
                        <link href="8-205-0145#a400044" style="ACTLinkPLCtoPLC">
                          <ital>Practice note, Sourcing shares and hedging for share plans: Sourcing shares is a particular issue for LTIPs</ital>
                        </link>
                        .
                      </paratext>
                    </para>
                    <para>
                      <paratext>
                        Another reason for using an EBT to acquire the Shares is to ensure that the Award falls outside the definition of a "discounted option" and therefore does not require shareholder approval under 
                        <link href="https://www.handbook.fca.org.uk/handbook/LR/9/4.html" style="ACTLinkURL">
                          <ital>LR 9.4.4</ital>
                        </link>
                        . For a detailed discussion of the issues surrounding shareholder approval for Conditional Shares, see 
                        <link href="4-382-0184#a103485" style="ACTLinkPLCtoPLC">
                          <ital>Practice note, Listing Rules: employee share schemes aspects: Is a nil cost option a "discounted option" requiring shareholder approval?</ital>
                        </link>
                        .
                      </paratext>
                    </para>
                  </division>
                </drafting.note>
              </defn.item>
              <defn.item id="a206655">
                <defn.term>Control</defn.term>
                <defn>
                  <para>
                    <paratext>
                      shall be as defined in section 719 of ITEPA 2003 and the expression 
                      <defn.term>change of Control</defn.term>
                       shall be construed accordingly.
                    </paratext>
                  </para>
                </defn>
                <drafting.note id="a253561" jurisdiction="">
                  <head align="left" preservecase="true">
                    <headtext>Control</headtext>
                  </head>
                  <division id="a000016" level="1">
                    <para>
                      <paratext>
                        We suggest using the definition of Control in 
                        <link href="6-513-5492" style="ACTLinkPLCtoPLC">
                          <ital>section 719</ital>
                        </link>
                         of ITEPA 2003, since this definition must be used in any tax-advantaged plans that the Company operates. For ease of reference, it reads as follows:
                      </paratext>
                    </para>
                    <display.quote>
                      <para>
                        <paratext>"In relation to a body corporate ("company A"), "control" means the power of a person ("P") to secure–</paratext>
                      </para>
                    </display.quote>
                    <display.quote>
                      <para>
                        <paratext>(a) by means of the holding of shares or the possession of voting power in relation to that or any other body corporate, or</paratext>
                      </para>
                    </display.quote>
                    <display.quote>
                      <para>
                        <paratext>(b) as a result of any powers conferred by the articles of association or other document regulating that or any other body corporate,</paratext>
                      </para>
                    </display.quote>
                    <display.quote>
                      <para>
                        <paratext>that the affairs of company A are conducted in accordance with P's wishes."</paratext>
                      </para>
                    </display.quote>
                  </division>
                </drafting.note>
              </defn.item>
              <defn.item condition="optional" id="a340764">
                <defn.term>CSOP Option</defn.term>
                <defn>
                  <para>
                    <paratext>
                      a Market Value Option granted under the terms of 
                      <internal.reference refid="a426489">Schedule 1</internal.reference>
                      .
                    </paratext>
                  </para>
                </defn>
                <drafting.note id="a343056" jurisdiction="">
                  <head align="left" preservecase="true">
                    <headtext>CSOP Option (optional definition)</headtext>
                  </head>
                  <division id="a000017" level="1">
                    <para>
                      <paratext>This definition is optional and can be deleted if the Company does not want to use a CSOP sub-plan.</paratext>
                    </para>
                  </division>
                </drafting.note>
              </defn.item>
              <defn.item id="a412777">
                <defn.term>Dealing Day</defn.term>
                <defn>
                  <para>
                    <paratext>a day on which the London Stock Exchange is open for business.</paratext>
                  </para>
                </defn>
              </defn.item>
              <defn.item id="a864027">
                <defn.term>Dilutive Shares</defn.term>
                <defn>
                  <para>
                    <paratext>on any date, all shares of the Company which:</paratext>
                  </para>
                  <para>
                    <paratext>a. have been issued, or transferred out of treasury, on the exercise of options granted, or in satisfaction of any other awards made, under any Share Incentive Scheme (including the Plan) during [the shorter of]:</paratext>
                  </para>
                  <para>
                    <paratext>i. the ten years ending on (and including) that date[; and</paratext>
                  </para>
                  <para>
                    <paratext>ii. [the period since such shares were first admitted to the Official List maintained by the Financial Conduct Authority; and]</paratext>
                  </para>
                  <para>
                    <paratext>b. remain capable of issue, or transfer out of treasury, under any Existing Award.</paratext>
                  </para>
                  <para>
                    <paratext>For the avoidance of doubt, Shares subject to Cash-settled Awards and Transfer Only Awards are not Dilutive Shares.</paratext>
                  </para>
                </defn>
                <drafting.note id="a265952" jurisdiction="">
                  <head align="left" preservecase="true">
                    <headtext>Dilutive Shares</headtext>
                  </head>
                  <division id="a000018" level="1">
                    <para>
                      <paratext>
                        This definition is required for compliance with the Investment Association principles of remuneration and is used in 
                        <internal.reference refid="a272740">rule 5</internal.reference>
                        .
                      </paratext>
                    </para>
                    <para>
                      <paratext>Shares under Options which can no longer be exercised and Non-Option Awards that have lapsed are excluded from the definition of Dilutive Shares, because this means that the headroom for further new Awards to be granted under the Plan will increase accordingly as soon as an Award either:</paratext>
                    </para>
                    <list type="bulleted">
                      <list.item>
                        <para>
                          <paratext>
                            Lapses (in whole or in part), for example because of failure to meet, or only partial satisfaction of, Performance Conditions (see 
                            <internal.reference refid="a740292">rule 3.6</internal.reference>
                            ).
                          </paratext>
                        </para>
                      </list.item>
                      <list.item>
                        <para>
                          <paratext>
                            Becomes subject to pro-rated limits under 
                            <internal.reference refid="a818297">rule 18.2</internal.reference>
                             or 
                            <internal.reference refid="a576911">rule 19.2</internal.reference>
                            .
                          </paratext>
                        </para>
                      </list.item>
                    </list>
                    <para>
                      <paratext>
                        Paragraph (a)(ii) of the definition of Dilutive Shares may be useful if the Plan is to be implemented immediately before or some time after an 
                        <link href="9-107-6264" style="ACTLinkPLCtoPLC">
                          <bold>
                            <ital>initial public offer</ital>
                          </bold>
                        </link>
                        . The company might decide that investors have been put on notice of existing outstanding awards by appropriate statements in the listing circular, so the percentage limit set under 
                        <internal.reference refid="a272740">rule 5</internal.reference>
                         only needs to apply to options granted after the date of admission.
                      </paratext>
                    </para>
                  </division>
                </drafting.note>
              </defn.item>
              <defn.item id="a941389">
                <defn.term>Discretionary Dilutive Shares</defn.term>
                <defn>
                  <para>
                    <paratext>Dilutive Shares which:</paratext>
                  </para>
                  <list type="loweralpha">
                    <list.item>
                      <para>
                        <paratext>were acquired under; or</paratext>
                      </para>
                    </list.item>
                    <list.item>
                      <para>
                        <paratext>remain subject to Existing Awards granted under,</paratext>
                      </para>
                    </list.item>
                  </list>
                  <para>
                    <paratext>any Share Incentive Scheme (including the Plan) under which awards:</paratext>
                  </para>
                  <list type="loweralpha">
                    <list.item>
                      <para>
                        <paratext>are made at the discretion of the Board or any other grantor; and</paratext>
                      </para>
                    </list.item>
                    <list.item>
                      <para>
                        <paratext>do not have to be offered to all, or substantially all, employees who are eligible to participate.</paratext>
                      </para>
                    </list.item>
                  </list>
                </defn>
                <drafting.note id="a84370" jurisdiction="">
                  <head align="left" preservecase="true">
                    <headtext>Discretionary Dilutive Shares</headtext>
                  </head>
                  <division id="a000019" level="1">
                    <para>
                      <paratext>
                        This definition is required for compliance with the Investment Association principles of remuneration. It is used in 
                        <internal.reference refid="a762844">rule 5.2</internal.reference>
                        .
                      </paratext>
                    </para>
                  </division>
                </drafting.note>
              </defn.item>
              <defn.item id="a144438">
                <defn.term>Dividend Equivalent</defn.term>
                <defn>
                  <para>
                    <paratext>
                      has the meaning set out in 
                      <internal.reference refid="a62542">rule 4</internal.reference>
                      .
                    </paratext>
                  </para>
                </defn>
              </defn.item>
              <defn.item id="a931618">
                <defn.term>Employee</defn.term>
                <defn>
                  <para>
                    <paratext>any individual who is an employee (including an executive director) of a Group Company.</paratext>
                  </para>
                </defn>
              </defn.item>
              <defn.item id="a876732">
                <defn.term>Employer Company</defn.term>
                <defn>
                  <para>
                    <paratext>the Award Holder's employer or former employer as applicable.</paratext>
                  </para>
                </defn>
                <drafting.note id="a599247" jurisdiction="">
                  <head align="left" preservecase="true">
                    <headtext>Employer Company</headtext>
                  </head>
                  <division id="a000020" level="1">
                    <para>
                      <paratext>The employee's employing company, or former employing company, is primarily responsible for accounting for income tax under PAYE to HMRC.</paratext>
                    </para>
                  </division>
                </drafting.note>
              </defn.item>
              <defn.item id="a428462">
                <defn.term>Employer NICs</defn.term>
                <defn>
                  <para>
                    <paratext>
                      any secondary class 1 (employer) NICs (or the equivalent in any jurisdiction) that any Employer Company is liable to pay (or reasonably believes it is liable to pay) as a result of any Taxable Event (or which it would be liable to pay in the absence of an election referred to in 
                      <internal.reference refid="a260250">rule 23.4</internal.reference>
                      ) and which may be lawfully recovered from the Award Holder.
                    </paratext>
                  </para>
                </defn>
              </defn.item>
              <defn.item id="a452337">
                <defn.term>Employment Period</defn.term>
                <defn>
                  <para>
                    <paratext>the period that starts on the Grant Date and ends on such date as the Board may specify, not being earlier than the [third] anniversary of the Grant Date.</paratext>
                  </para>
                </defn>
                <drafting.note id="a703915" jurisdiction="">
                  <head align="left" preservecase="true">
                    <headtext>Employment Period</headtext>
                  </head>
                  <division id="a000021" level="1">
                    <para>
                      <paratext>The Investment Association principles of remuneration say that Awards should be subject to the Award Holder remaining in employment for at least three years.</paratext>
                    </para>
                  </division>
                </drafting.note>
              </defn.item>
              <defn.item id="a127719">
                <defn.term>Exercise Date</defn.term>
                <defn>
                  <para>
                    <paratext>in relation to an Option, the date on which it is exercised.</paratext>
                  </para>
                </defn>
              </defn.item>
              <defn.item id="a401428">
                <defn.term>Exercise Notice</defn.term>
                <defn>
                  <para>
                    <paratext>a document in a form approved by the Board that the Award Holder must sign and return to the Company in order to exercise an Option.</paratext>
                  </para>
                </defn>
              </defn.item>
              <defn.item id="a831774">
                <defn.term>Exercise Price</defn.term>
                <defn>
                  <para>
                    <paratext>the price at which each Share subject to a Market Value Option or Nominal Cost Option may be acquired on the exercise of that Option.</paratext>
                  </para>
                </defn>
              </defn.item>
              <defn.item id="a286297">
                <defn.term>Existing Award</defn.term>
                <defn>
                  <para>
                    <paratext>an option or any other right or award under which shares in the Company may be acquired or received, granted under any Share Incentive Scheme (including the Plan).</paratext>
                  </para>
                </defn>
              </defn.item>
              <defn.item id="a933662">
                <defn.term>Forfeitable Share Award</defn.term>
                <defn>
                  <para>
                    <paratext>
                      an award of Shares which are subject to forfeiture, as set out in 
                      <internal.reference refid="a152884">rule 7</internal.reference>
                      .
                    </paratext>
                  </para>
                </defn>
                <drafting.note id="a714568" jurisdiction="">
                  <head align="left" preservecase="true">
                    <headtext>Forfeitable Share Award</headtext>
                  </head>
                  <division id="a000022" level="1">
                    <para>
                      <paratext>Under this type of Award, the Shares are delivered to the Award Holder on the Grant Date. If the Award lapses, the Shares are forfeited. The Shares are registered in the name of a trustee or nominee so that the Award Holder cannot dispose of them before the Release Date.</paratext>
                    </para>
                    <para>
                      <paratext>
                        No payment is due from the Award Holder for the Shares. For a discussion of the company law issues this raises, see 
                        <internal.reference refid="a795470">Drafting note, Conditional share award</internal.reference>
                        .
                      </paratext>
                    </para>
                    <para>
                      <paratext>
                        Assuming that the maximum period of forfeiture is less than five years, there will generally not be an income tax charge on award of Forfeitable Shares. Instead, the value of the shares will be taxed when the forfeiture restriction is lifted. For a more detailed discussion of the UK tax issues, see 
                        <link href="3-364-2007" style="ACTLinkPLCtoPLC">
                          <ital>Practice note, Restricted securities</ital>
                        </link>
                        .
                      </paratext>
                    </para>
                  </division>
                </drafting.note>
              </defn.item>
              <defn.item id="a665049">
                <defn.term>Grant Date</defn.term>
                <defn>
                  <para>
                    <paratext>the date on which an Award is, was, or is to be granted.</paratext>
                  </para>
                </defn>
              </defn.item>
              <defn.item id="a252466">
                <defn.term>Group</defn.term>
                <defn>
                  <para>
                    <paratext>the Company and any Subsidiary from time to time.</paratext>
                  </para>
                </defn>
              </defn.item>
              <defn.item id="a654583">
                <defn.term>Group Company</defn.term>
                <defn>
                  <para>
                    <paratext>any member of the Group.</paratext>
                  </para>
                </defn>
              </defn.item>
              <defn.item id="a490461">
                <defn.term>HMRC</defn.term>
                <defn>
                  <para>
                    <paratext>Her Majesty's Revenue &amp; Customs.</paratext>
                  </para>
                </defn>
              </defn.item>
              <defn.item id="a653324">
                <defn.term>Holding Period</defn.term>
                <defn>
                  <para>
                    <paratext>the period that starts on the Release Date and ends on such date as the Board may specify, not being earlier than the [fifth] anniversary of the Grant Date.</paratext>
                  </para>
                </defn>
                <drafting.note id="a878862" jurisdiction="">
                  <head align="left" preservecase="true">
                    <headtext>Holding Period</headtext>
                  </head>
                  <division id="a000023" level="1">
                    <para>
                      <paratext>
                        <link anchor="a283006" href="w-014-0498" style="ACTLinkPLCtoPLC">
                          <ital>Provision 36</ital>
                        </link>
                         of the UK Corporate Governance Code requires a total period of at least five years between the Award being granted and the Award Holder being allowed to sell the Shares. During this period, the Shares are held by the Nominee and the Award Holder is permitted to sell only sufficient Shares to cover tax and acquisition costs.
                      </paratext>
                    </para>
                  </division>
                </drafting.note>
              </defn.item>
              <defn.item id="a599857">
                <defn.term>Incentive Stock Option</defn.term>
                <defn>
                  <para>
                    <paratext>
                      a Market Value Option granted under the terms of 
                      <internal.reference refid="a415369">Schedule 2</internal.reference>
                       of 
                      <internal.reference refid="a415369">Schedule 2</internal.reference>
                      .
                    </paratext>
                  </para>
                </defn>
                <drafting.note id="a999347" jurisdiction="">
                  <head align="left" preservecase="true">
                    <headtext>Incentive Stock Option (optional definition)</headtext>
                  </head>
                  <division id="a000024" level="1">
                    <para>
                      <paratext>This is needed only if the Company wishes to grant ISOs to US taxpayers.</paratext>
                    </para>
                  </division>
                </drafting.note>
              </defn.item>
              <defn.item id="a223120">
                <defn.term>ITEPA 2003</defn.term>
                <defn>
                  <para>
                    <paratext>the Income Tax (Earnings and Pensions) Act 2003.</paratext>
                  </para>
                </defn>
              </defn.item>
              <defn.item id="a518404">
                <defn.term>Listing Rules</defn.term>
                <defn>
                  <para>
                    <paratext>the Listing Rules issued by the Financial Conduct Authority, as amended from time to time.</paratext>
                  </para>
                </defn>
              </defn.item>
              <defn.item id="a885893">
                <defn.term>Market Value</defn.term>
                <defn>
                  <para>
                    <paratext>whichever of the following applies:</paratext>
                  </para>
                  <list type="loweralpha">
                    <list.item>
                      <para>
                        <paratext>
                          For the purposes of determining on any Grant Date on which Shares are listed on the London Stock Exchange either the Exercise Price of a Market Value Option; or the Market Value of an Award for the purposes of 
                          <internal.reference refid="a341102">rule 6</internal.reference>
                          , Market Value means the average of the middle market quotations for a Share for the [three OR five] immediately preceding Dealing Days (but excluding any Dealing Days that fall in a Closed Period).
                        </paratext>
                      </para>
                    </list.item>
                    <list.item>
                      <para>
                        <paratext>
                          For the purposes of calculating on any Exercise Date or Release Date on which Shares are listed on the London Stock Exchange: the payment due from a Cash-settled Share Appreciation Right, Phantom Option or Phantom Share Award; the Market Value of Shares subject to a Share-settled Share Appreciation Right; or the Market Value of a Share for the purposes of 
                          <internal.reference refid="a309757">rule 16</internal.reference>
                          , the Company may use any actual price or the average price at which transactions in Shares took place on the London Stock Exchange on that day.
                        </paratext>
                      </para>
                    </list.item>
                    <list.item>
                      <para>
                        <paratext>
                          For the purposes of calculating the Market Value of Shares for the purposes of 
                          <internal.reference refid="a391918">rule 11</internal.reference>
                          , Market Value means the middle-market quotation of a Share on the day on which the Market Value is measured (if Shares were listed on the London Stock Exchange on that day) or if that day is not a Dealing Day, on the immediately preceding Dealing Day.
                        </paratext>
                      </para>
                    </list.item>
                    <list.item>
                      <para>
                        <paratext>If Market Value has to be determined in relation to any day on which Shares are not listed on the London Stock Exchange, the Board shall determine it to its satisfaction in accordance with the applicable provisions of Part VIII of the Taxation of Chargeable Gains Act 1992.</paratext>
                      </para>
                    </list.item>
                  </list>
                </defn>
                <drafting.note id="a1009599" jurisdiction="">
                  <head align="left" preservecase="true">
                    <headtext>Market Value</headtext>
                  </head>
                  <division id="a000025" level="1">
                    <para>
                      <paratext>Market Value is used in several contexts in the Plan. It can mean different things in different contexts.</paratext>
                    </para>
                    <para>
                      <paratext>Paragraph (a) deals with Market Value for the purposes of:</paratext>
                    </para>
                    <list type="bulleted">
                      <list.item>
                        <para>
                          <paratext>Determining the Exercise Price of a Market Value Option.</paratext>
                        </para>
                      </list.item>
                      <list.item>
                        <para>
                          <paratext>
                            Determining the value of an Award for the purposes of the individual limit in 
                            <internal.reference refid="a341102">rule 6</internal.reference>
                            .
                          </paratext>
                        </para>
                      </list.item>
                    </list>
                    <para>
                      <paratext>For these purposes, Market Value is averaged over a period of three to five days, depending on the drafting choices. Averaging is used so as to reduce the risk of testing Market Value on a day on which there is a spike or trough in the quoted price. There is no requirement in MAR or the IA principles of remuneration requiring the exclusion of any Dealing Days falling within a Closed Period, but this is considered best practice. If not excluded and results are better than the market expects, the share price could rise significantly after the announcement, meaning that a price taken during the Closed Period would not reflect the "true" market value.</paratext>
                    </para>
                    <para>
                      <paratext>
                        Paragraph (b) deals with the settlement of Share Appreciation Rights, Phantom Options and Phantom Share Awards, and alternative forms of settlement under 
                        <internal.reference refid="a309757">rule 16</internal.reference>
                        . The Company can use any listed price on that day. This allows the Company to align the value as closely as possible with the position of an Award Holder who sells Shares immediately following Release. So, for example if some Award Holders with Conditional Shares sell them immediately after Release, the same price can be used for the settlement of Phantom Awards.
                      </paratext>
                    </para>
                    <para>
                      <paratext>
                        This is needed in relation to alternative forms of settlement in order to deal with a practical problem with settling awards on a net basis. It would not be fair to use an averaging formula, because the Award Holder may not be able to sell the Shares at that historical average price, since the actual price will move around during the day. In practice, the Company should plan the process with its brokers so that the Award Holders are protected as far as possible. (See 
                        <link href="4-566-1776#a301546" style="ACTLinkPLCtoPLC">
                          <ital>Practice note, Net settling employee share options: The role of the broker</ital>
                        </link>
                        .)
                      </paratext>
                    </para>
                    <para>
                      <paratext>Paragraph (c) deals with valuing Shares for the purposes of Clawback. The Board uses the middle market quotation for the day on which the value has to be measured.</paratext>
                    </para>
                    <para>
                      <paratext>
                        Paragraph (d) is relevant if the Market Value has to be determined at a time when the Shares are no longer listed on the main market, the Market Value is determined in accordance with 
                        <link href="4-513-7048" style="ACTLinkPLCtoPLC">
                          <ital>section 273</ital>
                        </link>
                         of the Taxation of Chargeable Gains Act 1992, which deals with "unquoted" shares and securities. If the shares are traded on any market, this is likely to be strongly indicative of their Market Value, but this is not always the case.
                      </paratext>
                    </para>
                    <para>
                      <paratext>
                        There is no statutory requirement for Market Value to be determined in accordance with Part VIII of the Taxation of Chargeable Gains Act 1992 when setting the exercise price for a share option. However, the Part VIII definition sets out a valuation approach that is very widely used and understood in share plan practice, and has also been considered in case law. For more information, see 
                        <link href="4-605-4565" style="ACTLinkPLCtoPLC">
                          <ital>Practice note, Valuing employee shares</ital>
                        </link>
                        .
                      </paratext>
                    </para>
                  </division>
                </drafting.note>
              </defn.item>
              <defn.item id="a750196">
                <defn.term>Market Value Option</defn.term>
                <defn>
                  <para>
                    <paratext>an Option to acquire Shares of which the Exercise Price is not less than the Market Value of a Share on its Grant Date.</paratext>
                  </para>
                </defn>
                <drafting.note id="a1041643" jurisdiction="">
                  <head align="left" preservecase="true">
                    <headtext>Market Value Option</headtext>
                  </head>
                  <division id="a000026" level="1">
                    <para>
                      <paratext>This is a classic employee share option. The Award Holder is granted an Option over a number of Shares. The Exercise Price for the Option cannot be less than the Market Value of the Shares on its Grant Date. The Award Holder can exercise the Option at any time after its Release Date.</paratext>
                    </para>
                  </division>
                </drafting.note>
              </defn.item>
              <defn.item id="a538746">
                <defn.term>NICs</defn.term>
                <defn>
                  <para>
                    <paratext>National Insurance contributions.</paratext>
                  </para>
                </defn>
              </defn.item>
              <defn.item id="a610983">
                <defn.term>Nil Cost Option</defn.term>
                <defn>
                  <para>
                    <paratext>an Option to acquire Shares for no payment.</paratext>
                  </para>
                </defn>
                <drafting.note id="a924149" jurisdiction="">
                  <head align="left" preservecase="true">
                    <headtext>Nil Cost Option</headtext>
                  </head>
                  <division id="a000027" level="1">
                    <para>
                      <paratext>This type of award is very similar to a Conditional Share Award. The difference is that Conditional Shares are delivered automatically on the Release Date but Shares subject to a Nil Cost Option are not delivered to the Award Holder until the Option is exercised.</paratext>
                    </para>
                    <para>
                      <paratext>
                        No payment is due from the Award Holder for the Shares. For a discussion of the company law issues and LR issues this raises, see 
                        <internal.reference refid="a795470">Drafting note, Conditional Share Award</internal.reference>
                        .
                      </paratext>
                    </para>
                  </division>
                </drafting.note>
              </defn.item>
              <defn.item id="a486919">
                <defn.term>Nominal Cost Option</defn.term>
                <defn>
                  <para>
                    <paratext>an Option to acquire Shares for payment of an Exercise Price equal to their nominal value.</paratext>
                  </para>
                </defn>
                <drafting.note id="a316460" jurisdiction="">
                  <head align="left" preservecase="true">
                    <headtext>Nominal Cost Option</headtext>
                  </head>
                  <division id="a000028" level="1">
                    <para>
                      <paratext>
                        This type of award is the same as a Nil Cost Option except that there is an Exercise Price equal to the nominal value. A Nominal Cost Option is strictly a "discounted option" requiring shareholder approval under 
                        <link href="https://www.handbook.fca.org.uk/handbook/LR/9/4.html" style="ACTLinkURL">
                          <ital>LR 9.4.4</ital>
                        </link>
                        . It would normally be granted as a Transfer Only Award. For a detailed discussion of the issues this raises, see 
                        <link href="4-382-0184#a558364" style="ACTLinkPLCtoPLC">
                          <ital>Practice note, Listing Rules: employee share schemes aspects: Shareholder approval required for discounted option arrangements</ital>
                        </link>
                        .
                      </paratext>
                    </para>
                  </division>
                </drafting.note>
              </defn.item>
              <defn.item id="a773299">
                <defn.term>Nominee</defn.term>
                <defn>
                  <para>
                    <paratext>the person (including a trustee) nominated by the Board to hold the Shares on behalf of the Award Holder subject to the rules.</paratext>
                  </para>
                </defn>
                <drafting.note id="a515697" jurisdiction="">
                  <head align="left" preservecase="true">
                    <headtext>Nominee</headtext>
                  </head>
                  <division id="a000029" level="1">
                    <para>
                      <paratext>The Nominee is a person appointed by the Board to hold Shares in one of two circumstances:</paratext>
                    </para>
                    <list type="bulleted">
                      <list.item>
                        <para>
                          <paratext>In relation to Forfeitable Shares, throughout the whole period from the Grant Date to the end of the Holding Period.</paratext>
                        </para>
                      </list.item>
                      <list.item>
                        <para>
                          <paratext>In relation to all other Share-settled Awards, throughout the Holding Period.</paratext>
                        </para>
                      </list.item>
                    </list>
                    <para>
                      <paratext>The purpose of this is to police the restrictions on the sale of Shares.</paratext>
                    </para>
                  </division>
                </drafting.note>
              </defn.item>
              <defn.item id="a832039">
                <defn.term>Nominee Agreement</defn.term>
                <defn>
                  <para>
                    <paratext>a document in a form approved by the Board and executed by the Nominee, the Award Holder and the Company that sets out the terms on which the Nominee holds Shares.</paratext>
                  </para>
                </defn>
                <drafting.note id="a916088" jurisdiction="">
                  <head align="left" preservecase="true">
                    <headtext>Nominee Agreement</headtext>
                  </head>
                  <division id="a000030" level="1">
                    <para>
                      <paratext>
                        For a specimen Nominee Agreement, see 
                        <link href="8-621-8249" style="ACTLinkPLCtoPLC">
                          <ital>Standard document, Long term incentive plan (LTIP): nominee agreement</ital>
                        </link>
                        .
                      </paratext>
                    </para>
                  </division>
                </drafting.note>
              </defn.item>
              <defn.item id="a650407">
                <defn.term>Non-Option 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Phantom Share Award; or</paratext>
                      </para>
                    </list.item>
                    <list.item>
                      <para>
                        <paratext>a Share-settled Share Appreciation Right.</paratext>
                      </para>
                    </list.item>
                  </list>
                </defn>
              </defn.item>
              <defn.item id="a541559">
                <defn.term>Option</defn.term>
                <defn>
                  <para>
                    <paratext>a Market Value Option, a Nil Cost Option, a Nominal Cost Option or a Phantom Option.</paratext>
                  </para>
                </defn>
              </defn.item>
              <defn.item id="a728966">
                <defn.term>Performance Condition</defn.term>
                <defn>
                  <para>
                    <paratext>
                      a condition that complies with 
                      <internal.reference refid="a920421">rule 3</internal.reference>
                       and:
                    </paratext>
                  </para>
                  <list type="loweralpha">
                    <list.item>
                      <para>
                        <paratext>must be satisfied before an Award can be Released;</paratext>
                      </para>
                    </list.item>
                    <list.item>
                      <para>
                        <paratext>is linked to the achievement of challenging performance over a period of at least three years and has the intention of enhancing shareholder value; and</paratext>
                      </para>
                    </list.item>
                    <list.item>
                      <para>
                        <paratext>
                          is specified in the Award Certificate under 
                          <internal.reference refid="a959101">rule 2.4</internal.reference>
                          .
                        </paratext>
                      </para>
                    </list.item>
                  </list>
                </defn>
              </defn.item>
              <defn.item id="a508988">
                <defn.term>Performance Measurement Date</defn.term>
                <defn>
                  <para>
                    <paratext>the date on which the Board determines that any Performance Condition on the Release of the Award has been satisfied, unless an earlier event occurs to cause the Award to lapse or be Released. This date may not be:</paratext>
                  </para>
                  <list type="loweralpha">
                    <list.item>
                      <para>
                        <paratext>earlier than the first day after the end of the Performance Period; or</paratext>
                      </para>
                    </list.item>
                    <list.item>
                      <para>
                        <paratext>later than the tenth anniversary of the Grant Date.</paratext>
                      </para>
                    </list.item>
                  </list>
                  <para>
                    <paratext>For the avoidance of doubt, an Award may have more than one Performance Measurement Date.</paratext>
                  </para>
                </defn>
                <drafting.note id="a774610" jurisdiction="">
                  <head align="left" preservecase="true">
                    <headtext>Performance Measurement Date</headtext>
                  </head>
                  <division id="a000031" level="1">
                    <para>
                      <paratext>An Award can have more than one Performance Measurement Date. For example, one-third of the Award might be subject to a three year Performance Condition, one-third subject to four year Performance Condition and one-third subject to a five year Performance Condition. Such an Award would have three Performance Measurement Dates.</paratext>
                    </para>
                    <para>
                      <paratext>A Performance Measurement Date is linked to a Performance Condition. For example, if the Performance Condition is that the Company must achieve a certain financial target in its accounts for a particular year, the Performance Measurement Date cannot be earlier than the date on which the audited accounts for that year are published.</paratext>
                    </para>
                  </division>
                </drafting.note>
              </defn.item>
              <defn.item id="a303970">
                <defn.term>Performance Period</defn.term>
                <defn>
                  <para>
                    <paratext>the period over which performance is measured to determine whether a Performance Condition has been achieved, which shall not be less than three years.</paratext>
                  </para>
                </defn>
                <drafting.note id="a798821" jurisdiction="">
                  <head align="left" preservecase="true">
                    <headtext>Performance Period</headtext>
                  </head>
                  <division id="a000032" level="1">
                    <para>
                      <paratext>An Award can have more than one Performance Period.</paratext>
                    </para>
                    <para>
                      <paratext>The Investment Association principles of remuneration require performance conditions to be tested over at least three years and express a preference for a longer testing period.</paratext>
                    </para>
                  </division>
                </drafting.note>
              </defn.item>
              <defn.item id="a967923">
                <defn.term>Phantom Option</defn.term>
                <defn>
                  <para>
                    <paratext>an Option to receive a cash payment on exercise equal to the Market Value of a specified number of Shares minus the Base Price.</paratext>
                  </para>
                </defn>
                <drafting.note id="a49735" jurisdiction="">
                  <head align="left" preservecase="true">
                    <headtext>Phantom Option</headtext>
                  </head>
                  <division id="a000033" level="1">
                    <para>
                      <paratext>
                        This is similar to a Cash-settled Share Appreciation Right. The difference is that no payment is due to the Award Holder under the Phantom Option until the Award Holder exercises it. The Base Price for a Phantom Option could be nil, which would make it a "whole value" award. For more information, see
                        <ital> </ital>
                        <link href="0-585-2565" style="ACTLinkPLCtoPLC">
                          <ital>Practice note, Phantom shares and options</ital>
                        </link>
                        .
                      </paratext>
                    </para>
                  </division>
                </drafting.note>
              </defn.item>
              <defn.item id="a869952">
                <defn.term>Phantom Share Award</defn.term>
                <defn>
                  <para>
                    <paratext>a right to receive a cash payment on the Release Date equal to the Market Value of a specified number of Shares.</paratext>
                  </para>
                </defn>
                <drafting.note id="a380856" jurisdiction="">
                  <head align="left" preservecase="true">
                    <headtext>Phantom Share Award</headtext>
                  </head>
                  <division id="a000034" level="1">
                    <para>
                      <paratext>
                        This is similar to a Cash-settled Share Appreciation Right. The difference is that there is no Base Price so the whole value of the Shares is delivered to the Award Holder on the Release Date. The distinction between a Phantom Option and a Phantom Share is that a Phantom Share delivers the cash payment automatically with no exercise being required. For more information, see 
                        <link href="0-585-2565" style="ACTLinkPLCtoPLC">
                          <ital>Practice note, Phantom shares and options</ital>
                        </link>
                        .
                      </paratext>
                    </para>
                  </division>
                </drafting.note>
              </defn.item>
              <defn.item id="a441532">
                <defn.term>Plan</defn.term>
                <defn>
                  <para>
                    <paratext>the employee share plan constituted and governed by these rules, as amended from time to time.</paratext>
                  </para>
                </defn>
              </defn.item>
              <defn.item id="a328920">
                <defn.term>Redundancy</defn.term>
                <defn>
                  <para>
                    <paratext>has the meaning given by the Employment Rights Act 1996.</paratext>
                  </para>
                </defn>
              </defn.item>
              <defn.item id="a607221">
                <defn.term>Release</defn.term>
                <defn>
                  <para>
                    <paratext>means</paratext>
                  </para>
                  <list type="loweralpha">
                    <list.item>
                      <para>
                        <paratext>
                          in relation to an Option, that it becomes exercisable in accordance with 
                          <internal.reference refid="a995024">rule 12</internal.reference>
                          ;
                        </paratext>
                      </para>
                    </list.item>
                    <list.item>
                      <para>
                        <paratext>
                          in relation to a Conditional Share Award or a Share-settled Share Appreciation Right, that the Award Holder is entitled to beneficial ownership of the Shares subject to the Award in accordance with 
                          <internal.reference refid="a497277">rule 8</internal.reference>
                          ;
                        </paratext>
                      </para>
                    </list.item>
                    <list.item>
                      <para>
                        <paratext>
                          in relation to a Forfeitable Share Award, that the Shares subject to the Award cease to be subject to forfeiture in accordance with 
                          <internal.reference refid="a152884">rule 7</internal.reference>
                          ; and
                        </paratext>
                      </para>
                    </list.item>
                    <list.item>
                      <para>
                        <paratext>
                          in relation to a Cash-settled Share Appreciation Right or a Phantom Share Award, that the Award Holder is entitled to payment of the amount due under the Award in accordance with 
                          <internal.reference refid="a497277">rule 8</internal.reference>
                          .
                        </paratext>
                      </para>
                    </list.item>
                  </list>
                </defn>
              </defn.item>
              <defn.item id="a946238">
                <defn.term>Releasable Number</defn.term>
                <defn>
                  <para>
                    <paratext>
                      has the meaning given in 
                      <internal.reference refid="a324210">rule 20.1</internal.reference>
                      .
                    </paratext>
                  </para>
                </defn>
              </defn.item>
              <defn.item id="a630237">
                <defn.term>Release Date</defn.term>
                <defn>
                  <para>
                    <paratext>
                      is the date on which Release takes place and is determined in 
                      <internal.reference refid="a390464">rule 8.3</internal.reference>
                      .
                    </paratext>
                  </para>
                </defn>
              </defn.item>
              <defn.item id="a678265">
                <defn.term>Relevant Restriction</defn.term>
                <defn>
                  <para>
                    <paratext>a restriction stated in an Award Certificate that applies to Shares issued or transferred pursuant to the Award.</paratext>
                  </para>
                </defn>
                <drafting.note id="a356015" jurisdiction="">
                  <head align="left" preservecase="true">
                    <headtext>Relevant Restriction</headtext>
                  </head>
                  <division id="a000035" level="1">
                    <para>
                      <paratext>The Board may attach conditions to Shares that take effect after they have been issued or transferred to the Award Holder. All Share-settled Awards will be subject to restrictions on sale during the Holding Period and also subject to clawback.</paratext>
                    </para>
                  </division>
                </drafting.note>
              </defn.item>
              <defn.item id="a913589">
                <defn.term>Rollover Period</defn.term>
                <defn>
                  <para>
                    <paratext>
                      the period determined by the Acquiror during which an Award Holder can release an Award as set out in 
                      <internal.reference refid="a580292">rule 21</internal.reference>
                      .
                    </paratext>
                  </para>
                </defn>
              </defn.item>
              <defn.item id="a516735">
                <defn.term>Salary</defn.term>
                <defn>
                  <para>
                    <paratext>in relation to an Employee at any time means the rate of basic annual salary payable to that Employee by Group Companies.</paratext>
                  </para>
                </defn>
              </defn.item>
              <defn.item id="a914508">
                <defn.term>Share-settled Share Appreciation Right</defn.term>
                <defn>
                  <para>
                    <paratext>a right to receive on the Release Date a number of Shares whose Market Value is equal to the Market Value on the Release Date of a specified number (N) of Shares minus the Base Price of those Shares, rounded down to the nearest whole number.</paratext>
                  </para>
                </defn>
                <drafting.note id="a346221" jurisdiction="">
                  <head align="left" preservecase="true">
                    <headtext>Share-settled Share Appreciation Right</headtext>
                  </head>
                  <division id="a000036" level="1">
                    <para>
                      <paratext>This is a right to receive a number of Shares on the Release Date. The number is calculated from the value of a different number (N) of Shares minus a Base Price. For example:</paratext>
                    </para>
                    <list type="bulleted">
                      <list.item>
                        <para>
                          <paratext>The Award Holder receives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defn.item>
              <defn.item id="a158475">
                <defn.term>Share-settled Award</defn.term>
                <defn>
                  <para>
                    <paratext>any of the following:</paratext>
                  </para>
                  <list type="loweralpha">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Share-settled Share Appreciation Right.</paratext>
                      </para>
                    </list.item>
                  </list>
                </defn>
              </defn.item>
              <defn.item id="a900693">
                <defn.term>Share Appreciation Right</defn.term>
                <defn>
                  <para>
                    <paratext>a Cash-settled Share Appreciation Right or a Share-settled Share Appreciation Right.</paratext>
                  </para>
                </defn>
                <drafting.note id="a886645" jurisdiction="">
                  <head align="left" preservecase="true">
                    <headtext>Share Appreciation Right</headtext>
                  </head>
                  <division id="a000037" level="1">
                    <para>
                      <paratext>
                        For more information on Share Appreciation Rights, see 
                        <link href="8-205-2979" style="ACTLinkPLCtoPLC">
                          <ital>Practice note, Share appreciation rights (SARs)</ital>
                        </link>
                        .
                      </paratext>
                    </para>
                  </division>
                </drafting.note>
              </defn.item>
              <defn.item id="a158298">
                <defn.term>Share Incentive Scheme</defn.term>
                <defn>
                  <para>
                    <paratext>any arrangement to provide Employees with Shares.</paratext>
                  </para>
                </defn>
              </defn.item>
              <defn.item id="a494153">
                <defn.term>Shares</defn.term>
                <defn>
                  <para>
                    <paratext>
                      [NUMBER] [CURRENCY UNIT] ordinary shares in the Company (subject to 
                      <internal.reference refid="a129837">rule 22</internal.reference>
                      ).
                    </paratext>
                  </para>
                </defn>
              </defn.item>
              <defn.item id="a799763">
                <defn.term>Subsidiary</defn.term>
                <defn>
                  <para>
                    <paratext>a subsidiary as defined in section 1159 of the Companies Act 2006.</paratext>
                  </para>
                </defn>
              </defn.item>
              <defn.item id="a591965">
                <defn.term>Tax Authority</defn.term>
                <defn>
                  <para>
                    <paratext>HMRC or, where relevant, its equivalent in another jurisdiction.</paratext>
                  </para>
                </defn>
              </defn.item>
              <defn.item id="a727487">
                <defn.term>Taxable Event</defn.term>
                <defn>
                  <para>
                    <paratext>any event or circumstance that gives rise to a liability for the Award Holder to pay income tax and NICs or either of them (or their equivalents in any jurisdiction) in respect of:</paratext>
                  </para>
                  <para>
                    <paratext>a. the Award, including its Release, exercise, assignment or surrender for consideration, or the receipt of any benefit in connection with it;</paratext>
                  </para>
                  <para>
                    <paratext>b. any Shares (or other securities or assets):</paratext>
                  </para>
                  <para>
                    <paratext>(i)earmarked (as defined in Part 7A of ITEPA 2003) or held to satisfy the Award;</paratext>
                  </para>
                  <para>
                    <paratext>(ii)acquired on Release or exercise of the Award;</paratext>
                  </para>
                  <para>
                    <paratext>(iii)acquired as a result of holding the Award; or</paratext>
                  </para>
                  <para>
                    <paratext>(iv)acquired in consideration of the assignment or surrender of the Award;</paratext>
                  </para>
                  <para>
                    <paratext>c. any securities (or other assets) acquired or earmarked as a result of holding Shares (or other securities or assets) mentioned in paragraph (b);</paratext>
                  </para>
                  <para>
                    <paratext>d. entering into an election under section 430 or 431 of ITEPA 2003; or</paratext>
                  </para>
                  <para>
                    <paratext>e. any amount due under PAYE in respect of securities or assets within paragraph (a) to paragraph (d), including any failure by the Award Holder to make good such an amount within the time limit specified in section 222 of ITEPA 2003.</paratext>
                  </para>
                </defn>
              </defn.item>
              <defn.item id="a603118">
                <defn.term>Tax Liability</defn.term>
                <defn>
                  <para>
                    <paratext>the total of:</paratext>
                  </para>
                  <list type="loweralpha">
                    <list.item>
                      <para>
                        <paratext>
                          any income tax and primary class 1 (employee) NICs (or their equivalents in any jurisdiction) for which any Employer Company is or may be liable to account (or reasonably believes it is or may be liable to account) as a result of any Taxable Event[; and 
                          <bold>OR</bold>
                          .]
                        </paratext>
                      </para>
                    </list.item>
                    <list.item>
                      <para>
                        <paratext>
                          [unless the Employer Company[, or the Company on behalf of the Employer Company,] directs otherwise under 
                          <internal.reference refid="a880110">rule 23.5</internal.reference>
                           any Employer NICs (or similar liability in any other jurisdiction) that any Employer Company is or may be liable to pay (or reasonably believes it is or may be liable to pay) as a result of any Taxable Event and that can be recovered lawfully from the Award Holder.]
                        </paratext>
                      </para>
                    </list.item>
                  </list>
                </defn>
                <drafting.note id="a780110" jurisdiction="">
                  <head align="left" preservecase="true">
                    <headtext>Tax Liability</headtext>
                  </head>
                  <division id="a000038" level="1">
                    <para>
                      <paratext>
                        The definition of Tax Liability is intended to cover any income tax and NICs liabilities that might arise in relation to the Option. For more information about tax indemnities, see 
                        <link href="5-595-6990" style="ACTLinkPLCtoPLC">
                          <ital>Practice note, Tax indemnities in share schemes documents</ital>
                        </link>
                        .
                      </paratext>
                    </para>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If an employee bears responsibility for Employer NICs, the employee is entitled to income tax relief (
                        <link href="5-513-6722" style="ACTLinkPLCtoPLC">
                          <ital>section 481</ital>
                        </link>
                        <ital>, ITEPA 2003</ital>
                        ).
                      </paratext>
                    </para>
                    <para>
                      <paratext>It is not possible to recover secondary class 1 NICs from employees in respect of Cash-settled Awards.</paratext>
                    </para>
                    <para>
                      <paratext>The definition of Tax Liability assumes that Employer NICs are to be borne by Award Holders, but this is a matter for the employer to decide. It is probably best to set the transfer of Employer NICs as the default position, as under these rules, as it will be easier to give this up after granting an Award than to get the employee to agree to take up the Employer NICs burden at that time. The Employer Company can direct at the time of grant, or at a later point, that the Tax Liability will not include Employer NICs under our standard tax indemnity clauses.</paratext>
                    </para>
                    <para>
                      <paratext>If the employer is confident it will not wish to pass on liability for Employer NICs to the employee, rule (b) can be amended so that the Tax Liability will only include Employer NICs if the Employer Company specifies this when the Award is granted.</paratext>
                    </para>
                  </division>
                </drafting.note>
              </defn.item>
              <defn.item id="a164600">
                <defn.term>UK MAR</defn.term>
                <defn>
                  <para>
                    <paratext>the retained EU law version of the Market Abuse Regulation which applies in the UK from the end of the Brexit transition period.</paratext>
                  </para>
                </defn>
                <drafting.note id="a663098" jurisdiction="">
                  <head align="left" preservecase="true">
                    <headtext>UK MAR</headtext>
                  </head>
                  <division id="a000039" level="1">
                    <para>
                      <paratext>
                        The 
                        <link href="https://uk.practicallaw.thomsonreuters.com/5-626-6147?originationContext=document&amp;amp;transitionType=DocumentItem&amp;amp;contextData=(sc.Default)" style="ACTLinkURL">
                          <ital>EU Market Abuse Regulation</ital>
                        </link>
                         (EU MAR) was automatically incorporated into domestic law via the 
                        <link href="5-508-4474" style="ACTLinkPLCtoPLC">
                          <ital>European Communities Act 1972</ital>
                        </link>
                         (ECA 1972). At the end of the transition period following the UK's exit from the EU, the 
                        <link href="w-015-5564" style="ACTLinkPLCtoPLC">
                          <ital>European Union (Withdrawal) Act 2018</ital>
                        </link>
                         (EUWA 2018) (as amended by the 
                        <link href="w-023-7644" style="ACTLinkPLCtoPLC">
                          <ital>European Union (Withdrawal Agreement) Act 2020</ital>
                        </link>
                        ) repealed the ECA 1972 and simultaneously incorporated EU MAR into UK domestic legislation, becoming 
                        <link href="w-028-7792" style="ACTLinkPLCtoPLC">
                          <ital>UK MAR</ital>
                        </link>
                        .
                      </paratext>
                    </para>
                    <para>
                      <paratext>
                        UK MAR has certain consequential changes, such as the transfer of powers and functions previously held by the 
                        <link href="https://uk.practicallaw.thomsonreuters.com/5-504-6849?originationContext=document&amp;amp;transitionType=DocumentItem&amp;amp;contextData=(sc.Default)" style="ACTLinkURL">
                          <ital>European Securities and Markets Authority</ital>
                        </link>
                         (ESMA) to the 
                        <link href="https://uk.practicallaw.thomsonreuters.com/5-107-5761?originationContext=document&amp;amp;transitionType=DocumentItem&amp;amp;contextData=(sc.Default)" style="ACTLinkURL">
                          <ital>Financial Conduct Authority</ital>
                        </link>
                         (FCA), but broadly the legislative regime remains the same.
                      </paratext>
                    </para>
                    <para>
                      <paratext>
                        For more information, see 
                        <link href="4-629-6710" style="ACTLinkPLCtoPLC">
                          <ital>Practice note, UK MAR: share schemes issues: overview</ital>
                        </link>
                        .
                      </paratext>
                    </para>
                  </division>
                </drafting.note>
              </defn.item>
              <defn.item id="a867016">
                <defn.term>Transfer Only Award</defn.term>
                <defn>
                  <para>
                    <paratext>an Award which the Board has designated can be satisfied only by the transfer of Shares, other than treasury shares. An Award is not a Transfer Only Award if it can be satisfied using Shares which have been issued to a person who holds those Shares in a fiduciary capacity for the purposes of a Share Incentive Scheme.</paratext>
                  </para>
                </defn>
                <drafting.note id="a199273" jurisdiction="">
                  <head align="left" preservecase="true">
                    <headtext>Transfer Only Award</headtext>
                  </head>
                  <division id="a000040" level="1">
                    <para>
                      <paratext>
                        The Board can designate an Award as a Transfer Only Award. This means that it can be satisfied only by the transfer of existing Shares. Shares subject to a Transfer Only Award are not Dilutive Shares and therefore do not count against the overall limits in 
                        <internal.reference refid="a272740">rule 5</internal.reference>
                        .
                      </paratext>
                    </para>
                    <para>
                      <paratext>Sometimes a company will issue shares to an EBT, which then transfers them to an Award Holder. The second sentence is intended to state that an Award that is settled in this way will not be a Transfer Only Award. For an Award satisfied by an EBT to be a Transfer Only Award, the EBT must acquire the Shares in the market.</paratext>
                    </para>
                  </division>
                </drafting.note>
              </defn.item>
              <defn.item id="a953151">
                <defn.term>Year</defn.term>
                <defn>
                  <para>
                    <paratext>a financial year of the Company as defined in section 390 of the Companies Act 2006.</paratext>
                  </para>
                </defn>
              </defn.item>
            </subclause1>
            <subclause1 id="a363538">
              <identifier>1.2</identifier>
              <para>
                <paratext>Rule headings shall not affect the interpretation of the rules.</paratext>
              </para>
            </subclause1>
            <subclause1 id="a749520">
              <identifier>1.3</identifier>
              <para>
                <paratext>
                  A 
                  <bold>person</bold>
                   includes a natural person, corporate or unincorporated body (whether or not having separate legal personality).
                </paratext>
              </para>
            </subclause1>
            <subclause1 condition="optional" id="a794836">
              <identifier>1.4</identifier>
              <para>
                <paratext>The Schedules form part of the rules and shall have effect as if set out in full in the body of the rules. Any reference to the rules includes the Schedules.</paratext>
              </para>
              <drafting.note id="a372488" jurisdiction="">
                <head align="left" preservecase="true">
                  <headtext>Schedules</headtext>
                </head>
                <division id="a000041" level="1">
                  <para>
                    <paratext>Delete if there are no Schedules or put into singular if there is only one Schedule.</paratext>
                  </para>
                </division>
              </drafting.note>
            </subclause1>
            <subclause1 id="a190046">
              <identifier>1.5</identifier>
              <para>
                <paratext>
                  A reference to a 
                  <bold>company</bold>
                   shall include any company, corporation or other body corporate, wherever and however incorporated or established.
                </paratext>
              </para>
            </subclause1>
            <subclause1 id="a738838">
              <identifier>1.6</identifier>
              <para>
                <paratext>Unless the context otherwise requires, words in the singular shall include the plural and in the plural shall include the singular.</paratext>
              </para>
            </subclause1>
            <subclause1 id="a826880">
              <identifier>1.7</identifier>
              <para>
                <paratext>Unless the context otherwise requires, a reference to one gender shall include a reference to the other genders.</paratext>
              </para>
            </subclause1>
            <subclause1 id="a93914">
              <identifier>1.8</identifier>
              <para>
                <paratext>A reference to a statute or statutory provision is a reference to it as amended, extended or re-enacted from time to time.</paratext>
              </para>
            </subclause1>
            <subclause1 id="a1027234">
              <identifier>1.9</identifier>
              <para>
                <paratext>A reference to a statute or statutory provision shall include all subordinate legislation made from time to time under that statute or statutory provision.</paratext>
              </para>
            </subclause1>
            <subclause1 id="a696113">
              <identifier>1.10</identifier>
              <para>
                <paratext>
                  A reference to 
                  <bold>writing</bold>
                   or 
                  <bold>written</bold>
                   includes fax and email.
                </paratext>
              </para>
            </subclause1>
            <subclause1 id="a955056">
              <identifier>1.11</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443806">
              <identifier>1.12</identifier>
              <para>
                <paratext>References to rules are to rules of the Plan.</paratext>
              </para>
            </subclause1>
            <subclause1 id="a446398">
              <identifier>1.13</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969782">
            <identifier>2.</identifier>
            <head align="left" preservecase="true">
              <headtext>Grant of Awards</headtext>
            </head>
            <subclause1 id="a134048">
              <identifier>2.1</identifier>
              <para>
                <paratext>Subject to the rules, the Company may grant an Award to any Employee it chooses during:</paratext>
              </para>
              <subclause2 id="a375673">
                <identifier>(a)</identifier>
                <para>
                  <paratext>the period of 42 days after the Adoption Date;</paratext>
                </para>
              </subclause2>
              <subclause2 id="a916376">
                <identifier>(b)</identifier>
                <para>
                  <paratext>any period of 42 days immediately following the end of a Closed Period; and</paratext>
                </para>
              </subclause2>
              <subclause2 id="a294268">
                <identifier>(c)</identifier>
                <para>
                  <paratext>any other period in which the Board has decided to grant an Award due to exceptional circumstances which justify such a decision.</paratext>
                </para>
                <drafting.note id="a895013" jurisdiction="">
                  <head align="left" preservecase="true">
                    <headtext>Grant period limitations expected by institutional shareholders</headtext>
                  </head>
                  <division id="a000042" level="1">
                    <para>
                      <paratext>Under the Investment Association principles of remuneration, Awards should generally only be granted within 42 days immediately following the end of a Closed Period.</paratext>
                    </para>
                  </division>
                </drafting.note>
              </subclause2>
            </subclause1>
            <subclause1 id="a702749">
              <identifier>2.2</identifier>
              <para>
                <paratext>The Company may not grant Awards:</paratext>
              </para>
              <subclause2 id="a200727">
                <identifier>(a)</identifier>
                <para>
                  <paratext>during a Closed Period; or</paratext>
                </para>
              </subclause2>
              <subclause2 id="a158002">
                <identifier>(b)</identifier>
                <para>
                  <paratext>after the tenth anniversary of the Adoption Date.</paratext>
                </para>
                <drafting.note id="a834970" jurisdiction="">
                  <head align="left" preservecase="true">
                    <headtext>Times when Options may not be granted</headtext>
                  </head>
                  <division id="a000043" level="1">
                    <para>
                      <paratext>
                        UK MAR does not prohibit the Company from granting Options during a Closed Period, but it is good practice not to do so, as the Company may have (or be suspected of having) inside information during this period (see 
                        <link href="4-629-6710" style="ACTLinkPLCtoPLC">
                          <ital>Practice note, UK MAR: share schemes issues: overview</ital>
                        </link>
                        ).
                      </paratext>
                    </para>
                    <para>
                      <paratext>There is no statutory requirement for the plan to have a maximum life of ten years, but it is a requirement of the Investment Association principles of remuneration.</paratext>
                    </para>
                  </division>
                </drafting.note>
              </subclause2>
            </subclause1>
            <subclause1 id="a631374">
              <identifier>2.3</identifier>
              <para>
                <paratext>
                  The Company may not grant an Award that does not comply with the directors' remuneration policy. In this rule, 
                  <defn.term>directors' remuneration policy</defn.term>
                   has the same meaning as in section 422A(6) of the Companies Act 2006.
                </paratext>
              </para>
              <drafting.note id="a958399" jurisdiction="">
                <head align="left" preservecase="true">
                  <headtext>Award that does not comply with the directors' remuneration policy</headtext>
                </head>
                <division id="a000044" level="1">
                  <para>
                    <paratext>
                      For a discussion of the consequences of breaking the directors' remuneration policy, see 
                      <link href="8-525-8509#a605070" style="ACTLinkPLCtoPLC">
                        <ital>Practice note, Directors' remuneration report: Consequences of breach</ital>
                      </link>
                      .
                    </paratext>
                  </para>
                </division>
              </drafting.note>
            </subclause1>
            <subclause1 id="a959101">
              <identifier>2.4</identifier>
              <para>
                <paratext>The Company shall grant an Award by executing an Award Certificate as a deed in a form approved by the Board. Each Award Certificate shall (without limitation):</paratext>
              </para>
              <subclause2 id="a166092">
                <identifier>(a)</identifier>
                <para>
                  <paratext>state the Grant Date of the Award;</paratext>
                </para>
              </subclause2>
              <subclause2 id="a279542">
                <identifier>(b)</identifier>
                <para>
                  <paratext>state the number and class of the Shares in relation to which the Award is granted;</paratext>
                </para>
              </subclause2>
              <subclause2 id="a204772">
                <identifier>(c)</identifier>
                <para>
                  <paratext>state the type of Award;</paratext>
                </para>
              </subclause2>
              <subclause2 id="a429080">
                <identifier>(d)</identifier>
                <para>
                  <paratext>if the Award is a Share-settled Award, state whether the Award is a Transfer Only Award;</paratext>
                </para>
              </subclause2>
              <subclause2 id="a756156">
                <identifier>(e)</identifier>
                <para>
                  <paratext>if the Award is a Market Value Option or Nominal Cost Option, state the Exercise Price;</paratext>
                </para>
              </subclause2>
              <subclause2 id="a1040506">
                <identifier>(f)</identifier>
                <para>
                  <paratext>if the Award is a Phantom Share Option or Share Appreciation Right, state the Base Price;</paratext>
                </para>
              </subclause2>
              <subclause2 id="a724176">
                <identifier>(g)</identifier>
                <para>
                  <paratext>if the Award is a Forfeitable Share Award:</paratext>
                </para>
                <subclause3 id="a666724">
                  <identifier>(i)</identifier>
                  <para>
                    <paratext>state the identity of the Nominee; and</paratext>
                  </para>
                </subclause3>
                <subclause3 id="a104659">
                  <identifier>(ii)</identifier>
                  <para>
                    <paratext>
                      state the terms on which the Nominee is required to deal with any dividends paid on the Shares in accordance with 
                      <internal.reference refid="a1037979">rule 7.6</internal.reference>
                      ;
                    </paratext>
                  </para>
                </subclause3>
              </subclause2>
              <subclause2 id="a295852">
                <identifier>(h)</identifier>
                <para>
                  <paratext>if the Award is not a Forfeitable Share Award and not an Option:</paratext>
                </para>
                <subclause3 id="a75589">
                  <identifier>(i)</identifier>
                  <para>
                    <paratext>state whether Dividend Equivalents will apply to the Award; and</paratext>
                  </para>
                </subclause3>
                <subclause3 id="a470798">
                  <identifier>(ii)</identifier>
                  <para>
                    <paratext>if they do, state the terms of the Dividend Equivalents;</paratext>
                  </para>
                </subclause3>
              </subclause2>
              <subclause2 id="a215454">
                <identifier>(i)</identifier>
                <para>
                  <paratext>if the Award is an Option, state the date when it will lapse, assuming that no event occurs to cause it to lapse earlier. This date may not be later than the tenth anniversary of the Grant Date;</paratext>
                </para>
              </subclause2>
              <subclause2 id="a397036">
                <identifier>(j)</identifier>
                <para>
                  <paratext>
                    specify the Performance Conditions set under 
                    <internal.reference refid="a920421">rule 3</internal.reference>
                    , any other conditions to which the Award is subject and the Performance Period;
                  </paratext>
                </para>
              </subclause2>
              <subclause2 id="a194940">
                <identifier>(k)</identifier>
                <para>
                  <paratext>specify the Employment Period;</paratext>
                </para>
              </subclause2>
              <subclause2 id="a595234">
                <identifier>(l)</identifier>
                <para>
                  <paratext>if the Award is a Share-settled Award, specify the Holding Period;</paratext>
                </para>
              </subclause2>
              <subclause2 id="a607477">
                <identifier>(m)</identifier>
                <para>
                  <paratext>if the Award is a Share-settled Award, state whether the Tax Liability will include Employer NICs;</paratext>
                </para>
              </subclause2>
              <subclause2 id="a852288">
                <identifier>(n)</identifier>
                <para>
                  <paratext>include a statement that the Award is subject to the rules (which shall be incorporated in the Award Certificate by reference);</paratext>
                </para>
              </subclause2>
              <subclause2 id="a111295">
                <identifier>(o)</identifier>
                <para>
                  <paratext>state any Relevant Restriction;</paratext>
                </para>
              </subclause2>
              <subclause2 id="a752111">
                <identifier>(p)</identifier>
                <para>
                  <paratext>
                    state that the Acceptance Notice or Exercise Notice shall include the terms required by 
                    <internal.reference refid="a548092">rule 11.9</internal.reference>
                     and 
                    <internal.reference refid="a353805">rule 23</internal.reference>
                    ; and
                  </paratext>
                </para>
              </subclause2>
              <subclause2 id="a318222">
                <identifier>(q)</identifier>
                <para>
                  <paratext>
                    include summaries of 
                    <internal.reference refid="a101498">rule 17</internal.reference>
                     and 
                    <internal.reference refid="a353805">rule 23</internal.reference>
                    .
                  </paratext>
                </para>
                <drafting.note id="a102004" jurisdiction="">
                  <head align="left" preservecase="true">
                    <headtext>Award Certificates</headtext>
                  </head>
                  <division id="a000045" level="1">
                    <para>
                      <paratext>Awards are granted by a unilateral deed of the Company. This means that practical difficulties with obtaining signed copies from employees can be avoided.</paratext>
                    </para>
                    <division id="a425035" level="2">
                      <head align="left" preservecase="true">
                        <headtext>Lapse date</headtext>
                      </head>
                      <para>
                        <paratext>The Investment Association principles of remuneration specify that options should not be exercisable more than ten years after grant.</paratext>
                      </para>
                      <para>
                        <paratext>It is common for employee share options to be granted with a ten-year term, but a shorter term may be preferable, especially for managing a company's headroom for new grants under the dilution limits which are often imposed on employee share schemes.</paratext>
                      </para>
                      <para>
                        <paratext>Awards that are not Options will typically either be Released or lapse at the end of a three to five-year Performance Period.</paratext>
                      </para>
                    </division>
                  </division>
                </drafting.note>
              </subclause2>
            </subclause1>
            <subclause1 id="a1033870">
              <identifier>2.5</identifier>
              <para>
                <paratext>No amount shall be paid by an Employee for the grant of an Award.</paratext>
              </para>
              <drafting.note id="a941783" jurisdiction="">
                <head align="left" preservecase="true">
                  <headtext>Payment for Award</headtext>
                </head>
                <division id="a000046" level="1">
                  <para>
                    <paratext>
                      Sometimes, a nominal amount is paid for an Award to ensure that it is a legally enforceable contract, but this will 
                      <bold>not</bold>
                       be required if Awards will be granted by deed, as is intended in these rules.
                    </paratext>
                  </para>
                  <para>
                    <paratext>
                      For more information, see 
                      <link href="9-577-1386" style="ACTLinkPLCtoPLC">
                        <ital>Practice note, Formalities for granting employee share options and awards</ital>
                      </link>
                      .
                    </paratext>
                  </para>
                </division>
              </drafting.note>
            </subclause1>
            <subclause1 id="a1036525">
              <identifier>2.6</identifier>
              <para>
                <paratext>
                  If the Company makes a Forfeitable Share Award, the Board will arrange for the Shares subject to the Award to be allotted and issued, or transferred, to the Nominee to be held in accordance with 
                  <internal.reference refid="a152884">rule 7</internal.reference>
                  .
                </paratext>
              </para>
            </subclause1>
          </clause>
          <clause id="a920421">
            <identifier>3.</identifier>
            <head align="left" preservecase="true">
              <headtext>Performance Condition</headtext>
            </head>
            <drafting.note id="a1016553" jurisdiction="">
              <head align="left" preservecase="true">
                <headtext>Performance Condition</headtext>
              </head>
              <division id="a000047" level="1">
                <para>
                  <paratext>
                    This rule sets out a framework for making Awards subject to Performance Conditions, such as that 
                    <link href="1-107-6183" style="ACTLinkPLCtoPLC">
                      <bold>
                        <ital>earnings per share</ital>
                      </bold>
                    </link>
                     (EPS) must be more than a certain amount. Companies that wish to comply with the Investment Association principles of remuneration should include Performance Conditions measured over a period of at least three years.
                  </paratext>
                </para>
                <para>
                  <paratext>
                    For more information on performance conditions, see 
                    <link href="8-205-5483" style="ACTLinkPLCtoPLC">
                      <ital>Practice note, Performance conditions: overview</ital>
                    </link>
                    .
                  </paratext>
                </para>
              </division>
            </drafting.note>
            <subclause1 id="a728157">
              <identifier>3.1</identifier>
              <para>
                <paratext>On the Grant Date of any Award, the Board shall specify one or more appropriate Performance Conditions for the Award.</paratext>
              </para>
            </subclause1>
            <subclause1 id="a858924">
              <identifier>3.2</identifier>
              <para>
                <paratext>The Board may vary or waive any Performance Condition, provided that any varied Performance Condition shall be (in the reasonable opinion of the Board):</paratext>
              </para>
              <subclause2 id="a997781">
                <identifier>(a)</identifier>
                <para>
                  <paratext>a fairer measure of performance than the original Performance Condition, as judged at the time of the variation;</paratext>
                </para>
              </subclause2>
              <subclause2 id="a50052">
                <identifier>(b)</identifier>
                <para>
                  <paratext>no more difficult to satisfy than the original Performance Condition was at the Grant Date; and</paratext>
                </para>
              </subclause2>
              <subclause2 id="a565346">
                <identifier>(c)</identifier>
                <para>
                  <paratext>not materially easier to satisfy than the original Performance Condition was at the Grant Date, unless the variation of the Performance Condition has been approved in advance by the Company in general meeting.</paratext>
                </para>
              </subclause2>
            </subclause1>
            <subclause1 id="a550620">
              <identifier>3.3</identifier>
              <para>
                <paratext>
                  <internal.reference refid="a858924">rule 3.2</internal.reference>
                   shall not permit the general waiver by the Board of Performance Conditions on:
                </paratext>
              </para>
              <subclause2 id="a860378">
                <identifier>(a)</identifier>
                <para>
                  <paratext>cessation of employment;</paratext>
                </para>
              </subclause2>
              <subclause2 id="a665523">
                <identifier>(b)</identifier>
                <para>
                  <paratext>
                    the occurrence of any event permitting the Release of Awards under 
                    <internal.reference refid="a1037750">rule 20</internal.reference>
                    ; or
                  </paratext>
                </para>
              </subclause2>
              <subclause2 id="a718930">
                <identifier>(c)</identifier>
                <para>
                  <paratext>
                    the exchange of Awards for New Awards under 
                    <internal.reference refid="a580292">rule 21</internal.reference>
                    .
                  </paratext>
                </para>
                <drafting.note id="a558710" jurisdiction="">
                  <head align="left" preservecase="true">
                    <headtext>Investment Association restriction on automatic waiver</headtext>
                  </head>
                  <division id="a000048" level="1">
                    <para>
                      <paratext>The Investment Association principles of remuneration require that there is no automatic waiving of performance conditions either where a change of control takes place or where subsisting Awards are rolled over in the event of a capital reconstruction or the early termination of the Award Holder's employment.</paratext>
                    </para>
                  </division>
                </drafting.note>
              </subclause2>
            </subclause1>
            <subclause1 id="a597390">
              <identifier>3.4</identifier>
              <para>
                <paratext>The Board shall determine whether, and to what extent, the Performance Condition has been satisfied:</paratext>
              </para>
              <subclause2 id="a188909">
                <identifier>(a)</identifier>
                <para>
                  <paratext>on the Performance Measurement Date, which shall be as soon as reasonably possible after the end of the Performance Period;</paratext>
                </para>
              </subclause2>
              <subclause2 id="a148775">
                <identifier>(b)</identifier>
                <para>
                  <paratext>
                    as soon as reasonably possible following the death of an Award Holder in order to apply the reduction required by 
                    <internal.reference refid="a343884">rule 18.3(b)</internal.reference>
                     or 
                    <internal.reference refid="a410055">rule 19.3(b)</internal.reference>
                    ; or
                  </paratext>
                </para>
              </subclause2>
              <subclause2 id="a800335">
                <identifier>(c)</identifier>
                <para>
                  <paratext>
                    in order to determine the Releasable Number in accordance with 
                    <internal.reference refid="a324210">rule 20.1</internal.reference>
                    .
                  </paratext>
                </para>
                <drafting.note id="a580073" jurisdiction="">
                  <head align="left" preservecase="true">
                    <headtext>Testing the Performance Condition</headtext>
                  </head>
                  <division id="a000049" level="1">
                    <para>
                      <paratext>
                        This 
                        <internal.reference refid="a597390">rule 3.4</internal.reference>
                         must be read in conjunction with 
                        <internal.reference refid="a818966">rule 18.8</internal.reference>
                         and 
                        <internal.reference refid="a852035">rule 19.7</internal.reference>
                        , that say that an Award with multiple performance conditions must be treated as separate Awards with possibly more than one Performance Measurement Date and Performance Period.
                      </paratext>
                    </para>
                    <para>
                      <paratext>For example, half the Award might have a Performance Condition that the Company must achieve a certain level of financial performance in a particular year. The Board should test this as soon as possible after the accounts for that year are signed off. The remainder of the Award might have a Performance Condition relating to performance in the following year and that is determined at the end of the following year.</paratext>
                    </para>
                  </division>
                </drafting.note>
              </subclause2>
            </subclause1>
            <subclause1 id="a789654">
              <identifier>3.5</identifier>
              <para>
                <paratext>The Board shall notify the Award Holder within a reasonable time after the Board becomes aware of the relevant information:</paratext>
              </para>
              <subclause2 id="a612117">
                <identifier>(a)</identifier>
                <para>
                  <paratext>whether (and, if relevant, to what extent) the Performance Condition has been satisfied;</paratext>
                </para>
              </subclause2>
              <subclause2 id="a879150">
                <identifier>(b)</identifier>
                <para>
                  <paratext>of any subsequent change in whether, or the extent to which, the Performance Condition has been satisfied;</paratext>
                </para>
              </subclause2>
              <subclause2 id="a78050">
                <identifier>(c)</identifier>
                <para>
                  <paratext>when that Performance Condition has become incapable of being satisfied, in whole or in part; and</paratext>
                </para>
              </subclause2>
              <subclause2 id="a746929">
                <identifier>(d)</identifier>
                <para>
                  <paratext>
                    of any waiver or variation of that Performance Condition under 
                    <internal.reference refid="a858924">rule 3.2</internal.reference>
                    .
                  </paratext>
                </para>
              </subclause2>
            </subclause1>
            <subclause1 id="a740292">
              <identifier>3.6</identifier>
              <para>
                <paratext>If the Board considers that a Performance Condition has become incapable of being satisfied, in whole or in part, that Award, or the appropriate part of it, shall lapse immediately.</paratext>
              </para>
            </subclause1>
          </clause>
          <clause id="a62542">
            <identifier>4.</identifier>
            <head align="left" preservecase="true">
              <headtext>Dividend Equivalents</headtext>
            </head>
            <drafting.note id="a550750" jurisdiction="">
              <head align="left" preservecase="true">
                <headtext>Dividend Equivalents</headtext>
              </head>
              <division id="a000050" level="1">
                <para>
                  <paratext>It is common for LTIPs to include Dividend Equivalents. These are amounts equal to the dividends that an Award Holder who had invested in the Shares that are Released would have received. The actual details of the calculation of the Dividend Equivalents can be stated in the Award Certificate.</paratext>
                </para>
                <para>
                  <paratext>
                    The Investment Association principles of remuneration state that Dividend Equivalents should not be paid on Options (
                    <link href="4-209-4976" style="ACTLinkPLCtoPLC">
                      <ital>The Investment Association: Guidance for remuneration committees: Section C2(ii)(c)</ital>
                    </link>
                    ).
                  </paratext>
                </para>
                <para>
                  <paratext>
                    Dividend Equivalents are not paid on Forfeitable Shares since it is possible to pay the actual dividend to the Award Holder (see 
                    <internal.reference refid="a1037979">rule 7.6</internal.reference>
                    ).
                  </paratext>
                </para>
                <para>
                  <paratext>Dividend Equivalents are taxable as employment income rather than dividend income.</paratext>
                </para>
              </division>
            </drafting.note>
            <subclause1 id="a884742">
              <identifier>4.1</identifier>
              <para>
                <paratext>On the Grant Date of any Award (other than an Option or a Forfeitable Share Award) the Board may specify that Dividend Equivalents apply to the Award.</paratext>
              </para>
            </subclause1>
            <subclause1 id="a336583">
              <identifier>4.2</identifier>
              <para>
                <paratext>A Dividend Equivalent is a right to receive a payment on the Release Date.</paratext>
              </para>
            </subclause1>
            <subclause1 id="a138318">
              <identifier>4.3</identifier>
              <para>
                <paratext>The payment is equivalent to the dividends that would have been paid during the period between the Grant Date and the Release Date on the number of Shares in relation to which the Award is Released.</paratext>
              </para>
            </subclause1>
            <subclause1 id="a58082">
              <identifier>4.4</identifier>
              <para>
                <paratext>The Board shall specify in the Award Certificate:</paratext>
              </para>
              <subclause2 id="a815604">
                <identifier>(a)</identifier>
                <para>
                  <paratext>whether the Dividend Equivalent shall be paid in cash or additional Shares; and</paratext>
                </para>
              </subclause2>
              <subclause2 id="a253539">
                <identifier>(b)</identifier>
                <para>
                  <paratext>whether the calculation of the Dividend Equivalent should assume that dividends paid on the Shares were reinvested in further Shares.</paratext>
                </para>
              </subclause2>
            </subclause1>
          </clause>
          <clause id="a272740">
            <identifier>5.</identifier>
            <head align="left" preservecase="true">
              <headtext>Overall grant limits</headtext>
            </head>
            <subclause1 id="a948472">
              <identifier>5.1</identifier>
              <para>
                <paratext>The Company may not grant an Award if that grant would result in the total number of Dilutive Shares exceeding 10% of the issued share capital of the Company.</paratext>
              </para>
              <drafting.note id="a492845" jurisdiction="">
                <head align="left" preservecase="true">
                  <headtext>10% in ten years rule</headtext>
                </head>
                <division id="a000051" level="1">
                  <para>
                    <paratext>The 10% in ten years rule limit is a requirement of the Investment Association principles of remuneration.</paratext>
                  </para>
                </division>
              </drafting.note>
            </subclause1>
            <subclause1 id="a762844">
              <identifier>5.2</identifier>
              <para>
                <paratext>The Company may not grant an Award if that grant would result in the total number of Discretionary Dilutive Shares exceeding 5% of the issued share capital of the Company.</paratext>
              </para>
              <drafting.note id="a556933" jurisdiction="">
                <head align="left" preservecase="true">
                  <headtext>5% in ten years rule</headtext>
                </head>
                <division id="a000052" level="1">
                  <para>
                    <paratext>The Investment Association principles of remuneration provide that executive or discretionary schemes should be subject to a limit of 5% dilution over ten years.</paratext>
                  </para>
                </division>
              </drafting.note>
            </subclause1>
            <subclause1 id="a56752">
              <identifier>5.3</identifier>
              <para>
                <paratext>
                  The Board may redesignate a Transfer Only Award as not being a Transfer Only Award, in which case the Shares subject to that Award will be Dilutive Shares. The Board may not do this if the consequence would be to break the limits in either 
                  <internal.reference refid="a948472">rule 5.1</internal.reference>
                   or 
                  <internal.reference refid="a762844">rule 5.2</internal.reference>
                  .
                </paratext>
              </para>
            </subclause1>
          </clause>
          <clause id="a341102">
            <identifier>6.</identifier>
            <head align="left" preservecase="true">
              <headtext>Individual grant limits</headtext>
            </head>
            <subclause1 id="a753629">
              <identifier>6.1</identifier>
              <para>
                <paratext>
                  Except where 
                  <internal.reference refid="a781627">rule 6.2</internal.reference>
                   applies, the Company may not grant an Award to any Employee if that grant would result in the aggregate Market Value of Shares subject to Awards made to that Employee in that Year exceeding [100]% of the Employee's Salary as at the proposed Grant Date.
                </paratext>
              </para>
              <para>
                <paratext>
                  For the purposes of this 
                  <internal.reference refid="a753629">rule 6.1</internal.reference>
                  , the Market Value of an Award shall be measured as at its Grant Date.
                </paratext>
              </para>
            </subclause1>
            <subclause1 id="a781627">
              <identifier>6.2</identifier>
              <para>
                <paratext>
                  If the Board considers that the circumstances of the proposed Award are exceptional, 
                  <internal.reference refid="a753629">rule 6.1</internal.reference>
                   shall apply with the substitution of [300%] for [100%].
                </paratext>
              </para>
            </subclause1>
            <subclause1 id="a963210">
              <identifier>6.3</identifier>
              <para>
                <paratext>
                  For the avoidance of doubt, Cash-settled Awards and Transfer Only Awards are included for the purposes of 
                  <internal.reference refid="a753629">rule 6.1</internal.reference>
                   and 
                  <internal.reference refid="a781627">rule 6.2</internal.reference>
                  .
                </paratext>
              </para>
            </subclause1>
          </clause>
          <clause id="a152884">
            <identifier>7.</identifier>
            <head align="left" preservecase="true">
              <headtext>Forfeitable Share Awards</headtext>
            </head>
            <drafting.note id="a889180" jurisdiction="">
              <head align="left" preservecase="true">
                <headtext>Forfeitable Share Awards</headtext>
              </head>
              <division id="a000053" level="1">
                <para>
                  <paratext>When a company awards Forfeitable Shares, the employee actually acquires beneficial ownership of the shares, but can forfeit the shares if they are never Released, whether because the Performance Condition is not achieved or because the employee leaves before the Release Date or they lapse for some other reason. The shares are actually registered in the name of a nominee, usually an EBT.</paratext>
                </para>
                <para>
                  <paratext>
                    Listed companies rarely use Forfeitable Shares for awards to UK employees because of their unattractive tax treatment. There are no particular advantages in the UK except where the employee wishes to make a section 431 election in the expectation that the value of the shares will rise substantially, but this will mean an upfront dry charge to income tax and NICs. For more information on the UK taxation of Forfeitable Shares, see 
                    <link href="3-364-2007" style="ACTLinkPLCtoPLC">
                      <ital>Practice note, Restricted securities</ital>
                    </link>
                    .
                  </paratext>
                </para>
                <para>
                  <paratext>Companies may nevertheless want to include the possibility of granting Forfeitable Shares because they may be more appropriate for employees in other jurisdictions, for example if there are tax advantages in establishing beneficial ownership at grant.</paratext>
                </para>
              </division>
            </drafting.note>
            <subclause1 id="a1052706">
              <identifier>7.1</identifier>
              <para>
                <paratext>
                  On or as soon as practicable after the Grant Date of a Forfeitable Share Award, the proposed Award Holder shall sign an Acceptance Notice and a Nominee Agreement which shall give effect to the following provisions of this 
                  <internal.reference refid="a152884">rule 7</internal.reference>
                  . If the Award Holder fails to sign and return the Acceptance Notice and Nominee Agreement to the Company within 30 days after the Grant Date, the Award Holder shall forfeit for no consideration all interest in the Forfeitable Shares.
                </paratext>
              </para>
              <drafting.note id="a560650" jurisdiction="">
                <head align="left" preservecase="true">
                  <headtext>Forfeitable Shares: Acceptance Notice</headtext>
                </head>
                <division id="a000054" level="1">
                  <para>
                    <paratext>The Award Holder must sign an Acceptance Notice agreeing to the terms of the Award. This is important as it secures the Award Holder's agreement to matters such as withholding of tax and possible clawback of the Award.</paratext>
                  </para>
                  <para>
                    <paratext>The rules state that the Award will lapse if the Award Holder does not sign this within 30 days of the Grant Date. However, in practice it may be better to get the Award Holder to sign the Acceptance Notice on or before the Grant Date.</paratext>
                  </para>
                </division>
              </drafting.note>
            </subclause1>
            <subclause1 id="a618817">
              <identifier>7.2</identifier>
              <para>
                <paratext>The Forfeitable Shares shall be registered in the name of the Nominee until the end of the Holding Period.</paratext>
              </para>
            </subclause1>
            <subclause1 id="a920485">
              <identifier>7.3</identifier>
              <para>
                <paratext>
                  An Award Holder who attempts to transfer, assign, charge or otherwise dispose of the beneficial interest in the Forfeitable Shares before the Release Date (except where 
                  <internal.reference refid="a391918">rule 11</internal.reference>
                  , 
                  <internal.reference refid="a181702">rule 19</internal.reference>
                  , 
                  <internal.reference refid="a1037750">rule 20</internal.reference>
                   or 
                  <internal.reference refid="a580292">rule 21</internal.reference>
                   apply) shall forfeit for no consideration all interest in the Forfeitable Shares.
                </paratext>
              </para>
            </subclause1>
            <subclause1 id="a948263">
              <identifier>7.4</identifier>
              <para>
                <paratext>The Award Holder may not transfer, assign, charge or otherwise dispose of the beneficial interest in the Forfeitable Shares during the Holding Period except:</paratext>
              </para>
              <subclause2 id="a471649">
                <identifier>(a)</identifier>
                <para>
                  <paratext>with the permission of the Board;</paratext>
                </para>
              </subclause2>
              <subclause2 id="a901492">
                <identifier>(b)</identifier>
                <para>
                  <paratext>in order to raise sufficient funds to pay a Tax Liability in relation to the Forfeitable Shares; or</paratext>
                </para>
              </subclause2>
              <subclause2 id="a143119">
                <identifier>(c)</identifier>
                <para>
                  <paratext>
                    where 
                    <internal.reference refid="a391918">rule 11</internal.reference>
                    , 
                    <internal.reference refid="a1037750">rule 20</internal.reference>
                     or 
                    <internal.reference refid="a580292">rule 21</internal.reference>
                     apply.
                  </paratext>
                </para>
              </subclause2>
            </subclause1>
            <subclause1 id="a668178">
              <identifier>7.5</identifier>
              <para>
                <paratext>
                  If the Board decides in accordance with 
                  <internal.reference refid="a740292">rule 3.6</internal.reference>
                   that the Award is subject to a Performance Condition that has become incapable of being satisfied, in whole or in part, the Award Holder shall forfeit for no consideration all interest in the Forfeitable Shares, or the appropriate proportion of them.
                </paratext>
              </para>
            </subclause1>
            <subclause1 id="a1037979">
              <identifier>7.6</identifier>
              <para>
                <paratext>Dividends paid on the Forfeitable Shares where the record date occurs before the Release Date shall be dealt with in one or more of the following ways, as specified by the Board in the Award Certificate:</paratext>
              </para>
              <subclause2 id="a928575">
                <identifier>(a)</identifier>
                <para>
                  <paratext>paid by the Company to the Award Holder whenever the Company pays dividends on Shares generally, if so mandated by the Nominee;</paratext>
                </para>
              </subclause2>
              <subclause2 id="a725630">
                <identifier>(b)</identifier>
                <para>
                  <paratext>retained by the Nominee, held on the same terms as the Forfeitable Shares and paid to the Award Holder on the Release Date;</paratext>
                </para>
              </subclause2>
              <subclause2 id="a334466">
                <identifier>(c)</identifier>
                <para>
                  <paratext>invested by the Nominee in further Shares which the Nominee shall hold on the same terms as the Forfeitable Shares; or</paratext>
                </para>
              </subclause2>
              <subclause2 id="a507958">
                <identifier>(d)</identifier>
                <para>
                  <paratext>waived by the Nominee.</paratext>
                </para>
                <drafting.note id="a400616" jurisdiction="">
                  <head align="left" preservecase="true">
                    <headtext>Forfeitable shares: dividends</headtext>
                  </head>
                  <division id="a000055" level="1">
                    <para>
                      <paratext>A likely reason for using Forfeitable Shares will be to establish beneficial ownership of the Shares for tax purposes in a foreign jurisdiction. A right to receive dividends may be essential to show beneficial ownership. The Investment Association principles of remuneration do not expressly prohibit paying dividends on unvested Shares, but this is generally discouraged by institutional shareholders.</paratext>
                    </para>
                    <para>
                      <paratext>Dividends where the record date occurs after the Release Date should be paid to the Award Holder.</paratext>
                    </para>
                    <para>
                      <paratext>
                        <internal.reference refid="a1037979">rule 7.6</internal.reference>
                         sets out four different ways of dealing with dividends. These are:
                      </paratext>
                    </para>
                    <list type="bulleted">
                      <list.item>
                        <para>
                          <paratext>
                            The Nominee mandates the dividends so that the company pays them directly to the Award Holder. An Award Holder who is a UK resident, being the beneficial owner, will be taxed in the normal way on the dividends (see 
                            <link href="7-376-4737#a727516" style="ACTLinkPLCtoPLC">
                              <ital>Practice note, Dividends: tax overview: Tax issues for UK resident individuals</ital>
                            </link>
                            ). If the Award Holder is non-resident, see 
                            <link href="7-376-4737#a161253" style="ACTLinkPLCtoPLC">
                              <ital>Practice note, Dividends: tax overview: Non-residents</ital>
                            </link>
                            .
                          </paratext>
                        </para>
                      </list.item>
                      <list.item>
                        <para>
                          <paratext>
                            The Nominee retains the dividends as cash and pays them to the Award Holder on the Release Date (if any). In this scenario, the Award Holder's has no entitlement to dividends; if the Award Holder is a UK resident, the cash will be taxed as "dividend equivalents" which are employment income for tax purposes. Assuming the Nominee is an EBT, it will be taxed on the dividends. For details of the income tax treatment of an EBT, see 
                            <link href="8-574-6726#a943804" style="ACTLinkPLCtoPLC">
                              <ital>Practice note, Taxation of employee benefit trusts: Receipt of UK cash dividend</ital>
                            </link>
                            . There can be double taxation: for details of the relief from this, see 
                            <link href="8-574-6726#a128722" style="ACTLinkPLCtoPLC">
                              <ital>Practice note, Taxation of employee benefit trusts: Relief from double taxation</ital>
                            </link>
                            <ital>.</ital>
                          </paratext>
                        </para>
                      </list.item>
                      <list.item>
                        <para>
                          <paratext>The Nominee reinvests the dividends (after paying tax) in additional Shares which it holds as if they were Forfeitable Shares. The Nominee will be taxed on the dividends so can only reinvest the net amount. The Award Holder will be taxed on the Shares on the Release Date.</paratext>
                        </para>
                      </list.item>
                      <list.item>
                        <para>
                          <paratext>The dividends are waived.</paratext>
                        </para>
                      </list.item>
                    </list>
                    <para>
                      <paratext>It is possible to combine various methods. For example, the Nominee might waive dividends during the Performance Period but pay them to the Award Holder during the remainder of the Holding Period.</paratext>
                    </para>
                    <para>
                      <paratext>If the Nominee is an EBT, the terms of the trust deed and the nominee agreement should be carefully considered to determine whether the Shares are actually part of the settled property, or held separately as a nominee. If the Shares are part of the settled property, they may be subject to an automatic dividend waiver.</paratext>
                    </para>
                  </division>
                </drafting.note>
              </subclause2>
            </subclause1>
            <subclause1 id="a912568">
              <identifier>7.7</identifier>
              <para>
                <paratext>Dividends paid on the Forfeitable Shares where the record date falls after the Release Date shall be mandated by the Nominee to be paid to the Award Holder.</paratext>
              </para>
            </subclause1>
            <subclause1 id="a518640">
              <identifier>7.8</identifier>
              <para>
                <paratext>The Nominee shall not exercise voting rights on the Forfeitable Shares at any general meeting of members of the Company that occurs before the Release Date.</paratext>
              </para>
              <para>
                <paratext>The Nominee shall seek the Award Holder's directions as to how to exercise its voting rights at any general meeting of members of the Company that occurs after the Release Date and shall comply with those directions.</paratext>
              </para>
              <drafting.note id="a464704" jurisdiction="">
                <head align="left" preservecase="true">
                  <headtext>Forfeitable Shares: voting rights</headtext>
                </head>
                <division id="a000056" level="1">
                  <para>
                    <paratext>
                      <internal.reference refid="a518640">rule 7.8</internal.reference>
                       states that the Nominee will not exercise the voting rights on Forfeitable Shares at meetings before the Release Date. This is to comply with paragraph 2(xiii) of Section C of the Investment Association principles of remuneration, which says that unvested shares should not be voted at shareholder meetings.
                    </paratext>
                  </para>
                </division>
              </drafting.note>
            </subclause1>
            <subclause1 id="a881804">
              <identifier>7.9</identifier>
              <para>
                <paratext>If the Company makes an offer conferring any rights on its members to acquire (for payment) additional securities in a Group Company, the Nominee shall comply with any direction from the Award Holder concerning the exercise or sale of any rights or securities attributable to the Forfeitable Shares. However, the Nominee shall not be required to exercise any such rights unless:</paratext>
              </para>
              <subclause2 id="a131521">
                <identifier>(a)</identifier>
                <para>
                  <paratext>the Award Holder has paid the full amount payable (if any) on exercise; or</paratext>
                </para>
              </subclause2>
              <subclause2 id="a116794">
                <identifier>(b)</identifier>
                <para>
                  <paratext>the Award Holder has authorised the Nominee to sell sufficient of the rights, nil paid, to pay the full amount to acquire the balance of such rights.</paratext>
                </para>
              </subclause2>
              <para>
                <paratext>If no such direction is received at least [seven] Dealing Days before the last day on which such rights may be exercised, the Nominee shall take no action in relation to those rights.</paratext>
              </para>
              <para>
                <paratext>The Nominee shall hold any additional shares or securities so acquired on the same terms as the Forfeitable Shares.</paratext>
              </para>
            </subclause1>
            <subclause1 id="a426553">
              <identifier>7.10</identifier>
              <para>
                <paratext>
                  The Nominee shall comply with any direction from the Award Holder concerning a release of Awards in accordance with 
                  <internal.reference refid="a580292">rule 21</internal.reference>
                  .
                </paratext>
              </para>
            </subclause1>
            <subclause1 id="a510337">
              <identifier>7.11</identifier>
              <para>
                <paratext>The words "forfeit for no consideration" mean that the Award Holder's beneficial interest in the Forfeitable Shares ceases to exist and the Award Holder receives no consideration for the cessation of the beneficial interest.</paratext>
              </para>
            </subclause1>
          </clause>
          <clause id="a497277">
            <identifier>8.</identifier>
            <head align="left" preservecase="true">
              <headtext>Release Date</headtext>
            </head>
            <subclause1 id="a683821">
              <identifier>8.1</identifier>
              <para>
                <paratext>The Board shall specify in the Award Certificate the Employment Period, the Performance Period and (in relation to Share-settled Awards) the Holding Period.</paratext>
              </para>
            </subclause1>
            <subclause1 id="a550683">
              <identifier>8.2</identifier>
              <para>
                <paratext>
                  As soon as reasonably practicable after the end of the Performance Period, the Board will determine the extent to which the Performance Conditions have been satisfied. The date of that determination is the Performance Measurement Date and (subject to 
                  <internal.reference refid="a390464">rule 8.3</internal.reference>
                  , 
                  <internal.reference refid="a871123">rule 8.4</internal.reference>
                   and 
                  <internal.reference refid="a791230">rule 9.1</internal.reference>
                  ), the Awards will be Released on the Release Date or lapse accordingly, in whole or in part.
                </paratext>
              </para>
            </subclause1>
            <subclause1 id="a390464">
              <identifier>8.3</identifier>
              <para>
                <paratext>The Release Date shall be the later of the Performance Measurement Date, and the first Dealing Day following the end of the Employment Period. However, if that date falls in a Closed Period, the Release Date will be the first Dealing Day following the end of that Closed Period.</paratext>
              </para>
              <drafting.note id="a281985" jurisdiction="">
                <head align="left" preservecase="true">
                  <headtext>Release during a Closed Period</headtext>
                </head>
                <division id="a000057" level="1">
                  <para>
                    <paratext>It is unclear as to whether UK MAR strictly prohibits an automatic Release of Shares during a Closed Period.</paratext>
                  </para>
                  <para>
                    <paratext>
                      However, Release is a chargeable event for tax purposes, and the risk is that if it happened during a Closed Period, a 
                      <link href="4-200-9271" style="ACTLinkPLCtoPLC">
                        <bold>
                          <ital>person discharging managerial responsibilities</ital>
                        </bold>
                      </link>
                       (PDMR) would be unable to sell Shares to raise the funds to pay the tax.
                    </paratext>
                  </para>
                  <para>
                    <paratext>As a result, best practice is not to permit Release of Awards during a Closed Period.</paratext>
                  </para>
                  <para>
                    <paratext>
                      For more information, see 
                      <link anchor="a995778" href="2-629-8362" style="ACTLinkPLCtoPLC">
                        <ital>Practice note, UK MAR: operating employee share plans: Operating share schemes in a closed period</ital>
                      </link>
                      .
                    </paratext>
                  </para>
                </division>
              </drafting.note>
            </subclause1>
            <subclause1 id="a871123">
              <identifier>8.4</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drafting.note id="a884139" jurisdiction="">
                <head align="left" preservecase="true">
                  <headtext>Release is conditional on signing an Acceptance Notice</headtext>
                </head>
                <division id="a000058" level="1">
                  <para>
                    <paratext>The Award Holder must sign an Acceptance Notice which includes important terms, such as agreeing to pay the tax and the terms of clawback. For Non-Option Awards, this is a condition of Release. For Options, these terms are included in the Exercise Notice.</paratext>
                  </para>
                </division>
              </drafting.note>
            </subclause1>
          </clause>
          <clause id="a852550">
            <identifier>9.</identifier>
            <head align="left" preservecase="true">
              <headtext>Suspension of Awards</headtext>
            </head>
            <drafting.note id="a366510" jurisdiction="">
              <head align="left" preservecase="true">
                <headtext>Suspension of Awards</headtext>
              </head>
              <division id="a000059" level="1">
                <para>
                  <paratext>
                    <internal.reference refid="a791230">rule 9.1</internal.reference>
                     and 
                    <internal.reference refid="a702816">rule 9.2</internal.reference>
                     prevent an Award from being Released, or an Option from being exercised, at a time when the Award Holder is under investigation for misconduct or similar.
                  </paratext>
                </para>
                <para>
                  <paratext>This merely suspends the Award for the duration of the investigation and does not itself cause the Award to lapse. It allows malus to be applied to the Award if the Board considers that appropriate when the investigation concludes.</paratext>
                </para>
                <para>
                  <paratext>
                    If the investigation concludes with the Award Holder resigning or being dismissed, the Award will lapse in accordance with 
                    <internal.reference refid="a870810">rule 18</internal.reference>
                     or 
                    <internal.reference refid="a181702">rule 19</internal.reference>
                    .
                  </paratext>
                </para>
                <para>
                  <paratext>
                    If the Award Holder is not dismissed when the investigation concludes, 
                    <internal.reference refid="a791230">rule 9.1</internal.reference>
                     and 
                    <internal.reference refid="a702816">rule 9.2</internal.reference>
                     no longer apply.
                  </paratext>
                </para>
                <para>
                  <paratext>
                    <internal.reference refid="a772174">rule 9.4</internal.reference>
                     states that, if an Award Holder gives or receives notification of termination of employment, the right to exercise an Option is suspended during the notice period. If the notice is subsequently withdrawn, the suspension automatically lifts. This only applies before the Release Date. Once the Release Date has passed, the Award Holder is free to exercise the Option.
                  </paratext>
                </para>
                <para>
                  <paratext>
                    <internal.reference refid="a989438">rule 9.5</internal.reference>
                     states that, if an Award Holder gives or receives notification of termination of employment, the Release of the Award is suspended during the notice period. If the notice is subsequently withdrawn, the suspension automatically lifts.
                  </paratext>
                </para>
              </division>
            </drafting.note>
            <subclause1 id="a791230">
              <identifier>9.1</identifier>
              <para>
                <paratext>
                  Subject to 
                  <internal.reference refid="a702816">rule 9.2</internal.reference>
                  , an Award shall not be Released, and an Award Holder may not exercise an Option, at any time:
                </paratext>
              </para>
              <subclause2 id="a807035">
                <identifier>(a)</identifier>
                <para>
                  <paratext>while disciplinary proceedings by any Group Company are underway against the Award Holder; or</paratext>
                </para>
              </subclause2>
              <subclause2 id="a355829">
                <identifier>(b)</identifier>
                <para>
                  <paratext>while any Group Company is investigating the Award Holder's conduct and may as a result begin disciplinary proceedings.</paratext>
                </para>
              </subclause2>
            </subclause1>
            <subclause1 id="a702816">
              <identifier>9.2</identifier>
              <para>
                <paratext>
                  The Company shall not unfairly frustrate a valid Release of an Award or exercise of an Option by the inappropriate application of any provision of 
                  <internal.reference refid="a791230">rule 9.1</internal.reference>
                  .
                </paratext>
              </para>
            </subclause1>
            <subclause1 id="a60797">
              <identifier>9.3</identifier>
              <para>
                <paratext>
                  For the avoidance of doubt, and subject to 
                  <internal.reference refid="a390464">rule 8.3</internal.reference>
                  , 
                  <internal.reference refid="a871123">rule 8.4</internal.reference>
                   and 
                  <internal.reference refid="a181702">rule 19</internal.reference>
                  , an Award that was not Released on its expected Release Date due to the application of 
                  <internal.reference refid="a791230">rule 9.1</internal.reference>
                   shall be Released if the Board so determines following the conclusion of the disciplinary proceedings or investigation. The Release Date of that Award shall be the date of the Board's determination, or, if that date falls in a Closed Period, the first Dealing Day following the end of that Closed Period.
                </paratext>
              </para>
            </subclause1>
            <subclause1 id="a772174">
              <identifier>9.4</identifier>
              <para>
                <paratext>An Award Holder who gives or receives notice of termination of employment before the Release Date (whether or not lawful) may not exercise an Option at any time while the notice remains effective.</paratext>
              </para>
            </subclause1>
            <subclause1 id="a989438">
              <identifier>9.5</identifier>
              <para>
                <paratext>No Award shall be Released during a period when the Award Holder is on notice of termination of employment (whether or not lawful). An Award that would otherwise have been Released during such a period shall instead be Released when and if the notice ceases to be effective.</paratext>
              </para>
            </subclause1>
          </clause>
          <clause id="a714948">
            <identifier>10.</identifier>
            <head align="left" preservecase="true">
              <headtext>Circumstances in which malus and clawback can apply</headtext>
            </head>
            <drafting.note id="a163565" jurisdiction="">
              <head align="left" preservecase="true">
                <headtext>Circumstances in which malus and clawback can apply</headtext>
              </head>
              <division id="a1020662" level="1">
                <head align="left" preservecase="true">
                  <headtext>Malus and clawback of Awards: general principles</headtext>
                </head>
                <para>
                  <paratext>
                    <internal.reference refid="a714948">rule 10</internal.reference>
                     and 
                    <internal.reference refid="a391918">rule 11</internal.reference>
                     implement malus and clawback. These are relatively new features of share plans in the UK.
                  </paratext>
                </para>
                <para>
                  <paratext>Malus usually describes the downward adjustment of an Award in the event of a downturn in the company's performance or poor performance or misconduct by the employee. Malus arrangements adjust Awards before the Award has been Released (or, in the case of an Option, exercised).</paratext>
                </para>
                <para>
                  <paratext>
                    In 
                    <link href="D-102-1802" style="ACTLinkPLCtoPLC">
                      <ital>Daniels v Lloyds Bank Plc [2018] EWHC 660 (Comm) (27 March 2018)</ital>
                    </link>
                     the High Court found that shares were unlawfully withheld under a malus clause. For more information, see 
                    <link href="w-014-0044" style="ACTLinkPLCtoPLC">
                      <ital>Legal update, LTIP shares wrongfully withheld because malus clause unlawfully applied (High Court)</ital>
                    </link>
                    . In 
                    <link href="D-102-8369" style="ACTLinkPLCtoPLC">
                      <ital>Parmar v HSBC Pte Bank (UK) Ltd [2018] EWHC 2468 (QB) (24 September 2018)</ital>
                    </link>
                     the High Court awarded summary judgment to the defendant bank, finding that its process and decision to use a malus clause to reduce the claimant's award to zero were "entirely unimpeachable".
                  </paratext>
                </para>
                <para>
                  <paratext>Clawback means that an Award Holder is required to pay back all or some of an Award that has been Released because either the performance of the business is later found to be not as good as initially reported, or because the recipient has committed some kind of misconduct which is uncovered after the Award has been Released.</paratext>
                </para>
                <para>
                  <paratext>
                    Companies that are regulated by the 
                    <link href="5-107-5761" style="ACTLinkPLCtoPLC">
                      <bold>
                        <ital>Financial Conduct Authority</ital>
                      </bold>
                    </link>
                     (FCA) or the 
                    <link href="8-524-8233" style="ACTLinkPLCtoPLC">
                      <bold>
                        <ital>Prudential Regulation Authority</ital>
                      </bold>
                    </link>
                     (PRA) are required to have clawback or malus. Specific drafting for malus and clawback of bonuses is in 
                    <link href="1-563-3285" style="ACTLinkPLCtoPLC">
                      <ital>Standard clauses, Remuneration code</ital>
                    </link>
                     and these clauses are explained in 
                    <link href="1-563-3285#a433774" style="ACTLinkPLCtoPLC">
                      <ital>Drafting note, Performance adjustment</ital>
                    </link>
                    .
                  </paratext>
                </para>
                <para>
                  <paratext>
                    For other companies, the Corporate Governance Code states that remuneration schemes should include provisions enabling the company to recover and/or withhold awards (
                    <link anchor="a110553" href="w-014-0498" style="ACTLinkPLCtoPLC">
                      <ital>Provision 37</ital>
                    </link>
                    ).
                  </paratext>
                </para>
                <para>
                  <paratext>
                    The directors' remuneration policy may set out the company's policy on malus and clawback. If so, the provisions need to comply with that policy. For more information on the directors' remuneration policy, see 
                    <link href="8-525-8509" style="ACTLinkPLCtoPLC">
                      <ital>Practice note, Directors' remuneration report</ital>
                    </link>
                    .
                  </paratext>
                </para>
                <para>
                  <paratext>
                    <internal.reference refid="a714948">rule 10</internal.reference>
                     and 
                    <internal.reference refid="a391918">rule 11</internal.reference>
                     set out a process for the Board to implement malus and clawback as follows:
                  </paratext>
                </para>
                <list type="bulleted">
                  <list.item>
                    <para>
                      <paratext>
                        First, determine whether circumstances exist that have materially damaged the Group. These could relate to personal misconduct (
                        <internal.reference refid="a751038">rule 10.2</internal.reference>
                        ) or a more general problem (
                        <internal.reference refid="a323951">rule 10.3</internal.reference>
                        ).
                      </paratext>
                    </para>
                  </list.item>
                  <list.item>
                    <para>
                      <paratext>
                        Second, determine whether a particular Award was granted or Released in respect of more Shares than would have been the case if the Board had been fully aware of the circumstances at the time of grant or Release (
                        <internal.reference refid="a585683">rule 10.4</internal.reference>
                        ).
                      </paratext>
                    </para>
                  </list.item>
                  <list.item>
                    <para>
                      <paratext>Third, determine to:</paratext>
                    </para>
                    <list type="bulleted">
                      <list.item>
                        <para>
                          <paratext>
                            apply malus to an Award that has not yet been Released (or in the case of an Option, exercised) by cancelling or reducing it (
                            <internal.reference refid="a489265">rule 11.2</internal.reference>
                            ); or
                          </paratext>
                        </para>
                      </list.item>
                      <list.item>
                        <para>
                          <paratext>
                            determine a Clawback Amount in relation to an Award that has been Released (or in the case of an Option, exercised) (
                            <internal.reference refid="a274423">rule 11.3</internal.reference>
                            ).
                          </paratext>
                        </para>
                      </list.item>
                    </list>
                  </list.item>
                </list>
                <list type="bulleted">
                  <list.item>
                    <para>
                      <paratext>
                        Fourth, secure reimbursement of the Clawback Amount (
                        <internal.reference refid="a823216">rule 11.7</internal.reference>
                        ).
                      </paratext>
                    </para>
                  </list.item>
                </list>
                <para>
                  <paratext>
                    For more information on developing practice in this area, see 
                    <ital>Articles:</ital>
                  </paratext>
                </para>
                <list type="bulleted">
                  <list.item>
                    <para>
                      <paratext>
                        <link href="5-523-7684" style="ACTLinkPLCtoPLC">
                          <ital>Clawback provisions: design considerations and market practice</ital>
                        </link>
                        .
                      </paratext>
                    </para>
                  </list.item>
                  <list.item>
                    <para>
                      <paratext>
                        <link href="2-572-1446" style="ACTLinkPLCtoPLC">
                          <ital>Clawback of bonuses: the claws are out</ital>
                        </link>
                        .
                      </paratext>
                    </para>
                  </list.item>
                </list>
              </division>
              <division id="a797808" level="1">
                <head align="left" preservecase="true">
                  <headtext>Circumstances in which malus and clawback can apply</headtext>
                </head>
                <para>
                  <paratext>
                    <internal.reference refid="a751038">rule 10.2</internal.reference>
                     sets out a list of the circumstances in which malus and clawback can occur due to personal misconduct, or where a material error is made in a calculation.
                  </paratext>
                </para>
                <para>
                  <paratext>
                    <internal.reference refid="a323951">rule 10.3</internal.reference>
                     sets out a list of the circumstances in which malus and clawback can occur due to more general problems. It applies where the accounts have been mis-stated, there is a failure of risk management.
                  </paratext>
                </para>
                <para>
                  <paratext>These are both generic lists; there may be other industry-specific circumstances to be added. The list should include as many circumstances as is reasonable; in the event of litigation it may be necessary to show not just that the conduct was reprehensible but that it fell within one of the circumstances.</paratext>
                </para>
                <para>
                  <paratext>
                    Once the Board becomes aware of the misconduct, it has a discretion to make a determination under 
                    <internal.reference refid="a585683">rule 10.4</internal.reference>
                     that the Award was granted or Released in respect of more Shares than would have been the case if the Board had been fully aware of the circumstances at the time of grant or Release.
                  </paratext>
                </para>
                <para>
                  <paratext>
                    As with any other exercise of a discretion under the rules, and in determining whether something is material, the Board is obliged to act fairly and reasonably (see 
                    <internal.reference refid="a164018">rule 26.5</internal.reference>
                     and 
                    <internal.reference refid="a641316">rule 26.6</internal.reference>
                    ).
                  </paratext>
                </para>
                <para>
                  <paratext>
                    We suggest that the Board must make such a determination (if at all) within three years of becoming aware of the misconduct. This of course could be much later than when the misconduct actually occurs. We suggest three years as this is in line with developing market practice, except for companies that are regulated by the FCA or PRA, where seven years (with a possible extension to ten years) is required (see 
                    <link href="5-616-6591" style="ACTLinkPLCtoPLC">
                      <ital>Legal update, FCA and PRA announce new rules on remuneration to strengthen alignment of long-term risk and reward in the banking sector</ital>
                    </link>
                    ).
                  </paratext>
                </para>
              </division>
            </drafting.note>
            <subclause1 id="a720990">
              <identifier>10.1</identifier>
              <para>
                <paratext>
                  <internal.reference refid="a714948">rule 10</internal.reference>
                   applies in relation to an Award if:
                </paratext>
              </para>
              <subclause2 id="a302761">
                <identifier>(a)</identifier>
                <para>
                  <paratext>
                    either or both 
                    <internal.reference refid="a751038">rule 10.2</internal.reference>
                     and 
                    <internal.reference refid="a323951">rule 10.3</internal.reference>
                     apply; and
                  </paratext>
                </para>
              </subclause2>
              <subclause2 id="a219902">
                <identifier>(b)</identifier>
                <para>
                  <paratext>
                    <internal.reference refid="a585683">rule 10.4</internal.reference>
                     applies.
                  </paratext>
                </para>
              </subclause2>
            </subclause1>
            <subclause1 id="a751038">
              <identifier>10.2</identifier>
              <para>
                <paratext>
                  This 
                  <internal.reference refid="a751038">rule 10.2</internal.reference>
                   applies in relation to an Award if the Board, at its discretion, determines that any of the following circumstances exist:
                </paratext>
              </para>
              <subclause2 id="a727084">
                <identifier>(a)</identifier>
                <para>
                  <paratext>the Award Holder has participated in or was responsible for conduct which resulted in significant losses to a Group Company;</paratext>
                </para>
              </subclause2>
              <subclause2 id="a267787">
                <identifier>(b)</identifier>
                <para>
                  <paratext>the Award Holder has failed to meet appropriate standards of fitness and propriety;</paratext>
                </para>
              </subclause2>
              <subclause2 id="a975345">
                <identifier>(c)</identifier>
                <para>
                  <paratext>the Company has reasonable evidence of fraud or material dishonesty by the Award Holder;</paratext>
                </para>
              </subclause2>
              <subclause2 id="a1054160">
                <identifier>(d)</identifier>
                <para>
                  <paratext>the Company has become aware of any material wrongdoing on the part of the Award Holder;</paratext>
                </para>
              </subclause2>
              <subclause2 id="a58206">
                <identifier>(e)</identifier>
                <para>
                  <paratext>the Award Holder has acted in any manner which in the opinion of the Board has brought or is likely to bring any Group Company into material disrepute or is materially adverse to the interests of any Group Company;</paratext>
                </para>
              </subclause2>
              <subclause2 id="a443870">
                <identifier>(f)</identifier>
                <para>
                  <paratext>there is a breach of the Award Holder's employment contract that is a potentially fair reason for dismissal;</paratext>
                </para>
              </subclause2>
              <subclause2 id="a710903">
                <identifier>(g)</identifier>
                <para>
                  <paratext>the Award Holder is in breach of a fiduciary duty owed to any Group Company;</paratext>
                </para>
              </subclause2>
              <subclause2 id="a644224">
                <identifier>(h)</identifier>
                <para>
                  <paratext>an Award Holder who has ceased to be an Employee was in breach of their employment contract or fiduciary duties in a manner that would have prevented the grant or Release of the Award had the Company been aware (or fully aware) of that breach, and of which the Company was not aware (or not fully aware) until after both:</paratext>
                </para>
                <subclause3 id="a1047523">
                  <identifier>(i)</identifier>
                  <para>
                    <paratext>the Award Holder's ceasing to be an Employee; and</paratext>
                  </para>
                </subclause3>
                <subclause3 id="a306467">
                  <identifier>(ii)</identifier>
                  <para>
                    <paratext>the time (if any) when the Board decided to permit the Release of the Award or the exercise of the Option; or</paratext>
                  </para>
                </subclause3>
              </subclause2>
              <subclause2 id="a414846">
                <identifier>(i)</identifier>
                <para>
                  <paratext>there was a material error in:</paratext>
                </para>
                <subclause3 id="a941642">
                  <identifier>(i)</identifier>
                  <para>
                    <paratext>determining whether the Award should be made;</paratext>
                  </para>
                </subclause3>
                <subclause3 id="a528962">
                  <identifier>(ii)</identifier>
                  <para>
                    <paratext>determining the size and nature of the Award; or</paratext>
                  </para>
                </subclause3>
                <subclause3 id="a850222">
                  <identifier>(iii)</identifier>
                  <para>
                    <paratext>assessing the extent to which any Performance Condition was satisfied on the Performance Measurement Date.</paratext>
                  </para>
                </subclause3>
              </subclause2>
            </subclause1>
            <subclause1 id="a323951">
              <identifier>10.3</identifier>
              <para>
                <paratext>
                  This 
                  <internal.reference refid="a323951">rule 10.3</internal.reference>
                   applies in relation to an Award if the Board, at its discretion, determines that either of the following circumstances exist:
                </paratext>
              </para>
              <subclause2 id="a444353">
                <identifier>(a)</identifier>
                <para>
                  <paratext>a Group Company mis-stated any financial information (whether or not audited) for any part of any Year that was taken into account in:</paratext>
                </para>
                <subclause3 id="a348724">
                  <identifier>(i)</identifier>
                  <para>
                    <paratext>determining whether the Award should be made;</paratext>
                  </para>
                </subclause3>
                <subclause3 id="a134147">
                  <identifier>(ii)</identifier>
                  <para>
                    <paratext>determining the size and nature of the Award; or</paratext>
                  </para>
                </subclause3>
                <subclause3 id="a810503">
                  <identifier>(iii)</identifier>
                  <para>
                    <paratext>assessing the extent to which any Performance Condition was satisfied on the Performance Measurement Date; or</paratext>
                  </para>
                </subclause3>
              </subclause2>
              <subclause2 id="a1023178">
                <identifier>(b)</identifier>
                <para>
                  <paratext>a Group Company or business unit that employs or employed the Award Holder, or for which the Award Holder is responsible, has suffered a material failure of risk management.</paratext>
                </para>
              </subclause2>
            </subclause1>
            <subclause1 id="a585683">
              <identifier>10.4</identifier>
              <para>
                <paratext>
                  This 
                  <internal.reference refid="a585683">rule 10.4</internal.reference>
                   applies in relation to an Award if the Board, at its discretion, determines that, if the circumstances mentioned in 
                  <internal.reference refid="a751038">rule 10.2</internal.reference>
                   or 
                  <internal.reference refid="a323951">rule 10.3</internal.reference>
                   had existed, and the Board had been fully aware that they existed:
                </paratext>
              </para>
              <subclause2 id="a247918">
                <identifier>(a)</identifier>
                <para>
                  <paratext>at the Grant Date, or</paratext>
                </para>
              </subclause2>
              <subclause2 id="a762075">
                <identifier>(b)</identifier>
                <para>
                  <paratext>in the case of an Award that has already been Released, at the Release Date,</paratext>
                </para>
              </subclause2>
              <para>
                <paratext>then:</paratext>
              </para>
              <subclause2 id="a157285">
                <identifier>(c)</identifier>
                <para>
                  <paratext>the Board would not have granted the Award;</paratext>
                </para>
              </subclause2>
              <subclause2 id="a971656">
                <identifier>(d)</identifier>
                <para>
                  <paratext>the Board would have granted the Award in relation to a smaller number of Shares; or</paratext>
                </para>
              </subclause2>
              <subclause2 id="a794119">
                <identifier>(e)</identifier>
                <para>
                  <paratext>in the case of an Award that has already been Released:</paratext>
                </para>
                <subclause3 id="a61153">
                  <identifier>(i)</identifier>
                  <para>
                    <paratext>it would not have been Released at all, or</paratext>
                  </para>
                </subclause3>
                <subclause3 id="a260053">
                  <identifier>(ii)</identifier>
                  <para>
                    <paratext>it would have been Released in relation to a smaller number of Shares.</paratext>
                  </para>
                </subclause3>
              </subclause2>
            </subclause1>
            <subclause1 id="a451961">
              <identifier>10.5</identifier>
              <para>
                <paratext>
                  If the Board makes a determination in relation to an Award under 
                  <internal.reference refid="a714948">rule 10</internal.reference>
                  , it must do so within [three] years of its becoming aware of the circumstances mentioned in 
                  <internal.reference refid="a751038">rule 10.2</internal.reference>
                   or 
                  <internal.reference refid="a323951">rule 10.3</internal.reference>
                  .
                </paratext>
              </para>
            </subclause1>
          </clause>
          <clause id="a391918">
            <identifier>11.</identifier>
            <head align="left" preservecase="true">
              <headtext>Operation of malus and clawback</headtext>
            </head>
            <drafting.note id="a804444" jurisdiction="">
              <head align="left" preservecase="true">
                <headtext>Operation of malus and clawback</headtext>
              </head>
              <division id="a000060" level="1">
                <para>
                  <paratext>
                    <internal.reference refid="a391918">rule 11</internal.reference>
                     sets out how malus and clawback work.
                  </paratext>
                </para>
                <para>
                  <paratext>
                    <internal.reference refid="a999638">rule 11.1</internal.reference>
                     says that 
                    <internal.reference refid="a391918">rule 11</internal.reference>
                     is invoked by the Board making a determination under 
                    <internal.reference refid="a714948">rule 10</internal.reference>
                    .
                  </paratext>
                </para>
                <para>
                  <paratext>
                    <internal.reference refid="a489265">rule 11.2</internal.reference>
                     allows the Board to apply malus to an Award that has not yet been Released (or, if it is an Option, not yet exercised). The Board can cancel the Award or reduce it to the extent that the Board considers to be fair and reasonable.
                  </paratext>
                </para>
                <para>
                  <paratext>
                    <internal.reference refid="a274423">rule 11.3</internal.reference>
                     allows the Board to determine a Clawback Amount in relation to an Award that has been Released (or, if it is an Option, exercised).
                  </paratext>
                </para>
                <para>
                  <paratext>
                    <internal.reference refid="a748446">rule 11.4</internal.reference>
                     requires that the Clawback Amount is fair and reasonable and sets a maximum limit on it. It is important that the Clawback Amount is not an unenforceable penalty clause (see 
                    <link href="9-582-2885#a574254" style="ACTLinkPLCtoPLC">
                      <ital>Practice note, Contracts: agreed remedies: The rule against penalties</ital>
                    </link>
                    ).
                  </paratext>
                </para>
                <para>
                  <paratext>
                    <internal.reference refid="a171404">rule 11.5</internal.reference>
                     gives the Board flexibility to decide whether to reduce the Clawback Amount to allow for irrecoverable taxation. Market practice in this area is likely to evolve as more companies experience clawback in practice.
                  </paratext>
                </para>
                <para>
                  <paratext>
                    There is no specific provision in UK tax legislation for repayment of tax where a Share-settled Award is clawed back, although there are circumstances where tax can be repaid on clawback of a bonus, and HMRC has issued guidance on this. For more information, see 
                    <link href="w-005-1930" style="ACTLinkPLCtoPLC">
                      <ital>Legal update, HMRC publishes views on tax relief for clawback of bonuses</ital>
                    </link>
                  </paratext>
                </para>
                <para>
                  <paratext>
                    <internal.reference refid="a705721">rule 11.6</internal.reference>
                     says that the Board does not have to operate clawback in relation to all Awards that have the same Release Date. The Board might, for example, consider that some Award Holders are more culpable than others.
                  </paratext>
                </para>
                <para>
                  <paratext>
                    <internal.reference refid="a823216">rule 11.7</internal.reference>
                     sets out how the Clawback Amount is recovered from the Award Holder. The onus is on the Award Holder to reimburse the Company for the Clawback Amount within a grace period, which we suggest is 30 days. If full reimbursement is not made, the Company can recover the amount directly from the Award Holder.
                  </paratext>
                </para>
                <para>
                  <paratext>There are seven possible clawback methods and the Board can decide which is most appropriate.</paratext>
                </para>
                <para>
                  <paratext>
                    <internal.reference refid="a558774">rule 11.7(d)</internal.reference>
                     allows awards made under another scheme to be reduced; this will be possible where the other scheme has a cross-clawback provision similar to 
                    <internal.reference refid="a349192">rule 11.8</internal.reference>
                    .
                  </paratext>
                </para>
                <para>
                  <paratext>
                    If the Award Holder has already terminated employment then it is likely that only 
                    <internal.reference refid="a569455">rule 11.7(e)</internal.reference>
                     and 
                    <internal.reference refid="a537411">rule 11.7(f)</internal.reference>
                     will be possible.
                  </paratext>
                </para>
                <para>
                  <paratext>
                    Note that there are likely to be employment law difficulties with reducing salary (see 
                    <link href="6-201-7034" style="ACTLinkPLCtoPLC">
                      <ital>Practice note, Unlawful deductions from wages</ital>
                    </link>
                    ).
                  </paratext>
                </para>
                <para>
                  <paratext>
                    It is a condition of Release that the Award Holder signs an agreement to allow Clawback to be implemented (see 
                    <internal.reference refid="a871123">rule 8.4</internal.reference>
                     and 
                    <internal.reference refid="a548092">rule 11.9</internal.reference>
                    ).
                  </paratext>
                </para>
                <para>
                  <paratext>
                    <internal.reference refid="a349192">rule 11.8</internal.reference>
                     gives effect to cross-clawback. This means that the Board can reduce or cancel Awards made under this Plan to give effect to clawback that arises under the terms of a different bonus or incentive scheme.
                  </paratext>
                </para>
              </division>
            </drafting.note>
            <subclause1 id="a999638">
              <identifier>11.1</identifier>
              <para>
                <paratext>
                  This 
                  <internal.reference refid="a391918">rule 11</internal.reference>
                   applies to an Award if 
                  <internal.reference refid="a714948">rule 10</internal.reference>
                   applies to the Award.
                </paratext>
              </para>
            </subclause1>
            <subclause1 id="a489265">
              <identifier>11.2</identifier>
              <para>
                <paratext>
                  If at the date of the determination under 
                  <internal.reference refid="a585683">rule 10.4</internal.reference>
                  , the Award has not yet been Released or, in the case of an Option, it has not yet been exercised, the Board may determine to cancel the Award or reduce it by such number of Shares as the Board considers to be fair and reasonable, taking account of all circumstances that the Board considers to be relevant.
                </paratext>
              </para>
            </subclause1>
            <subclause1 id="a274423">
              <identifier>11.3</identifier>
              <para>
                <paratext>
                  If at the date of the determination under 
                  <internal.reference refid="a585683">rule 10.4</internal.reference>
                  , the Award has been Released or, in the case of an Option, it has been exercised, the Board may determine a Clawback Amount in relation to the Award.
                </paratext>
              </para>
            </subclause1>
            <subclause1 id="a748446">
              <identifier>11.4</identifier>
              <para>
                <paratext>The Clawback Amount shall be such amount as the Board considers to be fair and reasonable, taking account of all circumstances that the Board considers to be relevant, but shall not be more than:</paratext>
              </para>
              <subclause2 id="a203699">
                <identifier>(a)</identifier>
                <para>
                  <paratext>in relation to an Option that has been exercised, the greater of:</paratext>
                </para>
                <subclause3 id="a592871">
                  <identifier>(i)</identifier>
                  <para>
                    <paratext>the Market Value of the Shares measured on the date the Option was exercised, and</paratext>
                  </para>
                </subclause3>
                <subclause3 id="a928037">
                  <identifier>(ii)</identifier>
                  <para>
                    <paratext>the Market Value of the Shares measured on the date of the determination</paratext>
                  </para>
                </subclause3>
                <para>
                  <paratext>minus the Base Price or Exercise Price (as the case may be);</paratext>
                </para>
              </subclause2>
              <subclause2 id="a669632">
                <identifier>(b)</identifier>
                <para>
                  <paratext>in relation to a Non-Option Award, the greater of:</paratext>
                </para>
                <subclause3 id="a656959">
                  <identifier>(i)</identifier>
                  <para>
                    <paratext>the Market Value of the Shares measured on the Release Date, and</paratext>
                  </para>
                </subclause3>
                <subclause3 id="a735774">
                  <identifier>(ii)</identifier>
                  <para>
                    <paratext>the Market Value of the Shares measured on the date of the determination.</paratext>
                  </para>
                </subclause3>
              </subclause2>
            </subclause1>
            <subclause1 id="a171404">
              <identifier>11.5</identifier>
              <para>
                <paratext>If the Award Holder has paid or is liable to pay any income tax or NICs in relation to the Award or the Shares and which cannot be recovered from or repaid by the Tax Authority (whether directly or indirectly), the Board may in its discretion decide to reduce the Clawback Amount to take account of this amount. In deciding whether to reduce the Clawback Amount, the Board shall take account of such factors it thinks fit, which may include market practice, corporate governance rules and guidelines, and the expectations of shareholders.</paratext>
              </para>
            </subclause1>
            <subclause1 id="a705721">
              <identifier>11.6</identifier>
              <para>
                <paratext>For the avoidance of doubt, the Board is not obliged to determine a Clawback Amount in relation to any particular Award, even if the Board does determine a Clawback Amount in relation to other Awards to the same or other Award Holders which had the same Grant Date or Release Date.</paratext>
              </para>
            </subclause1>
            <subclause1 id="a823216">
              <identifier>11.7</identifier>
              <para>
                <paratext>The Award Holder shall reimburse the Company for the Clawback Amount, in any way acceptable to the Board, on or as soon as possible after the Board determines a Clawback Amount in relation to the Award. If the Award Holder fails to reimburse the Company within [30 days] after the determination, the Company shall obtain reimbursement from the Award Holder in any (or any combination) of the following ways:</paratext>
              </para>
              <subclause2 id="a979390">
                <identifier>(a)</identifier>
                <para>
                  <paratext>by reducing or cancelling any Options that the Award Holder has not exercised;</paratext>
                </para>
              </subclause2>
              <subclause2 id="a776445">
                <identifier>(b)</identifier>
                <para>
                  <paratext>by reducing or cancelling any Non-Option Awards that have not yet been Released;</paratext>
                </para>
              </subclause2>
              <subclause2 id="a385282">
                <identifier>(c)</identifier>
                <para>
                  <paratext>by reducing or cancelling any cash bonus payable to the Award Holder by any Group Company;</paratext>
                </para>
              </subclause2>
              <subclause2 id="a558774">
                <identifier>(d)</identifier>
                <para>
                  <paratext>by reducing or cancelling any future or existing award made or option granted to the Award Holder under any other Share Incentive Scheme or bonus scheme operated by any Group Company (other than a Schedule 2 SIP or a Schedule 3 SAYE option scheme, as those terms are defined in ITEPA 2003);</paratext>
                </para>
              </subclause2>
              <subclause2 id="a569455">
                <identifier>(e)</identifier>
                <para>
                  <paratext>by requiring the Award Holder to make a cash payment to a Group Company;</paratext>
                </para>
              </subclause2>
              <subclause2 id="a537411">
                <identifier>(f)</identifier>
                <para>
                  <paratext>by requiring the Award Holder to transfer Shares to the Nominee for no consideration;</paratext>
                </para>
              </subclause2>
              <subclause2 id="a233751">
                <identifier>(g)</identifier>
                <para>
                  <paratext>by causing any Shares held by the Nominee on behalf of the Award Holder to be forfeited for no consideration, with the consequence that the Award Holder no longer has any beneficial interest in those Shares; or</paratext>
                </para>
              </subclause2>
              <subclause2 id="a633543">
                <identifier>(h)</identifier>
                <para>
                  <paratext>by reducing the Award Holder's Salary.</paratext>
                </para>
              </subclause2>
            </subclause1>
            <subclause1 id="a349192">
              <identifier>11.8</identifier>
              <para>
                <paratext>
                  If the Award Holder participates in another Share Incentive Scheme or bonus scheme operated by a Group Company, and that other scheme contains a provision that has a similar effect to this 
                  <internal.reference refid="a391918">rule 11</internal.reference>
                  , the Board may give effect to that provision in any of the following ways:
                </paratext>
              </para>
              <subclause2 id="a932620">
                <identifier>(a)</identifier>
                <para>
                  <paratext>By reducing or cancelling any Options that the Award Holder has not exercised.</paratext>
                </para>
              </subclause2>
              <subclause2 id="a182336">
                <identifier>(b)</identifier>
                <para>
                  <paratext>By reducing or cancelling any Non-Option Awards that have not yet been Released.</paratext>
                </para>
              </subclause2>
            </subclause1>
            <subclause1 id="a548092">
              <identifier>11.9</identifier>
              <para>
                <paratext>
                  It is a condition of the Release of an Award and the exercise of an Option that the Award Holder sign an Acceptance Notice or Exercise Notice declaring an irrevocable agreement to the terms of 
                  <internal.reference refid="a391918">rule 11</internal.reference>
                  .
                </paratext>
              </para>
            </subclause1>
          </clause>
          <clause id="a995024">
            <identifier>12.</identifier>
            <head align="left" preservecase="true">
              <headtext>Exercise of Options</headtext>
            </head>
            <drafting.note id="a636115" jurisdiction="">
              <head align="left" preservecase="true">
                <headtext>Exercise of Options</headtext>
              </head>
              <division id="a000061" level="1">
                <para>
                  <paratext>An Option is not ordinarily exercisable before the Performance Conditions are achieved.</paratext>
                </para>
              </division>
            </drafting.note>
            <subclause1 id="a689311">
              <identifier>12.1</identifier>
              <para>
                <paratext>An Award Holder may not exercise an Option before the earliest of:</paratext>
              </para>
              <subclause2 id="a834127">
                <identifier>(a)</identifier>
                <para>
                  <paratext>its Release Date;</paratext>
                </para>
              </subclause2>
              <subclause2 id="a75753">
                <identifier>(b)</identifier>
                <para>
                  <paratext>
                    the time when it becomes exercisable under 
                    <internal.reference refid="a870810">rule 18</internal.reference>
                    ; and
                  </paratext>
                </para>
              </subclause2>
              <subclause2 id="a350877">
                <identifier>(c)</identifier>
                <para>
                  <paratext>
                    the time when it becomes exercisable under 
                    <internal.reference refid="a1037750">rule 20</internal.reference>
                    .
                  </paratext>
                </para>
              </subclause2>
            </subclause1>
            <subclause1 id="a994347">
              <identifier>12.2</identifier>
              <para>
                <paratext>An Award Holder may only exercise an Option to the extent that the relevant Performance Condition is achieved, and any other condition stated in the Award Certificate is satisfied.</paratext>
              </para>
            </subclause1>
            <subclause1 id="a631132">
              <identifier>12.3</identifier>
              <para>
                <paratext>An Award Holder may not exercise an Option at a time when its exercise is prohibited by, or would be a breach of, UK MAR or any other law or regulation with the force of law, or other rule, code or set of guidelines (such as a personal dealing code adopted by the Company).</paratext>
              </para>
            </subclause1>
            <subclause1 id="a517851">
              <identifier>12.4</identifier>
              <para>
                <paratext>
                  An Award Holder may not exercise an Option without having signed the Exercise Notice and made any arrangements, or entered into any agreements, that may be required and are referred to in 
                  <internal.reference refid="a391918">rule 11</internal.reference>
                   and 
                  <internal.reference refid="a353805">rule 23</internal.reference>
                  .
                </paratext>
              </para>
            </subclause1>
          </clause>
          <clause id="a347509">
            <identifier>13.</identifier>
            <head align="left" preservecase="true">
              <headtext>Manner of exercise of Options</headtext>
            </head>
            <subclause1 condition="optional" id="a669902">
              <identifier>13.1</identifier>
              <para>
                <paratext>An Award Holder who exercises an Option in part must exercise it over at least [NUMBER] Shares or, if fewer, the number of Shares over which the Option is then exercisable.</paratext>
              </para>
              <drafting.note id="a916556" jurisdiction="">
                <head align="left" preservecase="true">
                  <headtext>Minimum number of Options that can be exercised (optional rule)</headtext>
                </head>
                <division id="a000062" level="1">
                  <para>
                    <paratext>The purpose of this rule is to keep the administrative costs to a sensible level by setting a minimum number of Shares over which part of an Option can be exercised. This prevents an Award Holder making frequent, small exercises. The appropriate figure to be inserted here will depend on the number of Shares over which Options are likely to be granted (between one-third and one-half of the smallest Option might be a practical solution). If Options could vary considerably in size, it might be sensible to specify both a percentage limit and a numerical limit.</paratext>
                  </para>
                </division>
              </drafting.note>
            </subclause1>
            <subclause1 id="a806806">
              <identifier>13.2</identifier>
              <para>
                <paratext>The Award Holder shall exercise an Option by giving an Exercise Notice to the Company setting out the number of Shares over which the Award Holder wishes to exercise the Option. If that number exceeds the number over which the Option may be validly exercised at the time, the Company shall:</paratext>
              </para>
              <subclause2 id="a735999">
                <identifier>(a)</identifier>
                <para>
                  <paratext>treat the Option as exercised only in respect of that lesser number; and</paratext>
                </para>
              </subclause2>
              <subclause2 id="a533368">
                <identifier>(b)</identifier>
                <para>
                  <paratext>refund any excess amount paid to exercise the Option or meet any Tax Liability.</paratext>
                </para>
              </subclause2>
            </subclause1>
            <subclause1 id="a339239">
              <identifier>13.3</identifier>
              <para>
                <paratext>The Exercise Notice shall be accompanied by both of the following:</paratext>
              </para>
              <subclause2 id="a178364">
                <identifier>(a)</identifier>
                <para>
                  <paratext>in relation to a Market Value Option or Nominal Cost Option payment of an amount equal to the Exercise Price multiplied by the number of Shares specified in the notice;</paratext>
                </para>
              </subclause2>
              <subclause2 id="a898823">
                <identifier>(b)</identifier>
                <para>
                  <paratext>
                    any payment required under 
                    <internal.reference refid="a353805">rule 23</internal.reference>
                    ,
                  </paratext>
                </para>
              </subclause2>
              <para>
                <paratext>unless the Award Holder has entered into binding alternative arrangements to secure the payment of those amounts which are satisfactory to the Board.</paratext>
              </para>
            </subclause1>
            <subclause1 id="a335920">
              <identifier>13.4</identifier>
              <para>
                <paratext>The Exercise Notice shall contain or be accompanied by:</paratext>
              </para>
              <subclause2 id="a648443">
                <identifier>(a)</identifier>
                <para>
                  <paratext>(if the Option is exercised before the end of the Holding Period), the Nominee Agreement; and</paratext>
                </para>
              </subclause2>
              <subclause2 id="a847343">
                <identifier>(b)</identifier>
                <para>
                  <paratext>
                    any documents relating to arrangements or agreements required under 
                    <internal.reference refid="a391918">rule 11</internal.reference>
                     and 
                    <internal.reference refid="a353805">rule 23</internal.reference>
                    .
                  </paratext>
                </para>
              </subclause2>
            </subclause1>
            <subclause1 id="a673411">
              <identifier>13.5</identifier>
              <para>
                <paratext>Any Exercise Notice shall be invalid:</paratext>
              </para>
              <subclause2 id="a1002111">
                <identifier>(a)</identifier>
                <para>
                  <paratext>to the extent that it is inconsistent with the Award Holder's rights under these rules and the Award Certificate;</paratext>
                </para>
              </subclause2>
              <subclause2 id="a591558">
                <identifier>(b)</identifier>
                <para>
                  <paratext>
                    if any of the requirements of 
                    <internal.reference refid="a806806">rule 13.2</internal.reference>
                    , 
                    <internal.reference refid="a339239">rule 13.3</internal.reference>
                     or 
                    <internal.reference refid="a335920">rule 13.4</internal.reference>
                     are not met; or
                  </paratext>
                </para>
              </subclause2>
              <subclause2 id="a709555">
                <identifier>(c)</identifier>
                <para>
                  <paratext>
                    if any payment referred to in 
                    <internal.reference refid="a339239">rule 13.3</internal.reference>
                     is made by a cheque that is not honoured on first presentation or that fails in any other manner to transfer the expected value to the Company.
                  </paratext>
                </para>
              </subclause2>
              <para>
                <paratext>
                  The Company may permit the Award Holder to correct any defect referred to in 
                  <internal.reference refid="a673411">rule 13.5</internal.reference>
                   (but shall not be obliged to do so). The date of any corrected Exercise Notice shall be the date of the correction rather than the original notice date for all other purposes of the Plan.
                </paratext>
              </para>
            </subclause1>
          </clause>
          <clause id="a175700">
            <identifier>14.</identifier>
            <head align="left" preservecase="true">
              <headtext>Settlement of Awards</headtext>
            </head>
            <subclause1 id="a656360">
              <identifier>14.1</identifier>
              <para>
                <paratext>
                  This 
                  <internal.reference refid="a175700">rule 14</internal.reference>
                   is subject to 
                  <internal.reference refid="a309757">rule 16</internal.reference>
                  .
                </paratext>
              </para>
            </subclause1>
            <subclause1 id="a988388">
              <identifier>14.2</identifier>
              <para>
                <paratext>The Company shall allot and issue Shares (or, as appropriate, procure their transfer) to the Nominee within [30] days after:</paratext>
              </para>
              <subclause2 id="a948800">
                <identifier>(a)</identifier>
                <para>
                  <paratext>the Release of a Conditional Share Award or a Share-settled Share Appreciation Right; or</paratext>
                </para>
              </subclause2>
              <subclause2 id="a805898">
                <identifier>(b)</identifier>
                <para>
                  <paratext>the valid exercise of a Nil Cost, Nominal Cost or Market Value Option.</paratext>
                </para>
              </subclause2>
            </subclause1>
            <subclause1 id="a500185">
              <identifier>14.3</identifier>
              <para>
                <paratext>The number of Shares to be allotted and issued (or transferred) pursuant to a Share-settled Share Appreciation Right shall be calculated as follows:</paratext>
              </para>
              <subclause2 id="a151747">
                <identifier>(a)</identifier>
                <para>
                  <paratext>deduct the Base Price from the Market Value of a Share on the Release Date;</paratext>
                </para>
              </subclause2>
              <subclause2 id="a197063">
                <identifier>(b)</identifier>
                <para>
                  <paratext>multiply the result by N being the number of Shares in relation to which the Share-settled Share Appreciation Right was granted, less the number which have lapsed;</paratext>
                </para>
              </subclause2>
              <subclause2 id="a427132">
                <identifier>(c)</identifier>
                <para>
                  <paratext>divide by the Market Value of a Share on the Release Date; and</paratext>
                </para>
              </subclause2>
              <subclause2 id="a592272">
                <identifier>(d)</identifier>
                <para>
                  <paratext>round down to the nearest whole number.</paratext>
                </para>
                <drafting.note id="a818829" jurisdiction="">
                  <head align="left" preservecase="true">
                    <headtext>Settlement of a Share-settled Share Appreciation Right</headtext>
                  </head>
                  <division id="a000063" level="1">
                    <para>
                      <paratext>This is an example of how to settle a Share-settled Share Appreciation Right. The number is calculated from the value of a different number (N) of Shares minus a Base Price:</paratext>
                    </para>
                    <list type="bulleted">
                      <list.item>
                        <para>
                          <paratext>The Award Holder holds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subclause2>
            </subclause1>
            <subclause1 id="a1031030">
              <identifier>14.4</identifier>
              <para>
                <paratext>
                  Shares allotted and issued in accordance with 
                  <internal.reference refid="a988388">rule 14.2</internal.reference>
                   shall rank equally in all respects with the other shares of the same class in issue at the date of allotment, except for any Relevant Restriction or any rights determined by reference to a date before the date of allotment.
                </paratext>
              </para>
            </subclause1>
            <subclause1 id="a802345">
              <identifier>14.5</identifier>
              <para>
                <paratext>
                  Shares transferred in accordance with 
                  <internal.reference refid="a988388">rule 14.2</internal.reference>
                   shall be transferred free of any lien, charge or other security interest, other than any Relevant Restriction, and with all rights attaching to them, other than any rights determined by reference to a date before the date of transfer.
                </paratext>
              </para>
            </subclause1>
            <subclause1 id="a853493">
              <identifier>14.6</identifier>
              <para>
                <paratext>
                  If the Shares are listed or traded on any stock exchange, the Company shall apply to the appropriate body for any newly issued Shares allotted in accordance with 
                  <internal.reference refid="a988388">rule 14.2</internal.reference>
                   to be listed or admitted to trading on that exchange.
                </paratext>
              </para>
            </subclause1>
            <subclause1 id="a770920">
              <identifier>14.7</identifier>
              <para>
                <paratext>
                  Within [30] days after the valid exercise of a Phantom Option or the Release of a Phantom Share Award or Cash-settled Share Appreciation Right, the Company shall pay (or procure the payment) to the Award Holder of the amount of cash due under the Award. The Company shall make such deductions from the payment as are required by law, including any withholding taxes, in accordance with 
                  <internal.reference refid="a353805">rule 23</internal.reference>
                  .
                </paratext>
              </para>
            </subclause1>
            <subclause1 id="a433558">
              <identifier>14.8</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subclause1>
          </clause>
          <clause id="a283933">
            <identifier>15.</identifier>
            <head align="left" preservecase="true">
              <headtext>Holding Period</headtext>
            </head>
            <subclause1 id="a551211">
              <para>
                <paratext>During the Holding Period, the Award Holder may not transfer, assign, charge or otherwise dispose of the beneficial interest in the Shares Released under a Share-settled Award (including any Shares acquired on the exercise of an Option) except:</paratext>
              </para>
              <subclause2 id="a166438">
                <identifier>(a)</identifier>
                <para>
                  <paratext>with the permission of the Board;</paratext>
                </para>
              </subclause2>
              <subclause2 id="a518922">
                <identifier>(b)</identifier>
                <para>
                  <paratext>in order to raise sufficient funds to pay a Tax Liability in relation to the Shares so Released;</paratext>
                </para>
              </subclause2>
              <subclause2 id="a516222">
                <identifier>(c)</identifier>
                <para>
                  <paratext>in order to raise sufficient funds to pay the Exercise Price of a Market Value Option or Nominal Cost Option; or</paratext>
                </para>
              </subclause2>
              <subclause2 id="a461470">
                <identifier>(d)</identifier>
                <para>
                  <paratext>
                    where 
                    <internal.reference refid="a391918">rule 11</internal.reference>
                    , 
                    <internal.reference refid="a1037750">rule 20</internal.reference>
                     or 
                    <internal.reference refid="a580292">rule 21</internal.reference>
                     apply.
                  </paratext>
                </para>
                <drafting.note id="a336870" jurisdiction="">
                  <head align="left" preservecase="true">
                    <headtext>Disposal of Shares before end of Holding Period</headtext>
                  </head>
                  <division id="a000064" level="1">
                    <para>
                      <paratext>The Award Holder will normally be permitted to sell sufficient Shares to cover tax and acquisition costs but otherwise should retain the Shares until the end of the Holding Period. The Board does have discretion to allow an Award Holder to sell Shares before the end of the Holding Period for example in cases of exceptional hardship.</paratext>
                    </para>
                  </division>
                </drafting.note>
              </subclause2>
            </subclause1>
          </clause>
          <clause id="a309757">
            <identifier>16.</identifier>
            <head align="left" preservecase="true">
              <headtext>Alternative methods of settlement of Awards</headtext>
            </head>
            <drafting.note id="a636519" jurisdiction="">
              <head align="left" preservecase="true">
                <headtext>Alternative methods of settlement of Awards</headtext>
              </head>
              <division id="a000065" level="1">
                <para>
                  <paratext>
                    Being able to settle an Award in cash, or to deliver just the Shares that represent the gain inherent in an Award, can be valuable when a company is close to its share plan dilution limits (see 
                    <internal.reference refid="a272740">rule 5</internal.reference>
                    ) and wants to maintain the ability to grant further Awards. For more information on the implications of net settlement, see 
                    <link href="4-566-1776" style="ACTLinkPLCtoPLC">
                      <ital>Practice note, Net settling employee share options</ital>
                    </link>
                    .
                  </paratext>
                </para>
                <para>
                  <paratext>
                    Cash settlement of an Award would mean that corporation tax relief for employee acquisition of shares would not be available under Part 12 of the 
                    <link href="0-505-8694" style="ACTLinkPLCtoPLC">
                      <ital>Corporation Tax Act 2009</ital>
                    </link>
                    . However, this may not be a problem if the payment is made by the employer, as corporation tax relief for the cash settlement payment may be available under general principles. For more information, see 
                    <link href="1-582-2846" style="ACTLinkPLCtoPLC">
                      <ital>Practice note, Corporation tax and employee share schemes: deductions under general principles</ital>
                    </link>
                    .
                  </paratext>
                </para>
              </division>
            </drafting.note>
            <subclause1 id="a141065">
              <identifier>16.1</identifier>
              <para>
                <paratext>
                  Instead of delivering the number of Shares specified in the relevant Exercise Notice, the Company may settle the exercise of a Nominal Cost Option or Market Value Option in any of the ways specified in 
                  <internal.reference refid="a229107">rule 16.2</internal.reference>
                   to 
                  <internal.reference refid="a831306">rule 16.6</internal.reference>
                  . If the Option is exercised during the Holding Period, references to the transfer or allotment of Shares to the Award Holder shall be construed as references to the transfer or allotment of Shares to the Nominee to be held on behalf of the Award Holder.
                </paratext>
              </para>
            </subclause1>
            <subclause1 id="a229107">
              <identifier>16.2</identifier>
              <para>
                <paratext>The Company may settle the Option by procuring the transfer of sufficient Shares to deliver the gain net of the Exercise Price in the following manner:</paratext>
              </para>
              <subclause2 id="a496140">
                <identifier>(a)</identifier>
                <para>
                  <paratext>deduct the Exercise Price from the Market Value of a Share on the Exercise Date;</paratext>
                </para>
              </subclause2>
              <subclause2 id="a429461">
                <identifier>(b)</identifier>
                <para>
                  <paratext>multiply the result by the number of Shares specified in the relevant Exercise Notice;</paratext>
                </para>
              </subclause2>
              <subclause2 id="a694165">
                <identifier>(c)</identifier>
                <para>
                  <paratext>divide by the Market Value of a Share on the Exercise Date;</paratext>
                </para>
              </subclause2>
              <subclause2 id="a98340">
                <identifier>(d)</identifier>
                <para>
                  <paratext>round down to the nearest whole number and procure the transfer of that number of Shares to the Award Holder, together with a cash payment of the rounding amount; and</paratext>
                </para>
              </subclause2>
              <subclause2 id="a357283">
                <identifier>(e)</identifier>
                <para>
                  <paratext>refund the amount of any payment the Award Holder has made in respect of the Exercise Price.</paratext>
                </para>
                <drafting.note id="a857509" jurisdiction="">
                  <head align="left" preservecase="true">
                    <headtext>Settling an Option net of the Exercise Price</headtext>
                  </head>
                  <division id="a000066"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Divide by £15 = 6,666 (this is the number of Shares due to the Award Holder).</paratext>
                        </para>
                      </list.item>
                      <list.item>
                        <para>
                          <paratext>Step 4: Transfer 6,666 Shares to the Award Holder together with the rounding payment of £10.</paratext>
                        </para>
                      </list.item>
                      <list.item>
                        <para>
                          <paratext>Step 5: Refund the Exercise Price.</paratext>
                        </para>
                      </list.item>
                    </list>
                  </division>
                </drafting.note>
              </subclause2>
            </subclause1>
            <subclause1 id="a846032">
              <identifier>16.3</identifier>
              <para>
                <paratext>The Company may settle the Option by procuring the transfer of sufficient Shares to deliver the gain net of the Exercise Price and the Tax Liability in the following manner:</paratext>
              </para>
              <subclause2 id="a848623">
                <identifier>(a)</identifier>
                <para>
                  <paratext>deduct the Exercise Price from the Market Value of a Share on the Exercise Date;</paratext>
                </para>
              </subclause2>
              <subclause2 id="a372009">
                <identifier>(b)</identifier>
                <para>
                  <paratext>multiply the result by the number of Shares specified in the relevant Exercise Notice;</paratext>
                </para>
              </subclause2>
              <subclause2 id="a536274">
                <identifier>(c)</identifier>
                <para>
                  <paratext>deduct the Tax Liability;</paratext>
                </para>
              </subclause2>
              <subclause2 id="a893065">
                <identifier>(d)</identifier>
                <para>
                  <paratext>divide by the Market Value of a Share on the Exercise Date;</paratext>
                </para>
              </subclause2>
              <subclause2 id="a777899">
                <identifier>(e)</identifier>
                <para>
                  <paratext>round down to the nearest whole number and procure the transfer of that number of Shares to the Award Holder, together with a cash payment of the rounding amount;</paratext>
                </para>
              </subclause2>
              <subclause2 id="a318603">
                <identifier>(f)</identifier>
                <para>
                  <paratext>refund the amount of any payment the Award Holder has made in respect of the Exercise Price and the Tax Liability; and</paratext>
                </para>
              </subclause2>
              <subclause2 id="a696494">
                <identifier>(g)</identifier>
                <para>
                  <paratext>settle the Tax Liability on the Award Holder's behalf.</paratext>
                </para>
                <drafting.note id="a143315" jurisdiction="">
                  <head align="left" preservecase="true">
                    <headtext>Settling an Option net of the Exercise Price and tax</headtext>
                  </head>
                  <division id="a000067"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Deduct the Tax Liability of, say, £40,000 (this is the net gain on the Option).</paratext>
                        </para>
                      </list.item>
                      <list.item>
                        <para>
                          <paratext>Step 4: Divide by £15 = 4,000 (this is the number of Shares due to the Award Holder).</paratext>
                        </para>
                      </list.item>
                      <list.item>
                        <para>
                          <paratext>Step 5: Transfer 4,000 Shares to the Award Holder.</paratext>
                        </para>
                      </list.item>
                      <list.item>
                        <para>
                          <paratext>Step 6: Refund the Exercise Price and settle the Tax Liability.</paratext>
                        </para>
                      </list.item>
                    </list>
                  </division>
                </drafting.note>
              </subclause2>
            </subclause1>
            <subclause1 id="a297240">
              <identifier>16.4</identifier>
              <para>
                <paratext>The Company may settle the Option by allotting and issuing sufficient Shares to deliver the gain net of the Exercise Price in the following manner:</paratext>
              </para>
              <subclause2 id="a760582">
                <identifier>(a)</identifier>
                <para>
                  <paratext>deduct the nominal value of a Share from the Exercise Price;</paratext>
                </para>
              </subclause2>
              <subclause2 id="a104976">
                <identifier>(b)</identifier>
                <para>
                  <paratext>deduct the result from the Market Value of a Share on the Exercise Date;</paratext>
                </para>
              </subclause2>
              <subclause2 id="a602953">
                <identifier>(c)</identifier>
                <para>
                  <paratext>multiply the result by the number of Shares specified in the relevant Exercise Notice;</paratext>
                </para>
              </subclause2>
              <subclause2 id="a561944">
                <identifier>(d)</identifier>
                <para>
                  <paratext>divide by the Market Value of a Share on the Exercise Date;</paratext>
                </para>
              </subclause2>
              <subclause2 id="a109021">
                <identifier>(e)</identifier>
                <para>
                  <paratext>round down to the nearest whole number and allot and issue that number of Shares to the Award Holder, together with a cash payment of the rounding amount; and</paratext>
                </para>
              </subclause2>
              <subclause2 id="a325239">
                <identifier>(f)</identifier>
                <para>
                  <paratext>refund the amount of any payment the Award Holder has made in respect of the Exercise Price, minus the nominal value of the Shares so issued.</paratext>
                </para>
                <drafting.note id="a840192" jurisdiction="">
                  <head align="left" preservecase="true">
                    <headtext>Settling an Option by new issue and paying the nominal value</headtext>
                  </head>
                  <division id="a000068"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Divide by £15 = 7,000 (this is the number of Shares due to the Award Holder).</paratext>
                        </para>
                      </list.item>
                      <list.item>
                        <para>
                          <paratext>Step 5: Allot and issue 7,000 Shares to the Award Holder using £5,000 from the Exercise Price to pay the nominal value.</paratext>
                        </para>
                      </list.item>
                      <list.item>
                        <para>
                          <paratext>Step 6: Refund the balance of the Exercise Price, being £195,000.</paratext>
                        </para>
                      </list.item>
                    </list>
                  </division>
                </drafting.note>
              </subclause2>
            </subclause1>
            <subclause1 id="a207744">
              <identifier>16.5</identifier>
              <para>
                <paratext>The Company may settle the Option by allotting and issuing sufficient Shares to deliver the gain net of the Exercise Price and the Tax Liability in the following manner:</paratext>
              </para>
              <subclause2 id="a560228">
                <identifier>(a)</identifier>
                <para>
                  <paratext>deduct the nominal value of a Share from the Exercise Price;</paratext>
                </para>
              </subclause2>
              <subclause2 id="a237197">
                <identifier>(b)</identifier>
                <para>
                  <paratext>deduct the result from the Market Value of a Share on the Exercise Date;</paratext>
                </para>
              </subclause2>
              <subclause2 id="a675131">
                <identifier>(c)</identifier>
                <para>
                  <paratext>multiply the result by the number of Shares specified in the relevant Exercise Notice;</paratext>
                </para>
              </subclause2>
              <subclause2 id="a361328">
                <identifier>(d)</identifier>
                <para>
                  <paratext>deduct the Tax Liability;</paratext>
                </para>
              </subclause2>
              <subclause2 id="a555308">
                <identifier>(e)</identifier>
                <para>
                  <paratext>divide by the Market Value of a Share on the Exercise Date;</paratext>
                </para>
              </subclause2>
              <subclause2 id="a568318">
                <identifier>(f)</identifier>
                <para>
                  <paratext>round down to the nearest whole number and allot and issue that number of Shares to the Award Holder, together with a cash payment of the rounding amount;</paratext>
                </para>
              </subclause2>
              <subclause2 id="a681767">
                <identifier>(g)</identifier>
                <para>
                  <paratext>refund the amount of any payment the Award Holder has made in respect of the Exercise Price and the Tax Liability, minus the nominal value of the Shares so issued; and</paratext>
                </para>
              </subclause2>
              <subclause2 id="a606998">
                <identifier>(h)</identifier>
                <para>
                  <paratext>settle the Tax Liability on the Award Holder's behalf.</paratext>
                </para>
                <drafting.note id="a49774" jurisdiction="">
                  <head align="left" preservecase="true">
                    <headtext>Settling an Option by new issue and paying the nominal value and tax</headtext>
                  </head>
                  <division id="a000069"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Deduct the Tax Liability of, say, £40,000 (this is the net gain on the Option).</paratext>
                        </para>
                      </list.item>
                      <list.item>
                        <para>
                          <paratext>Step 5: Divide by £15 = 4,333 (this is the number of Shares due to the Award Holder).</paratext>
                        </para>
                      </list.item>
                      <list.item>
                        <para>
                          <paratext>Step 6: Allot and issue 4,333 Shares to the Award Holder using £5,000 from the Exercise Price to pay the nominal value.</paratext>
                        </para>
                      </list.item>
                      <list.item>
                        <para>
                          <paratext>Step 7: Refund the balance of the Exercise Price, being £195,000 with the rounding payment of £5. Settle the Tax Liability.</paratext>
                        </para>
                      </list.item>
                    </list>
                  </division>
                </drafting.note>
              </subclause2>
            </subclause1>
            <subclause1 id="a831306">
              <identifier>16.6</identifier>
              <para>
                <paratext>If the Award Holder consents, the Company may settle the Option in cash in the following manner:</paratext>
              </para>
              <subclause2 id="a158383">
                <identifier>(a)</identifier>
                <para>
                  <paratext>take the Market Value of a Share on the Exercise Date and deduct the Exercise Price;</paratext>
                </para>
              </subclause2>
              <subclause2 id="a442733">
                <identifier>(b)</identifier>
                <para>
                  <paratext>multiply the result by the number of Shares specified in the relevant Exercise Notice;</paratext>
                </para>
              </subclause2>
              <subclause2 id="a589681">
                <identifier>(c)</identifier>
                <para>
                  <paratext>deduct the Tax Liability and pay the resulting amount to the Award Holder; and</paratext>
                </para>
              </subclause2>
              <subclause2 id="a476734">
                <identifier>(d)</identifier>
                <para>
                  <paratext>refund the amount of any payment the Award Holder has made in respect of the Exercise Price and Tax Liability.</paratext>
                </para>
                <drafting.note id="a820692" jurisdiction="">
                  <head align="left" preservecase="true">
                    <headtext>Cash settlement</headtext>
                  </head>
                  <division id="a000070"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Exercise Price from the Market Value from (£15 - £10 = £5).</paratext>
                        </para>
                      </list.item>
                      <list.item>
                        <para>
                          <paratext>Step 2: Multiply by 20,000 = £100,000 (this is the pre-tax gain on the Option plus the nominal value).</paratext>
                        </para>
                      </list.item>
                      <list.item>
                        <para>
                          <paratext>Step 3: Pay £100,000 to the Award Holder through the PAYE system, deducting the Tax Liability of, say, £40,000.</paratext>
                        </para>
                      </list.item>
                      <list.item>
                        <para>
                          <paratext>Step 4: Refund the Exercise Price.</paratext>
                        </para>
                      </list.item>
                    </list>
                    <para>
                      <paratext>The requirement for Award Holder to consent to cash settlement means that it will be easier to argue that Options still amount to "securities options" (that is, rights to acquire securities) for tax purposes, despite the possibility of cash settlement. If Award Holders must consent before an exercise can be cash-settled, then the Option clearly confers a right to insist on receiving securities.</paratext>
                    </para>
                    <para>
                      <paratext>
                        This is important because any Employer NICs can only be met by the employee (including on cash settlement) if the Option is definitely a "securities option" (
                        <link href="6-513-5798" style="ACTLinkPLCtoPLC">
                          <ital>section 4(4)(a)</ital>
                        </link>
                         and 
                        <link href="8-509-0124" style="ACTLinkPLCtoPLC">
                          <ital>paragraph 3A</ital>
                        </link>
                        <ital>, Schedule 1, Social Security Contributions and Benefits Act 1992</ital>
                        ). (See 
                        <link href="9-204-9057#a859916" style="ACTLinkPLCtoPLC">
                          <ital>Practice note, Class 1 National Insurance Contributions (NICs) liabilities and share incentives: Transfer of employer (secondary class 1) NICs</ital>
                        </link>
                        .)
                      </paratext>
                    </para>
                  </division>
                </drafting.note>
              </subclause2>
            </subclause1>
            <subclause1 id="a658317">
              <identifier>16.7</identifier>
              <para>
                <paratext>
                  Instead of delivering the number of Shares subject to a Nil Cost Option, Conditional Share Award or a Share-settled Share Appreciation Right, the Company may settle the Award in either of the manners specified in 
                  <internal.reference refid="a113569">rule 16.8</internal.reference>
                   or 
                  <internal.reference refid="a889261">rule 16.9</internal.reference>
                  .
                </paratext>
              </para>
            </subclause1>
            <subclause1 id="a113569">
              <identifier>16.8</identifier>
              <para>
                <paratext>The Company may settle the Award by procuring the transfer of sufficient Shares to the Nominee to deliver the gain net of the Tax Liability in the following manner:</paratext>
              </para>
              <subclause2 id="a1013391">
                <identifier>(a)</identifier>
                <para>
                  <paratext>multiply the number of Shares in relation to which the Award has been Released by the Market Value of a Share on the Release Date;</paratext>
                </para>
              </subclause2>
              <subclause2 id="a579502">
                <identifier>(b)</identifier>
                <para>
                  <paratext>deduct the Tax Liability;</paratext>
                </para>
              </subclause2>
              <subclause2 id="a615591">
                <identifier>(c)</identifier>
                <para>
                  <paratext>divide by the Market Value of a Share on the Release Date;</paratext>
                </para>
              </subclause2>
              <subclause2 id="a241745">
                <identifier>(d)</identifier>
                <para>
                  <paratext>round down to the nearest whole number and procure the transfer of that number of Shares to the Nominee to be held on behalf of the Award Holder, together with a cash payment of the rounding amount;</paratext>
                </para>
              </subclause2>
              <subclause2 id="a363285">
                <identifier>(e)</identifier>
                <para>
                  <paratext>refund the amount of any payment the Award Holder has made in respect of the Tax Liability; and</paratext>
                </para>
              </subclause2>
              <subclause2 id="a733086">
                <identifier>(f)</identifier>
                <para>
                  <paratext>settle the Tax Liability on the Award Holder's behalf.</paratext>
                </para>
                <drafting.note id="a970958" jurisdiction="">
                  <head align="left" preservecase="true">
                    <headtext>Settling an Award net of tax</headtext>
                  </head>
                  <division id="a000071"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Deduct the Tax Liability of, say, £135,000 = £165,000 (this is the post-tax value of the Award).</paratext>
                        </para>
                      </list.item>
                      <list.item>
                        <para>
                          <paratext>Step 3: Divide by £15 = 11,000 (this is the number of Shares due to the Award Holder).</paratext>
                        </para>
                      </list.item>
                      <list.item>
                        <para>
                          <paratext>Step 4: Transfer 11,000 Shares to the Nominee to be held on behalf of the Award Holder.</paratext>
                        </para>
                      </list.item>
                      <list.item>
                        <para>
                          <paratext>Step 5: Settle the Tax Liability through PAYE.</paratext>
                        </para>
                      </list.item>
                    </list>
                  </division>
                </drafting.note>
              </subclause2>
            </subclause1>
            <subclause1 id="a889261">
              <identifier>16.9</identifier>
              <para>
                <paratext>If the Award Holder consents, the Company may settle the Award in cash in the following manner:</paratext>
              </para>
              <subclause2 id="a686316">
                <identifier>(a)</identifier>
                <para>
                  <paratext>multiply the number of Shares in relation to which the Award has been Released by the Market Value of a Share on the Release Date;</paratext>
                </para>
              </subclause2>
              <subclause2 id="a295152">
                <identifier>(b)</identifier>
                <para>
                  <paratext>deduct the Tax Liability and pay the resulting amount to the Award Holder; and</paratext>
                </para>
              </subclause2>
              <subclause2 id="a203065">
                <identifier>(c)</identifier>
                <para>
                  <paratext>refund the amount of any payment the Award Holder has made in respect of the Tax Liability.</paratext>
                </para>
                <drafting.note id="a633201" jurisdiction="">
                  <head align="left" preservecase="true">
                    <headtext>Settling an Award in cash</headtext>
                  </head>
                  <division id="a000072"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Pay £300,000 to the Award Holder through the PAYE system, deducting the Tax Liability of, say, £135,000.</paratext>
                        </para>
                      </list.item>
                      <list.item>
                        <para>
                          <paratext>Step 3: Refund any payment the Award Holder has made in relation to the Tax Liability.</paratext>
                        </para>
                      </list.item>
                    </list>
                  </division>
                </drafting.note>
              </subclause2>
            </subclause1>
          </clause>
          <clause id="a101498">
            <identifier>17.</identifier>
            <head align="left" preservecase="true">
              <headtext>Lapse of Awards</headtext>
            </head>
            <subclause1 id="a768453">
              <identifier>17.1</identifier>
              <para>
                <paratext>
                  An Award Holder may not transfer or assign, or create any charge or other security interest over an Award (or any right arising under it). An Award shall lapse if the Award Holder attempts to do any of those things. However, this 
                  <internal.reference refid="a768453">rule 17.1</internal.reference>
                   does not prevent the transmission of an Award to an Award Holder's personal representatives on the death of the Award Holder.
                </paratext>
              </para>
            </subclause1>
            <subclause1 id="a966073">
              <identifier>17.2</identifier>
              <para>
                <paratext>An Award shall lapse on the earliest of the following:</paratext>
              </para>
              <subclause2 id="a663266">
                <identifier>(a)</identifier>
                <para>
                  <paratext>
                    any attempted action by the Award Holder falling within 
                    <internal.reference refid="a920485">rule 7.3</internal.reference>
                     or 
                    <internal.reference refid="a768453">rule 17.1</internal.reference>
                    ;
                  </paratext>
                </para>
              </subclause2>
              <subclause2 id="a554416">
                <identifier>(b)</identifier>
                <para>
                  <paratext>
                    when the Board decides in accordance with 
                    <internal.reference refid="a740292">rule 3.6</internal.reference>
                    , to the extent that the Performance Condition has become wholly or partly incapable of being met;
                  </paratext>
                </para>
              </subclause2>
              <subclause2 id="a741280">
                <identifier>(c)</identifier>
                <para>
                  <paratext>any date on which the Award shall lapse, as specified in the Award Certificate;</paratext>
                </para>
              </subclause2>
              <subclause2 id="a475658">
                <identifier>(d)</identifier>
                <para>
                  <paratext>
                    to the extent necessary to give effect to any reduction or cancellation under 
                    <internal.reference refid="a391918">rule 11</internal.reference>
                    ;
                  </paratext>
                </para>
              </subclause2>
              <subclause2 id="a672648">
                <identifier>(e)</identifier>
                <para>
                  <paratext>
                    to the extent required by 
                    <internal.reference refid="a948263">rule 7.4</internal.reference>
                    , 
                    <internal.reference refid="a870810">rule 18</internal.reference>
                     or 
                    <internal.reference refid="a181702">rule 19</internal.reference>
                    , the date the Award Holder dies or ceases employment;
                  </paratext>
                </para>
              </subclause2>
              <subclause2 id="a685266">
                <identifier>(f)</identifier>
                <para>
                  <paratext>the [first anniversary of the] Award Holder's death;</paratext>
                </para>
              </subclause2>
              <subclause2 id="a709430">
                <identifier>(g)</identifier>
                <para>
                  <paratext>
                    the end of the [90-day] period, if 
                    <internal.reference refid="a665173">rule 18.4</internal.reference>
                     or 
                    <internal.reference refid="a781420">rule 18.6</internal.reference>
                     applies;
                  </paratext>
                </para>
              </subclause2>
              <subclause2 id="a951092">
                <identifier>(h)</identifier>
                <para>
                  <paratext>
                    if the Board decides under 
                    <internal.reference refid="a527041">rule 18.5</internal.reference>
                     that it will not permit the Award Holder to exercise the Option, the date the Board so decides;
                  </paratext>
                </para>
              </subclause2>
              <subclause2 id="a318005">
                <identifier>(i)</identifier>
                <para>
                  <paratext>
                    the end of the [90-day] period during which exercise is permitted, if the Board decides under 
                    <internal.reference refid="a527041">rule 18.5</internal.reference>
                     that it will permit the Award Holder to exercise the Option;
                  </paratext>
                </para>
              </subclause2>
              <subclause2 id="a765465">
                <identifier>(j)</identifier>
                <para>
                  <paratext>
                    if the Award Holder ceases to be an Employee during the Employment Period in circumstances where either 
                    <internal.reference refid="a527041">rule 18.5</internal.reference>
                     or 
                    <internal.reference refid="a207110">rule 19.5</internal.reference>
                     applies, [90 days] after the Award Holder so ceases to be an Employee, if the Board makes no decision under the applicable rule;
                  </paratext>
                </para>
              </subclause2>
              <subclause2 id="a211384">
                <identifier>(k)</identifier>
                <para>
                  <paratext>if the Award Holder ceases to be an Employee after the end of the Employment Period, [90] days after the later of:</paratext>
                </para>
                <subclause3 id="a965712">
                  <identifier>(i)</identifier>
                  <para>
                    <paratext>the date of so ceasing; and</paratext>
                  </para>
                </subclause3>
                <subclause3 id="a702725">
                  <identifier>(ii)</identifier>
                  <para>
                    <paratext>the Release Date;</paratext>
                  </para>
                </subclause3>
              </subclause2>
              <subclause2 id="a546409">
                <identifier>(l)</identifier>
                <para>
                  <paratext>
                    the time specified for the lapse of the Award under 
                    <internal.reference refid="a1037750">rule 20</internal.reference>
                     if any part of that 
                    <internal.reference refid="a1037750">rule 20</internal.reference>
                     applies;
                  </paratext>
                </para>
              </subclause2>
              <subclause2 id="a596889">
                <identifier>(m)</identifier>
                <para>
                  <paratext>
                    If the Board so determines under 
                    <internal.reference refid="a919478">rule 22.3</internal.reference>
                    ; or
                  </paratext>
                </para>
              </subclause2>
              <subclause2 id="a300739">
                <identifier>(n)</identifier>
                <para>
                  <paratext>when the Award Holder becomes bankrupt under Part IX of the Insolvency Act 1986, applies for an interim order under Part VIII of the Insolvency Act 1986, proposes or makes a voluntary arrangement under Part VIII of the Insolvency Act 1986, takes similar steps, or is similarly affected, under laws of any jurisdiction that correspond to those provisions of the Insolvency Act 1986.</paratext>
                </para>
              </subclause2>
            </subclause1>
          </clause>
          <clause id="a870810">
            <identifier>18.</identifier>
            <head align="left" preservecase="true">
              <headtext>Termination of employment (Options)</headtext>
            </head>
            <subclause1 id="a213746">
              <identifier>18.1</identifier>
              <para>
                <paratext>
                  <internal.reference refid="a870810">rule 18</internal.reference>
                   applies to Options.
                </paratext>
              </para>
            </subclause1>
            <subclause1 id="a818297">
              <identifier>18.2</identifier>
              <para>
                <paratext>If an Award Holder:</paratext>
              </para>
              <subclause2 id="a144667">
                <identifier>(a)</identifier>
                <para>
                  <paratext>dies while an Employee; or</paratext>
                </para>
              </subclause2>
              <subclause2 id="a61807">
                <identifier>(b)</identifier>
                <para>
                  <paratext>ceases to be an Employee (whether or not following notice and for whatever reason)</paratext>
                </para>
              </subclause2>
              <para>
                <paratext>before the end of the Employment Period, the Option shall lapse immediately in respect of a number of Shares. That number is calculated in accordance with the formula N x (X/Y) where:</paratext>
              </para>
              <subclause2 id="a841544">
                <identifier>(c)</identifier>
                <para>
                  <paratext>N = the number of Shares in relation to which the Option was originally granted, less any Shares in respect of which it has already been exercised or has lapsed;</paratext>
                </para>
              </subclause2>
              <subclause2 id="a236754">
                <identifier>(d)</identifier>
                <para>
                  <paratext>X = the number of days between the date of death or cessation and the end of the Employment Period; and</paratext>
                </para>
              </subclause2>
              <subclause2 id="a254388">
                <identifier>(e)</identifier>
                <para>
                  <paratext>Y = the number of days in the Employment Period.</paratext>
                </para>
                <drafting.note id="a245607" jurisdiction="">
                  <head align="left" preservecase="true">
                    <headtext>Automatic time-apportionment of Option</headtext>
                  </head>
                  <division id="a000073" level="1">
                    <para>
                      <paratext>
                        <internal.reference refid="a818297">rule 18.2</internal.reference>
                         states that, if an Award Holder dies or actually terminates employment (with or without notice and for whatever reason) during the Employment Period, part of the Option lapses immediately. The part that lapses reflects the proportion of the Employment Period that remains outstanding. For example, if the employee left after two years of a three year Employment Period, one third of the Option lapses. This reflects the Investment Association principles of remuneration.
                      </paratext>
                    </para>
                    <para>
                      <paratext>Although the Investment Association principles of remuneration require Awards to be pro-rated for all early leavers, it is common in practice for plan rules not to require pro-rating of Market Value Options, but Nil Cost Options and Conditional Shares are almost always pro-rated.</paratext>
                    </para>
                  </division>
                </drafting.note>
              </subclause2>
            </subclause1>
            <subclause1 id="a153838">
              <identifier>18.3</identifier>
              <para>
                <paratext>The personal representatives of a deceased Award Holder may exercise the Option over a number of Shares during the period ending 12 months after the death. If the Option is not exercised, it will lapse at the end of that period. That number of Shares shall be determined as follows:</paratext>
              </para>
              <subclause2 id="a491689">
                <identifier>(a)</identifier>
                <para>
                  <paratext>
                    take the number of Shares that remain after part of the Option has lapsed under 
                    <internal.reference refid="a818297">rule 18.2</internal.reference>
                    ;
                  </paratext>
                </para>
              </subclause2>
              <subclause2 id="a343884">
                <identifier>(b)</identifier>
                <para>
                  <paratext>if the Award Holder dies during the Performance Period, the Board shall apply a further reduction to reflect the likelihood as at the date of death of the Performance Condition not being achieved by the end of the Performance Period and the Option shall lapse to that extent; and</paratext>
                </para>
              </subclause2>
              <subclause2 id="a76851">
                <identifier>(c)</identifier>
                <para>
                  <paratext>if the Award Holder dies after the end of the Performance Period, the number shall be equal to the number of Shares that the Award Holder could have acquired on exercising the Option immediately before the death.</paratext>
                </para>
                <drafting.note id="a711540" jurisdiction="">
                  <head align="left" preservecase="true">
                    <headtext>Performance condition tested after death</headtext>
                  </head>
                  <division id="a000074" level="1">
                    <para>
                      <paratext>
                        <internal.reference refid="a153838">rule 18.3</internal.reference>
                         states that if an Award Holder dies during the Performance Period, the Board will determine the extent to which the Performance Condition was achieved at the date of death. If the death occurs during the Employment Period, it will already have been reduced under 
                        <internal.reference refid="a818297">rule 18.2</internal.reference>
                        . A further deduction is then applied to reflect the Performance Condition. The Award Holder's estate can exercise the remainder of the Option during the period of 12 months following the death, and it lapses at the end of that period.
                      </paratext>
                    </para>
                    <para>
                      <paratext>
                        If the Award Holder dies after the end of the Performance Period, the Option will already have been adjusted for achievement of the Performance Condition and for time spent as an Employee by 
                        <internal.reference refid="a818297">rule 18.2</internal.reference>
                        .
                      </paratext>
                    </para>
                    <para>
                      <paratext>
                        For more information, see 
                        <link href="0-586-0725" style="ACTLinkPLCtoPLC">
                          <ital>Practice note, Employment-related securities and options: issues concerning death of employee</ital>
                        </link>
                        .
                      </paratext>
                    </para>
                  </division>
                </drafting.note>
              </subclause2>
            </subclause1>
            <subclause1 id="a665173">
              <identifier>18.4</identifier>
              <para>
                <paratext>
                  This 
                  <internal.reference refid="a665173">rule 18.4</internal.reference>
                   applies if an Award Holder ceases to be an Employee before the Release Date due to any of the following reasons:
                </paratext>
              </para>
              <subclause2 id="a812437">
                <identifier>(a)</identifier>
                <para>
                  <paratext>injury;</paratext>
                </para>
              </subclause2>
              <subclause2 id="a211311">
                <identifier>(b)</identifier>
                <para>
                  <paratext>ill health; or</paratext>
                </para>
              </subclause2>
              <subclause2 id="a991047">
                <identifier>(c)</identifier>
                <para>
                  <paratext>disability; [or]</paratext>
                </para>
              </subclause2>
              <subclause2 condition="optional" id="a386257">
                <identifier>(d)</identifier>
                <para>
                  <paratext>retirement; or</paratext>
                </para>
              </subclause2>
              <subclause2 condition="optional" id="a200629">
                <identifier>(e)</identifier>
                <para>
                  <paratext>Redundancy; or</paratext>
                </para>
              </subclause2>
              <subclause2 condition="optional" id="a757512">
                <identifier>(f)</identifier>
                <para>
                  <paratext>the Employer Company ceasing to be a Group Company; or</paratext>
                </para>
              </subclause2>
              <subclause2 condition="optional" id="a1024545">
                <identifier>(g)</identifier>
                <para>
                  <paratext>the transfer of the business that employs the Award Holder to a person that is not a Group Company.</paratext>
                </para>
              </subclause2>
              <para>
                <paratext>
                  An Award Holder who so ceases to be an Employee may exercise the remainder of the Option (after the application of 
                  <internal.reference refid="a818297">rule 18.2</internal.reference>
                   and subject to achieving the Performance Condition) during the [90-day] period beginning on the earlier of:
                </paratext>
              </para>
              <subclause2 id="a537072">
                <identifier>(h)</identifier>
                <para>
                  <paratext>the Release Date; and</paratext>
                </para>
              </subclause2>
              <subclause2 id="a595158">
                <identifier>(i)</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drafting.note id="a373783" jurisdiction="">
                <head align="left" preservecase="true">
                  <headtext>Good leaver Options remain in place until performance can be measured</headtext>
                </head>
                <division id="a000075" level="1">
                  <para>
                    <paratext>
                      <internal.reference refid="a665173">rule 18.4</internal.reference>
                       applies if an Award Holder is a good leaver before the Release Date. If the Award Holder leaves during the Employment Period, part of the Option will lapse under 
                      <internal.reference refid="a818297">rule 18.2</internal.reference>
                      . What is left, therefore, remains in place until after the Performance Measurement Date, subject to the Performance Condition being achieved and can be exercised within [90] days starting with the Release Date.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1>
            <subclause1 id="a527041">
              <identifier>18.5</identifier>
              <para>
                <paratext>
                  This 
                  <internal.reference refid="a527041">rule 18.5</internal.reference>
                   applies if an Award Holder ceases to be an Employee before the Release Date for any reason other than death and the reasons set out in 
                  <internal.reference refid="a665173">rule 18.4</internal.reference>
                  .
                </paratext>
              </para>
              <para>
                <paratext>
                  The Board may in its absolute discretion permit the Award Holder to exercise the remainder of the Option (after the application of 
                  <internal.reference refid="a818297">rule 18.2</internal.reference>
                  ) during the [90-day] period beginning on the earlier of:
                </paratext>
              </para>
              <subclause2 id="a325531">
                <identifier>(a)</identifier>
                <para>
                  <paratext>the Release Date; and</paratext>
                </para>
              </subclause2>
              <subclause2 id="a615091">
                <identifier>(b)</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para>
                <paratext>
                  Any decision by the Board to grant permission under this 
                  <internal.reference refid="a527041">rule 18.5</internal.reference>
                   shall be made in the [90-day] period following the cessation of employment and if the Board does not make such a decision within that period, the Option will lapse immediately and in accordance with 
                  <internal.reference refid="a101498">rule 17</internal.reference>
                  . The Award Holder may not exercise the Option before the Board makes such a decision.
                </paratext>
              </para>
              <drafting.note id="a669766" jurisdiction="">
                <head align="left" preservecase="true">
                  <headtext>Bad leaver Options before Release Date</headtext>
                </head>
                <division id="a000076" level="1">
                  <para>
                    <paratext>
                      <internal.reference refid="a527041">rule 18.5</internal.reference>
                       applies if the Award Holder leaves for any other reason before the Release Date. If the Award Holder leaves before the Release Date, part of the Option will lapse automatically under 
                      <internal.reference refid="a818297">rule 18.2</internal.reference>
                      , and the balance of the Option will ordinarily lapse [90] days after termination. However, the Board has power to allow the Award Holder to keep the Option until the Release Date and then exercise what is left, subject to the Performance Condition.
                    </paratext>
                  </para>
                  <para>
                    <paratext>If the Board does not make any decision within [90] days following termination, the Award will lapse.</paratext>
                  </para>
                  <para>
                    <paratext>A 90-day exercise period is suggested because the Company will typically want leavers' Options to be dealt with in a reasonably short period after they become exercisable.</paratext>
                  </para>
                </division>
              </drafting.note>
            </subclause1>
            <subclause1 id="a781420">
              <identifier>18.6</identifier>
              <para>
                <paratext>An Award Holder who ceases to be an Employee on or after the Release Date may exercise the Option during the [90-day] period following the date of cessation.</paratext>
              </para>
              <drafting.note id="a661861" jurisdiction="">
                <head align="left" preservecase="true">
                  <headtext>Leaver after Release Date</headtext>
                </head>
                <division id="a000077" level="1">
                  <para>
                    <paratext>
                      <internal.reference refid="a781420">rule 18.6</internal.reference>
                       states that an Award Holder who leaves on or after the Release Date has [90] days to exercise the Option. By this time, the Performance Condition will have been tested, so part or all of the Option may have lapsed.
                    </paratext>
                  </para>
                </division>
              </drafting.note>
            </subclause1>
            <subclause1 id="a142377">
              <identifier>18.7</identifier>
              <para>
                <paratext>
                  The Board shall notify the relevant Award Holder of any decision made under 
                  <internal.reference refid="a870810">rule 18</internal.reference>
                  , including any decision not to permit the exercise of an Option, within a reasonable time after making it.
                </paratext>
              </para>
            </subclause1>
            <subclause1 id="a818966">
              <identifier>18.8</identifier>
              <para>
                <paratext>
                  If the relevant Award Certificate specifies different Performance Periods or Employment Periods for different parts of an Option, each part of that Option shall be treated as a separate Option for the purposes of 
                  <internal.reference refid="a870810">rule 18</internal.reference>
                  .
                </paratext>
              </para>
              <drafting.note id="a739223" jurisdiction="">
                <head align="left" preservecase="true">
                  <headtext>Splitting Options into parts</headtext>
                </head>
                <division id="a000078" level="1">
                  <para>
                    <paratext>
                      An Option may be subject to multiple Employment Periods or Performance Periods. For example, one half may be Released after three years and the remainder after four years. 
                      <internal.reference refid="a818966">rule 18.8</internal.reference>
                       states that the Option is treated as several separate Options. For a worked example, see 
                      <link href="4-617-4879#a220351" style="ACTLinkPLCtoPLC">
                        <ital>Standard document, Long term incentive plan (LTIP): guide for employers: 17.2 (a) Apportionment for time</ital>
                      </link>
                      .
                    </paratext>
                  </para>
                </division>
              </drafting.note>
            </subclause1>
            <subclause1 id="a838775">
              <identifier>18.9</identifier>
              <para>
                <paratext>An Award Holder who continues to be an employee or director of any Group Company shall not be regarded as ceasing to be an Employee.</paratext>
              </para>
              <drafting.note id="a507654" jurisdiction="">
                <head align="left" preservecase="true">
                  <headtext>When employment ceases</headtext>
                </head>
                <division id="a000079" level="1">
                  <para>
                    <paratext>
                      <internal.reference refid="a838775">rule 18.9</internal.reference>
                       provides that an Award Holder who continues to be a director or employee of any Group Company does not cease to be an Employee. However, an Award Holder who ceases to be an employee but continues to provide services to the Company as a self-employed contractor would lose status as an employee. It would be possible to widen 
                      <internal.reference refid="a838775">rule 18.9</internal.reference>
                       so that an Award Holder would not lose an Option on becoming a self-employed contractor, but this would be contrary to the Investment Association principles of remuneration.
                    </paratext>
                  </para>
                </division>
              </drafting.note>
            </subclause1>
          </clause>
          <clause id="a181702">
            <identifier>19.</identifier>
            <head align="left" preservecase="true">
              <headtext>Termination of employment (Non-Option Awards)</headtext>
            </head>
            <subclause1 id="a277834">
              <identifier>19.1</identifier>
              <para>
                <paratext>
                  <internal.reference refid="a181702">rule 19</internal.reference>
                   applies to Non-Option Awards.
                </paratext>
              </para>
            </subclause1>
            <subclause1 id="a576911">
              <identifier>19.2</identifier>
              <para>
                <paratext>If an Award Holder:</paratext>
              </para>
              <subclause2 id="a92207">
                <identifier>(a)</identifier>
                <para>
                  <paratext>dies while an Employee; or</paratext>
                </para>
              </subclause2>
              <subclause2 id="a77480">
                <identifier>(b)</identifier>
                <para>
                  <paratext>ceases to be an Employee (whether or not following notice and for whatever reason)</paratext>
                </para>
              </subclause2>
              <para>
                <paratext>before the end of the Employment Period, the Award shall lapse immediately in respect of a number of Shares. That number is calculated in accordance with the formula N x (X/Y) where:</paratext>
              </para>
              <subclause2 id="a387239">
                <identifier>(c)</identifier>
                <para>
                  <paratext>N = the number of Shares in relation to which the Award was originally granted, less any Shares in respect of which it has already been Released or has lapsed;</paratext>
                </para>
              </subclause2>
              <subclause2 id="a192384">
                <identifier>(d)</identifier>
                <para>
                  <paratext>X = the number of days between the date of death or cessation and the end of the Employment Period; and</paratext>
                </para>
              </subclause2>
              <subclause2 id="a245790">
                <identifier>(e)</identifier>
                <para>
                  <paratext>Y = the number of days in the Employment Period.</paratext>
                </para>
                <drafting.note id="a85570" jurisdiction="">
                  <head align="left" preservecase="true">
                    <headtext>Automatic time-apportionment of Award</headtext>
                  </head>
                  <division id="a000080" level="1">
                    <para>
                      <paratext>
                        <internal.reference refid="a576911">rule 19.2</internal.reference>
                         states that, if an Award Holder dies or actually terminates employment (with or without notice and for whatever reason) during the Employment Period, part of the Award lapses immediately. The part that lapses reflects the proportion of the Employment Period that remains outstanding. For example, if the employee left after two years of a three year Employment Period, one third of the Award lapses. This reflects the Investment Association principles of remuneration.
                      </paratext>
                    </para>
                  </division>
                </drafting.note>
              </subclause2>
            </subclause1>
            <subclause1 id="a858671">
              <identifier>19.3</identifier>
              <para>
                <paratext>If the Award Holder dies before the Release Date, the Award will be Released to the Award Holder's personal representatives in respect of a number of Shares determined by the Board as follows:</paratext>
              </para>
              <subclause2 id="a450189">
                <identifier>(a)</identifier>
                <para>
                  <paratext>
                    take the number of Shares that remain after applying 
                    <internal.reference refid="a576911">rule 19.2</internal.reference>
                    ; and
                  </paratext>
                </para>
              </subclause2>
              <subclause2 id="a410055">
                <identifier>(b)</identifier>
                <para>
                  <paratext>apply a further reduction to reflect the extent to which the Performance Condition was not achieved at the date of death.</paratext>
                </para>
              </subclause2>
              <para>
                <paratext>
                  The Award will be settled in accordance with 
                  <internal.reference refid="a175700">rule 14</internal.reference>
                   as soon as practicable following the death.
                </paratext>
              </para>
              <drafting.note id="a841353" jurisdiction="">
                <head align="left" preservecase="true">
                  <headtext>Performance Condition tested after death</headtext>
                </head>
                <division id="a000081" level="1">
                  <para>
                    <paratext>
                      <internal.reference refid="a858671">rule 19.3</internal.reference>
                       states that if an Award Holder dies before the Release Date, the Board will determine the extent to which the Performance Condition was achieved at the date of death. After applying the reduction in 
                      <internal.reference refid="a576911">rule 19.2</internal.reference>
                      , a further deduction is applied to reflect the Performance Condition. The remaining balance of the Award will be released to the estate as soon as practicable but this cannot happen until after the issue of a 
                      <link href="7-382-5632" style="ACTLinkPLCtoPLC">
                        <bold>
                          <ital>grant of representation</ital>
                        </bold>
                      </link>
                       to the Award Holder's personal representatives.
                    </paratext>
                  </para>
                  <para>
                    <paratext>
                      For more information, see 
                      <link href="0-586-0725" style="ACTLinkPLCtoPLC">
                        <ital>Practice note, Employment-related securities and options: issues concerning death of employee</ital>
                      </link>
                      .
                    </paratext>
                  </para>
                </division>
              </drafting.note>
            </subclause1>
            <subclause1 id="a873397">
              <identifier>19.4</identifier>
              <para>
                <paratext>
                  This 
                  <internal.reference refid="a873397">rule 19.4</internal.reference>
                   applies if an Award Holder ceases to be an Employee before the Release Date due to any of the following reasons:
                </paratext>
              </para>
              <subclause2 id="a140431">
                <identifier>(a)</identifier>
                <para>
                  <paratext>injury;</paratext>
                </para>
              </subclause2>
              <subclause2 id="a339331">
                <identifier>(b)</identifier>
                <para>
                  <paratext>ill health; or</paratext>
                </para>
              </subclause2>
              <subclause2 id="a1008209">
                <identifier>(c)</identifier>
                <para>
                  <paratext>disability; [or]</paratext>
                </para>
              </subclause2>
              <subclause2 id="a1001573">
                <identifier>(d)</identifier>
                <para>
                  <paratext>[retirement; or]</paratext>
                </para>
              </subclause2>
              <subclause2 id="a755903">
                <identifier>(e)</identifier>
                <para>
                  <paratext>[Redundancy; or]</paratext>
                </para>
              </subclause2>
              <subclause2 id="a758494">
                <identifier>(f)</identifier>
                <para>
                  <paratext>[the Employer Company ceasing to be a Group Company; or]</paratext>
                </para>
              </subclause2>
              <subclause2 id="a281879">
                <identifier>(g)</identifier>
                <para>
                  <paratext>[the transfer of the business that employs the Award Holder to a person that is not a Group Company].</paratext>
                </para>
              </subclause2>
              <para>
                <paratext>
                  The remainder of the Award (after the application of 
                  <internal.reference refid="a576911">rule 19.2</internal.reference>
                   and subject to achieving the Performance Condition) will be Released on the earlier of:
                </paratext>
              </para>
              <subclause2 id="a446144">
                <identifier>(h)</identifier>
                <para>
                  <paratext>the Release Date; and</paratext>
                </para>
              </subclause2>
              <subclause2 id="a687770">
                <identifier>(i)</identifier>
                <para>
                  <paratext>
                    the date on which the Award is Released under 
                    <internal.reference refid="a1037750">rule 20</internal.reference>
                    .
                  </paratext>
                </para>
                <drafting.note id="a228473" jurisdiction="">
                  <head align="left" preservecase="true">
                    <headtext>Good leaver Awards remain in place until performance has been measured</headtext>
                  </head>
                  <division id="a000082" level="1">
                    <para>
                      <paratext>
                        <internal.reference refid="a873397">rule 19.4</internal.reference>
                         states that, if an Award Holder is a good leaver before the Release Date, part of the Award will lapse under 
                        <internal.reference refid="a576911">rule 19.2</internal.reference>
                        . What is left stays in place until the Release Date, subject to the Performance Condition being achieved.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2>
            </subclause1>
            <subclause1 id="a207110">
              <identifier>19.5</identifier>
              <para>
                <paratext>
                  This 
                  <internal.reference refid="a207110">rule 19.5</internal.reference>
                   applies if an Award Holder ceases to be an Employee before the Release Date for any reason other than death and the reasons set out in 
                  <internal.reference refid="a873397">rule 19.4</internal.reference>
                  .
                </paratext>
              </para>
              <para>
                <paratext>
                  The Board may in its absolute discretion determine that the remainder of the Award (after the application of 
                  <internal.reference refid="a576911">rule 19.2</internal.reference>
                   and subject to achieving the Performance Condition) shall be Released on the earlier of:
                </paratext>
              </para>
              <subclause2 id="a670452">
                <identifier>(a)</identifier>
                <para>
                  <paratext>the Release Date; and</paratext>
                </para>
              </subclause2>
              <subclause2 id="a1014845">
                <identifier>(b)</identifier>
                <para>
                  <paratext>
                    the date on which the Award is Released under 
                    <internal.reference refid="a1037750">rule 20</internal.reference>
                    .
                  </paratext>
                </para>
              </subclause2>
              <para>
                <paratext>
                  Any decision by the Board to permit Release under this 
                  <internal.reference refid="a207110">rule 19.5</internal.reference>
                   shall be made in the [90-day] period following the cessation of employment and if the Board does not make such a decision within that period, the Award will lapse immediately and in accordance with 
                  <internal.reference refid="a101498">rule 17</internal.reference>
                  .
                </paratext>
              </para>
              <drafting.note id="a247244" jurisdiction="">
                <head align="left" preservecase="true">
                  <headtext>Bad leaver before Release Date</headtext>
                </head>
                <division id="a000083" level="1">
                  <para>
                    <paratext>
                      <internal.reference refid="a207110">rule 19.5</internal.reference>
                       applies if the Award Holder leaves for any other reason before the Release Date. Part of the Award will lapse automatically under 
                      <internal.reference refid="a576911">rule 19.2</internal.reference>
                      , and the balance of the Award will ordinarily lapse [90] days after termination. However, the Board has power to determine that the Award will be Released on the Performance Measurement Date, subject to the Performance Condition.
                    </paratext>
                  </para>
                  <para>
                    <paratext>If the Board does not make any decision within [90] days following termination, the Award will lapse.</paratext>
                  </para>
                  <para>
                    <paratext>A 90-day period is suggested because the Company will typically want leavers' Awards to be dealt with in a reasonably short period after they become exercisable.</paratext>
                  </para>
                </division>
              </drafting.note>
            </subclause1>
            <subclause1 id="a969529">
              <identifier>19.6</identifier>
              <para>
                <paratext>
                  The Board shall notify the relevant Award Holder of any decision made under 
                  <internal.reference refid="a181702">rule 19</internal.reference>
                  , including any decision to permit the Release of an Award, within a reasonable time after making it.
                </paratext>
              </para>
            </subclause1>
            <subclause1 id="a852035">
              <identifier>19.7</identifier>
              <para>
                <paratext>
                  If the relevant Award Certificate specifies different Performance Periods or Employment Periods for different parts of an Award, each part of that Award shall be treated as a separate Award for the purposes of 
                  <internal.reference refid="a181702">rule 19</internal.reference>
                  .
                </paratext>
              </para>
              <drafting.note id="a204519" jurisdiction="">
                <head align="left" preservecase="true">
                  <headtext>Splitting Awards into parts</headtext>
                </head>
                <division id="a000084" level="1">
                  <para>
                    <paratext>
                      An Award may be subject to multiple Performance Periods or Employment Periods. For example, one half may be Released after three years and the remainder after four years. 
                      <internal.reference refid="a852035">rule 19.7</internal.reference>
                       states that the Award is treated as several separate Awards. For a worked example, see 
                      <link href="4-617-4879#a220351" style="ACTLinkPLCtoPLC">
                        <ital>Standard document, Long term incentive plan (LTIP): guide for employers: 10.2 (a) Apportionment for time</ital>
                      </link>
                      .
                    </paratext>
                  </para>
                </division>
              </drafting.note>
            </subclause1>
            <subclause1 id="a585001">
              <identifier>19.8</identifier>
              <para>
                <paratext>An Award Holder who continues to be an employee or director of any Group Company shall not be regarded as ceasing to be an Employee.</paratext>
              </para>
            </subclause1>
          </clause>
          <clause id="a1037750">
            <identifier>20.</identifier>
            <head align="left" preservecase="true">
              <headtext>Takeovers and liquidations</headtext>
            </head>
            <drafting.note id="a405623" jurisdiction="">
              <head align="left" preservecase="true">
                <headtext>Takeovers and liquidations</headtext>
              </head>
              <division id="a000085" level="1">
                <para>
                  <paratext>
                    <internal.reference refid="a1037750">rule 20</internal.reference>
                     deals with the early Release of Awards on a change of Control.
                  </paratext>
                </para>
                <para>
                  <paratext>
                    If there is a change of Control, Awards will be Released in part. Awards that are Released can be exercised or exchanged for awards over shares of the Acquiror. 
                    <internal.reference refid="a403621">rule 20.3</internal.reference>
                     provides for Awards to be Released and Options to be exercised either before or immediately after the change of Control has taken place. 
                    <internal.reference refid="a580292">rule 21</internal.reference>
                     allows for a rollover into awards over shares in an acquiring company.
                  </paratext>
                </para>
              </division>
            </drafting.note>
            <subclause1 id="a324210">
              <identifier>20.1</identifier>
              <para>
                <paratext>
                  The 
                  <defn.term>Releasable Number</defn.term>
                   of Shares in relation to an Award is the number of Shares that the Board shall determine as follows:
                </paratext>
              </para>
              <subclause2 id="a354667">
                <identifier>(a)</identifier>
                <para>
                  <paratext>If the change of Control occurs during the Employment Period, multiply the number of Shares in relation to which the Award was originally granted, less any Shares in respect of which it has already been Released (or, in the case of an Option, has already been exercised) or has lapsed, by X/Y where:</paratext>
                </para>
                <subclause3 id="a584355">
                  <identifier>(i)</identifier>
                  <para>
                    <paratext>X = the number of days between the Grant Date and the date (or expected date) of the change of Control; and</paratext>
                  </para>
                </subclause3>
                <subclause3 id="a264997">
                  <identifier>(ii)</identifier>
                  <para>
                    <paratext>Y = the number of days in the Employment Period.</paratext>
                  </para>
                </subclause3>
              </subclause2>
              <subclause2 id="a820283">
                <identifier>(b)</identifier>
                <para>
                  <paratext>If the change of Control occurs during the Performance Period, apply a further reduction to reflect the likelihood as at the date (or expected date) of the change of Control of the Performance Condition not being achieved by the end of the Performance Period.</paratext>
                </para>
                <drafting.note id="a344805" jurisdiction="">
                  <head align="left" preservecase="true">
                    <headtext>Releasable Number</headtext>
                  </head>
                  <division id="a000086" level="1">
                    <para>
                      <paratext>
                        <internal.reference refid="a324210">rule 20.1</internal.reference>
                         sets out a formula for working out how many of the Shares subject to the Award will be Released. The number is first apportioned by time and then reduced to reflect achievement of the Performance Condition. This is expected by the 
                        <link href="4-209-4976" style="ACTLinkPLCtoPLC">
                          <ital>Investment Association principles of remuneration: paragraph 2(vii) of Section C</ital>
                        </link>
                         which says:
                      </paratext>
                    </para>
                    <display.quote>
                      <para>
                        <paratext>"early vesting as a consequence of a change of control should be on a time pro-rata basis i.e. taking into account the vesting period that has elapsed at the time of change of control."</paratext>
                      </para>
                    </display.quote>
                  </division>
                </drafting.note>
              </subclause2>
            </subclause1>
            <subclause1 id="a131175">
              <identifier>20.2</identifier>
              <para>
                <paratext>
                  Where the Board is required by 
                  <internal.reference refid="a324210">rule 20.1</internal.reference>
                   to determine the Releasable Number, and the relevant Award Certificate specifies different Performance Periods or Employment Periods for different parts of an Award, the Board shall treat each part of that Award as a separate Award.
                </paratext>
              </para>
              <drafting.note id="a126252" jurisdiction="">
                <head align="left" preservecase="true">
                  <headtext>Awards with multiple Performance Conditions or differing Employment Periods</headtext>
                </head>
                <division id="a000087" level="1">
                  <para>
                    <paratext>Where an Award has multiple Performance Conditions or different Employment Periods, it is necessary to treat it as separate Awards to decide the Releasable Number.</paratext>
                  </para>
                </division>
              </drafting.note>
            </subclause1>
            <subclause1 id="a403621">
              <identifier>20.3</identifier>
              <para>
                <paratext>If the Board considers that a change of Control is likely to occur, the Board may in its absolute discretion decide that:</paratext>
              </para>
              <subclause2 id="a271198">
                <identifier>(a)</identifier>
                <para>
                  <paratext>all Awards shall be Released in relation to the Releasable Number of Shares; and</paratext>
                </para>
              </subclause2>
              <subclause2 id="a478188">
                <identifier>(b)</identifier>
                <para>
                  <paratext>an Award Holder may exercise all or any part of any Option (but not in respect of more than the Releasable Number of Shares) within a reasonable period to be specified by the Board for that purpose and ending immediately before the Acquiror obtains Control of the Company. The Board shall have discretion to determine that an Option that is not exercised by the end of that period shall lapse.</paratext>
                </para>
              </subclause2>
              <para>
                <paratext>The Board may decide that the Release of Awards and exercise of Options shall be conditional on the change of Control actually occurring and shall be treated as having no effect if the change of Control does not occur.</paratext>
              </para>
              <drafting.note id="a1007822" jurisdiction="">
                <head align="left" preservecase="true">
                  <headtext>Release and exercise before takeover</headtext>
                </head>
                <division id="a000088" level="1">
                  <para>
                    <paratext>Purchasers (and in many circumstances the Award Holders as well) often prefer all outstanding Awards to be Released and Options to be exercised or to lapse by the time a change of Control is finalised. On the other hand, the target company and the Award Holders do not want to see Awards Released and Options actually to be exercised in advance of a proposed purchase of the company that does not then go to completion.</paratext>
                  </para>
                  <para>
                    <paratext>The Board has power to decide that the Options will lapse if not exercised during this period. This may be necessary if the purchaser insists that the Options must lapse before the change of Control.</paratext>
                  </para>
                </division>
              </drafting.note>
            </subclause1>
            <subclause1 id="a366089">
              <identifier>20.4</identifier>
              <para>
                <paratext>
                  <internal.reference refid="a308554">rule 20.5</internal.reference>
                  , 
                  <internal.reference refid="a190510">rule 20.6</internal.reference>
                   and 
                  <internal.reference refid="a475597">rule 20.7</internal.reference>
                   apply if a change of Control occurs and the Acquiror declares that it is willing to make an agreement under 
                  <internal.reference refid="a580292">rule 21</internal.reference>
                  .
                </paratext>
              </para>
              <drafting.note id="a538158" jurisdiction="">
                <head align="left" preservecase="true">
                  <headtext>Acquiror offers rollover</headtext>
                </head>
                <division id="a000089" level="1">
                  <para>
                    <paratext>
                      <internal.reference refid="a366089">rule 20.4</internal.reference>
                       sets out what can happen if the Acquiror obtains control and offers a rollover. It invokes 
                      <internal.reference refid="a308554">rule 20.5</internal.reference>
                      , 
                      <internal.reference refid="a190510">rule 20.6</internal.reference>
                       and 
                      <internal.reference refid="a475597">rule 20.7</internal.reference>
                      . In practice in advance of the change of control the Acquiror and the Board will agree what arrangements to make.
                    </paratext>
                  </para>
                  <para>
                    <paratext>
                      The Acquiror may be willing to permit Award Holders with Options to exercise up to the Releasable Number of Shares within a defined period of time. 
                      <internal.reference refid="a308554">rule 20.5</internal.reference>
                       gives the Board power to allow this.
                    </paratext>
                  </para>
                  <para>
                    <paratext>Options that are not exchanged or exercised within a defined period lapse. This is because the Acquiror will normally not want them to remain exercisable.</paratext>
                  </para>
                  <para>
                    <paratext>
                      <internal.reference refid="a190510">rule 20.6</internal.reference>
                       allows the Award Holders to accept an offer of rollover in relation to Awards including Options.
                    </paratext>
                  </para>
                  <para>
                    <paratext>
                      <internal.reference refid="a475597">rule 20.7</internal.reference>
                       sets out two possible courses of action in relation to Awards that are not exchanged:
                    </paratext>
                  </para>
                  <list type="bulleted">
                    <list.item>
                      <para>
                        <paratext>the Board can decide that the Awards lapse if they are not exchanged within the Rollover Period; or</paratext>
                      </para>
                    </list.item>
                    <list.item>
                      <para>
                        <paratext>the Board can decide that Awards that are not exchanged within the Rollover Period should vest in relation to the Releasable Number at the end of that period. This does not apply to Options as they will already have been exercised, exchanged or lapsed.</paratext>
                      </para>
                    </list.item>
                  </list>
                </division>
              </drafting.note>
            </subclause1>
            <subclause1 id="a308554">
              <identifier>20.5</identifier>
              <para>
                <paratext>
                  The Board may in its absolute discretion decide that an Award Holder may exercise all or any part of any Option (but not in respect of more than the Releasable Number of Shares) within a reasonable period to be specified by the Board for that purpose. Any part of an Option that is not either exchanged under 
                  <internal.reference refid="a580292">rule 21</internal.reference>
                   or exercised by the end of that period shall lapse.
                </paratext>
              </para>
            </subclause1>
            <subclause1 id="a190510">
              <identifier>20.6</identifier>
              <para>
                <paratext>
                  The Award Holder may at any time during the Rollover Period exchange the Award under 
                  <internal.reference refid="a580292">rule 21</internal.reference>
                  .
                </paratext>
              </para>
            </subclause1>
            <subclause1 id="a475597">
              <identifier>20.7</identifier>
              <para>
                <paratext>The Board has discretion to determine at any time before the end of the Rollover Period that some or all of any Awards that are not so exchanged shall lapse at the end of the Rollover Period.</paratext>
              </para>
              <para>
                <paratext>If the Board does not so determine, then any Non-Option Awards that are not so exchanged shall be Released in relation to the Releasable Number immediately following the end of the Rollover Period and lapse in relation to the balance.</paratext>
              </para>
            </subclause1>
            <subclause1 id="a99160">
              <identifier>20.8</identifier>
              <para>
                <paratext>
                  If the Acquiror is not willing to make an agreement under 
                  <internal.reference refid="a580292">rule 21</internal.reference>
                  :
                </paratext>
              </para>
              <subclause2 id="a400828">
                <identifier>(a)</identifier>
                <para>
                  <paratext>all Awards shall be Released immediately following the change of Control in relation to the Releasable Number of Shares and lapse in relation to the balance; and</paratext>
                </para>
              </subclause2>
              <subclause2 id="a1026981">
                <identifier>(b)</identifier>
                <para>
                  <paratext>an Award Holder may exercise all or any part of any Option (but not in respect of more than the Releasable Number of Shares) within the period of [30 days] following the change of Control. Any part of an Option that is not exercised by the end of that period shall lapse.</paratext>
                </para>
                <drafting.note id="a148521" jurisdiction="">
                  <head align="left" preservecase="true">
                    <headtext>Acquiror is not willing to offer exchange</headtext>
                  </head>
                  <division id="a000090" level="1">
                    <para>
                      <paratext>
                        If the Acquiror is not willing to offer a rollover 
                        <internal.reference refid="a99160">rule 20.8</internal.reference>
                         provides for Release of the Releasable Number of all Awards and a 30 day period for the exercise of Options.
                      </paratext>
                    </para>
                  </division>
                </drafting.note>
              </subclause2>
            </subclause1>
            <subclause1 id="a285375">
              <identifier>20.9</identifier>
              <para>
                <paratext>If any person becomes bound or entitled to acquire Shares under sections 979 to 982 or 983 to 985 of the Companies Act 2006:</paratext>
              </para>
              <subclause2 id="a966938">
                <identifier>(a)</identifier>
                <para>
                  <paratext>all Awards shall be Released in relation to the Releasable Number of Shares and lapse in relation to the balance; and</paratext>
                </para>
              </subclause2>
              <subclause2 id="a63071">
                <identifier>(b)</identifier>
                <para>
                  <paratext>an Award Holder may exercise all or any part of any Option (but not in respect of more than the Releasable Number of Shares) at any time when the person remains so bound or entitled.</paratext>
                </para>
              </subclause2>
              <para>
                <paratext>
                  An Option that is not so exercised shall lapse at the end of the period during which that person is bound or entitled (unless it lapses earlier in accordance with 
                  <internal.reference refid="a870810">rule 18</internal.reference>
                   or is exchanged under 
                  <internal.reference refid="a580292">rule 21</internal.reference>
                  ).
                </paratext>
              </para>
              <drafting.note id="a281493" jurisdiction="">
                <head align="left" preservecase="true">
                  <headtext>Release on squeeze-out or sell-out</headtext>
                </head>
                <division id="a000091" level="1">
                  <para>
                    <paratext>
                      <internal.reference refid="a285375">rule 20.9</internal.reference>
                       is unlikely to be relevant because in most circumstances Awards will already have been Released or lapsed following an earlier change of Control.
                    </paratext>
                  </para>
                  <para>
                    <paratext>
                      <internal.reference refid="a285375">rule 20.9</internal.reference>
                       permits Award Holders to exercise Options during a squeeze-out or sell-out period. If they do not exercise their Options during this period, the Options lapse at the end of the period or, if earlier, the end of the period in which they can accept a rollover.
                    </paratext>
                  </para>
                  <para>
                    <paratext>
                      The main reason for including 
                      <internal.reference refid="a285375">rule 20.9</internal.reference>
                       is to compel Award Holders to exercise or exchange their Options, or allow them to lapse, before the end of the squeeze-out period.
                    </paratext>
                  </para>
                </division>
              </drafting.note>
            </subclause1>
            <subclause1 id="a547379">
              <identifier>20.10</identifier>
              <para>
                <paratext>If the court sanctions a compromise or arrangement under either section 899 or section 901F of the Companies Act 2006, the Board may decide that:</paratext>
              </para>
              <subclause2 id="a437975">
                <identifier>(a)</identifier>
                <para>
                  <paratext>all Awards shall be Released in relation to the Releasable Number of Shares; and</paratext>
                </para>
              </subclause2>
              <subclause2 id="a235030">
                <identifier>(b)</identifier>
                <para>
                  <paratext>an Award Holder may exercise all or any part of any Option (but not in respect of more than the Releasable Number of Shares) within a reasonable period to be specified by the Board for that purpose. The Board shall have discretion to determine that an Option that is not exercised by the end of that period shall lapse.</paratext>
                </para>
                <drafting.note id="a843865" jurisdiction="">
                  <head align="left" preservecase="true">
                    <headtext>Scheme of arrangement</headtext>
                  </head>
                  <division id="a000092" level="1">
                    <para>
                      <paratext>
                        If there is a takeover by 
                        <link href="0-107-7201" style="ACTLinkPLCtoPLC">
                          <bold>
                            <ital>scheme of arrangement</ital>
                          </bold>
                        </link>
                        , the Board can decide that Awards will be Released when the court sanctions the scheme. This usually occurs a few days before the scheme becomes effective and the change of Control occurs. This enables Award Holders to become registered shareholders before the scheme is effective and receive the same consideration as other shareholders.
                      </paratext>
                    </para>
                  </division>
                </drafting.note>
              </subclause2>
            </subclause1>
            <subclause1 id="a103251">
              <identifier>20.11</identifier>
              <para>
                <paratext>If any Shares, in one or a series of transactions, are sold resulting in the buyer and persons Acting in Concert with the buyer together acquiring Control of the Company, but the buyer is a company and its shareholders and the proportion of its shares held by each of them following completion of the sale are [substantially] the same as the shareholders and their shareholdings in the Company immediately before the sale, the Board may determine that this does not constitute a change of Control.</paratext>
              </para>
              <para>
                <paratext>
                  If the buyer offers to make such arrangements as the Board, in its reasonable opinion, considers to be fair, for new awards to be offered under 
                  <internal.reference refid="a580292">rule 21</internal.reference>
                   in exchange for Awards, then the Board may decide that any Awards that are not so exchanged shall lapse on such date as the Board shall specify.
                </paratext>
              </para>
              <para>
                <paratext>If the buyer does not offer to make arrangements that the Board considers to be fair within [30 days] after the buyer has acquired Control, then:</paratext>
              </para>
              <subclause2 id="a774674">
                <identifier>(a)</identifier>
                <para>
                  <paratext>all Awards shall be Released on the [31st] day following the buyer acquiring Control in relation to the Releasable Number of Shares and lapse in relation to the balance; and</paratext>
                </para>
              </subclause2>
              <subclause2 id="a639862">
                <identifier>(b)</identifier>
                <para>
                  <paratext>an Award Holder may exercise all or any part of any Option (but not in respect of more than the Releasable Number of Shares) within the period starting [31] days and ending [90] days following the buyer acquiring Control. Any part of an Option that is not exercised by the end of that period shall lapse.</paratext>
                </para>
                <drafting.note id="a687383" jurisdiction="">
                  <head align="left" preservecase="true">
                    <headtext>Rollover of Options on internal reorganisation</headtext>
                  </head>
                  <division id="a000093" level="1">
                    <para>
                      <paratext>It is possible that a change of Control may occur as a result of an internal reorganisation. If the shareholders of the acquiring company are the same (or substantially the same), the Board may decide that this does not constitute a change of Control for the purposes of the Plan. In these circumstances the Board will normally agree with the buyer that there is an exchange of Awards. If this cannot be agreed within 30 days, then Non-Option Awards are Released and Award Holders can exercise their Options.</paratext>
                    </para>
                    <para>
                      <paratext>The word substantially could be deleted or replaced with a more precise figure such as 90%.</paratext>
                    </para>
                  </division>
                </drafting.note>
              </subclause2>
            </subclause1>
            <subclause1 id="a514365">
              <identifier>20.12</identifier>
              <para>
                <paratext>
                  In 
                  <internal.reference refid="a1037750">rule 20</internal.reference>
                   and 
                  <internal.reference refid="a580292">rule 21</internal.reference>
                  , a person shall be deemed to have obtained Control of a company if that person, and others Acting in Concert with that person, have obtained Control of it together.
                </paratext>
              </para>
            </subclause1>
            <subclause1 id="a396871">
              <identifier>20.13</identifier>
              <para>
                <paratext>If the shareholders of the Company receive notice of a resolution for the voluntary winding up of the Company:</paratext>
              </para>
              <subclause2 id="a778719">
                <identifier>(a)</identifier>
                <para>
                  <paratext>all Non-Option Awards shall be Released upon the passing of that resolution in relation to the Releasable Number of Shares and lapse in relation to the balance; and</paratext>
                </para>
              </subclause2>
              <subclause2 id="a362148">
                <identifier>(b)</identifier>
                <para>
                  <paratext>any Award Holder may exercise an Option in respect of the Releasable Number of Shares at any time before that resolution is passed, conditional upon the passing of that resolution, and if the Award Holder does not exercise the Option, it shall lapse when the winding up begins.</paratext>
                </para>
              </subclause2>
            </subclause1>
            <subclause1 id="a164888">
              <identifier>20.14</identifier>
              <para>
                <paratext>
                  The Board shall notify Award Holders of any event that is relevant to Awards under this 
                  <internal.reference refid="a1037750">rule 20</internal.reference>
                   within a reasonable period after the Board becomes aware of it.
                </paratext>
              </para>
            </subclause1>
            <subclause1 id="a525377">
              <identifier>20.15</identifier>
              <para>
                <paratext>
                  For the avoidance of doubt, 
                  <internal.reference refid="a1037750">rule 20</internal.reference>
                   is subject to 
                  <internal.reference refid="a772174">rule 9.4</internal.reference>
                   and 
                  <internal.reference refid="a989438">rule 9.5</internal.reference>
                  .
                </paratext>
              </para>
              <drafting.note id="a380201" jurisdiction="">
                <head align="left" preservecase="true">
                  <headtext>Takeover occurs during notice period</headtext>
                </head>
                <division id="a000094" level="1">
                  <para>
                    <paratext>
                      <internal.reference refid="a525377">rule 20.15</internal.reference>
                       clarifies that someone who is on notice cannot have an Award Released or exercise an Option just because a takeover occurs.
                    </paratext>
                  </para>
                </division>
              </drafting.note>
            </subclause1>
          </clause>
          <clause id="a580292">
            <identifier>21.</identifier>
            <head align="left" preservecase="true">
              <headtext>Exchange of Awards</headtext>
            </head>
            <drafting.note id="a838596" jurisdiction="">
              <head align="left" preservecase="true">
                <headtext>Exchange of Awards</headtext>
              </head>
              <division id="a000095" level="1">
                <para>
                  <paratext>
                    This allows the Acquiror and Award Holder to agree terms for an exchange of Awards. The rules are deliberately not prescriptive as regards the terms of an exchange to give flexibility for the parties. However, note that 
                    <link href="0-107-7362" style="ACTLinkPLCtoPLC">
                      <bold>
                        <ital>The City Code on Takeovers and Mergers</ital>
                      </bold>
                    </link>
                     requires that the terms are fair and reasonable (see 
                    <link href="0-378-9128" style="ACTLinkPLCtoPLC">
                      <ital>Practice note, Takeover Code: how buyers should treat employee share awards in target companies</ital>
                    </link>
                    .
                  </paratext>
                </para>
              </division>
            </drafting.note>
            <subclause1 id="a486366">
              <identifier>21.1</identifier>
              <para>
                <paratext>
                  If the Acquiror is a company, each Award Holder may, by agreement with the Acquiror within the Rollover Period, surrender any Award (
                  <defn.term>Old Award</defn.term>
                  ) in exchange for a replacement right (
                  <defn.term>New Award</defn.term>
                  ).
                </paratext>
              </para>
            </subclause1>
            <subclause1 id="a681340">
              <identifier>21.2</identifier>
              <para>
                <paratext>A New Award shall be granted on such terms and in relation to such shares of such company as the Acquiror and the Award Holder may agree.</paratext>
              </para>
            </subclause1>
            <subclause1 id="a483567">
              <identifier>21.3</identifier>
              <para>
                <paratext>The Rollover Period is a period specified by the Acquiror within which Award Holders may agree to surrender their Awards.</paratext>
              </para>
            </subclause1>
          </clause>
          <clause id="a129837">
            <identifier>22.</identifier>
            <head align="left" preservecase="true">
              <headtext>Variation of share capital</headtext>
            </head>
            <subclause1 id="a733271">
              <identifier>22.1</identifier>
              <para>
                <paratext>
                  This 
                  <internal.reference refid="a129837">rule 22</internal.reference>
                   applies where there is:
                </paratext>
              </para>
              <subclause2 id="a293618">
                <identifier>(a)</identifier>
                <para>
                  <paratext>a variation of share capital; or</paratext>
                </para>
              </subclause2>
              <subclause2 id="a261574">
                <identifier>(b)</identifier>
                <para>
                  <paratext>an extraordinary distribution to shareholders.</paratext>
                </para>
              </subclause2>
            </subclause1>
            <subclause1 id="a1011937">
              <identifier>22.2</identifier>
              <para>
                <paratext>
                  In this 
                  <internal.reference refid="a129837">rule 22</internal.reference>
                  :
                </paratext>
              </para>
              <subclause2 id="a357706">
                <identifier>(a)</identifier>
                <para>
                  <paratext>A variation of share capital includes a capitalisation issue, rights issue, consolidation, subdivision or reduction of capital, a vendor placing with clawback, a vendor rights offer or a cash open offer. However, a scrip dividend is not a variation of share capital.</paratext>
                </para>
              </subclause2>
              <subclause2 id="a69311">
                <identifier>(b)</identifier>
                <para>
                  <paratext>An extraordinary distribution to shareholders includes a demerger or special dividend.</paratext>
                </para>
                <drafting.note id="a83930" jurisdiction="">
                  <head align="left" preservecase="true">
                    <headtext>Demergers</headtext>
                  </head>
                  <division id="a000096" level="1">
                    <para>
                      <paratext>
                        Where a demerger or other extraordinary distribution takes place, the Board can allow early Release under 
                        <internal.reference refid="a919478">rule 22.3</internal.reference>
                         or adjust the Award under 
                        <internal.reference refid="a590698">rule 22.4</internal.reference>
                        . For information on other possible ways of compensating Award Holders for the loss in value due to a demerger, see 
                        <link href="0-379-9580" style="ACTLinkPLCtoPLC">
                          <ital>Practice note, Demergers and employee share schemes</ital>
                        </link>
                        .
                      </paratext>
                    </para>
                  </division>
                </drafting.note>
              </subclause2>
            </subclause1>
            <subclause1 id="a919478">
              <identifier>22.3</identifier>
              <para>
                <paratext>If notice is given to shareholders of the Company of a proposed extraordinary distribution, the Board shall determine whether the interests of Award Holders would or might be substantially prejudiced by the proposed extraordinary distribution.</paratext>
              </para>
              <para>
                <paratext>If the Board does so decide, it may determine that:</paratext>
              </para>
              <subclause2 id="a79415">
                <identifier>(a)</identifier>
                <para>
                  <paratext>some or all Awards shall be Released in relation to the Releasable Number of Shares; and</paratext>
                </para>
              </subclause2>
              <subclause2 id="a56729">
                <identifier>(b)</identifier>
                <para>
                  <paratext>an Award Holder may exercise all or any part of any Option (but not in respect of more than the Releasable Number of Shares) within a reasonable period specified by the Board for that purpose and ending immediately before the record date for the extraordinary distribution. The Board shall have discretion to determine that an Option that is not exercised by the end of that period shall lapse.</paratext>
                </para>
              </subclause2>
              <para>
                <paratext>The Board may decide that the Release of Awards and exercise of Options shall be conditional on the extraordinary distribution actually occurring and shall be treated as having no effect if the extraordinary distribution does not occur.</paratext>
              </para>
              <para>
                <paratext>
                  The Releasable Number shall be determined in accordance with 
                  <internal.reference refid="a324210">rule 20.1</internal.reference>
                   as if the extraordinary distribution were a change of Control.
                </paratext>
              </para>
              <para>
                <paratext>
                  For the avoidance of doubt, if the Board does not determine that Awards shall be Released and Options may be exercised, the Board may nevertheless make an adjustment to the Awards under 
                  <internal.reference refid="a590698">rule 22.4</internal.reference>
                  .
                </paratext>
              </para>
            </subclause1>
            <subclause1 id="a590698">
              <identifier>22.4</identifier>
              <para>
                <paratext>If a variation of share capital or an extraordinary distribution occurs and the Board considers that it has affected the value of Awards, the Board shall consider whether it is fair to adjust the terms of the Awards and, if so, the Board shall make such adjustment as it considers appropriate to:</paratext>
              </para>
              <subclause2 id="a64726">
                <identifier>(a)</identifier>
                <para>
                  <paratext>the number of Shares subject to the Award;</paratext>
                </para>
              </subclause2>
              <subclause2 id="a733604">
                <identifier>(b)</identifier>
                <para>
                  <paratext>the class of Shares subject to the Award; and</paratext>
                </para>
              </subclause2>
              <subclause2 id="a726968">
                <identifier>(c)</identifier>
                <para>
                  <paratext>
                    subject to 
                    <internal.reference refid="a232758">rule 22.5</internal.reference>
                    , the Exercise Price.
                  </paratext>
                </para>
              </subclause2>
            </subclause1>
            <subclause1 id="a232758">
              <identifier>22.5</identifier>
              <para>
                <paratext>The Board may not reduce the Exercise Price of an Option below the nominal value of a Share, if the Option will or may be satisfied by the issue of Shares, unless the Board is able, and resolves, to capitalise from reserves an amount sufficient (when aggregated with the reduced Exercise Price payable) to pay up the Shares in full on the Option's exercise.</paratext>
              </para>
              <drafting.note id="a934498" jurisdiction="">
                <head align="left" preservecase="true">
                  <headtext>Adjustment of Exercise Price to less than nominal value</headtext>
                </head>
                <division id="a000097" level="1">
                  <para>
                    <paratext>
                      <internal.reference refid="a232758">rule 22.5</internal.reference>
                       is included because a company cannot issue shares for less than their nominal value (see 
                      <link href="2-506-2001" style="ACTLinkPLCtoPLC">
                        <ital>section 580</ital>
                      </link>
                      <ital>, Companies Act 2006</ital>
                       and 
                      <link href="5-422-4150#a223783" style="ACTLinkPLCtoPLC">
                        <ital>Practice note, Allotment and issue of shares: Payment for allotted shares</ital>
                      </link>
                      ).
                    </paratext>
                  </para>
                  <para>
                    <paratext>
                      A company which has sufficient distributable reserves may be able to capitalise those reserves to pay up the nominal value of the Shares. However, note that it is not possible to issue bonus shares to non-members (see 
                      <link href="2-605-1247" style="ACTLinkPLCtoPLC">
                        <ital>Article, Bonus issues: may bonus shares be issued to non-members?</ital>
                      </link>
                      ).
                    </paratext>
                  </para>
                </division>
              </drafting.note>
            </subclause1>
            <subclause1 id="a481297">
              <identifier>22.6</identifier>
              <para>
                <paratext>
                  The Board shall notify all affected Award Holders of any decision made under 
                  <internal.reference refid="a129837">rule 22</internal.reference>
                   within a reasonable time after making it.
                </paratext>
              </para>
            </subclause1>
          </clause>
          <clause id="a353805">
            <identifier>23.</identifier>
            <head align="left" preservecase="true">
              <headtext>Tax liabilities</headtext>
            </head>
            <drafting.note id="a567148" jurisdiction="">
              <head align="left" preservecase="true">
                <headtext>Tax liabilities</headtext>
              </head>
              <division id="a000098" level="1">
                <para>
                  <paratext>
                    This rule is necessary to assist the employer in recovering any PAYE arising in connection with Awards. Tax and NICs liabilities arising in relation to Awards are often difficult to recover under standard PAYE deduction procedures, and the statutory rights of recovery are limited. It is recommended that this rule be included even if the Shares are in a private company and are not 
                    <link href="5-107-7109" style="ACTLinkPLCtoPLC">
                      <bold>
                        <ital>readily convertible assets</ital>
                      </bold>
                    </link>
                     (RCAs) for PAYE and NICs purposes. They may become RCAs before Awards are Released and a PAYE and NICs withholding obligation may also arise in certain other circumstances. For information about drafting effective indemnities and about recovering tax liabilities, see 
                    <link href="5-595-6990" style="ACTLinkPLCtoPLC">
                      <ital>Practice note, Tax indemnities in share schemes documents</ital>
                    </link>
                    . For more information about RCAs, see 
                    <link href="3-599-7326" style="ACTLinkPLCtoPLC">
                      <ital>Practice note, Readily convertible assets</ital>
                    </link>
                    .
                  </paratext>
                </para>
              </division>
            </drafting.note>
            <subclause1 id="a108464">
              <identifier>23.1</identifier>
              <para>
                <paratext>The Award Holder shall indemnify the Employer Company in respect of any Tax Liability.</paratext>
              </para>
              <drafting.note id="a569202" jurisdiction="">
                <head align="left" preservecase="true">
                  <headtext>Requirement to meet Tax Liabilities</headtext>
                </head>
                <division id="a000099" level="1">
                  <para>
                    <paratext>This rule sets out the Award Holder's obligations in respect of the Tax Liability. The Award Holder is liable to pay the Tax Liability. The exercise of an Option and Release of an Award are conditional on the Award Holder agreeing to pay the Tax Liability, as well as making arrangements to pay it. This is because:</paratext>
                  </para>
                  <list type="bulleted">
                    <list.item>
                      <para>
                        <paratext>An Award Holder must agree to pay the Tax Liability so that, in the event that the Award Holder fails to do so, the Employer Company has a contractual right to recover the Tax Liability.</paratext>
                      </para>
                    </list.item>
                    <list.item>
                      <para>
                        <paratext>Even with a contractual right to recover the Tax Liability, this can be time consuming and costly. Exercise is therefore conditional on the employee making arrangements to pay the Tax Liability, to minimise the chances of an employee not paying. Typically, an Award Holder will be required to indicate how they will meet the Tax Liability.</paratext>
                      </para>
                    </list.item>
                  </list>
                  <para>
                    <paratext>
                      For more information, see 
                      <link href="5-595-6990" style="ACTLinkPLCtoPLC">
                        <ital>Practice note, Tax indemnities in share schemes documents</ital>
                      </link>
                      .
                    </paratext>
                  </para>
                </division>
              </drafting.note>
            </subclause1>
            <subclause1 id="a347169">
              <identifier>23.2</identifier>
              <para>
                <paratext>The Acceptance Notice or Exercise Notice shall include the Award Holder's irrevocable agreement to:</paratext>
              </para>
              <subclause2 id="a682727">
                <identifier>(a)</identifier>
                <para>
                  <paratext>pay the Tax Liability to the Employer Company; and</paratext>
                </para>
              </subclause2>
              <subclause2 id="a599868">
                <identifier>(b)</identifier>
                <para>
                  <paratext>enter into arrangements to the satisfaction of the Company or Employer Company to pay the Tax Liability.</paratext>
                </para>
                <drafting.note id="a321581" jurisdiction="">
                  <head align="left" preservecase="true">
                    <headtext>Satisfactory arrangements</headtext>
                  </head>
                  <division id="a000100" level="1">
                    <para>
                      <paratext>The Award Holder is required to make arrangements to satisfy the Tax Liability. This is most likely to involve indicating in the Acceptance Notice or Exercise Notice a preferred method of paying the Tax Liability, such as a sell-to-cover arrangement or deduction from salary. The Employer Company is liable to account for any income tax and NICs due, but the company that operates the scheme is likely to receive the Acceptance Notice or Exercise Notice and, in many cases, be the party that determines whether arrangements to pay the Tax Liability are satisfactory.</paratext>
                    </para>
                  </division>
                </drafting.note>
              </subclause2>
            </subclause1>
            <subclause1 id="a989170">
              <identifier>23.3</identifier>
              <para>
                <paratext>If an Award Holder does not pay the Tax Liability within [seven] days of any Taxable Event the Company or Employer Company, as appropriate, may:</paratext>
              </para>
              <subclause2 id="a380838">
                <identifier>(a)</identifier>
                <para>
                  <paratext>if the relevant Taxable Event is the exercise of an Option or the Release of an Award, and the Shares are readily saleable at the time, retain and sell such number of Shares on behalf of the Award Holder as is necessary to meet the Tax Liability, and any costs of sale; or</paratext>
                </para>
              </subclause2>
              <subclause2 id="a783000">
                <identifier>(b)</identifier>
                <para>
                  <paratext>
                    deduct the amount of any Tax Liability from any payments of remuneration made to the Award Holder on or after the date on which the Tax Liability arose except that, in the case of NICs, the Employer Company may only withhold such amount as is permitted by the Social Security (Contributions) Regulations 2001 (
                    <ital>SI 2001/1004</ital>
                    ).
                  </paratext>
                </para>
              </subclause2>
              <para>
                <paratext>
                  The Award Holder's obligations under 
                  <internal.reference refid="a108464">rule 23.1</internal.reference>
                   shall not be affected by any failure of the Company or Employer Company to withhold shares or deduct from payments of remuneration under this 
                  <internal.reference refid="a989170">rule 23.3</internal.reference>
                  .
                </paratext>
              </para>
              <drafting.note id="a169989" jurisdiction="">
                <head align="left" preservecase="true">
                  <headtext>Recovering the Tax Liability</headtext>
                </head>
                <division id="a000101" level="1">
                  <para>
                    <paratext>
                      This rule is intended to give the Company, and any Employer Company, practical powers to recover the amount of any Tax Liability. When an Option is exercised or an Award is Released, the Company has control over the number of Shares delivered and, therefore, if the Shares can be sold at that time, the Company is able to sell shares to cover the Tax Liability. (Many Award Holders will opt to pay their Tax Liability by this method in any event.) For other Taxable Events, or if the Shares cannot be sold, the Employer Company needs alternative methods of recovery. The purpose of 
                      <internal.reference refid="a783000">rule 23.3(b)</internal.reference>
                       is to give the employer authority to deduct the Tax Liability from remuneration payments made to the employee in the same or subsequent tax months. However, this may not be practical if the liabilities are large and, if the employee has left, the employer will not be able to deduct any PAYE due. For more information, see 
                      <link href="5-595-6990" style="ACTLinkPLCtoPLC">
                        <ital>Practice note, Tax indemnities in share schemes documents</ital>
                      </link>
                      .
                    </paratext>
                  </para>
                  <para>
                    <paratext>
                      Under 
                      <internal.reference refid="a989170">rule 23.3</internal.reference>
                      , the Award Holder has a number of days to make good the total Tax Liability before the rights of recovery kick in. In practice, the Company will need to tell the Award Holder how much their Tax Liability is as soon after exercise as possible to give the employee time to meet their obligation to pay before the Company or Employer Company exercise their power to sell shares or deduct from remuneration.
                    </paratext>
                  </para>
                </division>
              </drafting.note>
            </subclause1>
            <subclause1 id="a260250">
              <identifier>23.4</identifier>
              <para>
                <paratext>At the request of the Employer Company at any time before the Release of a Non-Option Award or the exercise of an Option, the Award Holder must elect, to the extent permitted by law, and using a form approved by HMRC, that the whole or any part of the liability for Employer NICs arising as a result of a Taxable Event shall be transferred to the Award Holder.</paratext>
              </para>
              <drafting.note id="a177390" jurisdiction="">
                <head align="left" preservecase="true">
                  <headtext>Transfer of NICs liability</headtext>
                </head>
                <division id="a000102" level="1">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It is more common for employers and employees to agree that the employee will reimburse the Employer NICs than to enter into a formal election to transfer the Employer NICs, but this rule gives the Company, or Employer Company, the discretion to require a formal transfer of NICs if desirable. For more information, see 
                      <link href="9-204-9057#a935330" style="ACTLinkPLCtoPLC">
                        <ital>Practice note, Class 1 National Insurance Contributions (NICs) liabilities and share incentives: Joint elections to transfer employer NICs</ital>
                      </link>
                      .
                    </paratext>
                  </para>
                  <para>
                    <paratext>It is not possible to transfer Employer NICs in relation to Cash-settled Awards.</paratext>
                  </para>
                </division>
              </drafting.note>
            </subclause1>
            <subclause1 id="a880110">
              <identifier>23.5</identifier>
              <para>
                <paratext>The Employer Company [(or the Company on behalf of the Employer Company)] may:</paratext>
              </para>
              <subclause2 id="a352336">
                <identifier>(a)</identifier>
                <para>
                  <paratext>on the Grant Date, direct that the Tax Liability shall not include Employer NICs; or</paratext>
                </para>
              </subclause2>
              <subclause2 id="a166709">
                <identifier>(b)</identifier>
                <para>
                  <paratext>
                    at any time after the Grant Date, but before the Non-Option Award is Released or the Option is exercised, release the Award Holder from any obligations in respect of Employer NICs under this 
                    <internal.reference refid="a353805">rule 23</internal.reference>
                    , so that Employer NICs do not form part of the Tax Liability.
                  </paratext>
                </para>
                <drafting.note id="a92753" jurisdiction="">
                  <head align="left" preservecase="true">
                    <headtext>Employer NICs</headtext>
                  </head>
                  <division id="a000103" level="1">
                    <para>
                      <paratext>
                        The definition of Tax Liability makes the employee responsible for Employer NICs as a default, unless the Company or the Employer Company directs otherwise on the Grant Date or decides to release the Award Holder from the liability to pay Employer NICs at a later date (see 
                        <internal.reference refid="a780110">Drafting note, Tax Liability</internal.reference>
                        ).
                      </paratext>
                    </para>
                    <para>
                      <paratext>If it is intended that the power to decide whether or not Employer NICs should form part of the Tax Liability should rest solely with the Company (if different from the Employer Company), this rule should be amended accordingly.</paratext>
                    </para>
                  </division>
                </drafting.note>
              </subclause2>
            </subclause1>
            <subclause1 id="a774814">
              <identifier>23.6</identifier>
              <para>
                <paratext>It is a condition of the Release of a Non-Option Award and exercise of an Option that the Award Holder enters into a joint election, under section 431(1) or 431(2) of ITEPA 2003, in respect of the Shares to be acquired on the Release of the Award or exercise of the Option, if required to do so by the Company or Employer Company, on or before the Release of the Award or exercise of the Option.</paratext>
              </para>
              <drafting.note id="a409669" jurisdiction="">
                <head align="left" preservecase="true">
                  <headtext>Tax liabilities: restricted securities election</headtext>
                </head>
                <division id="a000104" level="1">
                  <para>
                    <paratext>The Shares will be restricted securities if they are still subject to clawback or if they are still subject to a risk of forfeiture for some other reason. In this case, future income tax charges may arise under Chapter 2 of Part 7 of ITEPA 2003, for example when the Shares are sold. The employee and employer can elect to pay income tax on the full, unrestricted market value of the Shares at exercise, taking the Shares out of the restricted securities tax regime. Although this rule includes a power for the Company to require that the employee enter into an election (as the Company may be handling all the administration at exercise), the election must be between the Employer Company and the Award Holder.</paratext>
                  </para>
                  <para>
                    <paratext>
                      For more information, see 
                      <link href="3-364-2007#a992977" style="ACTLinkPLCtoPLC">
                        <ital>Practice note, Restricted securities: Restricted securities elections: general points</ital>
                      </link>
                      .
                    </paratext>
                  </para>
                </division>
              </drafting.note>
            </subclause1>
            <subclause1 id="a1010843">
              <identifier>23.7</identifier>
              <para>
                <paratext>
                  The Acceptance Notice or Exercise Notice shall include a power of attorney appointing the Company as the Award Holder's agent and attorney for the purposes of 
                  <internal.reference refid="a989170">rule 23.3</internal.reference>
                   and 
                  <internal.reference refid="a774814">rule 23.6</internal.reference>
                  .
                </paratext>
              </para>
            </subclause1>
          </clause>
          <clause id="a939899">
            <identifier>24.</identifier>
            <head align="left" preservecase="true">
              <headtext>Relationship with employment contract</headtext>
            </head>
            <drafting.note id="a106546" jurisdiction="">
              <head align="left" preservecase="true">
                <headtext>Relationship with employment contract</headtext>
              </head>
              <division id="a000105" level="1">
                <para>
                  <paratext>It is possible, at least to some extent, to exclude losses relating to Awards and Options from claims arising from termination of employment or office. Ideally, a similar provision should also be included in the corresponding employment contract or service agreement.</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para>
                  <paratext>
                    For more information, see 
                    <link href="7-533-0285" style="ACTLinkPLCtoPLC">
                      <ital>Practice note, Micklefield clauses and compensation for loss of share plan entitlements on termination of employment</ital>
                    </link>
                    .
                  </paratext>
                </para>
              </division>
            </drafting.note>
            <subclause1 id="a608778">
              <identifier>24.1</identifier>
              <para>
                <paratext>The rights and obligations of any Award Holder under the terms of an office or employment with any Group Company or former Group Company shall not be affected by being an Award Holder.</paratext>
              </para>
            </subclause1>
            <subclause1 id="a83996">
              <identifier>24.2</identifier>
              <para>
                <paratext>The value of any benefit realised under the Plan by Award Holders shall not be taken into account in determining any pension or similar entitlements.</paratext>
              </para>
            </subclause1>
            <subclause1 id="a847440">
              <identifier>24.3</identifier>
              <para>
                <paratext>Award Holders and Employees shall have no rights to compensation or damages on account of any loss in respect of Awards or the Plan where this loss arises (or is claimed to arise), in whole or in part, from:</paratext>
              </para>
              <subclause2 id="a258488">
                <identifier>(a)</identifier>
                <para>
                  <paratext>termination of office or employment with; or</paratext>
                </para>
              </subclause2>
              <subclause2 id="a251852">
                <identifier>(b)</identifier>
                <para>
                  <paratext>notice to terminate office or employment given by or to,</paratext>
                </para>
              </subclause2>
              <para>
                <paratext>any Group Company or any former Group Company. This exclusion of liability shall apply however termination of office or employment, or the giving of notice, is caused, and however compensation or damages are claimed.</paratext>
              </para>
            </subclause1>
            <subclause1 id="a940102">
              <identifier>24.4</identifier>
              <para>
                <paratext>Award Holders and Employees shall have no rights to compensation or damages from any Group Company or any former Group Company on account of any loss in respect of Awards or the Plan where this loss arises (or is claimed to arise), in whole or in part, from:</paratext>
              </para>
              <subclause2 id="a907438">
                <identifier>(a)</identifier>
                <para>
                  <paratext>any company ceasing to be a Group Company; or</paratext>
                </para>
              </subclause2>
              <subclause2 id="a576317">
                <identifier>(b)</identifier>
                <para>
                  <paratext>the transfer of any business from a Group Company to any person that is not a Group Company.</paratext>
                </para>
              </subclause2>
              <para>
                <paratext>This exclusion of liability shall apply however the change of status of the relevant Group Company, or the transfer of the relevant business, is caused, and however compensation or damages are claimed.</paratext>
              </para>
            </subclause1>
            <subclause1 id="a199217">
              <identifier>24.5</identifier>
              <para>
                <paratext>An Employee shall not have any right to receive Awards, whether or not the Employee has previously been granted any.</paratext>
              </para>
            </subclause1>
          </clause>
          <clause id="a360067">
            <identifier>25.</identifier>
            <head align="left" preservecase="true">
              <headtext>Notices</headtext>
            </head>
            <drafting.note id="a469711" jurisdiction="">
              <head align="left" preservecase="true">
                <headtext>Notices</headtext>
              </head>
              <division id="a000106" level="1">
                <para>
                  <paratext>Companies must consider carefully how they will make any communications that may be needed under the Plan. It could be quite important to be able to make use of a wide range of methods of communication, including email, if it is likely that there may be:</paratext>
                </para>
                <list type="bulleted">
                  <list.item>
                    <para>
                      <paratext>A large number of Award Holders.</paratext>
                    </para>
                  </list.item>
                  <list.item>
                    <para>
                      <paratext>Award Holders spread over many work or residential locations.</paratext>
                    </para>
                  </list.item>
                  <list.item>
                    <para>
                      <paratext>Highly mobile Award Holders.</paratext>
                    </para>
                  </list.item>
                </list>
              </division>
            </drafting.note>
            <subclause1 id="a87327">
              <identifier>25.1</identifier>
              <para>
                <paratext>
                  Except as maintained in 
                  <internal.reference refid="a594728">rule 25.3</internal.reference>
                  , any notice or other communication given under or in connection with the Plan shall be in writing and shall be:
                </paratext>
              </para>
              <subclause2 id="a534368">
                <identifier>(a)</identifier>
                <para>
                  <paratext>
                    delivered by hand or by prepaid first-class post or other next working day delivery service at the 
                    <defn.term>Appropriate Address</defn.term>
                    ;
                  </paratext>
                </para>
                <para>
                  <paratext>
                    For the purposes of this 
                    <internal.reference refid="a87327">rule 25.1</internal.reference>
                    , the Appropriate Address means:
                  </paratext>
                </para>
                <subclause3 id="a613183">
                  <identifier>(i)</identifier>
                  <para>
                    <paratext>
                      [the Company's registered office 
                      <bold>OR</bold>
                       [OTHER ADDRESS]], provided the notice is marked for the attention of [NAME OF OFFICER];
                    </paratext>
                  </para>
                </subclause3>
                <subclause3 id="a882807">
                  <identifier>(ii)</identifier>
                  <para>
                    <paratext>an Award Holder's home address; and</paratext>
                  </para>
                </subclause3>
                <subclause3 id="a833445">
                  <identifier>(iii)</identifier>
                  <para>
                    <paratext>if the Award Holder has died, and notice of the appointment of personal representatives is given to the Company, any contact address specified in that notice.</paratext>
                  </para>
                </subclause3>
              </subclause2>
              <subclause2 id="a68435">
                <identifier>(b)</identifier>
                <para>
                  <paratext>sent by fax to the fax number notified in writing by the recipient to the sender; or</paratext>
                </para>
              </subclause2>
              <subclause2 id="a1010983">
                <identifier>(c)</identifier>
                <para>
                  <paratext>
                    sent by email to the 
                    <defn.term>Appropriate Email Address</defn.term>
                    .
                  </paratext>
                </para>
                <para>
                  <paratext>
                    For the purposes of this 
                    <internal.reference refid="a87327">rule 25.1</internal.reference>
                    , Appropriate Email Address means:
                  </paratext>
                </para>
                <subclause3 id="a448918">
                  <identifier>(i)</identifier>
                  <para>
                    <paratext>in the case of the Company, [EMAIL ADDRESS]; and</paratext>
                  </para>
                </subclause3>
                <subclause3 id="a342104">
                  <identifier>(ii)</identifier>
                  <para>
                    <paratext>in the case of an Award Holder who is permitted to access personal emails at work, the work email address.</paratext>
                  </para>
                </subclause3>
              </subclause2>
            </subclause1>
            <subclause1 id="a380785">
              <identifier>25.2</identifier>
              <para>
                <paratext>
                  Any notice or other communication given under this 
                  <internal.reference refid="a360067">rule 25</internal.reference>
                   shall be deemed to have been received:
                </paratext>
              </para>
              <subclause2 id="a605092">
                <identifier>(a)</identifier>
                <para>
                  <paratext>if delivered by hand, on signature of a delivery receipt, or at the time the notice is left at the appropriate address;</paratext>
                </para>
              </subclause2>
              <subclause2 id="a666589">
                <identifier>(b)</identifier>
                <para>
                  <paratext>if sent by prepaid first-class post or other next working day delivery service, at [9.00 am] on the [second] Business Day after posting, or at the time recorded by the delivery service;</paratext>
                </para>
              </subclause2>
              <subclause2 id="a950940">
                <identifier>(c)</identifier>
                <para>
                  <paratext>if sent by fax, at [9.00 am] on the next Business Day after transmission; and</paratext>
                </para>
              </subclause2>
              <subclause2 id="a566729">
                <identifier>(d)</identifier>
                <para>
                  <paratext>if sent by email, at [9.00 am] on the next Business Day after sending.</paratext>
                </para>
              </subclause2>
            </subclause1>
            <subclause1 id="a594728">
              <identifier>25.3</identifier>
              <para>
                <paratext>This rule does not apply to:</paratext>
              </para>
              <subclause2 id="a776311">
                <identifier>(a)</identifier>
                <para>
                  <paratext>the service of any Acceptance Notice or Exercise Notice; and</paratext>
                </para>
              </subclause2>
              <subclause2 id="a965983">
                <identifier>(b)</identifier>
                <para>
                  <paratext>the service of any proceedings or other documents in any legal action or, where applicable, any arbitration or other method of dispute resolution.</paratext>
                </para>
              </subclause2>
            </subclause1>
          </clause>
          <clause id="a343464">
            <identifier>26.</identifier>
            <head align="left" preservecase="true">
              <headtext>Administration and amendment</headtext>
            </head>
            <subclause1 id="a909574">
              <identifier>26.1</identifier>
              <para>
                <paratext>The Board shall administer the Plan.</paratext>
              </para>
            </subclause1>
            <subclause1 id="a945663">
              <identifier>26.2</identifier>
              <para>
                <paratext>The Board may amend the Plan from time to time, but:</paratext>
              </para>
              <subclause2 id="a571817">
                <identifier>(a)</identifier>
                <para>
                  <paratext>The Board may not amend the Plan if the amendment:</paratext>
                </para>
                <subclause3 id="a922362">
                  <identifier>(i)</identifier>
                  <para>
                    <paratext>applies to Awards granted before the amendment was made; and</paratext>
                  </para>
                </subclause3>
                <subclause3 id="a172079">
                  <identifier>(ii)</identifier>
                  <para>
                    <paratext>materially adversely affects the interests of Award Holders</paratext>
                  </para>
                </subclause3>
                <para>
                  <paratext>except that an Award Holder whose Awards would be adversely affected may consent to the application of the amendment to those awards.</paratext>
                </para>
                <drafting.note id="a873964" jurisdiction="">
                  <head align="left" preservecase="true">
                    <headtext>Amending existing options</headtext>
                  </head>
                  <division id="a000107" level="1">
                    <para>
                      <paratext>
                        In 
                        <link href="D-102-1802" style="ACTLinkPLCtoPLC">
                          <ital>Daniels v Lloyds Bank Plc [2018] EWHC 660 (Comm) (27 March 2018)</ital>
                        </link>
                        <ital> </ital>
                        the High Court considered whether an amendment to the rules of a plan could have an adverse effect on options already granted before the amendment was made.
                      </paratext>
                    </para>
                    <para>
                      <paratext>The court considered that clear and specific wording was necessary to allow a party to a contract (such as an option) to amend the contract unilaterally to the disadvantage of the other party. Any such wording should be construed narrowly.</paratext>
                    </para>
                    <para>
                      <paratext>
                        For more information, see 
                        <link href="w-014-0044" style="ACTLinkPLCtoPLC">
                          <ital>Legal update, LTIP shares wrongfully withheld because malus clause unlawfully applied (High Court)</ital>
                        </link>
                        .
                      </paratext>
                    </para>
                  </division>
                </drafting.note>
              </subclause2>
              <subclause2 id="a958935">
                <identifier>(b)</identifier>
                <para>
                  <paratext>While Shares are admitted to the Official List maintained by the Financial Conduct Authority, the Board may not make any amendment to the advantage of Award Holders if that amendment relates to:</paratext>
                </para>
                <subclause3 id="a157352">
                  <identifier>(i)</identifier>
                  <para>
                    <paratext>the definition of Employee;</paratext>
                  </para>
                </subclause3>
                <subclause3 id="a487613">
                  <identifier>(ii)</identifier>
                  <para>
                    <paratext>
                      <internal.reference refid="a272740">rule 5</internal.reference>
                       or 
                      <internal.reference refid="a341102">rule 6</internal.reference>
                      ; or
                    </paratext>
                  </para>
                </subclause3>
                <subclause3 id="a149855">
                  <identifier>(iii)</identifier>
                  <para>
                    <paratext>
                      <internal.reference refid="a129837">rule 22</internal.reference>
                    </paratext>
                  </para>
                </subclause3>
                <para>
                  <paratex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paratext>
                </para>
                <drafting.note id="a477802" jurisdiction="">
                  <head align="left" preservecase="true">
                    <headtext>Amending the Plan: shareholder approval</headtext>
                  </head>
                  <division id="a000108" level="1">
                    <para>
                      <paratext>This rule reflects the requirements of the LR.</paratext>
                    </para>
                  </division>
                </drafting.note>
              </subclause2>
            </subclause1>
            <subclause1 id="a219333">
              <identifier>26.3</identifier>
              <para>
                <paratext>The cost of establishing and operating the Plan shall be borne by the Group Companies in proportions determined by the Board.</paratext>
              </para>
            </subclause1>
            <subclause1 id="a967430">
              <identifier>26.4</identifier>
              <para>
                <paratext>
                  Any decision under 
                  <internal.reference refid="a714948">rule 10</internal.reference>
                  , 
                  <internal.reference refid="a391918">rule 11</internal.reference>
                  , 
                  <internal.reference refid="a527041">rule 18.5</internal.reference>
                   or 
                  <internal.reference refid="a207110">rule 19.5</internal.reference>
                  , and whether to consider making such a decision, shall be entirely at the discretion of the Board.
                </paratext>
              </para>
            </subclause1>
            <subclause1 id="a164018">
              <identifier>26.5</identifier>
              <para>
                <paratext>The Board shall determine any question of interpretation and settle any dispute arising under the Plan, including determining whether anything is material. In these matters, the Board's decision shall be final.</paratext>
              </para>
            </subclause1>
            <subclause1 id="a641316">
              <identifier>26.6</identifier>
              <para>
                <paratext>In making any decision or determination, or exercising any discretion under the rules, the Board shall act fairly and reasonably and in good faith.</paratext>
              </para>
            </subclause1>
            <subclause1 id="a809397">
              <identifier>26.7</identifier>
              <para>
                <paratext>The Company shall not be obliged to notify any Award Holder:</paratext>
              </para>
              <subclause2 id="a467111">
                <identifier>(a)</identifier>
                <para>
                  <paratext>if an Option is due to lapse; or</paratext>
                </para>
              </subclause2>
              <subclause2 id="a537835">
                <identifier>(b)</identifier>
                <para>
                  <paratext>when an Option is due to, or has, become exercisable.</paratext>
                </para>
              </subclause2>
            </subclause1>
            <subclause1 id="a323348">
              <identifier>26.8</identifier>
              <para>
                <paratext>The Company shall not be obliged to provide Award Holders with copies of any materials sent to the holders of Shares.</paratext>
              </para>
            </subclause1>
            <subclause1 id="a591241">
              <identifier>26.9</identifier>
              <para>
                <paratext>The Board may establish sub-plans to operate in overseas territories (overseas sub-plans), provided that:</paratext>
              </para>
              <subclause2 id="a431021">
                <identifier>(a)</identifier>
                <para>
                  <paratext>
                    all overseas sub-plans are subject to the limitations set out in 
                    <internal.reference refid="a272740">rule 5</internal.reference>
                     and 
                    <internal.reference refid="a341102">rule 6</internal.reference>
                    ;
                  </paratext>
                </para>
              </subclause2>
              <subclause2 id="a911681">
                <identifier>(b)</identifier>
                <para>
                  <paratext>only Employees who are resident in (or otherwise subject to the tax laws of) the relevant territory are entitled to participate in any overseas sub-plan;</paratext>
                </para>
              </subclause2>
              <subclause2 id="a204123">
                <identifier>(c)</identifier>
                <para>
                  <paratext>no Employee has an entitlement to awards under any overseas sub-plan greater than the maximum entitlement of an Employee under the Plan.</paratext>
                </para>
              </subclause2>
              <para>
                <paratext>Any overseas sub-plan must be governed by rules similar to the rules of the Plan, but modified to take account of applicable tax, social security, employment, company, exchange control, trust or securities (or any other relevant) law, regulation or practice.</paratext>
              </para>
            </subclause1>
          </clause>
          <clause id="a865806">
            <identifier>27.</identifier>
            <head align="left" preservecase="true">
              <headtext>Third party rights</headtext>
            </head>
            <drafting.note id="a431917" jurisdiction="">
              <head align="left" preservecase="true">
                <headtext>Third party rights</headtext>
              </head>
              <division id="a000109" level="1">
                <para>
                  <paratext>
                    This is a third party rights rule drafted specifically for use in employee share plans. This rule must take into account that options and awards under share plans may be granted by a person other than the company that set up the plan or the company that employs the recipient of the option or award. Therefore, this 
                    <internal.reference refid="a865806">rule 27</internal.reference>
                     differs from Practical Law's standard third party rights rule in our boilerplate agreement (see 
                    <link href="9-107-3656#a66655" style="ACTLinkPLCtoPLC">
                      <ital>Standard document, Boilerplate agreement: clause 38</ital>
                    </link>
                    ).
                  </paratext>
                </para>
                <para>
                  <paratext>
                    The Plan includes certain protections for an Award Holder's employer, which may be another Group Company rather than the Company itself. As a result, 
                    <internal.reference refid="a94160">rule 27.1</internal.reference>
                     carves out employer's rights under the Plan from the third party rights exclusion rule.
                  </paratext>
                </para>
                <para>
                  <paratext>
                    You may need to add to this 
                    <internal.reference refid="a94160">rule 27.1</internal.reference>
                    , if any other person who may not be a party to a particular Award has rights under any rule of the Plan.
                  </paratext>
                </para>
                <para>
                  <paratext>
                    For more information, see 
                    <link href="0-619-0414" style="ACTLinkPLCtoPLC">
                      <ital>Practice note, Third party rights in employee share schemes</ital>
                    </link>
                    .
                  </paratext>
                </para>
              </division>
            </drafting.note>
            <subclause1 id="a94160">
              <identifier>27.1</identifier>
              <para>
                <paratext>A person who is not a party to an Award shall not have any rights under or in connection with it as a result of the Contracts (Rights of Third Parties) Act 1999 except where these rights arise under any rule of the Plan for any Employer Company that is not a party to an Award.</paratext>
              </para>
              <para>
                <paratext>This does not affect any right or remedy of a third party that exists, or is available, apart from the Contracts (Rights of Third Parties) Act 1999.</paratext>
              </para>
            </subclause1>
            <subclause1 id="a929894">
              <identifier>27.2</identifier>
              <para>
                <paratext>The rights of the parties to an Award to surrender, terminate or rescind it, or agree any variation, waiver or settlement of it, are not subject to the consent of any person that is not a party to the Award as a result of the Contracts (Rights of Third Parties) Act 1999.</paratext>
              </para>
            </subclause1>
          </clause>
          <clause id="a363784">
            <identifier>28.</identifier>
            <head align="left" preservecase="true">
              <headtext>Data protection</headtext>
            </head>
            <drafting.note id="a754673" jurisdiction="">
              <head align="left" preservecase="true">
                <headtext>Data protection</headtext>
              </head>
              <division id="a000110" level="1">
                <para>
                  <paratext>
                    This rule is compliant with the 
                    <link href="w-026-8528" style="ACTLinkPLCtoPLC">
                      <ital>UK GDPR</ital>
                    </link>
                    . This is 
                    <link href="https://uk.practicallaw.thomsonreuters.com/w-019-6282?originationContext=document&amp;amp;transitionType=DocumentItem&amp;amp;contextData=(sc.Default)" style="ACTLinkURL">
                      <ital>retained EU law</ital>
                    </link>
                     which will remain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w-011-4217" style="ACTLinkPLCtoPLC">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26-2740" style="ACTLinkPLCtoPLC">
                      <ital>Practice note, Brexit post-transition period: data protection (UK)</ital>
                    </link>
                    .
                  </paratext>
                </para>
              </division>
            </drafting.note>
            <subclause1 id="a429757">
              <para>
                <paratext>For the purpose of operating the Plan, the Company will collect and process information relating to Employees and Award Holders in accordance with the privacy notice which is [on the Company intranet OR [SPECIFY WHERE AVAILABLE]].</paratext>
              </para>
            </subclause1>
          </clause>
          <clause id="a595944">
            <identifier>29.</identifier>
            <head align="left" preservecase="true">
              <headtext>Governing law</headtext>
            </head>
            <drafting.note id="a195200" jurisdiction="">
              <head align="left" preservecase="true">
                <headtext>Governing law</headtext>
              </head>
              <division id="a000111" level="1">
                <para>
                  <paratext>For information on governing law clauses, see:</paratext>
                </para>
                <list type="bulleted">
                  <list.item>
                    <para>
                      <paratext>
                        <link href="4-107-3852" style="ACTLinkPLCtoPLC">
                          <ital>Practice note, Governing law and jurisdiction clauses</ital>
                        </link>
                        .
                      </paratext>
                    </para>
                  </list.item>
                  <list.item>
                    <para>
                      <paratext>
                        <link href="8-107-3850" style="ACTLinkPLCtoPLC">
                          <ital>Standard clause, Governing law</ital>
                        </link>
                        .
                      </paratext>
                    </para>
                  </list.item>
                </list>
              </division>
            </drafting.note>
            <subclause1 id="a835719">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610420">
            <identifier>30.</identifier>
            <head align="left" preservecase="true">
              <headtext>Jurisdiction</headtext>
            </head>
            <drafting.note id="a199245" jurisdiction="">
              <head align="left" preservecase="true">
                <headtext>Jurisdiction</headtext>
              </head>
              <division id="a000112" level="1">
                <para>
                  <paratext>For information on jurisdiction clauses, see:</paratext>
                </para>
                <list type="bulleted">
                  <list.item>
                    <para>
                      <paratext>
                        <link href="4-107-3852" style="ACTLinkPLCtoPLC">
                          <ital>Practice note, Governing law and jurisdiction clauses</ital>
                        </link>
                        .
                      </paratext>
                    </para>
                  </list.item>
                  <list.item>
                    <para>
                      <paratext>
                        <link href="9-522-6848" style="ACTLinkPLCtoPLC">
                          <ital>Standard clause, Jurisdiction</ital>
                        </link>
                        .
                      </paratext>
                    </para>
                  </list.item>
                </list>
              </division>
            </drafting.note>
            <subclause1 id="a1005629">
              <identifier>30.1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820002">
              <identifier>30.2</identifier>
              <para>
                <paratext>
                  Each party irrevocably consents to any process in any legal action or proceedings under 
                  <internal.reference refid="a1005629">rule 30.1</internal.reference>
                   being served on it in accordance with the provisions of the Plan relating to service of notices. Nothing contained in the Plan shall affect the right to serve process in any other manner permitted by law.
                </paratext>
              </para>
            </subclause1>
          </clause>
        </operative>
        <disclosure.schedule>
          <schedule id="a426489">
            <identifier>Schedule 1</identifier>
            <head align="left" preservecase="true">
              <headtext>The CSOP sub-plan</headtext>
            </head>
            <drafting.note id="a902091" jurisdiction="">
              <head align="left" preservecase="true">
                <headtext>CSOP sub-plan</headtext>
              </head>
              <division id="a000113" level="1">
                <para>
                  <paratext>A CSOP is a form of tax-advantaged share option plan. It enables the company to grant options where the employee has the opportunity to exercise the option without an income tax liability.</paratext>
                </para>
                <para>
                  <paratext>Options granted under the CSOP sub-plan should qualify as CSOP options.</paratext>
                </para>
                <para>
                  <paratext>
                    The legislation that governs CSOPs is called the CSOP code (see 
                    <link href="1-503-4424#a83152" style="ACTLinkPLCtoPLC">
                      <ital>Practice note, Practical Law Share Schemes &amp; Incentives jargon buster: types of share incentive arrangement and tax terminology: CSOP code</ital>
                    </link>
                    ).
                  </paratext>
                </para>
                <para>
                  <paratext>
                    For more information on CSOPs, see 
                    <link href="1-580-2966" style="ACTLinkPLCtoPLC">
                      <ital>Practice note, Company share option plans (CSOPs): overview</ital>
                    </link>
                    .
                  </paratext>
                </para>
              </division>
            </drafting.note>
            <clause id="a712040">
              <identifier>1.</identifier>
              <head align="left" preservecase="true">
                <headtext>Interpretation</headtext>
              </head>
              <drafting.note id="a428068" jurisdiction="">
                <head align="left" preservecase="true">
                  <headtext>Interpretation</headtext>
                </head>
                <division id="a000114" level="1">
                  <para>
                    <paratext>
                      <internal.reference refid="a712040">paragraph 1</internal.reference>
                       sets out various definitions from the CSOP code that are necessary for operation of the CSOP sub-plan.
                    </paratext>
                  </para>
                </division>
              </drafting.note>
              <subclause1 id="a765447">
                <para>
                  <paratext>The following definitions apply in the CSOP sub-plan</paratext>
                </para>
                <defn.item id="a806391">
                  <defn.term>Acquiring Company</defn.term>
                  <defn>
                    <para>
                      <paratext>has the same meaning as in paragraph 26(2) of Schedule 4.</paratext>
                    </para>
                  </defn>
                </defn.item>
                <defn.item id="a911321">
                  <defn.term>Associate</defn.term>
                  <defn>
                    <para>
                      <paratext>has the same meaning as in paragraph 12 of Schedule 4.</paratext>
                    </para>
                  </defn>
                </defn.item>
                <defn.item id="a150700">
                  <defn.term>Associated Company</defn.term>
                  <defn>
                    <para>
                      <paratext>has the same meaning as in paragraph 35 of Schedule 4.</paratext>
                    </para>
                  </defn>
                </defn.item>
                <defn.item id="a805049">
                  <defn.term>Company Reorganisation</defn.term>
                  <defn>
                    <para>
                      <paratext>has the same meaning as in paragraph 26 of Schedule 4.</paratext>
                    </para>
                  </defn>
                </defn.item>
                <defn.item id="a155898">
                  <defn.term>Constituent Company</defn.term>
                  <defn>
                    <para>
                      <paratext>any Subsidiary which the Company Controls and which the Board may from time to time decide that the Plan shall extend to.</paratext>
                    </para>
                  </defn>
                </defn.item>
                <defn.item id="a890716">
                  <defn.term>CSOP sub-plan</defn.term>
                  <defn>
                    <para>
                      <paratext>
                        the Plan as varied in accordance with 
                        <internal.reference refid="a426489">Schedule 1</internal.reference>
                        .
                      </paratext>
                    </para>
                  </defn>
                </defn.item>
                <defn.item id="a450513">
                  <defn.term>Eligible Employee</defn.term>
                  <defn>
                    <para>
                      <paratext>any Employee who:</paratext>
                    </para>
                    <list type="loweralpha">
                      <list.item>
                        <para>
                          <paratext>does not have a Material Interest (either alone or together with one or more Associates), and has not had such an interest in the last 12 months; and</paratext>
                        </para>
                      </list.item>
                      <list.item>
                        <para>
                          <paratext>has no Associate or Associates that has or (taken together) have a Material Interest, or had such an interest in the last 12 months; and</paratext>
                        </para>
                      </list.item>
                      <list.item>
                        <para>
                          <paratext>is either:</paratext>
                        </para>
                      </list.item>
                    </list>
                    <para>
                      <paratext>(i)  not a director of any Constituent Company; or</paratext>
                    </para>
                    <para>
                      <paratext>(ii)  a director of a Constituent Company who is required to devote at least 25 hours per week (excluding meal breaks) to those duties.</paratext>
                    </para>
                  </defn>
                </defn.item>
                <defn.item id="a284670">
                  <defn.term>Existing CSOP Option</defn.term>
                  <defn>
                    <para>
                      <paratext>a CSOP Option or an option granted under any other Schedule 4 CSOP scheme that has been established by the Company or any of its Associated Companies.</paratext>
                    </para>
                  </defn>
                </defn.item>
                <defn.item id="a969258">
                  <defn.term>Market Value</defn.term>
                  <defn>
                    <para>
                      <paratext>
                        has the same meaning as in paragraph (a) or paragraph (d) of the definition of 
                        <internal.reference refid="a885893">Market Value</internal.reference>
                         in 
                        <internal.reference refid="a336895">rule 1.1</internal.reference>
                         as the case may be, save that if the Shares are subject to a Relevant Restriction, Market Value is to be determined as if they were not subject to that Relevant Restriction.
                      </paratext>
                    </para>
                  </defn>
                </defn.item>
                <defn.item id="a383233">
                  <defn.term>Material Interest</defn.term>
                  <defn>
                    <para>
                      <paratext>has the same meaning as in paragraph 9 of Schedule 4.</paratext>
                    </para>
                  </defn>
                </defn.item>
                <defn.item id="a834766">
                  <defn.term>Non-UK Reorganisation Arrangement</defn.term>
                  <defn>
                    <para>
                      <paratext>has the same meaning as in paragraph 35ZA of Schedule 4.</paratext>
                    </para>
                  </defn>
                </defn.item>
                <defn.item id="a807457">
                  <defn.term>Relevant Restriction</defn.term>
                  <defn>
                    <para>
                      <paratext>a provision contained in any contract, agreement, arrangement or condition (including the articles of association of the Company) to which any of section 423(2), section 423(3) and section 423(4) of ITEPA 2003 would apply if references in them to employment-related securities were references to Shares.</paratext>
                    </para>
                  </defn>
                </defn.item>
                <defn.item id="a988991">
                  <defn.term>Schedule 4</defn.term>
                  <defn>
                    <para>
                      <paratext>Schedule 4 to ITEPA 2003.</paratext>
                    </para>
                  </defn>
                </defn.item>
                <defn.item id="a709580">
                  <defn.term>Schedule 4 CSOP scheme</defn.term>
                  <defn>
                    <para>
                      <paratext>has the same meaning as in paragraph 1(A1) of Schedule 4.</paratext>
                    </para>
                  </defn>
                </defn.item>
              </subclause1>
            </clause>
            <clause id="a967191">
              <identifier>2.</identifier>
              <head align="left" preservecase="true">
                <headtext>Plan takes effect as a Schedule 4 CSOP scheme</headtext>
              </head>
              <drafting.note id="a426598" jurisdiction="">
                <head align="left" preservecase="true">
                  <headtext>Plan takes effect as a Schedule 4 CSOP scheme</headtext>
                </head>
                <division id="a000115" level="1">
                  <para>
                    <paratext>
                      <internal.reference refid="a967191">paragraph 2</internal.reference>
                       states that the CSOP sub-plan is intended to be a Schedule 4 CSOP scheme. All the rules set out in the main Plan apply also to options granted under the CSOP sub-plan, except where they are varied by 
                      <internal.reference refid="a426489">Schedule 1</internal.reference>
                      .
                    </paratext>
                  </para>
                  <para>
                    <paratext>
                      The Company must give notice of the CSOP sub-plan to HMRC. This is sometimes referred to as "registering" the scheme. (See 
                      <link href="7-603-1105" style="ACTLinkPLCtoPLC">
                        <ital>Practice note, Tax-advantaged share schemes (CSOP, SIP and SAYE) compliance: notification (self-certification) and annual reporting</ital>
                      </link>
                      .)
                    </paratext>
                  </para>
                </division>
              </drafting.note>
              <subclause1 id="a345083">
                <identifier>2.1</identifier>
                <para>
                  <paratext>
                    <internal.reference refid="a426489">Schedule 1</internal.reference>
                     specifies variations to the Plan and the way it is operated. The Plan as so varied is referred as the CSOP sub-plan. It takes effect as a Schedule 4 CSOP scheme.
                  </paratext>
                </para>
              </subclause1>
              <subclause1 id="a1001387">
                <identifier>2.2</identifier>
                <para>
                  <paratext>The Company shall give notice of the CSOP sub-plan to HMRC in accordance with paragraph 28A of Schedule 4.</paratext>
                </para>
              </subclause1>
            </clause>
            <clause id="a336554">
              <identifier>3.</identifier>
              <head align="left" preservecase="true">
                <headtext>General requirements</headtext>
              </head>
              <drafting.note id="a636179" jurisdiction="">
                <head align="left" preservecase="true">
                  <headtext>General requirements</headtext>
                </head>
                <division id="a000116" level="1">
                  <para>
                    <paratext>
                      <internal.reference refid="a336554">paragraph 3</internal.reference>
                       contains the requirements for CSOP Options that are set out in Parts 2, 3 and 4 of Schedule 4. For more information on these requirements, see 
                      <link href="8-580-3552" style="ACTLinkPLCtoPLC">
                        <ital>Practice note, Company share option plans (CSOPs): statutory requirements for setting up and operating a CSOP</ital>
                      </link>
                      . In particular, no Award Holder may hold unexercised CSOP Options over Shares with a Market Value, measured at the Grant Date, of more than £30,000.
                    </paratext>
                  </para>
                </division>
              </drafting.note>
              <subclause1 id="a65476">
                <identifier>3.1</identifier>
                <para>
                  <paratext>Only Market Value Options may be granted under the CSOP Sub-Plan.</paratext>
                </para>
              </subclause1>
              <subclause1 id="a144290">
                <identifier>3.2</identifier>
                <para>
                  <paratext>
                    <internal.reference refid="a309757">rule 16</internal.reference>
                     shall not apply to CSOP Options.
                  </paratext>
                </para>
              </subclause1>
              <subclause1 id="a642267">
                <identifier>3.3</identifier>
                <para>
                  <paratext>The Company may grant a CSOP Option only to a person who at the Grant Date is an Eligible Employee.</paratext>
                </para>
              </subclause1>
              <subclause1 id="a413914">
                <identifier>3.4</identifier>
                <para>
                  <paratext>The Company may grant a CSOP Option only over Shares that meet the requirements of paragraphs 16 to 18 and paragraph 20 of Schedule 4.</paratext>
                </para>
              </subclause1>
              <subclause1 id="a364553">
                <identifier>3.5</identifier>
                <para>
                  <paratext>
                    If the grant of any share option intended to be a CSOP Option (referred to in this 
                    <internal.reference refid="a364553">paragraph 3.5</internal.reference>
                     as the 
                    <defn.term>Excess Option</defn.term>
                    ) would cause the total Market Value of shares subject to:
                  </paratext>
                </para>
                <subclause2 id="a247058">
                  <identifier>(a)</identifier>
                  <para>
                    <paratext>the Excess Option; and</paratext>
                  </para>
                </subclause2>
                <subclause2 id="a599542">
                  <identifier>(b)</identifier>
                  <para>
                    <paratext>all Existing CSOP Options held by the relevant Eligible Employee</paratext>
                  </para>
                </subclause2>
                <para>
                  <paratext>to exceed £30,000 (or any other amount specified in paragraph 6 of Schedule 4 at the relevant time), the whole of that Excess Option shall take effect as a Market Value Option granted outside the CSOP sub-plan and without the tax advantages available for CSOP Options.</paratext>
                </para>
              </subclause1>
              <subclause1 id="a542090">
                <identifier>3.6</identifier>
                <para>
                  <paratext>
                    References to Market Value in 
                    <internal.reference refid="a364553">paragraph 3.5</internal.reference>
                     are to the Market Value on the date on which the relevant option was granted.
                  </paratext>
                </para>
              </subclause1>
            </clause>
            <clause id="a980024">
              <identifier>4.</identifier>
              <head align="left" preservecase="true">
                <headtext>Requirements relating to Options</headtext>
              </head>
              <drafting.note id="a725675" jurisdiction="">
                <head align="left" preservecase="true">
                  <headtext>Requirements relating to Options</headtext>
                </head>
                <division id="a000117" level="1">
                  <para>
                    <paratext>
                      <internal.reference refid="a980024">paragraph 4</internal.reference>
                       contains the requirements for CSOP Options that are set out in 
                      <link href="6-573-1387" style="ACTLinkPLCtoPLC">
                        <ital>paragraphs 21A to 25</ital>
                      </link>
                       of Schedule 4. For more information on these requirements, see 
                      <link href="8-580-3552" style="ACTLinkPLCtoPLC">
                        <ital>Practice note, Company share option plans (CSOPs): statutory requirements for setting up and operating a CSOP</ital>
                      </link>
                      .
                    </paratext>
                  </para>
                </division>
              </drafting.note>
              <subclause1 id="a400642">
                <identifier>4.1</identifier>
                <para>
                  <paratext>
                    In addition to the matters required by 
                    <internal.reference refid="a959101">rule 2.4</internal.reference>
                    , an Award Certificate relating to a CSOP Option shall state:
                  </paratext>
                </para>
                <subclause2 id="a873211">
                  <identifier>(a)</identifier>
                  <para>
                    <paratext>that the CSOP Option is granted under the provisions of Schedule 4;</paratext>
                  </para>
                </subclause2>
                <subclause2 id="a986661">
                  <identifier>(b)</identifier>
                  <para>
                    <paratext>the times at which the CSOP Option may be exercised (in whole or in part); and</paratext>
                  </para>
                </subclause2>
                <subclause2 id="a911891">
                  <identifier>(c)</identifier>
                  <para>
                    <paratext>the circumstances under which the CSOP Option will lapse or be cancelled (in whole or in part).</paratext>
                  </para>
                </subclause2>
              </subclause1>
              <subclause1 id="a136200">
                <identifier>4.2</identifier>
                <para>
                  <paratext>The Exercise Price of a CSOP Option shall not be less than the Market Value of a Share on the Grant Date.</paratext>
                </para>
              </subclause1>
              <subclause1 id="a197697">
                <identifier>4.3</identifier>
                <para>
                  <paratext>
                    <internal.reference refid="a129837">rule 22</internal.reference>
                     shall apply to CSOP Options with the following variations:
                  </paratext>
                </para>
                <subclause2 id="a482048">
                  <identifier>(a)</identifier>
                  <para>
                    <paratext>the payment by the Company of a special dividend, or a demerger of a Group Company, or any other extraordinary distribution to shareholders is not an event that permits the Board to adjust a CSOP Option;</paratext>
                  </para>
                </subclause2>
                <subclause2 id="a137176">
                  <identifier>(b)</identifier>
                  <para>
                    <paratext>
                      <internal.reference refid="a919478">rule 22.3</internal.reference>
                       shall not apply to CSOP Options;
                    </paratext>
                  </para>
                </subclause2>
                <subclause2 id="a894574">
                  <identifier>(c)</identifier>
                  <para>
                    <paratext>the Board may adjust the Exercise Price only in accordance with the provisions of paragraph 22 of Schedule 4;</paratext>
                  </para>
                </subclause2>
                <subclause2 id="a922573">
                  <identifier>(d)</identifier>
                  <para>
                    <paratext>the Board may adjust the number of Shares only in accordance with either paragraph 22 of Schedule 4 or a mechanism notified to the Award Holder on the Grant Date;</paratext>
                  </para>
                </subclause2>
                <subclause2 id="a104156">
                  <identifier>(e)</identifier>
                  <para>
                    <paratext>the total Market Value of the Shares subject to the CSOP Option, immediately after the variation of share capital, must be substantially the same as immediately before the variation of share capital; and</paratext>
                  </para>
                </subclause2>
                <subclause2 id="a293829">
                  <identifier>(f)</identifier>
                  <para>
                    <paratext>the total amount payable on exercise of a CSOP Option immediately after the variation of share Capital must be substantially the same as immediately before the variation of share capital.</paratext>
                  </para>
                </subclause2>
              </subclause1>
              <subclause1 id="a193652">
                <identifier>4.4</identifier>
                <para>
                  <paratext>The personal representatives of an Award Holder who dies may under no circumstances exercise a CSOP Option more than 12 months after the Award Holder's death.</paratext>
                </para>
              </subclause1>
            </clause>
            <clause id="a759762">
              <identifier>5.</identifier>
              <head align="left" preservecase="true">
                <headtext>Change of Control</headtext>
              </head>
              <drafting.note id="a593454" jurisdiction="">
                <head align="left" preservecase="true">
                  <headtext>Change of Control</headtext>
                </head>
                <division id="a000118" level="1">
                  <para>
                    <paratext>
                      <internal.reference refid="a759762">paragraph 5</internal.reference>
                       gives effect to the requirements of 
                      <link href="0-535-5991" style="ACTLinkPLCtoPLC">
                        <ital>paragraph 25A</ital>
                      </link>
                       of Schedule 4. This sets out the terms on which an Award Holder can exercise a CSOP Option following a change of Control and retain the tax advantages. For more information, see 
                      <link href="8-580-3552#a252293" style="ACTLinkPLCtoPLC">
                        <ital>Practice note, Company share option plans (CSOPs): statutory requirements for setting up and operating a CSOP: Corporate events</ital>
                      </link>
                      <ital>.</ital>
                    </paratext>
                  </para>
                </division>
              </drafting.note>
              <subclause1 id="a61431">
                <identifier>5.1</identifier>
                <para>
                  <paratext>
                    <internal.reference refid="a1037750">rule 20</internal.reference>
                     is varied to the extent necessary to give effect to the following provisions of 
                    <internal.reference refid="a759762">paragraph 5</internal.reference>
                    .
                  </paratext>
                </para>
              </subclause1>
              <subclause1 id="a422005">
                <identifier>5.2</identifier>
                <para>
                  <paratext>An Award Holder may exercise a CSOP Option in relation to the Releasable Number of Shares if the Acquiror obtains Control of the Company as a result of making an offer falling within paragraph 25A(3) of Schedule 4. The period within which the Award Holder may exercise the CSOP Option shall begin when any condition subject to which the offer is made has been satisfied and shall end on the first to expire of:</paratext>
                </para>
                <subclause2 id="a809123">
                  <identifier>(a)</identifier>
                  <para>
                    <paratext>six months; or</paratext>
                  </para>
                </subclause2>
                <subclause2 id="a178925">
                  <identifier>(b)</identifier>
                  <para>
                    <paratext>if, as a result of the change of Control, Shares no longer satisfy the requirements of Part 4 of Schedule 4, 20 days.</paratext>
                  </para>
                </subclause2>
                <para>
                  <paratext>The CSOP Option shall lapse at the end of that period.</paratext>
                </para>
              </subclause1>
              <subclause1 id="a69521">
                <identifier>5.3</identifier>
                <para>
                  <paratext>An Award Holder may exercise a CSOP Option in relation to the Releasable Number of Shares if the court sanctions a compromise or arrangement under either section 899 or section 901F of the Companies Act 2006 that is applicable to or affects:</paratext>
                </para>
                <subclause2 id="a866575">
                  <identifier>(a)</identifier>
                  <para>
                    <paratext>all the ordinary share capital of the Company or all the Shares of the same class as the Shares to which the CSOP Option relates; or</paratext>
                  </para>
                </subclause2>
                <subclause2 id="a475411">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of the court sanction and shall end on the first to expire of:</paratext>
                </para>
                <subclause2 id="a648904">
                  <identifier>(c)</identifier>
                  <para>
                    <paratext>six months; or</paratext>
                  </para>
                </subclause2>
                <subclause2 id="a659585">
                  <identifier>(d)</identifier>
                  <para>
                    <paratext>if the Acquiror obtains Control as a result of the compromise or arrangement, and consequently Shares no longer satisfy the requirements of Part 4 of Schedule 4, 20 days.</paratext>
                  </para>
                </subclause2>
                <para>
                  <paratext>The CSOP Option shall lapse at the end of that period.</paratext>
                </para>
              </subclause1>
              <subclause1 id="a627541">
                <identifier>5.4</identifier>
                <para>
                  <paratext>An Award Holder may exercise a CSOP Option in relation to the Releasable Number of Shares if shareholders become bound by a Non-UK Reorganisation Arrangement that is applicable to or affects:</paratext>
                </para>
                <subclause2 id="a723673">
                  <identifier>(a)</identifier>
                  <para>
                    <paratext>all the ordinary share capital of the Company or all the Shares of the same class as the Shares to which the Option relates; or</paratext>
                  </para>
                </subclause2>
                <subclause2 id="a435277">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the non-UK reorganisation arrangement becomes binding on shareholders and shall end on the first to expire of:</paratext>
                </para>
                <subclause2 id="a300465">
                  <identifier>(c)</identifier>
                  <para>
                    <paratext>six months; or</paratext>
                  </para>
                </subclause2>
                <subclause2 id="a439322">
                  <identifier>(d)</identifier>
                  <para>
                    <paratext>if the Acquiror obtains Control as a result of the non-UK reorganisation arrangement, and consequently Shares no longer satisfy the requirements of Part 4 of Schedule 4, 20 days.</paratext>
                  </para>
                </subclause2>
                <para>
                  <paratext>The CSOP Option shall lapse at the end of that period.</paratext>
                </para>
              </subclause1>
              <subclause1 id="a1022750">
                <identifier>5.5</identifier>
                <para>
                  <paratext>If a person who is bound or entitled to acquire Shares under sections 979 to 982 or 983 to 985 of the Companies Act 2006 obtains Control of the Company, and consequently Shares no longer satisfy the requirements of Part 4 of Schedule 4, Award Holders may exercise CSOP Options within the period of 20 days following the change of Control. If a CSOP Option is not exercised, it will lapse at the expiry of 20 days following the change of Control or, if earlier, the end of the period during which the person is so bound or entitled.</paratext>
                </para>
              </subclause1>
              <subclause1 id="a272466">
                <identifier>5.6</identifier>
                <para>
                  <paratext>
                    If the Board reasonably expects any of the events referred to in 
                    <internal.reference refid="a422005">paragraph 5.2</internal.reference>
                     to 
                    <internal.reference refid="a1022750">paragraph 5.5</internal.reference>
                     to occur, the Board may make arrangements permitting Award Holders to exercise CSOP Options during a period of 20 days ending with:
                  </paratext>
                </para>
                <subclause2 id="a257740">
                  <identifier>(a)</identifier>
                  <para>
                    <paratext>
                      in relation to 
                      <internal.reference refid="a422005">paragraph 5.2</internal.reference>
                      , the date on which the Acquiror obtains Control and any condition subject to which the offer is made has been satisfied;
                    </paratext>
                  </para>
                </subclause2>
                <subclause2 id="a567498">
                  <identifier>(b)</identifier>
                  <para>
                    <paratext>
                      in relation to 
                      <internal.reference refid="a69521">paragraph 5.3</internal.reference>
                      , the date of the court sanction;
                    </paratext>
                  </para>
                </subclause2>
                <subclause2 id="a638222">
                  <identifier>(c)</identifier>
                  <para>
                    <paratext>
                      in relation to 
                      <internal.reference refid="a627541">paragraph 5.4</internal.reference>
                      , the date the Non-UK Reorganisation Arrangement becomes binding on shareholders; and
                    </paratext>
                  </para>
                </subclause2>
                <subclause2 id="a691629">
                  <identifier>(d)</identifier>
                  <para>
                    <paratext>
                      in relation to 
                      <internal.reference refid="a1022750">paragraph 5.5</internal.reference>
                      , the date on which the person becomes bound or entitled to acquire Shares.
                    </paratext>
                  </para>
                </subclause2>
                <para>
                  <paratext>
                    An Award Holder who exercises a CSOP Option under this 
                    <internal.reference refid="a272466">paragraph 5.6</internal.reference>
                     will be treated as having exercised it in accordance with 
                    <internal.reference refid="a422005">paragraph 5.2</internal.reference>
                     to 
                    <internal.reference refid="a1022750">paragraph 5.5</internal.reference>
                     as the case may be.
                  </paratext>
                </para>
                <para>
                  <paratext>
                    If the Board makes arrangements for the exercise of CSOP Options under 
                    <internal.reference refid="a272466">paragraph 5.6</internal.reference>
                     and the expected event does not occur within 20 days of the date of purported exercise, the purported exercise of the CSOP Option shall be treated as having had no effect.
                  </paratext>
                </para>
              </subclause1>
            </clause>
            <clause id="a531409">
              <identifier>6.</identifier>
              <head align="left" preservecase="true">
                <headtext>Exchange of CSOP Options</headtext>
              </head>
              <drafting.note id="a137885" jurisdiction="">
                <head align="left" preservecase="true">
                  <headtext>Exchange of CSOP Options</headtext>
                </head>
                <division id="a000119" level="1">
                  <para>
                    <paratext>
                      <internal.reference refid="a531409">paragraph 6</internal.reference>
                       gives effect to Part 6 of Schedule 4. For more information on this, see 
                      <link href="8-580-3552#a615662" style="ACTLinkPLCtoPLC">
                        <ital>Practice note, Company share option plans (CSOPs): statutory requirements for setting up and operating a CSOP: Exchange of options (rollover)</ital>
                      </link>
                      .
                    </paratext>
                  </para>
                </division>
              </drafting.note>
              <subclause1 id="a1012068">
                <identifier>6.1</identifier>
                <para>
                  <paratext>
                    <internal.reference refid="a580292">rule 21</internal.reference>
                     is varied to the extent necessary to give effect to the following provisions of this 
                    <internal.reference refid="a531409">paragraph 6</internal.reference>
                    .
                  </paratext>
                </para>
              </subclause1>
              <subclause1 id="a304510">
                <identifier>6.2</identifier>
                <para>
                  <paratext>
                    If the Company is affected by a Company Reorganisation then an Award Holder may agree with the Acquiring Company within the Rollover Period to release a CSOP Option (
                    <defn.term>Old Option</defn.term>
                    ) in consideration of being granted a new option (
                    <defn.term>New Option</defn.term>
                    ).
                  </paratext>
                </para>
              </subclause1>
              <subclause1 id="a161608">
                <identifier>6.3</identifier>
                <para>
                  <paratext>A New Option shall:</paratext>
                </para>
                <subclause2 id="a855894">
                  <identifier>(a)</identifier>
                  <para>
                    <paratext>be over shares that satisfy the requirements of paragraphs 16 to 20 of Schedule 4 in the Acquiring Company (or some other company falling within paragraph 27(2)(b) of Schedule 4);</paratext>
                  </para>
                </subclause2>
                <subclause2 id="a241876">
                  <identifier>(b)</identifier>
                  <para>
                    <paratext>be a right to acquire such number of those shares as have, immediately after grant of the New Option, a total Market Value substantially the same as the total Market Value of the shares subject to the Old Option immediately before its release;</paratext>
                  </para>
                </subclause2>
                <subclause2 id="a287193">
                  <identifier>(c)</identifier>
                  <para>
                    <paratext>have an exercise price per share such that the total price payable on complete exercise of the New Option is substantially the same as the total price that would have been payable on complete exercise of the Old Option; and</paratext>
                  </para>
                </subclause2>
                <subclause2 id="a682402">
                  <identifier>(d)</identifier>
                  <para>
                    <paratext>so far as practicable, be on terms otherwise identical to the Old Option immediately before the Old Option's release.</paratext>
                  </para>
                </subclause2>
              </subclause1>
              <subclause1 id="a231195">
                <identifier>6.4</identifier>
                <para>
                  <paratext>Any Rollover Period shall have the same duration as the applicable appropriate period defined in paragraph 26(3) of Schedule 4.</paratext>
                </para>
              </subclause1>
              <subclause1 id="a319237">
                <identifier>6.5</identifier>
                <para>
                  <paratext>
                    Any New Option granted under 
                    <internal.reference refid="a304510">paragraph 6.2</internal.reference>
                     shall be treated as having been acquired at the same time as the relevant Old Option for all other purposes of the Plan.
                  </paratext>
                </para>
              </subclause1>
              <subclause1 id="a586270">
                <identifier>6.6</identifier>
                <para>
                  <paratext>The Plan shall be interpreted in relation to any New Options as if references to:</paratext>
                </para>
                <subclause2 id="a785170">
                  <identifier>(a)</identifier>
                  <para>
                    <paratext>the Company (except for those in the definition of Constituent Company) were references to the Acquiring Company (or to any other company whose shares are subject to the New Options, as the context may require); and</paratext>
                  </para>
                </subclause2>
                <subclause2 id="a188470">
                  <identifier>(b)</identifier>
                  <para>
                    <paratext>the Shares were references to the shares subject to the New Options.</paratext>
                  </para>
                </subclause2>
              </subclause1>
              <subclause1 id="a447412">
                <identifier>6.7</identifier>
                <para>
                  <paratext>
                    The Company will remain the scheme organiser of the Plan (as defined in paragraph 2(2) of Schedule 4) following the release of Options and the grant of New Options under 
                    <internal.reference refid="a304510">paragraph 6.2</internal.reference>
                    .
                  </paratext>
                </para>
              </subclause1>
              <subclause1 id="a201742">
                <identifier>6.8</identifier>
                <para>
                  <paratext>The Acquiring Company shall issue (or procure the issue of) an Award Certificate for each New Option.</paratext>
                </para>
              </subclause1>
            </clause>
            <clause id="a938753">
              <identifier>7.</identifier>
              <head align="left" preservecase="true">
                <headtext>Other provisions</headtext>
              </head>
              <subclause1 id="a462139">
                <identifier>7.1</identifier>
                <para>
                  <paratext>Any Performance Condition applying to a CSOP Option shall be an objective measure of the performance of:</paratext>
                </para>
                <subclause2 id="a891983">
                  <identifier>(a)</identifier>
                  <para>
                    <paratext>the Company;</paratext>
                  </para>
                </subclause2>
                <subclause2 id="a868029">
                  <identifier>(b)</identifier>
                  <para>
                    <paratext>the Award Holder; or</paratext>
                  </para>
                </subclause2>
                <subclause2 id="a408732">
                  <identifier>(c)</identifier>
                  <para>
                    <paratext>a business unit of which the Award Holder is a part.</paratext>
                  </para>
                </subclause2>
              </subclause1>
              <subclause1 id="a1052203">
                <identifier>7.2</identifier>
                <para>
                  <paratext>
                    The Board may exercise its power under 
                    <internal.reference refid="a858924">rule 3.2</internal.reference>
                     to vary or waive a Performance Condition applying to a CSOP Option only if events occur that cause:
                  </paratext>
                </para>
                <subclause2 id="a387370">
                  <identifier>(a)</identifier>
                  <para>
                    <paratext>the CSOP Option to become exercisable before the end of the Performance Period and the original Performance Condition cannot reasonably be applied to the shortened time period; or</paratext>
                  </para>
                </subclause2>
                <subclause2 id="a116292">
                  <identifier>(b)</identifier>
                  <para>
                    <paratext>the Board to decide that the Performance Condition is no longer an appropriate measure of performance.</paratext>
                  </para>
                </subclause2>
              </subclause1>
              <subclause1 id="a195106">
                <identifier>7.3</identifier>
                <para>
                  <paratext>
                    In relation to a CSOP Option, the following wording shall be substituted for 
                    <internal.reference refid="a757512">rule 18.4(f)</internal.reference>
                    :
                  </paratext>
                </para>
                <para>
                  <paratext>"the Constituent Company that employs the Award Holder ceasing to be Controlled by the Company".</paratext>
                </para>
              </subclause1>
              <subclause1 id="a693083">
                <identifier>7.4</identifier>
                <para>
                  <paratext>
                    In relation to a CSOP Option, the following wording shall be substituted for 
                    <internal.reference refid="a1024545">rule 18.4(g)</internal.reference>
                    :
                  </paratext>
                </para>
                <para>
                  <paratext>
                    "a relevant transfer within the meaning of the Transfer of Undertakings (Protection of Employment) Regulations 2006 (
                    <ital>SI 2006/246</ital>
                    )".
                  </paratext>
                </para>
              </subclause1>
              <subclause1 id="a199151">
                <identifier>7.5</identifier>
                <para>
                  <paratext>The Board may not amend a key feature of the Plan if, as a result of the amendment, the CSOP sub-plan would no longer be a Schedule 4 CSOP scheme. A key feature is any provision of the Plan that is necessary to meet the requirements of Schedule 4.</paratext>
                </para>
              </subclause1>
            </clause>
          </schedule>
          <schedule id="a415369">
            <identifier>Schedule 2</identifier>
            <head align="left" preservecase="true">
              <headtext>US Taxpayers</headtext>
            </head>
            <clause id="a297874">
              <identifier>1.</identifier>
              <head align="left" preservecase="true">
                <headtext>Purpose and interpretation</headtext>
              </head>
              <subclause1 id="a650358">
                <identifier>1.1</identifier>
                <para>
                  <paratext>
                    <internal.reference refid="a415369">Schedule 2</internal.reference>
                     contains provisions which modify the Plan in relation to Award Holders who are US Taxpayers. 
                    <internal.reference refid="a415369">Schedule 2</internal.reference>
                     provides for the grant of Incentive Stock Options. For the avoidance of doubt, 
                    <internal.reference refid="a415369">Schedule 2</internal.reference>
                     has no application to Award Holders who are not US Taxpayers.
                  </paratext>
                </para>
              </subclause1>
              <subclause1 id="a592906">
                <identifier>1.2</identifier>
                <para>
                  <paratext>
                    The following definitions apply in 
                    <internal.reference refid="a415369">Schedule 2</internal.reference>
                    .
                  </paratext>
                </para>
                <defn.item id="a279136">
                  <defn.term>Affiliate</defn.term>
                  <defn>
                    <para>
                      <paratext>a company or other entity that, directly or through one or more intermediaries, controls, is controlled by or is under common control with, the Company.</paratext>
                    </para>
                  </defn>
                </defn.item>
                <defn.item id="a590152">
                  <defn.term>Code</defn.term>
                  <defn>
                    <para>
                      <paratext>the United States Internal Revenue Code of 1986, as amended from time to time.</paratext>
                    </para>
                  </defn>
                </defn.item>
                <defn.item id="a891222">
                  <defn.term>Eligible Employee</defn.term>
                  <defn>
                    <para>
                      <paratext>an employee of the Company or a parent or subsidiary corporation within the meaning of Section 424 of the Code.</paratext>
                    </para>
                  </defn>
                </defn.item>
                <defn.item id="a143422">
                  <defn.term>Fair Market Value</defn.term>
                  <defn>
                    <para>
                      <paratext>on any date, the value of a Share as determined below. If the Shares are listed on the London Stock Exchange, the Fair Market Value shall be the closing price of a Share (or if no sales were reported, the closing price on the date immediately preceding such date) as quoted on such exchange on the day of determination, as reported in the Daily Official List. In the absence of an established market for the Shares, the Fair Market Value shall be determined in good faith by the Board and such determination shall be conclusive and binding on all persons.</paratext>
                    </para>
                  </defn>
                </defn.item>
                <defn.item id="a232039">
                  <defn.term>Incentive Stock Option</defn.term>
                  <defn>
                    <para>
                      <paratext>a Market Value Option intended to qualify as an incentive stock option within the meaning of Section 422 of the Code.</paratext>
                    </para>
                  </defn>
                </defn.item>
                <defn.item id="a216307">
                  <defn.term>Ten Percent Shareholder</defn.term>
                  <defn>
                    <para>
                      <paratext>a person who owns (or is deemed to own pursuant to Section 424(d) of the Code) shares possessing more than 10% of the total combined voting power of all classes of share of the Company or of any of its Affiliates.</paratext>
                    </para>
                  </defn>
                </defn.item>
                <defn.item id="a873674">
                  <defn.term>US Taxpayer</defn.term>
                  <defn>
                    <para>
                      <paratext>A person who is subject to the tax laws of the United States of America.</paratext>
                    </para>
                  </defn>
                </defn.item>
              </subclause1>
            </clause>
            <clause id="a621379">
              <identifier>2.</identifier>
              <head align="left" preservecase="true">
                <headtext>THE ISO SUB-PLAN</headtext>
              </head>
              <drafting.note id="a961532" jurisdiction="">
                <head align="left" preservecase="true">
                  <headtext>The ISO sub-plan</headtext>
                </head>
                <division id="a000120" level="1">
                  <para>
                    <paratext>
                      <link href="7-594-8305" style="ACTLinkPLCtoPLC">
                        <ital>Paragraph 2</ital>
                      </link>
                       contains a set of provisions to allow the Company to grant ISOs, which are tax-advantaged for US Taxpayers. Note in particular that:
                    </paratext>
                  </para>
                  <list type="bulleted">
                    <list.item>
                      <para>
                        <paratext>
                          ISOs can only be granted under a plan that has been approved by the Company's shareholders within 12 months before or after the date the plan is adopted by the Company (see 
                          <internal.reference refid="a626782">Drafting note, Shareholder approval</internal.reference>
                          ).
                        </paratext>
                      </para>
                    </list.item>
                    <list.item>
                      <para>
                        <paratext>ISOs can only be granted within ten years after the earlier of the date the plan was adopted by the Company and the date the plan was approved by the Company's shareholders.</paratext>
                      </para>
                    </list.item>
                    <list.item>
                      <para>
                        <paratext>
                          An ISO plan must contain a fixed numerical limit on the number of Shares over which ISOs may be granted. A percentage limit is not sufficient. The fixed numerical limit can be amended to reflect changes in share capital (see 
                          <internal.reference refid="a526227">paragraph 2.12</internal.reference>
                          ).
                        </paratext>
                      </para>
                    </list.item>
                  </list>
                  <para>
                    <paratext>A company should always consult US counsel before adopting an ISO sub-plan. US federal and state securities laws can often pose problems.</paratext>
                  </para>
                </division>
              </drafting.note>
              <subclause1 id="a448207">
                <identifier>2.1</identifier>
                <para>
                  <paratext>
                    <link href="http://www.practicallaw.com/7-594-8305" style="ACTLinkURL">
                      <ital>Paragraph 2</ital>
                    </link>
                     specifies variations to the Plan and the way it is operated. The Plan as so varied is referred as the ISO Sub-Plan.
                  </paratext>
                </para>
              </subclause1>
              <subclause1 id="a889392">
                <identifier>2.2</identifier>
                <para>
                  <paratext>An Incentive Stock Option is a form of Market Value Option. It is not possible to grant any other type of Award under the ISO Sub-Plan.</paratext>
                </para>
              </subclause1>
              <subclause1 id="a344644">
                <identifier>2.3</identifier>
                <para>
                  <paratext>
                    <internal.reference refid="a309757">rule 16</internal.reference>
                     shall not apply to Incentive Stock Options.
                  </paratext>
                </para>
              </subclause1>
              <subclause1 id="a244467">
                <identifier>2.4</identifier>
                <para>
                  <paratext>The Company may grant an Incentive Stock Option only to a person who at the Grant Date is an Eligible Employee.</paratext>
                </para>
              </subclause1>
              <subclause1 id="a810577">
                <identifier>2.5</identifier>
                <para>
                  <paratext>The Company may grant an Incentive Stock Option to a Ten Percent Shareholder only if the Exercise Price is at least 110% of the Fair Market Value of a Share at the Grant Date and the Option is not exercisable after the expiration of five years from the Grant Date.</paratext>
                </para>
              </subclause1>
              <subclause1 id="a846666">
                <identifier>2.6</identifier>
                <para>
                  <paratext>
                    In addition to the matters required by 
                    <internal.reference refid="a959101">rule 2.4</internal.reference>
                     an Award Certificate relating to an Incentive Stock Option shall state that it is intended to be an Incentive Stock Option.
                  </paratext>
                </para>
              </subclause1>
              <subclause1 id="a472820">
                <identifier>2.7</identifier>
                <para>
                  <paratext>The Exercise Price of an Incentive Stock Option shall not be less than 100% of the Fair Market Value of a Share on the Grant Date. Notwithstanding the foregoing, an Incentive Stock Option may be granted with an Exercise Price lower than that stated in the preceding sentence if such Option is granted pursuant to an assumption or substitution for another option in a manner satisfying the provisions of Section 424(a) of the Code and the regulations promulgated thereunder.</paratext>
                </para>
              </subclause1>
              <subclause1 id="a859939">
                <identifier>2.8</identifier>
                <para>
                  <paratext>The Company shall have no liability to any Award Holder or any other person if an Option designated as an Incentive Stock Option fails to qualify as such at any time.</paratext>
                </para>
              </subclause1>
              <subclause1 id="a964161">
                <identifier>2.9</identifier>
                <para>
                  <paratext>
                    Subject to the provisions of 
                    <internal.reference refid="a810577">paragraph 2.5</internal.reference>
                     regarding Ten Percent Shareholders, no Incentive Stock Option shall be exercisable after the expiration of ten years from the Grant Date.
                  </paratext>
                </para>
              </subclause1>
              <subclause1 id="a120337">
                <identifier>2.10</identifier>
                <para>
                  <paratext>An Incentive Stock Option shall not be transferable except by will or by the laws of descent and distribution and shall be exercisable during the lifetime of the Award Holder only by the Award Holder. Notwithstanding the foregoing, the Award Holder may, by delivering written notice to the Company, in a form satisfactory to the Company, designate a third party who, in the event of the death of the Award Holder, shall thereafter be entitled to exercise the Option.</paratext>
                </para>
              </subclause1>
              <subclause1 id="a917391">
                <identifier>2.11</identifier>
                <para>
                  <paratext>To the extent that the aggregate Fair Market Value (determined on the Grant Date) of Shares with respect to which Incentive Stock Options are exercisable for the first time by any Award Holder during any calendar year (under all plans of the Company and its Affiliates) exceeds US$100,000, the Options or portions thereof which exceed such limit (according to the order in which they were granted) shall be treated as not being Incentive Stock Options.</paratext>
                </para>
              </subclause1>
              <subclause1 id="a526227">
                <identifier>2.12</identifier>
                <para>
                  <paratext>
                    Incentive Stock Options may not be granted over more than [INSERT NUMBER] Shares. The Board may adjust this number if they adjust the Award in accordance with 
                    <internal.reference refid="a129837">rule 22</internal.reference>
                    .
                  </paratext>
                </para>
                <drafting.note id="a210029" jurisdiction="">
                  <head align="left" preservecase="true">
                    <headtext>Numerical limit on shares</headtext>
                  </head>
                  <division id="a000121" level="1">
                    <para>
                      <paratext>There must be a fixed numerical limit on the number of shares over which a company can grant ISOs. A percentage limit alone is not sufficient. The numerical limit can be adjusted to reflect variations of share capital.</paratext>
                    </para>
                  </division>
                </drafting.note>
              </subclause1>
              <subclause1 id="a699719">
                <identifier>2.13</identifier>
                <para>
                  <paratext>
                    In exercising its powers under 
                    <internal.reference refid="a129837">rule 22</internal.reference>
                     the Board shall ensure that any adjustments will not constitute a modification, extension or renewal of the Incentive Stock Options within the meaning of Section 424(h)(3) of the Code.
                  </paratext>
                </para>
              </subclause1>
              <subclause1 id="a710400">
                <identifier>2.14</identifier>
                <para>
                  <paratext>
                    Any Award Holder who shall make a disposition (as defined in Section 424 of the Code) of all or any Shares acquired upon exercise of an Incentive Stock Option within two years from the Grant Date of such Incentive Stock Option or within one year after the issue or transfer of the Shares acquired upon exercise of such Incentive Stock Option (a 
                    <defn.term>Disqualifying Disposition</defn.term>
                    ) shall be required to immediately advise the Company in writing as to the occurrence of the sale and the price realised upon the sale of such Shares.
                  </paratext>
                </para>
              </subclause1>
              <subclause1 id="a678356">
                <identifier>2.15</identifier>
                <para>
                  <paratext>
                    For the purposes of 
                    <internal.reference refid="a991047">rule 18.4(c)</internal.reference>
                     "disability" has the same meaning as in Section 22(e)(3) of the Code.
                  </paratext>
                </para>
              </subclause1>
            </clause>
            <clause id="a774488">
              <identifier>3.</identifier>
              <head align="left" preservecase="true">
                <headtext>Provisions applicable to US Taxpayers</headtext>
              </head>
              <drafting.note id="a107858" jurisdiction="">
                <head align="left" preservecase="true">
                  <headtext>Provisions applicable to US Taxpayers</headtext>
                </head>
                <division id="a000122" level="1">
                  <para>
                    <paratext>
                      <internal.reference refid="a774488">paragraph 3</internal.reference>
                       contains a set of provisions that apply to US Taxpayers. These are intended to prevent the Awards falling foul of the tax rules of 
                      <link href="https://us.practicallaw.thomsonreuters.com/Document/N2D00DD7057A211E89E73AA5118781479/View/FullText.html" style="ACTLinkURL">
                        <ital>Section 409A</ital>
                      </link>
                       of the Internal Revenue Code. For more information on this, see 
                      <link href="9-375-8274" style="ACTLinkPLCtoPLC">
                        <ital>Practice note, US Internal Revenue Code section 409A: impact on UK share incentives</ital>
                      </link>
                      . In particular note that:
                    </paratext>
                  </para>
                  <list type="bulleted">
                    <list.item>
                      <para>
                        <paratext>Nil Cost Options and Phantom Options should not be granted to US Taxpayers.</paratext>
                      </para>
                    </list.item>
                    <list.item>
                      <para>
                        <paratext>
                          Market Value Options and Share Appreciation Rights are generally outside the scope of Section 409A, if the Exercise Price is no less than Fair Market Value of the underlying shares on the Grant Date for US tax purposes. This may be different from the Market Value for UK purposes. See the definition of 
                          <link href="9-375-8274" style="ACTLinkPLCtoPLC">
                            <ital>Fair Market Value</ital>
                          </link>
                          .
                        </paratext>
                      </para>
                    </list.item>
                    <list.item>
                      <para>
                        <paratext>Forfeitable Share Awards are outside the scope of Section 409A.</paratext>
                      </para>
                    </list.item>
                    <list.item>
                      <para>
                        <paratext>Conditional Share Awards, and Phantom Share Awards are potentially within the scope of Section 409A. However, there is an exclusion for Awards that have a fixed payment schedule that complies with Section 409A. Awards under the Plan should fall within the exclusion since they are either Released on the Release Date or they lapse on termination of employment or on the Performance Measurement Date. There is no possibility of Release being deferred. The only circumstances in which Release can be accelerated are on death or a change of Control, both of which are permitted acceleration events under Section 409A. For this reason, the term change of Control is modified in relation to a US Taxpayer so as to be limited to an event that constitutes a change in Control within Section 409A(a)(2)(A)(v) of the Code.</paratext>
                      </para>
                    </list.item>
                  </list>
                </division>
              </drafting.note>
              <subclause1 id="a220514">
                <identifier>3.1</identifier>
                <para>
                  <paratext>The Company may not grant a Nil Cost Option or a Phantom Option to a US Taxpayer.</paratext>
                </para>
              </subclause1>
              <subclause1 id="a351281">
                <identifier>3.2</identifier>
                <para>
                  <paratext>The Company may not grant a Market Value Option to a US Taxpayer with an Exercise Price less than 100% of the Fair Market Value of a Share on the Grant Date, except where such Option is granted pursuant to an assumption or substitution for another option in a manner satisfying the provisions of Section 409A of the Code.</paratext>
                </para>
              </subclause1>
              <subclause1 id="a946843">
                <identifier>3.3</identifier>
                <para>
                  <paratext>The Company may not grant a Share Appreciation Right to a US Taxpayer with a Base Price less than 100% of the Fair Market Value of a Share on the Grant Date.</paratext>
                </para>
              </subclause1>
              <subclause1 id="a393663">
                <identifier>3.4</identifier>
                <para>
                  <paratext>
                    The definition of change of Control in 
                    <internal.reference refid="a336895">rule 1.1</internal.reference>
                     is modified so that an event is not a change of Control for the purposes of the Plan unless it is also falls within Section 409A(a)(2)(A)(v) of the Code.
                  </paratext>
                </para>
              </subclause1>
              <subclause1 id="a678013">
                <identifier>3.5</identifier>
                <para>
                  <paratext>
                    <internal.reference refid="a403621">rule 20.3</internal.reference>
                     (which permits the acceleration of Release before a change of Control) does not apply to Awards held by US Taxpayers.
                  </paratext>
                </para>
              </subclause1>
              <subclause1 id="a641130">
                <identifier>3.6</identifier>
                <para>
                  <paratext>
                    The Board shall ensure that any adjustments to an Award under 
                    <internal.reference refid="a129837">rule 22</internal.reference>
                     will not constitute a modification of the Award within the meaning of Section 409A of the Code.
                  </paratext>
                </para>
              </subclause1>
              <subclause1 id="a292692">
                <identifier>3.7</identifier>
                <para>
                  <paratext>The Company shall have no liability to any Award Holder or any other person if an Award is determined to constitute "nonqualified deferred compensation" within the meaning of Section 409A of the Code and the terms of such Award do not satisfy the requirements of Section 409A of the Code.</paratext>
                </para>
              </subclause1>
              <subclause1 id="a338008">
                <identifier>3.8</identifier>
                <para>
                  <paratext>The Plan is intended to comply with Section 409A of the Code to the extent subject thereto, and, accordingly, in relation to any Award Holder who is a US Taxpayer, and to the maximum extent permitted, the Plan shall be interpreted and administered to be in compliance therewith.</paratext>
                </para>
              </subclause1>
              <subclause1 id="a90541">
                <identifier>3.9</identifier>
                <para>
                  <paratext>Any payments described in the Plan that are due within the short-term deferral period as defined in Section 409A of the Code shall not be treated as deferred compensation unless required otherwise by law.</paratext>
                </para>
              </subclause1>
              <subclause1 id="a118540">
                <identifier>3.10</identifier>
                <para>
                  <paratext>Notwithstanding anything to the contrary in the Plan, to the extent required to avoid accelerated taxation and tax penalties under Section 409A of the Code, amounts that would otherwise be payable and benefits that would otherwise be provided pursuant to the Plan during the six-month period immediately following the Award Holder's termination of employment shall instead be paid on the first payroll date after the six-month anniversary of the Award Holder's termination of service (or the Award Holder's death, if earlier).</paratext>
                </para>
              </subclause1>
              <subclause1 id="a300122">
                <identifier>3.11</identifier>
                <para>
                  <paratext>Notwithstanding the foregoing, neither the Company nor the Board has any obligation to take any action to prevent the assessment of any excise tax or penalty on any Award Holder under Section 409A of the Code and neither the Company nor the Board shall have any liability to any Award Holder for such tax or penalty.</paratext>
                </para>
              </subclause1>
            </clause>
          </schedule>
        </disclosure.schedule>
      </body>
      <rev.history>
        <rev.item>
          <rev.title>Brexit (March 2019)</rev.title>
          <rev.date>20190315</rev.date>
          <rev.author>Practical Law Share Schemes &amp; Incentives</rev.author>
          <rev.body>
            <division id="a000001" level="1">
              <para>
                <paratext>Updated for the UK's exit from the EU.</paratext>
              </para>
            </division>
          </rev.body>
        </rev.item>
        <rev.item>
          <rev.title>2018 UK Corporate Governance Code (January 2019)</rev.title>
          <rev.date>20190102</rev.date>
          <rev.author>Practical Law Share Schemes &amp; Incentives</rev.author>
          <rev.body>
            <division id="a000002" level="1">
              <para>
                <paratext>Updated for coming into force of revised Corporate Governance Code.</paratext>
              </para>
            </division>
          </rev.body>
        </rev.item>
        <rev.item>
          <rev.title>Parmar v HSBC Private Bank (November 2018)</rev.title>
          <rev.date>20181128</rev.date>
          <rev.author>Practical Law Share Schemes &amp; Incentives</rev.author>
          <rev.body>
            <division id="a000003" level="1">
              <para>
                <paratext>Updated for decision in Parmar v HSBC Private Bank.</paratext>
              </para>
            </division>
          </rev.body>
        </rev.item>
        <rev.item>
          <rev.title>Investment Association principles of remuneration (November 2018)</rev.title>
          <rev.date>20181123</rev.date>
          <rev.author>Practical Law Share Schemes &amp; Incentives</rev.author>
          <rev.body>
            <division id="a000004" level="1">
              <para>
                <paratext>Updated to reflect new Investment Association principles of remuneration.</paratext>
              </para>
            </division>
          </rev.body>
        </rev.item>
        <rev.item>
          <rev.title>Publication of 2018 Corporate Governance Code (July 2018)</rev.title>
          <rev.date>20180716</rev.date>
          <rev.author>Practical Law Share Schemes &amp; Incentives</rev.author>
          <rev.body>
            <division id="a000005" level="1">
              <para>
                <paratext>Updated for publication of revised Corporate Governance code</paratext>
              </para>
            </division>
          </rev.body>
        </rev.item>
        <rev.item>
          <rev.title>Resource created</rev.title>
          <rev.date>20160303</rev.date>
          <rev.author>Practical Law Share Schemes &amp; Incentives</rev.author>
          <rev.body>
            <division id="a000006" level="1">
              <para>
                <paratext>We will record here any changes to this resource as a result of developments in the law or practice.</paratext>
              </para>
            </division>
          </rev.body>
        </rev.item>
      </rev.history>
    </standard.doc>
  </n-docbody>
</n-document>
</file>

<file path=customXml/item5.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e3dc3b7a88cee7ce749e7ada4abfb1a">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a187bd3b06585dffae315224788c5c97"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SharedWithUsers xmlns="cc2c3a37-5bbf-42df-95a3-3b3e92758812">
      <UserInfo>
        <DisplayName>Deborah Hall</DisplayName>
        <AccountId>110</AccountId>
        <AccountType/>
      </UserInfo>
      <UserInfo>
        <DisplayName>Ian Shaw</DisplayName>
        <AccountId>112</AccountId>
        <AccountType/>
      </UserInfo>
      <UserInfo>
        <DisplayName>Jonathan Hutchings</DisplayName>
        <AccountId>113</AccountId>
        <AccountType/>
      </UserInfo>
    </SharedWithUsers>
  </documentManagement>
</p:properties>
</file>

<file path=customXml/item8.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10.xml><?xml version="1.0" encoding="utf-8"?>
<ds:datastoreItem xmlns:ds="http://schemas.openxmlformats.org/officeDocument/2006/customXml" ds:itemID="{1F2F807C-258E-4796-B67A-2D23584BC93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716DF7BE-878E-4A85-9A84-DF8308264ABD}">
  <ds:schemaRefs>
    <ds:schemaRef ds:uri="http://schemas.microsoft.com/sharepoint/v3/contenttype/forms"/>
  </ds:schemaRefs>
</ds:datastoreItem>
</file>

<file path=customXml/itemProps3.xml><?xml version="1.0" encoding="utf-8"?>
<ds:datastoreItem xmlns:ds="http://schemas.openxmlformats.org/officeDocument/2006/customXml" ds:itemID="{D8DAF256-5917-420E-8F1E-4B1AE5A8B60F}">
  <ds:schemaRefs>
    <ds:schemaRef ds:uri="http://schemas.openxmlformats.org/officeDocument/2006/bibliography"/>
  </ds:schemaRefs>
</ds:datastoreItem>
</file>

<file path=customXml/itemProps4.xml><?xml version="1.0" encoding="utf-8"?>
<ds:datastoreItem xmlns:ds="http://schemas.openxmlformats.org/officeDocument/2006/customXml" ds:itemID="{98FEB5AA-9728-4FA2-AC25-B51187AFC503}">
  <ds:schemaRefs>
    <ds:schemaRef ds:uri="http://www.w3.org/2001/XMLSchema"/>
  </ds:schemaRefs>
</ds:datastoreItem>
</file>

<file path=customXml/itemProps5.xml><?xml version="1.0" encoding="utf-8"?>
<ds:datastoreItem xmlns:ds="http://schemas.openxmlformats.org/officeDocument/2006/customXml" ds:itemID="{D2B8EE54-A936-4982-B5A3-B553DC3C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21B1B3-3180-460F-9500-63AF43BBFD00}">
  <ds:schemaRefs>
    <ds:schemaRef ds:uri="http://schemas.microsoft.com/sharepoint/v3/contenttype/forms"/>
  </ds:schemaRefs>
</ds:datastoreItem>
</file>

<file path=customXml/itemProps7.xml><?xml version="1.0" encoding="utf-8"?>
<ds:datastoreItem xmlns:ds="http://schemas.openxmlformats.org/officeDocument/2006/customXml" ds:itemID="{2E12427A-0405-4C2A-82BD-67E8496BF252}">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8.xml><?xml version="1.0" encoding="utf-8"?>
<ds:datastoreItem xmlns:ds="http://schemas.openxmlformats.org/officeDocument/2006/customXml" ds:itemID="{38D4F6BE-C619-455A-B631-18E97154460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413D8C21-F824-4CDB-90B8-5236ECB9AFD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7980</Words>
  <Characters>45490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53364</CharactersWithSpaces>
  <SharedDoc>false</SharedDoc>
  <HLinks>
    <vt:vector size="156" baseType="variant">
      <vt:variant>
        <vt:i4>1835058</vt:i4>
      </vt:variant>
      <vt:variant>
        <vt:i4>152</vt:i4>
      </vt:variant>
      <vt:variant>
        <vt:i4>0</vt:i4>
      </vt:variant>
      <vt:variant>
        <vt:i4>5</vt:i4>
      </vt:variant>
      <vt:variant>
        <vt:lpwstr/>
      </vt:variant>
      <vt:variant>
        <vt:lpwstr>_Toc168490296</vt:lpwstr>
      </vt:variant>
      <vt:variant>
        <vt:i4>1835058</vt:i4>
      </vt:variant>
      <vt:variant>
        <vt:i4>146</vt:i4>
      </vt:variant>
      <vt:variant>
        <vt:i4>0</vt:i4>
      </vt:variant>
      <vt:variant>
        <vt:i4>5</vt:i4>
      </vt:variant>
      <vt:variant>
        <vt:lpwstr/>
      </vt:variant>
      <vt:variant>
        <vt:lpwstr>_Toc168490295</vt:lpwstr>
      </vt:variant>
      <vt:variant>
        <vt:i4>1835058</vt:i4>
      </vt:variant>
      <vt:variant>
        <vt:i4>140</vt:i4>
      </vt:variant>
      <vt:variant>
        <vt:i4>0</vt:i4>
      </vt:variant>
      <vt:variant>
        <vt:i4>5</vt:i4>
      </vt:variant>
      <vt:variant>
        <vt:lpwstr/>
      </vt:variant>
      <vt:variant>
        <vt:lpwstr>_Toc168490294</vt:lpwstr>
      </vt:variant>
      <vt:variant>
        <vt:i4>1835058</vt:i4>
      </vt:variant>
      <vt:variant>
        <vt:i4>134</vt:i4>
      </vt:variant>
      <vt:variant>
        <vt:i4>0</vt:i4>
      </vt:variant>
      <vt:variant>
        <vt:i4>5</vt:i4>
      </vt:variant>
      <vt:variant>
        <vt:lpwstr/>
      </vt:variant>
      <vt:variant>
        <vt:lpwstr>_Toc168490293</vt:lpwstr>
      </vt:variant>
      <vt:variant>
        <vt:i4>1835058</vt:i4>
      </vt:variant>
      <vt:variant>
        <vt:i4>128</vt:i4>
      </vt:variant>
      <vt:variant>
        <vt:i4>0</vt:i4>
      </vt:variant>
      <vt:variant>
        <vt:i4>5</vt:i4>
      </vt:variant>
      <vt:variant>
        <vt:lpwstr/>
      </vt:variant>
      <vt:variant>
        <vt:lpwstr>_Toc168490292</vt:lpwstr>
      </vt:variant>
      <vt:variant>
        <vt:i4>1835058</vt:i4>
      </vt:variant>
      <vt:variant>
        <vt:i4>122</vt:i4>
      </vt:variant>
      <vt:variant>
        <vt:i4>0</vt:i4>
      </vt:variant>
      <vt:variant>
        <vt:i4>5</vt:i4>
      </vt:variant>
      <vt:variant>
        <vt:lpwstr/>
      </vt:variant>
      <vt:variant>
        <vt:lpwstr>_Toc168490291</vt:lpwstr>
      </vt:variant>
      <vt:variant>
        <vt:i4>1835058</vt:i4>
      </vt:variant>
      <vt:variant>
        <vt:i4>116</vt:i4>
      </vt:variant>
      <vt:variant>
        <vt:i4>0</vt:i4>
      </vt:variant>
      <vt:variant>
        <vt:i4>5</vt:i4>
      </vt:variant>
      <vt:variant>
        <vt:lpwstr/>
      </vt:variant>
      <vt:variant>
        <vt:lpwstr>_Toc168490290</vt:lpwstr>
      </vt:variant>
      <vt:variant>
        <vt:i4>1900594</vt:i4>
      </vt:variant>
      <vt:variant>
        <vt:i4>110</vt:i4>
      </vt:variant>
      <vt:variant>
        <vt:i4>0</vt:i4>
      </vt:variant>
      <vt:variant>
        <vt:i4>5</vt:i4>
      </vt:variant>
      <vt:variant>
        <vt:lpwstr/>
      </vt:variant>
      <vt:variant>
        <vt:lpwstr>_Toc168490289</vt:lpwstr>
      </vt:variant>
      <vt:variant>
        <vt:i4>1900594</vt:i4>
      </vt:variant>
      <vt:variant>
        <vt:i4>104</vt:i4>
      </vt:variant>
      <vt:variant>
        <vt:i4>0</vt:i4>
      </vt:variant>
      <vt:variant>
        <vt:i4>5</vt:i4>
      </vt:variant>
      <vt:variant>
        <vt:lpwstr/>
      </vt:variant>
      <vt:variant>
        <vt:lpwstr>_Toc168490288</vt:lpwstr>
      </vt:variant>
      <vt:variant>
        <vt:i4>1900594</vt:i4>
      </vt:variant>
      <vt:variant>
        <vt:i4>98</vt:i4>
      </vt:variant>
      <vt:variant>
        <vt:i4>0</vt:i4>
      </vt:variant>
      <vt:variant>
        <vt:i4>5</vt:i4>
      </vt:variant>
      <vt:variant>
        <vt:lpwstr/>
      </vt:variant>
      <vt:variant>
        <vt:lpwstr>_Toc168490287</vt:lpwstr>
      </vt:variant>
      <vt:variant>
        <vt:i4>1900594</vt:i4>
      </vt:variant>
      <vt:variant>
        <vt:i4>92</vt:i4>
      </vt:variant>
      <vt:variant>
        <vt:i4>0</vt:i4>
      </vt:variant>
      <vt:variant>
        <vt:i4>5</vt:i4>
      </vt:variant>
      <vt:variant>
        <vt:lpwstr/>
      </vt:variant>
      <vt:variant>
        <vt:lpwstr>_Toc168490286</vt:lpwstr>
      </vt:variant>
      <vt:variant>
        <vt:i4>1900594</vt:i4>
      </vt:variant>
      <vt:variant>
        <vt:i4>86</vt:i4>
      </vt:variant>
      <vt:variant>
        <vt:i4>0</vt:i4>
      </vt:variant>
      <vt:variant>
        <vt:i4>5</vt:i4>
      </vt:variant>
      <vt:variant>
        <vt:lpwstr/>
      </vt:variant>
      <vt:variant>
        <vt:lpwstr>_Toc168490285</vt:lpwstr>
      </vt:variant>
      <vt:variant>
        <vt:i4>1900594</vt:i4>
      </vt:variant>
      <vt:variant>
        <vt:i4>80</vt:i4>
      </vt:variant>
      <vt:variant>
        <vt:i4>0</vt:i4>
      </vt:variant>
      <vt:variant>
        <vt:i4>5</vt:i4>
      </vt:variant>
      <vt:variant>
        <vt:lpwstr/>
      </vt:variant>
      <vt:variant>
        <vt:lpwstr>_Toc168490284</vt:lpwstr>
      </vt:variant>
      <vt:variant>
        <vt:i4>1900594</vt:i4>
      </vt:variant>
      <vt:variant>
        <vt:i4>74</vt:i4>
      </vt:variant>
      <vt:variant>
        <vt:i4>0</vt:i4>
      </vt:variant>
      <vt:variant>
        <vt:i4>5</vt:i4>
      </vt:variant>
      <vt:variant>
        <vt:lpwstr/>
      </vt:variant>
      <vt:variant>
        <vt:lpwstr>_Toc168490283</vt:lpwstr>
      </vt:variant>
      <vt:variant>
        <vt:i4>1900594</vt:i4>
      </vt:variant>
      <vt:variant>
        <vt:i4>68</vt:i4>
      </vt:variant>
      <vt:variant>
        <vt:i4>0</vt:i4>
      </vt:variant>
      <vt:variant>
        <vt:i4>5</vt:i4>
      </vt:variant>
      <vt:variant>
        <vt:lpwstr/>
      </vt:variant>
      <vt:variant>
        <vt:lpwstr>_Toc168490282</vt:lpwstr>
      </vt:variant>
      <vt:variant>
        <vt:i4>1900594</vt:i4>
      </vt:variant>
      <vt:variant>
        <vt:i4>62</vt:i4>
      </vt:variant>
      <vt:variant>
        <vt:i4>0</vt:i4>
      </vt:variant>
      <vt:variant>
        <vt:i4>5</vt:i4>
      </vt:variant>
      <vt:variant>
        <vt:lpwstr/>
      </vt:variant>
      <vt:variant>
        <vt:lpwstr>_Toc168490281</vt:lpwstr>
      </vt:variant>
      <vt:variant>
        <vt:i4>1900594</vt:i4>
      </vt:variant>
      <vt:variant>
        <vt:i4>56</vt:i4>
      </vt:variant>
      <vt:variant>
        <vt:i4>0</vt:i4>
      </vt:variant>
      <vt:variant>
        <vt:i4>5</vt:i4>
      </vt:variant>
      <vt:variant>
        <vt:lpwstr/>
      </vt:variant>
      <vt:variant>
        <vt:lpwstr>_Toc168490280</vt:lpwstr>
      </vt:variant>
      <vt:variant>
        <vt:i4>1179698</vt:i4>
      </vt:variant>
      <vt:variant>
        <vt:i4>50</vt:i4>
      </vt:variant>
      <vt:variant>
        <vt:i4>0</vt:i4>
      </vt:variant>
      <vt:variant>
        <vt:i4>5</vt:i4>
      </vt:variant>
      <vt:variant>
        <vt:lpwstr/>
      </vt:variant>
      <vt:variant>
        <vt:lpwstr>_Toc168490279</vt:lpwstr>
      </vt:variant>
      <vt:variant>
        <vt:i4>1179698</vt:i4>
      </vt:variant>
      <vt:variant>
        <vt:i4>44</vt:i4>
      </vt:variant>
      <vt:variant>
        <vt:i4>0</vt:i4>
      </vt:variant>
      <vt:variant>
        <vt:i4>5</vt:i4>
      </vt:variant>
      <vt:variant>
        <vt:lpwstr/>
      </vt:variant>
      <vt:variant>
        <vt:lpwstr>_Toc168490278</vt:lpwstr>
      </vt:variant>
      <vt:variant>
        <vt:i4>1179698</vt:i4>
      </vt:variant>
      <vt:variant>
        <vt:i4>38</vt:i4>
      </vt:variant>
      <vt:variant>
        <vt:i4>0</vt:i4>
      </vt:variant>
      <vt:variant>
        <vt:i4>5</vt:i4>
      </vt:variant>
      <vt:variant>
        <vt:lpwstr/>
      </vt:variant>
      <vt:variant>
        <vt:lpwstr>_Toc168490277</vt:lpwstr>
      </vt:variant>
      <vt:variant>
        <vt:i4>1179698</vt:i4>
      </vt:variant>
      <vt:variant>
        <vt:i4>32</vt:i4>
      </vt:variant>
      <vt:variant>
        <vt:i4>0</vt:i4>
      </vt:variant>
      <vt:variant>
        <vt:i4>5</vt:i4>
      </vt:variant>
      <vt:variant>
        <vt:lpwstr/>
      </vt:variant>
      <vt:variant>
        <vt:lpwstr>_Toc168490276</vt:lpwstr>
      </vt:variant>
      <vt:variant>
        <vt:i4>1179698</vt:i4>
      </vt:variant>
      <vt:variant>
        <vt:i4>26</vt:i4>
      </vt:variant>
      <vt:variant>
        <vt:i4>0</vt:i4>
      </vt:variant>
      <vt:variant>
        <vt:i4>5</vt:i4>
      </vt:variant>
      <vt:variant>
        <vt:lpwstr/>
      </vt:variant>
      <vt:variant>
        <vt:lpwstr>_Toc168490275</vt:lpwstr>
      </vt:variant>
      <vt:variant>
        <vt:i4>1179698</vt:i4>
      </vt:variant>
      <vt:variant>
        <vt:i4>20</vt:i4>
      </vt:variant>
      <vt:variant>
        <vt:i4>0</vt:i4>
      </vt:variant>
      <vt:variant>
        <vt:i4>5</vt:i4>
      </vt:variant>
      <vt:variant>
        <vt:lpwstr/>
      </vt:variant>
      <vt:variant>
        <vt:lpwstr>_Toc168490274</vt:lpwstr>
      </vt:variant>
      <vt:variant>
        <vt:i4>1179698</vt:i4>
      </vt:variant>
      <vt:variant>
        <vt:i4>14</vt:i4>
      </vt:variant>
      <vt:variant>
        <vt:i4>0</vt:i4>
      </vt:variant>
      <vt:variant>
        <vt:i4>5</vt:i4>
      </vt:variant>
      <vt:variant>
        <vt:lpwstr/>
      </vt:variant>
      <vt:variant>
        <vt:lpwstr>_Toc168490273</vt:lpwstr>
      </vt:variant>
      <vt:variant>
        <vt:i4>1179698</vt:i4>
      </vt:variant>
      <vt:variant>
        <vt:i4>8</vt:i4>
      </vt:variant>
      <vt:variant>
        <vt:i4>0</vt:i4>
      </vt:variant>
      <vt:variant>
        <vt:i4>5</vt:i4>
      </vt:variant>
      <vt:variant>
        <vt:lpwstr/>
      </vt:variant>
      <vt:variant>
        <vt:lpwstr>_Toc168490272</vt:lpwstr>
      </vt:variant>
      <vt:variant>
        <vt:i4>1179698</vt:i4>
      </vt:variant>
      <vt:variant>
        <vt:i4>2</vt:i4>
      </vt:variant>
      <vt:variant>
        <vt:i4>0</vt:i4>
      </vt:variant>
      <vt:variant>
        <vt:i4>5</vt:i4>
      </vt:variant>
      <vt:variant>
        <vt:lpwstr/>
      </vt:variant>
      <vt:variant>
        <vt:lpwstr>_Toc168490271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Chris Niland</cp:lastModifiedBy>
  <cp:revision>63</cp:revision>
  <cp:lastPrinted>2025-02-27T11:13:00Z</cp:lastPrinted>
  <dcterms:created xsi:type="dcterms:W3CDTF">2025-02-25T13:06:00Z</dcterms:created>
  <dcterms:modified xsi:type="dcterms:W3CDTF">2025-02-27T12:53:00Z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{REF:0692010003}</vt:lpwstr>
  </property>
  <property fmtid="{D5CDD505-2E9C-101B-9397-08002B2CF9AE}" pid="3" name="ContentTypeId">
    <vt:lpwstr>0x010100CA16504A025F56429A6E17351BB868AA</vt:lpwstr>
  </property>
  <property fmtid="{D5CDD505-2E9C-101B-9397-08002B2CF9AE}" pid="4" name="MediaServiceImageTags">
    <vt:lpwstr/>
  </property>
  <property fmtid="{D5CDD505-2E9C-101B-9397-08002B2CF9AE}" pid="5" name="KSOProductBuildVer">
    <vt:lpwstr>2057-11.2.0.11074</vt:lpwstr>
  </property>
  <property fmtid="{D5CDD505-2E9C-101B-9397-08002B2CF9AE}" pid="6" name="ICV">
    <vt:lpwstr>87A57E04CAFE4CFE8536390A06201E54</vt:lpwstr>
  </property>
</Properties>
</file>