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383D" w14:textId="77777777" w:rsidR="00A77B3E" w:rsidRDefault="00737E93">
      <w:pPr>
        <w:spacing w:line="269" w:lineRule="auto"/>
        <w:jc w:val="center"/>
        <w:outlineLvl w:val="0"/>
        <w:rPr>
          <w:b/>
          <w:color w:val="000000"/>
          <w:u w:val="single"/>
        </w:rPr>
      </w:pPr>
      <w:bookmarkStart w:id="0" w:name="Section1"/>
      <w:bookmarkEnd w:id="0"/>
      <w:r>
        <w:rPr>
          <w:b/>
          <w:color w:val="000000"/>
          <w:u w:val="single"/>
        </w:rPr>
        <w:t>INFORMATION FOR GENERAL ACCIDENT PLC PREFERENCE SHAREHOLDERS</w:t>
      </w:r>
    </w:p>
    <w:p w14:paraId="0CCF4598" w14:textId="77777777" w:rsidR="00A77B3E" w:rsidRDefault="00A77B3E">
      <w:pPr>
        <w:spacing w:line="276" w:lineRule="auto"/>
        <w:rPr>
          <w:rFonts w:ascii="Arial" w:eastAsia="Arial" w:hAnsi="Arial" w:cs="Arial"/>
        </w:rPr>
      </w:pPr>
    </w:p>
    <w:p w14:paraId="06AD8BFF" w14:textId="77777777" w:rsidR="00A77B3E" w:rsidRDefault="00A77B3E">
      <w:pPr>
        <w:spacing w:line="276" w:lineRule="auto"/>
        <w:rPr>
          <w:rFonts w:ascii="Arial" w:eastAsia="Arial" w:hAnsi="Arial" w:cs="Arial"/>
        </w:rPr>
      </w:pPr>
    </w:p>
    <w:p w14:paraId="4AE07CD1" w14:textId="77777777" w:rsidR="00A77B3E" w:rsidRDefault="00737E93">
      <w:pPr>
        <w:spacing w:line="269" w:lineRule="auto"/>
        <w:jc w:val="center"/>
        <w:rPr>
          <w:b/>
          <w:sz w:val="20"/>
        </w:rPr>
      </w:pPr>
      <w:r>
        <w:rPr>
          <w:b/>
        </w:rPr>
        <w:t>GENERAL ACCIDENT PLC</w:t>
      </w:r>
    </w:p>
    <w:p w14:paraId="21214D32" w14:textId="77777777" w:rsidR="00A77B3E" w:rsidRDefault="00737E93">
      <w:pPr>
        <w:spacing w:line="269" w:lineRule="auto"/>
        <w:jc w:val="center"/>
      </w:pPr>
      <w:r>
        <w:rPr>
          <w:b/>
          <w:sz w:val="23"/>
        </w:rPr>
        <w:t xml:space="preserve"> Announcement of results for the year ended </w:t>
      </w:r>
      <w:r>
        <w:rPr>
          <w:b/>
          <w:color w:val="000000"/>
          <w:sz w:val="23"/>
        </w:rPr>
        <w:t>31 December 2022</w:t>
      </w:r>
    </w:p>
    <w:p w14:paraId="159B46E4" w14:textId="77777777" w:rsidR="00A77B3E" w:rsidRDefault="00A77B3E">
      <w:pPr>
        <w:spacing w:line="276" w:lineRule="auto"/>
        <w:rPr>
          <w:rFonts w:ascii="Arial" w:eastAsia="Arial" w:hAnsi="Arial" w:cs="Arial"/>
        </w:rPr>
      </w:pPr>
    </w:p>
    <w:p w14:paraId="00FB5680" w14:textId="77777777" w:rsidR="00A77B3E" w:rsidRDefault="00737E93">
      <w:pPr>
        <w:spacing w:line="269" w:lineRule="auto"/>
        <w:jc w:val="both"/>
      </w:pPr>
      <w:r>
        <w:t xml:space="preserve">These results are published for the benefit of preference shareholders of General Accident plc ("the Company") for the year ended </w:t>
      </w:r>
      <w:r>
        <w:rPr>
          <w:color w:val="000000"/>
        </w:rPr>
        <w:t>31 December 2022</w:t>
      </w:r>
      <w:r>
        <w:t xml:space="preserve">. The preference shares have remained listed on the London Stock Exchange following the merger of the Company </w:t>
      </w:r>
      <w:r>
        <w:t>with Commercial Union plc, in June 1998 to form CGU plc (“CGU”), and the subsequent merger of CGU with Norwich Union plc in May 2000 to form Aviva plc (formerly CGNU plc).</w:t>
      </w:r>
    </w:p>
    <w:p w14:paraId="45320C6B" w14:textId="77777777" w:rsidR="00A77B3E" w:rsidRDefault="00A77B3E">
      <w:pPr>
        <w:spacing w:line="276" w:lineRule="auto"/>
      </w:pPr>
    </w:p>
    <w:p w14:paraId="2C134D40" w14:textId="77777777" w:rsidR="00A77B3E" w:rsidRDefault="00737E93">
      <w:pPr>
        <w:spacing w:line="269" w:lineRule="auto"/>
        <w:jc w:val="both"/>
      </w:pPr>
      <w:r>
        <w:t>The Company transferred its interest in its subsidiaries to its parent company, Avi</w:t>
      </w:r>
      <w:r>
        <w:t xml:space="preserve">va plc, in 2005, in return for an inter-company loan. The income of the Company for the year ended </w:t>
      </w:r>
      <w:r>
        <w:rPr>
          <w:color w:val="000000"/>
        </w:rPr>
        <w:t>31 December 2022</w:t>
      </w:r>
      <w:r>
        <w:t xml:space="preserve"> consists of interest received on this loan. </w:t>
      </w:r>
    </w:p>
    <w:p w14:paraId="7B875029" w14:textId="77777777" w:rsidR="00A77B3E" w:rsidRDefault="00A77B3E">
      <w:pPr>
        <w:spacing w:line="269" w:lineRule="auto"/>
        <w:jc w:val="both"/>
      </w:pPr>
    </w:p>
    <w:p w14:paraId="111B32C7" w14:textId="77777777" w:rsidR="00A77B3E" w:rsidRDefault="00737E93">
      <w:pPr>
        <w:spacing w:line="269" w:lineRule="auto"/>
        <w:jc w:val="both"/>
      </w:pPr>
      <w:r>
        <w:t>The principal risks and uncertainties facing the Company are:</w:t>
      </w:r>
      <w:r>
        <w:br/>
      </w:r>
    </w:p>
    <w:p w14:paraId="5B77B5C3" w14:textId="77777777" w:rsidR="003F5BBE" w:rsidRDefault="00737E93">
      <w:pPr>
        <w:numPr>
          <w:ilvl w:val="0"/>
          <w:numId w:val="13"/>
        </w:numPr>
        <w:spacing w:line="269" w:lineRule="auto"/>
        <w:jc w:val="both"/>
        <w:rPr>
          <w:rFonts w:ascii="Arial" w:eastAsia="Arial" w:hAnsi="Arial" w:cs="Arial"/>
        </w:rPr>
      </w:pPr>
      <w:r>
        <w:rPr>
          <w:i/>
        </w:rPr>
        <w:t>Credit risk</w:t>
      </w:r>
      <w:r>
        <w:t>: The net asset valu</w:t>
      </w:r>
      <w:r>
        <w:t>e of the Company’s financial resources is exposed to the potential default on the loan and short-term receivables due from its parent, Aviva plc. The external issuer credit rating of Aviva plc (representing an issuer’s ability to meet its overall financial</w:t>
      </w:r>
      <w:r>
        <w:t xml:space="preserve"> commitments as they fall due) is A, and as such the risk of counterparty default is considered remote. In addition, the loan amounting to £</w:t>
      </w:r>
      <w:r>
        <w:rPr>
          <w:color w:val="000000"/>
        </w:rPr>
        <w:t>9,439</w:t>
      </w:r>
      <w:r>
        <w:t xml:space="preserve"> million (</w:t>
      </w:r>
      <w:r>
        <w:rPr>
          <w:i/>
          <w:color w:val="000000"/>
        </w:rPr>
        <w:t>2021</w:t>
      </w:r>
      <w:r>
        <w:rPr>
          <w:i/>
        </w:rPr>
        <w:t>: £</w:t>
      </w:r>
      <w:r>
        <w:rPr>
          <w:i/>
          <w:color w:val="000000"/>
        </w:rPr>
        <w:t>9,484</w:t>
      </w:r>
      <w:r>
        <w:rPr>
          <w:i/>
        </w:rPr>
        <w:t xml:space="preserve"> million</w:t>
      </w:r>
      <w:r>
        <w:t xml:space="preserve">) is secured by a legal charge against the ordinary share capital of Aviva Group </w:t>
      </w:r>
      <w:r>
        <w:t>Holdings Limited mitigating the risk of loss in the event of Aviva plc defaulting. Due to the nature of the loan, and the fact that it is intended to be held until settled by Aviva plc (on maturity or earlier if redeemed before maturity) and not traded, th</w:t>
      </w:r>
      <w:r>
        <w:t xml:space="preserve">e Company is not exposed to the risk of changes to the market value caused by changing perceptions of the credit worthiness of Aviva plc. There were no financial assets that were past due or impaired at either </w:t>
      </w:r>
      <w:r>
        <w:rPr>
          <w:color w:val="000000"/>
        </w:rPr>
        <w:t>31 December 2022</w:t>
      </w:r>
      <w:r>
        <w:t xml:space="preserve"> or </w:t>
      </w:r>
      <w:r>
        <w:rPr>
          <w:color w:val="000000"/>
        </w:rPr>
        <w:t>31 December 2021</w:t>
      </w:r>
      <w:r>
        <w:t>.</w:t>
      </w:r>
    </w:p>
    <w:p w14:paraId="1A84DFE5" w14:textId="77777777" w:rsidR="003F5BBE" w:rsidRDefault="00737E93">
      <w:pPr>
        <w:numPr>
          <w:ilvl w:val="0"/>
          <w:numId w:val="14"/>
        </w:numPr>
        <w:spacing w:line="269" w:lineRule="auto"/>
      </w:pPr>
      <w:r>
        <w:rPr>
          <w:i/>
        </w:rPr>
        <w:t xml:space="preserve">Interest rate risk: </w:t>
      </w:r>
      <w:r>
        <w:t>The net asset value of the Company's financial resources is exposed to potential fluctuations in interest rates impacting investment income.</w:t>
      </w:r>
    </w:p>
    <w:p w14:paraId="768E16CD" w14:textId="77777777" w:rsidR="00A77B3E" w:rsidRDefault="00A77B3E">
      <w:pPr>
        <w:spacing w:line="276" w:lineRule="auto"/>
        <w:rPr>
          <w:rFonts w:ascii="Arial" w:eastAsia="Arial" w:hAnsi="Arial" w:cs="Arial"/>
        </w:rPr>
      </w:pPr>
    </w:p>
    <w:p w14:paraId="440DA2AB" w14:textId="77777777" w:rsidR="00A77B3E" w:rsidRDefault="00737E93">
      <w:pPr>
        <w:spacing w:line="269" w:lineRule="auto"/>
        <w:jc w:val="both"/>
      </w:pPr>
      <w:r>
        <w:t>Exposure to credit risk and interest rate risk is managed through the monitoring of several ri</w:t>
      </w:r>
      <w:r>
        <w:t>sk measures.</w:t>
      </w:r>
    </w:p>
    <w:p w14:paraId="5A265F0C" w14:textId="77777777" w:rsidR="00A77B3E" w:rsidRDefault="00A77B3E">
      <w:pPr>
        <w:spacing w:line="276" w:lineRule="auto"/>
        <w:rPr>
          <w:rFonts w:ascii="Arial" w:eastAsia="Arial" w:hAnsi="Arial" w:cs="Arial"/>
        </w:rPr>
      </w:pPr>
    </w:p>
    <w:p w14:paraId="0D1942E7" w14:textId="77777777" w:rsidR="00A77B3E" w:rsidRDefault="00737E93">
      <w:pPr>
        <w:spacing w:line="269" w:lineRule="auto"/>
        <w:jc w:val="both"/>
      </w:pPr>
      <w:r>
        <w:t>The Company is part of the Aviva group (“Group”), and Aviva plc owns 100% of the Company’s ordinary issued share capital.</w:t>
      </w:r>
    </w:p>
    <w:p w14:paraId="1D284ED8" w14:textId="77777777" w:rsidR="00A77B3E" w:rsidRDefault="00A77B3E">
      <w:pPr>
        <w:spacing w:line="276" w:lineRule="auto"/>
        <w:rPr>
          <w:rFonts w:ascii="Arial" w:eastAsia="Arial" w:hAnsi="Arial" w:cs="Arial"/>
        </w:rPr>
      </w:pPr>
    </w:p>
    <w:p w14:paraId="2E656D6A" w14:textId="77777777" w:rsidR="00A77B3E" w:rsidRDefault="00A77B3E">
      <w:pPr>
        <w:spacing w:line="276" w:lineRule="auto"/>
        <w:rPr>
          <w:rFonts w:ascii="Arial" w:eastAsia="Arial" w:hAnsi="Arial" w:cs="Arial"/>
        </w:rPr>
      </w:pPr>
    </w:p>
    <w:p w14:paraId="04235726" w14:textId="77777777" w:rsidR="00A77B3E" w:rsidRDefault="00A77B3E">
      <w:pPr>
        <w:spacing w:line="276" w:lineRule="auto"/>
        <w:rPr>
          <w:rFonts w:ascii="Arial" w:eastAsia="Arial" w:hAnsi="Arial" w:cs="Arial"/>
        </w:rPr>
      </w:pPr>
    </w:p>
    <w:p w14:paraId="5AD305E6" w14:textId="77777777" w:rsidR="00A77B3E" w:rsidRDefault="00A77B3E">
      <w:pPr>
        <w:spacing w:line="276" w:lineRule="auto"/>
        <w:rPr>
          <w:rFonts w:ascii="Arial" w:eastAsia="Arial" w:hAnsi="Arial" w:cs="Arial"/>
        </w:rPr>
      </w:pPr>
    </w:p>
    <w:p w14:paraId="6C963220" w14:textId="77777777" w:rsidR="00A77B3E" w:rsidRDefault="00A77B3E">
      <w:pPr>
        <w:spacing w:line="276" w:lineRule="auto"/>
        <w:rPr>
          <w:rFonts w:ascii="Arial" w:eastAsia="Arial" w:hAnsi="Arial" w:cs="Arial"/>
        </w:rPr>
      </w:pPr>
    </w:p>
    <w:p w14:paraId="590DF334" w14:textId="77777777" w:rsidR="00A77B3E" w:rsidRDefault="00A77B3E">
      <w:pPr>
        <w:spacing w:line="276" w:lineRule="auto"/>
        <w:rPr>
          <w:rFonts w:ascii="Arial" w:eastAsia="Arial" w:hAnsi="Arial" w:cs="Arial"/>
        </w:rPr>
      </w:pPr>
    </w:p>
    <w:p w14:paraId="0737FC38" w14:textId="77777777" w:rsidR="00A77B3E" w:rsidRDefault="00A77B3E">
      <w:pPr>
        <w:spacing w:line="276" w:lineRule="auto"/>
        <w:rPr>
          <w:rFonts w:ascii="Arial" w:eastAsia="Arial" w:hAnsi="Arial" w:cs="Arial"/>
        </w:rPr>
      </w:pPr>
    </w:p>
    <w:p w14:paraId="09D39A28" w14:textId="77777777" w:rsidR="00A77B3E" w:rsidRDefault="00A77B3E">
      <w:pPr>
        <w:spacing w:line="276" w:lineRule="auto"/>
        <w:rPr>
          <w:rFonts w:ascii="Arial" w:eastAsia="Arial" w:hAnsi="Arial" w:cs="Arial"/>
        </w:rPr>
      </w:pPr>
    </w:p>
    <w:p w14:paraId="15CDB1A6" w14:textId="77777777" w:rsidR="00A77B3E" w:rsidRDefault="00A77B3E">
      <w:pPr>
        <w:spacing w:line="276" w:lineRule="auto"/>
        <w:rPr>
          <w:rFonts w:ascii="Arial" w:eastAsia="Arial" w:hAnsi="Arial" w:cs="Arial"/>
        </w:rPr>
      </w:pPr>
    </w:p>
    <w:p w14:paraId="0F24DADD" w14:textId="77777777" w:rsidR="00A77B3E" w:rsidRDefault="00A77B3E">
      <w:pPr>
        <w:spacing w:line="276" w:lineRule="auto"/>
        <w:rPr>
          <w:rFonts w:ascii="Arial" w:eastAsia="Arial" w:hAnsi="Arial" w:cs="Arial"/>
        </w:rPr>
      </w:pPr>
    </w:p>
    <w:p w14:paraId="13ED148C" w14:textId="77777777" w:rsidR="00A77B3E" w:rsidRDefault="00A77B3E">
      <w:pPr>
        <w:spacing w:line="276" w:lineRule="auto"/>
        <w:rPr>
          <w:rFonts w:ascii="Arial" w:eastAsia="Arial" w:hAnsi="Arial" w:cs="Arial"/>
        </w:rPr>
      </w:pPr>
    </w:p>
    <w:p w14:paraId="093A048C" w14:textId="77777777" w:rsidR="00A77B3E" w:rsidRDefault="00A77B3E">
      <w:pPr>
        <w:spacing w:line="276" w:lineRule="auto"/>
        <w:rPr>
          <w:rFonts w:ascii="Arial" w:eastAsia="Arial" w:hAnsi="Arial" w:cs="Arial"/>
        </w:rPr>
      </w:pP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5"/>
        <w:gridCol w:w="1980"/>
        <w:gridCol w:w="2010"/>
      </w:tblGrid>
      <w:tr w:rsidR="003F5BBE" w14:paraId="49902F93" w14:textId="77777777">
        <w:trPr>
          <w:cantSplit/>
          <w:trHeight w:hRule="exact" w:val="75"/>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11CD1F7E"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053DD3D5" w14:textId="77777777" w:rsidR="003F5BBE" w:rsidRDefault="003F5BBE"/>
        </w:tc>
        <w:tc>
          <w:tcPr>
            <w:tcW w:w="2010" w:type="dxa"/>
            <w:tcBorders>
              <w:top w:val="nil"/>
              <w:left w:val="nil"/>
              <w:bottom w:val="nil"/>
              <w:right w:val="nil"/>
            </w:tcBorders>
            <w:shd w:val="clear" w:color="auto" w:fill="FFFFFF"/>
            <w:tcMar>
              <w:top w:w="0" w:type="dxa"/>
              <w:left w:w="0" w:type="dxa"/>
              <w:bottom w:w="0" w:type="dxa"/>
              <w:right w:w="0" w:type="dxa"/>
            </w:tcMar>
            <w:vAlign w:val="bottom"/>
          </w:tcPr>
          <w:p w14:paraId="2FF4488E" w14:textId="77777777" w:rsidR="003F5BBE" w:rsidRDefault="003F5BBE"/>
        </w:tc>
      </w:tr>
      <w:tr w:rsidR="003F5BBE" w14:paraId="6A08DD61" w14:textId="77777777">
        <w:trPr>
          <w:cantSplit/>
          <w:trHeight w:hRule="exact" w:val="330"/>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3B7DF8E3" w14:textId="77777777" w:rsidR="003F5BBE" w:rsidRDefault="00737E93">
            <w:pPr>
              <w:spacing w:line="269" w:lineRule="auto"/>
            </w:pPr>
            <w:proofErr w:type="spellStart"/>
            <w:r>
              <w:rPr>
                <w:b/>
                <w:color w:val="000000"/>
              </w:rPr>
              <w:t>Summarised</w:t>
            </w:r>
            <w:proofErr w:type="spellEnd"/>
            <w:r>
              <w:rPr>
                <w:b/>
                <w:color w:val="000000"/>
              </w:rPr>
              <w:t xml:space="preserve"> income statement</w:t>
            </w: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6AC1F82D" w14:textId="77777777" w:rsidR="003F5BBE" w:rsidRDefault="00737E93">
            <w:pPr>
              <w:spacing w:line="269" w:lineRule="auto"/>
              <w:jc w:val="right"/>
            </w:pPr>
            <w:r>
              <w:rPr>
                <w:b/>
                <w:color w:val="000000"/>
              </w:rPr>
              <w:t>Audited</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2E5ABCC7" w14:textId="77777777" w:rsidR="003F5BBE" w:rsidRDefault="00737E93">
            <w:pPr>
              <w:spacing w:line="269" w:lineRule="auto"/>
              <w:jc w:val="right"/>
            </w:pPr>
            <w:r>
              <w:rPr>
                <w:color w:val="000000"/>
              </w:rPr>
              <w:t>Audited</w:t>
            </w:r>
          </w:p>
        </w:tc>
      </w:tr>
      <w:tr w:rsidR="003F5BBE" w14:paraId="547039B9"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7121D031"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393CCE9A" w14:textId="77777777" w:rsidR="003F5BBE" w:rsidRDefault="00737E93">
            <w:pPr>
              <w:spacing w:line="269" w:lineRule="auto"/>
              <w:jc w:val="right"/>
            </w:pPr>
            <w:r>
              <w:rPr>
                <w:b/>
                <w:color w:val="000000"/>
              </w:rPr>
              <w:t>results</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6CCECBE0" w14:textId="77777777" w:rsidR="003F5BBE" w:rsidRDefault="00737E93">
            <w:pPr>
              <w:spacing w:line="269" w:lineRule="auto"/>
              <w:jc w:val="right"/>
            </w:pPr>
            <w:r>
              <w:rPr>
                <w:color w:val="000000"/>
              </w:rPr>
              <w:t>results</w:t>
            </w:r>
          </w:p>
        </w:tc>
      </w:tr>
      <w:tr w:rsidR="003F5BBE" w14:paraId="1DEF6C22"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70635707"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2E0EAC2B" w14:textId="77777777" w:rsidR="003F5BBE" w:rsidRDefault="00737E93">
            <w:pPr>
              <w:spacing w:line="269" w:lineRule="auto"/>
              <w:jc w:val="right"/>
            </w:pPr>
            <w:r>
              <w:rPr>
                <w:b/>
                <w:color w:val="000000"/>
              </w:rPr>
              <w:t>12 months to</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03EFB495" w14:textId="77777777" w:rsidR="003F5BBE" w:rsidRDefault="00737E93">
            <w:pPr>
              <w:spacing w:line="269" w:lineRule="auto"/>
              <w:jc w:val="right"/>
            </w:pPr>
            <w:r>
              <w:rPr>
                <w:color w:val="000000"/>
              </w:rPr>
              <w:t>12 months to</w:t>
            </w:r>
          </w:p>
        </w:tc>
      </w:tr>
      <w:tr w:rsidR="003F5BBE" w14:paraId="5C5C68E6"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05140A14"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6CD35DCE" w14:textId="77777777" w:rsidR="003F5BBE" w:rsidRDefault="00737E93">
            <w:pPr>
              <w:spacing w:line="269" w:lineRule="auto"/>
              <w:jc w:val="right"/>
            </w:pPr>
            <w:r>
              <w:rPr>
                <w:b/>
                <w:color w:val="000000"/>
              </w:rPr>
              <w:t xml:space="preserve">31 </w:t>
            </w:r>
            <w:r>
              <w:rPr>
                <w:b/>
                <w:color w:val="000000"/>
              </w:rPr>
              <w:t>December</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03C29F0D" w14:textId="77777777" w:rsidR="003F5BBE" w:rsidRDefault="00737E93">
            <w:pPr>
              <w:spacing w:line="269" w:lineRule="auto"/>
              <w:jc w:val="right"/>
            </w:pPr>
            <w:r>
              <w:rPr>
                <w:color w:val="000000"/>
              </w:rPr>
              <w:t>31 December</w:t>
            </w:r>
          </w:p>
        </w:tc>
      </w:tr>
      <w:tr w:rsidR="003F5BBE" w14:paraId="237658DC" w14:textId="77777777">
        <w:trPr>
          <w:cantSplit/>
          <w:trHeight w:hRule="exact" w:val="330"/>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60311BB7" w14:textId="77777777" w:rsidR="003F5BBE" w:rsidRDefault="00737E93">
            <w:pPr>
              <w:spacing w:line="269" w:lineRule="auto"/>
            </w:pPr>
            <w:r>
              <w:rPr>
                <w:color w:val="000000"/>
              </w:rPr>
              <w:t>Statutory results</w:t>
            </w: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5701255A" w14:textId="77777777" w:rsidR="003F5BBE" w:rsidRDefault="00737E93">
            <w:pPr>
              <w:spacing w:line="269" w:lineRule="auto"/>
              <w:jc w:val="right"/>
            </w:pPr>
            <w:r>
              <w:rPr>
                <w:b/>
                <w:color w:val="000000"/>
              </w:rPr>
              <w:t>2022</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6202E0C9" w14:textId="77777777" w:rsidR="003F5BBE" w:rsidRDefault="00737E93">
            <w:pPr>
              <w:spacing w:line="269" w:lineRule="auto"/>
              <w:jc w:val="right"/>
            </w:pPr>
            <w:r>
              <w:rPr>
                <w:color w:val="000000"/>
              </w:rPr>
              <w:t>2021</w:t>
            </w:r>
          </w:p>
        </w:tc>
      </w:tr>
      <w:tr w:rsidR="003F5BBE" w14:paraId="5B335E4E"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0E3BC199"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257EBD9C" w14:textId="77777777" w:rsidR="003F5BBE" w:rsidRDefault="00737E93">
            <w:pPr>
              <w:spacing w:line="269" w:lineRule="auto"/>
              <w:jc w:val="right"/>
            </w:pPr>
            <w:r>
              <w:rPr>
                <w:b/>
                <w:color w:val="000000"/>
              </w:rPr>
              <w:t>£m</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0A3CD7E7" w14:textId="77777777" w:rsidR="003F5BBE" w:rsidRDefault="00737E93">
            <w:pPr>
              <w:spacing w:line="269" w:lineRule="auto"/>
              <w:jc w:val="right"/>
            </w:pPr>
            <w:r>
              <w:rPr>
                <w:color w:val="000000"/>
              </w:rPr>
              <w:t>£m</w:t>
            </w:r>
          </w:p>
        </w:tc>
      </w:tr>
      <w:tr w:rsidR="003F5BBE" w14:paraId="1EEE46C9"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5CB5C8AD"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44E075BB" w14:textId="77777777" w:rsidR="003F5BBE" w:rsidRDefault="003F5BBE"/>
        </w:tc>
        <w:tc>
          <w:tcPr>
            <w:tcW w:w="2010" w:type="dxa"/>
            <w:tcBorders>
              <w:top w:val="nil"/>
              <w:left w:val="nil"/>
              <w:bottom w:val="nil"/>
              <w:right w:val="nil"/>
            </w:tcBorders>
            <w:shd w:val="clear" w:color="auto" w:fill="FFFFFF"/>
            <w:tcMar>
              <w:top w:w="0" w:type="dxa"/>
              <w:left w:w="0" w:type="dxa"/>
              <w:bottom w:w="0" w:type="dxa"/>
              <w:right w:w="0" w:type="dxa"/>
            </w:tcMar>
            <w:vAlign w:val="bottom"/>
          </w:tcPr>
          <w:p w14:paraId="72115B73" w14:textId="77777777" w:rsidR="003F5BBE" w:rsidRDefault="003F5BBE"/>
        </w:tc>
      </w:tr>
      <w:tr w:rsidR="003F5BBE" w14:paraId="3607B628" w14:textId="77777777">
        <w:trPr>
          <w:cantSplit/>
          <w:trHeight w:hRule="exact" w:val="585"/>
        </w:trPr>
        <w:tc>
          <w:tcPr>
            <w:tcW w:w="496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361E582C" w14:textId="77777777" w:rsidR="003F5BBE" w:rsidRDefault="00737E93">
            <w:pPr>
              <w:spacing w:line="269" w:lineRule="auto"/>
            </w:pPr>
            <w:r>
              <w:rPr>
                <w:color w:val="000000"/>
              </w:rPr>
              <w:t>Investment income</w:t>
            </w:r>
          </w:p>
        </w:tc>
        <w:tc>
          <w:tcPr>
            <w:tcW w:w="1980" w:type="dxa"/>
            <w:tcBorders>
              <w:top w:val="nil"/>
              <w:left w:val="nil"/>
              <w:bottom w:val="single" w:sz="8" w:space="0" w:color="000000"/>
              <w:right w:val="nil"/>
            </w:tcBorders>
            <w:shd w:val="clear" w:color="auto" w:fill="FFFFFF"/>
            <w:tcMar>
              <w:top w:w="0" w:type="dxa"/>
              <w:left w:w="0" w:type="dxa"/>
              <w:bottom w:w="0" w:type="dxa"/>
              <w:right w:w="53" w:type="dxa"/>
            </w:tcMar>
            <w:vAlign w:val="center"/>
          </w:tcPr>
          <w:p w14:paraId="452970F1" w14:textId="77777777" w:rsidR="003F5BBE" w:rsidRDefault="00737E93">
            <w:pPr>
              <w:spacing w:line="269" w:lineRule="auto"/>
              <w:jc w:val="right"/>
            </w:pPr>
            <w:r>
              <w:rPr>
                <w:color w:val="000000"/>
              </w:rPr>
              <w:t>66</w:t>
            </w:r>
          </w:p>
        </w:tc>
        <w:tc>
          <w:tcPr>
            <w:tcW w:w="2010" w:type="dxa"/>
            <w:tcBorders>
              <w:top w:val="nil"/>
              <w:left w:val="nil"/>
              <w:bottom w:val="single" w:sz="8" w:space="0" w:color="000000"/>
              <w:right w:val="nil"/>
            </w:tcBorders>
            <w:shd w:val="clear" w:color="auto" w:fill="FFFFFF"/>
            <w:tcMar>
              <w:top w:w="0" w:type="dxa"/>
              <w:left w:w="0" w:type="dxa"/>
              <w:bottom w:w="0" w:type="dxa"/>
              <w:right w:w="53" w:type="dxa"/>
            </w:tcMar>
            <w:vAlign w:val="center"/>
          </w:tcPr>
          <w:p w14:paraId="61DEA909" w14:textId="77777777" w:rsidR="003F5BBE" w:rsidRDefault="00737E93">
            <w:pPr>
              <w:spacing w:line="269" w:lineRule="auto"/>
              <w:jc w:val="right"/>
            </w:pPr>
            <w:r>
              <w:rPr>
                <w:color w:val="000000"/>
              </w:rPr>
              <w:t>66</w:t>
            </w:r>
          </w:p>
        </w:tc>
      </w:tr>
      <w:tr w:rsidR="003F5BBE" w14:paraId="5E2C1C86" w14:textId="77777777">
        <w:trPr>
          <w:cantSplit/>
          <w:trHeight w:hRule="exact" w:val="330"/>
        </w:trPr>
        <w:tc>
          <w:tcPr>
            <w:tcW w:w="49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0E3E7FB" w14:textId="77777777" w:rsidR="003F5BBE" w:rsidRDefault="003F5BBE"/>
        </w:tc>
        <w:tc>
          <w:tcPr>
            <w:tcW w:w="19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2478504" w14:textId="77777777" w:rsidR="003F5BBE" w:rsidRDefault="003F5BBE"/>
        </w:tc>
        <w:tc>
          <w:tcPr>
            <w:tcW w:w="201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CC6B575" w14:textId="77777777" w:rsidR="003F5BBE" w:rsidRDefault="003F5BBE"/>
        </w:tc>
      </w:tr>
      <w:tr w:rsidR="003F5BBE" w14:paraId="406902F7" w14:textId="77777777">
        <w:trPr>
          <w:cantSplit/>
          <w:trHeight w:hRule="exact" w:val="330"/>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5D4F2468" w14:textId="77777777" w:rsidR="003F5BBE" w:rsidRDefault="00737E93">
            <w:pPr>
              <w:spacing w:line="269" w:lineRule="auto"/>
            </w:pPr>
            <w:r>
              <w:rPr>
                <w:color w:val="000000"/>
              </w:rPr>
              <w:t>Total income</w:t>
            </w: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4034A0EB" w14:textId="77777777" w:rsidR="003F5BBE" w:rsidRDefault="00737E93">
            <w:pPr>
              <w:spacing w:line="269" w:lineRule="auto"/>
              <w:jc w:val="right"/>
            </w:pPr>
            <w:r>
              <w:rPr>
                <w:color w:val="000000"/>
              </w:rPr>
              <w:t>66</w:t>
            </w:r>
          </w:p>
        </w:tc>
        <w:tc>
          <w:tcPr>
            <w:tcW w:w="2010" w:type="dxa"/>
            <w:tcBorders>
              <w:top w:val="nil"/>
              <w:left w:val="nil"/>
              <w:bottom w:val="nil"/>
              <w:right w:val="nil"/>
            </w:tcBorders>
            <w:shd w:val="clear" w:color="auto" w:fill="FFFFFF"/>
            <w:tcMar>
              <w:top w:w="0" w:type="dxa"/>
              <w:left w:w="0" w:type="dxa"/>
              <w:bottom w:w="0" w:type="dxa"/>
              <w:right w:w="53" w:type="dxa"/>
            </w:tcMar>
            <w:vAlign w:val="center"/>
          </w:tcPr>
          <w:p w14:paraId="3E0E29DE" w14:textId="77777777" w:rsidR="003F5BBE" w:rsidRDefault="00737E93">
            <w:pPr>
              <w:spacing w:line="269" w:lineRule="auto"/>
              <w:jc w:val="right"/>
            </w:pPr>
            <w:r>
              <w:rPr>
                <w:color w:val="000000"/>
              </w:rPr>
              <w:t>66</w:t>
            </w:r>
          </w:p>
        </w:tc>
      </w:tr>
      <w:tr w:rsidR="003F5BBE" w14:paraId="2E318F3E" w14:textId="77777777">
        <w:trPr>
          <w:cantSplit/>
          <w:trHeight w:hRule="exact" w:val="330"/>
        </w:trPr>
        <w:tc>
          <w:tcPr>
            <w:tcW w:w="496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7A384FD" w14:textId="77777777" w:rsidR="003F5BBE" w:rsidRDefault="003F5BBE"/>
        </w:tc>
        <w:tc>
          <w:tcPr>
            <w:tcW w:w="198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731ADC8" w14:textId="77777777" w:rsidR="003F5BBE" w:rsidRDefault="003F5BBE"/>
        </w:tc>
        <w:tc>
          <w:tcPr>
            <w:tcW w:w="201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7E4C39F" w14:textId="77777777" w:rsidR="003F5BBE" w:rsidRDefault="003F5BBE"/>
        </w:tc>
      </w:tr>
      <w:tr w:rsidR="003F5BBE" w14:paraId="4092FCD2" w14:textId="77777777">
        <w:trPr>
          <w:cantSplit/>
          <w:trHeight w:hRule="exact" w:val="435"/>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3E510741" w14:textId="77777777" w:rsidR="003F5BBE" w:rsidRDefault="00737E93">
            <w:pPr>
              <w:keepNext/>
              <w:spacing w:line="269" w:lineRule="auto"/>
            </w:pPr>
            <w:r>
              <w:rPr>
                <w:color w:val="000000"/>
              </w:rPr>
              <w:t>Profit on ordinary activities before tax</w:t>
            </w:r>
          </w:p>
        </w:tc>
        <w:tc>
          <w:tcPr>
            <w:tcW w:w="1980" w:type="dxa"/>
            <w:tcBorders>
              <w:top w:val="single" w:sz="8" w:space="0" w:color="000000"/>
              <w:left w:val="nil"/>
              <w:bottom w:val="nil"/>
              <w:right w:val="nil"/>
            </w:tcBorders>
            <w:shd w:val="clear" w:color="auto" w:fill="FFFFFF"/>
            <w:tcMar>
              <w:top w:w="0" w:type="dxa"/>
              <w:left w:w="0" w:type="dxa"/>
              <w:bottom w:w="0" w:type="dxa"/>
              <w:right w:w="53" w:type="dxa"/>
            </w:tcMar>
            <w:vAlign w:val="center"/>
          </w:tcPr>
          <w:p w14:paraId="45901843" w14:textId="77777777" w:rsidR="003F5BBE" w:rsidRDefault="00737E93">
            <w:pPr>
              <w:keepNext/>
              <w:spacing w:line="269" w:lineRule="auto"/>
              <w:jc w:val="right"/>
            </w:pPr>
            <w:r>
              <w:rPr>
                <w:b/>
                <w:color w:val="000000"/>
              </w:rPr>
              <w:t>66</w:t>
            </w:r>
          </w:p>
        </w:tc>
        <w:tc>
          <w:tcPr>
            <w:tcW w:w="2010" w:type="dxa"/>
            <w:tcBorders>
              <w:top w:val="single" w:sz="8" w:space="0" w:color="000000"/>
              <w:left w:val="nil"/>
              <w:bottom w:val="nil"/>
              <w:right w:val="nil"/>
            </w:tcBorders>
            <w:shd w:val="clear" w:color="auto" w:fill="FFFFFF"/>
            <w:tcMar>
              <w:top w:w="0" w:type="dxa"/>
              <w:left w:w="0" w:type="dxa"/>
              <w:bottom w:w="0" w:type="dxa"/>
              <w:right w:w="53" w:type="dxa"/>
            </w:tcMar>
            <w:vAlign w:val="center"/>
          </w:tcPr>
          <w:p w14:paraId="43FF9F67" w14:textId="77777777" w:rsidR="003F5BBE" w:rsidRDefault="00737E93">
            <w:pPr>
              <w:keepNext/>
              <w:spacing w:line="269" w:lineRule="auto"/>
              <w:jc w:val="right"/>
            </w:pPr>
            <w:r>
              <w:rPr>
                <w:color w:val="000000"/>
              </w:rPr>
              <w:t>66</w:t>
            </w:r>
          </w:p>
        </w:tc>
      </w:tr>
      <w:tr w:rsidR="003F5BBE" w14:paraId="06229092" w14:textId="77777777">
        <w:trPr>
          <w:cantSplit/>
          <w:trHeight w:hRule="exact" w:val="555"/>
        </w:trPr>
        <w:tc>
          <w:tcPr>
            <w:tcW w:w="496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14:paraId="61F9EC4A" w14:textId="77777777" w:rsidR="003F5BBE" w:rsidRDefault="00737E93">
            <w:pPr>
              <w:spacing w:line="269" w:lineRule="auto"/>
            </w:pPr>
            <w:r>
              <w:rPr>
                <w:color w:val="000000"/>
              </w:rPr>
              <w:t>Tax on profit on ordinary activities</w:t>
            </w:r>
          </w:p>
        </w:tc>
        <w:tc>
          <w:tcPr>
            <w:tcW w:w="1980" w:type="dxa"/>
            <w:tcBorders>
              <w:top w:val="nil"/>
              <w:left w:val="nil"/>
              <w:bottom w:val="single" w:sz="8" w:space="0" w:color="000000"/>
              <w:right w:val="nil"/>
            </w:tcBorders>
            <w:tcMar>
              <w:top w:w="0" w:type="dxa"/>
              <w:left w:w="0" w:type="dxa"/>
              <w:bottom w:w="0" w:type="dxa"/>
              <w:right w:w="15" w:type="dxa"/>
            </w:tcMar>
            <w:vAlign w:val="center"/>
          </w:tcPr>
          <w:p w14:paraId="4BEAB138" w14:textId="77777777" w:rsidR="003F5BBE" w:rsidRDefault="00737E93">
            <w:pPr>
              <w:tabs>
                <w:tab w:val="left" w:pos="1736"/>
                <w:tab w:val="left" w:pos="1912"/>
              </w:tabs>
              <w:jc w:val="right"/>
            </w:pPr>
            <w:r>
              <w:rPr>
                <w:rFonts w:ascii="Arial" w:eastAsia="Arial" w:hAnsi="Arial" w:cs="Arial"/>
                <w:b/>
                <w:color w:val="000000"/>
                <w:sz w:val="20"/>
              </w:rPr>
              <w:tab/>
              <w:t>–</w:t>
            </w:r>
            <w:r>
              <w:rPr>
                <w:rFonts w:ascii="Arial" w:eastAsia="Arial" w:hAnsi="Arial" w:cs="Arial"/>
                <w:b/>
                <w:color w:val="000000"/>
                <w:sz w:val="20"/>
              </w:rPr>
              <w:tab/>
            </w:r>
          </w:p>
        </w:tc>
        <w:tc>
          <w:tcPr>
            <w:tcW w:w="2010" w:type="dxa"/>
            <w:tcBorders>
              <w:top w:val="nil"/>
              <w:left w:val="nil"/>
              <w:bottom w:val="single" w:sz="8" w:space="0" w:color="000000"/>
              <w:right w:val="nil"/>
            </w:tcBorders>
            <w:tcMar>
              <w:top w:w="0" w:type="dxa"/>
              <w:left w:w="0" w:type="dxa"/>
              <w:bottom w:w="0" w:type="dxa"/>
              <w:right w:w="15" w:type="dxa"/>
            </w:tcMar>
            <w:vAlign w:val="center"/>
          </w:tcPr>
          <w:p w14:paraId="059D7F20" w14:textId="77777777" w:rsidR="003F5BBE" w:rsidRDefault="00737E93">
            <w:pPr>
              <w:tabs>
                <w:tab w:val="left" w:pos="1766"/>
                <w:tab w:val="left" w:pos="1942"/>
              </w:tabs>
              <w:jc w:val="right"/>
            </w:pPr>
            <w:r>
              <w:rPr>
                <w:rFonts w:ascii="Arial" w:eastAsia="Arial" w:hAnsi="Arial" w:cs="Arial"/>
                <w:color w:val="000000"/>
                <w:sz w:val="20"/>
              </w:rPr>
              <w:tab/>
              <w:t>–</w:t>
            </w:r>
            <w:r>
              <w:rPr>
                <w:rFonts w:ascii="Arial" w:eastAsia="Arial" w:hAnsi="Arial" w:cs="Arial"/>
                <w:color w:val="000000"/>
                <w:sz w:val="20"/>
              </w:rPr>
              <w:tab/>
            </w:r>
          </w:p>
        </w:tc>
      </w:tr>
      <w:tr w:rsidR="003F5BBE" w14:paraId="43111F73" w14:textId="77777777">
        <w:trPr>
          <w:cantSplit/>
          <w:trHeight w:hRule="exact" w:val="525"/>
        </w:trPr>
        <w:tc>
          <w:tcPr>
            <w:tcW w:w="49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7710EF60" w14:textId="77777777" w:rsidR="003F5BBE" w:rsidRDefault="00737E93">
            <w:pPr>
              <w:spacing w:line="269" w:lineRule="auto"/>
            </w:pPr>
            <w:r>
              <w:rPr>
                <w:color w:val="000000"/>
              </w:rPr>
              <w:t>Profit for the period</w:t>
            </w:r>
          </w:p>
        </w:tc>
        <w:tc>
          <w:tcPr>
            <w:tcW w:w="19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14:paraId="5FBC3ADF" w14:textId="77777777" w:rsidR="003F5BBE" w:rsidRDefault="00737E93">
            <w:pPr>
              <w:spacing w:line="269" w:lineRule="auto"/>
              <w:jc w:val="right"/>
            </w:pPr>
            <w:r>
              <w:rPr>
                <w:b/>
                <w:color w:val="000000"/>
              </w:rPr>
              <w:t>66</w:t>
            </w:r>
          </w:p>
        </w:tc>
        <w:tc>
          <w:tcPr>
            <w:tcW w:w="201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14:paraId="532B66BC" w14:textId="77777777" w:rsidR="003F5BBE" w:rsidRDefault="00737E93">
            <w:pPr>
              <w:spacing w:line="269" w:lineRule="auto"/>
              <w:jc w:val="right"/>
            </w:pPr>
            <w:r>
              <w:rPr>
                <w:color w:val="000000"/>
              </w:rPr>
              <w:t>66</w:t>
            </w:r>
          </w:p>
        </w:tc>
      </w:tr>
      <w:tr w:rsidR="003F5BBE" w14:paraId="071EF3FF" w14:textId="77777777">
        <w:trPr>
          <w:cantSplit/>
          <w:trHeight w:hRule="exact" w:val="525"/>
        </w:trPr>
        <w:tc>
          <w:tcPr>
            <w:tcW w:w="49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02F060DD" w14:textId="77777777" w:rsidR="003F5BBE" w:rsidRDefault="00737E93">
            <w:pPr>
              <w:spacing w:line="269" w:lineRule="auto"/>
            </w:pPr>
            <w:r>
              <w:rPr>
                <w:color w:val="000000"/>
              </w:rPr>
              <w:t xml:space="preserve">Basic </w:t>
            </w:r>
            <w:r>
              <w:rPr>
                <w:color w:val="000000"/>
              </w:rPr>
              <w:t>earnings per share (pence)</w:t>
            </w:r>
          </w:p>
        </w:tc>
        <w:tc>
          <w:tcPr>
            <w:tcW w:w="1980" w:type="dxa"/>
            <w:tcBorders>
              <w:top w:val="single" w:sz="8" w:space="0" w:color="000000"/>
              <w:left w:val="nil"/>
              <w:bottom w:val="single" w:sz="8" w:space="0" w:color="000000"/>
              <w:right w:val="nil"/>
            </w:tcBorders>
            <w:tcMar>
              <w:top w:w="0" w:type="dxa"/>
              <w:left w:w="0" w:type="dxa"/>
              <w:bottom w:w="0" w:type="dxa"/>
              <w:right w:w="53" w:type="dxa"/>
            </w:tcMar>
            <w:vAlign w:val="center"/>
          </w:tcPr>
          <w:p w14:paraId="5AC0A8D8" w14:textId="77777777" w:rsidR="003F5BBE" w:rsidRDefault="00737E93">
            <w:pPr>
              <w:jc w:val="right"/>
            </w:pPr>
            <w:r>
              <w:rPr>
                <w:b/>
                <w:color w:val="000000"/>
              </w:rPr>
              <w:t>0.24</w:t>
            </w:r>
          </w:p>
        </w:tc>
        <w:tc>
          <w:tcPr>
            <w:tcW w:w="2010" w:type="dxa"/>
            <w:tcBorders>
              <w:top w:val="single" w:sz="8" w:space="0" w:color="000000"/>
              <w:left w:val="nil"/>
              <w:bottom w:val="single" w:sz="8" w:space="0" w:color="000000"/>
              <w:right w:val="nil"/>
            </w:tcBorders>
            <w:tcMar>
              <w:top w:w="0" w:type="dxa"/>
              <w:left w:w="0" w:type="dxa"/>
              <w:bottom w:w="0" w:type="dxa"/>
              <w:right w:w="53" w:type="dxa"/>
            </w:tcMar>
            <w:vAlign w:val="center"/>
          </w:tcPr>
          <w:p w14:paraId="2C1A46E8" w14:textId="77777777" w:rsidR="003F5BBE" w:rsidRDefault="00737E93">
            <w:pPr>
              <w:jc w:val="right"/>
            </w:pPr>
            <w:r>
              <w:rPr>
                <w:color w:val="000000"/>
              </w:rPr>
              <w:t>0.24</w:t>
            </w:r>
          </w:p>
        </w:tc>
      </w:tr>
    </w:tbl>
    <w:p w14:paraId="49833C94" w14:textId="77777777" w:rsidR="003F5BBE" w:rsidRDefault="003F5BBE">
      <w:pPr>
        <w:spacing w:line="276" w:lineRule="auto"/>
        <w:rPr>
          <w:rFonts w:ascii="Arial" w:eastAsia="Arial" w:hAnsi="Arial" w:cs="Arial"/>
        </w:rPr>
      </w:pPr>
    </w:p>
    <w:p w14:paraId="4AB7C36B" w14:textId="77777777" w:rsidR="003F5BBE" w:rsidRDefault="003F5BBE">
      <w:pPr>
        <w:spacing w:line="276" w:lineRule="auto"/>
        <w:rPr>
          <w:rFonts w:ascii="Arial" w:eastAsia="Arial" w:hAnsi="Arial" w:cs="Arial"/>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5"/>
        <w:gridCol w:w="1980"/>
        <w:gridCol w:w="2025"/>
      </w:tblGrid>
      <w:tr w:rsidR="003F5BBE" w14:paraId="47B5B58A" w14:textId="77777777">
        <w:trPr>
          <w:cantSplit/>
          <w:trHeight w:hRule="exact" w:val="255"/>
        </w:trPr>
        <w:tc>
          <w:tcPr>
            <w:tcW w:w="4965" w:type="dxa"/>
            <w:vMerge w:val="restart"/>
            <w:tcBorders>
              <w:top w:val="nil"/>
              <w:left w:val="nil"/>
              <w:bottom w:val="nil"/>
              <w:right w:val="nil"/>
            </w:tcBorders>
            <w:shd w:val="clear" w:color="auto" w:fill="FFFFFF"/>
            <w:tcMar>
              <w:top w:w="0" w:type="dxa"/>
              <w:left w:w="53" w:type="dxa"/>
              <w:bottom w:w="0" w:type="dxa"/>
              <w:right w:w="53" w:type="dxa"/>
            </w:tcMar>
            <w:vAlign w:val="center"/>
          </w:tcPr>
          <w:p w14:paraId="06D0CEEB" w14:textId="77777777" w:rsidR="003F5BBE" w:rsidRDefault="00737E93">
            <w:pPr>
              <w:keepNext/>
              <w:spacing w:line="269" w:lineRule="auto"/>
            </w:pPr>
            <w:proofErr w:type="spellStart"/>
            <w:r>
              <w:rPr>
                <w:b/>
                <w:color w:val="000000"/>
              </w:rPr>
              <w:t>Summarised</w:t>
            </w:r>
            <w:proofErr w:type="spellEnd"/>
            <w:r>
              <w:rPr>
                <w:b/>
                <w:color w:val="000000"/>
              </w:rPr>
              <w:t xml:space="preserve"> statement of financial position</w:t>
            </w: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139EC831" w14:textId="77777777" w:rsidR="003F5BBE" w:rsidRDefault="00737E93">
            <w:pPr>
              <w:keepNext/>
              <w:spacing w:line="269" w:lineRule="auto"/>
              <w:jc w:val="right"/>
            </w:pPr>
            <w:r>
              <w:rPr>
                <w:b/>
                <w:color w:val="000000"/>
              </w:rPr>
              <w:t>Audited</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4D72C9D4" w14:textId="77777777" w:rsidR="003F5BBE" w:rsidRDefault="00737E93">
            <w:pPr>
              <w:keepNext/>
              <w:spacing w:line="269" w:lineRule="auto"/>
              <w:jc w:val="right"/>
            </w:pPr>
            <w:r>
              <w:rPr>
                <w:color w:val="000000"/>
              </w:rPr>
              <w:t>Audited</w:t>
            </w:r>
          </w:p>
        </w:tc>
      </w:tr>
      <w:tr w:rsidR="003F5BBE" w14:paraId="4DB2BC93" w14:textId="77777777">
        <w:trPr>
          <w:cantSplit/>
          <w:trHeight w:hRule="exact" w:val="315"/>
        </w:trPr>
        <w:tc>
          <w:tcPr>
            <w:tcW w:w="4965" w:type="dxa"/>
            <w:vMerge/>
            <w:tcBorders>
              <w:top w:val="nil"/>
              <w:left w:val="nil"/>
              <w:bottom w:val="nil"/>
              <w:right w:val="nil"/>
            </w:tcBorders>
          </w:tcPr>
          <w:p w14:paraId="21023BB6"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6DB98104" w14:textId="77777777" w:rsidR="003F5BBE" w:rsidRDefault="00737E93">
            <w:pPr>
              <w:keepNext/>
              <w:spacing w:line="269" w:lineRule="auto"/>
              <w:jc w:val="right"/>
            </w:pPr>
            <w:r>
              <w:rPr>
                <w:b/>
                <w:color w:val="000000"/>
              </w:rPr>
              <w:t>31 December</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009776BC" w14:textId="77777777" w:rsidR="003F5BBE" w:rsidRDefault="00737E93">
            <w:pPr>
              <w:keepNext/>
              <w:spacing w:line="269" w:lineRule="auto"/>
              <w:jc w:val="right"/>
            </w:pPr>
            <w:r>
              <w:rPr>
                <w:color w:val="000000"/>
              </w:rPr>
              <w:t>31 December</w:t>
            </w:r>
          </w:p>
        </w:tc>
      </w:tr>
      <w:tr w:rsidR="003F5BBE" w14:paraId="2363BAB7" w14:textId="77777777">
        <w:trPr>
          <w:cantSplit/>
          <w:trHeight w:hRule="exact" w:val="255"/>
        </w:trPr>
        <w:tc>
          <w:tcPr>
            <w:tcW w:w="4965" w:type="dxa"/>
            <w:vMerge/>
            <w:tcBorders>
              <w:top w:val="nil"/>
              <w:left w:val="nil"/>
              <w:bottom w:val="nil"/>
              <w:right w:val="nil"/>
            </w:tcBorders>
          </w:tcPr>
          <w:p w14:paraId="5CF928AC"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5D9A288C" w14:textId="77777777" w:rsidR="003F5BBE" w:rsidRDefault="00737E93">
            <w:pPr>
              <w:keepNext/>
              <w:spacing w:line="269" w:lineRule="auto"/>
              <w:jc w:val="right"/>
            </w:pPr>
            <w:r>
              <w:rPr>
                <w:b/>
                <w:color w:val="000000"/>
              </w:rPr>
              <w:t>2022</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7E12696F" w14:textId="77777777" w:rsidR="003F5BBE" w:rsidRDefault="00737E93">
            <w:pPr>
              <w:keepNext/>
              <w:spacing w:line="269" w:lineRule="auto"/>
              <w:jc w:val="right"/>
            </w:pPr>
            <w:r>
              <w:rPr>
                <w:color w:val="000000"/>
              </w:rPr>
              <w:t>2021</w:t>
            </w:r>
          </w:p>
        </w:tc>
      </w:tr>
      <w:tr w:rsidR="003F5BBE" w14:paraId="1901A8D1" w14:textId="77777777">
        <w:trPr>
          <w:cantSplit/>
          <w:trHeight w:hRule="exact" w:val="330"/>
        </w:trPr>
        <w:tc>
          <w:tcPr>
            <w:tcW w:w="4965" w:type="dxa"/>
            <w:vMerge/>
            <w:tcBorders>
              <w:top w:val="nil"/>
              <w:left w:val="nil"/>
              <w:bottom w:val="nil"/>
              <w:right w:val="nil"/>
            </w:tcBorders>
          </w:tcPr>
          <w:p w14:paraId="43FECDD4"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212B2592" w14:textId="77777777" w:rsidR="003F5BBE" w:rsidRDefault="00737E93">
            <w:pPr>
              <w:spacing w:line="269" w:lineRule="auto"/>
              <w:jc w:val="right"/>
            </w:pPr>
            <w:r>
              <w:rPr>
                <w:b/>
                <w:color w:val="000000"/>
              </w:rPr>
              <w:t>£m</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0F4D0691" w14:textId="77777777" w:rsidR="003F5BBE" w:rsidRDefault="00737E93">
            <w:pPr>
              <w:spacing w:line="269" w:lineRule="auto"/>
              <w:jc w:val="right"/>
            </w:pPr>
            <w:r>
              <w:rPr>
                <w:color w:val="000000"/>
              </w:rPr>
              <w:t>£m</w:t>
            </w:r>
          </w:p>
        </w:tc>
      </w:tr>
      <w:tr w:rsidR="003F5BBE" w14:paraId="510C68A3" w14:textId="77777777">
        <w:trPr>
          <w:cantSplit/>
          <w:trHeight w:hRule="exact" w:val="315"/>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6FB61FFB"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38F5DA05" w14:textId="77777777" w:rsidR="003F5BBE" w:rsidRDefault="003F5BBE"/>
        </w:tc>
        <w:tc>
          <w:tcPr>
            <w:tcW w:w="2025" w:type="dxa"/>
            <w:tcBorders>
              <w:top w:val="nil"/>
              <w:left w:val="nil"/>
              <w:bottom w:val="nil"/>
              <w:right w:val="nil"/>
            </w:tcBorders>
            <w:shd w:val="clear" w:color="auto" w:fill="FFFFFF"/>
            <w:tcMar>
              <w:top w:w="0" w:type="dxa"/>
              <w:left w:w="0" w:type="dxa"/>
              <w:bottom w:w="0" w:type="dxa"/>
              <w:right w:w="0" w:type="dxa"/>
            </w:tcMar>
            <w:vAlign w:val="bottom"/>
          </w:tcPr>
          <w:p w14:paraId="4AB9B2C7" w14:textId="77777777" w:rsidR="003F5BBE" w:rsidRDefault="003F5BBE"/>
        </w:tc>
      </w:tr>
      <w:tr w:rsidR="003F5BBE" w14:paraId="2C7E1A99" w14:textId="77777777">
        <w:trPr>
          <w:cantSplit/>
          <w:trHeight w:hRule="exact" w:val="330"/>
        </w:trPr>
        <w:tc>
          <w:tcPr>
            <w:tcW w:w="4965" w:type="dxa"/>
            <w:tcBorders>
              <w:top w:val="nil"/>
              <w:left w:val="nil"/>
              <w:bottom w:val="single" w:sz="8" w:space="0" w:color="000000"/>
              <w:right w:val="nil"/>
            </w:tcBorders>
            <w:tcMar>
              <w:top w:w="0" w:type="dxa"/>
              <w:left w:w="53" w:type="dxa"/>
              <w:bottom w:w="0" w:type="dxa"/>
              <w:right w:w="53" w:type="dxa"/>
            </w:tcMar>
            <w:vAlign w:val="center"/>
          </w:tcPr>
          <w:p w14:paraId="64172814" w14:textId="77777777" w:rsidR="003F5BBE" w:rsidRDefault="00737E93">
            <w:r>
              <w:rPr>
                <w:color w:val="000000"/>
              </w:rPr>
              <w:t>Total assets</w:t>
            </w:r>
          </w:p>
        </w:tc>
        <w:tc>
          <w:tcPr>
            <w:tcW w:w="1980" w:type="dxa"/>
            <w:tcBorders>
              <w:top w:val="nil"/>
              <w:left w:val="nil"/>
              <w:bottom w:val="single" w:sz="8" w:space="0" w:color="000000"/>
              <w:right w:val="nil"/>
            </w:tcBorders>
            <w:tcMar>
              <w:top w:w="0" w:type="dxa"/>
              <w:left w:w="0" w:type="dxa"/>
              <w:bottom w:w="0" w:type="dxa"/>
              <w:right w:w="15" w:type="dxa"/>
            </w:tcMar>
            <w:vAlign w:val="center"/>
          </w:tcPr>
          <w:p w14:paraId="67697290" w14:textId="77777777" w:rsidR="003F5BBE" w:rsidRDefault="00737E93">
            <w:pPr>
              <w:tabs>
                <w:tab w:val="left" w:pos="1174"/>
                <w:tab w:val="left" w:pos="1912"/>
              </w:tabs>
              <w:jc w:val="right"/>
            </w:pPr>
            <w:r>
              <w:rPr>
                <w:b/>
                <w:color w:val="000000"/>
              </w:rPr>
              <w:tab/>
              <w:t>13,932</w:t>
            </w:r>
            <w:r>
              <w:rPr>
                <w:b/>
                <w:color w:val="000000"/>
              </w:rPr>
              <w:tab/>
            </w:r>
          </w:p>
        </w:tc>
        <w:tc>
          <w:tcPr>
            <w:tcW w:w="2025" w:type="dxa"/>
            <w:tcBorders>
              <w:top w:val="nil"/>
              <w:left w:val="nil"/>
              <w:bottom w:val="single" w:sz="8" w:space="0" w:color="000000"/>
              <w:right w:val="nil"/>
            </w:tcBorders>
            <w:tcMar>
              <w:top w:w="0" w:type="dxa"/>
              <w:left w:w="0" w:type="dxa"/>
              <w:bottom w:w="0" w:type="dxa"/>
              <w:right w:w="15" w:type="dxa"/>
            </w:tcMar>
            <w:vAlign w:val="center"/>
          </w:tcPr>
          <w:p w14:paraId="535CDC59" w14:textId="77777777" w:rsidR="003F5BBE" w:rsidRDefault="00737E93">
            <w:pPr>
              <w:tabs>
                <w:tab w:val="left" w:pos="1219"/>
                <w:tab w:val="left" w:pos="1957"/>
              </w:tabs>
              <w:jc w:val="right"/>
            </w:pPr>
            <w:r>
              <w:rPr>
                <w:color w:val="000000"/>
              </w:rPr>
              <w:tab/>
              <w:t>13,932</w:t>
            </w:r>
            <w:r>
              <w:rPr>
                <w:color w:val="000000"/>
              </w:rPr>
              <w:tab/>
            </w:r>
          </w:p>
        </w:tc>
      </w:tr>
      <w:tr w:rsidR="003F5BBE" w14:paraId="60ED57DE" w14:textId="77777777">
        <w:trPr>
          <w:cantSplit/>
          <w:trHeight w:hRule="exact" w:val="315"/>
        </w:trPr>
        <w:tc>
          <w:tcPr>
            <w:tcW w:w="49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CCF385E" w14:textId="77777777" w:rsidR="003F5BBE" w:rsidRDefault="003F5BBE"/>
        </w:tc>
        <w:tc>
          <w:tcPr>
            <w:tcW w:w="19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4B277B8" w14:textId="77777777" w:rsidR="003F5BBE" w:rsidRDefault="003F5BBE"/>
        </w:tc>
        <w:tc>
          <w:tcPr>
            <w:tcW w:w="20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DA79434" w14:textId="77777777" w:rsidR="003F5BBE" w:rsidRDefault="003F5BBE"/>
        </w:tc>
      </w:tr>
      <w:tr w:rsidR="003F5BBE" w14:paraId="70CCC257" w14:textId="77777777">
        <w:trPr>
          <w:cantSplit/>
          <w:trHeight w:hRule="exact" w:val="360"/>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0C50DCB5" w14:textId="77777777" w:rsidR="003F5BBE" w:rsidRDefault="00737E93">
            <w:pPr>
              <w:keepNext/>
              <w:spacing w:line="269" w:lineRule="auto"/>
            </w:pPr>
            <w:r>
              <w:rPr>
                <w:color w:val="000000"/>
              </w:rPr>
              <w:t>Equity attributable to ordinary shareholders</w:t>
            </w:r>
          </w:p>
        </w:tc>
        <w:tc>
          <w:tcPr>
            <w:tcW w:w="1980" w:type="dxa"/>
            <w:tcBorders>
              <w:top w:val="nil"/>
              <w:left w:val="nil"/>
              <w:bottom w:val="nil"/>
              <w:right w:val="nil"/>
            </w:tcBorders>
            <w:tcMar>
              <w:top w:w="0" w:type="dxa"/>
              <w:left w:w="0" w:type="dxa"/>
              <w:bottom w:w="0" w:type="dxa"/>
              <w:right w:w="15" w:type="dxa"/>
            </w:tcMar>
            <w:vAlign w:val="center"/>
          </w:tcPr>
          <w:p w14:paraId="152FC54D" w14:textId="77777777" w:rsidR="003F5BBE" w:rsidRDefault="00737E93">
            <w:pPr>
              <w:keepNext/>
              <w:tabs>
                <w:tab w:val="left" w:pos="1174"/>
                <w:tab w:val="left" w:pos="1912"/>
              </w:tabs>
              <w:jc w:val="right"/>
            </w:pPr>
            <w:r>
              <w:rPr>
                <w:b/>
                <w:color w:val="000000"/>
              </w:rPr>
              <w:tab/>
              <w:t>13,682</w:t>
            </w:r>
            <w:r>
              <w:rPr>
                <w:b/>
                <w:color w:val="000000"/>
              </w:rPr>
              <w:tab/>
            </w:r>
          </w:p>
        </w:tc>
        <w:tc>
          <w:tcPr>
            <w:tcW w:w="2025" w:type="dxa"/>
            <w:tcBorders>
              <w:top w:val="nil"/>
              <w:left w:val="nil"/>
              <w:bottom w:val="nil"/>
              <w:right w:val="nil"/>
            </w:tcBorders>
            <w:tcMar>
              <w:top w:w="0" w:type="dxa"/>
              <w:left w:w="0" w:type="dxa"/>
              <w:bottom w:w="0" w:type="dxa"/>
              <w:right w:w="15" w:type="dxa"/>
            </w:tcMar>
            <w:vAlign w:val="center"/>
          </w:tcPr>
          <w:p w14:paraId="64B0E1A1" w14:textId="77777777" w:rsidR="003F5BBE" w:rsidRDefault="00737E93">
            <w:pPr>
              <w:keepNext/>
              <w:tabs>
                <w:tab w:val="left" w:pos="1219"/>
                <w:tab w:val="left" w:pos="1957"/>
              </w:tabs>
              <w:jc w:val="right"/>
            </w:pPr>
            <w:r>
              <w:rPr>
                <w:color w:val="000000"/>
              </w:rPr>
              <w:tab/>
              <w:t>13,682</w:t>
            </w:r>
            <w:r>
              <w:rPr>
                <w:color w:val="000000"/>
              </w:rPr>
              <w:tab/>
            </w:r>
          </w:p>
        </w:tc>
      </w:tr>
      <w:tr w:rsidR="003F5BBE" w14:paraId="465DBB48" w14:textId="77777777">
        <w:trPr>
          <w:cantSplit/>
          <w:trHeight w:hRule="exact" w:val="315"/>
        </w:trPr>
        <w:tc>
          <w:tcPr>
            <w:tcW w:w="4965" w:type="dxa"/>
            <w:tcBorders>
              <w:top w:val="nil"/>
              <w:left w:val="nil"/>
              <w:bottom w:val="nil"/>
              <w:right w:val="nil"/>
            </w:tcBorders>
            <w:tcMar>
              <w:top w:w="0" w:type="dxa"/>
              <w:left w:w="53" w:type="dxa"/>
              <w:bottom w:w="0" w:type="dxa"/>
              <w:right w:w="53" w:type="dxa"/>
            </w:tcMar>
            <w:vAlign w:val="center"/>
          </w:tcPr>
          <w:p w14:paraId="7A48702C" w14:textId="77777777" w:rsidR="003F5BBE" w:rsidRDefault="00737E93">
            <w:r>
              <w:rPr>
                <w:color w:val="000000"/>
              </w:rPr>
              <w:t>Preference share capital</w:t>
            </w:r>
          </w:p>
        </w:tc>
        <w:tc>
          <w:tcPr>
            <w:tcW w:w="1980" w:type="dxa"/>
            <w:tcBorders>
              <w:top w:val="nil"/>
              <w:left w:val="nil"/>
              <w:bottom w:val="nil"/>
              <w:right w:val="nil"/>
            </w:tcBorders>
            <w:tcMar>
              <w:top w:w="0" w:type="dxa"/>
              <w:left w:w="0" w:type="dxa"/>
              <w:bottom w:w="0" w:type="dxa"/>
              <w:right w:w="15" w:type="dxa"/>
            </w:tcMar>
            <w:vAlign w:val="center"/>
          </w:tcPr>
          <w:p w14:paraId="48044FD4" w14:textId="77777777" w:rsidR="003F5BBE" w:rsidRDefault="00737E93">
            <w:pPr>
              <w:tabs>
                <w:tab w:val="left" w:pos="1474"/>
                <w:tab w:val="left" w:pos="1912"/>
              </w:tabs>
              <w:jc w:val="right"/>
            </w:pPr>
            <w:r>
              <w:rPr>
                <w:b/>
                <w:color w:val="000000"/>
              </w:rPr>
              <w:tab/>
              <w:t>250</w:t>
            </w:r>
            <w:r>
              <w:rPr>
                <w:b/>
                <w:color w:val="000000"/>
              </w:rPr>
              <w:tab/>
            </w:r>
          </w:p>
        </w:tc>
        <w:tc>
          <w:tcPr>
            <w:tcW w:w="2025" w:type="dxa"/>
            <w:tcBorders>
              <w:top w:val="nil"/>
              <w:left w:val="nil"/>
              <w:bottom w:val="nil"/>
              <w:right w:val="nil"/>
            </w:tcBorders>
            <w:tcMar>
              <w:top w:w="0" w:type="dxa"/>
              <w:left w:w="0" w:type="dxa"/>
              <w:bottom w:w="0" w:type="dxa"/>
              <w:right w:w="15" w:type="dxa"/>
            </w:tcMar>
            <w:vAlign w:val="center"/>
          </w:tcPr>
          <w:p w14:paraId="68775DFE" w14:textId="77777777" w:rsidR="003F5BBE" w:rsidRDefault="00737E93">
            <w:pPr>
              <w:tabs>
                <w:tab w:val="left" w:pos="1519"/>
                <w:tab w:val="left" w:pos="1957"/>
              </w:tabs>
              <w:jc w:val="right"/>
            </w:pPr>
            <w:r>
              <w:rPr>
                <w:color w:val="000000"/>
              </w:rPr>
              <w:tab/>
              <w:t>250</w:t>
            </w:r>
            <w:r>
              <w:rPr>
                <w:color w:val="000000"/>
              </w:rPr>
              <w:tab/>
            </w:r>
          </w:p>
        </w:tc>
      </w:tr>
      <w:tr w:rsidR="003F5BBE" w14:paraId="427FE798" w14:textId="77777777">
        <w:trPr>
          <w:cantSplit/>
          <w:trHeight w:hRule="exact" w:val="255"/>
        </w:trPr>
        <w:tc>
          <w:tcPr>
            <w:tcW w:w="496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4E6831D" w14:textId="77777777" w:rsidR="003F5BBE" w:rsidRDefault="003F5BBE"/>
        </w:tc>
        <w:tc>
          <w:tcPr>
            <w:tcW w:w="198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A40ADB9" w14:textId="77777777" w:rsidR="003F5BBE" w:rsidRDefault="003F5BBE"/>
        </w:tc>
        <w:tc>
          <w:tcPr>
            <w:tcW w:w="202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E558944" w14:textId="77777777" w:rsidR="003F5BBE" w:rsidRDefault="003F5BBE"/>
        </w:tc>
      </w:tr>
      <w:tr w:rsidR="003F5BBE" w14:paraId="65BBB9A0" w14:textId="77777777">
        <w:trPr>
          <w:cantSplit/>
          <w:trHeight w:hRule="exact" w:val="315"/>
        </w:trPr>
        <w:tc>
          <w:tcPr>
            <w:tcW w:w="4965" w:type="dxa"/>
            <w:tcBorders>
              <w:top w:val="single" w:sz="8" w:space="0" w:color="000000"/>
              <w:left w:val="nil"/>
              <w:bottom w:val="nil"/>
              <w:right w:val="nil"/>
            </w:tcBorders>
            <w:tcMar>
              <w:top w:w="0" w:type="dxa"/>
              <w:left w:w="53" w:type="dxa"/>
              <w:bottom w:w="0" w:type="dxa"/>
              <w:right w:w="53" w:type="dxa"/>
            </w:tcMar>
            <w:vAlign w:val="center"/>
          </w:tcPr>
          <w:p w14:paraId="3FE48FA8" w14:textId="77777777" w:rsidR="003F5BBE" w:rsidRDefault="00737E93">
            <w:r>
              <w:rPr>
                <w:color w:val="000000"/>
              </w:rPr>
              <w:t>Total equity</w:t>
            </w:r>
          </w:p>
        </w:tc>
        <w:tc>
          <w:tcPr>
            <w:tcW w:w="1980" w:type="dxa"/>
            <w:tcBorders>
              <w:top w:val="single" w:sz="8" w:space="0" w:color="000000"/>
              <w:left w:val="nil"/>
              <w:bottom w:val="nil"/>
              <w:right w:val="nil"/>
            </w:tcBorders>
            <w:tcMar>
              <w:top w:w="0" w:type="dxa"/>
              <w:left w:w="0" w:type="dxa"/>
              <w:bottom w:w="0" w:type="dxa"/>
              <w:right w:w="15" w:type="dxa"/>
            </w:tcMar>
            <w:vAlign w:val="center"/>
          </w:tcPr>
          <w:p w14:paraId="3E67E6EA" w14:textId="77777777" w:rsidR="003F5BBE" w:rsidRDefault="00737E93">
            <w:pPr>
              <w:tabs>
                <w:tab w:val="left" w:pos="1174"/>
                <w:tab w:val="left" w:pos="1912"/>
              </w:tabs>
              <w:jc w:val="right"/>
            </w:pPr>
            <w:r>
              <w:rPr>
                <w:b/>
                <w:color w:val="000000"/>
              </w:rPr>
              <w:tab/>
              <w:t>13,932</w:t>
            </w:r>
            <w:r>
              <w:rPr>
                <w:b/>
                <w:color w:val="000000"/>
              </w:rPr>
              <w:tab/>
            </w:r>
          </w:p>
        </w:tc>
        <w:tc>
          <w:tcPr>
            <w:tcW w:w="2025" w:type="dxa"/>
            <w:tcBorders>
              <w:top w:val="single" w:sz="8" w:space="0" w:color="000000"/>
              <w:left w:val="nil"/>
              <w:bottom w:val="nil"/>
              <w:right w:val="nil"/>
            </w:tcBorders>
            <w:tcMar>
              <w:top w:w="0" w:type="dxa"/>
              <w:left w:w="0" w:type="dxa"/>
              <w:bottom w:w="0" w:type="dxa"/>
              <w:right w:w="15" w:type="dxa"/>
            </w:tcMar>
            <w:vAlign w:val="center"/>
          </w:tcPr>
          <w:p w14:paraId="33127267" w14:textId="77777777" w:rsidR="003F5BBE" w:rsidRDefault="00737E93">
            <w:pPr>
              <w:tabs>
                <w:tab w:val="left" w:pos="1219"/>
                <w:tab w:val="left" w:pos="1957"/>
              </w:tabs>
              <w:jc w:val="right"/>
            </w:pPr>
            <w:r>
              <w:rPr>
                <w:color w:val="000000"/>
              </w:rPr>
              <w:tab/>
              <w:t>13,932</w:t>
            </w:r>
            <w:r>
              <w:rPr>
                <w:color w:val="000000"/>
              </w:rPr>
              <w:tab/>
            </w:r>
          </w:p>
        </w:tc>
      </w:tr>
      <w:tr w:rsidR="003F5BBE" w14:paraId="205E77C4" w14:textId="77777777">
        <w:trPr>
          <w:cantSplit/>
          <w:trHeight w:hRule="exact" w:val="255"/>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6DCD11A7"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6F2B2E66" w14:textId="77777777" w:rsidR="003F5BBE" w:rsidRDefault="003F5BBE"/>
        </w:tc>
        <w:tc>
          <w:tcPr>
            <w:tcW w:w="2025" w:type="dxa"/>
            <w:tcBorders>
              <w:top w:val="nil"/>
              <w:left w:val="nil"/>
              <w:bottom w:val="nil"/>
              <w:right w:val="nil"/>
            </w:tcBorders>
            <w:shd w:val="clear" w:color="auto" w:fill="FFFFFF"/>
            <w:tcMar>
              <w:top w:w="0" w:type="dxa"/>
              <w:left w:w="0" w:type="dxa"/>
              <w:bottom w:w="0" w:type="dxa"/>
              <w:right w:w="0" w:type="dxa"/>
            </w:tcMar>
            <w:vAlign w:val="bottom"/>
          </w:tcPr>
          <w:p w14:paraId="669FED46" w14:textId="77777777" w:rsidR="003F5BBE" w:rsidRDefault="003F5BBE"/>
        </w:tc>
      </w:tr>
      <w:tr w:rsidR="003F5BBE" w14:paraId="468DDAEE" w14:textId="77777777">
        <w:trPr>
          <w:cantSplit/>
          <w:trHeight w:hRule="exact" w:val="285"/>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63254BCE" w14:textId="77777777" w:rsidR="003F5BBE" w:rsidRDefault="00737E93">
            <w:pPr>
              <w:spacing w:line="269" w:lineRule="auto"/>
            </w:pPr>
            <w:r>
              <w:rPr>
                <w:color w:val="000000"/>
              </w:rPr>
              <w:t>Liabilities</w:t>
            </w:r>
          </w:p>
        </w:tc>
        <w:tc>
          <w:tcPr>
            <w:tcW w:w="1980" w:type="dxa"/>
            <w:tcBorders>
              <w:top w:val="nil"/>
              <w:left w:val="nil"/>
              <w:bottom w:val="nil"/>
              <w:right w:val="nil"/>
            </w:tcBorders>
            <w:tcMar>
              <w:top w:w="0" w:type="dxa"/>
              <w:left w:w="0" w:type="dxa"/>
              <w:bottom w:w="0" w:type="dxa"/>
              <w:right w:w="15" w:type="dxa"/>
            </w:tcMar>
            <w:vAlign w:val="center"/>
          </w:tcPr>
          <w:p w14:paraId="28DA011E" w14:textId="77777777" w:rsidR="003F5BBE" w:rsidRDefault="00737E93">
            <w:pPr>
              <w:tabs>
                <w:tab w:val="left" w:pos="1723"/>
                <w:tab w:val="left" w:pos="1912"/>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nil"/>
              <w:left w:val="nil"/>
              <w:bottom w:val="nil"/>
              <w:right w:val="nil"/>
            </w:tcBorders>
            <w:tcMar>
              <w:top w:w="0" w:type="dxa"/>
              <w:left w:w="0" w:type="dxa"/>
              <w:bottom w:w="0" w:type="dxa"/>
              <w:right w:w="15" w:type="dxa"/>
            </w:tcMar>
            <w:vAlign w:val="center"/>
          </w:tcPr>
          <w:p w14:paraId="4E69A939" w14:textId="77777777" w:rsidR="003F5BBE" w:rsidRDefault="00737E93">
            <w:pPr>
              <w:tabs>
                <w:tab w:val="left" w:pos="1768"/>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5F705B9A" w14:textId="77777777">
        <w:trPr>
          <w:cantSplit/>
          <w:trHeight w:hRule="exact" w:val="345"/>
        </w:trPr>
        <w:tc>
          <w:tcPr>
            <w:tcW w:w="4965" w:type="dxa"/>
            <w:tcBorders>
              <w:top w:val="single" w:sz="8" w:space="0" w:color="000000"/>
              <w:left w:val="nil"/>
              <w:bottom w:val="single" w:sz="8" w:space="0" w:color="000000"/>
              <w:right w:val="nil"/>
            </w:tcBorders>
            <w:tcMar>
              <w:top w:w="0" w:type="dxa"/>
              <w:left w:w="53" w:type="dxa"/>
              <w:bottom w:w="0" w:type="dxa"/>
              <w:right w:w="53" w:type="dxa"/>
            </w:tcMar>
            <w:vAlign w:val="center"/>
          </w:tcPr>
          <w:p w14:paraId="4B14B387" w14:textId="77777777" w:rsidR="003F5BBE" w:rsidRDefault="00737E93">
            <w:pPr>
              <w:keepNext/>
            </w:pPr>
            <w:r>
              <w:rPr>
                <w:color w:val="000000"/>
              </w:rPr>
              <w:t>Total equity and liabilities</w:t>
            </w:r>
          </w:p>
        </w:tc>
        <w:tc>
          <w:tcPr>
            <w:tcW w:w="1980" w:type="dxa"/>
            <w:tcBorders>
              <w:top w:val="single" w:sz="8" w:space="0" w:color="000000"/>
              <w:left w:val="nil"/>
              <w:bottom w:val="single" w:sz="8" w:space="0" w:color="000000"/>
              <w:right w:val="nil"/>
            </w:tcBorders>
            <w:tcMar>
              <w:top w:w="0" w:type="dxa"/>
              <w:left w:w="0" w:type="dxa"/>
              <w:bottom w:w="0" w:type="dxa"/>
              <w:right w:w="15" w:type="dxa"/>
            </w:tcMar>
            <w:vAlign w:val="center"/>
          </w:tcPr>
          <w:p w14:paraId="74381E6D" w14:textId="77777777" w:rsidR="003F5BBE" w:rsidRDefault="00737E93">
            <w:pPr>
              <w:keepNext/>
              <w:tabs>
                <w:tab w:val="left" w:pos="1174"/>
                <w:tab w:val="left" w:pos="1912"/>
              </w:tabs>
              <w:jc w:val="right"/>
            </w:pPr>
            <w:r>
              <w:rPr>
                <w:b/>
                <w:color w:val="000000"/>
              </w:rPr>
              <w:tab/>
              <w:t>13,932</w:t>
            </w:r>
            <w:r>
              <w:rPr>
                <w:b/>
                <w:color w:val="00000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27F43A61" w14:textId="77777777" w:rsidR="003F5BBE" w:rsidRDefault="00737E93">
            <w:pPr>
              <w:keepNext/>
              <w:tabs>
                <w:tab w:val="left" w:pos="1219"/>
                <w:tab w:val="left" w:pos="1957"/>
              </w:tabs>
              <w:jc w:val="right"/>
            </w:pPr>
            <w:r>
              <w:rPr>
                <w:color w:val="000000"/>
              </w:rPr>
              <w:tab/>
              <w:t>13,932</w:t>
            </w:r>
            <w:r>
              <w:rPr>
                <w:color w:val="000000"/>
              </w:rPr>
              <w:tab/>
            </w:r>
          </w:p>
        </w:tc>
      </w:tr>
      <w:tr w:rsidR="003F5BBE" w14:paraId="0923C671" w14:textId="77777777">
        <w:trPr>
          <w:cantSplit/>
          <w:trHeight w:hRule="exact" w:val="315"/>
        </w:trPr>
        <w:tc>
          <w:tcPr>
            <w:tcW w:w="49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476FDE8" w14:textId="77777777" w:rsidR="003F5BBE" w:rsidRDefault="003F5BBE"/>
        </w:tc>
        <w:tc>
          <w:tcPr>
            <w:tcW w:w="19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3F79AC1" w14:textId="77777777" w:rsidR="003F5BBE" w:rsidRDefault="003F5BBE"/>
        </w:tc>
        <w:tc>
          <w:tcPr>
            <w:tcW w:w="20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CF8A021" w14:textId="77777777" w:rsidR="003F5BBE" w:rsidRDefault="003F5BBE"/>
        </w:tc>
      </w:tr>
      <w:tr w:rsidR="003F5BBE" w14:paraId="638655A5" w14:textId="77777777">
        <w:trPr>
          <w:cantSplit/>
          <w:trHeight w:hRule="exact" w:val="33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3C809639"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2C0FD2E3" w14:textId="77777777" w:rsidR="003F5BBE" w:rsidRDefault="003F5BBE"/>
        </w:tc>
        <w:tc>
          <w:tcPr>
            <w:tcW w:w="2025" w:type="dxa"/>
            <w:tcBorders>
              <w:top w:val="nil"/>
              <w:left w:val="nil"/>
              <w:bottom w:val="nil"/>
              <w:right w:val="nil"/>
            </w:tcBorders>
            <w:shd w:val="clear" w:color="auto" w:fill="FFFFFF"/>
            <w:tcMar>
              <w:top w:w="0" w:type="dxa"/>
              <w:left w:w="0" w:type="dxa"/>
              <w:bottom w:w="0" w:type="dxa"/>
              <w:right w:w="0" w:type="dxa"/>
            </w:tcMar>
            <w:vAlign w:val="bottom"/>
          </w:tcPr>
          <w:p w14:paraId="761A218F" w14:textId="77777777" w:rsidR="003F5BBE" w:rsidRDefault="003F5BBE"/>
        </w:tc>
      </w:tr>
      <w:tr w:rsidR="003F5BBE" w14:paraId="283D07A3" w14:textId="77777777">
        <w:trPr>
          <w:cantSplit/>
          <w:trHeight w:hRule="exact" w:val="270"/>
        </w:trPr>
        <w:tc>
          <w:tcPr>
            <w:tcW w:w="4965" w:type="dxa"/>
            <w:vMerge w:val="restart"/>
            <w:tcBorders>
              <w:top w:val="nil"/>
              <w:left w:val="nil"/>
              <w:bottom w:val="nil"/>
              <w:right w:val="nil"/>
            </w:tcBorders>
            <w:shd w:val="clear" w:color="auto" w:fill="FFFFFF"/>
            <w:tcMar>
              <w:top w:w="0" w:type="dxa"/>
              <w:left w:w="53" w:type="dxa"/>
              <w:bottom w:w="0" w:type="dxa"/>
              <w:right w:w="53" w:type="dxa"/>
            </w:tcMar>
            <w:vAlign w:val="center"/>
          </w:tcPr>
          <w:p w14:paraId="33908DF5" w14:textId="77777777" w:rsidR="003F5BBE" w:rsidRDefault="00737E93">
            <w:pPr>
              <w:spacing w:line="269" w:lineRule="auto"/>
            </w:pPr>
            <w:r>
              <w:rPr>
                <w:b/>
                <w:color w:val="000000"/>
              </w:rPr>
              <w:t>Statement of changes in equity</w:t>
            </w: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4BA2C2E0" w14:textId="77777777" w:rsidR="003F5BBE" w:rsidRDefault="00737E93">
            <w:pPr>
              <w:spacing w:line="269" w:lineRule="auto"/>
              <w:jc w:val="right"/>
            </w:pPr>
            <w:r>
              <w:rPr>
                <w:b/>
                <w:color w:val="000000"/>
              </w:rPr>
              <w:t>Audited</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3E1AE12B" w14:textId="77777777" w:rsidR="003F5BBE" w:rsidRDefault="00737E93">
            <w:pPr>
              <w:spacing w:line="269" w:lineRule="auto"/>
              <w:jc w:val="right"/>
            </w:pPr>
            <w:r>
              <w:rPr>
                <w:color w:val="000000"/>
              </w:rPr>
              <w:t>Audited</w:t>
            </w:r>
          </w:p>
        </w:tc>
      </w:tr>
      <w:tr w:rsidR="003F5BBE" w14:paraId="19666FFA" w14:textId="77777777">
        <w:trPr>
          <w:cantSplit/>
          <w:trHeight w:hRule="exact" w:val="270"/>
        </w:trPr>
        <w:tc>
          <w:tcPr>
            <w:tcW w:w="4965" w:type="dxa"/>
            <w:vMerge/>
            <w:tcBorders>
              <w:top w:val="nil"/>
              <w:left w:val="nil"/>
              <w:bottom w:val="nil"/>
              <w:right w:val="nil"/>
            </w:tcBorders>
          </w:tcPr>
          <w:p w14:paraId="485AC9F6" w14:textId="77777777" w:rsidR="003F5BBE" w:rsidRDefault="003F5BBE"/>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5E02C2B9" w14:textId="77777777" w:rsidR="003F5BBE" w:rsidRDefault="00737E93">
            <w:pPr>
              <w:spacing w:line="269" w:lineRule="auto"/>
              <w:jc w:val="right"/>
            </w:pPr>
            <w:r>
              <w:rPr>
                <w:b/>
                <w:color w:val="000000"/>
              </w:rPr>
              <w:t>results</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2AF523AD" w14:textId="77777777" w:rsidR="003F5BBE" w:rsidRDefault="00737E93">
            <w:pPr>
              <w:spacing w:line="269" w:lineRule="auto"/>
              <w:jc w:val="right"/>
            </w:pPr>
            <w:r>
              <w:rPr>
                <w:color w:val="000000"/>
              </w:rPr>
              <w:t>results</w:t>
            </w:r>
          </w:p>
        </w:tc>
      </w:tr>
      <w:tr w:rsidR="003F5BBE" w14:paraId="6A98C6DB" w14:textId="77777777">
        <w:trPr>
          <w:cantSplit/>
          <w:trHeight w:hRule="exact" w:val="285"/>
        </w:trPr>
        <w:tc>
          <w:tcPr>
            <w:tcW w:w="4965" w:type="dxa"/>
            <w:vMerge/>
            <w:tcBorders>
              <w:top w:val="nil"/>
              <w:left w:val="nil"/>
              <w:bottom w:val="nil"/>
              <w:right w:val="nil"/>
            </w:tcBorders>
          </w:tcPr>
          <w:p w14:paraId="09E29248"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54127A12" w14:textId="77777777" w:rsidR="003F5BBE" w:rsidRDefault="00737E93">
            <w:pPr>
              <w:keepNext/>
              <w:spacing w:line="269" w:lineRule="auto"/>
              <w:jc w:val="right"/>
            </w:pPr>
            <w:r>
              <w:rPr>
                <w:b/>
                <w:color w:val="000000"/>
              </w:rPr>
              <w:t>12 months to</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63E1DAEE" w14:textId="77777777" w:rsidR="003F5BBE" w:rsidRDefault="00737E93">
            <w:pPr>
              <w:keepNext/>
              <w:spacing w:line="269" w:lineRule="auto"/>
              <w:jc w:val="right"/>
            </w:pPr>
            <w:r>
              <w:rPr>
                <w:color w:val="000000"/>
              </w:rPr>
              <w:t>12 months to</w:t>
            </w:r>
          </w:p>
        </w:tc>
      </w:tr>
      <w:tr w:rsidR="003F5BBE" w14:paraId="7954221C" w14:textId="77777777">
        <w:trPr>
          <w:cantSplit/>
          <w:trHeight w:hRule="exact" w:val="300"/>
        </w:trPr>
        <w:tc>
          <w:tcPr>
            <w:tcW w:w="4965" w:type="dxa"/>
            <w:vMerge/>
            <w:tcBorders>
              <w:top w:val="nil"/>
              <w:left w:val="nil"/>
              <w:bottom w:val="nil"/>
              <w:right w:val="nil"/>
            </w:tcBorders>
          </w:tcPr>
          <w:p w14:paraId="0211BD11"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7D8EF22A" w14:textId="77777777" w:rsidR="003F5BBE" w:rsidRDefault="00737E93">
            <w:pPr>
              <w:keepNext/>
              <w:spacing w:line="269" w:lineRule="auto"/>
              <w:jc w:val="right"/>
            </w:pPr>
            <w:r>
              <w:rPr>
                <w:b/>
                <w:color w:val="000000"/>
              </w:rPr>
              <w:t xml:space="preserve">31 </w:t>
            </w:r>
            <w:r>
              <w:rPr>
                <w:b/>
                <w:color w:val="000000"/>
              </w:rPr>
              <w:t>December</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6FED2FEA" w14:textId="77777777" w:rsidR="003F5BBE" w:rsidRDefault="00737E93">
            <w:pPr>
              <w:keepNext/>
              <w:spacing w:line="269" w:lineRule="auto"/>
              <w:jc w:val="right"/>
            </w:pPr>
            <w:r>
              <w:rPr>
                <w:color w:val="000000"/>
              </w:rPr>
              <w:t>31 December</w:t>
            </w:r>
          </w:p>
        </w:tc>
      </w:tr>
      <w:tr w:rsidR="003F5BBE" w14:paraId="7252C48B" w14:textId="77777777">
        <w:trPr>
          <w:cantSplit/>
          <w:trHeight w:hRule="exact" w:val="285"/>
        </w:trPr>
        <w:tc>
          <w:tcPr>
            <w:tcW w:w="4965" w:type="dxa"/>
            <w:vMerge/>
            <w:tcBorders>
              <w:top w:val="nil"/>
              <w:left w:val="nil"/>
              <w:bottom w:val="nil"/>
              <w:right w:val="nil"/>
            </w:tcBorders>
          </w:tcPr>
          <w:p w14:paraId="2BAD80FD"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3A3A2448" w14:textId="77777777" w:rsidR="003F5BBE" w:rsidRDefault="00737E93">
            <w:pPr>
              <w:keepNext/>
              <w:spacing w:line="269" w:lineRule="auto"/>
              <w:jc w:val="right"/>
            </w:pPr>
            <w:r>
              <w:rPr>
                <w:b/>
                <w:color w:val="000000"/>
              </w:rPr>
              <w:t>2022</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638EA4BD" w14:textId="77777777" w:rsidR="003F5BBE" w:rsidRDefault="00737E93">
            <w:pPr>
              <w:keepNext/>
              <w:spacing w:line="269" w:lineRule="auto"/>
              <w:jc w:val="right"/>
            </w:pPr>
            <w:r>
              <w:rPr>
                <w:color w:val="000000"/>
              </w:rPr>
              <w:t>2021</w:t>
            </w:r>
          </w:p>
        </w:tc>
      </w:tr>
      <w:tr w:rsidR="003F5BBE" w14:paraId="774744FE" w14:textId="77777777">
        <w:trPr>
          <w:cantSplit/>
          <w:trHeight w:hRule="exact" w:val="300"/>
        </w:trPr>
        <w:tc>
          <w:tcPr>
            <w:tcW w:w="4965" w:type="dxa"/>
            <w:vMerge/>
            <w:tcBorders>
              <w:top w:val="nil"/>
              <w:left w:val="nil"/>
              <w:bottom w:val="nil"/>
              <w:right w:val="nil"/>
            </w:tcBorders>
          </w:tcPr>
          <w:p w14:paraId="6C4AF930"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53" w:type="dxa"/>
            </w:tcMar>
            <w:vAlign w:val="center"/>
          </w:tcPr>
          <w:p w14:paraId="13468779" w14:textId="77777777" w:rsidR="003F5BBE" w:rsidRDefault="00737E93">
            <w:pPr>
              <w:keepNext/>
              <w:spacing w:line="269" w:lineRule="auto"/>
              <w:jc w:val="right"/>
            </w:pPr>
            <w:r>
              <w:rPr>
                <w:b/>
                <w:color w:val="000000"/>
              </w:rPr>
              <w:t>£m</w:t>
            </w:r>
          </w:p>
        </w:tc>
        <w:tc>
          <w:tcPr>
            <w:tcW w:w="2025" w:type="dxa"/>
            <w:tcBorders>
              <w:top w:val="nil"/>
              <w:left w:val="nil"/>
              <w:bottom w:val="nil"/>
              <w:right w:val="nil"/>
            </w:tcBorders>
            <w:shd w:val="clear" w:color="auto" w:fill="FFFFFF"/>
            <w:tcMar>
              <w:top w:w="0" w:type="dxa"/>
              <w:left w:w="0" w:type="dxa"/>
              <w:bottom w:w="0" w:type="dxa"/>
              <w:right w:w="53" w:type="dxa"/>
            </w:tcMar>
            <w:vAlign w:val="center"/>
          </w:tcPr>
          <w:p w14:paraId="13C7E921" w14:textId="77777777" w:rsidR="003F5BBE" w:rsidRDefault="00737E93">
            <w:pPr>
              <w:keepNext/>
              <w:spacing w:line="269" w:lineRule="auto"/>
              <w:jc w:val="right"/>
            </w:pPr>
            <w:r>
              <w:rPr>
                <w:color w:val="000000"/>
              </w:rPr>
              <w:t>£m</w:t>
            </w:r>
          </w:p>
        </w:tc>
      </w:tr>
      <w:tr w:rsidR="003F5BBE" w14:paraId="6D46FACD" w14:textId="77777777">
        <w:trPr>
          <w:cantSplit/>
          <w:trHeight w:hRule="exact" w:val="270"/>
        </w:trPr>
        <w:tc>
          <w:tcPr>
            <w:tcW w:w="4965" w:type="dxa"/>
            <w:tcBorders>
              <w:top w:val="nil"/>
              <w:left w:val="nil"/>
              <w:bottom w:val="nil"/>
              <w:right w:val="nil"/>
            </w:tcBorders>
            <w:shd w:val="clear" w:color="auto" w:fill="FFFFFF"/>
            <w:tcMar>
              <w:top w:w="0" w:type="dxa"/>
              <w:left w:w="0" w:type="dxa"/>
              <w:bottom w:w="0" w:type="dxa"/>
              <w:right w:w="0" w:type="dxa"/>
            </w:tcMar>
            <w:vAlign w:val="bottom"/>
          </w:tcPr>
          <w:p w14:paraId="042EB259" w14:textId="77777777" w:rsidR="003F5BBE" w:rsidRDefault="003F5BBE">
            <w:pPr>
              <w:keepNext/>
            </w:pPr>
          </w:p>
        </w:tc>
        <w:tc>
          <w:tcPr>
            <w:tcW w:w="1980" w:type="dxa"/>
            <w:tcBorders>
              <w:top w:val="nil"/>
              <w:left w:val="nil"/>
              <w:bottom w:val="nil"/>
              <w:right w:val="nil"/>
            </w:tcBorders>
            <w:shd w:val="clear" w:color="auto" w:fill="FFFFFF"/>
            <w:tcMar>
              <w:top w:w="0" w:type="dxa"/>
              <w:left w:w="0" w:type="dxa"/>
              <w:bottom w:w="0" w:type="dxa"/>
              <w:right w:w="0" w:type="dxa"/>
            </w:tcMar>
            <w:vAlign w:val="bottom"/>
          </w:tcPr>
          <w:p w14:paraId="0E7CAD5E" w14:textId="77777777" w:rsidR="003F5BBE" w:rsidRDefault="003F5BBE">
            <w:pPr>
              <w:keepNext/>
            </w:pPr>
          </w:p>
        </w:tc>
        <w:tc>
          <w:tcPr>
            <w:tcW w:w="2025" w:type="dxa"/>
            <w:tcBorders>
              <w:top w:val="nil"/>
              <w:left w:val="nil"/>
              <w:bottom w:val="nil"/>
              <w:right w:val="nil"/>
            </w:tcBorders>
            <w:tcMar>
              <w:top w:w="0" w:type="dxa"/>
              <w:left w:w="0" w:type="dxa"/>
              <w:bottom w:w="0" w:type="dxa"/>
              <w:right w:w="0" w:type="dxa"/>
            </w:tcMar>
            <w:vAlign w:val="bottom"/>
          </w:tcPr>
          <w:p w14:paraId="6013A8FE" w14:textId="77777777" w:rsidR="003F5BBE" w:rsidRDefault="003F5BBE">
            <w:pPr>
              <w:keepNext/>
            </w:pPr>
          </w:p>
        </w:tc>
      </w:tr>
      <w:tr w:rsidR="003F5BBE" w14:paraId="4A380DF5" w14:textId="77777777">
        <w:trPr>
          <w:cantSplit/>
          <w:trHeight w:hRule="exact" w:val="315"/>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57108534" w14:textId="77777777" w:rsidR="003F5BBE" w:rsidRDefault="00737E93">
            <w:pPr>
              <w:spacing w:line="269" w:lineRule="auto"/>
            </w:pPr>
            <w:r>
              <w:rPr>
                <w:b/>
                <w:color w:val="000000"/>
              </w:rPr>
              <w:t>Total equity at 1 January</w:t>
            </w:r>
          </w:p>
        </w:tc>
        <w:tc>
          <w:tcPr>
            <w:tcW w:w="1980" w:type="dxa"/>
            <w:tcBorders>
              <w:top w:val="nil"/>
              <w:left w:val="nil"/>
              <w:bottom w:val="nil"/>
              <w:right w:val="nil"/>
            </w:tcBorders>
            <w:tcMar>
              <w:top w:w="0" w:type="dxa"/>
              <w:left w:w="0" w:type="dxa"/>
              <w:bottom w:w="0" w:type="dxa"/>
              <w:right w:w="15" w:type="dxa"/>
            </w:tcMar>
            <w:vAlign w:val="center"/>
          </w:tcPr>
          <w:p w14:paraId="2FD30A1D" w14:textId="77777777" w:rsidR="003F5BBE" w:rsidRDefault="00737E93">
            <w:pPr>
              <w:tabs>
                <w:tab w:val="left" w:pos="1174"/>
                <w:tab w:val="left" w:pos="1912"/>
              </w:tabs>
              <w:jc w:val="right"/>
            </w:pPr>
            <w:r>
              <w:rPr>
                <w:b/>
                <w:color w:val="000000"/>
              </w:rPr>
              <w:tab/>
              <w:t>13,932</w:t>
            </w:r>
            <w:r>
              <w:rPr>
                <w:b/>
                <w:color w:val="000000"/>
              </w:rPr>
              <w:tab/>
            </w:r>
          </w:p>
        </w:tc>
        <w:tc>
          <w:tcPr>
            <w:tcW w:w="2025" w:type="dxa"/>
            <w:tcBorders>
              <w:top w:val="nil"/>
              <w:left w:val="nil"/>
              <w:bottom w:val="nil"/>
              <w:right w:val="nil"/>
            </w:tcBorders>
            <w:tcMar>
              <w:top w:w="0" w:type="dxa"/>
              <w:left w:w="0" w:type="dxa"/>
              <w:bottom w:w="0" w:type="dxa"/>
              <w:right w:w="15" w:type="dxa"/>
            </w:tcMar>
            <w:vAlign w:val="center"/>
          </w:tcPr>
          <w:p w14:paraId="4E37B56E" w14:textId="77777777" w:rsidR="003F5BBE" w:rsidRDefault="00737E93">
            <w:pPr>
              <w:tabs>
                <w:tab w:val="left" w:pos="1219"/>
                <w:tab w:val="left" w:pos="1957"/>
              </w:tabs>
              <w:jc w:val="right"/>
            </w:pPr>
            <w:r>
              <w:rPr>
                <w:color w:val="000000"/>
              </w:rPr>
              <w:tab/>
              <w:t>13,932</w:t>
            </w:r>
            <w:r>
              <w:rPr>
                <w:color w:val="000000"/>
              </w:rPr>
              <w:tab/>
            </w:r>
          </w:p>
        </w:tc>
      </w:tr>
      <w:tr w:rsidR="003F5BBE" w14:paraId="33482185" w14:textId="77777777">
        <w:trPr>
          <w:cantSplit/>
          <w:trHeight w:hRule="exact" w:val="315"/>
        </w:trPr>
        <w:tc>
          <w:tcPr>
            <w:tcW w:w="496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37C5767" w14:textId="77777777" w:rsidR="003F5BBE" w:rsidRDefault="003F5BBE"/>
        </w:tc>
        <w:tc>
          <w:tcPr>
            <w:tcW w:w="198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431FDBC" w14:textId="77777777" w:rsidR="003F5BBE" w:rsidRDefault="003F5BBE"/>
        </w:tc>
        <w:tc>
          <w:tcPr>
            <w:tcW w:w="202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CDFDDAD" w14:textId="77777777" w:rsidR="003F5BBE" w:rsidRDefault="003F5BBE"/>
        </w:tc>
      </w:tr>
      <w:tr w:rsidR="003F5BBE" w14:paraId="774D777B" w14:textId="77777777">
        <w:trPr>
          <w:cantSplit/>
          <w:trHeight w:hRule="exact" w:val="315"/>
        </w:trPr>
        <w:tc>
          <w:tcPr>
            <w:tcW w:w="49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14:paraId="713AC5E7" w14:textId="77777777" w:rsidR="003F5BBE" w:rsidRDefault="00737E93">
            <w:pPr>
              <w:spacing w:line="269" w:lineRule="auto"/>
            </w:pPr>
            <w:r>
              <w:rPr>
                <w:color w:val="000000"/>
              </w:rPr>
              <w:t>Profit for the period</w:t>
            </w:r>
          </w:p>
        </w:tc>
        <w:tc>
          <w:tcPr>
            <w:tcW w:w="1980" w:type="dxa"/>
            <w:tcBorders>
              <w:top w:val="single" w:sz="8" w:space="0" w:color="000000"/>
              <w:left w:val="nil"/>
              <w:bottom w:val="single" w:sz="8" w:space="0" w:color="000000"/>
              <w:right w:val="nil"/>
            </w:tcBorders>
            <w:tcMar>
              <w:top w:w="0" w:type="dxa"/>
              <w:left w:w="0" w:type="dxa"/>
              <w:bottom w:w="0" w:type="dxa"/>
              <w:right w:w="15" w:type="dxa"/>
            </w:tcMar>
            <w:vAlign w:val="center"/>
          </w:tcPr>
          <w:p w14:paraId="76C71FE8" w14:textId="77777777" w:rsidR="003F5BBE" w:rsidRDefault="00737E93">
            <w:pPr>
              <w:tabs>
                <w:tab w:val="left" w:pos="1594"/>
                <w:tab w:val="left" w:pos="1912"/>
              </w:tabs>
              <w:jc w:val="right"/>
            </w:pPr>
            <w:r>
              <w:rPr>
                <w:b/>
                <w:color w:val="000000"/>
              </w:rPr>
              <w:tab/>
              <w:t>66</w:t>
            </w:r>
            <w:r>
              <w:rPr>
                <w:b/>
                <w:color w:val="000000"/>
              </w:rPr>
              <w:tab/>
            </w:r>
          </w:p>
        </w:tc>
        <w:tc>
          <w:tcPr>
            <w:tcW w:w="2025" w:type="dxa"/>
            <w:tcBorders>
              <w:top w:val="single" w:sz="8" w:space="0" w:color="000000"/>
              <w:left w:val="nil"/>
              <w:bottom w:val="single" w:sz="8" w:space="0" w:color="000000"/>
              <w:right w:val="single" w:sz="16" w:space="0" w:color="000000"/>
            </w:tcBorders>
            <w:tcMar>
              <w:top w:w="0" w:type="dxa"/>
              <w:left w:w="0" w:type="dxa"/>
              <w:bottom w:w="0" w:type="dxa"/>
              <w:right w:w="15" w:type="dxa"/>
            </w:tcMar>
            <w:vAlign w:val="center"/>
          </w:tcPr>
          <w:p w14:paraId="50200430" w14:textId="77777777" w:rsidR="003F5BBE" w:rsidRDefault="00737E93">
            <w:pPr>
              <w:tabs>
                <w:tab w:val="left" w:pos="1639"/>
                <w:tab w:val="left" w:pos="1957"/>
              </w:tabs>
              <w:jc w:val="right"/>
            </w:pPr>
            <w:r>
              <w:rPr>
                <w:color w:val="000000"/>
              </w:rPr>
              <w:tab/>
              <w:t>66</w:t>
            </w:r>
            <w:r>
              <w:rPr>
                <w:color w:val="000000"/>
              </w:rPr>
              <w:tab/>
            </w:r>
          </w:p>
        </w:tc>
      </w:tr>
      <w:tr w:rsidR="003F5BBE" w14:paraId="4E28C9C3" w14:textId="77777777">
        <w:trPr>
          <w:cantSplit/>
          <w:trHeight w:hRule="exact" w:val="675"/>
        </w:trPr>
        <w:tc>
          <w:tcPr>
            <w:tcW w:w="4965" w:type="dxa"/>
            <w:tcBorders>
              <w:top w:val="single" w:sz="8" w:space="0" w:color="000000"/>
              <w:left w:val="nil"/>
              <w:bottom w:val="nil"/>
              <w:right w:val="nil"/>
            </w:tcBorders>
            <w:shd w:val="clear" w:color="auto" w:fill="FFFFFF"/>
            <w:tcMar>
              <w:top w:w="0" w:type="dxa"/>
              <w:left w:w="53" w:type="dxa"/>
              <w:bottom w:w="0" w:type="dxa"/>
              <w:right w:w="53" w:type="dxa"/>
            </w:tcMar>
            <w:vAlign w:val="center"/>
          </w:tcPr>
          <w:p w14:paraId="71EDA5E9" w14:textId="77777777" w:rsidR="003F5BBE" w:rsidRDefault="003F5BBE">
            <w:pPr>
              <w:spacing w:line="269" w:lineRule="auto"/>
            </w:pPr>
          </w:p>
          <w:p w14:paraId="4502E224" w14:textId="77777777" w:rsidR="003F5BBE" w:rsidRDefault="00737E93">
            <w:pPr>
              <w:spacing w:line="269" w:lineRule="auto"/>
            </w:pPr>
            <w:r>
              <w:rPr>
                <w:b/>
                <w:color w:val="000000"/>
              </w:rPr>
              <w:t>Total comprehensive income for the period</w:t>
            </w:r>
          </w:p>
        </w:tc>
        <w:tc>
          <w:tcPr>
            <w:tcW w:w="1980" w:type="dxa"/>
            <w:tcBorders>
              <w:top w:val="single" w:sz="8" w:space="0" w:color="000000"/>
              <w:left w:val="nil"/>
              <w:bottom w:val="nil"/>
              <w:right w:val="nil"/>
            </w:tcBorders>
            <w:tcMar>
              <w:top w:w="0" w:type="dxa"/>
              <w:left w:w="0" w:type="dxa"/>
              <w:bottom w:w="0" w:type="dxa"/>
              <w:right w:w="15" w:type="dxa"/>
            </w:tcMar>
            <w:vAlign w:val="center"/>
          </w:tcPr>
          <w:p w14:paraId="1AAA5AB8" w14:textId="77777777" w:rsidR="003F5BBE" w:rsidRDefault="00737E93">
            <w:pPr>
              <w:tabs>
                <w:tab w:val="left" w:pos="1594"/>
                <w:tab w:val="left" w:pos="1912"/>
              </w:tabs>
              <w:jc w:val="right"/>
            </w:pPr>
            <w:r>
              <w:rPr>
                <w:b/>
                <w:color w:val="000000"/>
              </w:rPr>
              <w:tab/>
              <w:t>66</w:t>
            </w:r>
            <w:r>
              <w:rPr>
                <w:b/>
                <w:color w:val="000000"/>
              </w:rPr>
              <w:tab/>
            </w:r>
          </w:p>
        </w:tc>
        <w:tc>
          <w:tcPr>
            <w:tcW w:w="2025" w:type="dxa"/>
            <w:tcBorders>
              <w:top w:val="single" w:sz="8" w:space="0" w:color="000000"/>
              <w:left w:val="nil"/>
              <w:bottom w:val="nil"/>
              <w:right w:val="nil"/>
            </w:tcBorders>
            <w:tcMar>
              <w:top w:w="0" w:type="dxa"/>
              <w:left w:w="0" w:type="dxa"/>
              <w:bottom w:w="0" w:type="dxa"/>
              <w:right w:w="15" w:type="dxa"/>
            </w:tcMar>
            <w:vAlign w:val="center"/>
          </w:tcPr>
          <w:p w14:paraId="1466FDF1" w14:textId="77777777" w:rsidR="003F5BBE" w:rsidRDefault="00737E93">
            <w:pPr>
              <w:tabs>
                <w:tab w:val="left" w:pos="1639"/>
                <w:tab w:val="left" w:pos="1957"/>
              </w:tabs>
              <w:jc w:val="right"/>
            </w:pPr>
            <w:r>
              <w:rPr>
                <w:color w:val="000000"/>
              </w:rPr>
              <w:tab/>
              <w:t>66</w:t>
            </w:r>
            <w:r>
              <w:rPr>
                <w:color w:val="000000"/>
              </w:rPr>
              <w:tab/>
            </w:r>
          </w:p>
        </w:tc>
      </w:tr>
      <w:tr w:rsidR="003F5BBE" w14:paraId="2EBDAAE7" w14:textId="77777777">
        <w:trPr>
          <w:cantSplit/>
          <w:trHeight w:hRule="exact" w:val="330"/>
        </w:trPr>
        <w:tc>
          <w:tcPr>
            <w:tcW w:w="4965" w:type="dxa"/>
            <w:tcBorders>
              <w:top w:val="nil"/>
              <w:left w:val="nil"/>
              <w:bottom w:val="nil"/>
              <w:right w:val="nil"/>
            </w:tcBorders>
            <w:shd w:val="clear" w:color="auto" w:fill="FFFFFF"/>
            <w:tcMar>
              <w:top w:w="0" w:type="dxa"/>
              <w:left w:w="53" w:type="dxa"/>
              <w:bottom w:w="0" w:type="dxa"/>
              <w:right w:w="53" w:type="dxa"/>
            </w:tcMar>
            <w:vAlign w:val="center"/>
          </w:tcPr>
          <w:p w14:paraId="0DD1150F" w14:textId="77777777" w:rsidR="003F5BBE" w:rsidRDefault="00737E93">
            <w:pPr>
              <w:spacing w:line="269" w:lineRule="auto"/>
            </w:pPr>
            <w:r>
              <w:rPr>
                <w:color w:val="000000"/>
              </w:rPr>
              <w:t>Dividends</w:t>
            </w:r>
          </w:p>
        </w:tc>
        <w:tc>
          <w:tcPr>
            <w:tcW w:w="1980" w:type="dxa"/>
            <w:tcBorders>
              <w:top w:val="nil"/>
              <w:left w:val="nil"/>
              <w:bottom w:val="nil"/>
              <w:right w:val="nil"/>
            </w:tcBorders>
            <w:tcMar>
              <w:top w:w="0" w:type="dxa"/>
              <w:left w:w="0" w:type="dxa"/>
              <w:bottom w:w="0" w:type="dxa"/>
              <w:right w:w="15" w:type="dxa"/>
            </w:tcMar>
            <w:vAlign w:val="center"/>
          </w:tcPr>
          <w:p w14:paraId="2921A469" w14:textId="77777777" w:rsidR="003F5BBE" w:rsidRDefault="00737E93">
            <w:pPr>
              <w:tabs>
                <w:tab w:val="left" w:pos="1494"/>
              </w:tabs>
              <w:jc w:val="right"/>
            </w:pPr>
            <w:r>
              <w:rPr>
                <w:b/>
                <w:color w:val="000000"/>
              </w:rPr>
              <w:tab/>
              <w:t>(66)</w:t>
            </w:r>
          </w:p>
        </w:tc>
        <w:tc>
          <w:tcPr>
            <w:tcW w:w="2025" w:type="dxa"/>
            <w:tcBorders>
              <w:top w:val="nil"/>
              <w:left w:val="nil"/>
              <w:bottom w:val="nil"/>
              <w:right w:val="nil"/>
            </w:tcBorders>
            <w:tcMar>
              <w:top w:w="0" w:type="dxa"/>
              <w:left w:w="0" w:type="dxa"/>
              <w:bottom w:w="0" w:type="dxa"/>
              <w:right w:w="15" w:type="dxa"/>
            </w:tcMar>
            <w:vAlign w:val="center"/>
          </w:tcPr>
          <w:p w14:paraId="0AAD2052" w14:textId="77777777" w:rsidR="003F5BBE" w:rsidRDefault="00737E93">
            <w:pPr>
              <w:tabs>
                <w:tab w:val="left" w:pos="1539"/>
              </w:tabs>
              <w:jc w:val="right"/>
            </w:pPr>
            <w:r>
              <w:rPr>
                <w:color w:val="000000"/>
              </w:rPr>
              <w:tab/>
              <w:t>(66)</w:t>
            </w:r>
          </w:p>
        </w:tc>
      </w:tr>
      <w:tr w:rsidR="003F5BBE" w14:paraId="74412C5E" w14:textId="77777777">
        <w:trPr>
          <w:cantSplit/>
          <w:trHeight w:hRule="exact" w:val="360"/>
        </w:trPr>
        <w:tc>
          <w:tcPr>
            <w:tcW w:w="49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14:paraId="3D5233D7" w14:textId="77777777" w:rsidR="003F5BBE" w:rsidRDefault="00737E93">
            <w:pPr>
              <w:spacing w:line="269" w:lineRule="auto"/>
            </w:pPr>
            <w:r>
              <w:rPr>
                <w:b/>
                <w:color w:val="000000"/>
              </w:rPr>
              <w:t>Total equity at 31 December</w:t>
            </w:r>
          </w:p>
        </w:tc>
        <w:tc>
          <w:tcPr>
            <w:tcW w:w="1980" w:type="dxa"/>
            <w:tcBorders>
              <w:top w:val="single" w:sz="8" w:space="0" w:color="000000"/>
              <w:left w:val="nil"/>
              <w:bottom w:val="single" w:sz="8" w:space="0" w:color="000000"/>
              <w:right w:val="nil"/>
            </w:tcBorders>
            <w:tcMar>
              <w:top w:w="0" w:type="dxa"/>
              <w:left w:w="0" w:type="dxa"/>
              <w:bottom w:w="0" w:type="dxa"/>
              <w:right w:w="15" w:type="dxa"/>
            </w:tcMar>
            <w:vAlign w:val="center"/>
          </w:tcPr>
          <w:p w14:paraId="159B835E" w14:textId="77777777" w:rsidR="003F5BBE" w:rsidRDefault="00737E93">
            <w:pPr>
              <w:tabs>
                <w:tab w:val="left" w:pos="1174"/>
                <w:tab w:val="left" w:pos="1912"/>
              </w:tabs>
              <w:jc w:val="right"/>
            </w:pPr>
            <w:r>
              <w:rPr>
                <w:b/>
                <w:color w:val="000000"/>
              </w:rPr>
              <w:tab/>
              <w:t>13,932</w:t>
            </w:r>
            <w:r>
              <w:rPr>
                <w:b/>
                <w:color w:val="00000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0A0B72D6" w14:textId="77777777" w:rsidR="003F5BBE" w:rsidRDefault="00737E93">
            <w:pPr>
              <w:tabs>
                <w:tab w:val="left" w:pos="1219"/>
                <w:tab w:val="left" w:pos="1957"/>
              </w:tabs>
              <w:jc w:val="right"/>
            </w:pPr>
            <w:r>
              <w:rPr>
                <w:color w:val="000000"/>
              </w:rPr>
              <w:tab/>
              <w:t>13,932</w:t>
            </w:r>
            <w:r>
              <w:rPr>
                <w:color w:val="000000"/>
              </w:rPr>
              <w:tab/>
            </w:r>
          </w:p>
        </w:tc>
      </w:tr>
      <w:tr w:rsidR="003F5BBE" w14:paraId="0AAB8267" w14:textId="77777777">
        <w:trPr>
          <w:cantSplit/>
          <w:trHeight w:hRule="exact" w:val="255"/>
        </w:trPr>
        <w:tc>
          <w:tcPr>
            <w:tcW w:w="49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3500DEF" w14:textId="77777777" w:rsidR="003F5BBE" w:rsidRDefault="003F5BBE"/>
        </w:tc>
        <w:tc>
          <w:tcPr>
            <w:tcW w:w="198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1334000" w14:textId="77777777" w:rsidR="003F5BBE" w:rsidRDefault="003F5BBE"/>
        </w:tc>
        <w:tc>
          <w:tcPr>
            <w:tcW w:w="20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62AFFFE" w14:textId="77777777" w:rsidR="003F5BBE" w:rsidRDefault="003F5BBE"/>
        </w:tc>
      </w:tr>
    </w:tbl>
    <w:p w14:paraId="70B655B3" w14:textId="77777777" w:rsidR="003F5BBE" w:rsidRDefault="003F5BBE">
      <w:pPr>
        <w:spacing w:line="276" w:lineRule="auto"/>
        <w:rPr>
          <w:rFonts w:ascii="Arial" w:eastAsia="Arial" w:hAnsi="Arial" w:cs="Arial"/>
        </w:rPr>
      </w:pPr>
    </w:p>
    <w:p w14:paraId="1E029B48" w14:textId="77777777" w:rsidR="003F5BBE" w:rsidRDefault="003F5BBE">
      <w:pPr>
        <w:spacing w:line="276" w:lineRule="auto"/>
        <w:rPr>
          <w:rFonts w:ascii="Arial" w:eastAsia="Arial" w:hAnsi="Arial" w:cs="Arial"/>
        </w:rPr>
      </w:pPr>
    </w:p>
    <w:p w14:paraId="650BD852" w14:textId="77777777" w:rsidR="003F5BBE" w:rsidRDefault="003F5BBE">
      <w:pPr>
        <w:spacing w:line="276" w:lineRule="auto"/>
        <w:rPr>
          <w:rFonts w:ascii="Arial" w:eastAsia="Arial" w:hAnsi="Arial" w:cs="Arial"/>
        </w:rPr>
      </w:pPr>
    </w:p>
    <w:p w14:paraId="1276A05A" w14:textId="77777777" w:rsidR="003F5BBE" w:rsidRDefault="003F5BBE">
      <w:pPr>
        <w:spacing w:line="276" w:lineRule="auto"/>
        <w:rPr>
          <w:rFonts w:ascii="Arial" w:eastAsia="Arial" w:hAnsi="Arial" w:cs="Arial"/>
        </w:rPr>
      </w:pPr>
    </w:p>
    <w:tbl>
      <w:tblP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695"/>
        <w:gridCol w:w="2025"/>
      </w:tblGrid>
      <w:tr w:rsidR="003F5BBE" w14:paraId="69FC2462" w14:textId="77777777">
        <w:trPr>
          <w:cantSplit/>
          <w:trHeight w:hRule="exact" w:val="270"/>
        </w:trPr>
        <w:tc>
          <w:tcPr>
            <w:tcW w:w="5250" w:type="dxa"/>
            <w:vMerge w:val="restart"/>
            <w:tcBorders>
              <w:top w:val="nil"/>
              <w:left w:val="nil"/>
              <w:bottom w:val="nil"/>
              <w:right w:val="nil"/>
            </w:tcBorders>
            <w:shd w:val="clear" w:color="auto" w:fill="FFFFFF"/>
            <w:tcMar>
              <w:top w:w="0" w:type="dxa"/>
              <w:left w:w="53" w:type="dxa"/>
              <w:bottom w:w="0" w:type="dxa"/>
              <w:right w:w="53" w:type="dxa"/>
            </w:tcMar>
          </w:tcPr>
          <w:p w14:paraId="6BF25903" w14:textId="77777777" w:rsidR="003F5BBE" w:rsidRDefault="00737E93">
            <w:pPr>
              <w:keepNext/>
              <w:spacing w:before="53" w:after="30" w:line="269" w:lineRule="auto"/>
            </w:pPr>
            <w:proofErr w:type="spellStart"/>
            <w:r>
              <w:rPr>
                <w:b/>
                <w:color w:val="000000"/>
              </w:rPr>
              <w:t>Summarised</w:t>
            </w:r>
            <w:proofErr w:type="spellEnd"/>
            <w:r>
              <w:rPr>
                <w:b/>
                <w:color w:val="000000"/>
              </w:rPr>
              <w:t xml:space="preserve"> statement of cash flows</w:t>
            </w:r>
          </w:p>
        </w:tc>
        <w:tc>
          <w:tcPr>
            <w:tcW w:w="1695" w:type="dxa"/>
            <w:tcBorders>
              <w:top w:val="nil"/>
              <w:left w:val="nil"/>
              <w:bottom w:val="nil"/>
              <w:right w:val="nil"/>
            </w:tcBorders>
            <w:shd w:val="clear" w:color="auto" w:fill="FFFFFF"/>
            <w:tcMar>
              <w:top w:w="0" w:type="dxa"/>
              <w:left w:w="0" w:type="dxa"/>
              <w:bottom w:w="0" w:type="dxa"/>
              <w:right w:w="53" w:type="dxa"/>
            </w:tcMar>
          </w:tcPr>
          <w:p w14:paraId="4B4DAA65" w14:textId="77777777" w:rsidR="003F5BBE" w:rsidRDefault="00737E93">
            <w:pPr>
              <w:keepNext/>
              <w:spacing w:before="53" w:after="30" w:line="269" w:lineRule="auto"/>
              <w:jc w:val="right"/>
            </w:pPr>
            <w:r>
              <w:rPr>
                <w:b/>
                <w:color w:val="000000"/>
              </w:rPr>
              <w:t>Audited</w:t>
            </w:r>
          </w:p>
        </w:tc>
        <w:tc>
          <w:tcPr>
            <w:tcW w:w="2025" w:type="dxa"/>
            <w:tcBorders>
              <w:top w:val="nil"/>
              <w:left w:val="nil"/>
              <w:bottom w:val="nil"/>
              <w:right w:val="nil"/>
            </w:tcBorders>
            <w:shd w:val="clear" w:color="auto" w:fill="FFFFFF"/>
            <w:tcMar>
              <w:top w:w="0" w:type="dxa"/>
              <w:left w:w="0" w:type="dxa"/>
              <w:bottom w:w="0" w:type="dxa"/>
              <w:right w:w="53" w:type="dxa"/>
            </w:tcMar>
          </w:tcPr>
          <w:p w14:paraId="7D8ECA84" w14:textId="77777777" w:rsidR="003F5BBE" w:rsidRDefault="00737E93">
            <w:pPr>
              <w:keepNext/>
              <w:spacing w:before="53" w:after="30" w:line="269" w:lineRule="auto"/>
              <w:jc w:val="right"/>
            </w:pPr>
            <w:r>
              <w:rPr>
                <w:color w:val="000000"/>
              </w:rPr>
              <w:t>Audited</w:t>
            </w:r>
          </w:p>
        </w:tc>
      </w:tr>
      <w:tr w:rsidR="003F5BBE" w14:paraId="3D60AA59" w14:textId="77777777">
        <w:trPr>
          <w:cantSplit/>
          <w:trHeight w:hRule="exact" w:val="270"/>
        </w:trPr>
        <w:tc>
          <w:tcPr>
            <w:tcW w:w="5250" w:type="dxa"/>
            <w:vMerge/>
            <w:tcBorders>
              <w:top w:val="nil"/>
              <w:left w:val="nil"/>
              <w:bottom w:val="nil"/>
              <w:right w:val="nil"/>
            </w:tcBorders>
          </w:tcPr>
          <w:p w14:paraId="090CBC51" w14:textId="77777777" w:rsidR="003F5BBE" w:rsidRDefault="003F5BBE">
            <w:pPr>
              <w:keepNext/>
            </w:pPr>
          </w:p>
        </w:tc>
        <w:tc>
          <w:tcPr>
            <w:tcW w:w="1695" w:type="dxa"/>
            <w:tcBorders>
              <w:top w:val="nil"/>
              <w:left w:val="nil"/>
              <w:bottom w:val="nil"/>
              <w:right w:val="nil"/>
            </w:tcBorders>
            <w:shd w:val="clear" w:color="auto" w:fill="FFFFFF"/>
            <w:tcMar>
              <w:top w:w="0" w:type="dxa"/>
              <w:left w:w="0" w:type="dxa"/>
              <w:bottom w:w="0" w:type="dxa"/>
              <w:right w:w="53" w:type="dxa"/>
            </w:tcMar>
          </w:tcPr>
          <w:p w14:paraId="48A11471" w14:textId="77777777" w:rsidR="003F5BBE" w:rsidRDefault="00737E93">
            <w:pPr>
              <w:keepNext/>
              <w:spacing w:before="53" w:after="30" w:line="269" w:lineRule="auto"/>
              <w:jc w:val="right"/>
            </w:pPr>
            <w:r>
              <w:rPr>
                <w:b/>
                <w:color w:val="000000"/>
              </w:rPr>
              <w:t>results</w:t>
            </w:r>
          </w:p>
        </w:tc>
        <w:tc>
          <w:tcPr>
            <w:tcW w:w="2025" w:type="dxa"/>
            <w:tcBorders>
              <w:top w:val="nil"/>
              <w:left w:val="nil"/>
              <w:bottom w:val="nil"/>
              <w:right w:val="nil"/>
            </w:tcBorders>
            <w:shd w:val="clear" w:color="auto" w:fill="FFFFFF"/>
            <w:tcMar>
              <w:top w:w="0" w:type="dxa"/>
              <w:left w:w="0" w:type="dxa"/>
              <w:bottom w:w="0" w:type="dxa"/>
              <w:right w:w="53" w:type="dxa"/>
            </w:tcMar>
          </w:tcPr>
          <w:p w14:paraId="669A028C" w14:textId="77777777" w:rsidR="003F5BBE" w:rsidRDefault="00737E93">
            <w:pPr>
              <w:keepNext/>
              <w:spacing w:before="53" w:after="30" w:line="269" w:lineRule="auto"/>
              <w:jc w:val="right"/>
            </w:pPr>
            <w:r>
              <w:rPr>
                <w:color w:val="000000"/>
              </w:rPr>
              <w:t>results</w:t>
            </w:r>
          </w:p>
        </w:tc>
      </w:tr>
      <w:tr w:rsidR="003F5BBE" w14:paraId="1B4942FF" w14:textId="77777777">
        <w:trPr>
          <w:cantSplit/>
          <w:trHeight w:hRule="exact" w:val="285"/>
        </w:trPr>
        <w:tc>
          <w:tcPr>
            <w:tcW w:w="5250" w:type="dxa"/>
            <w:vMerge/>
            <w:tcBorders>
              <w:top w:val="nil"/>
              <w:left w:val="nil"/>
              <w:bottom w:val="nil"/>
              <w:right w:val="nil"/>
            </w:tcBorders>
          </w:tcPr>
          <w:p w14:paraId="4073EAFA" w14:textId="77777777" w:rsidR="003F5BBE" w:rsidRDefault="003F5BBE">
            <w:pPr>
              <w:keepNext/>
            </w:pPr>
          </w:p>
        </w:tc>
        <w:tc>
          <w:tcPr>
            <w:tcW w:w="1695" w:type="dxa"/>
            <w:tcBorders>
              <w:top w:val="nil"/>
              <w:left w:val="nil"/>
              <w:bottom w:val="nil"/>
              <w:right w:val="nil"/>
            </w:tcBorders>
            <w:shd w:val="clear" w:color="auto" w:fill="FFFFFF"/>
            <w:tcMar>
              <w:top w:w="0" w:type="dxa"/>
              <w:left w:w="0" w:type="dxa"/>
              <w:bottom w:w="0" w:type="dxa"/>
              <w:right w:w="53" w:type="dxa"/>
            </w:tcMar>
          </w:tcPr>
          <w:p w14:paraId="3A0A6012" w14:textId="77777777" w:rsidR="003F5BBE" w:rsidRDefault="00737E93">
            <w:pPr>
              <w:keepNext/>
              <w:spacing w:before="53" w:after="30" w:line="269" w:lineRule="auto"/>
              <w:jc w:val="right"/>
            </w:pPr>
            <w:r>
              <w:rPr>
                <w:b/>
                <w:color w:val="000000"/>
              </w:rPr>
              <w:t>12 months to</w:t>
            </w:r>
          </w:p>
        </w:tc>
        <w:tc>
          <w:tcPr>
            <w:tcW w:w="2025" w:type="dxa"/>
            <w:tcBorders>
              <w:top w:val="nil"/>
              <w:left w:val="nil"/>
              <w:bottom w:val="nil"/>
              <w:right w:val="nil"/>
            </w:tcBorders>
            <w:shd w:val="clear" w:color="auto" w:fill="FFFFFF"/>
            <w:tcMar>
              <w:top w:w="0" w:type="dxa"/>
              <w:left w:w="0" w:type="dxa"/>
              <w:bottom w:w="0" w:type="dxa"/>
              <w:right w:w="53" w:type="dxa"/>
            </w:tcMar>
          </w:tcPr>
          <w:p w14:paraId="3B1477EB" w14:textId="77777777" w:rsidR="003F5BBE" w:rsidRDefault="00737E93">
            <w:pPr>
              <w:keepNext/>
              <w:spacing w:before="53" w:after="30" w:line="269" w:lineRule="auto"/>
              <w:jc w:val="right"/>
            </w:pPr>
            <w:r>
              <w:rPr>
                <w:color w:val="000000"/>
              </w:rPr>
              <w:t>12 months to</w:t>
            </w:r>
          </w:p>
        </w:tc>
      </w:tr>
      <w:tr w:rsidR="003F5BBE" w14:paraId="674DC665" w14:textId="77777777">
        <w:trPr>
          <w:cantSplit/>
          <w:trHeight w:hRule="exact" w:val="300"/>
        </w:trPr>
        <w:tc>
          <w:tcPr>
            <w:tcW w:w="5250" w:type="dxa"/>
            <w:vMerge/>
            <w:tcBorders>
              <w:top w:val="nil"/>
              <w:left w:val="nil"/>
              <w:bottom w:val="nil"/>
              <w:right w:val="nil"/>
            </w:tcBorders>
          </w:tcPr>
          <w:p w14:paraId="649BF532" w14:textId="77777777" w:rsidR="003F5BBE" w:rsidRDefault="003F5BBE">
            <w:pPr>
              <w:keepNext/>
            </w:pPr>
          </w:p>
        </w:tc>
        <w:tc>
          <w:tcPr>
            <w:tcW w:w="1695" w:type="dxa"/>
            <w:tcBorders>
              <w:top w:val="nil"/>
              <w:left w:val="nil"/>
              <w:bottom w:val="nil"/>
              <w:right w:val="nil"/>
            </w:tcBorders>
            <w:shd w:val="clear" w:color="auto" w:fill="FFFFFF"/>
            <w:tcMar>
              <w:top w:w="0" w:type="dxa"/>
              <w:left w:w="0" w:type="dxa"/>
              <w:bottom w:w="0" w:type="dxa"/>
              <w:right w:w="53" w:type="dxa"/>
            </w:tcMar>
          </w:tcPr>
          <w:p w14:paraId="4E1A60B8" w14:textId="77777777" w:rsidR="003F5BBE" w:rsidRDefault="00737E93">
            <w:pPr>
              <w:keepNext/>
              <w:spacing w:before="53" w:after="30" w:line="269" w:lineRule="auto"/>
              <w:jc w:val="right"/>
            </w:pPr>
            <w:r>
              <w:rPr>
                <w:b/>
                <w:color w:val="000000"/>
              </w:rPr>
              <w:t>31 December</w:t>
            </w:r>
          </w:p>
        </w:tc>
        <w:tc>
          <w:tcPr>
            <w:tcW w:w="2025" w:type="dxa"/>
            <w:tcBorders>
              <w:top w:val="nil"/>
              <w:left w:val="nil"/>
              <w:bottom w:val="nil"/>
              <w:right w:val="nil"/>
            </w:tcBorders>
            <w:shd w:val="clear" w:color="auto" w:fill="FFFFFF"/>
            <w:tcMar>
              <w:top w:w="0" w:type="dxa"/>
              <w:left w:w="0" w:type="dxa"/>
              <w:bottom w:w="0" w:type="dxa"/>
              <w:right w:w="53" w:type="dxa"/>
            </w:tcMar>
          </w:tcPr>
          <w:p w14:paraId="64FD5FB6" w14:textId="77777777" w:rsidR="003F5BBE" w:rsidRDefault="00737E93">
            <w:pPr>
              <w:keepNext/>
              <w:spacing w:before="53" w:after="30" w:line="269" w:lineRule="auto"/>
              <w:jc w:val="right"/>
            </w:pPr>
            <w:r>
              <w:rPr>
                <w:color w:val="000000"/>
              </w:rPr>
              <w:t>31 December</w:t>
            </w:r>
          </w:p>
        </w:tc>
      </w:tr>
      <w:tr w:rsidR="003F5BBE" w14:paraId="4394D941" w14:textId="77777777">
        <w:trPr>
          <w:cantSplit/>
          <w:trHeight w:hRule="exact" w:val="285"/>
        </w:trPr>
        <w:tc>
          <w:tcPr>
            <w:tcW w:w="5250" w:type="dxa"/>
            <w:vMerge/>
            <w:tcBorders>
              <w:top w:val="nil"/>
              <w:left w:val="nil"/>
              <w:bottom w:val="nil"/>
              <w:right w:val="nil"/>
            </w:tcBorders>
          </w:tcPr>
          <w:p w14:paraId="2DC10582" w14:textId="77777777" w:rsidR="003F5BBE" w:rsidRDefault="003F5BBE">
            <w:pPr>
              <w:keepNext/>
            </w:pPr>
          </w:p>
        </w:tc>
        <w:tc>
          <w:tcPr>
            <w:tcW w:w="1695" w:type="dxa"/>
            <w:tcBorders>
              <w:top w:val="nil"/>
              <w:left w:val="nil"/>
              <w:bottom w:val="nil"/>
              <w:right w:val="nil"/>
            </w:tcBorders>
            <w:shd w:val="clear" w:color="auto" w:fill="FFFFFF"/>
            <w:tcMar>
              <w:top w:w="0" w:type="dxa"/>
              <w:left w:w="0" w:type="dxa"/>
              <w:bottom w:w="0" w:type="dxa"/>
              <w:right w:w="53" w:type="dxa"/>
            </w:tcMar>
          </w:tcPr>
          <w:p w14:paraId="60FD0685" w14:textId="77777777" w:rsidR="003F5BBE" w:rsidRDefault="00737E93">
            <w:pPr>
              <w:keepNext/>
              <w:spacing w:before="53" w:after="30" w:line="269" w:lineRule="auto"/>
              <w:jc w:val="right"/>
            </w:pPr>
            <w:r>
              <w:rPr>
                <w:b/>
                <w:color w:val="000000"/>
              </w:rPr>
              <w:t>2022</w:t>
            </w:r>
          </w:p>
        </w:tc>
        <w:tc>
          <w:tcPr>
            <w:tcW w:w="2025" w:type="dxa"/>
            <w:tcBorders>
              <w:top w:val="nil"/>
              <w:left w:val="nil"/>
              <w:bottom w:val="nil"/>
              <w:right w:val="nil"/>
            </w:tcBorders>
            <w:shd w:val="clear" w:color="auto" w:fill="FFFFFF"/>
            <w:tcMar>
              <w:top w:w="0" w:type="dxa"/>
              <w:left w:w="0" w:type="dxa"/>
              <w:bottom w:w="0" w:type="dxa"/>
              <w:right w:w="53" w:type="dxa"/>
            </w:tcMar>
          </w:tcPr>
          <w:p w14:paraId="65F0024B" w14:textId="77777777" w:rsidR="003F5BBE" w:rsidRDefault="00737E93">
            <w:pPr>
              <w:keepNext/>
              <w:spacing w:before="53" w:after="30" w:line="269" w:lineRule="auto"/>
              <w:jc w:val="right"/>
            </w:pPr>
            <w:r>
              <w:rPr>
                <w:color w:val="000000"/>
              </w:rPr>
              <w:t>2021</w:t>
            </w:r>
          </w:p>
        </w:tc>
      </w:tr>
      <w:tr w:rsidR="003F5BBE" w14:paraId="3D2E8EE1" w14:textId="77777777">
        <w:trPr>
          <w:cantSplit/>
          <w:trHeight w:hRule="exact" w:val="300"/>
        </w:trPr>
        <w:tc>
          <w:tcPr>
            <w:tcW w:w="5250" w:type="dxa"/>
            <w:vMerge/>
            <w:tcBorders>
              <w:top w:val="nil"/>
              <w:left w:val="nil"/>
              <w:bottom w:val="nil"/>
              <w:right w:val="nil"/>
            </w:tcBorders>
          </w:tcPr>
          <w:p w14:paraId="405F5C91" w14:textId="77777777" w:rsidR="003F5BBE" w:rsidRDefault="003F5BBE"/>
        </w:tc>
        <w:tc>
          <w:tcPr>
            <w:tcW w:w="1695" w:type="dxa"/>
            <w:tcBorders>
              <w:top w:val="nil"/>
              <w:left w:val="nil"/>
              <w:bottom w:val="nil"/>
              <w:right w:val="nil"/>
            </w:tcBorders>
            <w:shd w:val="clear" w:color="auto" w:fill="FFFFFF"/>
            <w:tcMar>
              <w:top w:w="0" w:type="dxa"/>
              <w:left w:w="0" w:type="dxa"/>
              <w:bottom w:w="0" w:type="dxa"/>
              <w:right w:w="53" w:type="dxa"/>
            </w:tcMar>
          </w:tcPr>
          <w:p w14:paraId="256F0B3B" w14:textId="77777777" w:rsidR="003F5BBE" w:rsidRDefault="00737E93">
            <w:pPr>
              <w:spacing w:before="53" w:after="30" w:line="269" w:lineRule="auto"/>
              <w:jc w:val="right"/>
            </w:pPr>
            <w:r>
              <w:rPr>
                <w:b/>
                <w:color w:val="000000"/>
              </w:rPr>
              <w:t>£m</w:t>
            </w:r>
          </w:p>
        </w:tc>
        <w:tc>
          <w:tcPr>
            <w:tcW w:w="2025" w:type="dxa"/>
            <w:tcBorders>
              <w:top w:val="nil"/>
              <w:left w:val="nil"/>
              <w:bottom w:val="nil"/>
              <w:right w:val="nil"/>
            </w:tcBorders>
            <w:shd w:val="clear" w:color="auto" w:fill="FFFFFF"/>
            <w:tcMar>
              <w:top w:w="0" w:type="dxa"/>
              <w:left w:w="0" w:type="dxa"/>
              <w:bottom w:w="0" w:type="dxa"/>
              <w:right w:w="53" w:type="dxa"/>
            </w:tcMar>
          </w:tcPr>
          <w:p w14:paraId="300EA722" w14:textId="77777777" w:rsidR="003F5BBE" w:rsidRDefault="00737E93">
            <w:pPr>
              <w:spacing w:before="53" w:after="30" w:line="269" w:lineRule="auto"/>
              <w:jc w:val="right"/>
            </w:pPr>
            <w:r>
              <w:rPr>
                <w:color w:val="000000"/>
              </w:rPr>
              <w:t>£m</w:t>
            </w:r>
          </w:p>
        </w:tc>
      </w:tr>
      <w:tr w:rsidR="003F5BBE" w14:paraId="3940AB39" w14:textId="77777777">
        <w:trPr>
          <w:cantSplit/>
          <w:trHeight w:hRule="exact" w:val="270"/>
        </w:trPr>
        <w:tc>
          <w:tcPr>
            <w:tcW w:w="525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E2C2B2D" w14:textId="77777777" w:rsidR="003F5BBE" w:rsidRDefault="003F5BBE"/>
        </w:tc>
        <w:tc>
          <w:tcPr>
            <w:tcW w:w="169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F81243B" w14:textId="77777777" w:rsidR="003F5BBE" w:rsidRDefault="003F5BBE"/>
        </w:tc>
        <w:tc>
          <w:tcPr>
            <w:tcW w:w="2025" w:type="dxa"/>
            <w:tcBorders>
              <w:top w:val="nil"/>
              <w:left w:val="nil"/>
              <w:bottom w:val="single" w:sz="8" w:space="0" w:color="000000"/>
              <w:right w:val="nil"/>
            </w:tcBorders>
            <w:tcMar>
              <w:top w:w="0" w:type="dxa"/>
              <w:left w:w="0" w:type="dxa"/>
              <w:bottom w:w="0" w:type="dxa"/>
              <w:right w:w="0" w:type="dxa"/>
            </w:tcMar>
            <w:vAlign w:val="bottom"/>
          </w:tcPr>
          <w:p w14:paraId="5857BED4" w14:textId="77777777" w:rsidR="003F5BBE" w:rsidRDefault="003F5BBE"/>
        </w:tc>
      </w:tr>
      <w:tr w:rsidR="003F5BBE" w14:paraId="24B69052" w14:textId="77777777">
        <w:trPr>
          <w:cantSplit/>
          <w:trHeight w:hRule="exact" w:val="315"/>
        </w:trPr>
        <w:tc>
          <w:tcPr>
            <w:tcW w:w="525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00F58C3E" w14:textId="77777777" w:rsidR="003F5BBE" w:rsidRDefault="00737E93">
            <w:pPr>
              <w:spacing w:before="33" w:after="30" w:line="269" w:lineRule="auto"/>
            </w:pPr>
            <w:r>
              <w:rPr>
                <w:b/>
                <w:color w:val="000000"/>
              </w:rPr>
              <w:t>Cash flows from financing activities</w:t>
            </w:r>
          </w:p>
        </w:tc>
        <w:tc>
          <w:tcPr>
            <w:tcW w:w="1695" w:type="dxa"/>
            <w:tcBorders>
              <w:top w:val="single" w:sz="8" w:space="0" w:color="000000"/>
              <w:left w:val="nil"/>
              <w:bottom w:val="single" w:sz="8" w:space="0" w:color="000000"/>
              <w:right w:val="nil"/>
            </w:tcBorders>
            <w:tcMar>
              <w:top w:w="0" w:type="dxa"/>
              <w:left w:w="0" w:type="dxa"/>
              <w:bottom w:w="0" w:type="dxa"/>
              <w:right w:w="15" w:type="dxa"/>
            </w:tcMar>
            <w:vAlign w:val="center"/>
          </w:tcPr>
          <w:p w14:paraId="6711D487" w14:textId="77777777" w:rsidR="003F5BBE" w:rsidRDefault="00737E93">
            <w:pPr>
              <w:tabs>
                <w:tab w:val="left" w:pos="1451"/>
                <w:tab w:val="left" w:pos="1627"/>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32132D1D" w14:textId="77777777" w:rsidR="003F5BBE" w:rsidRDefault="00737E93">
            <w:pPr>
              <w:tabs>
                <w:tab w:val="left" w:pos="1781"/>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5CE73E6D" w14:textId="77777777">
        <w:trPr>
          <w:cantSplit/>
          <w:trHeight w:hRule="exact" w:val="315"/>
        </w:trPr>
        <w:tc>
          <w:tcPr>
            <w:tcW w:w="525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0ACB6B04" w14:textId="77777777" w:rsidR="003F5BBE" w:rsidRDefault="00737E93">
            <w:pPr>
              <w:spacing w:before="33" w:after="30" w:line="269" w:lineRule="auto"/>
            </w:pPr>
            <w:r>
              <w:rPr>
                <w:b/>
                <w:color w:val="000000"/>
              </w:rPr>
              <w:t>Net cash from financing activities</w:t>
            </w:r>
          </w:p>
        </w:tc>
        <w:tc>
          <w:tcPr>
            <w:tcW w:w="1695" w:type="dxa"/>
            <w:tcBorders>
              <w:top w:val="single" w:sz="8" w:space="0" w:color="000000"/>
              <w:left w:val="nil"/>
              <w:bottom w:val="single" w:sz="8" w:space="0" w:color="000000"/>
              <w:right w:val="nil"/>
            </w:tcBorders>
            <w:tcMar>
              <w:top w:w="0" w:type="dxa"/>
              <w:left w:w="0" w:type="dxa"/>
              <w:bottom w:w="0" w:type="dxa"/>
              <w:right w:w="15" w:type="dxa"/>
            </w:tcMar>
            <w:vAlign w:val="center"/>
          </w:tcPr>
          <w:p w14:paraId="38D52809" w14:textId="77777777" w:rsidR="003F5BBE" w:rsidRDefault="00737E93">
            <w:pPr>
              <w:tabs>
                <w:tab w:val="left" w:pos="1451"/>
                <w:tab w:val="left" w:pos="1627"/>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646DA1DB" w14:textId="77777777" w:rsidR="003F5BBE" w:rsidRDefault="00737E93">
            <w:pPr>
              <w:tabs>
                <w:tab w:val="left" w:pos="1781"/>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66C4AA74" w14:textId="77777777">
        <w:trPr>
          <w:cantSplit/>
          <w:trHeight w:hRule="exact" w:val="315"/>
        </w:trPr>
        <w:tc>
          <w:tcPr>
            <w:tcW w:w="525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2E52BCB5" w14:textId="77777777" w:rsidR="003F5BBE" w:rsidRDefault="00737E93">
            <w:pPr>
              <w:spacing w:before="33" w:after="30" w:line="269" w:lineRule="auto"/>
            </w:pPr>
            <w:r>
              <w:rPr>
                <w:b/>
                <w:color w:val="000000"/>
              </w:rPr>
              <w:t xml:space="preserve">Total net increase/(decrease) in cash and cash </w:t>
            </w:r>
          </w:p>
        </w:tc>
        <w:tc>
          <w:tcPr>
            <w:tcW w:w="1695" w:type="dxa"/>
            <w:tcBorders>
              <w:top w:val="single" w:sz="8" w:space="0" w:color="000000"/>
              <w:left w:val="nil"/>
              <w:bottom w:val="single" w:sz="8" w:space="0" w:color="000000"/>
              <w:right w:val="nil"/>
            </w:tcBorders>
            <w:tcMar>
              <w:top w:w="0" w:type="dxa"/>
              <w:left w:w="0" w:type="dxa"/>
              <w:bottom w:w="0" w:type="dxa"/>
              <w:right w:w="15" w:type="dxa"/>
            </w:tcMar>
            <w:vAlign w:val="center"/>
          </w:tcPr>
          <w:p w14:paraId="371E2ED1" w14:textId="77777777" w:rsidR="003F5BBE" w:rsidRDefault="00737E93">
            <w:pPr>
              <w:tabs>
                <w:tab w:val="left" w:pos="1451"/>
                <w:tab w:val="left" w:pos="1627"/>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1BF6D135" w14:textId="77777777" w:rsidR="003F5BBE" w:rsidRDefault="00737E93">
            <w:pPr>
              <w:tabs>
                <w:tab w:val="left" w:pos="1781"/>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45A72522" w14:textId="77777777">
        <w:trPr>
          <w:cantSplit/>
          <w:trHeight w:hRule="exact" w:val="315"/>
        </w:trPr>
        <w:tc>
          <w:tcPr>
            <w:tcW w:w="525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21CC19EE" w14:textId="77777777" w:rsidR="003F5BBE" w:rsidRDefault="00737E93">
            <w:pPr>
              <w:spacing w:before="33" w:after="30" w:line="269" w:lineRule="auto"/>
            </w:pPr>
            <w:r>
              <w:rPr>
                <w:color w:val="000000"/>
              </w:rPr>
              <w:t>Cash and cash equivalents at 1 January</w:t>
            </w:r>
          </w:p>
        </w:tc>
        <w:tc>
          <w:tcPr>
            <w:tcW w:w="1695" w:type="dxa"/>
            <w:tcBorders>
              <w:top w:val="single" w:sz="8" w:space="0" w:color="000000"/>
              <w:left w:val="nil"/>
              <w:bottom w:val="single" w:sz="8" w:space="0" w:color="000000"/>
              <w:right w:val="nil"/>
            </w:tcBorders>
            <w:tcMar>
              <w:top w:w="0" w:type="dxa"/>
              <w:left w:w="0" w:type="dxa"/>
              <w:bottom w:w="0" w:type="dxa"/>
              <w:right w:w="15" w:type="dxa"/>
            </w:tcMar>
            <w:vAlign w:val="center"/>
          </w:tcPr>
          <w:p w14:paraId="2E0B879E" w14:textId="77777777" w:rsidR="003F5BBE" w:rsidRDefault="00737E93">
            <w:pPr>
              <w:tabs>
                <w:tab w:val="left" w:pos="1451"/>
                <w:tab w:val="left" w:pos="1627"/>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0B5E8F2B" w14:textId="77777777" w:rsidR="003F5BBE" w:rsidRDefault="00737E93">
            <w:pPr>
              <w:tabs>
                <w:tab w:val="left" w:pos="1781"/>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21636C51" w14:textId="77777777">
        <w:trPr>
          <w:cantSplit/>
          <w:trHeight w:hRule="exact" w:val="315"/>
        </w:trPr>
        <w:tc>
          <w:tcPr>
            <w:tcW w:w="525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tcPr>
          <w:p w14:paraId="38487241" w14:textId="77777777" w:rsidR="003F5BBE" w:rsidRDefault="00737E93">
            <w:pPr>
              <w:spacing w:before="33" w:after="30" w:line="269" w:lineRule="auto"/>
              <w:rPr>
                <w:b/>
              </w:rPr>
            </w:pPr>
            <w:r>
              <w:rPr>
                <w:b/>
              </w:rPr>
              <w:t>Cash and cash equivalents at 31 December</w:t>
            </w:r>
            <w:r>
              <w:rPr>
                <w:b/>
                <w:sz w:val="20"/>
                <w:vertAlign w:val="superscript"/>
              </w:rPr>
              <w:t>1</w:t>
            </w:r>
          </w:p>
        </w:tc>
        <w:tc>
          <w:tcPr>
            <w:tcW w:w="1695" w:type="dxa"/>
            <w:tcBorders>
              <w:top w:val="single" w:sz="8" w:space="0" w:color="000000"/>
              <w:left w:val="nil"/>
              <w:bottom w:val="single" w:sz="8" w:space="0" w:color="000000"/>
              <w:right w:val="nil"/>
            </w:tcBorders>
            <w:tcMar>
              <w:top w:w="0" w:type="dxa"/>
              <w:left w:w="0" w:type="dxa"/>
              <w:bottom w:w="0" w:type="dxa"/>
              <w:right w:w="15" w:type="dxa"/>
            </w:tcMar>
            <w:vAlign w:val="center"/>
          </w:tcPr>
          <w:p w14:paraId="4E53E67A" w14:textId="77777777" w:rsidR="003F5BBE" w:rsidRDefault="00737E93">
            <w:pPr>
              <w:tabs>
                <w:tab w:val="left" w:pos="1451"/>
                <w:tab w:val="left" w:pos="1627"/>
              </w:tabs>
              <w:jc w:val="right"/>
            </w:pPr>
            <w:r>
              <w:rPr>
                <w:rFonts w:ascii="Arial" w:eastAsia="Arial" w:hAnsi="Arial" w:cs="Arial"/>
                <w:b/>
                <w:color w:val="000000"/>
                <w:sz w:val="20"/>
              </w:rPr>
              <w:tab/>
              <w:t>–</w:t>
            </w:r>
            <w:r>
              <w:rPr>
                <w:rFonts w:ascii="Arial" w:eastAsia="Arial" w:hAnsi="Arial" w:cs="Arial"/>
                <w:b/>
                <w:color w:val="000000"/>
                <w:sz w:val="20"/>
              </w:rPr>
              <w:tab/>
            </w:r>
          </w:p>
        </w:tc>
        <w:tc>
          <w:tcPr>
            <w:tcW w:w="2025" w:type="dxa"/>
            <w:tcBorders>
              <w:top w:val="single" w:sz="8" w:space="0" w:color="000000"/>
              <w:left w:val="nil"/>
              <w:bottom w:val="single" w:sz="8" w:space="0" w:color="000000"/>
              <w:right w:val="nil"/>
            </w:tcBorders>
            <w:tcMar>
              <w:top w:w="0" w:type="dxa"/>
              <w:left w:w="0" w:type="dxa"/>
              <w:bottom w:w="0" w:type="dxa"/>
              <w:right w:w="15" w:type="dxa"/>
            </w:tcMar>
            <w:vAlign w:val="center"/>
          </w:tcPr>
          <w:p w14:paraId="03BDBF60" w14:textId="77777777" w:rsidR="003F5BBE" w:rsidRDefault="00737E93">
            <w:pPr>
              <w:tabs>
                <w:tab w:val="left" w:pos="1781"/>
                <w:tab w:val="left" w:pos="1957"/>
              </w:tabs>
              <w:jc w:val="right"/>
            </w:pPr>
            <w:r>
              <w:rPr>
                <w:rFonts w:ascii="Arial" w:eastAsia="Arial" w:hAnsi="Arial" w:cs="Arial"/>
                <w:b/>
                <w:color w:val="000000"/>
                <w:sz w:val="20"/>
              </w:rPr>
              <w:tab/>
              <w:t>–</w:t>
            </w:r>
            <w:r>
              <w:rPr>
                <w:rFonts w:ascii="Arial" w:eastAsia="Arial" w:hAnsi="Arial" w:cs="Arial"/>
                <w:b/>
                <w:color w:val="000000"/>
                <w:sz w:val="20"/>
              </w:rPr>
              <w:tab/>
            </w:r>
          </w:p>
        </w:tc>
      </w:tr>
      <w:tr w:rsidR="003F5BBE" w14:paraId="2F4E14D7" w14:textId="77777777">
        <w:trPr>
          <w:cantSplit/>
          <w:trHeight w:hRule="exact" w:val="315"/>
        </w:trPr>
        <w:tc>
          <w:tcPr>
            <w:tcW w:w="525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E3F19DE" w14:textId="77777777" w:rsidR="003F5BBE" w:rsidRDefault="003F5BBE"/>
        </w:tc>
        <w:tc>
          <w:tcPr>
            <w:tcW w:w="169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5D04D90" w14:textId="77777777" w:rsidR="003F5BBE" w:rsidRDefault="003F5BBE"/>
        </w:tc>
        <w:tc>
          <w:tcPr>
            <w:tcW w:w="20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333C6727" w14:textId="77777777" w:rsidR="003F5BBE" w:rsidRDefault="003F5BBE"/>
        </w:tc>
      </w:tr>
    </w:tbl>
    <w:p w14:paraId="6182557E" w14:textId="77777777" w:rsidR="003F5BBE" w:rsidRDefault="00737E93">
      <w:pPr>
        <w:spacing w:line="269" w:lineRule="auto"/>
        <w:jc w:val="both"/>
      </w:pPr>
      <w:r>
        <w:rPr>
          <w:rFonts w:ascii="Courier New" w:eastAsia="Courier New" w:hAnsi="Courier New" w:cs="Courier New"/>
        </w:rPr>
        <w:t xml:space="preserve">¹ </w:t>
      </w:r>
      <w:r>
        <w:t xml:space="preserve">The closing balance as at </w:t>
      </w:r>
      <w:r>
        <w:rPr>
          <w:color w:val="000000"/>
        </w:rPr>
        <w:t>31 December 2022</w:t>
      </w:r>
      <w:r>
        <w:t xml:space="preserve"> is £</w:t>
      </w:r>
      <w:r>
        <w:rPr>
          <w:color w:val="000000"/>
        </w:rPr>
        <w:t>355</w:t>
      </w:r>
      <w:r>
        <w:t xml:space="preserve"> (</w:t>
      </w:r>
      <w:r>
        <w:rPr>
          <w:i/>
          <w:color w:val="000000"/>
        </w:rPr>
        <w:t>2021</w:t>
      </w:r>
      <w:r>
        <w:rPr>
          <w:i/>
        </w:rPr>
        <w:t>: £</w:t>
      </w:r>
      <w:r>
        <w:rPr>
          <w:i/>
          <w:color w:val="000000"/>
        </w:rPr>
        <w:t>195</w:t>
      </w:r>
      <w:r>
        <w:t xml:space="preserve">). The majority of the </w:t>
      </w:r>
      <w:r>
        <w:t>Company’s cash requirements are met by fellow Group companies.</w:t>
      </w:r>
    </w:p>
    <w:p w14:paraId="6016B75C" w14:textId="77777777" w:rsidR="003F5BBE" w:rsidRDefault="003F5BBE">
      <w:pPr>
        <w:spacing w:line="276" w:lineRule="auto"/>
        <w:rPr>
          <w:rFonts w:ascii="Arial" w:eastAsia="Arial" w:hAnsi="Arial" w:cs="Arial"/>
        </w:rPr>
      </w:pPr>
    </w:p>
    <w:p w14:paraId="62853689" w14:textId="77777777" w:rsidR="003F5BBE" w:rsidRDefault="003F5BBE">
      <w:pPr>
        <w:spacing w:line="276" w:lineRule="auto"/>
        <w:rPr>
          <w:rFonts w:ascii="Arial" w:eastAsia="Arial" w:hAnsi="Arial" w:cs="Arial"/>
        </w:rPr>
      </w:pPr>
    </w:p>
    <w:p w14:paraId="2B8A181D" w14:textId="77777777" w:rsidR="003F5BBE" w:rsidRDefault="003F5BBE">
      <w:pPr>
        <w:spacing w:line="276" w:lineRule="auto"/>
        <w:rPr>
          <w:rFonts w:ascii="Arial" w:eastAsia="Arial" w:hAnsi="Arial" w:cs="Arial"/>
        </w:rPr>
      </w:pPr>
    </w:p>
    <w:p w14:paraId="6BCBCB0D" w14:textId="77777777" w:rsidR="003F5BBE" w:rsidRDefault="003F5BBE">
      <w:pPr>
        <w:spacing w:line="276" w:lineRule="auto"/>
        <w:rPr>
          <w:rFonts w:ascii="Arial" w:eastAsia="Arial" w:hAnsi="Arial" w:cs="Arial"/>
        </w:rPr>
      </w:pPr>
    </w:p>
    <w:p w14:paraId="0439AC9C" w14:textId="77777777" w:rsidR="003F5BBE" w:rsidRDefault="003F5BBE">
      <w:pPr>
        <w:spacing w:line="269" w:lineRule="auto"/>
        <w:jc w:val="both"/>
      </w:pPr>
    </w:p>
    <w:p w14:paraId="339F8BF4" w14:textId="77777777" w:rsidR="003F5BBE" w:rsidRDefault="003F5BBE">
      <w:pPr>
        <w:spacing w:line="269" w:lineRule="auto"/>
        <w:jc w:val="both"/>
        <w:rPr>
          <w:b/>
        </w:rPr>
      </w:pPr>
    </w:p>
    <w:p w14:paraId="0AC8DAB9" w14:textId="77777777" w:rsidR="003F5BBE" w:rsidRDefault="003F5BBE">
      <w:pPr>
        <w:spacing w:line="269" w:lineRule="auto"/>
        <w:jc w:val="both"/>
        <w:rPr>
          <w:b/>
        </w:rPr>
      </w:pPr>
    </w:p>
    <w:p w14:paraId="567B9ED5" w14:textId="77777777" w:rsidR="003F5BBE" w:rsidRDefault="003F5BBE">
      <w:pPr>
        <w:spacing w:line="269" w:lineRule="auto"/>
        <w:jc w:val="both"/>
        <w:rPr>
          <w:b/>
        </w:rPr>
      </w:pPr>
    </w:p>
    <w:p w14:paraId="5F8930FC" w14:textId="77777777" w:rsidR="003F5BBE" w:rsidRDefault="003F5BBE">
      <w:pPr>
        <w:spacing w:line="269" w:lineRule="auto"/>
        <w:jc w:val="both"/>
        <w:rPr>
          <w:b/>
        </w:rPr>
      </w:pPr>
    </w:p>
    <w:p w14:paraId="2D292B0F" w14:textId="77777777" w:rsidR="003F5BBE" w:rsidRDefault="003F5BBE">
      <w:pPr>
        <w:spacing w:line="269" w:lineRule="auto"/>
        <w:jc w:val="both"/>
        <w:rPr>
          <w:b/>
        </w:rPr>
      </w:pPr>
    </w:p>
    <w:p w14:paraId="1F65AD6D" w14:textId="77777777" w:rsidR="003F5BBE" w:rsidRDefault="00737E93">
      <w:pPr>
        <w:spacing w:line="269" w:lineRule="auto"/>
        <w:jc w:val="both"/>
        <w:rPr>
          <w:b/>
        </w:rPr>
      </w:pPr>
      <w:r>
        <w:rPr>
          <w:b/>
        </w:rPr>
        <w:t>Basis of preparation</w:t>
      </w:r>
    </w:p>
    <w:p w14:paraId="1ABAF34F" w14:textId="77777777" w:rsidR="003F5BBE" w:rsidRDefault="003F5BBE">
      <w:pPr>
        <w:spacing w:line="276" w:lineRule="auto"/>
        <w:rPr>
          <w:rFonts w:ascii="Arial" w:eastAsia="Arial" w:hAnsi="Arial" w:cs="Arial"/>
        </w:rPr>
      </w:pPr>
    </w:p>
    <w:p w14:paraId="1114E6D5" w14:textId="77777777" w:rsidR="003F5BBE" w:rsidRDefault="00737E93">
      <w:pPr>
        <w:spacing w:line="269" w:lineRule="auto"/>
        <w:jc w:val="both"/>
      </w:pPr>
      <w:r>
        <w:rPr>
          <w:color w:val="000000"/>
        </w:rPr>
        <w:lastRenderedPageBreak/>
        <w:t>The results announcement for the year ended 31 December 2022 was approved by the Board of Directors on 8 March 2023. The results</w:t>
      </w:r>
      <w:r>
        <w:rPr>
          <w:color w:val="000000"/>
        </w:rPr>
        <w:t xml:space="preserve"> announcement for the year ended 31 December 2022 is prepared on the basis of the accounting policies set out in the annual accounts. Audited statutory accounts, together with the auditor’s report thereon, will be filed with the Registrar of Companies when</w:t>
      </w:r>
      <w:r>
        <w:rPr>
          <w:color w:val="000000"/>
        </w:rPr>
        <w:t xml:space="preserve"> approved and published.</w:t>
      </w:r>
    </w:p>
    <w:p w14:paraId="69E837A4" w14:textId="77777777" w:rsidR="003F5BBE" w:rsidRDefault="003F5BBE">
      <w:pPr>
        <w:spacing w:line="276" w:lineRule="auto"/>
        <w:rPr>
          <w:rFonts w:ascii="Arial" w:eastAsia="Arial" w:hAnsi="Arial" w:cs="Arial"/>
        </w:rPr>
      </w:pPr>
    </w:p>
    <w:p w14:paraId="0CAB8C9C" w14:textId="77777777" w:rsidR="003F5BBE" w:rsidRDefault="00737E93">
      <w:pPr>
        <w:spacing w:line="269" w:lineRule="auto"/>
        <w:jc w:val="both"/>
      </w:pPr>
      <w:r>
        <w:t xml:space="preserve">The Company’s Annual Report and Accounts for 2022 will be filed with the Registrar of Companies. The results for the year ended </w:t>
      </w:r>
      <w:r>
        <w:rPr>
          <w:color w:val="000000"/>
        </w:rPr>
        <w:t>31 December 2022</w:t>
      </w:r>
      <w:r>
        <w:t xml:space="preserve"> and </w:t>
      </w:r>
      <w:r>
        <w:rPr>
          <w:color w:val="000000"/>
        </w:rPr>
        <w:t>2021</w:t>
      </w:r>
      <w:r>
        <w:t xml:space="preserve"> were audited by PricewaterhouseCoopers LLP. The auditor’s report was unquali</w:t>
      </w:r>
      <w:r>
        <w:t>fied and did not contain a statement under section 498(2) or section 498(3) of the Companies Act 2006.</w:t>
      </w:r>
    </w:p>
    <w:p w14:paraId="2C3E0414" w14:textId="77777777" w:rsidR="003F5BBE" w:rsidRDefault="003F5BBE">
      <w:pPr>
        <w:spacing w:line="276" w:lineRule="auto"/>
        <w:rPr>
          <w:rFonts w:ascii="Arial" w:eastAsia="Arial" w:hAnsi="Arial" w:cs="Arial"/>
        </w:rPr>
      </w:pPr>
    </w:p>
    <w:p w14:paraId="622F5113" w14:textId="77777777" w:rsidR="003F5BBE" w:rsidRDefault="00737E93">
      <w:pPr>
        <w:spacing w:line="269" w:lineRule="auto"/>
        <w:jc w:val="both"/>
      </w:pPr>
      <w:r>
        <w:t xml:space="preserve">The audited annual reports and accounts of both the Company and of Aviva plc for the year ended </w:t>
      </w:r>
      <w:r>
        <w:rPr>
          <w:color w:val="000000"/>
        </w:rPr>
        <w:t>31 December 2022</w:t>
      </w:r>
      <w:r>
        <w:t>, once published, will be available on a</w:t>
      </w:r>
      <w:r>
        <w:t xml:space="preserve">pplication to the Group General Counsel and Company Secretary, Aviva plc, St Helen’s, 1 Undershaft, London, EC3P 3DQ. Copies will be made available on the Aviva plc website once published at </w:t>
      </w:r>
      <w:hyperlink r:id="rId7" w:history="1">
        <w:r>
          <w:rPr>
            <w:color w:val="0000FF"/>
            <w:u w:val="single"/>
          </w:rPr>
          <w:t>http://www.aviva.com/investor-relations/reports/</w:t>
        </w:r>
      </w:hyperlink>
      <w:r>
        <w:t>.</w:t>
      </w:r>
    </w:p>
    <w:p w14:paraId="4C462FA0" w14:textId="77777777" w:rsidR="003F5BBE" w:rsidRDefault="003F5BBE">
      <w:pPr>
        <w:spacing w:line="276" w:lineRule="auto"/>
        <w:rPr>
          <w:rFonts w:ascii="Arial" w:eastAsia="Arial" w:hAnsi="Arial" w:cs="Arial"/>
        </w:rPr>
      </w:pPr>
    </w:p>
    <w:p w14:paraId="3B9DF247" w14:textId="77777777" w:rsidR="003F5BBE" w:rsidRDefault="00737E93">
      <w:pPr>
        <w:spacing w:line="269" w:lineRule="auto"/>
      </w:pPr>
      <w:r>
        <w:rPr>
          <w:b/>
          <w:color w:val="0000FF"/>
        </w:rPr>
        <w:t>Enquiries:</w:t>
      </w:r>
      <w:r>
        <w:rPr>
          <w:color w:val="0000FF"/>
        </w:rPr>
        <w:t xml:space="preserve"> </w:t>
      </w:r>
      <w:r>
        <w:rPr>
          <w:b/>
        </w:rPr>
        <w:t xml:space="preserve">Rupert Taylor Rea, Investor Relations Director, Aviva plc, </w:t>
      </w:r>
      <w:hyperlink r:id="rId8" w:history="1">
        <w:r>
          <w:rPr>
            <w:b/>
            <w:color w:val="0000FF"/>
            <w:u w:val="single"/>
          </w:rPr>
          <w:t>rupert.taylorrea@aviva.com</w:t>
        </w:r>
      </w:hyperlink>
      <w:r>
        <w:rPr>
          <w:b/>
        </w:rPr>
        <w:t>, +44 (0)7385 494 440</w:t>
      </w:r>
    </w:p>
    <w:sectPr w:rsidR="003F5BB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BA28B" w14:textId="77777777" w:rsidR="00000000" w:rsidRDefault="00737E93">
      <w:r>
        <w:separator/>
      </w:r>
    </w:p>
  </w:endnote>
  <w:endnote w:type="continuationSeparator" w:id="0">
    <w:p w14:paraId="48E9580E" w14:textId="77777777" w:rsidR="00000000" w:rsidRDefault="0073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2CDFD" w14:textId="77777777" w:rsidR="00737E93" w:rsidRDefault="00737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D0F5" w14:textId="3413B706" w:rsidR="003F5BBE" w:rsidRDefault="00737E93">
    <w:pPr>
      <w:spacing w:line="288" w:lineRule="auto"/>
      <w:rPr>
        <w:rFonts w:ascii="Arial" w:eastAsia="Arial" w:hAnsi="Arial" w:cs="Arial"/>
      </w:rPr>
    </w:pPr>
    <w:r>
      <w:rPr>
        <w:rFonts w:ascii="Arial" w:eastAsia="Arial" w:hAnsi="Arial" w:cs="Arial"/>
        <w:noProof/>
      </w:rPr>
      <w:pict w14:anchorId="73613B51">
        <v:shapetype id="_x0000_t202" coordsize="21600,21600" o:spt="202" path="m,l,21600r21600,l21600,xe">
          <v:stroke joinstyle="miter"/>
          <v:path gradientshapeok="t" o:connecttype="rect"/>
        </v:shapetype>
        <v:shape id="MSIPCM8ba84add8c1e794c4baf3d96" o:spid="_x0000_s1025" type="#_x0000_t202" alt="{&quot;HashCode&quot;:-80294616,&quot;Height&quot;:792.0,&quot;Width&quot;:612.0,&quot;Placement&quot;:&quot;Footer&quot;,&quot;Index&quot;:&quot;Primary&quot;,&quot;Section&quot;:1,&quot;Top&quot;:0.0,&quot;Left&quot;:0.0}" style="position:absolute;margin-left:0;margin-top:755.45pt;width:612pt;height:21.55pt;z-index:251658240;mso-wrap-style:square;mso-position-horizontal:absolute;mso-position-horizontal-relative:page;mso-position-vertical:absolute;mso-position-vertical-relative:page;v-text-anchor:bottom" o:allowincell="f" filled="f" stroked="f">
          <v:textbox inset="20pt,0,,0">
            <w:txbxContent>
              <w:p w14:paraId="7B854B52" w14:textId="43A791E8" w:rsidR="00737E93" w:rsidRPr="00737E93" w:rsidRDefault="00737E93" w:rsidP="00737E93">
                <w:pPr>
                  <w:rPr>
                    <w:rFonts w:ascii="Calibri" w:hAnsi="Calibri" w:cs="Calibri"/>
                    <w:color w:val="008000"/>
                    <w:sz w:val="16"/>
                  </w:rPr>
                </w:pPr>
                <w:r w:rsidRPr="00737E93">
                  <w:rPr>
                    <w:rFonts w:ascii="Calibri" w:hAnsi="Calibri" w:cs="Calibri"/>
                    <w:color w:val="008000"/>
                    <w:sz w:val="16"/>
                  </w:rPr>
                  <w:t>Aviva: Public</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8A7F" w14:textId="77777777" w:rsidR="00737E93" w:rsidRDefault="00737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6FE0" w14:textId="77777777" w:rsidR="00000000" w:rsidRDefault="00737E93">
      <w:r>
        <w:separator/>
      </w:r>
    </w:p>
  </w:footnote>
  <w:footnote w:type="continuationSeparator" w:id="0">
    <w:p w14:paraId="404C050B" w14:textId="77777777" w:rsidR="00000000" w:rsidRDefault="00737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515B" w14:textId="77777777" w:rsidR="00737E93" w:rsidRDefault="00737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5F11" w14:textId="77777777" w:rsidR="003F5BBE" w:rsidRDefault="003F5BBE">
    <w:pPr>
      <w:spacing w:line="288"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2022" w14:textId="77777777" w:rsidR="00737E93" w:rsidRDefault="00737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0D5257EE">
      <w:start w:val="1"/>
      <w:numFmt w:val="bullet"/>
      <w:lvlText w:val="–"/>
      <w:lvlJc w:val="left"/>
      <w:pPr>
        <w:tabs>
          <w:tab w:val="num" w:pos="720"/>
        </w:tabs>
        <w:ind w:left="720" w:hanging="360"/>
      </w:pPr>
      <w:rPr>
        <w:rFonts w:ascii="Arial" w:eastAsia="Arial" w:hAnsi="Arial" w:cs="Arial"/>
        <w:b w:val="0"/>
        <w:i w:val="0"/>
        <w:strike w:val="0"/>
        <w:sz w:val="24"/>
      </w:rPr>
    </w:lvl>
    <w:lvl w:ilvl="1" w:tplc="9BBE71EC">
      <w:start w:val="1"/>
      <w:numFmt w:val="bullet"/>
      <w:lvlText w:val="o"/>
      <w:lvlJc w:val="left"/>
      <w:pPr>
        <w:tabs>
          <w:tab w:val="num" w:pos="1440"/>
        </w:tabs>
        <w:ind w:left="1440" w:hanging="360"/>
      </w:pPr>
      <w:rPr>
        <w:rFonts w:ascii="Courier New" w:hAnsi="Courier New"/>
      </w:rPr>
    </w:lvl>
    <w:lvl w:ilvl="2" w:tplc="015C8206">
      <w:start w:val="1"/>
      <w:numFmt w:val="bullet"/>
      <w:lvlText w:val=""/>
      <w:lvlJc w:val="left"/>
      <w:pPr>
        <w:tabs>
          <w:tab w:val="num" w:pos="2160"/>
        </w:tabs>
        <w:ind w:left="2160" w:hanging="360"/>
      </w:pPr>
      <w:rPr>
        <w:rFonts w:ascii="Wingdings" w:hAnsi="Wingdings"/>
      </w:rPr>
    </w:lvl>
    <w:lvl w:ilvl="3" w:tplc="C736D5B2">
      <w:start w:val="1"/>
      <w:numFmt w:val="bullet"/>
      <w:lvlText w:val=""/>
      <w:lvlJc w:val="left"/>
      <w:pPr>
        <w:tabs>
          <w:tab w:val="num" w:pos="2880"/>
        </w:tabs>
        <w:ind w:left="2880" w:hanging="360"/>
      </w:pPr>
      <w:rPr>
        <w:rFonts w:ascii="Symbol" w:hAnsi="Symbol"/>
      </w:rPr>
    </w:lvl>
    <w:lvl w:ilvl="4" w:tplc="9BE07EFC">
      <w:start w:val="1"/>
      <w:numFmt w:val="bullet"/>
      <w:lvlText w:val="o"/>
      <w:lvlJc w:val="left"/>
      <w:pPr>
        <w:tabs>
          <w:tab w:val="num" w:pos="3600"/>
        </w:tabs>
        <w:ind w:left="3600" w:hanging="360"/>
      </w:pPr>
      <w:rPr>
        <w:rFonts w:ascii="Courier New" w:hAnsi="Courier New"/>
      </w:rPr>
    </w:lvl>
    <w:lvl w:ilvl="5" w:tplc="F82EA22E">
      <w:start w:val="1"/>
      <w:numFmt w:val="bullet"/>
      <w:lvlText w:val=""/>
      <w:lvlJc w:val="left"/>
      <w:pPr>
        <w:tabs>
          <w:tab w:val="num" w:pos="4320"/>
        </w:tabs>
        <w:ind w:left="4320" w:hanging="360"/>
      </w:pPr>
      <w:rPr>
        <w:rFonts w:ascii="Wingdings" w:hAnsi="Wingdings"/>
      </w:rPr>
    </w:lvl>
    <w:lvl w:ilvl="6" w:tplc="4F5E4CF2">
      <w:start w:val="1"/>
      <w:numFmt w:val="bullet"/>
      <w:lvlText w:val=""/>
      <w:lvlJc w:val="left"/>
      <w:pPr>
        <w:tabs>
          <w:tab w:val="num" w:pos="5040"/>
        </w:tabs>
        <w:ind w:left="5040" w:hanging="360"/>
      </w:pPr>
      <w:rPr>
        <w:rFonts w:ascii="Symbol" w:hAnsi="Symbol"/>
      </w:rPr>
    </w:lvl>
    <w:lvl w:ilvl="7" w:tplc="577A5254">
      <w:start w:val="1"/>
      <w:numFmt w:val="bullet"/>
      <w:lvlText w:val="o"/>
      <w:lvlJc w:val="left"/>
      <w:pPr>
        <w:tabs>
          <w:tab w:val="num" w:pos="5760"/>
        </w:tabs>
        <w:ind w:left="5760" w:hanging="360"/>
      </w:pPr>
      <w:rPr>
        <w:rFonts w:ascii="Courier New" w:hAnsi="Courier New"/>
      </w:rPr>
    </w:lvl>
    <w:lvl w:ilvl="8" w:tplc="E0DE345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EB0331A">
      <w:start w:val="1"/>
      <w:numFmt w:val="bullet"/>
      <w:lvlText w:val="–"/>
      <w:lvlJc w:val="left"/>
      <w:pPr>
        <w:tabs>
          <w:tab w:val="num" w:pos="720"/>
        </w:tabs>
        <w:ind w:left="720" w:hanging="360"/>
      </w:pPr>
      <w:rPr>
        <w:rFonts w:ascii="Times New Roman" w:eastAsia="Times New Roman" w:hAnsi="Times New Roman" w:cs="Times New Roman"/>
        <w:b w:val="0"/>
        <w:i w:val="0"/>
        <w:strike w:val="0"/>
        <w:sz w:val="24"/>
      </w:rPr>
    </w:lvl>
    <w:lvl w:ilvl="1" w:tplc="CDF24806">
      <w:start w:val="1"/>
      <w:numFmt w:val="bullet"/>
      <w:lvlText w:val="o"/>
      <w:lvlJc w:val="left"/>
      <w:pPr>
        <w:tabs>
          <w:tab w:val="num" w:pos="1440"/>
        </w:tabs>
        <w:ind w:left="1440" w:hanging="360"/>
      </w:pPr>
      <w:rPr>
        <w:rFonts w:ascii="Courier New" w:hAnsi="Courier New"/>
      </w:rPr>
    </w:lvl>
    <w:lvl w:ilvl="2" w:tplc="9490E4DA">
      <w:start w:val="1"/>
      <w:numFmt w:val="bullet"/>
      <w:lvlText w:val=""/>
      <w:lvlJc w:val="left"/>
      <w:pPr>
        <w:tabs>
          <w:tab w:val="num" w:pos="2160"/>
        </w:tabs>
        <w:ind w:left="2160" w:hanging="360"/>
      </w:pPr>
      <w:rPr>
        <w:rFonts w:ascii="Wingdings" w:hAnsi="Wingdings"/>
      </w:rPr>
    </w:lvl>
    <w:lvl w:ilvl="3" w:tplc="1C22A1C0">
      <w:start w:val="1"/>
      <w:numFmt w:val="bullet"/>
      <w:lvlText w:val=""/>
      <w:lvlJc w:val="left"/>
      <w:pPr>
        <w:tabs>
          <w:tab w:val="num" w:pos="2880"/>
        </w:tabs>
        <w:ind w:left="2880" w:hanging="360"/>
      </w:pPr>
      <w:rPr>
        <w:rFonts w:ascii="Symbol" w:hAnsi="Symbol"/>
      </w:rPr>
    </w:lvl>
    <w:lvl w:ilvl="4" w:tplc="D51E6514">
      <w:start w:val="1"/>
      <w:numFmt w:val="bullet"/>
      <w:lvlText w:val="o"/>
      <w:lvlJc w:val="left"/>
      <w:pPr>
        <w:tabs>
          <w:tab w:val="num" w:pos="3600"/>
        </w:tabs>
        <w:ind w:left="3600" w:hanging="360"/>
      </w:pPr>
      <w:rPr>
        <w:rFonts w:ascii="Courier New" w:hAnsi="Courier New"/>
      </w:rPr>
    </w:lvl>
    <w:lvl w:ilvl="5" w:tplc="1C64A164">
      <w:start w:val="1"/>
      <w:numFmt w:val="bullet"/>
      <w:lvlText w:val=""/>
      <w:lvlJc w:val="left"/>
      <w:pPr>
        <w:tabs>
          <w:tab w:val="num" w:pos="4320"/>
        </w:tabs>
        <w:ind w:left="4320" w:hanging="360"/>
      </w:pPr>
      <w:rPr>
        <w:rFonts w:ascii="Wingdings" w:hAnsi="Wingdings"/>
      </w:rPr>
    </w:lvl>
    <w:lvl w:ilvl="6" w:tplc="20801CA6">
      <w:start w:val="1"/>
      <w:numFmt w:val="bullet"/>
      <w:lvlText w:val=""/>
      <w:lvlJc w:val="left"/>
      <w:pPr>
        <w:tabs>
          <w:tab w:val="num" w:pos="5040"/>
        </w:tabs>
        <w:ind w:left="5040" w:hanging="360"/>
      </w:pPr>
      <w:rPr>
        <w:rFonts w:ascii="Symbol" w:hAnsi="Symbol"/>
      </w:rPr>
    </w:lvl>
    <w:lvl w:ilvl="7" w:tplc="4B5C555E">
      <w:start w:val="1"/>
      <w:numFmt w:val="bullet"/>
      <w:lvlText w:val="o"/>
      <w:lvlJc w:val="left"/>
      <w:pPr>
        <w:tabs>
          <w:tab w:val="num" w:pos="5760"/>
        </w:tabs>
        <w:ind w:left="5760" w:hanging="360"/>
      </w:pPr>
      <w:rPr>
        <w:rFonts w:ascii="Courier New" w:hAnsi="Courier New"/>
      </w:rPr>
    </w:lvl>
    <w:lvl w:ilvl="8" w:tplc="8BDCF3EC">
      <w:start w:val="1"/>
      <w:numFmt w:val="bullet"/>
      <w:lvlText w:val=""/>
      <w:lvlJc w:val="left"/>
      <w:pPr>
        <w:tabs>
          <w:tab w:val="num" w:pos="6480"/>
        </w:tabs>
        <w:ind w:left="6480" w:hanging="360"/>
      </w:pPr>
      <w:rPr>
        <w:rFonts w:ascii="Wingdings" w:hAnsi="Wingdings"/>
      </w:rPr>
    </w:lvl>
  </w:abstractNum>
  <w:num w:numId="1" w16cid:durableId="1360161680">
    <w:abstractNumId w:val="0"/>
  </w:num>
  <w:num w:numId="2" w16cid:durableId="1055811288">
    <w:abstractNumId w:val="1"/>
  </w:num>
  <w:num w:numId="3" w16cid:durableId="1918593681">
    <w:abstractNumId w:val="2"/>
  </w:num>
  <w:num w:numId="4" w16cid:durableId="1783064098">
    <w:abstractNumId w:val="3"/>
  </w:num>
  <w:num w:numId="5" w16cid:durableId="1025910816">
    <w:abstractNumId w:val="4"/>
  </w:num>
  <w:num w:numId="6" w16cid:durableId="451365868">
    <w:abstractNumId w:val="5"/>
  </w:num>
  <w:num w:numId="7" w16cid:durableId="1665429046">
    <w:abstractNumId w:val="6"/>
  </w:num>
  <w:num w:numId="8" w16cid:durableId="1989287623">
    <w:abstractNumId w:val="7"/>
  </w:num>
  <w:num w:numId="9" w16cid:durableId="1731030575">
    <w:abstractNumId w:val="8"/>
  </w:num>
  <w:num w:numId="10" w16cid:durableId="2144227005">
    <w:abstractNumId w:val="9"/>
  </w:num>
  <w:num w:numId="11" w16cid:durableId="386999737">
    <w:abstractNumId w:val="10"/>
  </w:num>
  <w:num w:numId="12" w16cid:durableId="251670142">
    <w:abstractNumId w:val="11"/>
  </w:num>
  <w:num w:numId="13" w16cid:durableId="1478182854">
    <w:abstractNumId w:val="12"/>
  </w:num>
  <w:num w:numId="14" w16cid:durableId="659040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3F5BBE"/>
    <w:rsid w:val="00737E9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39A28"/>
  <w15:docId w15:val="{99E35CCE-39D3-4A91-BE79-97863AFB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paragraph" w:styleId="Header">
    <w:name w:val="header"/>
    <w:basedOn w:val="Normal"/>
    <w:link w:val="HeaderChar"/>
    <w:unhideWhenUsed/>
    <w:rsid w:val="00737E93"/>
    <w:pPr>
      <w:tabs>
        <w:tab w:val="center" w:pos="4513"/>
        <w:tab w:val="right" w:pos="9026"/>
      </w:tabs>
    </w:pPr>
  </w:style>
  <w:style w:type="character" w:customStyle="1" w:styleId="HeaderChar">
    <w:name w:val="Header Char"/>
    <w:basedOn w:val="DefaultParagraphFont"/>
    <w:link w:val="Header"/>
    <w:rsid w:val="00737E93"/>
    <w:rPr>
      <w:sz w:val="24"/>
      <w:szCs w:val="24"/>
    </w:rPr>
  </w:style>
  <w:style w:type="paragraph" w:styleId="Footer">
    <w:name w:val="footer"/>
    <w:basedOn w:val="Normal"/>
    <w:link w:val="FooterChar"/>
    <w:unhideWhenUsed/>
    <w:rsid w:val="00737E93"/>
    <w:pPr>
      <w:tabs>
        <w:tab w:val="center" w:pos="4513"/>
        <w:tab w:val="right" w:pos="9026"/>
      </w:tabs>
    </w:pPr>
  </w:style>
  <w:style w:type="character" w:customStyle="1" w:styleId="FooterChar">
    <w:name w:val="Footer Char"/>
    <w:basedOn w:val="DefaultParagraphFont"/>
    <w:link w:val="Footer"/>
    <w:rsid w:val="00737E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pert.taylorrea@aviva.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viva.com/investor-relations/reports/"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50C78214090D4A864A31AF343353D9" ma:contentTypeVersion="105" ma:contentTypeDescription="Create a new document." ma:contentTypeScope="" ma:versionID="ec3ba4b18be7ff817e9f2018f0f66fe0">
  <xsd:schema xmlns:xsd="http://www.w3.org/2001/XMLSchema" xmlns:xs="http://www.w3.org/2001/XMLSchema" xmlns:p="http://schemas.microsoft.com/office/2006/metadata/properties" xmlns:ns2="ae98c9e5-0181-43a2-8df8-f72529837269" xmlns:ns3="0aebc330-36eb-44ac-b802-17ab6d42f410" xmlns:ns4="d29d637c-07f6-498c-bb02-0218d78fce8a" targetNamespace="http://schemas.microsoft.com/office/2006/metadata/properties" ma:root="true" ma:fieldsID="18076053e12d2ed08cf0437001b724e3" ns2:_="" ns3:_="" ns4:_="">
    <xsd:import namespace="ae98c9e5-0181-43a2-8df8-f72529837269"/>
    <xsd:import namespace="0aebc330-36eb-44ac-b802-17ab6d42f410"/>
    <xsd:import namespace="d29d637c-07f6-498c-bb02-0218d78fce8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c9e5-0181-43a2-8df8-f725298372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0d5bf8-7bc1-43a8-a9c0-2de9fd0a7212}" ma:internalName="TaxCatchAll" ma:showField="CatchAllData" ma:web="ae98c9e5-0181-43a2-8df8-f725298372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ebc330-36eb-44ac-b802-17ab6d42f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d2d4de-c64e-4af1-a299-70253fe5d5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d637c-07f6-498c-bb02-0218d78fce8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AEF13-7115-4198-8564-90EC58A6F135}"/>
</file>

<file path=customXml/itemProps2.xml><?xml version="1.0" encoding="utf-8"?>
<ds:datastoreItem xmlns:ds="http://schemas.openxmlformats.org/officeDocument/2006/customXml" ds:itemID="{11B13D8B-824D-4478-925E-989F71E3164A}"/>
</file>

<file path=customXml/itemProps3.xml><?xml version="1.0" encoding="utf-8"?>
<ds:datastoreItem xmlns:ds="http://schemas.openxmlformats.org/officeDocument/2006/customXml" ds:itemID="{98D985F7-C19D-49D8-9795-478C70648C5B}"/>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plc FY22 Press Release V1</dc:title>
  <cp:lastModifiedBy>Jamie MacIntyre</cp:lastModifiedBy>
  <cp:revision>2</cp:revision>
  <dcterms:created xsi:type="dcterms:W3CDTF">2023-03-09T00:59:00Z</dcterms:created>
  <dcterms:modified xsi:type="dcterms:W3CDTF">2023-03-09T00:59:00Z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719a5e-ff05-4a37-b187-c6fda98d4d79_Enabled">
    <vt:lpwstr>true</vt:lpwstr>
  </property>
  <property fmtid="{D5CDD505-2E9C-101B-9397-08002B2CF9AE}" pid="3" name="MSIP_Label_f7719a5e-ff05-4a37-b187-c6fda98d4d79_SetDate">
    <vt:lpwstr>2023-03-09T00:59:54Z</vt:lpwstr>
  </property>
  <property fmtid="{D5CDD505-2E9C-101B-9397-08002B2CF9AE}" pid="4" name="MSIP_Label_f7719a5e-ff05-4a37-b187-c6fda98d4d79_Method">
    <vt:lpwstr>Privileged</vt:lpwstr>
  </property>
  <property fmtid="{D5CDD505-2E9C-101B-9397-08002B2CF9AE}" pid="5" name="MSIP_Label_f7719a5e-ff05-4a37-b187-c6fda98d4d79_Name">
    <vt:lpwstr>Public</vt:lpwstr>
  </property>
  <property fmtid="{D5CDD505-2E9C-101B-9397-08002B2CF9AE}" pid="6" name="MSIP_Label_f7719a5e-ff05-4a37-b187-c6fda98d4d79_SiteId">
    <vt:lpwstr>42d0d02d-6286-465e-999b-31006231efb1</vt:lpwstr>
  </property>
  <property fmtid="{D5CDD505-2E9C-101B-9397-08002B2CF9AE}" pid="7" name="MSIP_Label_f7719a5e-ff05-4a37-b187-c6fda98d4d79_ActionId">
    <vt:lpwstr>756b389e-52ff-4acd-9177-bdc87d3614de</vt:lpwstr>
  </property>
  <property fmtid="{D5CDD505-2E9C-101B-9397-08002B2CF9AE}" pid="8" name="MSIP_Label_f7719a5e-ff05-4a37-b187-c6fda98d4d79_ContentBits">
    <vt:lpwstr>2</vt:lpwstr>
  </property>
  <property fmtid="{D5CDD505-2E9C-101B-9397-08002B2CF9AE}" pid="9" name="x-AvivaClassification">
    <vt:lpwstr>Aviva-Pub1ic</vt:lpwstr>
  </property>
  <property fmtid="{D5CDD505-2E9C-101B-9397-08002B2CF9AE}" pid="10" name="AvivaClassification">
    <vt:lpwstr>Aviva-Pub1ic</vt:lpwstr>
  </property>
</Properties>
</file>