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CEC4" w14:textId="77777777" w:rsidR="00A77B3E" w:rsidRDefault="00BC0927">
      <w:pPr>
        <w:spacing w:line="240" w:lineRule="auto"/>
        <w:jc w:val="center"/>
      </w:pPr>
      <w:bookmarkStart w:id="0" w:name="Section1"/>
      <w:bookmarkEnd w:id="0"/>
      <w:r>
        <w:rPr>
          <w:rFonts w:ascii="Source Sans Pro" w:eastAsia="Source Sans Pro" w:hAnsi="Source Sans Pro" w:cs="Source Sans Pro"/>
          <w:b/>
        </w:rPr>
        <w:t>INFORMATION FOR GENERAL ACCIDENT PLC PREFERENCE SHAREHOLDERS</w:t>
      </w:r>
    </w:p>
    <w:p w14:paraId="094B13EB" w14:textId="77777777" w:rsidR="00A77B3E" w:rsidRDefault="00A77B3E">
      <w:pPr>
        <w:spacing w:line="240" w:lineRule="auto"/>
        <w:jc w:val="center"/>
      </w:pPr>
    </w:p>
    <w:p w14:paraId="2047C244" w14:textId="77777777" w:rsidR="00A77B3E" w:rsidRDefault="00A77B3E">
      <w:pPr>
        <w:spacing w:line="240" w:lineRule="auto"/>
        <w:jc w:val="center"/>
      </w:pPr>
    </w:p>
    <w:p w14:paraId="7BF45E66" w14:textId="77777777" w:rsidR="00A77B3E" w:rsidRDefault="00BC0927">
      <w:pPr>
        <w:keepNext/>
        <w:spacing w:line="240" w:lineRule="auto"/>
        <w:jc w:val="center"/>
      </w:pPr>
      <w:r>
        <w:rPr>
          <w:rFonts w:ascii="Source Sans Pro" w:eastAsia="Source Sans Pro" w:hAnsi="Source Sans Pro" w:cs="Source Sans Pro"/>
          <w:b/>
        </w:rPr>
        <w:t>GENERAL ACCIDENT PLC</w:t>
      </w:r>
    </w:p>
    <w:p w14:paraId="68D67BFE" w14:textId="77777777" w:rsidR="00A77B3E" w:rsidRDefault="00BC0927">
      <w:pPr>
        <w:spacing w:line="240" w:lineRule="auto"/>
        <w:jc w:val="center"/>
      </w:pPr>
      <w:r>
        <w:rPr>
          <w:rFonts w:ascii="Source Sans Pro" w:eastAsia="Source Sans Pro" w:hAnsi="Source Sans Pro" w:cs="Source Sans Pro"/>
          <w:b/>
          <w:sz w:val="23"/>
        </w:rPr>
        <w:t>Unaudited results for the six months ended 30 June 2023</w:t>
      </w:r>
    </w:p>
    <w:p w14:paraId="075FB2BE" w14:textId="77777777" w:rsidR="00A77B3E" w:rsidRDefault="00A77B3E">
      <w:pPr>
        <w:spacing w:line="240" w:lineRule="auto"/>
      </w:pPr>
    </w:p>
    <w:p w14:paraId="7D58D2F9" w14:textId="77777777" w:rsidR="00A77B3E" w:rsidRDefault="00BC0927">
      <w:pPr>
        <w:spacing w:line="240" w:lineRule="auto"/>
        <w:jc w:val="both"/>
      </w:pPr>
      <w:r>
        <w:rPr>
          <w:rFonts w:ascii="Source Sans Pro" w:eastAsia="Source Sans Pro" w:hAnsi="Source Sans Pro" w:cs="Source Sans Pro"/>
        </w:rPr>
        <w:t xml:space="preserve">These results are published for the benefit of preference shareholders of General Accident plc (the </w:t>
      </w:r>
      <w:r>
        <w:rPr>
          <w:rFonts w:ascii="Source Sans Pro" w:eastAsia="Source Sans Pro" w:hAnsi="Source Sans Pro" w:cs="Source Sans Pro"/>
        </w:rPr>
        <w:t>Company) for the six months ended 30 June 2023. The preference shares have remained listed on the London Stock Exchange following the merger of the Company with Commercial Union plc, in June 1998 to form CGU plc (CGU), and the subsequent merger of CGU with</w:t>
      </w:r>
      <w:r>
        <w:rPr>
          <w:rFonts w:ascii="Source Sans Pro" w:eastAsia="Source Sans Pro" w:hAnsi="Source Sans Pro" w:cs="Source Sans Pro"/>
        </w:rPr>
        <w:t xml:space="preserve"> Norwich Union plc in May 2000 to form Aviva plc (formerly CGNU plc).</w:t>
      </w:r>
    </w:p>
    <w:p w14:paraId="53A2A440" w14:textId="77777777" w:rsidR="00A77B3E" w:rsidRDefault="00A77B3E">
      <w:pPr>
        <w:spacing w:line="240" w:lineRule="auto"/>
        <w:jc w:val="both"/>
        <w:rPr>
          <w:sz w:val="16"/>
        </w:rPr>
      </w:pPr>
    </w:p>
    <w:p w14:paraId="21840697" w14:textId="77777777" w:rsidR="00A77B3E" w:rsidRDefault="00BC0927">
      <w:pPr>
        <w:spacing w:line="240" w:lineRule="auto"/>
        <w:jc w:val="both"/>
      </w:pPr>
      <w:r>
        <w:rPr>
          <w:rFonts w:ascii="Source Sans Pro" w:eastAsia="Source Sans Pro" w:hAnsi="Source Sans Pro" w:cs="Source Sans Pro"/>
        </w:rPr>
        <w:t xml:space="preserve">The Company transferred its interest in its subsidiaries to its parent company, Aviva plc in 2005, in return for an inter-company loan with Aviva plc. The income of the Company for the </w:t>
      </w:r>
      <w:r>
        <w:rPr>
          <w:rFonts w:ascii="Source Sans Pro" w:eastAsia="Source Sans Pro" w:hAnsi="Source Sans Pro" w:cs="Source Sans Pro"/>
        </w:rPr>
        <w:t xml:space="preserve">six months to 30 June 2023 consists of interest received on this loan.  </w:t>
      </w:r>
    </w:p>
    <w:p w14:paraId="60FD9270" w14:textId="77777777" w:rsidR="00A77B3E" w:rsidRDefault="00A77B3E">
      <w:pPr>
        <w:spacing w:line="240" w:lineRule="auto"/>
        <w:jc w:val="both"/>
      </w:pPr>
    </w:p>
    <w:p w14:paraId="7AE7CCBE" w14:textId="77777777" w:rsidR="00A77B3E" w:rsidRDefault="00BC0927">
      <w:pPr>
        <w:spacing w:line="240" w:lineRule="auto"/>
        <w:jc w:val="both"/>
      </w:pPr>
      <w:r>
        <w:rPr>
          <w:rFonts w:ascii="Source Sans Pro" w:eastAsia="Source Sans Pro" w:hAnsi="Source Sans Pro" w:cs="Source Sans Pro"/>
        </w:rPr>
        <w:t>The principal risks and uncertainties facing the Company for the remainder of the year are:</w:t>
      </w:r>
    </w:p>
    <w:p w14:paraId="29A6911B" w14:textId="77777777" w:rsidR="006E1283" w:rsidRDefault="00BC0927">
      <w:pPr>
        <w:numPr>
          <w:ilvl w:val="0"/>
          <w:numId w:val="13"/>
        </w:numPr>
        <w:spacing w:before="120" w:after="120" w:line="240" w:lineRule="auto"/>
        <w:ind w:left="360"/>
        <w:jc w:val="both"/>
        <w:rPr>
          <w:i/>
          <w:sz w:val="18"/>
        </w:rPr>
      </w:pPr>
      <w:r>
        <w:rPr>
          <w:rFonts w:ascii="Source Sans Pro" w:eastAsia="Source Sans Pro" w:hAnsi="Source Sans Pro" w:cs="Source Sans Pro"/>
          <w:i/>
        </w:rPr>
        <w:t>Credit risk:</w:t>
      </w:r>
      <w:r>
        <w:rPr>
          <w:rFonts w:ascii="Source Sans Pro" w:eastAsia="Source Sans Pro" w:hAnsi="Source Sans Pro" w:cs="Source Sans Pro"/>
        </w:rPr>
        <w:t xml:space="preserve"> The net asset value of the Company’s financial resources is exposed to the po</w:t>
      </w:r>
      <w:r>
        <w:rPr>
          <w:rFonts w:ascii="Source Sans Pro" w:eastAsia="Source Sans Pro" w:hAnsi="Source Sans Pro" w:cs="Source Sans Pro"/>
        </w:rPr>
        <w:t xml:space="preserve">tential default on the loan and short-term receivables due from its parent, Aviva plc. The external issuer credit rating of Aviva plc (representing an issuer’s ability to meet its overall financial commitments as they fall due) is A. </w:t>
      </w:r>
    </w:p>
    <w:p w14:paraId="76198ADA" w14:textId="77777777" w:rsidR="006E1283" w:rsidRDefault="00BC0927">
      <w:pPr>
        <w:numPr>
          <w:ilvl w:val="0"/>
          <w:numId w:val="14"/>
        </w:numPr>
        <w:spacing w:before="120" w:after="120" w:line="240" w:lineRule="auto"/>
        <w:ind w:left="360"/>
        <w:jc w:val="both"/>
        <w:rPr>
          <w:i/>
          <w:sz w:val="18"/>
        </w:rPr>
      </w:pPr>
      <w:r>
        <w:rPr>
          <w:rFonts w:ascii="Source Sans Pro" w:eastAsia="Source Sans Pro" w:hAnsi="Source Sans Pro" w:cs="Source Sans Pro"/>
          <w:i/>
        </w:rPr>
        <w:t xml:space="preserve">Interest rate risk: </w:t>
      </w:r>
      <w:r>
        <w:rPr>
          <w:rFonts w:ascii="Source Sans Pro" w:eastAsia="Source Sans Pro" w:hAnsi="Source Sans Pro" w:cs="Source Sans Pro"/>
        </w:rPr>
        <w:t>E</w:t>
      </w:r>
      <w:r>
        <w:rPr>
          <w:rFonts w:ascii="Source Sans Pro" w:eastAsia="Source Sans Pro" w:hAnsi="Source Sans Pro" w:cs="Source Sans Pro"/>
        </w:rPr>
        <w:t>ffective from 1 January 2023, interest rate risk arises as the loan receivable is subject to a floating interest rate based on the SONIA swap rate. The net asset value of the Company's financial resources is exposed to potential fluctuations in interest ra</w:t>
      </w:r>
      <w:r>
        <w:rPr>
          <w:rFonts w:ascii="Source Sans Pro" w:eastAsia="Source Sans Pro" w:hAnsi="Source Sans Pro" w:cs="Source Sans Pro"/>
        </w:rPr>
        <w:t>tes impacting investment income. The net asset value of the Company’s financial resources is not anticipated to be materially affected by fluctuations in interest rates.</w:t>
      </w:r>
    </w:p>
    <w:p w14:paraId="4CF0C96D" w14:textId="77777777" w:rsidR="006E1283" w:rsidRDefault="00BC0927">
      <w:pPr>
        <w:numPr>
          <w:ilvl w:val="0"/>
          <w:numId w:val="15"/>
        </w:numPr>
        <w:spacing w:before="120" w:after="120" w:line="240" w:lineRule="auto"/>
        <w:ind w:left="360"/>
        <w:jc w:val="both"/>
        <w:rPr>
          <w:i/>
          <w:sz w:val="18"/>
        </w:rPr>
      </w:pPr>
      <w:r>
        <w:rPr>
          <w:rFonts w:ascii="Source Sans Pro" w:eastAsia="Source Sans Pro" w:hAnsi="Source Sans Pro" w:cs="Source Sans Pro"/>
          <w:i/>
        </w:rPr>
        <w:t>Risk of non-payment</w:t>
      </w:r>
      <w:r>
        <w:rPr>
          <w:rFonts w:ascii="Source Sans Pro" w:eastAsia="Source Sans Pro" w:hAnsi="Source Sans Pro" w:cs="Source Sans Pro"/>
        </w:rPr>
        <w:t xml:space="preserve">: The payment of the preference share dividends is made in cash by </w:t>
      </w:r>
      <w:r>
        <w:rPr>
          <w:rFonts w:ascii="Source Sans Pro" w:eastAsia="Source Sans Pro" w:hAnsi="Source Sans Pro" w:cs="Source Sans Pro"/>
        </w:rPr>
        <w:t xml:space="preserve">the parent of the Company, Aviva plc. If Aviva plc had insufficient cash at any time to pay the dividend it could use its revolving credit facility with Aviva Group Holdings (AGH), </w:t>
      </w:r>
      <w:proofErr w:type="spellStart"/>
      <w:r>
        <w:rPr>
          <w:rFonts w:ascii="Source Sans Pro" w:eastAsia="Source Sans Pro" w:hAnsi="Source Sans Pro" w:cs="Source Sans Pro"/>
        </w:rPr>
        <w:t>utilising</w:t>
      </w:r>
      <w:proofErr w:type="spellEnd"/>
      <w:r>
        <w:rPr>
          <w:rFonts w:ascii="Source Sans Pro" w:eastAsia="Source Sans Pro" w:hAnsi="Source Sans Pro" w:cs="Source Sans Pro"/>
        </w:rPr>
        <w:t xml:space="preserve"> AGH's cash balances.</w:t>
      </w:r>
    </w:p>
    <w:p w14:paraId="4C6C3ABB" w14:textId="77777777" w:rsidR="00A77B3E" w:rsidRDefault="00A77B3E">
      <w:pPr>
        <w:spacing w:after="120" w:line="240" w:lineRule="auto"/>
        <w:ind w:left="360"/>
        <w:jc w:val="both"/>
      </w:pPr>
    </w:p>
    <w:p w14:paraId="6F15F37E" w14:textId="77777777" w:rsidR="00A77B3E" w:rsidRDefault="00BC0927">
      <w:pPr>
        <w:spacing w:after="120" w:line="240" w:lineRule="auto"/>
        <w:jc w:val="both"/>
      </w:pPr>
      <w:r>
        <w:rPr>
          <w:rFonts w:ascii="Source Sans Pro" w:eastAsia="Source Sans Pro" w:hAnsi="Source Sans Pro" w:cs="Source Sans Pro"/>
        </w:rPr>
        <w:t xml:space="preserve">The Company is part of the Aviva plc group </w:t>
      </w:r>
      <w:r>
        <w:rPr>
          <w:rFonts w:ascii="Source Sans Pro" w:eastAsia="Source Sans Pro" w:hAnsi="Source Sans Pro" w:cs="Source Sans Pro"/>
        </w:rPr>
        <w:t>(Group) and Aviva plc owns 100% of the Company’s ordinary issued share capital.</w:t>
      </w:r>
    </w:p>
    <w:p w14:paraId="382B27A1" w14:textId="77777777" w:rsidR="00A77B3E" w:rsidRDefault="00A77B3E">
      <w:pPr>
        <w:spacing w:line="240" w:lineRule="auto"/>
        <w:jc w:val="both"/>
      </w:pPr>
    </w:p>
    <w:p w14:paraId="6A9C12E5" w14:textId="77777777" w:rsidR="00A77B3E" w:rsidRDefault="00BC0927">
      <w:pPr>
        <w:spacing w:line="240" w:lineRule="auto"/>
      </w:pPr>
      <w:r>
        <w:br w:type="page"/>
      </w:r>
    </w:p>
    <w:tbl>
      <w:tblPr>
        <w:tblW w:w="99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0"/>
        <w:gridCol w:w="1995"/>
        <w:gridCol w:w="2025"/>
      </w:tblGrid>
      <w:tr w:rsidR="006E1283" w14:paraId="52C4AAF7" w14:textId="77777777">
        <w:trPr>
          <w:cantSplit/>
          <w:trHeight w:hRule="exact" w:val="240"/>
        </w:trPr>
        <w:tc>
          <w:tcPr>
            <w:tcW w:w="5970" w:type="dxa"/>
            <w:tcBorders>
              <w:top w:val="nil"/>
              <w:left w:val="nil"/>
              <w:bottom w:val="nil"/>
              <w:right w:val="nil"/>
            </w:tcBorders>
            <w:shd w:val="clear" w:color="auto" w:fill="FFFFFF"/>
            <w:tcMar>
              <w:top w:w="0" w:type="dxa"/>
              <w:left w:w="0" w:type="dxa"/>
              <w:bottom w:w="0" w:type="dxa"/>
              <w:right w:w="0" w:type="dxa"/>
            </w:tcMar>
            <w:vAlign w:val="bottom"/>
          </w:tcPr>
          <w:p w14:paraId="008DB901" w14:textId="77777777" w:rsidR="006E1283" w:rsidRDefault="006E1283">
            <w:pPr>
              <w:keepNext/>
            </w:pPr>
          </w:p>
        </w:tc>
        <w:tc>
          <w:tcPr>
            <w:tcW w:w="1995" w:type="dxa"/>
            <w:tcBorders>
              <w:top w:val="nil"/>
              <w:left w:val="nil"/>
              <w:bottom w:val="nil"/>
              <w:right w:val="nil"/>
            </w:tcBorders>
            <w:shd w:val="clear" w:color="auto" w:fill="FFFFFF"/>
            <w:tcMar>
              <w:top w:w="0" w:type="dxa"/>
              <w:left w:w="53" w:type="dxa"/>
              <w:bottom w:w="0" w:type="dxa"/>
              <w:right w:w="53" w:type="dxa"/>
            </w:tcMar>
            <w:vAlign w:val="bottom"/>
          </w:tcPr>
          <w:p w14:paraId="57FF1EB9" w14:textId="77777777" w:rsidR="006E1283" w:rsidRDefault="00BC0927">
            <w:pPr>
              <w:keepNext/>
              <w:spacing w:before="53" w:after="30" w:line="240" w:lineRule="auto"/>
              <w:ind w:left="55"/>
            </w:pPr>
            <w:r>
              <w:rPr>
                <w:rFonts w:ascii="Source Sans Pro" w:eastAsia="Source Sans Pro" w:hAnsi="Source Sans Pro" w:cs="Source Sans Pro"/>
                <w:sz w:val="20"/>
              </w:rPr>
              <w:t> </w:t>
            </w:r>
          </w:p>
        </w:tc>
        <w:tc>
          <w:tcPr>
            <w:tcW w:w="2025" w:type="dxa"/>
            <w:tcBorders>
              <w:top w:val="nil"/>
              <w:left w:val="nil"/>
              <w:bottom w:val="nil"/>
              <w:right w:val="nil"/>
            </w:tcBorders>
            <w:shd w:val="clear" w:color="auto" w:fill="FFFFFF"/>
            <w:tcMar>
              <w:top w:w="0" w:type="dxa"/>
              <w:left w:w="53" w:type="dxa"/>
              <w:bottom w:w="0" w:type="dxa"/>
              <w:right w:w="53" w:type="dxa"/>
            </w:tcMar>
            <w:vAlign w:val="bottom"/>
          </w:tcPr>
          <w:p w14:paraId="714A845C" w14:textId="77777777" w:rsidR="006E1283" w:rsidRDefault="00BC0927">
            <w:pPr>
              <w:keepNext/>
              <w:spacing w:before="53" w:after="30" w:line="240" w:lineRule="auto"/>
              <w:ind w:left="55"/>
            </w:pPr>
            <w:r>
              <w:rPr>
                <w:rFonts w:ascii="Source Sans Pro" w:eastAsia="Source Sans Pro" w:hAnsi="Source Sans Pro" w:cs="Source Sans Pro"/>
                <w:sz w:val="20"/>
              </w:rPr>
              <w:t> </w:t>
            </w:r>
          </w:p>
        </w:tc>
      </w:tr>
      <w:tr w:rsidR="006E1283" w14:paraId="7365A3D8" w14:textId="77777777">
        <w:trPr>
          <w:cantSplit/>
          <w:trHeight w:hRule="exact" w:val="330"/>
        </w:trPr>
        <w:tc>
          <w:tcPr>
            <w:tcW w:w="5970" w:type="dxa"/>
            <w:tcBorders>
              <w:top w:val="nil"/>
              <w:left w:val="nil"/>
              <w:bottom w:val="nil"/>
              <w:right w:val="nil"/>
            </w:tcBorders>
            <w:shd w:val="clear" w:color="auto" w:fill="FFFFFF"/>
            <w:tcMar>
              <w:top w:w="0" w:type="dxa"/>
              <w:left w:w="53" w:type="dxa"/>
              <w:bottom w:w="0" w:type="dxa"/>
              <w:right w:w="53" w:type="dxa"/>
            </w:tcMar>
          </w:tcPr>
          <w:p w14:paraId="5DDFB526" w14:textId="77777777" w:rsidR="006E1283" w:rsidRDefault="00BC0927">
            <w:pPr>
              <w:keepNext/>
              <w:spacing w:before="53" w:after="30" w:line="240" w:lineRule="auto"/>
              <w:ind w:left="55"/>
            </w:pPr>
            <w:r>
              <w:rPr>
                <w:rFonts w:ascii="Source Sans Pro" w:eastAsia="Source Sans Pro" w:hAnsi="Source Sans Pro" w:cs="Source Sans Pro"/>
                <w:b/>
              </w:rPr>
              <w:t>Condensed income statement</w:t>
            </w:r>
          </w:p>
        </w:tc>
        <w:tc>
          <w:tcPr>
            <w:tcW w:w="1995" w:type="dxa"/>
            <w:tcBorders>
              <w:top w:val="nil"/>
              <w:left w:val="nil"/>
              <w:bottom w:val="nil"/>
              <w:right w:val="nil"/>
            </w:tcBorders>
            <w:shd w:val="clear" w:color="auto" w:fill="FFFFFF"/>
            <w:tcMar>
              <w:top w:w="0" w:type="dxa"/>
              <w:left w:w="0" w:type="dxa"/>
              <w:bottom w:w="0" w:type="dxa"/>
              <w:right w:w="53" w:type="dxa"/>
            </w:tcMar>
          </w:tcPr>
          <w:p w14:paraId="6A355076" w14:textId="77777777" w:rsidR="006E1283" w:rsidRDefault="00BC0927">
            <w:pPr>
              <w:keepNext/>
              <w:spacing w:before="53" w:after="30" w:line="240" w:lineRule="auto"/>
              <w:ind w:right="55"/>
              <w:jc w:val="right"/>
            </w:pPr>
            <w:r>
              <w:rPr>
                <w:rFonts w:ascii="Source Sans Pro" w:eastAsia="Source Sans Pro" w:hAnsi="Source Sans Pro" w:cs="Source Sans Pro"/>
                <w:b/>
              </w:rPr>
              <w:t>Unaudited</w:t>
            </w:r>
          </w:p>
        </w:tc>
        <w:tc>
          <w:tcPr>
            <w:tcW w:w="2025" w:type="dxa"/>
            <w:tcBorders>
              <w:top w:val="nil"/>
              <w:left w:val="nil"/>
              <w:bottom w:val="nil"/>
              <w:right w:val="nil"/>
            </w:tcBorders>
            <w:shd w:val="clear" w:color="auto" w:fill="FFFFFF"/>
            <w:tcMar>
              <w:top w:w="0" w:type="dxa"/>
              <w:left w:w="0" w:type="dxa"/>
              <w:bottom w:w="0" w:type="dxa"/>
              <w:right w:w="53" w:type="dxa"/>
            </w:tcMar>
          </w:tcPr>
          <w:p w14:paraId="1A5CC105" w14:textId="77777777" w:rsidR="006E1283" w:rsidRDefault="00BC0927">
            <w:pPr>
              <w:keepNext/>
              <w:spacing w:before="53" w:after="30" w:line="240" w:lineRule="auto"/>
              <w:ind w:right="55"/>
              <w:jc w:val="right"/>
            </w:pPr>
            <w:r>
              <w:rPr>
                <w:rFonts w:ascii="Source Sans Pro" w:eastAsia="Source Sans Pro" w:hAnsi="Source Sans Pro" w:cs="Source Sans Pro"/>
              </w:rPr>
              <w:t>Unaudited</w:t>
            </w:r>
          </w:p>
        </w:tc>
      </w:tr>
      <w:tr w:rsidR="006E1283" w14:paraId="1A6F4647" w14:textId="77777777">
        <w:trPr>
          <w:cantSplit/>
          <w:trHeight w:hRule="exact" w:val="330"/>
        </w:trPr>
        <w:tc>
          <w:tcPr>
            <w:tcW w:w="5970" w:type="dxa"/>
            <w:tcBorders>
              <w:top w:val="nil"/>
              <w:left w:val="nil"/>
              <w:bottom w:val="nil"/>
              <w:right w:val="nil"/>
            </w:tcBorders>
            <w:shd w:val="clear" w:color="auto" w:fill="FFFFFF"/>
            <w:tcMar>
              <w:top w:w="0" w:type="dxa"/>
              <w:left w:w="53" w:type="dxa"/>
              <w:bottom w:w="0" w:type="dxa"/>
              <w:right w:w="53" w:type="dxa"/>
            </w:tcMar>
          </w:tcPr>
          <w:p w14:paraId="1D4B9D2B" w14:textId="77777777" w:rsidR="006E1283" w:rsidRDefault="00BC0927">
            <w:pPr>
              <w:keepNext/>
              <w:spacing w:before="53" w:after="30" w:line="240" w:lineRule="auto"/>
              <w:ind w:left="55"/>
            </w:pPr>
            <w:r>
              <w:rPr>
                <w:rFonts w:ascii="Source Sans Pro" w:eastAsia="Source Sans Pro" w:hAnsi="Source Sans Pro" w:cs="Source Sans Pro"/>
              </w:rPr>
              <w:t> </w:t>
            </w:r>
          </w:p>
        </w:tc>
        <w:tc>
          <w:tcPr>
            <w:tcW w:w="1995" w:type="dxa"/>
            <w:tcBorders>
              <w:top w:val="nil"/>
              <w:left w:val="nil"/>
              <w:bottom w:val="nil"/>
              <w:right w:val="nil"/>
            </w:tcBorders>
            <w:shd w:val="clear" w:color="auto" w:fill="FFFFFF"/>
            <w:tcMar>
              <w:top w:w="0" w:type="dxa"/>
              <w:left w:w="0" w:type="dxa"/>
              <w:bottom w:w="0" w:type="dxa"/>
              <w:right w:w="53" w:type="dxa"/>
            </w:tcMar>
          </w:tcPr>
          <w:p w14:paraId="78D92C4C" w14:textId="77777777" w:rsidR="006E1283" w:rsidRDefault="00BC0927">
            <w:pPr>
              <w:keepNext/>
              <w:spacing w:before="53" w:after="30" w:line="240" w:lineRule="auto"/>
              <w:ind w:right="55"/>
              <w:jc w:val="right"/>
            </w:pPr>
            <w:r>
              <w:rPr>
                <w:rFonts w:ascii="Source Sans Pro" w:eastAsia="Source Sans Pro" w:hAnsi="Source Sans Pro" w:cs="Source Sans Pro"/>
                <w:b/>
              </w:rPr>
              <w:t>results</w:t>
            </w:r>
          </w:p>
        </w:tc>
        <w:tc>
          <w:tcPr>
            <w:tcW w:w="2025" w:type="dxa"/>
            <w:tcBorders>
              <w:top w:val="nil"/>
              <w:left w:val="nil"/>
              <w:bottom w:val="nil"/>
              <w:right w:val="nil"/>
            </w:tcBorders>
            <w:shd w:val="clear" w:color="auto" w:fill="FFFFFF"/>
            <w:tcMar>
              <w:top w:w="0" w:type="dxa"/>
              <w:left w:w="0" w:type="dxa"/>
              <w:bottom w:w="0" w:type="dxa"/>
              <w:right w:w="53" w:type="dxa"/>
            </w:tcMar>
          </w:tcPr>
          <w:p w14:paraId="3E8549DC" w14:textId="77777777" w:rsidR="006E1283" w:rsidRDefault="00BC0927">
            <w:pPr>
              <w:keepNext/>
              <w:spacing w:before="53" w:after="30" w:line="240" w:lineRule="auto"/>
              <w:ind w:right="55"/>
              <w:jc w:val="right"/>
            </w:pPr>
            <w:r>
              <w:rPr>
                <w:rFonts w:ascii="Source Sans Pro" w:eastAsia="Source Sans Pro" w:hAnsi="Source Sans Pro" w:cs="Source Sans Pro"/>
              </w:rPr>
              <w:t>results</w:t>
            </w:r>
          </w:p>
        </w:tc>
      </w:tr>
      <w:tr w:rsidR="006E1283" w14:paraId="50C983B8" w14:textId="77777777">
        <w:trPr>
          <w:cantSplit/>
          <w:trHeight w:hRule="exact" w:val="330"/>
        </w:trPr>
        <w:tc>
          <w:tcPr>
            <w:tcW w:w="5970" w:type="dxa"/>
            <w:tcBorders>
              <w:top w:val="nil"/>
              <w:left w:val="nil"/>
              <w:bottom w:val="nil"/>
              <w:right w:val="nil"/>
            </w:tcBorders>
            <w:shd w:val="clear" w:color="auto" w:fill="FFFFFF"/>
            <w:tcMar>
              <w:top w:w="0" w:type="dxa"/>
              <w:left w:w="53" w:type="dxa"/>
              <w:bottom w:w="0" w:type="dxa"/>
              <w:right w:w="53" w:type="dxa"/>
            </w:tcMar>
          </w:tcPr>
          <w:p w14:paraId="39E7E4F7" w14:textId="77777777" w:rsidR="006E1283" w:rsidRDefault="00BC0927">
            <w:pPr>
              <w:keepNext/>
              <w:spacing w:before="53" w:after="30" w:line="240" w:lineRule="auto"/>
              <w:ind w:left="55"/>
            </w:pPr>
            <w:r>
              <w:rPr>
                <w:rFonts w:ascii="Source Sans Pro" w:eastAsia="Source Sans Pro" w:hAnsi="Source Sans Pro" w:cs="Source Sans Pro"/>
              </w:rPr>
              <w:t> </w:t>
            </w:r>
          </w:p>
        </w:tc>
        <w:tc>
          <w:tcPr>
            <w:tcW w:w="1995" w:type="dxa"/>
            <w:tcBorders>
              <w:top w:val="nil"/>
              <w:left w:val="nil"/>
              <w:bottom w:val="nil"/>
              <w:right w:val="nil"/>
            </w:tcBorders>
            <w:shd w:val="clear" w:color="auto" w:fill="FFFFFF"/>
            <w:tcMar>
              <w:top w:w="0" w:type="dxa"/>
              <w:left w:w="0" w:type="dxa"/>
              <w:bottom w:w="0" w:type="dxa"/>
              <w:right w:w="53" w:type="dxa"/>
            </w:tcMar>
          </w:tcPr>
          <w:p w14:paraId="1047A309" w14:textId="77777777" w:rsidR="006E1283" w:rsidRDefault="00BC0927">
            <w:pPr>
              <w:keepNext/>
              <w:spacing w:before="53" w:after="30" w:line="240" w:lineRule="auto"/>
              <w:ind w:right="55"/>
              <w:jc w:val="right"/>
            </w:pPr>
            <w:r>
              <w:rPr>
                <w:rFonts w:ascii="Source Sans Pro" w:eastAsia="Source Sans Pro" w:hAnsi="Source Sans Pro" w:cs="Source Sans Pro"/>
                <w:b/>
              </w:rPr>
              <w:t>6 months to</w:t>
            </w:r>
          </w:p>
        </w:tc>
        <w:tc>
          <w:tcPr>
            <w:tcW w:w="2025" w:type="dxa"/>
            <w:tcBorders>
              <w:top w:val="nil"/>
              <w:left w:val="nil"/>
              <w:bottom w:val="nil"/>
              <w:right w:val="nil"/>
            </w:tcBorders>
            <w:shd w:val="clear" w:color="auto" w:fill="FFFFFF"/>
            <w:tcMar>
              <w:top w:w="0" w:type="dxa"/>
              <w:left w:w="0" w:type="dxa"/>
              <w:bottom w:w="0" w:type="dxa"/>
              <w:right w:w="53" w:type="dxa"/>
            </w:tcMar>
          </w:tcPr>
          <w:p w14:paraId="274658CD" w14:textId="77777777" w:rsidR="006E1283" w:rsidRDefault="00BC0927">
            <w:pPr>
              <w:keepNext/>
              <w:spacing w:before="53" w:after="30" w:line="240" w:lineRule="auto"/>
              <w:ind w:right="55"/>
              <w:jc w:val="right"/>
            </w:pPr>
            <w:r>
              <w:rPr>
                <w:rFonts w:ascii="Source Sans Pro" w:eastAsia="Source Sans Pro" w:hAnsi="Source Sans Pro" w:cs="Source Sans Pro"/>
              </w:rPr>
              <w:t>6 months to</w:t>
            </w:r>
          </w:p>
        </w:tc>
      </w:tr>
      <w:tr w:rsidR="006E1283" w14:paraId="563A618A" w14:textId="77777777">
        <w:trPr>
          <w:cantSplit/>
          <w:trHeight w:hRule="exact" w:val="330"/>
        </w:trPr>
        <w:tc>
          <w:tcPr>
            <w:tcW w:w="5970" w:type="dxa"/>
            <w:tcBorders>
              <w:top w:val="nil"/>
              <w:left w:val="nil"/>
              <w:bottom w:val="nil"/>
              <w:right w:val="nil"/>
            </w:tcBorders>
            <w:shd w:val="clear" w:color="auto" w:fill="FFFFFF"/>
            <w:tcMar>
              <w:top w:w="0" w:type="dxa"/>
              <w:left w:w="53" w:type="dxa"/>
              <w:bottom w:w="0" w:type="dxa"/>
              <w:right w:w="53" w:type="dxa"/>
            </w:tcMar>
          </w:tcPr>
          <w:p w14:paraId="5DCEFC1D" w14:textId="77777777" w:rsidR="006E1283" w:rsidRDefault="00BC0927">
            <w:pPr>
              <w:keepNext/>
              <w:spacing w:before="53" w:after="30" w:line="240" w:lineRule="auto"/>
              <w:ind w:left="55"/>
            </w:pPr>
            <w:r>
              <w:rPr>
                <w:rFonts w:ascii="Source Sans Pro" w:eastAsia="Source Sans Pro" w:hAnsi="Source Sans Pro" w:cs="Source Sans Pro"/>
              </w:rPr>
              <w:t> </w:t>
            </w:r>
          </w:p>
        </w:tc>
        <w:tc>
          <w:tcPr>
            <w:tcW w:w="1995" w:type="dxa"/>
            <w:tcBorders>
              <w:top w:val="nil"/>
              <w:left w:val="nil"/>
              <w:bottom w:val="nil"/>
              <w:right w:val="nil"/>
            </w:tcBorders>
            <w:shd w:val="clear" w:color="auto" w:fill="FFFFFF"/>
            <w:tcMar>
              <w:top w:w="0" w:type="dxa"/>
              <w:left w:w="0" w:type="dxa"/>
              <w:bottom w:w="0" w:type="dxa"/>
              <w:right w:w="53" w:type="dxa"/>
            </w:tcMar>
          </w:tcPr>
          <w:p w14:paraId="68AACF4E" w14:textId="77777777" w:rsidR="006E1283" w:rsidRDefault="00BC0927">
            <w:pPr>
              <w:keepNext/>
              <w:spacing w:before="53" w:after="30" w:line="240" w:lineRule="auto"/>
              <w:ind w:right="55"/>
              <w:jc w:val="right"/>
            </w:pPr>
            <w:r>
              <w:rPr>
                <w:rFonts w:ascii="Source Sans Pro" w:eastAsia="Source Sans Pro" w:hAnsi="Source Sans Pro" w:cs="Source Sans Pro"/>
                <w:b/>
              </w:rPr>
              <w:t>30 June</w:t>
            </w:r>
          </w:p>
        </w:tc>
        <w:tc>
          <w:tcPr>
            <w:tcW w:w="2025" w:type="dxa"/>
            <w:tcBorders>
              <w:top w:val="nil"/>
              <w:left w:val="nil"/>
              <w:bottom w:val="nil"/>
              <w:right w:val="nil"/>
            </w:tcBorders>
            <w:shd w:val="clear" w:color="auto" w:fill="FFFFFF"/>
            <w:tcMar>
              <w:top w:w="0" w:type="dxa"/>
              <w:left w:w="0" w:type="dxa"/>
              <w:bottom w:w="0" w:type="dxa"/>
              <w:right w:w="53" w:type="dxa"/>
            </w:tcMar>
          </w:tcPr>
          <w:p w14:paraId="7BDFDD51" w14:textId="77777777" w:rsidR="006E1283" w:rsidRDefault="00BC0927">
            <w:pPr>
              <w:keepNext/>
              <w:spacing w:before="53" w:after="30" w:line="240" w:lineRule="auto"/>
              <w:ind w:right="55"/>
              <w:jc w:val="right"/>
            </w:pPr>
            <w:r>
              <w:rPr>
                <w:rFonts w:ascii="Source Sans Pro" w:eastAsia="Source Sans Pro" w:hAnsi="Source Sans Pro" w:cs="Source Sans Pro"/>
              </w:rPr>
              <w:t>30 June</w:t>
            </w:r>
          </w:p>
        </w:tc>
      </w:tr>
      <w:tr w:rsidR="006E1283" w14:paraId="32AB92BB" w14:textId="77777777">
        <w:trPr>
          <w:cantSplit/>
          <w:trHeight w:hRule="exact" w:val="330"/>
        </w:trPr>
        <w:tc>
          <w:tcPr>
            <w:tcW w:w="5970" w:type="dxa"/>
            <w:tcBorders>
              <w:top w:val="nil"/>
              <w:left w:val="nil"/>
              <w:bottom w:val="nil"/>
              <w:right w:val="nil"/>
            </w:tcBorders>
            <w:shd w:val="clear" w:color="auto" w:fill="FFFFFF"/>
            <w:tcMar>
              <w:top w:w="0" w:type="dxa"/>
              <w:left w:w="0" w:type="dxa"/>
              <w:bottom w:w="0" w:type="dxa"/>
              <w:right w:w="0" w:type="dxa"/>
            </w:tcMar>
            <w:vAlign w:val="bottom"/>
          </w:tcPr>
          <w:p w14:paraId="18BCC161" w14:textId="77777777" w:rsidR="006E1283" w:rsidRDefault="006E1283">
            <w:pPr>
              <w:keepNext/>
            </w:pPr>
          </w:p>
        </w:tc>
        <w:tc>
          <w:tcPr>
            <w:tcW w:w="1995" w:type="dxa"/>
            <w:tcBorders>
              <w:top w:val="nil"/>
              <w:left w:val="nil"/>
              <w:bottom w:val="nil"/>
              <w:right w:val="nil"/>
            </w:tcBorders>
            <w:shd w:val="clear" w:color="auto" w:fill="FFFFFF"/>
            <w:tcMar>
              <w:top w:w="0" w:type="dxa"/>
              <w:left w:w="0" w:type="dxa"/>
              <w:bottom w:w="0" w:type="dxa"/>
              <w:right w:w="53" w:type="dxa"/>
            </w:tcMar>
          </w:tcPr>
          <w:p w14:paraId="1C535C57" w14:textId="77777777" w:rsidR="006E1283" w:rsidRDefault="00BC0927">
            <w:pPr>
              <w:keepNext/>
              <w:spacing w:before="53" w:after="30" w:line="240" w:lineRule="auto"/>
              <w:ind w:right="55"/>
              <w:jc w:val="right"/>
            </w:pPr>
            <w:r>
              <w:rPr>
                <w:rFonts w:ascii="Source Sans Pro" w:eastAsia="Source Sans Pro" w:hAnsi="Source Sans Pro" w:cs="Source Sans Pro"/>
                <w:b/>
              </w:rPr>
              <w:t>2023</w:t>
            </w:r>
          </w:p>
        </w:tc>
        <w:tc>
          <w:tcPr>
            <w:tcW w:w="2025" w:type="dxa"/>
            <w:tcBorders>
              <w:top w:val="nil"/>
              <w:left w:val="nil"/>
              <w:bottom w:val="nil"/>
              <w:right w:val="nil"/>
            </w:tcBorders>
            <w:shd w:val="clear" w:color="auto" w:fill="FFFFFF"/>
            <w:tcMar>
              <w:top w:w="0" w:type="dxa"/>
              <w:left w:w="0" w:type="dxa"/>
              <w:bottom w:w="0" w:type="dxa"/>
              <w:right w:w="53" w:type="dxa"/>
            </w:tcMar>
          </w:tcPr>
          <w:p w14:paraId="450A2EA0" w14:textId="77777777" w:rsidR="006E1283" w:rsidRDefault="00BC0927">
            <w:pPr>
              <w:keepNext/>
              <w:spacing w:before="53" w:after="30" w:line="240" w:lineRule="auto"/>
              <w:ind w:right="55"/>
              <w:jc w:val="right"/>
            </w:pPr>
            <w:r>
              <w:rPr>
                <w:rFonts w:ascii="Source Sans Pro" w:eastAsia="Source Sans Pro" w:hAnsi="Source Sans Pro" w:cs="Source Sans Pro"/>
              </w:rPr>
              <w:t>2022</w:t>
            </w:r>
          </w:p>
        </w:tc>
      </w:tr>
      <w:tr w:rsidR="006E1283" w14:paraId="6CCA8056" w14:textId="77777777">
        <w:trPr>
          <w:cantSplit/>
          <w:trHeight w:hRule="exact" w:val="330"/>
        </w:trPr>
        <w:tc>
          <w:tcPr>
            <w:tcW w:w="5970" w:type="dxa"/>
            <w:tcBorders>
              <w:top w:val="nil"/>
              <w:left w:val="nil"/>
              <w:bottom w:val="nil"/>
              <w:right w:val="nil"/>
            </w:tcBorders>
            <w:shd w:val="clear" w:color="auto" w:fill="FFFFFF"/>
            <w:tcMar>
              <w:top w:w="0" w:type="dxa"/>
              <w:left w:w="53" w:type="dxa"/>
              <w:bottom w:w="0" w:type="dxa"/>
              <w:right w:w="53" w:type="dxa"/>
            </w:tcMar>
          </w:tcPr>
          <w:p w14:paraId="7B28EB45" w14:textId="77777777" w:rsidR="006E1283" w:rsidRDefault="00BC0927">
            <w:pPr>
              <w:keepNext/>
              <w:spacing w:before="53" w:after="30" w:line="240" w:lineRule="auto"/>
              <w:ind w:left="55"/>
            </w:pPr>
            <w:r>
              <w:rPr>
                <w:rFonts w:ascii="Source Sans Pro" w:eastAsia="Source Sans Pro" w:hAnsi="Source Sans Pro" w:cs="Source Sans Pro"/>
              </w:rPr>
              <w:t> </w:t>
            </w:r>
          </w:p>
        </w:tc>
        <w:tc>
          <w:tcPr>
            <w:tcW w:w="1995" w:type="dxa"/>
            <w:tcBorders>
              <w:top w:val="nil"/>
              <w:left w:val="nil"/>
              <w:bottom w:val="nil"/>
              <w:right w:val="nil"/>
            </w:tcBorders>
            <w:shd w:val="clear" w:color="auto" w:fill="FFFFFF"/>
            <w:tcMar>
              <w:top w:w="0" w:type="dxa"/>
              <w:left w:w="0" w:type="dxa"/>
              <w:bottom w:w="0" w:type="dxa"/>
              <w:right w:w="53" w:type="dxa"/>
            </w:tcMar>
          </w:tcPr>
          <w:p w14:paraId="6BD6A003" w14:textId="77777777" w:rsidR="006E1283" w:rsidRDefault="00BC0927">
            <w:pPr>
              <w:keepNext/>
              <w:spacing w:before="53" w:after="30" w:line="240" w:lineRule="auto"/>
              <w:ind w:right="55"/>
              <w:jc w:val="right"/>
            </w:pPr>
            <w:r>
              <w:rPr>
                <w:rFonts w:ascii="Source Sans Pro" w:eastAsia="Source Sans Pro" w:hAnsi="Source Sans Pro" w:cs="Source Sans Pro"/>
                <w:b/>
              </w:rPr>
              <w:t>£m</w:t>
            </w:r>
          </w:p>
        </w:tc>
        <w:tc>
          <w:tcPr>
            <w:tcW w:w="2025" w:type="dxa"/>
            <w:tcBorders>
              <w:top w:val="nil"/>
              <w:left w:val="nil"/>
              <w:bottom w:val="nil"/>
              <w:right w:val="nil"/>
            </w:tcBorders>
            <w:shd w:val="clear" w:color="auto" w:fill="FFFFFF"/>
            <w:tcMar>
              <w:top w:w="0" w:type="dxa"/>
              <w:left w:w="0" w:type="dxa"/>
              <w:bottom w:w="0" w:type="dxa"/>
              <w:right w:w="53" w:type="dxa"/>
            </w:tcMar>
          </w:tcPr>
          <w:p w14:paraId="23C58D4D" w14:textId="77777777" w:rsidR="006E1283" w:rsidRDefault="00BC0927">
            <w:pPr>
              <w:keepNext/>
              <w:spacing w:before="53" w:after="30" w:line="240" w:lineRule="auto"/>
              <w:ind w:right="55"/>
              <w:jc w:val="right"/>
            </w:pPr>
            <w:r>
              <w:rPr>
                <w:rFonts w:ascii="Source Sans Pro" w:eastAsia="Source Sans Pro" w:hAnsi="Source Sans Pro" w:cs="Source Sans Pro"/>
              </w:rPr>
              <w:t>£m</w:t>
            </w:r>
          </w:p>
        </w:tc>
      </w:tr>
      <w:tr w:rsidR="006E1283" w14:paraId="7EA32812" w14:textId="77777777">
        <w:trPr>
          <w:cantSplit/>
          <w:trHeight w:hRule="exact" w:val="330"/>
        </w:trPr>
        <w:tc>
          <w:tcPr>
            <w:tcW w:w="5970" w:type="dxa"/>
            <w:tcBorders>
              <w:top w:val="nil"/>
              <w:left w:val="nil"/>
              <w:bottom w:val="nil"/>
              <w:right w:val="nil"/>
            </w:tcBorders>
            <w:shd w:val="clear" w:color="auto" w:fill="FFFFFF"/>
            <w:tcMar>
              <w:top w:w="0" w:type="dxa"/>
              <w:left w:w="53" w:type="dxa"/>
              <w:bottom w:w="0" w:type="dxa"/>
              <w:right w:w="53" w:type="dxa"/>
            </w:tcMar>
          </w:tcPr>
          <w:p w14:paraId="2FAA5A61" w14:textId="77777777" w:rsidR="006E1283" w:rsidRDefault="00BC0927">
            <w:pPr>
              <w:keepNext/>
              <w:spacing w:before="53" w:after="30" w:line="240" w:lineRule="auto"/>
              <w:ind w:left="55"/>
            </w:pPr>
            <w:r>
              <w:rPr>
                <w:rFonts w:ascii="Source Sans Pro" w:eastAsia="Source Sans Pro" w:hAnsi="Source Sans Pro" w:cs="Source Sans Pro"/>
              </w:rPr>
              <w:t> </w:t>
            </w:r>
          </w:p>
        </w:tc>
        <w:tc>
          <w:tcPr>
            <w:tcW w:w="1995" w:type="dxa"/>
            <w:tcBorders>
              <w:top w:val="nil"/>
              <w:left w:val="nil"/>
              <w:bottom w:val="nil"/>
              <w:right w:val="nil"/>
            </w:tcBorders>
            <w:shd w:val="clear" w:color="auto" w:fill="FFFFFF"/>
            <w:tcMar>
              <w:top w:w="0" w:type="dxa"/>
              <w:left w:w="53" w:type="dxa"/>
              <w:bottom w:w="0" w:type="dxa"/>
              <w:right w:w="53" w:type="dxa"/>
            </w:tcMar>
          </w:tcPr>
          <w:p w14:paraId="355A0DE3" w14:textId="77777777" w:rsidR="006E1283" w:rsidRDefault="00BC0927">
            <w:pPr>
              <w:keepNext/>
              <w:spacing w:before="53" w:after="30" w:line="240" w:lineRule="auto"/>
              <w:ind w:left="55"/>
            </w:pPr>
            <w:r>
              <w:rPr>
                <w:rFonts w:ascii="Source Sans Pro" w:eastAsia="Source Sans Pro" w:hAnsi="Source Sans Pro" w:cs="Source Sans Pro"/>
                <w:b/>
              </w:rPr>
              <w:t> </w:t>
            </w:r>
          </w:p>
        </w:tc>
        <w:tc>
          <w:tcPr>
            <w:tcW w:w="2025" w:type="dxa"/>
            <w:tcBorders>
              <w:top w:val="nil"/>
              <w:left w:val="nil"/>
              <w:bottom w:val="nil"/>
              <w:right w:val="nil"/>
            </w:tcBorders>
            <w:shd w:val="clear" w:color="auto" w:fill="FFFFFF"/>
            <w:tcMar>
              <w:top w:w="0" w:type="dxa"/>
              <w:left w:w="53" w:type="dxa"/>
              <w:bottom w:w="0" w:type="dxa"/>
              <w:right w:w="53" w:type="dxa"/>
            </w:tcMar>
          </w:tcPr>
          <w:p w14:paraId="5AD37E5A" w14:textId="77777777" w:rsidR="006E1283" w:rsidRDefault="00BC0927">
            <w:pPr>
              <w:keepNext/>
              <w:spacing w:before="53" w:after="30" w:line="240" w:lineRule="auto"/>
              <w:ind w:left="55"/>
            </w:pPr>
            <w:r>
              <w:rPr>
                <w:rFonts w:ascii="Source Sans Pro" w:eastAsia="Source Sans Pro" w:hAnsi="Source Sans Pro" w:cs="Source Sans Pro"/>
              </w:rPr>
              <w:t> </w:t>
            </w:r>
          </w:p>
        </w:tc>
      </w:tr>
      <w:tr w:rsidR="006E1283" w14:paraId="4E5B4885" w14:textId="77777777">
        <w:trPr>
          <w:cantSplit/>
          <w:trHeight w:hRule="exact" w:val="570"/>
        </w:trPr>
        <w:tc>
          <w:tcPr>
            <w:tcW w:w="5970" w:type="dxa"/>
            <w:tcBorders>
              <w:top w:val="nil"/>
              <w:left w:val="nil"/>
              <w:bottom w:val="single" w:sz="8" w:space="0" w:color="000000"/>
              <w:right w:val="nil"/>
            </w:tcBorders>
            <w:shd w:val="clear" w:color="auto" w:fill="FFFFFF"/>
            <w:tcMar>
              <w:top w:w="0" w:type="dxa"/>
              <w:left w:w="53" w:type="dxa"/>
              <w:bottom w:w="0" w:type="dxa"/>
              <w:right w:w="53" w:type="dxa"/>
            </w:tcMar>
          </w:tcPr>
          <w:p w14:paraId="54453186" w14:textId="77777777" w:rsidR="006E1283" w:rsidRDefault="00BC0927">
            <w:pPr>
              <w:keepNext/>
              <w:spacing w:before="53" w:after="30" w:line="240" w:lineRule="auto"/>
              <w:ind w:left="55"/>
            </w:pPr>
            <w:r>
              <w:rPr>
                <w:rFonts w:ascii="Source Sans Pro" w:eastAsia="Source Sans Pro" w:hAnsi="Source Sans Pro" w:cs="Source Sans Pro"/>
              </w:rPr>
              <w:t>Investment income</w:t>
            </w:r>
          </w:p>
        </w:tc>
        <w:tc>
          <w:tcPr>
            <w:tcW w:w="1995" w:type="dxa"/>
            <w:tcBorders>
              <w:top w:val="nil"/>
              <w:left w:val="nil"/>
              <w:bottom w:val="single" w:sz="8" w:space="0" w:color="000000"/>
              <w:right w:val="nil"/>
            </w:tcBorders>
            <w:shd w:val="clear" w:color="auto" w:fill="FFFFFF"/>
            <w:tcMar>
              <w:top w:w="0" w:type="dxa"/>
              <w:left w:w="0" w:type="dxa"/>
              <w:bottom w:w="0" w:type="dxa"/>
              <w:right w:w="53" w:type="dxa"/>
            </w:tcMar>
          </w:tcPr>
          <w:p w14:paraId="7D89CC99" w14:textId="77777777" w:rsidR="006E1283" w:rsidRDefault="00BC0927">
            <w:pPr>
              <w:keepNext/>
              <w:spacing w:before="53" w:after="30" w:line="240" w:lineRule="auto"/>
              <w:ind w:right="55"/>
              <w:jc w:val="right"/>
            </w:pPr>
            <w:r>
              <w:rPr>
                <w:rFonts w:ascii="Source Sans Pro" w:eastAsia="Source Sans Pro" w:hAnsi="Source Sans Pro" w:cs="Source Sans Pro"/>
                <w:b/>
              </w:rPr>
              <w:t>223</w:t>
            </w:r>
          </w:p>
        </w:tc>
        <w:tc>
          <w:tcPr>
            <w:tcW w:w="2025" w:type="dxa"/>
            <w:tcBorders>
              <w:top w:val="nil"/>
              <w:left w:val="nil"/>
              <w:bottom w:val="single" w:sz="8" w:space="0" w:color="000000"/>
              <w:right w:val="nil"/>
            </w:tcBorders>
            <w:shd w:val="clear" w:color="auto" w:fill="FFFFFF"/>
            <w:tcMar>
              <w:top w:w="0" w:type="dxa"/>
              <w:left w:w="0" w:type="dxa"/>
              <w:bottom w:w="0" w:type="dxa"/>
              <w:right w:w="53" w:type="dxa"/>
            </w:tcMar>
          </w:tcPr>
          <w:p w14:paraId="2A7B1181" w14:textId="77777777" w:rsidR="006E1283" w:rsidRDefault="00BC0927">
            <w:pPr>
              <w:keepNext/>
              <w:spacing w:before="53" w:after="30" w:line="240" w:lineRule="auto"/>
              <w:ind w:right="55"/>
              <w:jc w:val="right"/>
            </w:pPr>
            <w:r>
              <w:rPr>
                <w:rFonts w:ascii="Source Sans Pro" w:eastAsia="Source Sans Pro" w:hAnsi="Source Sans Pro" w:cs="Source Sans Pro"/>
              </w:rPr>
              <w:t>33</w:t>
            </w:r>
          </w:p>
        </w:tc>
      </w:tr>
      <w:tr w:rsidR="006E1283" w14:paraId="6A783A30" w14:textId="77777777">
        <w:trPr>
          <w:cantSplit/>
          <w:trHeight w:hRule="exact" w:val="285"/>
        </w:trPr>
        <w:tc>
          <w:tcPr>
            <w:tcW w:w="597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1EF9FB2C" w14:textId="77777777" w:rsidR="006E1283" w:rsidRDefault="00BC0927">
            <w:pPr>
              <w:keepNext/>
              <w:spacing w:before="33" w:after="30" w:line="240" w:lineRule="auto"/>
              <w:ind w:left="55"/>
            </w:pPr>
            <w:r>
              <w:rPr>
                <w:rFonts w:ascii="Source Sans Pro" w:eastAsia="Source Sans Pro" w:hAnsi="Source Sans Pro" w:cs="Source Sans Pro"/>
                <w:sz w:val="20"/>
              </w:rPr>
              <w:t> </w:t>
            </w:r>
          </w:p>
        </w:tc>
        <w:tc>
          <w:tcPr>
            <w:tcW w:w="19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7258D30" w14:textId="77777777" w:rsidR="006E1283" w:rsidRDefault="006E1283">
            <w:pPr>
              <w:keepNext/>
            </w:pPr>
          </w:p>
        </w:tc>
        <w:tc>
          <w:tcPr>
            <w:tcW w:w="20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6A67234" w14:textId="77777777" w:rsidR="006E1283" w:rsidRDefault="006E1283">
            <w:pPr>
              <w:keepNext/>
            </w:pPr>
          </w:p>
        </w:tc>
      </w:tr>
      <w:tr w:rsidR="006E1283" w14:paraId="1ED9D497" w14:textId="77777777">
        <w:trPr>
          <w:cantSplit/>
          <w:trHeight w:hRule="exact" w:val="330"/>
        </w:trPr>
        <w:tc>
          <w:tcPr>
            <w:tcW w:w="5970" w:type="dxa"/>
            <w:tcBorders>
              <w:top w:val="nil"/>
              <w:left w:val="nil"/>
              <w:bottom w:val="nil"/>
              <w:right w:val="nil"/>
            </w:tcBorders>
            <w:shd w:val="clear" w:color="auto" w:fill="FFFFFF"/>
            <w:tcMar>
              <w:top w:w="0" w:type="dxa"/>
              <w:left w:w="53" w:type="dxa"/>
              <w:bottom w:w="0" w:type="dxa"/>
              <w:right w:w="53" w:type="dxa"/>
            </w:tcMar>
          </w:tcPr>
          <w:p w14:paraId="215D22AC" w14:textId="77777777" w:rsidR="006E1283" w:rsidRDefault="00BC0927">
            <w:pPr>
              <w:keepNext/>
              <w:spacing w:before="53" w:after="30" w:line="240" w:lineRule="auto"/>
              <w:ind w:left="55"/>
            </w:pPr>
            <w:r>
              <w:rPr>
                <w:rFonts w:ascii="Source Sans Pro" w:eastAsia="Source Sans Pro" w:hAnsi="Source Sans Pro" w:cs="Source Sans Pro"/>
              </w:rPr>
              <w:t>Total income</w:t>
            </w:r>
          </w:p>
        </w:tc>
        <w:tc>
          <w:tcPr>
            <w:tcW w:w="1995" w:type="dxa"/>
            <w:tcBorders>
              <w:top w:val="nil"/>
              <w:left w:val="nil"/>
              <w:bottom w:val="nil"/>
              <w:right w:val="nil"/>
            </w:tcBorders>
            <w:shd w:val="clear" w:color="auto" w:fill="FFFFFF"/>
            <w:tcMar>
              <w:top w:w="0" w:type="dxa"/>
              <w:left w:w="0" w:type="dxa"/>
              <w:bottom w:w="0" w:type="dxa"/>
              <w:right w:w="53" w:type="dxa"/>
            </w:tcMar>
          </w:tcPr>
          <w:p w14:paraId="0D07F528" w14:textId="77777777" w:rsidR="006E1283" w:rsidRDefault="00BC0927">
            <w:pPr>
              <w:keepNext/>
              <w:spacing w:before="53" w:after="30" w:line="240" w:lineRule="auto"/>
              <w:ind w:right="55"/>
              <w:jc w:val="right"/>
            </w:pPr>
            <w:r>
              <w:rPr>
                <w:rFonts w:ascii="Source Sans Pro" w:eastAsia="Source Sans Pro" w:hAnsi="Source Sans Pro" w:cs="Source Sans Pro"/>
                <w:b/>
              </w:rPr>
              <w:t>223</w:t>
            </w:r>
          </w:p>
        </w:tc>
        <w:tc>
          <w:tcPr>
            <w:tcW w:w="2025" w:type="dxa"/>
            <w:tcBorders>
              <w:top w:val="nil"/>
              <w:left w:val="nil"/>
              <w:bottom w:val="nil"/>
              <w:right w:val="nil"/>
            </w:tcBorders>
            <w:shd w:val="clear" w:color="auto" w:fill="FFFFFF"/>
            <w:tcMar>
              <w:top w:w="0" w:type="dxa"/>
              <w:left w:w="0" w:type="dxa"/>
              <w:bottom w:w="0" w:type="dxa"/>
              <w:right w:w="53" w:type="dxa"/>
            </w:tcMar>
          </w:tcPr>
          <w:p w14:paraId="0554BCC0" w14:textId="77777777" w:rsidR="006E1283" w:rsidRDefault="00BC0927">
            <w:pPr>
              <w:keepNext/>
              <w:spacing w:before="53" w:after="30" w:line="240" w:lineRule="auto"/>
              <w:ind w:right="55"/>
              <w:jc w:val="right"/>
            </w:pPr>
            <w:r>
              <w:rPr>
                <w:rFonts w:ascii="Source Sans Pro" w:eastAsia="Source Sans Pro" w:hAnsi="Source Sans Pro" w:cs="Source Sans Pro"/>
              </w:rPr>
              <w:t>33</w:t>
            </w:r>
          </w:p>
        </w:tc>
      </w:tr>
      <w:tr w:rsidR="006E1283" w14:paraId="71851FC4" w14:textId="77777777">
        <w:trPr>
          <w:cantSplit/>
          <w:trHeight w:hRule="exact" w:val="285"/>
        </w:trPr>
        <w:tc>
          <w:tcPr>
            <w:tcW w:w="597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5BD593B" w14:textId="77777777" w:rsidR="006E1283" w:rsidRDefault="006E1283">
            <w:pPr>
              <w:keepNext/>
            </w:pPr>
          </w:p>
        </w:tc>
        <w:tc>
          <w:tcPr>
            <w:tcW w:w="199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C1504FF" w14:textId="77777777" w:rsidR="006E1283" w:rsidRDefault="006E1283">
            <w:pPr>
              <w:keepNext/>
            </w:pPr>
          </w:p>
        </w:tc>
        <w:tc>
          <w:tcPr>
            <w:tcW w:w="202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D6D9F4C" w14:textId="77777777" w:rsidR="006E1283" w:rsidRDefault="006E1283">
            <w:pPr>
              <w:keepNext/>
            </w:pPr>
          </w:p>
        </w:tc>
      </w:tr>
      <w:tr w:rsidR="006E1283" w14:paraId="252A53EC" w14:textId="77777777">
        <w:trPr>
          <w:cantSplit/>
          <w:trHeight w:hRule="exact" w:val="360"/>
        </w:trPr>
        <w:tc>
          <w:tcPr>
            <w:tcW w:w="5970" w:type="dxa"/>
            <w:vMerge w:val="restart"/>
            <w:tcBorders>
              <w:top w:val="nil"/>
              <w:left w:val="nil"/>
              <w:bottom w:val="nil"/>
              <w:right w:val="nil"/>
            </w:tcBorders>
            <w:shd w:val="clear" w:color="auto" w:fill="FFFFFF"/>
            <w:tcMar>
              <w:top w:w="0" w:type="dxa"/>
              <w:left w:w="53" w:type="dxa"/>
              <w:bottom w:w="0" w:type="dxa"/>
              <w:right w:w="53" w:type="dxa"/>
            </w:tcMar>
            <w:vAlign w:val="center"/>
          </w:tcPr>
          <w:p w14:paraId="1B209778" w14:textId="77777777" w:rsidR="006E1283" w:rsidRDefault="00BC0927">
            <w:pPr>
              <w:keepNext/>
              <w:spacing w:line="240" w:lineRule="auto"/>
              <w:ind w:left="55"/>
            </w:pPr>
            <w:r>
              <w:rPr>
                <w:rFonts w:ascii="Source Sans Pro" w:eastAsia="Source Sans Pro" w:hAnsi="Source Sans Pro" w:cs="Source Sans Pro"/>
              </w:rPr>
              <w:t>Profit on ordinary activities before tax</w:t>
            </w:r>
          </w:p>
        </w:tc>
        <w:tc>
          <w:tcPr>
            <w:tcW w:w="1995" w:type="dxa"/>
            <w:vMerge w:val="restart"/>
            <w:tcBorders>
              <w:top w:val="nil"/>
              <w:left w:val="nil"/>
              <w:bottom w:val="nil"/>
              <w:right w:val="nil"/>
            </w:tcBorders>
            <w:shd w:val="clear" w:color="auto" w:fill="FFFFFF"/>
            <w:tcMar>
              <w:top w:w="0" w:type="dxa"/>
              <w:left w:w="0" w:type="dxa"/>
              <w:bottom w:w="0" w:type="dxa"/>
              <w:right w:w="53" w:type="dxa"/>
            </w:tcMar>
            <w:vAlign w:val="center"/>
          </w:tcPr>
          <w:p w14:paraId="4C5F9469" w14:textId="77777777" w:rsidR="006E1283" w:rsidRDefault="00BC0927">
            <w:pPr>
              <w:keepNext/>
              <w:spacing w:line="240" w:lineRule="auto"/>
              <w:ind w:right="55"/>
              <w:jc w:val="right"/>
            </w:pPr>
            <w:r>
              <w:rPr>
                <w:rFonts w:ascii="Source Sans Pro" w:eastAsia="Source Sans Pro" w:hAnsi="Source Sans Pro" w:cs="Source Sans Pro"/>
                <w:b/>
              </w:rPr>
              <w:t>223</w:t>
            </w:r>
          </w:p>
        </w:tc>
        <w:tc>
          <w:tcPr>
            <w:tcW w:w="2025" w:type="dxa"/>
            <w:vMerge w:val="restart"/>
            <w:tcBorders>
              <w:top w:val="nil"/>
              <w:left w:val="nil"/>
              <w:bottom w:val="nil"/>
              <w:right w:val="nil"/>
            </w:tcBorders>
            <w:shd w:val="clear" w:color="auto" w:fill="FFFFFF"/>
            <w:tcMar>
              <w:top w:w="0" w:type="dxa"/>
              <w:left w:w="0" w:type="dxa"/>
              <w:bottom w:w="0" w:type="dxa"/>
              <w:right w:w="53" w:type="dxa"/>
            </w:tcMar>
            <w:vAlign w:val="center"/>
          </w:tcPr>
          <w:p w14:paraId="09CD545E" w14:textId="77777777" w:rsidR="006E1283" w:rsidRDefault="00BC0927">
            <w:pPr>
              <w:keepNext/>
              <w:spacing w:line="240" w:lineRule="auto"/>
              <w:ind w:right="55"/>
              <w:jc w:val="right"/>
            </w:pPr>
            <w:r>
              <w:rPr>
                <w:rFonts w:ascii="Source Sans Pro" w:eastAsia="Source Sans Pro" w:hAnsi="Source Sans Pro" w:cs="Source Sans Pro"/>
              </w:rPr>
              <w:t>33</w:t>
            </w:r>
          </w:p>
        </w:tc>
      </w:tr>
      <w:tr w:rsidR="006E1283" w14:paraId="2DDFB952" w14:textId="77777777">
        <w:trPr>
          <w:cantSplit/>
          <w:trHeight w:hRule="exact" w:val="315"/>
        </w:trPr>
        <w:tc>
          <w:tcPr>
            <w:tcW w:w="5970" w:type="dxa"/>
            <w:vMerge/>
            <w:tcBorders>
              <w:top w:val="nil"/>
              <w:left w:val="nil"/>
              <w:bottom w:val="nil"/>
              <w:right w:val="nil"/>
            </w:tcBorders>
          </w:tcPr>
          <w:p w14:paraId="63E239EE" w14:textId="77777777" w:rsidR="006E1283" w:rsidRDefault="006E1283">
            <w:pPr>
              <w:keepNext/>
            </w:pPr>
          </w:p>
        </w:tc>
        <w:tc>
          <w:tcPr>
            <w:tcW w:w="1995" w:type="dxa"/>
            <w:vMerge/>
            <w:tcBorders>
              <w:top w:val="nil"/>
              <w:left w:val="nil"/>
              <w:bottom w:val="nil"/>
              <w:right w:val="nil"/>
            </w:tcBorders>
          </w:tcPr>
          <w:p w14:paraId="78D55E50" w14:textId="77777777" w:rsidR="006E1283" w:rsidRDefault="006E1283">
            <w:pPr>
              <w:keepNext/>
            </w:pPr>
          </w:p>
        </w:tc>
        <w:tc>
          <w:tcPr>
            <w:tcW w:w="2025" w:type="dxa"/>
            <w:vMerge/>
            <w:tcBorders>
              <w:top w:val="nil"/>
              <w:left w:val="nil"/>
              <w:bottom w:val="nil"/>
              <w:right w:val="nil"/>
            </w:tcBorders>
          </w:tcPr>
          <w:p w14:paraId="2C9010C2" w14:textId="77777777" w:rsidR="006E1283" w:rsidRDefault="006E1283">
            <w:pPr>
              <w:keepNext/>
            </w:pPr>
          </w:p>
        </w:tc>
      </w:tr>
      <w:tr w:rsidR="006E1283" w14:paraId="5A42DCF0" w14:textId="77777777">
        <w:trPr>
          <w:cantSplit/>
          <w:trHeight w:hRule="exact" w:val="570"/>
        </w:trPr>
        <w:tc>
          <w:tcPr>
            <w:tcW w:w="5970" w:type="dxa"/>
            <w:tcBorders>
              <w:top w:val="nil"/>
              <w:left w:val="nil"/>
              <w:bottom w:val="single" w:sz="12" w:space="0" w:color="000000"/>
              <w:right w:val="nil"/>
            </w:tcBorders>
            <w:shd w:val="clear" w:color="auto" w:fill="FFFFFF"/>
            <w:tcMar>
              <w:top w:w="0" w:type="dxa"/>
              <w:left w:w="53" w:type="dxa"/>
              <w:bottom w:w="0" w:type="dxa"/>
              <w:right w:w="53" w:type="dxa"/>
            </w:tcMar>
          </w:tcPr>
          <w:p w14:paraId="7AD54644" w14:textId="77777777" w:rsidR="006E1283" w:rsidRDefault="00BC0927">
            <w:pPr>
              <w:keepNext/>
              <w:spacing w:before="53" w:after="30" w:line="240" w:lineRule="auto"/>
              <w:ind w:left="55"/>
            </w:pPr>
            <w:r>
              <w:rPr>
                <w:rFonts w:ascii="Source Sans Pro" w:eastAsia="Source Sans Pro" w:hAnsi="Source Sans Pro" w:cs="Source Sans Pro"/>
              </w:rPr>
              <w:t>Tax on profit on ordinary activities*</w:t>
            </w:r>
          </w:p>
        </w:tc>
        <w:tc>
          <w:tcPr>
            <w:tcW w:w="1995" w:type="dxa"/>
            <w:tcBorders>
              <w:top w:val="nil"/>
              <w:left w:val="nil"/>
              <w:bottom w:val="single" w:sz="12" w:space="0" w:color="000000"/>
              <w:right w:val="nil"/>
            </w:tcBorders>
            <w:shd w:val="clear" w:color="auto" w:fill="FFFFFF"/>
            <w:tcMar>
              <w:top w:w="0" w:type="dxa"/>
              <w:left w:w="0" w:type="dxa"/>
              <w:bottom w:w="0" w:type="dxa"/>
              <w:right w:w="53" w:type="dxa"/>
            </w:tcMar>
          </w:tcPr>
          <w:p w14:paraId="62F5A9D8" w14:textId="77777777" w:rsidR="006E1283" w:rsidRDefault="00BC0927">
            <w:pPr>
              <w:keepNext/>
              <w:spacing w:before="53" w:after="30" w:line="240" w:lineRule="auto"/>
              <w:ind w:right="55"/>
              <w:jc w:val="right"/>
            </w:pPr>
            <w:r>
              <w:rPr>
                <w:rFonts w:ascii="Source Sans Pro" w:eastAsia="Source Sans Pro" w:hAnsi="Source Sans Pro" w:cs="Source Sans Pro"/>
                <w:b/>
              </w:rPr>
              <w:t>-</w:t>
            </w:r>
          </w:p>
        </w:tc>
        <w:tc>
          <w:tcPr>
            <w:tcW w:w="2025" w:type="dxa"/>
            <w:tcBorders>
              <w:top w:val="nil"/>
              <w:left w:val="nil"/>
              <w:bottom w:val="single" w:sz="12" w:space="0" w:color="000000"/>
              <w:right w:val="nil"/>
            </w:tcBorders>
            <w:shd w:val="clear" w:color="auto" w:fill="FFFFFF"/>
            <w:tcMar>
              <w:top w:w="0" w:type="dxa"/>
              <w:left w:w="0" w:type="dxa"/>
              <w:bottom w:w="0" w:type="dxa"/>
              <w:right w:w="53" w:type="dxa"/>
            </w:tcMar>
          </w:tcPr>
          <w:p w14:paraId="0581A926" w14:textId="77777777" w:rsidR="006E1283" w:rsidRDefault="00BC0927">
            <w:pPr>
              <w:keepNext/>
              <w:spacing w:before="53" w:after="30" w:line="240" w:lineRule="auto"/>
              <w:ind w:right="55"/>
              <w:jc w:val="right"/>
            </w:pPr>
            <w:r>
              <w:rPr>
                <w:rFonts w:ascii="Source Sans Pro" w:eastAsia="Source Sans Pro" w:hAnsi="Source Sans Pro" w:cs="Source Sans Pro"/>
              </w:rPr>
              <w:t>-</w:t>
            </w:r>
          </w:p>
        </w:tc>
      </w:tr>
      <w:tr w:rsidR="006E1283" w14:paraId="4FAFE65C" w14:textId="77777777">
        <w:trPr>
          <w:cantSplit/>
          <w:trHeight w:hRule="exact" w:val="570"/>
        </w:trPr>
        <w:tc>
          <w:tcPr>
            <w:tcW w:w="5970" w:type="dxa"/>
            <w:tcBorders>
              <w:top w:val="single" w:sz="12" w:space="0" w:color="000000"/>
              <w:left w:val="nil"/>
              <w:bottom w:val="single" w:sz="12" w:space="0" w:color="000000"/>
              <w:right w:val="nil"/>
            </w:tcBorders>
            <w:shd w:val="clear" w:color="auto" w:fill="FFFFFF"/>
            <w:tcMar>
              <w:top w:w="0" w:type="dxa"/>
              <w:left w:w="53" w:type="dxa"/>
              <w:bottom w:w="0" w:type="dxa"/>
              <w:right w:w="53" w:type="dxa"/>
            </w:tcMar>
            <w:vAlign w:val="center"/>
          </w:tcPr>
          <w:p w14:paraId="5222BDA0" w14:textId="77777777" w:rsidR="006E1283" w:rsidRDefault="00BC0927">
            <w:pPr>
              <w:keepNext/>
              <w:spacing w:line="240" w:lineRule="auto"/>
              <w:ind w:left="55"/>
            </w:pPr>
            <w:r>
              <w:rPr>
                <w:rFonts w:ascii="Source Sans Pro" w:eastAsia="Source Sans Pro" w:hAnsi="Source Sans Pro" w:cs="Source Sans Pro"/>
              </w:rPr>
              <w:t>Profit for the period</w:t>
            </w:r>
          </w:p>
        </w:tc>
        <w:tc>
          <w:tcPr>
            <w:tcW w:w="1995" w:type="dxa"/>
            <w:tcBorders>
              <w:top w:val="single" w:sz="12" w:space="0" w:color="000000"/>
              <w:left w:val="nil"/>
              <w:bottom w:val="single" w:sz="12" w:space="0" w:color="000000"/>
              <w:right w:val="nil"/>
            </w:tcBorders>
            <w:shd w:val="clear" w:color="auto" w:fill="FFFFFF"/>
            <w:tcMar>
              <w:top w:w="0" w:type="dxa"/>
              <w:left w:w="0" w:type="dxa"/>
              <w:bottom w:w="0" w:type="dxa"/>
              <w:right w:w="53" w:type="dxa"/>
            </w:tcMar>
            <w:vAlign w:val="center"/>
          </w:tcPr>
          <w:p w14:paraId="19D1862F" w14:textId="77777777" w:rsidR="006E1283" w:rsidRDefault="00BC0927">
            <w:pPr>
              <w:keepNext/>
              <w:spacing w:line="240" w:lineRule="auto"/>
              <w:ind w:right="55"/>
              <w:jc w:val="right"/>
            </w:pPr>
            <w:r>
              <w:rPr>
                <w:rFonts w:ascii="Source Sans Pro" w:eastAsia="Source Sans Pro" w:hAnsi="Source Sans Pro" w:cs="Source Sans Pro"/>
                <w:b/>
              </w:rPr>
              <w:t>223</w:t>
            </w:r>
          </w:p>
        </w:tc>
        <w:tc>
          <w:tcPr>
            <w:tcW w:w="2025" w:type="dxa"/>
            <w:tcBorders>
              <w:top w:val="single" w:sz="12" w:space="0" w:color="000000"/>
              <w:left w:val="nil"/>
              <w:bottom w:val="single" w:sz="12" w:space="0" w:color="000000"/>
              <w:right w:val="nil"/>
            </w:tcBorders>
            <w:shd w:val="clear" w:color="auto" w:fill="FFFFFF"/>
            <w:tcMar>
              <w:top w:w="0" w:type="dxa"/>
              <w:left w:w="0" w:type="dxa"/>
              <w:bottom w:w="0" w:type="dxa"/>
              <w:right w:w="53" w:type="dxa"/>
            </w:tcMar>
            <w:vAlign w:val="center"/>
          </w:tcPr>
          <w:p w14:paraId="16157180" w14:textId="77777777" w:rsidR="006E1283" w:rsidRDefault="00BC0927">
            <w:pPr>
              <w:keepNext/>
              <w:spacing w:line="240" w:lineRule="auto"/>
              <w:ind w:right="55"/>
              <w:jc w:val="right"/>
            </w:pPr>
            <w:r>
              <w:rPr>
                <w:rFonts w:ascii="Source Sans Pro" w:eastAsia="Source Sans Pro" w:hAnsi="Source Sans Pro" w:cs="Source Sans Pro"/>
              </w:rPr>
              <w:t>33</w:t>
            </w:r>
          </w:p>
        </w:tc>
      </w:tr>
      <w:tr w:rsidR="006E1283" w14:paraId="4A1C3F71" w14:textId="77777777">
        <w:trPr>
          <w:cantSplit/>
          <w:trHeight w:hRule="exact" w:val="600"/>
        </w:trPr>
        <w:tc>
          <w:tcPr>
            <w:tcW w:w="5970" w:type="dxa"/>
            <w:tcBorders>
              <w:top w:val="single" w:sz="12" w:space="0" w:color="000000"/>
              <w:left w:val="nil"/>
              <w:bottom w:val="single" w:sz="12" w:space="0" w:color="000000"/>
              <w:right w:val="nil"/>
            </w:tcBorders>
            <w:shd w:val="clear" w:color="auto" w:fill="FFFFFF"/>
            <w:tcMar>
              <w:top w:w="0" w:type="dxa"/>
              <w:left w:w="53" w:type="dxa"/>
              <w:bottom w:w="0" w:type="dxa"/>
              <w:right w:w="53" w:type="dxa"/>
            </w:tcMar>
            <w:vAlign w:val="center"/>
          </w:tcPr>
          <w:p w14:paraId="2A252D5E" w14:textId="77777777" w:rsidR="006E1283" w:rsidRDefault="00BC0927">
            <w:pPr>
              <w:spacing w:line="240" w:lineRule="auto"/>
              <w:ind w:left="55"/>
            </w:pPr>
            <w:r>
              <w:rPr>
                <w:rFonts w:ascii="Source Sans Pro" w:eastAsia="Source Sans Pro" w:hAnsi="Source Sans Pro" w:cs="Source Sans Pro"/>
              </w:rPr>
              <w:t>Basic earnings per share (pence)</w:t>
            </w:r>
          </w:p>
        </w:tc>
        <w:tc>
          <w:tcPr>
            <w:tcW w:w="1995" w:type="dxa"/>
            <w:tcBorders>
              <w:top w:val="single" w:sz="12" w:space="0" w:color="000000"/>
              <w:left w:val="nil"/>
              <w:bottom w:val="single" w:sz="12" w:space="0" w:color="000000"/>
              <w:right w:val="nil"/>
            </w:tcBorders>
            <w:shd w:val="clear" w:color="auto" w:fill="FFFFFF"/>
            <w:tcMar>
              <w:top w:w="0" w:type="dxa"/>
              <w:left w:w="0" w:type="dxa"/>
              <w:bottom w:w="0" w:type="dxa"/>
              <w:right w:w="53" w:type="dxa"/>
            </w:tcMar>
            <w:vAlign w:val="center"/>
          </w:tcPr>
          <w:p w14:paraId="6F4A2FBC" w14:textId="77777777" w:rsidR="006E1283" w:rsidRDefault="00BC0927">
            <w:pPr>
              <w:spacing w:line="240" w:lineRule="auto"/>
              <w:ind w:right="55"/>
              <w:jc w:val="right"/>
            </w:pPr>
            <w:r>
              <w:rPr>
                <w:rFonts w:ascii="Source Sans Pro" w:eastAsia="Source Sans Pro" w:hAnsi="Source Sans Pro" w:cs="Source Sans Pro"/>
                <w:b/>
              </w:rPr>
              <w:t>1.1</w:t>
            </w:r>
          </w:p>
        </w:tc>
        <w:tc>
          <w:tcPr>
            <w:tcW w:w="2025" w:type="dxa"/>
            <w:tcBorders>
              <w:top w:val="single" w:sz="12" w:space="0" w:color="000000"/>
              <w:left w:val="nil"/>
              <w:bottom w:val="single" w:sz="12" w:space="0" w:color="000000"/>
              <w:right w:val="nil"/>
            </w:tcBorders>
            <w:shd w:val="clear" w:color="auto" w:fill="FFFFFF"/>
            <w:tcMar>
              <w:top w:w="0" w:type="dxa"/>
              <w:left w:w="0" w:type="dxa"/>
              <w:bottom w:w="0" w:type="dxa"/>
              <w:right w:w="53" w:type="dxa"/>
            </w:tcMar>
            <w:vAlign w:val="center"/>
          </w:tcPr>
          <w:p w14:paraId="0C162F2B" w14:textId="77777777" w:rsidR="006E1283" w:rsidRDefault="00BC0927">
            <w:pPr>
              <w:spacing w:line="240" w:lineRule="auto"/>
              <w:ind w:right="55"/>
              <w:jc w:val="right"/>
            </w:pPr>
            <w:r>
              <w:rPr>
                <w:rFonts w:ascii="Source Sans Pro" w:eastAsia="Source Sans Pro" w:hAnsi="Source Sans Pro" w:cs="Source Sans Pro"/>
              </w:rPr>
              <w:t>0.1</w:t>
            </w:r>
          </w:p>
        </w:tc>
      </w:tr>
    </w:tbl>
    <w:p w14:paraId="38BA9C15" w14:textId="77777777" w:rsidR="006E1283" w:rsidRDefault="006E1283">
      <w:pPr>
        <w:spacing w:line="240" w:lineRule="auto"/>
      </w:pPr>
    </w:p>
    <w:p w14:paraId="6A0296C9" w14:textId="77777777" w:rsidR="006E1283" w:rsidRDefault="00BC0927" w:rsidP="00E66B91">
      <w:pPr>
        <w:spacing w:line="240" w:lineRule="auto"/>
      </w:pPr>
      <w:r>
        <w:rPr>
          <w:rFonts w:ascii="Source Sans Pro" w:eastAsia="Source Sans Pro" w:hAnsi="Source Sans Pro" w:cs="Source Sans Pro"/>
          <w:sz w:val="20"/>
        </w:rPr>
        <w:t xml:space="preserve">* Tax on investment income is £nil due to losses </w:t>
      </w:r>
      <w:r>
        <w:rPr>
          <w:rFonts w:ascii="Source Sans Pro" w:eastAsia="Source Sans Pro" w:hAnsi="Source Sans Pro" w:cs="Source Sans Pro"/>
          <w:sz w:val="20"/>
        </w:rPr>
        <w:t>surrendered by a fellow Group company at no charge to cover any tax liabilities arising on the Company’s profits.</w:t>
      </w:r>
      <w:r>
        <w:rPr>
          <w:rFonts w:ascii="Source Sans Pro" w:eastAsia="Source Sans Pro" w:hAnsi="Source Sans Pro" w:cs="Source Sans Pro"/>
          <w:sz w:val="20"/>
        </w:rPr>
        <w:br/>
      </w:r>
    </w:p>
    <w:p w14:paraId="005F8FF7" w14:textId="77777777" w:rsidR="006E1283" w:rsidRDefault="006E1283">
      <w:pPr>
        <w:spacing w:line="24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0"/>
        <w:gridCol w:w="1995"/>
        <w:gridCol w:w="1995"/>
      </w:tblGrid>
      <w:tr w:rsidR="006E1283" w14:paraId="6F389816" w14:textId="77777777">
        <w:trPr>
          <w:cantSplit/>
          <w:trHeight w:hRule="exact" w:val="345"/>
        </w:trPr>
        <w:tc>
          <w:tcPr>
            <w:tcW w:w="6090" w:type="dxa"/>
            <w:vMerge w:val="restart"/>
            <w:tcBorders>
              <w:top w:val="nil"/>
              <w:left w:val="nil"/>
              <w:bottom w:val="nil"/>
              <w:right w:val="nil"/>
            </w:tcBorders>
            <w:shd w:val="clear" w:color="auto" w:fill="FFFFFF"/>
            <w:tcMar>
              <w:top w:w="0" w:type="dxa"/>
              <w:left w:w="53" w:type="dxa"/>
              <w:bottom w:w="0" w:type="dxa"/>
              <w:right w:w="53" w:type="dxa"/>
            </w:tcMar>
          </w:tcPr>
          <w:p w14:paraId="6D229C44" w14:textId="77777777" w:rsidR="006E1283" w:rsidRDefault="00BC0927">
            <w:pPr>
              <w:keepNext/>
              <w:spacing w:before="53" w:after="30" w:line="240" w:lineRule="auto"/>
              <w:ind w:left="55"/>
            </w:pPr>
            <w:r>
              <w:rPr>
                <w:rFonts w:ascii="Source Sans Pro" w:eastAsia="Source Sans Pro" w:hAnsi="Source Sans Pro" w:cs="Source Sans Pro"/>
                <w:b/>
              </w:rPr>
              <w:t>Condensed statement of financial position</w:t>
            </w:r>
          </w:p>
        </w:tc>
        <w:tc>
          <w:tcPr>
            <w:tcW w:w="1995" w:type="dxa"/>
            <w:tcBorders>
              <w:top w:val="nil"/>
              <w:left w:val="nil"/>
              <w:bottom w:val="nil"/>
              <w:right w:val="nil"/>
            </w:tcBorders>
            <w:shd w:val="clear" w:color="auto" w:fill="FFFFFF"/>
            <w:tcMar>
              <w:top w:w="0" w:type="dxa"/>
              <w:left w:w="0" w:type="dxa"/>
              <w:bottom w:w="0" w:type="dxa"/>
              <w:right w:w="53" w:type="dxa"/>
            </w:tcMar>
          </w:tcPr>
          <w:p w14:paraId="63D1DCFB" w14:textId="77777777" w:rsidR="006E1283" w:rsidRDefault="00BC0927">
            <w:pPr>
              <w:keepNext/>
              <w:spacing w:before="53" w:after="30" w:line="240" w:lineRule="auto"/>
              <w:ind w:right="55"/>
              <w:jc w:val="right"/>
            </w:pPr>
            <w:r>
              <w:rPr>
                <w:rFonts w:ascii="Source Sans Pro" w:eastAsia="Source Sans Pro" w:hAnsi="Source Sans Pro" w:cs="Source Sans Pro"/>
                <w:b/>
              </w:rPr>
              <w:t>Unaudited</w:t>
            </w:r>
          </w:p>
        </w:tc>
        <w:tc>
          <w:tcPr>
            <w:tcW w:w="1995" w:type="dxa"/>
            <w:tcBorders>
              <w:top w:val="nil"/>
              <w:left w:val="nil"/>
              <w:bottom w:val="nil"/>
              <w:right w:val="nil"/>
            </w:tcBorders>
            <w:shd w:val="clear" w:color="auto" w:fill="FFFFFF"/>
            <w:tcMar>
              <w:top w:w="0" w:type="dxa"/>
              <w:left w:w="0" w:type="dxa"/>
              <w:bottom w:w="0" w:type="dxa"/>
              <w:right w:w="53" w:type="dxa"/>
            </w:tcMar>
          </w:tcPr>
          <w:p w14:paraId="05177037" w14:textId="77777777" w:rsidR="006E1283" w:rsidRDefault="00BC0927">
            <w:pPr>
              <w:keepNext/>
              <w:spacing w:before="53" w:after="30" w:line="240" w:lineRule="auto"/>
              <w:ind w:right="55"/>
              <w:jc w:val="right"/>
            </w:pPr>
            <w:r>
              <w:rPr>
                <w:rFonts w:ascii="Source Sans Pro" w:eastAsia="Source Sans Pro" w:hAnsi="Source Sans Pro" w:cs="Source Sans Pro"/>
              </w:rPr>
              <w:t>Audited</w:t>
            </w:r>
          </w:p>
        </w:tc>
      </w:tr>
      <w:tr w:rsidR="006E1283" w14:paraId="496372FC" w14:textId="77777777">
        <w:trPr>
          <w:cantSplit/>
          <w:trHeight w:hRule="exact" w:val="345"/>
        </w:trPr>
        <w:tc>
          <w:tcPr>
            <w:tcW w:w="6090" w:type="dxa"/>
            <w:vMerge/>
            <w:tcBorders>
              <w:top w:val="nil"/>
              <w:left w:val="nil"/>
              <w:bottom w:val="nil"/>
              <w:right w:val="nil"/>
            </w:tcBorders>
          </w:tcPr>
          <w:p w14:paraId="692F8757" w14:textId="77777777" w:rsidR="006E1283" w:rsidRDefault="006E1283">
            <w:pPr>
              <w:keepNext/>
            </w:pPr>
          </w:p>
        </w:tc>
        <w:tc>
          <w:tcPr>
            <w:tcW w:w="1995" w:type="dxa"/>
            <w:tcBorders>
              <w:top w:val="nil"/>
              <w:left w:val="nil"/>
              <w:bottom w:val="nil"/>
              <w:right w:val="nil"/>
            </w:tcBorders>
            <w:shd w:val="clear" w:color="auto" w:fill="FFFFFF"/>
            <w:tcMar>
              <w:top w:w="0" w:type="dxa"/>
              <w:left w:w="0" w:type="dxa"/>
              <w:bottom w:w="0" w:type="dxa"/>
              <w:right w:w="53" w:type="dxa"/>
            </w:tcMar>
          </w:tcPr>
          <w:p w14:paraId="5F67FE7A" w14:textId="77777777" w:rsidR="006E1283" w:rsidRDefault="00BC0927">
            <w:pPr>
              <w:keepNext/>
              <w:spacing w:before="53" w:after="30" w:line="240" w:lineRule="auto"/>
              <w:ind w:right="55"/>
              <w:jc w:val="right"/>
            </w:pPr>
            <w:r>
              <w:rPr>
                <w:rFonts w:ascii="Source Sans Pro" w:eastAsia="Source Sans Pro" w:hAnsi="Source Sans Pro" w:cs="Source Sans Pro"/>
                <w:b/>
              </w:rPr>
              <w:t>30 June</w:t>
            </w:r>
          </w:p>
        </w:tc>
        <w:tc>
          <w:tcPr>
            <w:tcW w:w="1995" w:type="dxa"/>
            <w:tcBorders>
              <w:top w:val="nil"/>
              <w:left w:val="nil"/>
              <w:bottom w:val="nil"/>
              <w:right w:val="nil"/>
            </w:tcBorders>
            <w:shd w:val="clear" w:color="auto" w:fill="FFFFFF"/>
            <w:tcMar>
              <w:top w:w="0" w:type="dxa"/>
              <w:left w:w="0" w:type="dxa"/>
              <w:bottom w:w="0" w:type="dxa"/>
              <w:right w:w="53" w:type="dxa"/>
            </w:tcMar>
          </w:tcPr>
          <w:p w14:paraId="339A8169" w14:textId="77777777" w:rsidR="006E1283" w:rsidRDefault="00BC0927">
            <w:pPr>
              <w:keepNext/>
              <w:spacing w:before="53" w:after="30" w:line="240" w:lineRule="auto"/>
              <w:ind w:right="55"/>
              <w:jc w:val="right"/>
            </w:pPr>
            <w:r>
              <w:rPr>
                <w:rFonts w:ascii="Source Sans Pro" w:eastAsia="Source Sans Pro" w:hAnsi="Source Sans Pro" w:cs="Source Sans Pro"/>
              </w:rPr>
              <w:t>31 December</w:t>
            </w:r>
          </w:p>
        </w:tc>
      </w:tr>
      <w:tr w:rsidR="006E1283" w14:paraId="0B489270" w14:textId="77777777">
        <w:trPr>
          <w:cantSplit/>
          <w:trHeight w:hRule="exact" w:val="345"/>
        </w:trPr>
        <w:tc>
          <w:tcPr>
            <w:tcW w:w="6090" w:type="dxa"/>
            <w:vMerge/>
            <w:tcBorders>
              <w:top w:val="nil"/>
              <w:left w:val="nil"/>
              <w:bottom w:val="nil"/>
              <w:right w:val="nil"/>
            </w:tcBorders>
          </w:tcPr>
          <w:p w14:paraId="073EFF39" w14:textId="77777777" w:rsidR="006E1283" w:rsidRDefault="006E1283">
            <w:pPr>
              <w:keepNext/>
            </w:pPr>
          </w:p>
        </w:tc>
        <w:tc>
          <w:tcPr>
            <w:tcW w:w="1995" w:type="dxa"/>
            <w:tcBorders>
              <w:top w:val="nil"/>
              <w:left w:val="nil"/>
              <w:bottom w:val="nil"/>
              <w:right w:val="nil"/>
            </w:tcBorders>
            <w:shd w:val="clear" w:color="auto" w:fill="FFFFFF"/>
            <w:tcMar>
              <w:top w:w="0" w:type="dxa"/>
              <w:left w:w="0" w:type="dxa"/>
              <w:bottom w:w="0" w:type="dxa"/>
              <w:right w:w="53" w:type="dxa"/>
            </w:tcMar>
          </w:tcPr>
          <w:p w14:paraId="16D1E0BC" w14:textId="77777777" w:rsidR="006E1283" w:rsidRDefault="00BC0927">
            <w:pPr>
              <w:keepNext/>
              <w:spacing w:before="53" w:after="30" w:line="240" w:lineRule="auto"/>
              <w:ind w:right="55"/>
              <w:jc w:val="right"/>
            </w:pPr>
            <w:r>
              <w:rPr>
                <w:rFonts w:ascii="Source Sans Pro" w:eastAsia="Source Sans Pro" w:hAnsi="Source Sans Pro" w:cs="Source Sans Pro"/>
                <w:b/>
              </w:rPr>
              <w:t>2023</w:t>
            </w:r>
          </w:p>
        </w:tc>
        <w:tc>
          <w:tcPr>
            <w:tcW w:w="1995" w:type="dxa"/>
            <w:tcBorders>
              <w:top w:val="nil"/>
              <w:left w:val="nil"/>
              <w:bottom w:val="nil"/>
              <w:right w:val="nil"/>
            </w:tcBorders>
            <w:shd w:val="clear" w:color="auto" w:fill="FFFFFF"/>
            <w:tcMar>
              <w:top w:w="0" w:type="dxa"/>
              <w:left w:w="0" w:type="dxa"/>
              <w:bottom w:w="0" w:type="dxa"/>
              <w:right w:w="53" w:type="dxa"/>
            </w:tcMar>
          </w:tcPr>
          <w:p w14:paraId="0CA75A87" w14:textId="77777777" w:rsidR="006E1283" w:rsidRDefault="00BC0927">
            <w:pPr>
              <w:keepNext/>
              <w:spacing w:before="53" w:after="30" w:line="240" w:lineRule="auto"/>
              <w:ind w:right="55"/>
              <w:jc w:val="right"/>
            </w:pPr>
            <w:r>
              <w:rPr>
                <w:rFonts w:ascii="Source Sans Pro" w:eastAsia="Source Sans Pro" w:hAnsi="Source Sans Pro" w:cs="Source Sans Pro"/>
              </w:rPr>
              <w:t>2022</w:t>
            </w:r>
          </w:p>
        </w:tc>
      </w:tr>
      <w:tr w:rsidR="006E1283" w14:paraId="7C3994C7" w14:textId="77777777">
        <w:trPr>
          <w:cantSplit/>
          <w:trHeight w:hRule="exact" w:val="345"/>
        </w:trPr>
        <w:tc>
          <w:tcPr>
            <w:tcW w:w="6090" w:type="dxa"/>
            <w:vMerge/>
            <w:tcBorders>
              <w:top w:val="nil"/>
              <w:left w:val="nil"/>
              <w:bottom w:val="nil"/>
              <w:right w:val="nil"/>
            </w:tcBorders>
          </w:tcPr>
          <w:p w14:paraId="7A26784C" w14:textId="77777777" w:rsidR="006E1283" w:rsidRDefault="006E1283">
            <w:pPr>
              <w:keepNext/>
            </w:pPr>
          </w:p>
        </w:tc>
        <w:tc>
          <w:tcPr>
            <w:tcW w:w="1995" w:type="dxa"/>
            <w:tcBorders>
              <w:top w:val="nil"/>
              <w:left w:val="nil"/>
              <w:bottom w:val="nil"/>
              <w:right w:val="nil"/>
            </w:tcBorders>
            <w:shd w:val="clear" w:color="auto" w:fill="FFFFFF"/>
            <w:tcMar>
              <w:top w:w="0" w:type="dxa"/>
              <w:left w:w="0" w:type="dxa"/>
              <w:bottom w:w="0" w:type="dxa"/>
              <w:right w:w="53" w:type="dxa"/>
            </w:tcMar>
          </w:tcPr>
          <w:p w14:paraId="30E202DB" w14:textId="77777777" w:rsidR="006E1283" w:rsidRDefault="00BC0927">
            <w:pPr>
              <w:keepNext/>
              <w:spacing w:before="53" w:after="30" w:line="240" w:lineRule="auto"/>
              <w:ind w:right="55"/>
              <w:jc w:val="right"/>
            </w:pPr>
            <w:r>
              <w:rPr>
                <w:rFonts w:ascii="Source Sans Pro" w:eastAsia="Source Sans Pro" w:hAnsi="Source Sans Pro" w:cs="Source Sans Pro"/>
                <w:b/>
              </w:rPr>
              <w:t>£m</w:t>
            </w:r>
          </w:p>
        </w:tc>
        <w:tc>
          <w:tcPr>
            <w:tcW w:w="1995" w:type="dxa"/>
            <w:tcBorders>
              <w:top w:val="nil"/>
              <w:left w:val="nil"/>
              <w:bottom w:val="nil"/>
              <w:right w:val="nil"/>
            </w:tcBorders>
            <w:shd w:val="clear" w:color="auto" w:fill="FFFFFF"/>
            <w:tcMar>
              <w:top w:w="0" w:type="dxa"/>
              <w:left w:w="0" w:type="dxa"/>
              <w:bottom w:w="0" w:type="dxa"/>
              <w:right w:w="53" w:type="dxa"/>
            </w:tcMar>
          </w:tcPr>
          <w:p w14:paraId="69946027" w14:textId="77777777" w:rsidR="006E1283" w:rsidRDefault="00BC0927">
            <w:pPr>
              <w:keepNext/>
              <w:spacing w:before="53" w:after="30" w:line="240" w:lineRule="auto"/>
              <w:ind w:right="55"/>
              <w:jc w:val="right"/>
            </w:pPr>
            <w:r>
              <w:rPr>
                <w:rFonts w:ascii="Source Sans Pro" w:eastAsia="Source Sans Pro" w:hAnsi="Source Sans Pro" w:cs="Source Sans Pro"/>
              </w:rPr>
              <w:t>£m</w:t>
            </w:r>
          </w:p>
        </w:tc>
      </w:tr>
      <w:tr w:rsidR="006E1283" w14:paraId="09D8DAE1" w14:textId="77777777">
        <w:trPr>
          <w:cantSplit/>
          <w:trHeight w:hRule="exact" w:val="315"/>
        </w:trPr>
        <w:tc>
          <w:tcPr>
            <w:tcW w:w="6090" w:type="dxa"/>
            <w:tcBorders>
              <w:top w:val="nil"/>
              <w:left w:val="nil"/>
              <w:bottom w:val="nil"/>
              <w:right w:val="nil"/>
            </w:tcBorders>
            <w:shd w:val="clear" w:color="auto" w:fill="FFFFFF"/>
            <w:tcMar>
              <w:top w:w="0" w:type="dxa"/>
              <w:left w:w="53" w:type="dxa"/>
              <w:bottom w:w="0" w:type="dxa"/>
              <w:right w:w="53" w:type="dxa"/>
            </w:tcMar>
          </w:tcPr>
          <w:p w14:paraId="480D839D" w14:textId="77777777" w:rsidR="006E1283" w:rsidRDefault="006E1283">
            <w:pPr>
              <w:keepNext/>
              <w:spacing w:before="53" w:after="30" w:line="240" w:lineRule="auto"/>
              <w:ind w:left="55"/>
            </w:pPr>
          </w:p>
        </w:tc>
        <w:tc>
          <w:tcPr>
            <w:tcW w:w="1995" w:type="dxa"/>
            <w:tcBorders>
              <w:top w:val="nil"/>
              <w:left w:val="nil"/>
              <w:bottom w:val="nil"/>
              <w:right w:val="nil"/>
            </w:tcBorders>
            <w:shd w:val="clear" w:color="auto" w:fill="FFFFFF"/>
            <w:tcMar>
              <w:top w:w="0" w:type="dxa"/>
              <w:left w:w="0" w:type="dxa"/>
              <w:bottom w:w="0" w:type="dxa"/>
              <w:right w:w="53" w:type="dxa"/>
            </w:tcMar>
          </w:tcPr>
          <w:p w14:paraId="497EF879" w14:textId="77777777" w:rsidR="006E1283" w:rsidRDefault="006E1283">
            <w:pPr>
              <w:keepNext/>
              <w:spacing w:before="53" w:after="30" w:line="240" w:lineRule="auto"/>
              <w:ind w:right="55"/>
              <w:jc w:val="right"/>
            </w:pPr>
          </w:p>
        </w:tc>
        <w:tc>
          <w:tcPr>
            <w:tcW w:w="1995" w:type="dxa"/>
            <w:tcBorders>
              <w:top w:val="nil"/>
              <w:left w:val="nil"/>
              <w:bottom w:val="nil"/>
              <w:right w:val="nil"/>
            </w:tcBorders>
            <w:shd w:val="clear" w:color="auto" w:fill="FFFFFF"/>
            <w:tcMar>
              <w:top w:w="0" w:type="dxa"/>
              <w:left w:w="0" w:type="dxa"/>
              <w:bottom w:w="0" w:type="dxa"/>
              <w:right w:w="53" w:type="dxa"/>
            </w:tcMar>
          </w:tcPr>
          <w:p w14:paraId="270F1D04" w14:textId="77777777" w:rsidR="006E1283" w:rsidRDefault="006E1283">
            <w:pPr>
              <w:keepNext/>
              <w:spacing w:before="53" w:after="30" w:line="240" w:lineRule="auto"/>
              <w:ind w:right="55"/>
              <w:jc w:val="right"/>
            </w:pPr>
          </w:p>
        </w:tc>
      </w:tr>
      <w:tr w:rsidR="006E1283" w14:paraId="22A53E5C" w14:textId="77777777">
        <w:trPr>
          <w:cantSplit/>
          <w:trHeight w:hRule="exact" w:val="315"/>
        </w:trPr>
        <w:tc>
          <w:tcPr>
            <w:tcW w:w="6090" w:type="dxa"/>
            <w:tcBorders>
              <w:top w:val="nil"/>
              <w:left w:val="nil"/>
              <w:bottom w:val="single" w:sz="8" w:space="0" w:color="000000"/>
              <w:right w:val="nil"/>
            </w:tcBorders>
            <w:shd w:val="clear" w:color="auto" w:fill="FFFFFF"/>
            <w:tcMar>
              <w:top w:w="0" w:type="dxa"/>
              <w:left w:w="53" w:type="dxa"/>
              <w:bottom w:w="0" w:type="dxa"/>
              <w:right w:w="53" w:type="dxa"/>
            </w:tcMar>
          </w:tcPr>
          <w:p w14:paraId="5F519498" w14:textId="77777777" w:rsidR="006E1283" w:rsidRDefault="00BC0927">
            <w:pPr>
              <w:keepNext/>
              <w:spacing w:before="53" w:after="30" w:line="240" w:lineRule="auto"/>
              <w:ind w:left="55"/>
            </w:pPr>
            <w:r>
              <w:rPr>
                <w:rFonts w:ascii="Source Sans Pro" w:eastAsia="Source Sans Pro" w:hAnsi="Source Sans Pro" w:cs="Source Sans Pro"/>
              </w:rPr>
              <w:t>Total assets</w:t>
            </w:r>
          </w:p>
        </w:tc>
        <w:tc>
          <w:tcPr>
            <w:tcW w:w="1995" w:type="dxa"/>
            <w:tcBorders>
              <w:top w:val="nil"/>
              <w:left w:val="nil"/>
              <w:bottom w:val="single" w:sz="8" w:space="0" w:color="000000"/>
              <w:right w:val="nil"/>
            </w:tcBorders>
            <w:tcMar>
              <w:top w:w="0" w:type="dxa"/>
              <w:left w:w="0" w:type="dxa"/>
              <w:bottom w:w="0" w:type="dxa"/>
              <w:right w:w="53" w:type="dxa"/>
            </w:tcMar>
          </w:tcPr>
          <w:p w14:paraId="57BE8786" w14:textId="77777777" w:rsidR="006E1283" w:rsidRDefault="00BC0927">
            <w:pPr>
              <w:keepNext/>
              <w:spacing w:before="53" w:after="30" w:line="240" w:lineRule="auto"/>
              <w:ind w:right="55"/>
              <w:jc w:val="right"/>
            </w:pPr>
            <w:r>
              <w:rPr>
                <w:rFonts w:ascii="Source Sans Pro" w:eastAsia="Source Sans Pro" w:hAnsi="Source Sans Pro" w:cs="Source Sans Pro"/>
                <w:b/>
              </w:rPr>
              <w:t>14,144</w:t>
            </w:r>
          </w:p>
        </w:tc>
        <w:tc>
          <w:tcPr>
            <w:tcW w:w="1995" w:type="dxa"/>
            <w:tcBorders>
              <w:top w:val="nil"/>
              <w:left w:val="nil"/>
              <w:bottom w:val="single" w:sz="8" w:space="0" w:color="000000"/>
              <w:right w:val="nil"/>
            </w:tcBorders>
            <w:shd w:val="clear" w:color="auto" w:fill="FFFFFF"/>
            <w:tcMar>
              <w:top w:w="0" w:type="dxa"/>
              <w:left w:w="0" w:type="dxa"/>
              <w:bottom w:w="0" w:type="dxa"/>
              <w:right w:w="53" w:type="dxa"/>
            </w:tcMar>
          </w:tcPr>
          <w:p w14:paraId="436206A2" w14:textId="77777777" w:rsidR="006E1283" w:rsidRDefault="00BC0927">
            <w:pPr>
              <w:keepNext/>
              <w:spacing w:before="53" w:after="30" w:line="240" w:lineRule="auto"/>
              <w:ind w:right="55"/>
              <w:jc w:val="right"/>
            </w:pPr>
            <w:r>
              <w:rPr>
                <w:rFonts w:ascii="Source Sans Pro" w:eastAsia="Source Sans Pro" w:hAnsi="Source Sans Pro" w:cs="Source Sans Pro"/>
              </w:rPr>
              <w:t>13,932</w:t>
            </w:r>
          </w:p>
        </w:tc>
      </w:tr>
      <w:tr w:rsidR="006E1283" w14:paraId="0D9B5DC4" w14:textId="77777777">
        <w:trPr>
          <w:cantSplit/>
          <w:trHeight w:hRule="exact" w:val="315"/>
        </w:trPr>
        <w:tc>
          <w:tcPr>
            <w:tcW w:w="6090" w:type="dxa"/>
            <w:tcBorders>
              <w:top w:val="single" w:sz="8" w:space="0" w:color="000000"/>
              <w:left w:val="nil"/>
              <w:bottom w:val="nil"/>
              <w:right w:val="nil"/>
            </w:tcBorders>
            <w:shd w:val="clear" w:color="auto" w:fill="FFFFFF"/>
            <w:tcMar>
              <w:top w:w="0" w:type="dxa"/>
              <w:left w:w="53" w:type="dxa"/>
              <w:bottom w:w="0" w:type="dxa"/>
              <w:right w:w="53" w:type="dxa"/>
            </w:tcMar>
          </w:tcPr>
          <w:p w14:paraId="38560A2B" w14:textId="77777777" w:rsidR="006E1283" w:rsidRDefault="006E1283">
            <w:pPr>
              <w:keepNext/>
              <w:spacing w:before="33" w:after="30" w:line="240" w:lineRule="auto"/>
              <w:ind w:left="55"/>
            </w:pPr>
          </w:p>
        </w:tc>
        <w:tc>
          <w:tcPr>
            <w:tcW w:w="1995" w:type="dxa"/>
            <w:tcBorders>
              <w:top w:val="single" w:sz="8" w:space="0" w:color="000000"/>
              <w:left w:val="nil"/>
              <w:bottom w:val="nil"/>
              <w:right w:val="nil"/>
            </w:tcBorders>
            <w:shd w:val="clear" w:color="auto" w:fill="FFFFFF"/>
            <w:tcMar>
              <w:top w:w="0" w:type="dxa"/>
              <w:left w:w="0" w:type="dxa"/>
              <w:bottom w:w="0" w:type="dxa"/>
              <w:right w:w="53" w:type="dxa"/>
            </w:tcMar>
          </w:tcPr>
          <w:p w14:paraId="57D0D6AE" w14:textId="77777777" w:rsidR="006E1283" w:rsidRDefault="006E1283">
            <w:pPr>
              <w:keepNext/>
              <w:spacing w:before="33" w:after="30" w:line="240" w:lineRule="auto"/>
              <w:jc w:val="right"/>
            </w:pPr>
          </w:p>
        </w:tc>
        <w:tc>
          <w:tcPr>
            <w:tcW w:w="1995" w:type="dxa"/>
            <w:tcBorders>
              <w:top w:val="single" w:sz="8" w:space="0" w:color="000000"/>
              <w:left w:val="nil"/>
              <w:bottom w:val="nil"/>
              <w:right w:val="nil"/>
            </w:tcBorders>
            <w:shd w:val="clear" w:color="auto" w:fill="FFFFFF"/>
            <w:tcMar>
              <w:top w:w="0" w:type="dxa"/>
              <w:left w:w="0" w:type="dxa"/>
              <w:bottom w:w="0" w:type="dxa"/>
              <w:right w:w="53" w:type="dxa"/>
            </w:tcMar>
          </w:tcPr>
          <w:p w14:paraId="01C8C0DC" w14:textId="77777777" w:rsidR="006E1283" w:rsidRDefault="006E1283">
            <w:pPr>
              <w:keepNext/>
              <w:spacing w:before="33" w:after="30" w:line="240" w:lineRule="auto"/>
              <w:jc w:val="right"/>
            </w:pPr>
          </w:p>
        </w:tc>
      </w:tr>
      <w:tr w:rsidR="006E1283" w14:paraId="7C44E652" w14:textId="77777777">
        <w:trPr>
          <w:cantSplit/>
          <w:trHeight w:hRule="exact" w:val="315"/>
        </w:trPr>
        <w:tc>
          <w:tcPr>
            <w:tcW w:w="6090" w:type="dxa"/>
            <w:tcBorders>
              <w:top w:val="nil"/>
              <w:left w:val="nil"/>
              <w:bottom w:val="nil"/>
              <w:right w:val="nil"/>
            </w:tcBorders>
            <w:shd w:val="clear" w:color="auto" w:fill="FFFFFF"/>
            <w:tcMar>
              <w:top w:w="0" w:type="dxa"/>
              <w:left w:w="53" w:type="dxa"/>
              <w:bottom w:w="0" w:type="dxa"/>
              <w:right w:w="53" w:type="dxa"/>
            </w:tcMar>
          </w:tcPr>
          <w:p w14:paraId="1C68D145" w14:textId="77777777" w:rsidR="006E1283" w:rsidRDefault="00BC0927">
            <w:pPr>
              <w:keepNext/>
              <w:spacing w:before="53" w:after="30" w:line="240" w:lineRule="auto"/>
              <w:ind w:left="55"/>
            </w:pPr>
            <w:r>
              <w:rPr>
                <w:rFonts w:ascii="Source Sans Pro" w:eastAsia="Source Sans Pro" w:hAnsi="Source Sans Pro" w:cs="Source Sans Pro"/>
              </w:rPr>
              <w:t>Equity attributable to ordinary shareholders</w:t>
            </w:r>
          </w:p>
        </w:tc>
        <w:tc>
          <w:tcPr>
            <w:tcW w:w="1995" w:type="dxa"/>
            <w:vMerge w:val="restart"/>
            <w:tcBorders>
              <w:top w:val="nil"/>
              <w:left w:val="nil"/>
              <w:bottom w:val="nil"/>
              <w:right w:val="nil"/>
            </w:tcBorders>
            <w:shd w:val="clear" w:color="auto" w:fill="FFFFFF"/>
            <w:tcMar>
              <w:top w:w="0" w:type="dxa"/>
              <w:left w:w="0" w:type="dxa"/>
              <w:bottom w:w="0" w:type="dxa"/>
              <w:right w:w="53" w:type="dxa"/>
            </w:tcMar>
          </w:tcPr>
          <w:p w14:paraId="7C30FCDC" w14:textId="77777777" w:rsidR="006E1283" w:rsidRDefault="00BC0927">
            <w:pPr>
              <w:keepNext/>
              <w:spacing w:before="53" w:after="30" w:line="240" w:lineRule="auto"/>
              <w:ind w:right="55"/>
              <w:jc w:val="right"/>
            </w:pPr>
            <w:r>
              <w:rPr>
                <w:rFonts w:ascii="Source Sans Pro" w:eastAsia="Source Sans Pro" w:hAnsi="Source Sans Pro" w:cs="Source Sans Pro"/>
                <w:b/>
              </w:rPr>
              <w:t>13,894</w:t>
            </w:r>
          </w:p>
        </w:tc>
        <w:tc>
          <w:tcPr>
            <w:tcW w:w="1995" w:type="dxa"/>
            <w:vMerge w:val="restart"/>
            <w:tcBorders>
              <w:top w:val="nil"/>
              <w:left w:val="nil"/>
              <w:bottom w:val="nil"/>
              <w:right w:val="nil"/>
            </w:tcBorders>
            <w:shd w:val="clear" w:color="auto" w:fill="FFFFFF"/>
            <w:tcMar>
              <w:top w:w="0" w:type="dxa"/>
              <w:left w:w="0" w:type="dxa"/>
              <w:bottom w:w="0" w:type="dxa"/>
              <w:right w:w="53" w:type="dxa"/>
            </w:tcMar>
          </w:tcPr>
          <w:p w14:paraId="7E6177FB" w14:textId="77777777" w:rsidR="006E1283" w:rsidRDefault="00BC0927">
            <w:pPr>
              <w:keepNext/>
              <w:spacing w:before="53" w:after="30" w:line="240" w:lineRule="auto"/>
              <w:ind w:right="55"/>
              <w:jc w:val="right"/>
            </w:pPr>
            <w:r>
              <w:rPr>
                <w:rFonts w:ascii="Source Sans Pro" w:eastAsia="Source Sans Pro" w:hAnsi="Source Sans Pro" w:cs="Source Sans Pro"/>
              </w:rPr>
              <w:t>13,682</w:t>
            </w:r>
          </w:p>
        </w:tc>
      </w:tr>
      <w:tr w:rsidR="006E1283" w14:paraId="0FEAE11F" w14:textId="77777777">
        <w:trPr>
          <w:cantSplit/>
          <w:trHeight w:hRule="exact" w:val="315"/>
        </w:trPr>
        <w:tc>
          <w:tcPr>
            <w:tcW w:w="6090" w:type="dxa"/>
            <w:tcBorders>
              <w:top w:val="nil"/>
              <w:left w:val="nil"/>
              <w:bottom w:val="nil"/>
              <w:right w:val="nil"/>
            </w:tcBorders>
            <w:shd w:val="clear" w:color="auto" w:fill="FFFFFF"/>
            <w:tcMar>
              <w:top w:w="0" w:type="dxa"/>
              <w:left w:w="53" w:type="dxa"/>
              <w:bottom w:w="0" w:type="dxa"/>
              <w:right w:w="53" w:type="dxa"/>
            </w:tcMar>
          </w:tcPr>
          <w:p w14:paraId="7A44C7A7" w14:textId="77777777" w:rsidR="006E1283" w:rsidRDefault="006E1283">
            <w:pPr>
              <w:keepNext/>
              <w:spacing w:before="53" w:after="30" w:line="240" w:lineRule="auto"/>
              <w:ind w:left="55"/>
            </w:pPr>
          </w:p>
        </w:tc>
        <w:tc>
          <w:tcPr>
            <w:tcW w:w="1995" w:type="dxa"/>
            <w:vMerge/>
            <w:tcBorders>
              <w:top w:val="nil"/>
              <w:left w:val="nil"/>
              <w:bottom w:val="nil"/>
              <w:right w:val="nil"/>
            </w:tcBorders>
          </w:tcPr>
          <w:p w14:paraId="3BAC5937" w14:textId="77777777" w:rsidR="006E1283" w:rsidRDefault="006E1283">
            <w:pPr>
              <w:keepNext/>
            </w:pPr>
          </w:p>
        </w:tc>
        <w:tc>
          <w:tcPr>
            <w:tcW w:w="1995" w:type="dxa"/>
            <w:vMerge/>
            <w:tcBorders>
              <w:top w:val="nil"/>
              <w:left w:val="nil"/>
              <w:bottom w:val="nil"/>
              <w:right w:val="nil"/>
            </w:tcBorders>
          </w:tcPr>
          <w:p w14:paraId="5DE75D15" w14:textId="77777777" w:rsidR="006E1283" w:rsidRDefault="006E1283">
            <w:pPr>
              <w:keepNext/>
            </w:pPr>
          </w:p>
        </w:tc>
      </w:tr>
      <w:tr w:rsidR="006E1283" w14:paraId="255F0911" w14:textId="77777777">
        <w:trPr>
          <w:cantSplit/>
          <w:trHeight w:hRule="exact" w:val="315"/>
        </w:trPr>
        <w:tc>
          <w:tcPr>
            <w:tcW w:w="6090" w:type="dxa"/>
            <w:tcBorders>
              <w:top w:val="nil"/>
              <w:left w:val="nil"/>
              <w:bottom w:val="nil"/>
              <w:right w:val="nil"/>
            </w:tcBorders>
            <w:shd w:val="clear" w:color="auto" w:fill="FFFFFF"/>
            <w:tcMar>
              <w:top w:w="0" w:type="dxa"/>
              <w:left w:w="53" w:type="dxa"/>
              <w:bottom w:w="0" w:type="dxa"/>
              <w:right w:w="53" w:type="dxa"/>
            </w:tcMar>
          </w:tcPr>
          <w:p w14:paraId="40CB2AB8" w14:textId="77777777" w:rsidR="006E1283" w:rsidRDefault="00BC0927">
            <w:pPr>
              <w:keepNext/>
              <w:spacing w:before="53" w:after="30" w:line="240" w:lineRule="auto"/>
              <w:ind w:left="55"/>
            </w:pPr>
            <w:r>
              <w:rPr>
                <w:rFonts w:ascii="Source Sans Pro" w:eastAsia="Source Sans Pro" w:hAnsi="Source Sans Pro" w:cs="Source Sans Pro"/>
              </w:rPr>
              <w:t>Preference share capital</w:t>
            </w:r>
          </w:p>
        </w:tc>
        <w:tc>
          <w:tcPr>
            <w:tcW w:w="1995" w:type="dxa"/>
            <w:tcBorders>
              <w:top w:val="nil"/>
              <w:left w:val="nil"/>
              <w:bottom w:val="nil"/>
              <w:right w:val="nil"/>
            </w:tcBorders>
            <w:shd w:val="clear" w:color="auto" w:fill="FFFFFF"/>
            <w:tcMar>
              <w:top w:w="0" w:type="dxa"/>
              <w:left w:w="0" w:type="dxa"/>
              <w:bottom w:w="0" w:type="dxa"/>
              <w:right w:w="53" w:type="dxa"/>
            </w:tcMar>
          </w:tcPr>
          <w:p w14:paraId="4D32A11F" w14:textId="77777777" w:rsidR="006E1283" w:rsidRDefault="00BC0927">
            <w:pPr>
              <w:keepNext/>
              <w:spacing w:before="53" w:after="30" w:line="240" w:lineRule="auto"/>
              <w:ind w:right="55"/>
              <w:jc w:val="right"/>
            </w:pPr>
            <w:r>
              <w:rPr>
                <w:rFonts w:ascii="Source Sans Pro" w:eastAsia="Source Sans Pro" w:hAnsi="Source Sans Pro" w:cs="Source Sans Pro"/>
                <w:b/>
              </w:rPr>
              <w:t>250</w:t>
            </w:r>
          </w:p>
        </w:tc>
        <w:tc>
          <w:tcPr>
            <w:tcW w:w="1995" w:type="dxa"/>
            <w:tcBorders>
              <w:top w:val="nil"/>
              <w:left w:val="nil"/>
              <w:bottom w:val="nil"/>
              <w:right w:val="nil"/>
            </w:tcBorders>
            <w:shd w:val="clear" w:color="auto" w:fill="FFFFFF"/>
            <w:tcMar>
              <w:top w:w="0" w:type="dxa"/>
              <w:left w:w="0" w:type="dxa"/>
              <w:bottom w:w="0" w:type="dxa"/>
              <w:right w:w="53" w:type="dxa"/>
            </w:tcMar>
          </w:tcPr>
          <w:p w14:paraId="2A5BF8A8" w14:textId="77777777" w:rsidR="006E1283" w:rsidRDefault="00BC0927">
            <w:pPr>
              <w:keepNext/>
              <w:spacing w:before="53" w:after="30" w:line="240" w:lineRule="auto"/>
              <w:ind w:right="55"/>
              <w:jc w:val="right"/>
            </w:pPr>
            <w:r>
              <w:rPr>
                <w:rFonts w:ascii="Source Sans Pro" w:eastAsia="Source Sans Pro" w:hAnsi="Source Sans Pro" w:cs="Source Sans Pro"/>
              </w:rPr>
              <w:t>250</w:t>
            </w:r>
          </w:p>
        </w:tc>
      </w:tr>
      <w:tr w:rsidR="006E1283" w14:paraId="12F36B75" w14:textId="77777777">
        <w:trPr>
          <w:cantSplit/>
          <w:trHeight w:hRule="exact" w:val="315"/>
        </w:trPr>
        <w:tc>
          <w:tcPr>
            <w:tcW w:w="6090" w:type="dxa"/>
            <w:tcBorders>
              <w:top w:val="nil"/>
              <w:left w:val="nil"/>
              <w:bottom w:val="single" w:sz="8" w:space="0" w:color="000000"/>
              <w:right w:val="nil"/>
            </w:tcBorders>
            <w:shd w:val="clear" w:color="auto" w:fill="FFFFFF"/>
            <w:tcMar>
              <w:top w:w="0" w:type="dxa"/>
              <w:left w:w="53" w:type="dxa"/>
              <w:bottom w:w="0" w:type="dxa"/>
              <w:right w:w="53" w:type="dxa"/>
            </w:tcMar>
          </w:tcPr>
          <w:p w14:paraId="49EBA851" w14:textId="77777777" w:rsidR="006E1283" w:rsidRDefault="006E1283">
            <w:pPr>
              <w:keepNext/>
              <w:spacing w:before="53" w:after="30" w:line="240" w:lineRule="auto"/>
              <w:ind w:left="55"/>
            </w:pPr>
          </w:p>
        </w:tc>
        <w:tc>
          <w:tcPr>
            <w:tcW w:w="1995" w:type="dxa"/>
            <w:tcBorders>
              <w:top w:val="nil"/>
              <w:left w:val="nil"/>
              <w:bottom w:val="single" w:sz="8" w:space="0" w:color="000000"/>
              <w:right w:val="nil"/>
            </w:tcBorders>
            <w:shd w:val="clear" w:color="auto" w:fill="FFFFFF"/>
            <w:tcMar>
              <w:top w:w="0" w:type="dxa"/>
              <w:left w:w="53" w:type="dxa"/>
              <w:bottom w:w="0" w:type="dxa"/>
              <w:right w:w="53" w:type="dxa"/>
            </w:tcMar>
          </w:tcPr>
          <w:p w14:paraId="70A50EC7" w14:textId="77777777" w:rsidR="006E1283" w:rsidRDefault="006E1283">
            <w:pPr>
              <w:keepNext/>
              <w:spacing w:before="53" w:after="30" w:line="240" w:lineRule="auto"/>
            </w:pPr>
          </w:p>
        </w:tc>
        <w:tc>
          <w:tcPr>
            <w:tcW w:w="1995" w:type="dxa"/>
            <w:tcBorders>
              <w:top w:val="nil"/>
              <w:left w:val="nil"/>
              <w:bottom w:val="single" w:sz="8" w:space="0" w:color="000000"/>
              <w:right w:val="nil"/>
            </w:tcBorders>
            <w:shd w:val="clear" w:color="auto" w:fill="FFFFFF"/>
            <w:tcMar>
              <w:top w:w="0" w:type="dxa"/>
              <w:left w:w="53" w:type="dxa"/>
              <w:bottom w:w="0" w:type="dxa"/>
              <w:right w:w="53" w:type="dxa"/>
            </w:tcMar>
          </w:tcPr>
          <w:p w14:paraId="0734E2F4" w14:textId="77777777" w:rsidR="006E1283" w:rsidRDefault="006E1283">
            <w:pPr>
              <w:keepNext/>
              <w:spacing w:before="53" w:after="30" w:line="240" w:lineRule="auto"/>
            </w:pPr>
          </w:p>
        </w:tc>
      </w:tr>
      <w:tr w:rsidR="006E1283" w14:paraId="4277F6DF" w14:textId="77777777">
        <w:trPr>
          <w:cantSplit/>
          <w:trHeight w:hRule="exact" w:val="315"/>
        </w:trPr>
        <w:tc>
          <w:tcPr>
            <w:tcW w:w="6090" w:type="dxa"/>
            <w:tcBorders>
              <w:top w:val="single" w:sz="8" w:space="0" w:color="000000"/>
              <w:left w:val="nil"/>
              <w:bottom w:val="nil"/>
              <w:right w:val="nil"/>
            </w:tcBorders>
            <w:shd w:val="clear" w:color="auto" w:fill="FFFFFF"/>
            <w:tcMar>
              <w:top w:w="0" w:type="dxa"/>
              <w:left w:w="53" w:type="dxa"/>
              <w:bottom w:w="0" w:type="dxa"/>
              <w:right w:w="53" w:type="dxa"/>
            </w:tcMar>
          </w:tcPr>
          <w:p w14:paraId="1F6E1F8D" w14:textId="77777777" w:rsidR="006E1283" w:rsidRDefault="00BC0927">
            <w:pPr>
              <w:keepNext/>
              <w:spacing w:before="33" w:after="30" w:line="240" w:lineRule="auto"/>
              <w:ind w:left="55"/>
            </w:pPr>
            <w:r>
              <w:rPr>
                <w:rFonts w:ascii="Source Sans Pro" w:eastAsia="Source Sans Pro" w:hAnsi="Source Sans Pro" w:cs="Source Sans Pro"/>
              </w:rPr>
              <w:t>Total equity</w:t>
            </w:r>
          </w:p>
        </w:tc>
        <w:tc>
          <w:tcPr>
            <w:tcW w:w="1995" w:type="dxa"/>
            <w:tcBorders>
              <w:top w:val="single" w:sz="8" w:space="0" w:color="000000"/>
              <w:left w:val="nil"/>
              <w:bottom w:val="nil"/>
              <w:right w:val="nil"/>
            </w:tcBorders>
            <w:shd w:val="clear" w:color="auto" w:fill="FFFFFF"/>
            <w:tcMar>
              <w:top w:w="0" w:type="dxa"/>
              <w:left w:w="0" w:type="dxa"/>
              <w:bottom w:w="0" w:type="dxa"/>
              <w:right w:w="53" w:type="dxa"/>
            </w:tcMar>
          </w:tcPr>
          <w:p w14:paraId="5EBD38F7" w14:textId="77777777" w:rsidR="006E1283" w:rsidRDefault="00BC0927">
            <w:pPr>
              <w:keepNext/>
              <w:spacing w:before="33" w:after="30" w:line="240" w:lineRule="auto"/>
              <w:ind w:right="55"/>
              <w:jc w:val="right"/>
            </w:pPr>
            <w:r>
              <w:rPr>
                <w:rFonts w:ascii="Source Sans Pro" w:eastAsia="Source Sans Pro" w:hAnsi="Source Sans Pro" w:cs="Source Sans Pro"/>
                <w:b/>
              </w:rPr>
              <w:t>14,144</w:t>
            </w:r>
          </w:p>
        </w:tc>
        <w:tc>
          <w:tcPr>
            <w:tcW w:w="1995" w:type="dxa"/>
            <w:tcBorders>
              <w:top w:val="single" w:sz="8" w:space="0" w:color="000000"/>
              <w:left w:val="nil"/>
              <w:bottom w:val="nil"/>
              <w:right w:val="nil"/>
            </w:tcBorders>
            <w:shd w:val="clear" w:color="auto" w:fill="FFFFFF"/>
            <w:tcMar>
              <w:top w:w="0" w:type="dxa"/>
              <w:left w:w="0" w:type="dxa"/>
              <w:bottom w:w="0" w:type="dxa"/>
              <w:right w:w="53" w:type="dxa"/>
            </w:tcMar>
          </w:tcPr>
          <w:p w14:paraId="1C3F4648" w14:textId="77777777" w:rsidR="006E1283" w:rsidRDefault="00BC0927">
            <w:pPr>
              <w:keepNext/>
              <w:spacing w:before="33" w:after="30" w:line="240" w:lineRule="auto"/>
              <w:ind w:right="55"/>
              <w:jc w:val="right"/>
            </w:pPr>
            <w:r>
              <w:rPr>
                <w:rFonts w:ascii="Source Sans Pro" w:eastAsia="Source Sans Pro" w:hAnsi="Source Sans Pro" w:cs="Source Sans Pro"/>
              </w:rPr>
              <w:t>13,932</w:t>
            </w:r>
          </w:p>
        </w:tc>
      </w:tr>
      <w:tr w:rsidR="006E1283" w14:paraId="7B880D4D" w14:textId="77777777">
        <w:trPr>
          <w:cantSplit/>
          <w:trHeight w:hRule="exact" w:val="315"/>
        </w:trPr>
        <w:tc>
          <w:tcPr>
            <w:tcW w:w="6090" w:type="dxa"/>
            <w:tcBorders>
              <w:top w:val="nil"/>
              <w:left w:val="nil"/>
              <w:bottom w:val="nil"/>
              <w:right w:val="nil"/>
            </w:tcBorders>
            <w:shd w:val="clear" w:color="auto" w:fill="FFFFFF"/>
            <w:tcMar>
              <w:top w:w="0" w:type="dxa"/>
              <w:left w:w="53" w:type="dxa"/>
              <w:bottom w:w="0" w:type="dxa"/>
              <w:right w:w="53" w:type="dxa"/>
            </w:tcMar>
          </w:tcPr>
          <w:p w14:paraId="0F46A421" w14:textId="77777777" w:rsidR="006E1283" w:rsidRDefault="006E1283">
            <w:pPr>
              <w:keepNext/>
              <w:spacing w:before="53" w:after="30" w:line="240" w:lineRule="auto"/>
              <w:ind w:left="55"/>
            </w:pPr>
          </w:p>
        </w:tc>
        <w:tc>
          <w:tcPr>
            <w:tcW w:w="1995" w:type="dxa"/>
            <w:tcBorders>
              <w:top w:val="nil"/>
              <w:left w:val="nil"/>
              <w:bottom w:val="nil"/>
              <w:right w:val="nil"/>
            </w:tcBorders>
            <w:shd w:val="clear" w:color="auto" w:fill="FFFFFF"/>
            <w:tcMar>
              <w:top w:w="0" w:type="dxa"/>
              <w:left w:w="53" w:type="dxa"/>
              <w:bottom w:w="0" w:type="dxa"/>
              <w:right w:w="53" w:type="dxa"/>
            </w:tcMar>
          </w:tcPr>
          <w:p w14:paraId="241334AC" w14:textId="77777777" w:rsidR="006E1283" w:rsidRDefault="006E1283">
            <w:pPr>
              <w:keepNext/>
              <w:spacing w:before="53" w:after="30" w:line="240" w:lineRule="auto"/>
            </w:pPr>
          </w:p>
        </w:tc>
        <w:tc>
          <w:tcPr>
            <w:tcW w:w="1995" w:type="dxa"/>
            <w:tcBorders>
              <w:top w:val="nil"/>
              <w:left w:val="nil"/>
              <w:bottom w:val="nil"/>
              <w:right w:val="nil"/>
            </w:tcBorders>
            <w:shd w:val="clear" w:color="auto" w:fill="FFFFFF"/>
            <w:tcMar>
              <w:top w:w="0" w:type="dxa"/>
              <w:left w:w="53" w:type="dxa"/>
              <w:bottom w:w="0" w:type="dxa"/>
              <w:right w:w="53" w:type="dxa"/>
            </w:tcMar>
          </w:tcPr>
          <w:p w14:paraId="0FD8642F" w14:textId="77777777" w:rsidR="006E1283" w:rsidRDefault="006E1283">
            <w:pPr>
              <w:keepNext/>
              <w:spacing w:before="53" w:after="30" w:line="240" w:lineRule="auto"/>
            </w:pPr>
          </w:p>
        </w:tc>
      </w:tr>
      <w:tr w:rsidR="006E1283" w14:paraId="3A074AFB" w14:textId="77777777">
        <w:trPr>
          <w:cantSplit/>
          <w:trHeight w:hRule="exact" w:val="315"/>
        </w:trPr>
        <w:tc>
          <w:tcPr>
            <w:tcW w:w="6090" w:type="dxa"/>
            <w:tcBorders>
              <w:top w:val="nil"/>
              <w:left w:val="nil"/>
              <w:bottom w:val="nil"/>
              <w:right w:val="nil"/>
            </w:tcBorders>
            <w:shd w:val="clear" w:color="auto" w:fill="FFFFFF"/>
            <w:tcMar>
              <w:top w:w="0" w:type="dxa"/>
              <w:left w:w="53" w:type="dxa"/>
              <w:bottom w:w="0" w:type="dxa"/>
              <w:right w:w="53" w:type="dxa"/>
            </w:tcMar>
          </w:tcPr>
          <w:p w14:paraId="2D7345F3" w14:textId="77777777" w:rsidR="006E1283" w:rsidRDefault="00BC0927">
            <w:pPr>
              <w:keepNext/>
              <w:spacing w:before="53" w:after="30" w:line="240" w:lineRule="auto"/>
              <w:ind w:left="55"/>
            </w:pPr>
            <w:r>
              <w:rPr>
                <w:rFonts w:ascii="Source Sans Pro" w:eastAsia="Source Sans Pro" w:hAnsi="Source Sans Pro" w:cs="Source Sans Pro"/>
              </w:rPr>
              <w:t>Liabilities</w:t>
            </w:r>
          </w:p>
        </w:tc>
        <w:tc>
          <w:tcPr>
            <w:tcW w:w="1995" w:type="dxa"/>
            <w:vMerge w:val="restart"/>
            <w:tcBorders>
              <w:top w:val="nil"/>
              <w:left w:val="nil"/>
              <w:bottom w:val="nil"/>
              <w:right w:val="nil"/>
            </w:tcBorders>
            <w:shd w:val="clear" w:color="auto" w:fill="FFFFFF"/>
            <w:tcMar>
              <w:top w:w="0" w:type="dxa"/>
              <w:left w:w="0" w:type="dxa"/>
              <w:bottom w:w="0" w:type="dxa"/>
              <w:right w:w="53" w:type="dxa"/>
            </w:tcMar>
          </w:tcPr>
          <w:p w14:paraId="3A4F423C" w14:textId="77777777" w:rsidR="006E1283" w:rsidRDefault="00BC0927">
            <w:pPr>
              <w:keepNext/>
              <w:spacing w:before="53" w:after="30" w:line="240" w:lineRule="auto"/>
              <w:ind w:right="55"/>
              <w:jc w:val="right"/>
            </w:pPr>
            <w:r>
              <w:rPr>
                <w:rFonts w:ascii="Source Sans Pro" w:eastAsia="Source Sans Pro" w:hAnsi="Source Sans Pro" w:cs="Source Sans Pro"/>
                <w:b/>
              </w:rPr>
              <w:t>-</w:t>
            </w:r>
          </w:p>
        </w:tc>
        <w:tc>
          <w:tcPr>
            <w:tcW w:w="1995" w:type="dxa"/>
            <w:vMerge w:val="restart"/>
            <w:tcBorders>
              <w:top w:val="nil"/>
              <w:left w:val="nil"/>
              <w:bottom w:val="nil"/>
              <w:right w:val="nil"/>
            </w:tcBorders>
            <w:shd w:val="clear" w:color="auto" w:fill="FFFFFF"/>
            <w:tcMar>
              <w:top w:w="0" w:type="dxa"/>
              <w:left w:w="0" w:type="dxa"/>
              <w:bottom w:w="0" w:type="dxa"/>
              <w:right w:w="53" w:type="dxa"/>
            </w:tcMar>
          </w:tcPr>
          <w:p w14:paraId="0DACD22A" w14:textId="77777777" w:rsidR="006E1283" w:rsidRDefault="00BC0927">
            <w:pPr>
              <w:keepNext/>
              <w:spacing w:before="53" w:after="30" w:line="240" w:lineRule="auto"/>
              <w:ind w:right="55"/>
              <w:jc w:val="right"/>
            </w:pPr>
            <w:r>
              <w:rPr>
                <w:rFonts w:ascii="Source Sans Pro" w:eastAsia="Source Sans Pro" w:hAnsi="Source Sans Pro" w:cs="Source Sans Pro"/>
              </w:rPr>
              <w:t>-</w:t>
            </w:r>
          </w:p>
        </w:tc>
      </w:tr>
      <w:tr w:rsidR="006E1283" w14:paraId="4AE39140" w14:textId="77777777">
        <w:trPr>
          <w:cantSplit/>
          <w:trHeight w:hRule="exact" w:val="315"/>
        </w:trPr>
        <w:tc>
          <w:tcPr>
            <w:tcW w:w="6090" w:type="dxa"/>
            <w:tcBorders>
              <w:top w:val="nil"/>
              <w:left w:val="nil"/>
              <w:bottom w:val="single" w:sz="8" w:space="0" w:color="000000"/>
              <w:right w:val="nil"/>
            </w:tcBorders>
            <w:shd w:val="clear" w:color="auto" w:fill="FFFFFF"/>
            <w:tcMar>
              <w:top w:w="0" w:type="dxa"/>
              <w:left w:w="53" w:type="dxa"/>
              <w:bottom w:w="0" w:type="dxa"/>
              <w:right w:w="53" w:type="dxa"/>
            </w:tcMar>
          </w:tcPr>
          <w:p w14:paraId="44D46217" w14:textId="77777777" w:rsidR="006E1283" w:rsidRDefault="006E1283">
            <w:pPr>
              <w:keepNext/>
              <w:spacing w:before="33" w:after="30" w:line="240" w:lineRule="auto"/>
              <w:ind w:left="55"/>
            </w:pPr>
          </w:p>
        </w:tc>
        <w:tc>
          <w:tcPr>
            <w:tcW w:w="1995" w:type="dxa"/>
            <w:vMerge/>
            <w:tcBorders>
              <w:top w:val="nil"/>
              <w:left w:val="nil"/>
              <w:bottom w:val="single" w:sz="8" w:space="0" w:color="000000"/>
              <w:right w:val="nil"/>
            </w:tcBorders>
          </w:tcPr>
          <w:p w14:paraId="22C3DD35" w14:textId="77777777" w:rsidR="006E1283" w:rsidRDefault="006E1283">
            <w:pPr>
              <w:keepNext/>
            </w:pPr>
          </w:p>
        </w:tc>
        <w:tc>
          <w:tcPr>
            <w:tcW w:w="1995" w:type="dxa"/>
            <w:vMerge/>
            <w:tcBorders>
              <w:top w:val="nil"/>
              <w:left w:val="nil"/>
              <w:bottom w:val="single" w:sz="8" w:space="0" w:color="000000"/>
              <w:right w:val="nil"/>
            </w:tcBorders>
          </w:tcPr>
          <w:p w14:paraId="4F09ED5B" w14:textId="77777777" w:rsidR="006E1283" w:rsidRDefault="006E1283">
            <w:pPr>
              <w:keepNext/>
            </w:pPr>
          </w:p>
        </w:tc>
      </w:tr>
      <w:tr w:rsidR="006E1283" w14:paraId="7A3D1097" w14:textId="77777777">
        <w:trPr>
          <w:cantSplit/>
          <w:trHeight w:hRule="exact" w:val="315"/>
        </w:trPr>
        <w:tc>
          <w:tcPr>
            <w:tcW w:w="609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1748323F" w14:textId="77777777" w:rsidR="006E1283" w:rsidRDefault="00BC0927">
            <w:pPr>
              <w:spacing w:before="33" w:after="30" w:line="240" w:lineRule="auto"/>
              <w:ind w:left="55"/>
            </w:pPr>
            <w:r>
              <w:rPr>
                <w:rFonts w:ascii="Source Sans Pro" w:eastAsia="Source Sans Pro" w:hAnsi="Source Sans Pro" w:cs="Source Sans Pro"/>
                <w:b/>
              </w:rPr>
              <w:t>Total equity and liabilities</w:t>
            </w:r>
          </w:p>
        </w:tc>
        <w:tc>
          <w:tcPr>
            <w:tcW w:w="19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tcPr>
          <w:p w14:paraId="47BC673D" w14:textId="77777777" w:rsidR="006E1283" w:rsidRDefault="00BC0927">
            <w:pPr>
              <w:spacing w:before="33" w:after="30" w:line="240" w:lineRule="auto"/>
              <w:ind w:right="55"/>
              <w:jc w:val="right"/>
            </w:pPr>
            <w:r>
              <w:rPr>
                <w:rFonts w:ascii="Source Sans Pro" w:eastAsia="Source Sans Pro" w:hAnsi="Source Sans Pro" w:cs="Source Sans Pro"/>
                <w:b/>
              </w:rPr>
              <w:t>14,144</w:t>
            </w:r>
          </w:p>
        </w:tc>
        <w:tc>
          <w:tcPr>
            <w:tcW w:w="19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tcPr>
          <w:p w14:paraId="21D16C86" w14:textId="77777777" w:rsidR="006E1283" w:rsidRDefault="00BC0927">
            <w:pPr>
              <w:spacing w:before="33" w:after="30" w:line="240" w:lineRule="auto"/>
              <w:ind w:right="55"/>
              <w:jc w:val="right"/>
            </w:pPr>
            <w:r>
              <w:rPr>
                <w:rFonts w:ascii="Source Sans Pro" w:eastAsia="Source Sans Pro" w:hAnsi="Source Sans Pro" w:cs="Source Sans Pro"/>
              </w:rPr>
              <w:t>13,932</w:t>
            </w:r>
          </w:p>
        </w:tc>
      </w:tr>
    </w:tbl>
    <w:p w14:paraId="13B26EBD" w14:textId="77777777" w:rsidR="006E1283" w:rsidRDefault="006E1283">
      <w:pPr>
        <w:spacing w:line="240" w:lineRule="auto"/>
      </w:pPr>
    </w:p>
    <w:p w14:paraId="3F4F0221" w14:textId="77777777" w:rsidR="006E1283" w:rsidRDefault="006E1283">
      <w:pPr>
        <w:spacing w:line="240" w:lineRule="auto"/>
      </w:pPr>
    </w:p>
    <w:tbl>
      <w:tblPr>
        <w:tblW w:w="99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0"/>
        <w:gridCol w:w="1815"/>
        <w:gridCol w:w="1815"/>
      </w:tblGrid>
      <w:tr w:rsidR="006E1283" w14:paraId="076589CC" w14:textId="77777777" w:rsidTr="00BC0927">
        <w:trPr>
          <w:cantSplit/>
          <w:trHeight w:hRule="exact" w:val="329"/>
        </w:trPr>
        <w:tc>
          <w:tcPr>
            <w:tcW w:w="6360" w:type="dxa"/>
            <w:vMerge w:val="restart"/>
            <w:tcBorders>
              <w:top w:val="nil"/>
              <w:left w:val="nil"/>
              <w:bottom w:val="nil"/>
              <w:right w:val="nil"/>
            </w:tcBorders>
            <w:shd w:val="clear" w:color="auto" w:fill="FFFFFF"/>
            <w:tcMar>
              <w:top w:w="0" w:type="dxa"/>
              <w:left w:w="53" w:type="dxa"/>
              <w:bottom w:w="0" w:type="dxa"/>
              <w:right w:w="53" w:type="dxa"/>
            </w:tcMar>
          </w:tcPr>
          <w:p w14:paraId="5511920A" w14:textId="77777777" w:rsidR="006E1283" w:rsidRDefault="00BC0927">
            <w:pPr>
              <w:keepNext/>
              <w:spacing w:before="53" w:after="30" w:line="240" w:lineRule="auto"/>
              <w:ind w:left="55"/>
            </w:pPr>
            <w:r>
              <w:rPr>
                <w:rFonts w:ascii="Source Sans Pro" w:eastAsia="Source Sans Pro" w:hAnsi="Source Sans Pro" w:cs="Source Sans Pro"/>
                <w:b/>
              </w:rPr>
              <w:lastRenderedPageBreak/>
              <w:t>Condensed statement of changes in equity</w:t>
            </w:r>
          </w:p>
        </w:tc>
        <w:tc>
          <w:tcPr>
            <w:tcW w:w="1815" w:type="dxa"/>
            <w:tcBorders>
              <w:top w:val="nil"/>
              <w:left w:val="nil"/>
              <w:bottom w:val="nil"/>
              <w:right w:val="nil"/>
            </w:tcBorders>
            <w:shd w:val="clear" w:color="auto" w:fill="FFFFFF"/>
            <w:tcMar>
              <w:top w:w="0" w:type="dxa"/>
              <w:left w:w="0" w:type="dxa"/>
              <w:bottom w:w="0" w:type="dxa"/>
              <w:right w:w="53" w:type="dxa"/>
            </w:tcMar>
          </w:tcPr>
          <w:p w14:paraId="1E1C729C"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Pr>
                <w:rFonts w:ascii="Source Sans Pro" w:eastAsia="Source Sans Pro" w:hAnsi="Source Sans Pro" w:cs="Source Sans Pro"/>
                <w:b/>
              </w:rPr>
              <w:t>Unaudited</w:t>
            </w:r>
          </w:p>
        </w:tc>
        <w:tc>
          <w:tcPr>
            <w:tcW w:w="1815" w:type="dxa"/>
            <w:tcBorders>
              <w:top w:val="nil"/>
              <w:left w:val="nil"/>
              <w:bottom w:val="nil"/>
              <w:right w:val="nil"/>
            </w:tcBorders>
            <w:shd w:val="clear" w:color="auto" w:fill="FFFFFF"/>
            <w:tcMar>
              <w:top w:w="0" w:type="dxa"/>
              <w:left w:w="0" w:type="dxa"/>
              <w:bottom w:w="0" w:type="dxa"/>
              <w:right w:w="53" w:type="dxa"/>
            </w:tcMar>
          </w:tcPr>
          <w:p w14:paraId="44659081"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sidRPr="00BC0927">
              <w:rPr>
                <w:rFonts w:ascii="Source Sans Pro" w:eastAsia="Source Sans Pro" w:hAnsi="Source Sans Pro" w:cs="Source Sans Pro"/>
                <w:b/>
              </w:rPr>
              <w:t>Unaudited</w:t>
            </w:r>
          </w:p>
        </w:tc>
      </w:tr>
      <w:tr w:rsidR="006E1283" w14:paraId="65A7AE43" w14:textId="77777777" w:rsidTr="00BC0927">
        <w:trPr>
          <w:cantSplit/>
          <w:trHeight w:hRule="exact" w:val="329"/>
        </w:trPr>
        <w:tc>
          <w:tcPr>
            <w:tcW w:w="6360" w:type="dxa"/>
            <w:vMerge/>
            <w:tcBorders>
              <w:top w:val="nil"/>
              <w:left w:val="nil"/>
              <w:bottom w:val="nil"/>
              <w:right w:val="nil"/>
            </w:tcBorders>
          </w:tcPr>
          <w:p w14:paraId="5D63FDEC"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60112405"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Pr>
                <w:rFonts w:ascii="Source Sans Pro" w:eastAsia="Source Sans Pro" w:hAnsi="Source Sans Pro" w:cs="Source Sans Pro"/>
                <w:b/>
              </w:rPr>
              <w:t>results</w:t>
            </w:r>
          </w:p>
        </w:tc>
        <w:tc>
          <w:tcPr>
            <w:tcW w:w="1815" w:type="dxa"/>
            <w:tcBorders>
              <w:top w:val="nil"/>
              <w:left w:val="nil"/>
              <w:bottom w:val="nil"/>
              <w:right w:val="nil"/>
            </w:tcBorders>
            <w:shd w:val="clear" w:color="auto" w:fill="FFFFFF"/>
            <w:tcMar>
              <w:top w:w="0" w:type="dxa"/>
              <w:left w:w="0" w:type="dxa"/>
              <w:bottom w:w="0" w:type="dxa"/>
              <w:right w:w="53" w:type="dxa"/>
            </w:tcMar>
          </w:tcPr>
          <w:p w14:paraId="0C9FB321"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sidRPr="00BC0927">
              <w:rPr>
                <w:rFonts w:ascii="Source Sans Pro" w:eastAsia="Source Sans Pro" w:hAnsi="Source Sans Pro" w:cs="Source Sans Pro"/>
                <w:b/>
              </w:rPr>
              <w:t>results</w:t>
            </w:r>
          </w:p>
        </w:tc>
      </w:tr>
      <w:tr w:rsidR="006E1283" w14:paraId="26130D94" w14:textId="77777777" w:rsidTr="00BC0927">
        <w:trPr>
          <w:cantSplit/>
          <w:trHeight w:hRule="exact" w:val="329"/>
        </w:trPr>
        <w:tc>
          <w:tcPr>
            <w:tcW w:w="6360" w:type="dxa"/>
            <w:vMerge/>
            <w:tcBorders>
              <w:top w:val="nil"/>
              <w:left w:val="nil"/>
              <w:bottom w:val="nil"/>
              <w:right w:val="nil"/>
            </w:tcBorders>
          </w:tcPr>
          <w:p w14:paraId="6CD51FCC"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4731BEAF"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Pr>
                <w:rFonts w:ascii="Source Sans Pro" w:eastAsia="Source Sans Pro" w:hAnsi="Source Sans Pro" w:cs="Source Sans Pro"/>
                <w:b/>
              </w:rPr>
              <w:t>6 months to</w:t>
            </w:r>
          </w:p>
        </w:tc>
        <w:tc>
          <w:tcPr>
            <w:tcW w:w="1815" w:type="dxa"/>
            <w:tcBorders>
              <w:top w:val="nil"/>
              <w:left w:val="nil"/>
              <w:bottom w:val="nil"/>
              <w:right w:val="nil"/>
            </w:tcBorders>
            <w:shd w:val="clear" w:color="auto" w:fill="FFFFFF"/>
            <w:tcMar>
              <w:top w:w="0" w:type="dxa"/>
              <w:left w:w="0" w:type="dxa"/>
              <w:bottom w:w="0" w:type="dxa"/>
              <w:right w:w="53" w:type="dxa"/>
            </w:tcMar>
          </w:tcPr>
          <w:p w14:paraId="5A6D16DD"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sidRPr="00BC0927">
              <w:rPr>
                <w:rFonts w:ascii="Source Sans Pro" w:eastAsia="Source Sans Pro" w:hAnsi="Source Sans Pro" w:cs="Source Sans Pro"/>
                <w:b/>
              </w:rPr>
              <w:t>6 months to</w:t>
            </w:r>
          </w:p>
        </w:tc>
      </w:tr>
      <w:tr w:rsidR="006E1283" w14:paraId="457D7152" w14:textId="77777777" w:rsidTr="00BC0927">
        <w:trPr>
          <w:cantSplit/>
          <w:trHeight w:hRule="exact" w:val="329"/>
        </w:trPr>
        <w:tc>
          <w:tcPr>
            <w:tcW w:w="6360" w:type="dxa"/>
            <w:vMerge/>
            <w:tcBorders>
              <w:top w:val="nil"/>
              <w:left w:val="nil"/>
              <w:bottom w:val="nil"/>
              <w:right w:val="nil"/>
            </w:tcBorders>
          </w:tcPr>
          <w:p w14:paraId="43FCB2D1"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5064E3C7"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Pr>
                <w:rFonts w:ascii="Source Sans Pro" w:eastAsia="Source Sans Pro" w:hAnsi="Source Sans Pro" w:cs="Source Sans Pro"/>
                <w:b/>
              </w:rPr>
              <w:t>30 June</w:t>
            </w:r>
          </w:p>
        </w:tc>
        <w:tc>
          <w:tcPr>
            <w:tcW w:w="1815" w:type="dxa"/>
            <w:tcBorders>
              <w:top w:val="nil"/>
              <w:left w:val="nil"/>
              <w:bottom w:val="nil"/>
              <w:right w:val="nil"/>
            </w:tcBorders>
            <w:shd w:val="clear" w:color="auto" w:fill="FFFFFF"/>
            <w:tcMar>
              <w:top w:w="0" w:type="dxa"/>
              <w:left w:w="0" w:type="dxa"/>
              <w:bottom w:w="0" w:type="dxa"/>
              <w:right w:w="53" w:type="dxa"/>
            </w:tcMar>
          </w:tcPr>
          <w:p w14:paraId="498319B1"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sidRPr="00BC0927">
              <w:rPr>
                <w:rFonts w:ascii="Source Sans Pro" w:eastAsia="Source Sans Pro" w:hAnsi="Source Sans Pro" w:cs="Source Sans Pro"/>
                <w:b/>
              </w:rPr>
              <w:t>30 June</w:t>
            </w:r>
          </w:p>
        </w:tc>
      </w:tr>
      <w:tr w:rsidR="006E1283" w14:paraId="1A5D4503" w14:textId="77777777" w:rsidTr="00BC0927">
        <w:trPr>
          <w:cantSplit/>
          <w:trHeight w:hRule="exact" w:val="329"/>
        </w:trPr>
        <w:tc>
          <w:tcPr>
            <w:tcW w:w="6360" w:type="dxa"/>
            <w:vMerge/>
            <w:tcBorders>
              <w:top w:val="nil"/>
              <w:left w:val="nil"/>
              <w:bottom w:val="nil"/>
              <w:right w:val="nil"/>
            </w:tcBorders>
          </w:tcPr>
          <w:p w14:paraId="78711E58"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26A601B8"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Pr>
                <w:rFonts w:ascii="Source Sans Pro" w:eastAsia="Source Sans Pro" w:hAnsi="Source Sans Pro" w:cs="Source Sans Pro"/>
                <w:b/>
              </w:rPr>
              <w:t>2023</w:t>
            </w:r>
          </w:p>
        </w:tc>
        <w:tc>
          <w:tcPr>
            <w:tcW w:w="1815" w:type="dxa"/>
            <w:tcBorders>
              <w:top w:val="nil"/>
              <w:left w:val="nil"/>
              <w:bottom w:val="nil"/>
              <w:right w:val="nil"/>
            </w:tcBorders>
            <w:shd w:val="clear" w:color="auto" w:fill="FFFFFF"/>
            <w:tcMar>
              <w:top w:w="0" w:type="dxa"/>
              <w:left w:w="0" w:type="dxa"/>
              <w:bottom w:w="0" w:type="dxa"/>
              <w:right w:w="53" w:type="dxa"/>
            </w:tcMar>
          </w:tcPr>
          <w:p w14:paraId="499CAB1D"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sidRPr="00BC0927">
              <w:rPr>
                <w:rFonts w:ascii="Source Sans Pro" w:eastAsia="Source Sans Pro" w:hAnsi="Source Sans Pro" w:cs="Source Sans Pro"/>
                <w:b/>
              </w:rPr>
              <w:t>2022</w:t>
            </w:r>
          </w:p>
        </w:tc>
      </w:tr>
      <w:tr w:rsidR="006E1283" w14:paraId="48968E43" w14:textId="77777777" w:rsidTr="00BC0927">
        <w:trPr>
          <w:cantSplit/>
          <w:trHeight w:hRule="exact" w:val="329"/>
        </w:trPr>
        <w:tc>
          <w:tcPr>
            <w:tcW w:w="6360" w:type="dxa"/>
            <w:vMerge/>
            <w:tcBorders>
              <w:top w:val="nil"/>
              <w:left w:val="nil"/>
              <w:bottom w:val="nil"/>
              <w:right w:val="nil"/>
            </w:tcBorders>
          </w:tcPr>
          <w:p w14:paraId="072D56E4"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716B1149"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Pr>
                <w:rFonts w:ascii="Source Sans Pro" w:eastAsia="Source Sans Pro" w:hAnsi="Source Sans Pro" w:cs="Source Sans Pro"/>
                <w:b/>
              </w:rPr>
              <w:t>£m</w:t>
            </w:r>
          </w:p>
        </w:tc>
        <w:tc>
          <w:tcPr>
            <w:tcW w:w="1815" w:type="dxa"/>
            <w:tcBorders>
              <w:top w:val="nil"/>
              <w:left w:val="nil"/>
              <w:bottom w:val="nil"/>
              <w:right w:val="nil"/>
            </w:tcBorders>
            <w:shd w:val="clear" w:color="auto" w:fill="FFFFFF"/>
            <w:tcMar>
              <w:top w:w="0" w:type="dxa"/>
              <w:left w:w="0" w:type="dxa"/>
              <w:bottom w:w="0" w:type="dxa"/>
              <w:right w:w="53" w:type="dxa"/>
            </w:tcMar>
          </w:tcPr>
          <w:p w14:paraId="33832105" w14:textId="77777777" w:rsidR="006E1283" w:rsidRPr="00BC0927" w:rsidRDefault="00BC0927">
            <w:pPr>
              <w:keepNext/>
              <w:spacing w:before="53" w:after="30" w:line="240" w:lineRule="auto"/>
              <w:ind w:right="55"/>
              <w:jc w:val="right"/>
              <w:rPr>
                <w:rFonts w:ascii="Source Sans Pro" w:eastAsia="Source Sans Pro" w:hAnsi="Source Sans Pro" w:cs="Source Sans Pro"/>
                <w:b/>
              </w:rPr>
            </w:pPr>
            <w:r w:rsidRPr="00BC0927">
              <w:rPr>
                <w:rFonts w:ascii="Source Sans Pro" w:eastAsia="Source Sans Pro" w:hAnsi="Source Sans Pro" w:cs="Source Sans Pro"/>
                <w:b/>
              </w:rPr>
              <w:t>£m</w:t>
            </w:r>
          </w:p>
        </w:tc>
      </w:tr>
      <w:tr w:rsidR="006E1283" w14:paraId="7C84AC86" w14:textId="77777777">
        <w:trPr>
          <w:cantSplit/>
          <w:trHeight w:hRule="exact" w:val="285"/>
        </w:trPr>
        <w:tc>
          <w:tcPr>
            <w:tcW w:w="6360" w:type="dxa"/>
            <w:tcBorders>
              <w:top w:val="nil"/>
              <w:left w:val="nil"/>
              <w:bottom w:val="nil"/>
              <w:right w:val="nil"/>
            </w:tcBorders>
            <w:shd w:val="clear" w:color="auto" w:fill="FFFFFF"/>
            <w:tcMar>
              <w:top w:w="0" w:type="dxa"/>
              <w:left w:w="53" w:type="dxa"/>
              <w:bottom w:w="0" w:type="dxa"/>
              <w:right w:w="53" w:type="dxa"/>
            </w:tcMar>
          </w:tcPr>
          <w:p w14:paraId="52DC8B30" w14:textId="77777777" w:rsidR="006E1283" w:rsidRDefault="00BC0927">
            <w:pPr>
              <w:keepNext/>
              <w:spacing w:before="53" w:after="30" w:line="240" w:lineRule="auto"/>
              <w:ind w:left="55"/>
            </w:pPr>
            <w:r>
              <w:rPr>
                <w:rFonts w:ascii="Source Sans Pro" w:eastAsia="Source Sans Pro" w:hAnsi="Source Sans Pro" w:cs="Source Sans Pro"/>
              </w:rPr>
              <w:t> </w:t>
            </w:r>
          </w:p>
        </w:tc>
        <w:tc>
          <w:tcPr>
            <w:tcW w:w="1815" w:type="dxa"/>
            <w:tcBorders>
              <w:top w:val="nil"/>
              <w:left w:val="nil"/>
              <w:bottom w:val="nil"/>
              <w:right w:val="nil"/>
            </w:tcBorders>
            <w:shd w:val="clear" w:color="auto" w:fill="FFFFFF"/>
            <w:tcMar>
              <w:top w:w="0" w:type="dxa"/>
              <w:left w:w="0" w:type="dxa"/>
              <w:bottom w:w="0" w:type="dxa"/>
              <w:right w:w="0" w:type="dxa"/>
            </w:tcMar>
            <w:vAlign w:val="bottom"/>
          </w:tcPr>
          <w:p w14:paraId="71D48B06" w14:textId="77777777" w:rsidR="006E1283" w:rsidRDefault="006E1283">
            <w:pPr>
              <w:keepNext/>
            </w:pPr>
          </w:p>
        </w:tc>
        <w:tc>
          <w:tcPr>
            <w:tcW w:w="1815" w:type="dxa"/>
            <w:tcBorders>
              <w:top w:val="nil"/>
              <w:left w:val="nil"/>
              <w:bottom w:val="nil"/>
              <w:right w:val="nil"/>
            </w:tcBorders>
            <w:tcMar>
              <w:top w:w="0" w:type="dxa"/>
              <w:left w:w="0" w:type="dxa"/>
              <w:bottom w:w="0" w:type="dxa"/>
              <w:right w:w="0" w:type="dxa"/>
            </w:tcMar>
            <w:vAlign w:val="bottom"/>
          </w:tcPr>
          <w:p w14:paraId="01E6562D" w14:textId="77777777" w:rsidR="006E1283" w:rsidRDefault="006E1283">
            <w:pPr>
              <w:keepNext/>
            </w:pPr>
          </w:p>
        </w:tc>
      </w:tr>
      <w:tr w:rsidR="006E1283" w14:paraId="6058210C" w14:textId="77777777">
        <w:trPr>
          <w:cantSplit/>
          <w:trHeight w:hRule="exact" w:val="315"/>
        </w:trPr>
        <w:tc>
          <w:tcPr>
            <w:tcW w:w="6360" w:type="dxa"/>
            <w:tcBorders>
              <w:top w:val="nil"/>
              <w:left w:val="nil"/>
              <w:bottom w:val="nil"/>
              <w:right w:val="nil"/>
            </w:tcBorders>
            <w:shd w:val="clear" w:color="auto" w:fill="FFFFFF"/>
            <w:tcMar>
              <w:top w:w="0" w:type="dxa"/>
              <w:left w:w="53" w:type="dxa"/>
              <w:bottom w:w="0" w:type="dxa"/>
              <w:right w:w="53" w:type="dxa"/>
            </w:tcMar>
          </w:tcPr>
          <w:p w14:paraId="08DB8905" w14:textId="77777777" w:rsidR="006E1283" w:rsidRDefault="00BC0927">
            <w:pPr>
              <w:keepNext/>
              <w:spacing w:before="53" w:after="30" w:line="240" w:lineRule="auto"/>
              <w:ind w:left="55"/>
            </w:pPr>
            <w:r>
              <w:rPr>
                <w:rFonts w:ascii="Source Sans Pro" w:eastAsia="Source Sans Pro" w:hAnsi="Source Sans Pro" w:cs="Source Sans Pro"/>
                <w:b/>
              </w:rPr>
              <w:t>Total equity at 1 January</w:t>
            </w:r>
          </w:p>
        </w:tc>
        <w:tc>
          <w:tcPr>
            <w:tcW w:w="1815" w:type="dxa"/>
            <w:tcBorders>
              <w:top w:val="nil"/>
              <w:left w:val="nil"/>
              <w:bottom w:val="nil"/>
              <w:right w:val="nil"/>
            </w:tcBorders>
            <w:shd w:val="clear" w:color="auto" w:fill="FFFFFF"/>
            <w:tcMar>
              <w:top w:w="0" w:type="dxa"/>
              <w:left w:w="0" w:type="dxa"/>
              <w:bottom w:w="0" w:type="dxa"/>
              <w:right w:w="53" w:type="dxa"/>
            </w:tcMar>
          </w:tcPr>
          <w:p w14:paraId="6924446E" w14:textId="77777777" w:rsidR="006E1283" w:rsidRDefault="00BC0927">
            <w:pPr>
              <w:keepNext/>
              <w:spacing w:before="53" w:after="30" w:line="240" w:lineRule="auto"/>
              <w:ind w:right="55"/>
              <w:jc w:val="right"/>
            </w:pPr>
            <w:r>
              <w:rPr>
                <w:rFonts w:ascii="Source Sans Pro" w:eastAsia="Source Sans Pro" w:hAnsi="Source Sans Pro" w:cs="Source Sans Pro"/>
                <w:b/>
              </w:rPr>
              <w:t>13,932</w:t>
            </w:r>
          </w:p>
        </w:tc>
        <w:tc>
          <w:tcPr>
            <w:tcW w:w="1815" w:type="dxa"/>
            <w:tcBorders>
              <w:top w:val="nil"/>
              <w:left w:val="nil"/>
              <w:bottom w:val="nil"/>
              <w:right w:val="nil"/>
            </w:tcBorders>
            <w:shd w:val="clear" w:color="auto" w:fill="FFFFFF"/>
            <w:tcMar>
              <w:top w:w="0" w:type="dxa"/>
              <w:left w:w="0" w:type="dxa"/>
              <w:bottom w:w="0" w:type="dxa"/>
              <w:right w:w="53" w:type="dxa"/>
            </w:tcMar>
          </w:tcPr>
          <w:p w14:paraId="2F6211F8" w14:textId="77777777" w:rsidR="006E1283" w:rsidRDefault="00BC0927">
            <w:pPr>
              <w:keepNext/>
              <w:spacing w:before="53" w:after="30" w:line="240" w:lineRule="auto"/>
              <w:ind w:right="55"/>
              <w:jc w:val="right"/>
            </w:pPr>
            <w:r>
              <w:rPr>
                <w:rFonts w:ascii="Source Sans Pro" w:eastAsia="Source Sans Pro" w:hAnsi="Source Sans Pro" w:cs="Source Sans Pro"/>
              </w:rPr>
              <w:t>13,932</w:t>
            </w:r>
          </w:p>
        </w:tc>
      </w:tr>
      <w:tr w:rsidR="006E1283" w14:paraId="44321098" w14:textId="77777777">
        <w:trPr>
          <w:cantSplit/>
          <w:trHeight w:hRule="exact" w:val="315"/>
        </w:trPr>
        <w:tc>
          <w:tcPr>
            <w:tcW w:w="6360" w:type="dxa"/>
            <w:tcBorders>
              <w:top w:val="nil"/>
              <w:left w:val="nil"/>
              <w:bottom w:val="single" w:sz="4" w:space="0" w:color="000000"/>
              <w:right w:val="nil"/>
            </w:tcBorders>
            <w:shd w:val="clear" w:color="auto" w:fill="FFFFFF"/>
            <w:tcMar>
              <w:top w:w="0" w:type="dxa"/>
              <w:left w:w="0" w:type="dxa"/>
              <w:bottom w:w="0" w:type="dxa"/>
              <w:right w:w="0" w:type="dxa"/>
            </w:tcMar>
            <w:vAlign w:val="bottom"/>
          </w:tcPr>
          <w:p w14:paraId="2FF8ADEA" w14:textId="77777777" w:rsidR="006E1283" w:rsidRDefault="006E1283">
            <w:pPr>
              <w:keepNext/>
            </w:pPr>
          </w:p>
        </w:tc>
        <w:tc>
          <w:tcPr>
            <w:tcW w:w="1815" w:type="dxa"/>
            <w:tcBorders>
              <w:top w:val="nil"/>
              <w:left w:val="nil"/>
              <w:bottom w:val="single" w:sz="4" w:space="0" w:color="000000"/>
              <w:right w:val="nil"/>
            </w:tcBorders>
            <w:shd w:val="clear" w:color="auto" w:fill="FFFFFF"/>
            <w:tcMar>
              <w:top w:w="0" w:type="dxa"/>
              <w:left w:w="0" w:type="dxa"/>
              <w:bottom w:w="0" w:type="dxa"/>
              <w:right w:w="0" w:type="dxa"/>
            </w:tcMar>
            <w:vAlign w:val="bottom"/>
          </w:tcPr>
          <w:p w14:paraId="7234BAB4" w14:textId="77777777" w:rsidR="006E1283" w:rsidRDefault="006E1283">
            <w:pPr>
              <w:keepNext/>
            </w:pPr>
          </w:p>
        </w:tc>
        <w:tc>
          <w:tcPr>
            <w:tcW w:w="1815" w:type="dxa"/>
            <w:tcBorders>
              <w:top w:val="nil"/>
              <w:left w:val="nil"/>
              <w:bottom w:val="single" w:sz="4" w:space="0" w:color="000000"/>
              <w:right w:val="nil"/>
            </w:tcBorders>
            <w:shd w:val="clear" w:color="auto" w:fill="FFFFFF"/>
            <w:tcMar>
              <w:top w:w="0" w:type="dxa"/>
              <w:left w:w="0" w:type="dxa"/>
              <w:bottom w:w="0" w:type="dxa"/>
              <w:right w:w="0" w:type="dxa"/>
            </w:tcMar>
            <w:vAlign w:val="bottom"/>
          </w:tcPr>
          <w:p w14:paraId="6BEB7D47" w14:textId="77777777" w:rsidR="006E1283" w:rsidRDefault="006E1283">
            <w:pPr>
              <w:keepNext/>
            </w:pPr>
          </w:p>
        </w:tc>
      </w:tr>
      <w:tr w:rsidR="006E1283" w14:paraId="394035CC" w14:textId="77777777">
        <w:trPr>
          <w:cantSplit/>
          <w:trHeight w:hRule="exact" w:val="330"/>
        </w:trPr>
        <w:tc>
          <w:tcPr>
            <w:tcW w:w="6360" w:type="dxa"/>
            <w:tcBorders>
              <w:top w:val="single" w:sz="4" w:space="0" w:color="000000"/>
              <w:left w:val="single" w:sz="4" w:space="0" w:color="000000"/>
              <w:bottom w:val="single" w:sz="4" w:space="0" w:color="000000"/>
              <w:right w:val="nil"/>
            </w:tcBorders>
            <w:shd w:val="clear" w:color="auto" w:fill="FFFFFF"/>
            <w:tcMar>
              <w:top w:w="0" w:type="dxa"/>
              <w:left w:w="53" w:type="dxa"/>
              <w:bottom w:w="0" w:type="dxa"/>
              <w:right w:w="53" w:type="dxa"/>
            </w:tcMar>
          </w:tcPr>
          <w:p w14:paraId="4FB35E2D" w14:textId="77777777" w:rsidR="006E1283" w:rsidRDefault="00BC0927">
            <w:pPr>
              <w:keepNext/>
              <w:spacing w:before="43" w:after="30" w:line="240" w:lineRule="auto"/>
              <w:ind w:left="55"/>
            </w:pPr>
            <w:r>
              <w:rPr>
                <w:rFonts w:ascii="Source Sans Pro" w:eastAsia="Source Sans Pro" w:hAnsi="Source Sans Pro" w:cs="Source Sans Pro"/>
              </w:rPr>
              <w:t>Profit for the period</w:t>
            </w:r>
          </w:p>
        </w:tc>
        <w:tc>
          <w:tcPr>
            <w:tcW w:w="1815" w:type="dxa"/>
            <w:tcBorders>
              <w:top w:val="single" w:sz="4" w:space="0" w:color="000000"/>
              <w:left w:val="nil"/>
              <w:bottom w:val="single" w:sz="4" w:space="0" w:color="000000"/>
              <w:right w:val="nil"/>
            </w:tcBorders>
            <w:shd w:val="clear" w:color="auto" w:fill="FFFFFF"/>
            <w:tcMar>
              <w:top w:w="0" w:type="dxa"/>
              <w:left w:w="0" w:type="dxa"/>
              <w:bottom w:w="0" w:type="dxa"/>
              <w:right w:w="53" w:type="dxa"/>
            </w:tcMar>
          </w:tcPr>
          <w:p w14:paraId="2F30BEB6" w14:textId="77777777" w:rsidR="006E1283" w:rsidRDefault="00BC0927">
            <w:pPr>
              <w:keepNext/>
              <w:spacing w:before="43" w:after="30" w:line="240" w:lineRule="auto"/>
              <w:ind w:right="55"/>
              <w:jc w:val="right"/>
            </w:pPr>
            <w:r>
              <w:rPr>
                <w:rFonts w:ascii="Source Sans Pro" w:eastAsia="Source Sans Pro" w:hAnsi="Source Sans Pro" w:cs="Source Sans Pro"/>
                <w:b/>
              </w:rPr>
              <w:t>223</w:t>
            </w:r>
          </w:p>
        </w:tc>
        <w:tc>
          <w:tcPr>
            <w:tcW w:w="1815"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53" w:type="dxa"/>
            </w:tcMar>
          </w:tcPr>
          <w:p w14:paraId="7C112833" w14:textId="77777777" w:rsidR="006E1283" w:rsidRDefault="00BC0927">
            <w:pPr>
              <w:keepNext/>
              <w:spacing w:before="43" w:after="30" w:line="240" w:lineRule="auto"/>
              <w:ind w:right="55"/>
              <w:jc w:val="right"/>
            </w:pPr>
            <w:r>
              <w:rPr>
                <w:rFonts w:ascii="Source Sans Pro" w:eastAsia="Source Sans Pro" w:hAnsi="Source Sans Pro" w:cs="Source Sans Pro"/>
              </w:rPr>
              <w:t>33</w:t>
            </w:r>
          </w:p>
        </w:tc>
      </w:tr>
      <w:tr w:rsidR="006E1283" w14:paraId="322BF82E" w14:textId="77777777">
        <w:trPr>
          <w:cantSplit/>
          <w:trHeight w:hRule="exact" w:val="570"/>
        </w:trPr>
        <w:tc>
          <w:tcPr>
            <w:tcW w:w="6360" w:type="dxa"/>
            <w:tcBorders>
              <w:top w:val="single" w:sz="4" w:space="0" w:color="000000"/>
              <w:left w:val="nil"/>
              <w:bottom w:val="nil"/>
              <w:right w:val="nil"/>
            </w:tcBorders>
            <w:shd w:val="clear" w:color="auto" w:fill="FFFFFF"/>
            <w:tcMar>
              <w:top w:w="0" w:type="dxa"/>
              <w:left w:w="53" w:type="dxa"/>
              <w:bottom w:w="0" w:type="dxa"/>
              <w:right w:w="53" w:type="dxa"/>
            </w:tcMar>
            <w:vAlign w:val="bottom"/>
          </w:tcPr>
          <w:p w14:paraId="6F5CA3F4" w14:textId="77777777" w:rsidR="006E1283" w:rsidRDefault="006E1283">
            <w:pPr>
              <w:keepNext/>
              <w:spacing w:before="43" w:line="240" w:lineRule="auto"/>
              <w:ind w:left="55" w:right="55"/>
            </w:pPr>
          </w:p>
          <w:p w14:paraId="500AC778" w14:textId="77777777" w:rsidR="006E1283" w:rsidRDefault="00BC0927">
            <w:pPr>
              <w:spacing w:after="30" w:line="240" w:lineRule="auto"/>
              <w:ind w:left="55" w:right="55"/>
            </w:pPr>
            <w:r>
              <w:rPr>
                <w:rFonts w:ascii="Source Sans Pro" w:eastAsia="Source Sans Pro" w:hAnsi="Source Sans Pro" w:cs="Source Sans Pro"/>
                <w:b/>
              </w:rPr>
              <w:t>Total comprehensive income for the period</w:t>
            </w:r>
          </w:p>
        </w:tc>
        <w:tc>
          <w:tcPr>
            <w:tcW w:w="1815" w:type="dxa"/>
            <w:tcBorders>
              <w:top w:val="single" w:sz="4" w:space="0" w:color="000000"/>
              <w:left w:val="nil"/>
              <w:bottom w:val="nil"/>
              <w:right w:val="nil"/>
            </w:tcBorders>
            <w:shd w:val="clear" w:color="auto" w:fill="FFFFFF"/>
            <w:tcMar>
              <w:top w:w="0" w:type="dxa"/>
              <w:left w:w="53" w:type="dxa"/>
              <w:bottom w:w="0" w:type="dxa"/>
              <w:right w:w="53" w:type="dxa"/>
            </w:tcMar>
            <w:vAlign w:val="bottom"/>
          </w:tcPr>
          <w:p w14:paraId="48931BF0" w14:textId="77777777" w:rsidR="006E1283" w:rsidRDefault="006E1283">
            <w:pPr>
              <w:keepNext/>
              <w:spacing w:before="43" w:line="240" w:lineRule="auto"/>
              <w:ind w:left="55" w:right="55"/>
              <w:jc w:val="right"/>
            </w:pPr>
          </w:p>
          <w:p w14:paraId="4EA39BC1" w14:textId="77777777" w:rsidR="006E1283" w:rsidRDefault="00BC0927">
            <w:pPr>
              <w:spacing w:after="30" w:line="240" w:lineRule="auto"/>
              <w:ind w:left="55" w:right="55"/>
              <w:jc w:val="right"/>
            </w:pPr>
            <w:r>
              <w:rPr>
                <w:rFonts w:ascii="Source Sans Pro" w:eastAsia="Source Sans Pro" w:hAnsi="Source Sans Pro" w:cs="Source Sans Pro"/>
                <w:b/>
              </w:rPr>
              <w:t>223</w:t>
            </w:r>
          </w:p>
        </w:tc>
        <w:tc>
          <w:tcPr>
            <w:tcW w:w="1815" w:type="dxa"/>
            <w:tcBorders>
              <w:top w:val="single" w:sz="4" w:space="0" w:color="000000"/>
              <w:left w:val="nil"/>
              <w:bottom w:val="nil"/>
              <w:right w:val="nil"/>
            </w:tcBorders>
            <w:shd w:val="clear" w:color="auto" w:fill="FFFFFF"/>
            <w:tcMar>
              <w:top w:w="0" w:type="dxa"/>
              <w:left w:w="53" w:type="dxa"/>
              <w:bottom w:w="0" w:type="dxa"/>
              <w:right w:w="53" w:type="dxa"/>
            </w:tcMar>
            <w:vAlign w:val="bottom"/>
          </w:tcPr>
          <w:p w14:paraId="759B2595" w14:textId="77777777" w:rsidR="006E1283" w:rsidRDefault="006E1283">
            <w:pPr>
              <w:keepNext/>
              <w:spacing w:before="43" w:line="240" w:lineRule="auto"/>
              <w:ind w:left="55" w:right="55"/>
              <w:jc w:val="right"/>
            </w:pPr>
          </w:p>
          <w:p w14:paraId="5BFDC99A" w14:textId="77777777" w:rsidR="006E1283" w:rsidRDefault="00BC0927">
            <w:pPr>
              <w:spacing w:after="30" w:line="240" w:lineRule="auto"/>
              <w:ind w:left="55" w:right="55"/>
              <w:jc w:val="right"/>
            </w:pPr>
            <w:r>
              <w:rPr>
                <w:rFonts w:ascii="Source Sans Pro" w:eastAsia="Source Sans Pro" w:hAnsi="Source Sans Pro" w:cs="Source Sans Pro"/>
              </w:rPr>
              <w:t>33</w:t>
            </w:r>
          </w:p>
        </w:tc>
      </w:tr>
      <w:tr w:rsidR="006E1283" w14:paraId="37C0F65D" w14:textId="77777777">
        <w:trPr>
          <w:cantSplit/>
          <w:trHeight w:hRule="exact" w:val="330"/>
        </w:trPr>
        <w:tc>
          <w:tcPr>
            <w:tcW w:w="6360" w:type="dxa"/>
            <w:tcBorders>
              <w:top w:val="nil"/>
              <w:left w:val="nil"/>
              <w:bottom w:val="nil"/>
              <w:right w:val="nil"/>
            </w:tcBorders>
            <w:shd w:val="clear" w:color="auto" w:fill="FFFFFF"/>
            <w:tcMar>
              <w:top w:w="0" w:type="dxa"/>
              <w:left w:w="0" w:type="dxa"/>
              <w:bottom w:w="0" w:type="dxa"/>
              <w:right w:w="0" w:type="dxa"/>
            </w:tcMar>
            <w:vAlign w:val="bottom"/>
          </w:tcPr>
          <w:p w14:paraId="5BDCD161"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0" w:type="dxa"/>
            </w:tcMar>
            <w:vAlign w:val="bottom"/>
          </w:tcPr>
          <w:p w14:paraId="415959D1"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0" w:type="dxa"/>
            </w:tcMar>
            <w:vAlign w:val="bottom"/>
          </w:tcPr>
          <w:p w14:paraId="1BD79021" w14:textId="77777777" w:rsidR="006E1283" w:rsidRDefault="006E1283">
            <w:pPr>
              <w:keepNext/>
            </w:pPr>
          </w:p>
        </w:tc>
      </w:tr>
      <w:tr w:rsidR="006E1283" w14:paraId="2989B9C8" w14:textId="77777777">
        <w:trPr>
          <w:cantSplit/>
          <w:trHeight w:hRule="exact" w:val="330"/>
        </w:trPr>
        <w:tc>
          <w:tcPr>
            <w:tcW w:w="6360" w:type="dxa"/>
            <w:tcBorders>
              <w:top w:val="nil"/>
              <w:left w:val="nil"/>
              <w:bottom w:val="nil"/>
              <w:right w:val="nil"/>
            </w:tcBorders>
            <w:shd w:val="clear" w:color="auto" w:fill="FFFFFF"/>
            <w:tcMar>
              <w:top w:w="0" w:type="dxa"/>
              <w:left w:w="53" w:type="dxa"/>
              <w:bottom w:w="0" w:type="dxa"/>
              <w:right w:w="53" w:type="dxa"/>
            </w:tcMar>
          </w:tcPr>
          <w:p w14:paraId="00B8265B" w14:textId="77777777" w:rsidR="006E1283" w:rsidRDefault="00BC0927">
            <w:pPr>
              <w:keepNext/>
              <w:spacing w:before="53" w:after="30" w:line="240" w:lineRule="auto"/>
              <w:ind w:left="55"/>
            </w:pPr>
            <w:r>
              <w:rPr>
                <w:rFonts w:ascii="Source Sans Pro" w:eastAsia="Source Sans Pro" w:hAnsi="Source Sans Pro" w:cs="Source Sans Pro"/>
              </w:rPr>
              <w:t>Dividends</w:t>
            </w:r>
          </w:p>
        </w:tc>
        <w:tc>
          <w:tcPr>
            <w:tcW w:w="1815" w:type="dxa"/>
            <w:tcBorders>
              <w:top w:val="nil"/>
              <w:left w:val="nil"/>
              <w:bottom w:val="nil"/>
              <w:right w:val="nil"/>
            </w:tcBorders>
            <w:shd w:val="clear" w:color="auto" w:fill="FFFFFF"/>
            <w:tcMar>
              <w:top w:w="0" w:type="dxa"/>
              <w:left w:w="0" w:type="dxa"/>
              <w:bottom w:w="0" w:type="dxa"/>
              <w:right w:w="53" w:type="dxa"/>
            </w:tcMar>
          </w:tcPr>
          <w:p w14:paraId="33A418FF" w14:textId="77777777" w:rsidR="006E1283" w:rsidRDefault="00BC0927">
            <w:pPr>
              <w:keepNext/>
              <w:spacing w:before="53" w:after="30" w:line="240" w:lineRule="auto"/>
              <w:ind w:right="55"/>
              <w:jc w:val="right"/>
            </w:pPr>
            <w:r>
              <w:rPr>
                <w:rFonts w:ascii="Source Sans Pro" w:eastAsia="Source Sans Pro" w:hAnsi="Source Sans Pro" w:cs="Source Sans Pro"/>
                <w:b/>
              </w:rPr>
              <w:t>(11)</w:t>
            </w:r>
          </w:p>
        </w:tc>
        <w:tc>
          <w:tcPr>
            <w:tcW w:w="1815" w:type="dxa"/>
            <w:tcBorders>
              <w:top w:val="nil"/>
              <w:left w:val="nil"/>
              <w:bottom w:val="nil"/>
              <w:right w:val="nil"/>
            </w:tcBorders>
            <w:shd w:val="clear" w:color="auto" w:fill="FFFFFF"/>
            <w:tcMar>
              <w:top w:w="0" w:type="dxa"/>
              <w:left w:w="0" w:type="dxa"/>
              <w:bottom w:w="0" w:type="dxa"/>
              <w:right w:w="53" w:type="dxa"/>
            </w:tcMar>
            <w:vAlign w:val="center"/>
          </w:tcPr>
          <w:p w14:paraId="395FC15C" w14:textId="77777777" w:rsidR="006E1283" w:rsidRDefault="00BC0927">
            <w:pPr>
              <w:keepNext/>
              <w:spacing w:line="240" w:lineRule="auto"/>
              <w:ind w:right="55"/>
              <w:jc w:val="right"/>
            </w:pPr>
            <w:r>
              <w:rPr>
                <w:rFonts w:ascii="Source Sans Pro" w:eastAsia="Source Sans Pro" w:hAnsi="Source Sans Pro" w:cs="Source Sans Pro"/>
              </w:rPr>
              <w:t>(11)</w:t>
            </w:r>
          </w:p>
        </w:tc>
      </w:tr>
      <w:tr w:rsidR="006E1283" w14:paraId="6C529D14" w14:textId="77777777">
        <w:trPr>
          <w:cantSplit/>
          <w:trHeight w:hRule="exact" w:val="360"/>
        </w:trPr>
        <w:tc>
          <w:tcPr>
            <w:tcW w:w="6360" w:type="dxa"/>
            <w:tcBorders>
              <w:top w:val="nil"/>
              <w:left w:val="nil"/>
              <w:bottom w:val="single" w:sz="12" w:space="0" w:color="000000"/>
              <w:right w:val="nil"/>
            </w:tcBorders>
            <w:shd w:val="clear" w:color="auto" w:fill="FFFFFF"/>
            <w:tcMar>
              <w:top w:w="0" w:type="dxa"/>
              <w:left w:w="0" w:type="dxa"/>
              <w:bottom w:w="0" w:type="dxa"/>
              <w:right w:w="0" w:type="dxa"/>
            </w:tcMar>
            <w:vAlign w:val="bottom"/>
          </w:tcPr>
          <w:p w14:paraId="23A8F73D" w14:textId="77777777" w:rsidR="006E1283" w:rsidRDefault="006E1283">
            <w:pPr>
              <w:keepNext/>
            </w:pPr>
          </w:p>
        </w:tc>
        <w:tc>
          <w:tcPr>
            <w:tcW w:w="1815" w:type="dxa"/>
            <w:tcBorders>
              <w:top w:val="nil"/>
              <w:left w:val="nil"/>
              <w:bottom w:val="single" w:sz="12" w:space="0" w:color="000000"/>
              <w:right w:val="nil"/>
            </w:tcBorders>
            <w:shd w:val="clear" w:color="auto" w:fill="FFFFFF"/>
            <w:tcMar>
              <w:top w:w="0" w:type="dxa"/>
              <w:left w:w="0" w:type="dxa"/>
              <w:bottom w:w="0" w:type="dxa"/>
              <w:right w:w="0" w:type="dxa"/>
            </w:tcMar>
            <w:vAlign w:val="bottom"/>
          </w:tcPr>
          <w:p w14:paraId="2421A0E0" w14:textId="77777777" w:rsidR="006E1283" w:rsidRDefault="006E1283">
            <w:pPr>
              <w:keepNext/>
            </w:pPr>
          </w:p>
        </w:tc>
        <w:tc>
          <w:tcPr>
            <w:tcW w:w="1815" w:type="dxa"/>
            <w:tcBorders>
              <w:top w:val="nil"/>
              <w:left w:val="nil"/>
              <w:bottom w:val="single" w:sz="12" w:space="0" w:color="000000"/>
              <w:right w:val="nil"/>
            </w:tcBorders>
            <w:shd w:val="clear" w:color="auto" w:fill="FFFFFF"/>
            <w:tcMar>
              <w:top w:w="0" w:type="dxa"/>
              <w:left w:w="0" w:type="dxa"/>
              <w:bottom w:w="0" w:type="dxa"/>
              <w:right w:w="0" w:type="dxa"/>
            </w:tcMar>
            <w:vAlign w:val="bottom"/>
          </w:tcPr>
          <w:p w14:paraId="39257051" w14:textId="77777777" w:rsidR="006E1283" w:rsidRDefault="006E1283">
            <w:pPr>
              <w:keepNext/>
            </w:pPr>
          </w:p>
        </w:tc>
      </w:tr>
      <w:tr w:rsidR="006E1283" w14:paraId="42E13B71" w14:textId="77777777">
        <w:trPr>
          <w:cantSplit/>
          <w:trHeight w:hRule="exact" w:val="390"/>
        </w:trPr>
        <w:tc>
          <w:tcPr>
            <w:tcW w:w="6360" w:type="dxa"/>
            <w:tcBorders>
              <w:top w:val="single" w:sz="12" w:space="0" w:color="000000"/>
              <w:left w:val="nil"/>
              <w:bottom w:val="single" w:sz="12" w:space="0" w:color="000000"/>
              <w:right w:val="nil"/>
            </w:tcBorders>
            <w:shd w:val="clear" w:color="auto" w:fill="FFFFFF"/>
            <w:tcMar>
              <w:top w:w="0" w:type="dxa"/>
              <w:left w:w="53" w:type="dxa"/>
              <w:bottom w:w="0" w:type="dxa"/>
              <w:right w:w="53" w:type="dxa"/>
            </w:tcMar>
          </w:tcPr>
          <w:p w14:paraId="3860F74F" w14:textId="77777777" w:rsidR="006E1283" w:rsidRDefault="00BC0927">
            <w:pPr>
              <w:keepNext/>
              <w:spacing w:before="23" w:after="30" w:line="240" w:lineRule="auto"/>
              <w:ind w:left="55"/>
            </w:pPr>
            <w:r>
              <w:rPr>
                <w:rFonts w:ascii="Source Sans Pro" w:eastAsia="Source Sans Pro" w:hAnsi="Source Sans Pro" w:cs="Source Sans Pro"/>
                <w:b/>
              </w:rPr>
              <w:t>Total equity at 30 June</w:t>
            </w:r>
          </w:p>
        </w:tc>
        <w:tc>
          <w:tcPr>
            <w:tcW w:w="1815" w:type="dxa"/>
            <w:tcBorders>
              <w:top w:val="single" w:sz="12" w:space="0" w:color="000000"/>
              <w:left w:val="nil"/>
              <w:bottom w:val="single" w:sz="12" w:space="0" w:color="000000"/>
              <w:right w:val="nil"/>
            </w:tcBorders>
            <w:shd w:val="clear" w:color="auto" w:fill="FFFFFF"/>
            <w:tcMar>
              <w:top w:w="0" w:type="dxa"/>
              <w:left w:w="0" w:type="dxa"/>
              <w:bottom w:w="0" w:type="dxa"/>
              <w:right w:w="53" w:type="dxa"/>
            </w:tcMar>
          </w:tcPr>
          <w:p w14:paraId="7AFC7307" w14:textId="77777777" w:rsidR="006E1283" w:rsidRDefault="00BC0927">
            <w:pPr>
              <w:keepNext/>
              <w:spacing w:before="23" w:after="30" w:line="240" w:lineRule="auto"/>
              <w:ind w:right="55"/>
              <w:jc w:val="right"/>
            </w:pPr>
            <w:r>
              <w:rPr>
                <w:rFonts w:ascii="Source Sans Pro" w:eastAsia="Source Sans Pro" w:hAnsi="Source Sans Pro" w:cs="Source Sans Pro"/>
                <w:b/>
              </w:rPr>
              <w:t>14,144</w:t>
            </w:r>
          </w:p>
        </w:tc>
        <w:tc>
          <w:tcPr>
            <w:tcW w:w="1815" w:type="dxa"/>
            <w:tcBorders>
              <w:top w:val="single" w:sz="12" w:space="0" w:color="000000"/>
              <w:left w:val="nil"/>
              <w:bottom w:val="single" w:sz="12" w:space="0" w:color="000000"/>
              <w:right w:val="nil"/>
            </w:tcBorders>
            <w:shd w:val="clear" w:color="auto" w:fill="FFFFFF"/>
            <w:tcMar>
              <w:top w:w="0" w:type="dxa"/>
              <w:left w:w="0" w:type="dxa"/>
              <w:bottom w:w="0" w:type="dxa"/>
              <w:right w:w="53" w:type="dxa"/>
            </w:tcMar>
          </w:tcPr>
          <w:p w14:paraId="41D5D1DF" w14:textId="77777777" w:rsidR="006E1283" w:rsidRDefault="00BC0927">
            <w:pPr>
              <w:keepNext/>
              <w:spacing w:before="23" w:after="30" w:line="240" w:lineRule="auto"/>
              <w:ind w:right="55"/>
              <w:jc w:val="right"/>
            </w:pPr>
            <w:r>
              <w:rPr>
                <w:rFonts w:ascii="Source Sans Pro" w:eastAsia="Source Sans Pro" w:hAnsi="Source Sans Pro" w:cs="Source Sans Pro"/>
              </w:rPr>
              <w:t>13,954</w:t>
            </w:r>
          </w:p>
        </w:tc>
      </w:tr>
      <w:tr w:rsidR="006E1283" w14:paraId="3DE866E8" w14:textId="77777777">
        <w:trPr>
          <w:cantSplit/>
          <w:trHeight w:hRule="exact" w:val="315"/>
        </w:trPr>
        <w:tc>
          <w:tcPr>
            <w:tcW w:w="6360" w:type="dxa"/>
            <w:tcBorders>
              <w:top w:val="single" w:sz="12" w:space="0" w:color="000000"/>
              <w:left w:val="nil"/>
              <w:bottom w:val="nil"/>
              <w:right w:val="nil"/>
            </w:tcBorders>
            <w:shd w:val="clear" w:color="auto" w:fill="FFFFFF"/>
            <w:tcMar>
              <w:top w:w="0" w:type="dxa"/>
              <w:left w:w="53" w:type="dxa"/>
              <w:bottom w:w="0" w:type="dxa"/>
              <w:right w:w="53" w:type="dxa"/>
            </w:tcMar>
            <w:vAlign w:val="bottom"/>
          </w:tcPr>
          <w:p w14:paraId="55B23950" w14:textId="77777777" w:rsidR="006E1283" w:rsidRDefault="00BC0927">
            <w:pPr>
              <w:spacing w:before="23" w:after="30" w:line="240" w:lineRule="auto"/>
              <w:jc w:val="both"/>
            </w:pPr>
            <w:r>
              <w:rPr>
                <w:rFonts w:ascii="Source Sans Pro" w:eastAsia="Source Sans Pro" w:hAnsi="Source Sans Pro" w:cs="Source Sans Pro"/>
              </w:rPr>
              <w:t> </w:t>
            </w:r>
          </w:p>
        </w:tc>
        <w:tc>
          <w:tcPr>
            <w:tcW w:w="1815" w:type="dxa"/>
            <w:tcBorders>
              <w:top w:val="single" w:sz="12" w:space="0" w:color="000000"/>
              <w:left w:val="nil"/>
              <w:bottom w:val="nil"/>
              <w:right w:val="nil"/>
            </w:tcBorders>
            <w:shd w:val="clear" w:color="auto" w:fill="FFFFFF"/>
            <w:tcMar>
              <w:top w:w="0" w:type="dxa"/>
              <w:left w:w="53" w:type="dxa"/>
              <w:bottom w:w="0" w:type="dxa"/>
              <w:right w:w="53" w:type="dxa"/>
            </w:tcMar>
            <w:vAlign w:val="bottom"/>
          </w:tcPr>
          <w:p w14:paraId="314D950B" w14:textId="77777777" w:rsidR="006E1283" w:rsidRDefault="00BC0927">
            <w:pPr>
              <w:spacing w:before="23" w:after="30" w:line="240" w:lineRule="auto"/>
              <w:ind w:left="55"/>
            </w:pPr>
            <w:r>
              <w:rPr>
                <w:rFonts w:ascii="Source Sans Pro" w:eastAsia="Source Sans Pro" w:hAnsi="Source Sans Pro" w:cs="Source Sans Pro"/>
                <w:sz w:val="20"/>
              </w:rPr>
              <w:t> </w:t>
            </w:r>
          </w:p>
        </w:tc>
        <w:tc>
          <w:tcPr>
            <w:tcW w:w="1815" w:type="dxa"/>
            <w:tcBorders>
              <w:top w:val="single" w:sz="12" w:space="0" w:color="000000"/>
              <w:left w:val="nil"/>
              <w:bottom w:val="nil"/>
              <w:right w:val="nil"/>
            </w:tcBorders>
            <w:shd w:val="clear" w:color="auto" w:fill="FFFFFF"/>
            <w:tcMar>
              <w:top w:w="0" w:type="dxa"/>
              <w:left w:w="53" w:type="dxa"/>
              <w:bottom w:w="0" w:type="dxa"/>
              <w:right w:w="53" w:type="dxa"/>
            </w:tcMar>
            <w:vAlign w:val="bottom"/>
          </w:tcPr>
          <w:p w14:paraId="085B9ED1" w14:textId="77777777" w:rsidR="006E1283" w:rsidRDefault="00BC0927">
            <w:pPr>
              <w:spacing w:before="23" w:after="30" w:line="240" w:lineRule="auto"/>
              <w:ind w:left="55"/>
            </w:pPr>
            <w:r>
              <w:rPr>
                <w:rFonts w:ascii="Source Sans Pro" w:eastAsia="Source Sans Pro" w:hAnsi="Source Sans Pro" w:cs="Source Sans Pro"/>
                <w:sz w:val="20"/>
              </w:rPr>
              <w:t> </w:t>
            </w:r>
          </w:p>
        </w:tc>
      </w:tr>
    </w:tbl>
    <w:p w14:paraId="17C0A7DA" w14:textId="77777777" w:rsidR="006E1283" w:rsidRDefault="006E1283">
      <w:pPr>
        <w:spacing w:line="240" w:lineRule="auto"/>
      </w:pPr>
    </w:p>
    <w:p w14:paraId="54F41A4E" w14:textId="77777777" w:rsidR="006E1283" w:rsidRDefault="006E1283">
      <w:pPr>
        <w:spacing w:line="240" w:lineRule="auto"/>
      </w:pPr>
    </w:p>
    <w:tbl>
      <w:tblPr>
        <w:tblW w:w="99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815"/>
        <w:gridCol w:w="1815"/>
      </w:tblGrid>
      <w:tr w:rsidR="006E1283" w14:paraId="166F2C0A" w14:textId="77777777" w:rsidTr="00BC0927">
        <w:trPr>
          <w:cantSplit/>
          <w:trHeight w:hRule="exact" w:val="329"/>
        </w:trPr>
        <w:tc>
          <w:tcPr>
            <w:tcW w:w="6345" w:type="dxa"/>
            <w:vMerge w:val="restart"/>
            <w:tcBorders>
              <w:top w:val="nil"/>
              <w:left w:val="nil"/>
              <w:bottom w:val="nil"/>
              <w:right w:val="nil"/>
            </w:tcBorders>
            <w:shd w:val="clear" w:color="auto" w:fill="FFFFFF"/>
            <w:tcMar>
              <w:top w:w="0" w:type="dxa"/>
              <w:left w:w="53" w:type="dxa"/>
              <w:bottom w:w="0" w:type="dxa"/>
              <w:right w:w="53" w:type="dxa"/>
            </w:tcMar>
          </w:tcPr>
          <w:p w14:paraId="33A20072" w14:textId="77777777" w:rsidR="006E1283" w:rsidRDefault="00BC0927">
            <w:pPr>
              <w:keepNext/>
              <w:spacing w:before="53" w:after="30" w:line="240" w:lineRule="auto"/>
              <w:ind w:left="55"/>
            </w:pPr>
            <w:r>
              <w:rPr>
                <w:rFonts w:ascii="Source Sans Pro" w:eastAsia="Source Sans Pro" w:hAnsi="Source Sans Pro" w:cs="Source Sans Pro"/>
                <w:b/>
              </w:rPr>
              <w:t>Condensed statement of cash flows</w:t>
            </w:r>
          </w:p>
        </w:tc>
        <w:tc>
          <w:tcPr>
            <w:tcW w:w="1815" w:type="dxa"/>
            <w:tcBorders>
              <w:top w:val="nil"/>
              <w:left w:val="nil"/>
              <w:bottom w:val="nil"/>
              <w:right w:val="nil"/>
            </w:tcBorders>
            <w:shd w:val="clear" w:color="auto" w:fill="FFFFFF"/>
            <w:tcMar>
              <w:top w:w="0" w:type="dxa"/>
              <w:left w:w="0" w:type="dxa"/>
              <w:bottom w:w="0" w:type="dxa"/>
              <w:right w:w="53" w:type="dxa"/>
            </w:tcMar>
          </w:tcPr>
          <w:p w14:paraId="68F7F4A5" w14:textId="77777777" w:rsidR="006E1283" w:rsidRDefault="00BC0927">
            <w:pPr>
              <w:keepNext/>
              <w:spacing w:before="53" w:after="30" w:line="240" w:lineRule="auto"/>
              <w:ind w:right="55"/>
              <w:jc w:val="right"/>
            </w:pPr>
            <w:r>
              <w:rPr>
                <w:rFonts w:ascii="Source Sans Pro" w:eastAsia="Source Sans Pro" w:hAnsi="Source Sans Pro" w:cs="Source Sans Pro"/>
                <w:b/>
              </w:rPr>
              <w:t>Unaudited</w:t>
            </w:r>
          </w:p>
        </w:tc>
        <w:tc>
          <w:tcPr>
            <w:tcW w:w="1815" w:type="dxa"/>
            <w:tcBorders>
              <w:top w:val="nil"/>
              <w:left w:val="nil"/>
              <w:bottom w:val="nil"/>
              <w:right w:val="nil"/>
            </w:tcBorders>
            <w:shd w:val="clear" w:color="auto" w:fill="FFFFFF"/>
            <w:tcMar>
              <w:top w:w="0" w:type="dxa"/>
              <w:left w:w="0" w:type="dxa"/>
              <w:bottom w:w="0" w:type="dxa"/>
              <w:right w:w="53" w:type="dxa"/>
            </w:tcMar>
          </w:tcPr>
          <w:p w14:paraId="0B7158FA" w14:textId="77777777" w:rsidR="006E1283" w:rsidRDefault="00BC0927">
            <w:pPr>
              <w:keepNext/>
              <w:spacing w:before="53" w:after="30" w:line="240" w:lineRule="auto"/>
              <w:ind w:right="55"/>
              <w:jc w:val="right"/>
            </w:pPr>
            <w:r>
              <w:rPr>
                <w:rFonts w:ascii="Source Sans Pro" w:eastAsia="Source Sans Pro" w:hAnsi="Source Sans Pro" w:cs="Source Sans Pro"/>
              </w:rPr>
              <w:t>Unaudited</w:t>
            </w:r>
          </w:p>
        </w:tc>
      </w:tr>
      <w:tr w:rsidR="006E1283" w14:paraId="150940B8" w14:textId="77777777" w:rsidTr="00BC0927">
        <w:trPr>
          <w:cantSplit/>
          <w:trHeight w:hRule="exact" w:val="329"/>
        </w:trPr>
        <w:tc>
          <w:tcPr>
            <w:tcW w:w="6345" w:type="dxa"/>
            <w:vMerge/>
            <w:tcBorders>
              <w:top w:val="nil"/>
              <w:left w:val="nil"/>
              <w:bottom w:val="nil"/>
              <w:right w:val="nil"/>
            </w:tcBorders>
          </w:tcPr>
          <w:p w14:paraId="41F93E78"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11DE5C56" w14:textId="77777777" w:rsidR="006E1283" w:rsidRDefault="00BC0927">
            <w:pPr>
              <w:keepNext/>
              <w:spacing w:before="53" w:after="30" w:line="240" w:lineRule="auto"/>
              <w:ind w:right="55"/>
              <w:jc w:val="right"/>
            </w:pPr>
            <w:r>
              <w:rPr>
                <w:rFonts w:ascii="Source Sans Pro" w:eastAsia="Source Sans Pro" w:hAnsi="Source Sans Pro" w:cs="Source Sans Pro"/>
                <w:b/>
              </w:rPr>
              <w:t>results</w:t>
            </w:r>
          </w:p>
        </w:tc>
        <w:tc>
          <w:tcPr>
            <w:tcW w:w="1815" w:type="dxa"/>
            <w:tcBorders>
              <w:top w:val="nil"/>
              <w:left w:val="nil"/>
              <w:bottom w:val="nil"/>
              <w:right w:val="nil"/>
            </w:tcBorders>
            <w:shd w:val="clear" w:color="auto" w:fill="FFFFFF"/>
            <w:tcMar>
              <w:top w:w="0" w:type="dxa"/>
              <w:left w:w="0" w:type="dxa"/>
              <w:bottom w:w="0" w:type="dxa"/>
              <w:right w:w="53" w:type="dxa"/>
            </w:tcMar>
          </w:tcPr>
          <w:p w14:paraId="1A890172" w14:textId="77777777" w:rsidR="006E1283" w:rsidRDefault="00BC0927">
            <w:pPr>
              <w:keepNext/>
              <w:spacing w:before="53" w:after="30" w:line="240" w:lineRule="auto"/>
              <w:ind w:right="55"/>
              <w:jc w:val="right"/>
            </w:pPr>
            <w:r>
              <w:rPr>
                <w:rFonts w:ascii="Source Sans Pro" w:eastAsia="Source Sans Pro" w:hAnsi="Source Sans Pro" w:cs="Source Sans Pro"/>
              </w:rPr>
              <w:t>results</w:t>
            </w:r>
          </w:p>
        </w:tc>
      </w:tr>
      <w:tr w:rsidR="006E1283" w14:paraId="4E7827F0" w14:textId="77777777" w:rsidTr="00BC0927">
        <w:trPr>
          <w:cantSplit/>
          <w:trHeight w:hRule="exact" w:val="329"/>
        </w:trPr>
        <w:tc>
          <w:tcPr>
            <w:tcW w:w="6345" w:type="dxa"/>
            <w:vMerge/>
            <w:tcBorders>
              <w:top w:val="nil"/>
              <w:left w:val="nil"/>
              <w:bottom w:val="nil"/>
              <w:right w:val="nil"/>
            </w:tcBorders>
          </w:tcPr>
          <w:p w14:paraId="1F047F34"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0A90B5C0" w14:textId="77777777" w:rsidR="006E1283" w:rsidRDefault="00BC0927">
            <w:pPr>
              <w:keepNext/>
              <w:spacing w:before="53" w:after="30" w:line="240" w:lineRule="auto"/>
              <w:ind w:right="55"/>
              <w:jc w:val="right"/>
            </w:pPr>
            <w:r>
              <w:rPr>
                <w:rFonts w:ascii="Source Sans Pro" w:eastAsia="Source Sans Pro" w:hAnsi="Source Sans Pro" w:cs="Source Sans Pro"/>
                <w:b/>
              </w:rPr>
              <w:t>6 months to</w:t>
            </w:r>
          </w:p>
        </w:tc>
        <w:tc>
          <w:tcPr>
            <w:tcW w:w="1815" w:type="dxa"/>
            <w:tcBorders>
              <w:top w:val="nil"/>
              <w:left w:val="nil"/>
              <w:bottom w:val="nil"/>
              <w:right w:val="nil"/>
            </w:tcBorders>
            <w:shd w:val="clear" w:color="auto" w:fill="FFFFFF"/>
            <w:tcMar>
              <w:top w:w="0" w:type="dxa"/>
              <w:left w:w="0" w:type="dxa"/>
              <w:bottom w:w="0" w:type="dxa"/>
              <w:right w:w="53" w:type="dxa"/>
            </w:tcMar>
          </w:tcPr>
          <w:p w14:paraId="6C9941A4" w14:textId="77777777" w:rsidR="006E1283" w:rsidRDefault="00BC0927">
            <w:pPr>
              <w:keepNext/>
              <w:spacing w:before="53" w:after="30" w:line="240" w:lineRule="auto"/>
              <w:ind w:right="55"/>
              <w:jc w:val="right"/>
            </w:pPr>
            <w:r>
              <w:rPr>
                <w:rFonts w:ascii="Source Sans Pro" w:eastAsia="Source Sans Pro" w:hAnsi="Source Sans Pro" w:cs="Source Sans Pro"/>
              </w:rPr>
              <w:t>6 months to</w:t>
            </w:r>
          </w:p>
        </w:tc>
      </w:tr>
      <w:tr w:rsidR="006E1283" w14:paraId="3E3DA4A4" w14:textId="77777777" w:rsidTr="00BC0927">
        <w:trPr>
          <w:cantSplit/>
          <w:trHeight w:hRule="exact" w:val="329"/>
        </w:trPr>
        <w:tc>
          <w:tcPr>
            <w:tcW w:w="6345" w:type="dxa"/>
            <w:vMerge/>
            <w:tcBorders>
              <w:top w:val="nil"/>
              <w:left w:val="nil"/>
              <w:bottom w:val="nil"/>
              <w:right w:val="nil"/>
            </w:tcBorders>
          </w:tcPr>
          <w:p w14:paraId="72A109A9"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26FC92AE" w14:textId="77777777" w:rsidR="006E1283" w:rsidRDefault="00BC0927">
            <w:pPr>
              <w:keepNext/>
              <w:spacing w:before="53" w:after="30" w:line="240" w:lineRule="auto"/>
              <w:ind w:right="55"/>
              <w:jc w:val="right"/>
            </w:pPr>
            <w:r>
              <w:rPr>
                <w:rFonts w:ascii="Source Sans Pro" w:eastAsia="Source Sans Pro" w:hAnsi="Source Sans Pro" w:cs="Source Sans Pro"/>
                <w:b/>
              </w:rPr>
              <w:t>30 June</w:t>
            </w:r>
          </w:p>
        </w:tc>
        <w:tc>
          <w:tcPr>
            <w:tcW w:w="1815" w:type="dxa"/>
            <w:tcBorders>
              <w:top w:val="nil"/>
              <w:left w:val="nil"/>
              <w:bottom w:val="nil"/>
              <w:right w:val="nil"/>
            </w:tcBorders>
            <w:shd w:val="clear" w:color="auto" w:fill="FFFFFF"/>
            <w:tcMar>
              <w:top w:w="0" w:type="dxa"/>
              <w:left w:w="0" w:type="dxa"/>
              <w:bottom w:w="0" w:type="dxa"/>
              <w:right w:w="53" w:type="dxa"/>
            </w:tcMar>
          </w:tcPr>
          <w:p w14:paraId="4293E179" w14:textId="77777777" w:rsidR="006E1283" w:rsidRDefault="00BC0927">
            <w:pPr>
              <w:keepNext/>
              <w:spacing w:before="53" w:after="30" w:line="240" w:lineRule="auto"/>
              <w:ind w:right="55"/>
              <w:jc w:val="right"/>
            </w:pPr>
            <w:r>
              <w:rPr>
                <w:rFonts w:ascii="Source Sans Pro" w:eastAsia="Source Sans Pro" w:hAnsi="Source Sans Pro" w:cs="Source Sans Pro"/>
              </w:rPr>
              <w:t>30 June</w:t>
            </w:r>
          </w:p>
        </w:tc>
      </w:tr>
      <w:tr w:rsidR="006E1283" w14:paraId="6E8FF2FB" w14:textId="77777777" w:rsidTr="00BC0927">
        <w:trPr>
          <w:cantSplit/>
          <w:trHeight w:hRule="exact" w:val="329"/>
        </w:trPr>
        <w:tc>
          <w:tcPr>
            <w:tcW w:w="6345" w:type="dxa"/>
            <w:vMerge/>
            <w:tcBorders>
              <w:top w:val="nil"/>
              <w:left w:val="nil"/>
              <w:bottom w:val="nil"/>
              <w:right w:val="nil"/>
            </w:tcBorders>
          </w:tcPr>
          <w:p w14:paraId="5DE1FE92"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41EFFC75" w14:textId="77777777" w:rsidR="006E1283" w:rsidRDefault="00BC0927">
            <w:pPr>
              <w:keepNext/>
              <w:spacing w:before="53" w:after="30" w:line="240" w:lineRule="auto"/>
              <w:ind w:right="55"/>
              <w:jc w:val="right"/>
            </w:pPr>
            <w:r>
              <w:rPr>
                <w:rFonts w:ascii="Source Sans Pro" w:eastAsia="Source Sans Pro" w:hAnsi="Source Sans Pro" w:cs="Source Sans Pro"/>
                <w:b/>
              </w:rPr>
              <w:t>2023</w:t>
            </w:r>
          </w:p>
        </w:tc>
        <w:tc>
          <w:tcPr>
            <w:tcW w:w="1815" w:type="dxa"/>
            <w:tcBorders>
              <w:top w:val="nil"/>
              <w:left w:val="nil"/>
              <w:bottom w:val="nil"/>
              <w:right w:val="nil"/>
            </w:tcBorders>
            <w:shd w:val="clear" w:color="auto" w:fill="FFFFFF"/>
            <w:tcMar>
              <w:top w:w="0" w:type="dxa"/>
              <w:left w:w="0" w:type="dxa"/>
              <w:bottom w:w="0" w:type="dxa"/>
              <w:right w:w="53" w:type="dxa"/>
            </w:tcMar>
          </w:tcPr>
          <w:p w14:paraId="2EB4F10B" w14:textId="77777777" w:rsidR="006E1283" w:rsidRDefault="00BC0927">
            <w:pPr>
              <w:keepNext/>
              <w:spacing w:before="53" w:after="30" w:line="240" w:lineRule="auto"/>
              <w:ind w:right="55"/>
              <w:jc w:val="right"/>
            </w:pPr>
            <w:r>
              <w:rPr>
                <w:rFonts w:ascii="Source Sans Pro" w:eastAsia="Source Sans Pro" w:hAnsi="Source Sans Pro" w:cs="Source Sans Pro"/>
              </w:rPr>
              <w:t>2022</w:t>
            </w:r>
          </w:p>
        </w:tc>
      </w:tr>
      <w:tr w:rsidR="006E1283" w14:paraId="6E5D0EFE" w14:textId="77777777" w:rsidTr="00BC0927">
        <w:trPr>
          <w:cantSplit/>
          <w:trHeight w:hRule="exact" w:val="329"/>
        </w:trPr>
        <w:tc>
          <w:tcPr>
            <w:tcW w:w="6345" w:type="dxa"/>
            <w:vMerge/>
            <w:tcBorders>
              <w:top w:val="nil"/>
              <w:left w:val="nil"/>
              <w:bottom w:val="nil"/>
              <w:right w:val="nil"/>
            </w:tcBorders>
          </w:tcPr>
          <w:p w14:paraId="23698C09" w14:textId="77777777" w:rsidR="006E1283" w:rsidRDefault="006E1283">
            <w:pPr>
              <w:keepNext/>
            </w:pPr>
          </w:p>
        </w:tc>
        <w:tc>
          <w:tcPr>
            <w:tcW w:w="1815" w:type="dxa"/>
            <w:tcBorders>
              <w:top w:val="nil"/>
              <w:left w:val="nil"/>
              <w:bottom w:val="nil"/>
              <w:right w:val="nil"/>
            </w:tcBorders>
            <w:shd w:val="clear" w:color="auto" w:fill="FFFFFF"/>
            <w:tcMar>
              <w:top w:w="0" w:type="dxa"/>
              <w:left w:w="0" w:type="dxa"/>
              <w:bottom w:w="0" w:type="dxa"/>
              <w:right w:w="53" w:type="dxa"/>
            </w:tcMar>
          </w:tcPr>
          <w:p w14:paraId="232DEAB2" w14:textId="77777777" w:rsidR="006E1283" w:rsidRDefault="00BC0927">
            <w:pPr>
              <w:keepNext/>
              <w:spacing w:before="53" w:after="30" w:line="240" w:lineRule="auto"/>
              <w:ind w:right="55"/>
              <w:jc w:val="right"/>
            </w:pPr>
            <w:r>
              <w:rPr>
                <w:rFonts w:ascii="Source Sans Pro" w:eastAsia="Source Sans Pro" w:hAnsi="Source Sans Pro" w:cs="Source Sans Pro"/>
                <w:b/>
              </w:rPr>
              <w:t>£m</w:t>
            </w:r>
          </w:p>
        </w:tc>
        <w:tc>
          <w:tcPr>
            <w:tcW w:w="1815" w:type="dxa"/>
            <w:tcBorders>
              <w:top w:val="nil"/>
              <w:left w:val="nil"/>
              <w:bottom w:val="nil"/>
              <w:right w:val="nil"/>
            </w:tcBorders>
            <w:shd w:val="clear" w:color="auto" w:fill="FFFFFF"/>
            <w:tcMar>
              <w:top w:w="0" w:type="dxa"/>
              <w:left w:w="0" w:type="dxa"/>
              <w:bottom w:w="0" w:type="dxa"/>
              <w:right w:w="53" w:type="dxa"/>
            </w:tcMar>
          </w:tcPr>
          <w:p w14:paraId="339175B2" w14:textId="77777777" w:rsidR="006E1283" w:rsidRDefault="00BC0927">
            <w:pPr>
              <w:keepNext/>
              <w:spacing w:before="53" w:after="30" w:line="240" w:lineRule="auto"/>
              <w:ind w:right="55"/>
              <w:jc w:val="right"/>
            </w:pPr>
            <w:r>
              <w:rPr>
                <w:rFonts w:ascii="Source Sans Pro" w:eastAsia="Source Sans Pro" w:hAnsi="Source Sans Pro" w:cs="Source Sans Pro"/>
              </w:rPr>
              <w:t>£m</w:t>
            </w:r>
          </w:p>
        </w:tc>
      </w:tr>
      <w:tr w:rsidR="006E1283" w14:paraId="644D61B2" w14:textId="77777777">
        <w:trPr>
          <w:cantSplit/>
          <w:trHeight w:hRule="exact" w:val="285"/>
        </w:trPr>
        <w:tc>
          <w:tcPr>
            <w:tcW w:w="6345" w:type="dxa"/>
            <w:tcBorders>
              <w:top w:val="nil"/>
              <w:left w:val="nil"/>
              <w:bottom w:val="nil"/>
              <w:right w:val="nil"/>
            </w:tcBorders>
            <w:shd w:val="clear" w:color="auto" w:fill="FFFFFF"/>
            <w:tcMar>
              <w:top w:w="0" w:type="dxa"/>
              <w:left w:w="53" w:type="dxa"/>
              <w:bottom w:w="0" w:type="dxa"/>
              <w:right w:w="53" w:type="dxa"/>
            </w:tcMar>
          </w:tcPr>
          <w:p w14:paraId="0315249B" w14:textId="77777777" w:rsidR="006E1283" w:rsidRDefault="00BC0927">
            <w:pPr>
              <w:keepNext/>
              <w:spacing w:before="53" w:after="30" w:line="240" w:lineRule="auto"/>
              <w:ind w:left="55"/>
            </w:pPr>
            <w:r>
              <w:rPr>
                <w:rFonts w:ascii="Source Sans Pro" w:eastAsia="Source Sans Pro" w:hAnsi="Source Sans Pro" w:cs="Source Sans Pro"/>
              </w:rPr>
              <w:t> </w:t>
            </w:r>
          </w:p>
        </w:tc>
        <w:tc>
          <w:tcPr>
            <w:tcW w:w="1815" w:type="dxa"/>
            <w:tcBorders>
              <w:top w:val="nil"/>
              <w:left w:val="nil"/>
              <w:bottom w:val="nil"/>
              <w:right w:val="nil"/>
            </w:tcBorders>
            <w:shd w:val="clear" w:color="auto" w:fill="FFFFFF"/>
            <w:tcMar>
              <w:top w:w="0" w:type="dxa"/>
              <w:left w:w="0" w:type="dxa"/>
              <w:bottom w:w="0" w:type="dxa"/>
              <w:right w:w="0" w:type="dxa"/>
            </w:tcMar>
            <w:vAlign w:val="bottom"/>
          </w:tcPr>
          <w:p w14:paraId="5D2A0B60" w14:textId="77777777" w:rsidR="006E1283" w:rsidRDefault="006E1283">
            <w:pPr>
              <w:keepNext/>
            </w:pPr>
          </w:p>
        </w:tc>
        <w:tc>
          <w:tcPr>
            <w:tcW w:w="1815" w:type="dxa"/>
            <w:tcBorders>
              <w:top w:val="nil"/>
              <w:left w:val="nil"/>
              <w:bottom w:val="nil"/>
              <w:right w:val="nil"/>
            </w:tcBorders>
            <w:tcMar>
              <w:top w:w="0" w:type="dxa"/>
              <w:left w:w="0" w:type="dxa"/>
              <w:bottom w:w="0" w:type="dxa"/>
              <w:right w:w="0" w:type="dxa"/>
            </w:tcMar>
            <w:vAlign w:val="bottom"/>
          </w:tcPr>
          <w:p w14:paraId="31033D24" w14:textId="77777777" w:rsidR="006E1283" w:rsidRDefault="006E1283">
            <w:pPr>
              <w:keepNext/>
            </w:pPr>
          </w:p>
        </w:tc>
      </w:tr>
      <w:tr w:rsidR="006E1283" w14:paraId="7D0FDEEC" w14:textId="77777777">
        <w:trPr>
          <w:cantSplit/>
          <w:trHeight w:hRule="exact" w:val="315"/>
        </w:trPr>
        <w:tc>
          <w:tcPr>
            <w:tcW w:w="6345" w:type="dxa"/>
            <w:tcBorders>
              <w:top w:val="nil"/>
              <w:left w:val="nil"/>
              <w:bottom w:val="single" w:sz="4" w:space="0" w:color="000000"/>
              <w:right w:val="nil"/>
            </w:tcBorders>
            <w:shd w:val="clear" w:color="auto" w:fill="FFFFFF"/>
            <w:tcMar>
              <w:top w:w="0" w:type="dxa"/>
              <w:left w:w="53" w:type="dxa"/>
              <w:bottom w:w="0" w:type="dxa"/>
              <w:right w:w="53" w:type="dxa"/>
            </w:tcMar>
          </w:tcPr>
          <w:p w14:paraId="07A9DEC8" w14:textId="77777777" w:rsidR="006E1283" w:rsidRDefault="00BC0927">
            <w:pPr>
              <w:keepNext/>
              <w:spacing w:before="53" w:after="30" w:line="240" w:lineRule="auto"/>
              <w:ind w:left="55"/>
            </w:pPr>
            <w:r>
              <w:rPr>
                <w:rFonts w:ascii="Source Sans Pro" w:eastAsia="Source Sans Pro" w:hAnsi="Source Sans Pro" w:cs="Source Sans Pro"/>
                <w:b/>
              </w:rPr>
              <w:t xml:space="preserve">Cash flows from financing </w:t>
            </w:r>
            <w:r>
              <w:rPr>
                <w:rFonts w:ascii="Source Sans Pro" w:eastAsia="Source Sans Pro" w:hAnsi="Source Sans Pro" w:cs="Source Sans Pro"/>
                <w:b/>
              </w:rPr>
              <w:t>activities</w:t>
            </w:r>
          </w:p>
        </w:tc>
        <w:tc>
          <w:tcPr>
            <w:tcW w:w="1815" w:type="dxa"/>
            <w:tcBorders>
              <w:top w:val="nil"/>
              <w:left w:val="nil"/>
              <w:bottom w:val="single" w:sz="4" w:space="0" w:color="000000"/>
              <w:right w:val="nil"/>
            </w:tcBorders>
            <w:shd w:val="clear" w:color="auto" w:fill="FFFFFF"/>
            <w:tcMar>
              <w:top w:w="0" w:type="dxa"/>
              <w:left w:w="0" w:type="dxa"/>
              <w:bottom w:w="0" w:type="dxa"/>
              <w:right w:w="53" w:type="dxa"/>
            </w:tcMar>
          </w:tcPr>
          <w:p w14:paraId="1AD44E77" w14:textId="77777777" w:rsidR="006E1283" w:rsidRDefault="00BC0927">
            <w:pPr>
              <w:keepNext/>
              <w:spacing w:before="53" w:after="30" w:line="240" w:lineRule="auto"/>
              <w:ind w:right="55"/>
              <w:jc w:val="right"/>
            </w:pPr>
            <w:r>
              <w:rPr>
                <w:rFonts w:ascii="Source Sans Pro" w:eastAsia="Source Sans Pro" w:hAnsi="Source Sans Pro" w:cs="Source Sans Pro"/>
                <w:b/>
              </w:rPr>
              <w:t>-</w:t>
            </w:r>
          </w:p>
        </w:tc>
        <w:tc>
          <w:tcPr>
            <w:tcW w:w="1815" w:type="dxa"/>
            <w:tcBorders>
              <w:top w:val="nil"/>
              <w:left w:val="nil"/>
              <w:bottom w:val="single" w:sz="4" w:space="0" w:color="000000"/>
              <w:right w:val="nil"/>
            </w:tcBorders>
            <w:shd w:val="clear" w:color="auto" w:fill="FFFFFF"/>
            <w:tcMar>
              <w:top w:w="0" w:type="dxa"/>
              <w:left w:w="0" w:type="dxa"/>
              <w:bottom w:w="0" w:type="dxa"/>
              <w:right w:w="53" w:type="dxa"/>
            </w:tcMar>
          </w:tcPr>
          <w:p w14:paraId="5DD2DA5C" w14:textId="77777777" w:rsidR="006E1283" w:rsidRDefault="00BC0927">
            <w:pPr>
              <w:keepNext/>
              <w:spacing w:before="53" w:after="30" w:line="240" w:lineRule="auto"/>
              <w:ind w:right="55"/>
              <w:jc w:val="right"/>
            </w:pPr>
            <w:r>
              <w:rPr>
                <w:rFonts w:ascii="Source Sans Pro" w:eastAsia="Source Sans Pro" w:hAnsi="Source Sans Pro" w:cs="Source Sans Pro"/>
              </w:rPr>
              <w:t>-</w:t>
            </w:r>
          </w:p>
        </w:tc>
      </w:tr>
      <w:tr w:rsidR="006E1283" w14:paraId="70424FE3" w14:textId="77777777">
        <w:trPr>
          <w:cantSplit/>
          <w:trHeight w:hRule="exact" w:val="330"/>
        </w:trPr>
        <w:tc>
          <w:tcPr>
            <w:tcW w:w="6345" w:type="dxa"/>
            <w:tcBorders>
              <w:top w:val="single" w:sz="4" w:space="0" w:color="000000"/>
              <w:left w:val="nil"/>
              <w:bottom w:val="single" w:sz="4" w:space="0" w:color="000000"/>
              <w:right w:val="nil"/>
            </w:tcBorders>
            <w:shd w:val="clear" w:color="auto" w:fill="FFFFFF"/>
            <w:tcMar>
              <w:top w:w="0" w:type="dxa"/>
              <w:left w:w="53" w:type="dxa"/>
              <w:bottom w:w="0" w:type="dxa"/>
              <w:right w:w="53" w:type="dxa"/>
            </w:tcMar>
          </w:tcPr>
          <w:p w14:paraId="64E80C54" w14:textId="77777777" w:rsidR="006E1283" w:rsidRDefault="00BC0927">
            <w:pPr>
              <w:keepNext/>
              <w:spacing w:before="43" w:after="30" w:line="240" w:lineRule="auto"/>
              <w:ind w:left="55"/>
            </w:pPr>
            <w:r>
              <w:rPr>
                <w:rFonts w:ascii="Source Sans Pro" w:eastAsia="Source Sans Pro" w:hAnsi="Source Sans Pro" w:cs="Source Sans Pro"/>
                <w:b/>
              </w:rPr>
              <w:t>Net cash from financing activities</w:t>
            </w:r>
          </w:p>
        </w:tc>
        <w:tc>
          <w:tcPr>
            <w:tcW w:w="1815" w:type="dxa"/>
            <w:tcBorders>
              <w:top w:val="single" w:sz="4" w:space="0" w:color="000000"/>
              <w:left w:val="nil"/>
              <w:bottom w:val="single" w:sz="4" w:space="0" w:color="000000"/>
              <w:right w:val="nil"/>
            </w:tcBorders>
            <w:shd w:val="clear" w:color="auto" w:fill="FFFFFF"/>
            <w:tcMar>
              <w:top w:w="0" w:type="dxa"/>
              <w:left w:w="0" w:type="dxa"/>
              <w:bottom w:w="0" w:type="dxa"/>
              <w:right w:w="53" w:type="dxa"/>
            </w:tcMar>
          </w:tcPr>
          <w:p w14:paraId="352DD173" w14:textId="77777777" w:rsidR="006E1283" w:rsidRDefault="00BC0927">
            <w:pPr>
              <w:keepNext/>
              <w:spacing w:before="43" w:after="30" w:line="240" w:lineRule="auto"/>
              <w:ind w:right="55"/>
              <w:jc w:val="right"/>
            </w:pPr>
            <w:r>
              <w:rPr>
                <w:rFonts w:ascii="Source Sans Pro" w:eastAsia="Source Sans Pro" w:hAnsi="Source Sans Pro" w:cs="Source Sans Pro"/>
                <w:b/>
              </w:rPr>
              <w:t>-</w:t>
            </w:r>
          </w:p>
        </w:tc>
        <w:tc>
          <w:tcPr>
            <w:tcW w:w="1815" w:type="dxa"/>
            <w:tcBorders>
              <w:top w:val="single" w:sz="4" w:space="0" w:color="000000"/>
              <w:left w:val="nil"/>
              <w:bottom w:val="single" w:sz="4" w:space="0" w:color="000000"/>
              <w:right w:val="nil"/>
            </w:tcBorders>
            <w:shd w:val="clear" w:color="auto" w:fill="FFFFFF"/>
            <w:tcMar>
              <w:top w:w="0" w:type="dxa"/>
              <w:left w:w="0" w:type="dxa"/>
              <w:bottom w:w="0" w:type="dxa"/>
              <w:right w:w="53" w:type="dxa"/>
            </w:tcMar>
          </w:tcPr>
          <w:p w14:paraId="39C907F0" w14:textId="77777777" w:rsidR="006E1283" w:rsidRDefault="00BC0927">
            <w:pPr>
              <w:keepNext/>
              <w:spacing w:before="43" w:after="30" w:line="240" w:lineRule="auto"/>
              <w:ind w:right="55"/>
              <w:jc w:val="right"/>
            </w:pPr>
            <w:r>
              <w:rPr>
                <w:rFonts w:ascii="Source Sans Pro" w:eastAsia="Source Sans Pro" w:hAnsi="Source Sans Pro" w:cs="Source Sans Pro"/>
              </w:rPr>
              <w:t>-</w:t>
            </w:r>
          </w:p>
        </w:tc>
      </w:tr>
      <w:tr w:rsidR="006E1283" w14:paraId="741FF7C8" w14:textId="77777777">
        <w:trPr>
          <w:cantSplit/>
          <w:trHeight w:hRule="exact" w:val="345"/>
        </w:trPr>
        <w:tc>
          <w:tcPr>
            <w:tcW w:w="6345" w:type="dxa"/>
            <w:tcBorders>
              <w:top w:val="single" w:sz="4" w:space="0" w:color="000000"/>
              <w:left w:val="nil"/>
              <w:bottom w:val="nil"/>
              <w:right w:val="nil"/>
            </w:tcBorders>
            <w:shd w:val="clear" w:color="auto" w:fill="FFFFFF"/>
            <w:tcMar>
              <w:top w:w="0" w:type="dxa"/>
              <w:left w:w="53" w:type="dxa"/>
              <w:bottom w:w="0" w:type="dxa"/>
              <w:right w:w="53" w:type="dxa"/>
            </w:tcMar>
          </w:tcPr>
          <w:p w14:paraId="3AFF9F2B" w14:textId="77777777" w:rsidR="006E1283" w:rsidRDefault="00BC0927">
            <w:pPr>
              <w:keepNext/>
              <w:spacing w:before="43" w:after="30" w:line="240" w:lineRule="auto"/>
              <w:ind w:left="55"/>
            </w:pPr>
            <w:r>
              <w:rPr>
                <w:rFonts w:ascii="Source Sans Pro" w:eastAsia="Source Sans Pro" w:hAnsi="Source Sans Pro" w:cs="Source Sans Pro"/>
                <w:b/>
              </w:rPr>
              <w:t>Total net increase/(decrease) in cash and cash equivalents</w:t>
            </w:r>
          </w:p>
        </w:tc>
        <w:tc>
          <w:tcPr>
            <w:tcW w:w="1815" w:type="dxa"/>
            <w:tcBorders>
              <w:top w:val="single" w:sz="4" w:space="0" w:color="000000"/>
              <w:left w:val="nil"/>
              <w:bottom w:val="nil"/>
              <w:right w:val="nil"/>
            </w:tcBorders>
            <w:shd w:val="clear" w:color="auto" w:fill="FFFFFF"/>
            <w:tcMar>
              <w:top w:w="0" w:type="dxa"/>
              <w:left w:w="0" w:type="dxa"/>
              <w:bottom w:w="0" w:type="dxa"/>
              <w:right w:w="53" w:type="dxa"/>
            </w:tcMar>
          </w:tcPr>
          <w:p w14:paraId="7B89F714" w14:textId="77777777" w:rsidR="006E1283" w:rsidRDefault="00BC0927">
            <w:pPr>
              <w:keepNext/>
              <w:spacing w:before="43" w:after="30" w:line="240" w:lineRule="auto"/>
              <w:ind w:right="55"/>
              <w:jc w:val="right"/>
            </w:pPr>
            <w:r>
              <w:rPr>
                <w:rFonts w:ascii="Source Sans Pro" w:eastAsia="Source Sans Pro" w:hAnsi="Source Sans Pro" w:cs="Source Sans Pro"/>
                <w:b/>
              </w:rPr>
              <w:t>-</w:t>
            </w:r>
          </w:p>
        </w:tc>
        <w:tc>
          <w:tcPr>
            <w:tcW w:w="1815" w:type="dxa"/>
            <w:tcBorders>
              <w:top w:val="single" w:sz="4" w:space="0" w:color="000000"/>
              <w:left w:val="nil"/>
              <w:bottom w:val="nil"/>
              <w:right w:val="nil"/>
            </w:tcBorders>
            <w:shd w:val="clear" w:color="auto" w:fill="FFFFFF"/>
            <w:tcMar>
              <w:top w:w="0" w:type="dxa"/>
              <w:left w:w="0" w:type="dxa"/>
              <w:bottom w:w="0" w:type="dxa"/>
              <w:right w:w="53" w:type="dxa"/>
            </w:tcMar>
          </w:tcPr>
          <w:p w14:paraId="76D8BEE3" w14:textId="77777777" w:rsidR="006E1283" w:rsidRDefault="00BC0927">
            <w:pPr>
              <w:keepNext/>
              <w:spacing w:before="43" w:after="30" w:line="240" w:lineRule="auto"/>
              <w:ind w:right="55"/>
              <w:jc w:val="right"/>
            </w:pPr>
            <w:r>
              <w:rPr>
                <w:rFonts w:ascii="Source Sans Pro" w:eastAsia="Source Sans Pro" w:hAnsi="Source Sans Pro" w:cs="Source Sans Pro"/>
              </w:rPr>
              <w:t>-</w:t>
            </w:r>
          </w:p>
        </w:tc>
      </w:tr>
      <w:tr w:rsidR="006E1283" w14:paraId="70E68A68" w14:textId="77777777">
        <w:trPr>
          <w:cantSplit/>
          <w:trHeight w:hRule="exact" w:val="315"/>
        </w:trPr>
        <w:tc>
          <w:tcPr>
            <w:tcW w:w="6345" w:type="dxa"/>
            <w:tcBorders>
              <w:top w:val="nil"/>
              <w:left w:val="nil"/>
              <w:bottom w:val="single" w:sz="4" w:space="0" w:color="000000"/>
              <w:right w:val="nil"/>
            </w:tcBorders>
            <w:shd w:val="clear" w:color="auto" w:fill="FFFFFF"/>
            <w:tcMar>
              <w:top w:w="0" w:type="dxa"/>
              <w:left w:w="53" w:type="dxa"/>
              <w:bottom w:w="0" w:type="dxa"/>
              <w:right w:w="53" w:type="dxa"/>
            </w:tcMar>
          </w:tcPr>
          <w:p w14:paraId="0971B476" w14:textId="77777777" w:rsidR="006E1283" w:rsidRDefault="00BC0927">
            <w:pPr>
              <w:keepNext/>
              <w:spacing w:before="53" w:after="30" w:line="240" w:lineRule="auto"/>
              <w:ind w:left="55"/>
            </w:pPr>
            <w:r>
              <w:rPr>
                <w:rFonts w:ascii="Source Sans Pro" w:eastAsia="Source Sans Pro" w:hAnsi="Source Sans Pro" w:cs="Source Sans Pro"/>
              </w:rPr>
              <w:t>Cash and cash equivalents at 1 January</w:t>
            </w:r>
          </w:p>
        </w:tc>
        <w:tc>
          <w:tcPr>
            <w:tcW w:w="1815" w:type="dxa"/>
            <w:tcBorders>
              <w:top w:val="nil"/>
              <w:left w:val="nil"/>
              <w:bottom w:val="single" w:sz="4" w:space="0" w:color="000000"/>
              <w:right w:val="nil"/>
            </w:tcBorders>
            <w:shd w:val="clear" w:color="auto" w:fill="FFFFFF"/>
            <w:tcMar>
              <w:top w:w="0" w:type="dxa"/>
              <w:left w:w="0" w:type="dxa"/>
              <w:bottom w:w="0" w:type="dxa"/>
              <w:right w:w="53" w:type="dxa"/>
            </w:tcMar>
          </w:tcPr>
          <w:p w14:paraId="6A24CFA2" w14:textId="77777777" w:rsidR="006E1283" w:rsidRDefault="00BC0927">
            <w:pPr>
              <w:keepNext/>
              <w:spacing w:before="53" w:after="30" w:line="240" w:lineRule="auto"/>
              <w:ind w:right="55"/>
              <w:jc w:val="right"/>
            </w:pPr>
            <w:r>
              <w:rPr>
                <w:rFonts w:ascii="Source Sans Pro" w:eastAsia="Source Sans Pro" w:hAnsi="Source Sans Pro" w:cs="Source Sans Pro"/>
                <w:b/>
              </w:rPr>
              <w:t>-</w:t>
            </w:r>
          </w:p>
        </w:tc>
        <w:tc>
          <w:tcPr>
            <w:tcW w:w="1815" w:type="dxa"/>
            <w:tcBorders>
              <w:top w:val="nil"/>
              <w:left w:val="nil"/>
              <w:bottom w:val="single" w:sz="4" w:space="0" w:color="000000"/>
              <w:right w:val="nil"/>
            </w:tcBorders>
            <w:shd w:val="clear" w:color="auto" w:fill="FFFFFF"/>
            <w:tcMar>
              <w:top w:w="0" w:type="dxa"/>
              <w:left w:w="0" w:type="dxa"/>
              <w:bottom w:w="0" w:type="dxa"/>
              <w:right w:w="53" w:type="dxa"/>
            </w:tcMar>
          </w:tcPr>
          <w:p w14:paraId="213E5F9B" w14:textId="77777777" w:rsidR="006E1283" w:rsidRDefault="00BC0927">
            <w:pPr>
              <w:keepNext/>
              <w:spacing w:before="53" w:after="30" w:line="240" w:lineRule="auto"/>
              <w:ind w:right="55"/>
              <w:jc w:val="right"/>
            </w:pPr>
            <w:r>
              <w:rPr>
                <w:rFonts w:ascii="Source Sans Pro" w:eastAsia="Source Sans Pro" w:hAnsi="Source Sans Pro" w:cs="Source Sans Pro"/>
              </w:rPr>
              <w:t>-</w:t>
            </w:r>
          </w:p>
        </w:tc>
      </w:tr>
      <w:tr w:rsidR="006E1283" w14:paraId="3456F9FF" w14:textId="77777777">
        <w:trPr>
          <w:cantSplit/>
          <w:trHeight w:hRule="exact" w:val="330"/>
        </w:trPr>
        <w:tc>
          <w:tcPr>
            <w:tcW w:w="6345" w:type="dxa"/>
            <w:tcBorders>
              <w:top w:val="single" w:sz="4" w:space="0" w:color="000000"/>
              <w:left w:val="nil"/>
              <w:bottom w:val="single" w:sz="4" w:space="0" w:color="000000"/>
              <w:right w:val="nil"/>
            </w:tcBorders>
            <w:shd w:val="clear" w:color="auto" w:fill="FFFFFF"/>
            <w:tcMar>
              <w:top w:w="0" w:type="dxa"/>
              <w:left w:w="53" w:type="dxa"/>
              <w:bottom w:w="0" w:type="dxa"/>
              <w:right w:w="53" w:type="dxa"/>
            </w:tcMar>
            <w:vAlign w:val="bottom"/>
          </w:tcPr>
          <w:p w14:paraId="5758B476" w14:textId="77777777" w:rsidR="006E1283" w:rsidRDefault="00BC0927">
            <w:pPr>
              <w:keepNext/>
              <w:spacing w:before="43" w:after="30" w:line="240" w:lineRule="auto"/>
              <w:ind w:left="55" w:right="55"/>
            </w:pPr>
            <w:r>
              <w:rPr>
                <w:rFonts w:ascii="Source Sans Pro" w:eastAsia="Source Sans Pro" w:hAnsi="Source Sans Pro" w:cs="Source Sans Pro"/>
                <w:b/>
              </w:rPr>
              <w:t>Cash and cash equivalents at 30 June</w:t>
            </w:r>
            <w:r>
              <w:rPr>
                <w:rFonts w:ascii="Source Sans Pro" w:eastAsia="Source Sans Pro" w:hAnsi="Source Sans Pro" w:cs="Source Sans Pro"/>
                <w:b/>
                <w:vertAlign w:val="superscript"/>
              </w:rPr>
              <w:t>1</w:t>
            </w:r>
          </w:p>
        </w:tc>
        <w:tc>
          <w:tcPr>
            <w:tcW w:w="1815" w:type="dxa"/>
            <w:tcBorders>
              <w:top w:val="single" w:sz="4" w:space="0" w:color="000000"/>
              <w:left w:val="nil"/>
              <w:bottom w:val="single" w:sz="4" w:space="0" w:color="000000"/>
              <w:right w:val="nil"/>
            </w:tcBorders>
            <w:shd w:val="clear" w:color="auto" w:fill="FFFFFF"/>
            <w:tcMar>
              <w:top w:w="0" w:type="dxa"/>
              <w:left w:w="0" w:type="dxa"/>
              <w:bottom w:w="0" w:type="dxa"/>
              <w:right w:w="53" w:type="dxa"/>
            </w:tcMar>
          </w:tcPr>
          <w:p w14:paraId="010FF64D" w14:textId="77777777" w:rsidR="006E1283" w:rsidRDefault="00BC0927">
            <w:pPr>
              <w:keepNext/>
              <w:spacing w:before="43" w:after="30" w:line="240" w:lineRule="auto"/>
              <w:ind w:right="55"/>
              <w:jc w:val="right"/>
            </w:pPr>
            <w:r>
              <w:rPr>
                <w:rFonts w:ascii="Source Sans Pro" w:eastAsia="Source Sans Pro" w:hAnsi="Source Sans Pro" w:cs="Source Sans Pro"/>
                <w:b/>
              </w:rPr>
              <w:t>-</w:t>
            </w:r>
          </w:p>
        </w:tc>
        <w:tc>
          <w:tcPr>
            <w:tcW w:w="1815" w:type="dxa"/>
            <w:tcBorders>
              <w:top w:val="single" w:sz="4" w:space="0" w:color="000000"/>
              <w:left w:val="nil"/>
              <w:bottom w:val="single" w:sz="4" w:space="0" w:color="000000"/>
              <w:right w:val="nil"/>
            </w:tcBorders>
            <w:shd w:val="clear" w:color="auto" w:fill="FFFFFF"/>
            <w:tcMar>
              <w:top w:w="0" w:type="dxa"/>
              <w:left w:w="0" w:type="dxa"/>
              <w:bottom w:w="0" w:type="dxa"/>
              <w:right w:w="53" w:type="dxa"/>
            </w:tcMar>
          </w:tcPr>
          <w:p w14:paraId="5C689CDF" w14:textId="77777777" w:rsidR="006E1283" w:rsidRDefault="00BC0927">
            <w:pPr>
              <w:keepNext/>
              <w:spacing w:before="43" w:after="30" w:line="240" w:lineRule="auto"/>
              <w:ind w:right="55"/>
              <w:jc w:val="right"/>
            </w:pPr>
            <w:r>
              <w:rPr>
                <w:rFonts w:ascii="Source Sans Pro" w:eastAsia="Source Sans Pro" w:hAnsi="Source Sans Pro" w:cs="Source Sans Pro"/>
              </w:rPr>
              <w:t>-</w:t>
            </w:r>
          </w:p>
        </w:tc>
      </w:tr>
      <w:tr w:rsidR="006E1283" w14:paraId="6FB938B6" w14:textId="77777777">
        <w:trPr>
          <w:cantSplit/>
          <w:trHeight w:hRule="exact" w:val="330"/>
        </w:trPr>
        <w:tc>
          <w:tcPr>
            <w:tcW w:w="6345" w:type="dxa"/>
            <w:tcBorders>
              <w:top w:val="single" w:sz="4" w:space="0" w:color="000000"/>
              <w:left w:val="nil"/>
              <w:bottom w:val="nil"/>
              <w:right w:val="nil"/>
            </w:tcBorders>
            <w:shd w:val="clear" w:color="auto" w:fill="FFFFFF"/>
            <w:tcMar>
              <w:top w:w="0" w:type="dxa"/>
              <w:left w:w="0" w:type="dxa"/>
              <w:bottom w:w="0" w:type="dxa"/>
              <w:right w:w="0" w:type="dxa"/>
            </w:tcMar>
            <w:vAlign w:val="bottom"/>
          </w:tcPr>
          <w:p w14:paraId="07C1688F" w14:textId="77777777" w:rsidR="006E1283" w:rsidRDefault="006E1283"/>
        </w:tc>
        <w:tc>
          <w:tcPr>
            <w:tcW w:w="1815" w:type="dxa"/>
            <w:tcBorders>
              <w:top w:val="single" w:sz="4" w:space="0" w:color="000000"/>
              <w:left w:val="nil"/>
              <w:bottom w:val="nil"/>
              <w:right w:val="nil"/>
            </w:tcBorders>
            <w:shd w:val="clear" w:color="auto" w:fill="FFFFFF"/>
            <w:tcMar>
              <w:top w:w="0" w:type="dxa"/>
              <w:left w:w="0" w:type="dxa"/>
              <w:bottom w:w="0" w:type="dxa"/>
              <w:right w:w="0" w:type="dxa"/>
            </w:tcMar>
            <w:vAlign w:val="bottom"/>
          </w:tcPr>
          <w:p w14:paraId="21D4DCEA" w14:textId="77777777" w:rsidR="006E1283" w:rsidRDefault="006E1283"/>
        </w:tc>
        <w:tc>
          <w:tcPr>
            <w:tcW w:w="1815" w:type="dxa"/>
            <w:tcBorders>
              <w:top w:val="single" w:sz="4" w:space="0" w:color="000000"/>
              <w:left w:val="nil"/>
              <w:bottom w:val="nil"/>
              <w:right w:val="nil"/>
            </w:tcBorders>
            <w:shd w:val="clear" w:color="auto" w:fill="FFFFFF"/>
            <w:tcMar>
              <w:top w:w="0" w:type="dxa"/>
              <w:left w:w="0" w:type="dxa"/>
              <w:bottom w:w="0" w:type="dxa"/>
              <w:right w:w="0" w:type="dxa"/>
            </w:tcMar>
            <w:vAlign w:val="bottom"/>
          </w:tcPr>
          <w:p w14:paraId="7E2BC1DD" w14:textId="77777777" w:rsidR="006E1283" w:rsidRDefault="006E1283"/>
        </w:tc>
      </w:tr>
    </w:tbl>
    <w:p w14:paraId="2FC1A105" w14:textId="77777777" w:rsidR="006E1283" w:rsidRDefault="00BC0927">
      <w:pPr>
        <w:tabs>
          <w:tab w:val="left" w:pos="420"/>
        </w:tabs>
        <w:spacing w:line="240" w:lineRule="auto"/>
        <w:ind w:left="426" w:hanging="426"/>
        <w:jc w:val="both"/>
      </w:pPr>
      <w:r>
        <w:rPr>
          <w:rFonts w:ascii="Source Sans Pro" w:eastAsia="Source Sans Pro" w:hAnsi="Source Sans Pro" w:cs="Source Sans Pro"/>
          <w:sz w:val="16"/>
        </w:rPr>
        <w:t>¹</w:t>
      </w:r>
      <w:r>
        <w:rPr>
          <w:rFonts w:ascii="Source Sans Pro" w:eastAsia="Source Sans Pro" w:hAnsi="Source Sans Pro" w:cs="Source Sans Pro"/>
          <w:sz w:val="16"/>
        </w:rPr>
        <w:tab/>
      </w:r>
      <w:r>
        <w:rPr>
          <w:rFonts w:ascii="Source Sans Pro" w:eastAsia="Source Sans Pro" w:hAnsi="Source Sans Pro" w:cs="Source Sans Pro"/>
          <w:sz w:val="20"/>
        </w:rPr>
        <w:t xml:space="preserve">The closing balance as at 30 June 2023 is </w:t>
      </w:r>
      <w:r>
        <w:rPr>
          <w:rFonts w:ascii="Source Sans Pro" w:eastAsia="Source Sans Pro" w:hAnsi="Source Sans Pro" w:cs="Source Sans Pro"/>
          <w:sz w:val="20"/>
        </w:rPr>
        <w:t>£309</w:t>
      </w:r>
      <w:r>
        <w:rPr>
          <w:rFonts w:ascii="Source Sans Pro" w:eastAsia="Source Sans Pro" w:hAnsi="Source Sans Pro" w:cs="Source Sans Pro"/>
          <w:sz w:val="20"/>
        </w:rPr>
        <w:t xml:space="preserve"> </w:t>
      </w:r>
      <w:r>
        <w:rPr>
          <w:rFonts w:ascii="Source Sans Pro" w:eastAsia="Source Sans Pro" w:hAnsi="Source Sans Pro" w:cs="Source Sans Pro"/>
          <w:i/>
          <w:sz w:val="20"/>
        </w:rPr>
        <w:t>(2022: £9)</w:t>
      </w:r>
      <w:r>
        <w:rPr>
          <w:rFonts w:ascii="Source Sans Pro" w:eastAsia="Source Sans Pro" w:hAnsi="Source Sans Pro" w:cs="Source Sans Pro"/>
          <w:sz w:val="20"/>
        </w:rPr>
        <w:t>. The majority of the Company’s cash requirements are met by Aviva plc.</w:t>
      </w:r>
    </w:p>
    <w:p w14:paraId="324AFCE2" w14:textId="77777777" w:rsidR="006E1283" w:rsidRDefault="006E1283">
      <w:pPr>
        <w:spacing w:line="240" w:lineRule="auto"/>
      </w:pPr>
    </w:p>
    <w:p w14:paraId="01D42932" w14:textId="77777777" w:rsidR="006E1283" w:rsidRDefault="006E1283">
      <w:pPr>
        <w:spacing w:line="240" w:lineRule="auto"/>
      </w:pPr>
    </w:p>
    <w:p w14:paraId="433D1464" w14:textId="77777777" w:rsidR="006E1283" w:rsidRDefault="006E1283">
      <w:pPr>
        <w:spacing w:line="240" w:lineRule="auto"/>
        <w:jc w:val="both"/>
      </w:pPr>
    </w:p>
    <w:p w14:paraId="19442723" w14:textId="77777777" w:rsidR="006E1283" w:rsidRDefault="00BC0927">
      <w:pPr>
        <w:pageBreakBefore/>
        <w:spacing w:line="240" w:lineRule="auto"/>
        <w:jc w:val="both"/>
      </w:pPr>
      <w:r>
        <w:rPr>
          <w:rFonts w:ascii="Source Sans Pro" w:eastAsia="Source Sans Pro" w:hAnsi="Source Sans Pro" w:cs="Source Sans Pro"/>
          <w:b/>
        </w:rPr>
        <w:lastRenderedPageBreak/>
        <w:t>Basis of preparation</w:t>
      </w:r>
    </w:p>
    <w:p w14:paraId="669E15EC" w14:textId="77777777" w:rsidR="006E1283" w:rsidRDefault="006E1283">
      <w:pPr>
        <w:spacing w:line="240" w:lineRule="auto"/>
      </w:pPr>
    </w:p>
    <w:p w14:paraId="59BBDF04" w14:textId="77777777" w:rsidR="006E1283" w:rsidRDefault="00BC0927">
      <w:pPr>
        <w:spacing w:line="240" w:lineRule="auto"/>
        <w:jc w:val="both"/>
      </w:pPr>
      <w:r>
        <w:rPr>
          <w:rFonts w:ascii="Source Sans Pro" w:eastAsia="Source Sans Pro" w:hAnsi="Source Sans Pro" w:cs="Source Sans Pro"/>
        </w:rPr>
        <w:t>The results for the six months to 30 June 2023 have been prepared on the basis of the accounting polic</w:t>
      </w:r>
      <w:r>
        <w:rPr>
          <w:rFonts w:ascii="Source Sans Pro" w:eastAsia="Source Sans Pro" w:hAnsi="Source Sans Pro" w:cs="Source Sans Pro"/>
        </w:rPr>
        <w:t>ies set out in the Company’s 2022 Annual Report and Accounts. The interim accounts do not constitute statutory accounts as defined by section 434 of the Companies Act 2006. The auditor has reported on the 2022 accounts and the report was unqualified and di</w:t>
      </w:r>
      <w:r>
        <w:rPr>
          <w:rFonts w:ascii="Source Sans Pro" w:eastAsia="Source Sans Pro" w:hAnsi="Source Sans Pro" w:cs="Source Sans Pro"/>
        </w:rPr>
        <w:t>d not contain a statement under section 498(2) or (3) of the Companies Act 2006. The Company’s 2022 Report and Accounts have been filed with the Registrar of Companies.</w:t>
      </w:r>
    </w:p>
    <w:p w14:paraId="176785F4" w14:textId="77777777" w:rsidR="006E1283" w:rsidRDefault="006E1283">
      <w:pPr>
        <w:spacing w:line="240" w:lineRule="auto"/>
        <w:jc w:val="both"/>
      </w:pPr>
    </w:p>
    <w:p w14:paraId="798AB1E3" w14:textId="77777777" w:rsidR="006E1283" w:rsidRDefault="00BC0927">
      <w:pPr>
        <w:spacing w:line="240" w:lineRule="auto"/>
        <w:jc w:val="both"/>
      </w:pPr>
      <w:r>
        <w:rPr>
          <w:rFonts w:ascii="Source Sans Pro" w:eastAsia="Source Sans Pro" w:hAnsi="Source Sans Pro" w:cs="Source Sans Pro"/>
        </w:rPr>
        <w:t>During the period, there have been no changes in the nature of related party transacti</w:t>
      </w:r>
      <w:r>
        <w:rPr>
          <w:rFonts w:ascii="Source Sans Pro" w:eastAsia="Source Sans Pro" w:hAnsi="Source Sans Pro" w:cs="Source Sans Pro"/>
        </w:rPr>
        <w:t xml:space="preserve">ons from those described in the Company’s 2022 accounts. </w:t>
      </w:r>
    </w:p>
    <w:p w14:paraId="58D73FE8" w14:textId="77777777" w:rsidR="006E1283" w:rsidRDefault="006E1283">
      <w:pPr>
        <w:spacing w:line="240" w:lineRule="auto"/>
        <w:jc w:val="both"/>
      </w:pPr>
    </w:p>
    <w:p w14:paraId="54BB9D98" w14:textId="77777777" w:rsidR="006E1283" w:rsidRDefault="00BC0927">
      <w:pPr>
        <w:spacing w:line="240" w:lineRule="auto"/>
        <w:jc w:val="both"/>
      </w:pPr>
      <w:r>
        <w:rPr>
          <w:rFonts w:ascii="Source Sans Pro" w:eastAsia="Source Sans Pro" w:hAnsi="Source Sans Pro" w:cs="Source Sans Pro"/>
        </w:rPr>
        <w:t>The results for the six months are unaudited.</w:t>
      </w:r>
    </w:p>
    <w:p w14:paraId="3C99A2CA" w14:textId="77777777" w:rsidR="006E1283" w:rsidRDefault="006E1283">
      <w:pPr>
        <w:spacing w:line="240" w:lineRule="auto"/>
        <w:jc w:val="both"/>
      </w:pPr>
    </w:p>
    <w:p w14:paraId="6D06FFAA" w14:textId="77777777" w:rsidR="006E1283" w:rsidRDefault="00BC0927">
      <w:pPr>
        <w:spacing w:line="240" w:lineRule="auto"/>
        <w:jc w:val="both"/>
      </w:pPr>
      <w:r>
        <w:rPr>
          <w:rFonts w:ascii="Source Sans Pro" w:eastAsia="Source Sans Pro" w:hAnsi="Source Sans Pro" w:cs="Source Sans Pro"/>
        </w:rPr>
        <w:t xml:space="preserve">The unaudited results of Aviva plc for the six months ended 30 June 2023 are available on application to the Group Company Secretary, Aviva plc, St. Helen’s, 1 Undershaft, London EC3P 3DQ. A copy can also be found on the Aviva plc website at </w:t>
      </w:r>
      <w:hyperlink r:id="rId7" w:history="1">
        <w:r>
          <w:rPr>
            <w:rFonts w:ascii="Source Sans Pro" w:eastAsia="Source Sans Pro" w:hAnsi="Source Sans Pro" w:cs="Source Sans Pro"/>
            <w:color w:val="0000FF"/>
            <w:u w:val="single"/>
          </w:rPr>
          <w:t>www.aviva.com</w:t>
        </w:r>
      </w:hyperlink>
      <w:r>
        <w:rPr>
          <w:rFonts w:ascii="Source Sans Pro" w:eastAsia="Source Sans Pro" w:hAnsi="Source Sans Pro" w:cs="Source Sans Pro"/>
        </w:rPr>
        <w:t>.</w:t>
      </w:r>
    </w:p>
    <w:p w14:paraId="408B0642" w14:textId="77777777" w:rsidR="006E1283" w:rsidRDefault="006E1283">
      <w:pPr>
        <w:spacing w:line="240" w:lineRule="auto"/>
        <w:jc w:val="both"/>
      </w:pPr>
    </w:p>
    <w:p w14:paraId="307BE23A" w14:textId="77777777" w:rsidR="006E1283" w:rsidRDefault="00BC0927">
      <w:pPr>
        <w:spacing w:line="240" w:lineRule="auto"/>
        <w:jc w:val="both"/>
      </w:pPr>
      <w:r>
        <w:rPr>
          <w:rFonts w:ascii="Source Sans Pro" w:eastAsia="Source Sans Pro" w:hAnsi="Source Sans Pro" w:cs="Source Sans Pro"/>
          <w:b/>
        </w:rPr>
        <w:t>Going concern</w:t>
      </w:r>
    </w:p>
    <w:p w14:paraId="1BA29327" w14:textId="77777777" w:rsidR="006E1283" w:rsidRDefault="006E1283">
      <w:pPr>
        <w:spacing w:line="240" w:lineRule="auto"/>
        <w:jc w:val="both"/>
      </w:pPr>
    </w:p>
    <w:p w14:paraId="46F40EF7" w14:textId="77777777" w:rsidR="006E1283" w:rsidRDefault="00BC0927">
      <w:pPr>
        <w:spacing w:line="240" w:lineRule="auto"/>
        <w:jc w:val="both"/>
      </w:pPr>
      <w:r>
        <w:rPr>
          <w:rFonts w:ascii="Source Sans Pro" w:eastAsia="Source Sans Pro" w:hAnsi="Source Sans Pro" w:cs="Source Sans Pro"/>
        </w:rPr>
        <w:t>A going concern review has been undertaken as part of the 2023 interim reporting process. After making enquires, the directors have a reasonable expectation that the Gro</w:t>
      </w:r>
      <w:r>
        <w:rPr>
          <w:rFonts w:ascii="Source Sans Pro" w:eastAsia="Source Sans Pro" w:hAnsi="Source Sans Pro" w:cs="Source Sans Pro"/>
        </w:rPr>
        <w:t>up has adequate resources to continue in operational existence over a period of at least twelve months from the date of approval of the interim accounts. For this reason, the Company continues to adopt the going concern basis in preparing the interim accou</w:t>
      </w:r>
      <w:r>
        <w:rPr>
          <w:rFonts w:ascii="Source Sans Pro" w:eastAsia="Source Sans Pro" w:hAnsi="Source Sans Pro" w:cs="Source Sans Pro"/>
        </w:rPr>
        <w:t>nts.</w:t>
      </w:r>
    </w:p>
    <w:p w14:paraId="1BEF04BB" w14:textId="77777777" w:rsidR="006E1283" w:rsidRDefault="006E1283">
      <w:pPr>
        <w:spacing w:line="240" w:lineRule="auto"/>
        <w:jc w:val="both"/>
      </w:pPr>
    </w:p>
    <w:p w14:paraId="3B953C19" w14:textId="77777777" w:rsidR="006E1283" w:rsidRDefault="00BC0927">
      <w:pPr>
        <w:spacing w:line="240" w:lineRule="auto"/>
        <w:jc w:val="both"/>
      </w:pPr>
      <w:r>
        <w:rPr>
          <w:rFonts w:ascii="Source Sans Pro" w:eastAsia="Source Sans Pro" w:hAnsi="Source Sans Pro" w:cs="Source Sans Pro"/>
          <w:b/>
        </w:rPr>
        <w:t>Responsibility statement</w:t>
      </w:r>
    </w:p>
    <w:p w14:paraId="672F4D77" w14:textId="77777777" w:rsidR="006E1283" w:rsidRDefault="006E1283">
      <w:pPr>
        <w:spacing w:line="240" w:lineRule="auto"/>
        <w:jc w:val="both"/>
      </w:pPr>
    </w:p>
    <w:p w14:paraId="1CBBCBE3" w14:textId="77777777" w:rsidR="006E1283" w:rsidRDefault="00BC0927">
      <w:pPr>
        <w:spacing w:line="240" w:lineRule="auto"/>
        <w:jc w:val="both"/>
      </w:pPr>
      <w:r>
        <w:rPr>
          <w:rFonts w:ascii="Source Sans Pro" w:eastAsia="Source Sans Pro" w:hAnsi="Source Sans Pro" w:cs="Source Sans Pro"/>
        </w:rPr>
        <w:t>The directors confirm that these condensed interim financial statements have been prepared in accordance with International Accounting Standard 34, “Interim Financial Reporting”, as adopted by the UK and as issued by the IAS</w:t>
      </w:r>
      <w:r>
        <w:rPr>
          <w:rFonts w:ascii="Source Sans Pro" w:eastAsia="Source Sans Pro" w:hAnsi="Source Sans Pro" w:cs="Source Sans Pro"/>
        </w:rPr>
        <w:t>B and that the interim management report includes a fair review of the information required by DTR 4.2.7 and DTR 4.2.8, namely:</w:t>
      </w:r>
    </w:p>
    <w:p w14:paraId="6B898E64" w14:textId="77777777" w:rsidR="006E1283" w:rsidRDefault="006E1283">
      <w:pPr>
        <w:spacing w:line="240" w:lineRule="auto"/>
        <w:jc w:val="both"/>
      </w:pPr>
    </w:p>
    <w:p w14:paraId="172884BF" w14:textId="77777777" w:rsidR="006E1283" w:rsidRDefault="00BC0927">
      <w:pPr>
        <w:numPr>
          <w:ilvl w:val="0"/>
          <w:numId w:val="16"/>
        </w:numPr>
        <w:spacing w:line="240" w:lineRule="auto"/>
        <w:ind w:hanging="720"/>
        <w:jc w:val="both"/>
        <w:rPr>
          <w:rFonts w:ascii="Source Sans Pro" w:eastAsia="Source Sans Pro" w:hAnsi="Source Sans Pro" w:cs="Source Sans Pro"/>
        </w:rPr>
      </w:pPr>
      <w:r>
        <w:rPr>
          <w:rFonts w:ascii="Source Sans Pro" w:eastAsia="Source Sans Pro" w:hAnsi="Source Sans Pro" w:cs="Source Sans Pro"/>
        </w:rPr>
        <w:t>An indication of important events that have occurred during the first six months and their impact on the condensed set of finan</w:t>
      </w:r>
      <w:r>
        <w:rPr>
          <w:rFonts w:ascii="Source Sans Pro" w:eastAsia="Source Sans Pro" w:hAnsi="Source Sans Pro" w:cs="Source Sans Pro"/>
        </w:rPr>
        <w:t>cial statements, and a description of the principal risks and uncertainties for the remaining six months of the financial year; and</w:t>
      </w:r>
    </w:p>
    <w:p w14:paraId="087954F4" w14:textId="77777777" w:rsidR="006E1283" w:rsidRDefault="006E1283">
      <w:pPr>
        <w:spacing w:line="240" w:lineRule="auto"/>
        <w:jc w:val="both"/>
      </w:pPr>
    </w:p>
    <w:p w14:paraId="31BCC5A5" w14:textId="77777777" w:rsidR="006E1283" w:rsidRDefault="00BC0927">
      <w:pPr>
        <w:numPr>
          <w:ilvl w:val="0"/>
          <w:numId w:val="17"/>
        </w:numPr>
        <w:spacing w:line="240" w:lineRule="auto"/>
        <w:ind w:hanging="720"/>
        <w:jc w:val="both"/>
        <w:rPr>
          <w:rFonts w:ascii="Source Sans Pro" w:eastAsia="Source Sans Pro" w:hAnsi="Source Sans Pro" w:cs="Source Sans Pro"/>
        </w:rPr>
      </w:pPr>
      <w:r>
        <w:rPr>
          <w:rFonts w:ascii="Source Sans Pro" w:eastAsia="Source Sans Pro" w:hAnsi="Source Sans Pro" w:cs="Source Sans Pro"/>
        </w:rPr>
        <w:t>Material related party transactions in the first six months and any material changes in the related party transactions desc</w:t>
      </w:r>
      <w:r>
        <w:rPr>
          <w:rFonts w:ascii="Source Sans Pro" w:eastAsia="Source Sans Pro" w:hAnsi="Source Sans Pro" w:cs="Source Sans Pro"/>
        </w:rPr>
        <w:t>ribed in the last annual report.</w:t>
      </w:r>
    </w:p>
    <w:p w14:paraId="31F71CD7" w14:textId="77777777" w:rsidR="006E1283" w:rsidRDefault="006E1283">
      <w:pPr>
        <w:spacing w:line="240" w:lineRule="auto"/>
        <w:ind w:left="720"/>
        <w:jc w:val="both"/>
      </w:pPr>
    </w:p>
    <w:p w14:paraId="701A2C09" w14:textId="77777777" w:rsidR="006E1283" w:rsidRDefault="006E1283">
      <w:pPr>
        <w:spacing w:line="240" w:lineRule="auto"/>
      </w:pPr>
    </w:p>
    <w:p w14:paraId="37183D7F" w14:textId="77777777" w:rsidR="006E1283" w:rsidRDefault="00BC0927">
      <w:pPr>
        <w:tabs>
          <w:tab w:val="left" w:pos="3540"/>
        </w:tabs>
        <w:spacing w:line="240" w:lineRule="auto"/>
        <w:ind w:left="720"/>
        <w:jc w:val="both"/>
      </w:pPr>
      <w:r>
        <w:rPr>
          <w:rFonts w:ascii="Source Sans Pro" w:eastAsia="Source Sans Pro" w:hAnsi="Source Sans Pro" w:cs="Source Sans Pro"/>
        </w:rPr>
        <w:t>K A Cooper</w:t>
      </w:r>
      <w:r>
        <w:rPr>
          <w:rFonts w:ascii="Source Sans Pro" w:eastAsia="Source Sans Pro" w:hAnsi="Source Sans Pro" w:cs="Source Sans Pro"/>
        </w:rPr>
        <w:tab/>
        <w:t>A Dinwiddie</w:t>
      </w:r>
      <w:r>
        <w:rPr>
          <w:rFonts w:ascii="Source Sans Pro" w:eastAsia="Source Sans Pro" w:hAnsi="Source Sans Pro" w:cs="Source Sans Pro"/>
        </w:rPr>
        <w:tab/>
      </w:r>
      <w:r>
        <w:rPr>
          <w:rFonts w:ascii="Source Sans Pro" w:eastAsia="Source Sans Pro" w:hAnsi="Source Sans Pro" w:cs="Source Sans Pro"/>
        </w:rPr>
        <w:tab/>
      </w:r>
      <w:r>
        <w:rPr>
          <w:rFonts w:ascii="Source Sans Pro" w:eastAsia="Source Sans Pro" w:hAnsi="Source Sans Pro" w:cs="Source Sans Pro"/>
        </w:rPr>
        <w:tab/>
      </w:r>
      <w:r>
        <w:rPr>
          <w:rFonts w:ascii="Source Sans Pro" w:eastAsia="Source Sans Pro" w:hAnsi="Source Sans Pro" w:cs="Source Sans Pro"/>
        </w:rPr>
        <w:tab/>
        <w:t>N Harrison</w:t>
      </w:r>
    </w:p>
    <w:p w14:paraId="37FBFE17" w14:textId="77777777" w:rsidR="006E1283" w:rsidRDefault="00BC0927">
      <w:pPr>
        <w:tabs>
          <w:tab w:val="left" w:pos="3540"/>
        </w:tabs>
        <w:spacing w:line="240" w:lineRule="auto"/>
        <w:ind w:left="5040" w:hanging="4320"/>
        <w:jc w:val="both"/>
      </w:pPr>
      <w:r>
        <w:rPr>
          <w:rFonts w:ascii="Source Sans Pro" w:eastAsia="Source Sans Pro" w:hAnsi="Source Sans Pro" w:cs="Source Sans Pro"/>
        </w:rPr>
        <w:t>Director</w:t>
      </w:r>
      <w:r>
        <w:rPr>
          <w:rFonts w:ascii="Source Sans Pro" w:eastAsia="Source Sans Pro" w:hAnsi="Source Sans Pro" w:cs="Source Sans Pro"/>
        </w:rPr>
        <w:tab/>
      </w:r>
      <w:proofErr w:type="spellStart"/>
      <w:r>
        <w:rPr>
          <w:rFonts w:ascii="Source Sans Pro" w:eastAsia="Source Sans Pro" w:hAnsi="Source Sans Pro" w:cs="Source Sans Pro"/>
        </w:rPr>
        <w:t>Director</w:t>
      </w:r>
      <w:proofErr w:type="spellEnd"/>
      <w:r>
        <w:rPr>
          <w:rFonts w:ascii="Source Sans Pro" w:eastAsia="Source Sans Pro" w:hAnsi="Source Sans Pro" w:cs="Source Sans Pro"/>
        </w:rPr>
        <w:tab/>
      </w:r>
      <w:r>
        <w:rPr>
          <w:rFonts w:ascii="Source Sans Pro" w:eastAsia="Source Sans Pro" w:hAnsi="Source Sans Pro" w:cs="Source Sans Pro"/>
        </w:rPr>
        <w:tab/>
      </w:r>
      <w:r>
        <w:rPr>
          <w:rFonts w:ascii="Source Sans Pro" w:eastAsia="Source Sans Pro" w:hAnsi="Source Sans Pro" w:cs="Source Sans Pro"/>
        </w:rPr>
        <w:tab/>
      </w:r>
      <w:r>
        <w:rPr>
          <w:rFonts w:ascii="Source Sans Pro" w:eastAsia="Source Sans Pro" w:hAnsi="Source Sans Pro" w:cs="Source Sans Pro"/>
        </w:rPr>
        <w:tab/>
      </w:r>
      <w:proofErr w:type="spellStart"/>
      <w:r>
        <w:rPr>
          <w:rFonts w:ascii="Source Sans Pro" w:eastAsia="Source Sans Pro" w:hAnsi="Source Sans Pro" w:cs="Source Sans Pro"/>
        </w:rPr>
        <w:t>Director</w:t>
      </w:r>
      <w:proofErr w:type="spellEnd"/>
    </w:p>
    <w:p w14:paraId="594F80BC" w14:textId="77777777" w:rsidR="006E1283" w:rsidRDefault="006E1283">
      <w:pPr>
        <w:spacing w:line="240" w:lineRule="auto"/>
        <w:ind w:left="5040" w:hanging="4320"/>
        <w:jc w:val="both"/>
      </w:pPr>
    </w:p>
    <w:p w14:paraId="5A0A97F8" w14:textId="77777777" w:rsidR="006E1283" w:rsidRDefault="006E1283">
      <w:pPr>
        <w:spacing w:line="240" w:lineRule="auto"/>
      </w:pPr>
    </w:p>
    <w:p w14:paraId="6374DF9B" w14:textId="77777777" w:rsidR="006E1283" w:rsidRDefault="00BC0927">
      <w:pPr>
        <w:spacing w:line="240" w:lineRule="auto"/>
      </w:pPr>
      <w:r>
        <w:rPr>
          <w:rFonts w:ascii="Source Sans Pro" w:eastAsia="Source Sans Pro" w:hAnsi="Source Sans Pro" w:cs="Source Sans Pro"/>
          <w:b/>
        </w:rPr>
        <w:t xml:space="preserve">Enquiries: </w:t>
      </w:r>
    </w:p>
    <w:p w14:paraId="15B32756" w14:textId="77777777" w:rsidR="006E1283" w:rsidRDefault="00BC0927">
      <w:pPr>
        <w:spacing w:line="240" w:lineRule="auto"/>
      </w:pPr>
      <w:r>
        <w:rPr>
          <w:rFonts w:ascii="Source Sans Pro" w:eastAsia="Source Sans Pro" w:hAnsi="Source Sans Pro" w:cs="Source Sans Pro"/>
        </w:rPr>
        <w:t>Rupert Taylor Rea, Investor Relations Director, Aviva plc</w:t>
      </w:r>
    </w:p>
    <w:p w14:paraId="14F8C28C" w14:textId="77777777" w:rsidR="006E1283" w:rsidRDefault="00BC0927">
      <w:pPr>
        <w:spacing w:line="240" w:lineRule="auto"/>
      </w:pPr>
      <w:r>
        <w:rPr>
          <w:rFonts w:ascii="Source Sans Pro" w:eastAsia="Source Sans Pro" w:hAnsi="Source Sans Pro" w:cs="Source Sans Pro"/>
        </w:rPr>
        <w:t xml:space="preserve">rupert.taylorrea@aviva.com, </w:t>
      </w:r>
      <w:r>
        <w:rPr>
          <w:rFonts w:ascii="Source Sans Pro" w:eastAsia="Source Sans Pro" w:hAnsi="Source Sans Pro" w:cs="Source Sans Pro"/>
        </w:rPr>
        <w:t>+44 (0)7385 494 440</w:t>
      </w:r>
    </w:p>
    <w:sectPr w:rsidR="006E1283">
      <w:headerReference w:type="even" r:id="rId8"/>
      <w:headerReference w:type="default" r:id="rId9"/>
      <w:footerReference w:type="even" r:id="rId10"/>
      <w:footerReference w:type="default" r:id="rId11"/>
      <w:headerReference w:type="first" r:id="rId12"/>
      <w:footerReference w:type="first" r:id="rId13"/>
      <w:type w:val="continuous"/>
      <w:pgSz w:w="11909" w:h="16834"/>
      <w:pgMar w:top="994" w:right="907" w:bottom="994" w:left="907" w:header="700" w:footer="7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4C51" w14:textId="77777777" w:rsidR="00000000" w:rsidRDefault="00BC0927">
      <w:pPr>
        <w:spacing w:line="240" w:lineRule="auto"/>
      </w:pPr>
      <w:r>
        <w:separator/>
      </w:r>
    </w:p>
  </w:endnote>
  <w:endnote w:type="continuationSeparator" w:id="0">
    <w:p w14:paraId="63CF2799" w14:textId="77777777" w:rsidR="00000000" w:rsidRDefault="00BC0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0"/>
    </w:tblGrid>
    <w:tr w:rsidR="006E1283" w14:paraId="5DE2F8BA" w14:textId="77777777">
      <w:trPr>
        <w:cantSplit/>
        <w:trHeight w:hRule="exact" w:val="315"/>
      </w:trPr>
      <w:tc>
        <w:tcPr>
          <w:tcW w:w="11910" w:type="dxa"/>
          <w:tcBorders>
            <w:top w:val="nil"/>
            <w:left w:val="nil"/>
            <w:bottom w:val="nil"/>
            <w:right w:val="nil"/>
          </w:tcBorders>
          <w:tcMar>
            <w:top w:w="0" w:type="dxa"/>
            <w:left w:w="53" w:type="dxa"/>
            <w:bottom w:w="0" w:type="dxa"/>
            <w:right w:w="53" w:type="dxa"/>
          </w:tcMar>
          <w:vAlign w:val="bottom"/>
        </w:tcPr>
        <w:p w14:paraId="01135650" w14:textId="41201279" w:rsidR="006E1283" w:rsidRDefault="006E1283">
          <w:pPr>
            <w:spacing w:before="53" w:after="3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0"/>
    </w:tblGrid>
    <w:tr w:rsidR="006E1283" w14:paraId="4BF81C16" w14:textId="77777777">
      <w:trPr>
        <w:cantSplit/>
        <w:trHeight w:hRule="exact" w:val="315"/>
      </w:trPr>
      <w:tc>
        <w:tcPr>
          <w:tcW w:w="11910" w:type="dxa"/>
          <w:tcBorders>
            <w:top w:val="nil"/>
            <w:left w:val="nil"/>
            <w:bottom w:val="nil"/>
            <w:right w:val="nil"/>
          </w:tcBorders>
          <w:tcMar>
            <w:top w:w="0" w:type="dxa"/>
            <w:left w:w="53" w:type="dxa"/>
            <w:bottom w:w="0" w:type="dxa"/>
            <w:right w:w="53" w:type="dxa"/>
          </w:tcMar>
          <w:vAlign w:val="bottom"/>
        </w:tcPr>
        <w:p w14:paraId="577C05D2" w14:textId="067186EC" w:rsidR="006E1283" w:rsidRDefault="006E1283">
          <w:pPr>
            <w:spacing w:before="53" w:after="30" w:line="240" w:lineRule="auto"/>
            <w:outlineLvl w:val="0"/>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0"/>
    </w:tblGrid>
    <w:tr w:rsidR="006E1283" w14:paraId="17C2256D" w14:textId="77777777">
      <w:trPr>
        <w:cantSplit/>
        <w:trHeight w:hRule="exact" w:val="315"/>
      </w:trPr>
      <w:tc>
        <w:tcPr>
          <w:tcW w:w="11910" w:type="dxa"/>
          <w:tcBorders>
            <w:top w:val="nil"/>
            <w:left w:val="nil"/>
            <w:bottom w:val="nil"/>
            <w:right w:val="nil"/>
          </w:tcBorders>
          <w:tcMar>
            <w:top w:w="0" w:type="dxa"/>
            <w:left w:w="53" w:type="dxa"/>
            <w:bottom w:w="0" w:type="dxa"/>
            <w:right w:w="53" w:type="dxa"/>
          </w:tcMar>
          <w:vAlign w:val="bottom"/>
        </w:tcPr>
        <w:p w14:paraId="199C2EF5" w14:textId="5CFBC0CB" w:rsidR="006E1283" w:rsidRDefault="006E1283">
          <w:pPr>
            <w:spacing w:before="53" w:after="3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2018" w14:textId="77777777" w:rsidR="00000000" w:rsidRDefault="00BC0927">
      <w:pPr>
        <w:spacing w:line="240" w:lineRule="auto"/>
      </w:pPr>
      <w:r>
        <w:separator/>
      </w:r>
    </w:p>
  </w:footnote>
  <w:footnote w:type="continuationSeparator" w:id="0">
    <w:p w14:paraId="0550366E" w14:textId="77777777" w:rsidR="00000000" w:rsidRDefault="00BC0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tblGrid>
    <w:tr w:rsidR="006E1283" w14:paraId="5CEE61F1" w14:textId="77777777">
      <w:trPr>
        <w:cantSplit/>
        <w:trHeight w:hRule="exact" w:val="315"/>
      </w:trPr>
      <w:tc>
        <w:tcPr>
          <w:tcW w:w="645" w:type="dxa"/>
          <w:tcBorders>
            <w:top w:val="nil"/>
            <w:left w:val="nil"/>
            <w:bottom w:val="nil"/>
            <w:right w:val="nil"/>
          </w:tcBorders>
          <w:tcMar>
            <w:top w:w="0" w:type="dxa"/>
            <w:left w:w="53" w:type="dxa"/>
            <w:bottom w:w="0" w:type="dxa"/>
            <w:right w:w="53" w:type="dxa"/>
          </w:tcMar>
          <w:vAlign w:val="bottom"/>
        </w:tcPr>
        <w:p w14:paraId="2F86AED8" w14:textId="77777777" w:rsidR="006E1283" w:rsidRDefault="00BC0927">
          <w:pPr>
            <w:spacing w:before="53" w:after="30" w:line="240" w:lineRule="auto"/>
            <w:jc w:val="center"/>
          </w:pPr>
          <w:r>
            <w:rPr>
              <w:sz w:val="192"/>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3BF2" w14:textId="77777777" w:rsidR="006E1283" w:rsidRDefault="006E1283">
    <w:pPr>
      <w:tabs>
        <w:tab w:val="center" w:pos="4500"/>
        <w:tab w:val="right" w:pos="902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9D11" w14:textId="77777777" w:rsidR="006E1283" w:rsidRDefault="006E1283">
    <w:pPr>
      <w:tabs>
        <w:tab w:val="center" w:pos="4500"/>
        <w:tab w:val="right" w:pos="902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89BC9522">
      <w:start w:val="1"/>
      <w:numFmt w:val="bullet"/>
      <w:lvlText w:val="•"/>
      <w:lvlJc w:val="left"/>
      <w:pPr>
        <w:tabs>
          <w:tab w:val="num" w:pos="360"/>
        </w:tabs>
        <w:ind w:left="720" w:hanging="360"/>
      </w:pPr>
      <w:rPr>
        <w:rFonts w:ascii="Arial" w:eastAsia="Arial" w:hAnsi="Arial" w:cs="Arial"/>
        <w:b w:val="0"/>
        <w:i/>
        <w:strike w:val="0"/>
        <w:sz w:val="18"/>
      </w:rPr>
    </w:lvl>
    <w:lvl w:ilvl="1" w:tplc="9DAA1838">
      <w:start w:val="1"/>
      <w:numFmt w:val="bullet"/>
      <w:lvlText w:val="o"/>
      <w:lvlJc w:val="left"/>
      <w:pPr>
        <w:tabs>
          <w:tab w:val="num" w:pos="1440"/>
        </w:tabs>
        <w:ind w:left="1440" w:hanging="360"/>
      </w:pPr>
      <w:rPr>
        <w:rFonts w:ascii="Courier New" w:hAnsi="Courier New"/>
      </w:rPr>
    </w:lvl>
    <w:lvl w:ilvl="2" w:tplc="922412F8">
      <w:start w:val="1"/>
      <w:numFmt w:val="bullet"/>
      <w:lvlText w:val=""/>
      <w:lvlJc w:val="left"/>
      <w:pPr>
        <w:tabs>
          <w:tab w:val="num" w:pos="2160"/>
        </w:tabs>
        <w:ind w:left="2160" w:hanging="360"/>
      </w:pPr>
      <w:rPr>
        <w:rFonts w:ascii="Wingdings" w:hAnsi="Wingdings"/>
      </w:rPr>
    </w:lvl>
    <w:lvl w:ilvl="3" w:tplc="0EE26D5A">
      <w:start w:val="1"/>
      <w:numFmt w:val="bullet"/>
      <w:lvlText w:val=""/>
      <w:lvlJc w:val="left"/>
      <w:pPr>
        <w:tabs>
          <w:tab w:val="num" w:pos="2880"/>
        </w:tabs>
        <w:ind w:left="2880" w:hanging="360"/>
      </w:pPr>
      <w:rPr>
        <w:rFonts w:ascii="Symbol" w:hAnsi="Symbol"/>
      </w:rPr>
    </w:lvl>
    <w:lvl w:ilvl="4" w:tplc="94ECBAA6">
      <w:start w:val="1"/>
      <w:numFmt w:val="bullet"/>
      <w:lvlText w:val="o"/>
      <w:lvlJc w:val="left"/>
      <w:pPr>
        <w:tabs>
          <w:tab w:val="num" w:pos="3600"/>
        </w:tabs>
        <w:ind w:left="3600" w:hanging="360"/>
      </w:pPr>
      <w:rPr>
        <w:rFonts w:ascii="Courier New" w:hAnsi="Courier New"/>
      </w:rPr>
    </w:lvl>
    <w:lvl w:ilvl="5" w:tplc="F1306E44">
      <w:start w:val="1"/>
      <w:numFmt w:val="bullet"/>
      <w:lvlText w:val=""/>
      <w:lvlJc w:val="left"/>
      <w:pPr>
        <w:tabs>
          <w:tab w:val="num" w:pos="4320"/>
        </w:tabs>
        <w:ind w:left="4320" w:hanging="360"/>
      </w:pPr>
      <w:rPr>
        <w:rFonts w:ascii="Wingdings" w:hAnsi="Wingdings"/>
      </w:rPr>
    </w:lvl>
    <w:lvl w:ilvl="6" w:tplc="B344EF12">
      <w:start w:val="1"/>
      <w:numFmt w:val="bullet"/>
      <w:lvlText w:val=""/>
      <w:lvlJc w:val="left"/>
      <w:pPr>
        <w:tabs>
          <w:tab w:val="num" w:pos="5040"/>
        </w:tabs>
        <w:ind w:left="5040" w:hanging="360"/>
      </w:pPr>
      <w:rPr>
        <w:rFonts w:ascii="Symbol" w:hAnsi="Symbol"/>
      </w:rPr>
    </w:lvl>
    <w:lvl w:ilvl="7" w:tplc="24566BCC">
      <w:start w:val="1"/>
      <w:numFmt w:val="bullet"/>
      <w:lvlText w:val="o"/>
      <w:lvlJc w:val="left"/>
      <w:pPr>
        <w:tabs>
          <w:tab w:val="num" w:pos="5760"/>
        </w:tabs>
        <w:ind w:left="5760" w:hanging="360"/>
      </w:pPr>
      <w:rPr>
        <w:rFonts w:ascii="Courier New" w:hAnsi="Courier New"/>
      </w:rPr>
    </w:lvl>
    <w:lvl w:ilvl="8" w:tplc="FF0ACE2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D04723A">
      <w:start w:val="1"/>
      <w:numFmt w:val="bullet"/>
      <w:lvlText w:val="•"/>
      <w:lvlJc w:val="left"/>
      <w:pPr>
        <w:tabs>
          <w:tab w:val="num" w:pos="360"/>
        </w:tabs>
        <w:ind w:left="720" w:hanging="360"/>
      </w:pPr>
      <w:rPr>
        <w:rFonts w:ascii="Arial" w:eastAsia="Arial" w:hAnsi="Arial" w:cs="Arial"/>
        <w:b w:val="0"/>
        <w:i/>
        <w:strike w:val="0"/>
        <w:sz w:val="18"/>
      </w:rPr>
    </w:lvl>
    <w:lvl w:ilvl="1" w:tplc="8C480F8E">
      <w:start w:val="1"/>
      <w:numFmt w:val="bullet"/>
      <w:lvlText w:val="o"/>
      <w:lvlJc w:val="left"/>
      <w:pPr>
        <w:tabs>
          <w:tab w:val="num" w:pos="1440"/>
        </w:tabs>
        <w:ind w:left="1440" w:hanging="360"/>
      </w:pPr>
      <w:rPr>
        <w:rFonts w:ascii="Courier New" w:hAnsi="Courier New"/>
      </w:rPr>
    </w:lvl>
    <w:lvl w:ilvl="2" w:tplc="1D0EF360">
      <w:start w:val="1"/>
      <w:numFmt w:val="bullet"/>
      <w:lvlText w:val=""/>
      <w:lvlJc w:val="left"/>
      <w:pPr>
        <w:tabs>
          <w:tab w:val="num" w:pos="2160"/>
        </w:tabs>
        <w:ind w:left="2160" w:hanging="360"/>
      </w:pPr>
      <w:rPr>
        <w:rFonts w:ascii="Wingdings" w:hAnsi="Wingdings"/>
      </w:rPr>
    </w:lvl>
    <w:lvl w:ilvl="3" w:tplc="6BE25CD4">
      <w:start w:val="1"/>
      <w:numFmt w:val="bullet"/>
      <w:lvlText w:val=""/>
      <w:lvlJc w:val="left"/>
      <w:pPr>
        <w:tabs>
          <w:tab w:val="num" w:pos="2880"/>
        </w:tabs>
        <w:ind w:left="2880" w:hanging="360"/>
      </w:pPr>
      <w:rPr>
        <w:rFonts w:ascii="Symbol" w:hAnsi="Symbol"/>
      </w:rPr>
    </w:lvl>
    <w:lvl w:ilvl="4" w:tplc="962220BA">
      <w:start w:val="1"/>
      <w:numFmt w:val="bullet"/>
      <w:lvlText w:val="o"/>
      <w:lvlJc w:val="left"/>
      <w:pPr>
        <w:tabs>
          <w:tab w:val="num" w:pos="3600"/>
        </w:tabs>
        <w:ind w:left="3600" w:hanging="360"/>
      </w:pPr>
      <w:rPr>
        <w:rFonts w:ascii="Courier New" w:hAnsi="Courier New"/>
      </w:rPr>
    </w:lvl>
    <w:lvl w:ilvl="5" w:tplc="CCDA72A8">
      <w:start w:val="1"/>
      <w:numFmt w:val="bullet"/>
      <w:lvlText w:val=""/>
      <w:lvlJc w:val="left"/>
      <w:pPr>
        <w:tabs>
          <w:tab w:val="num" w:pos="4320"/>
        </w:tabs>
        <w:ind w:left="4320" w:hanging="360"/>
      </w:pPr>
      <w:rPr>
        <w:rFonts w:ascii="Wingdings" w:hAnsi="Wingdings"/>
      </w:rPr>
    </w:lvl>
    <w:lvl w:ilvl="6" w:tplc="325EBDE2">
      <w:start w:val="1"/>
      <w:numFmt w:val="bullet"/>
      <w:lvlText w:val=""/>
      <w:lvlJc w:val="left"/>
      <w:pPr>
        <w:tabs>
          <w:tab w:val="num" w:pos="5040"/>
        </w:tabs>
        <w:ind w:left="5040" w:hanging="360"/>
      </w:pPr>
      <w:rPr>
        <w:rFonts w:ascii="Symbol" w:hAnsi="Symbol"/>
      </w:rPr>
    </w:lvl>
    <w:lvl w:ilvl="7" w:tplc="3E046DA6">
      <w:start w:val="1"/>
      <w:numFmt w:val="bullet"/>
      <w:lvlText w:val="o"/>
      <w:lvlJc w:val="left"/>
      <w:pPr>
        <w:tabs>
          <w:tab w:val="num" w:pos="5760"/>
        </w:tabs>
        <w:ind w:left="5760" w:hanging="360"/>
      </w:pPr>
      <w:rPr>
        <w:rFonts w:ascii="Courier New" w:hAnsi="Courier New"/>
      </w:rPr>
    </w:lvl>
    <w:lvl w:ilvl="8" w:tplc="E7CACFF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88A5348">
      <w:start w:val="1"/>
      <w:numFmt w:val="bullet"/>
      <w:lvlText w:val="•"/>
      <w:lvlJc w:val="left"/>
      <w:pPr>
        <w:tabs>
          <w:tab w:val="num" w:pos="360"/>
        </w:tabs>
        <w:ind w:left="720" w:hanging="360"/>
      </w:pPr>
      <w:rPr>
        <w:rFonts w:ascii="Arial" w:eastAsia="Arial" w:hAnsi="Arial" w:cs="Arial"/>
        <w:b w:val="0"/>
        <w:i/>
        <w:strike w:val="0"/>
        <w:sz w:val="18"/>
      </w:rPr>
    </w:lvl>
    <w:lvl w:ilvl="1" w:tplc="4D3A2D4E">
      <w:start w:val="1"/>
      <w:numFmt w:val="bullet"/>
      <w:lvlText w:val="o"/>
      <w:lvlJc w:val="left"/>
      <w:pPr>
        <w:tabs>
          <w:tab w:val="num" w:pos="1440"/>
        </w:tabs>
        <w:ind w:left="1440" w:hanging="360"/>
      </w:pPr>
      <w:rPr>
        <w:rFonts w:ascii="Courier New" w:hAnsi="Courier New"/>
      </w:rPr>
    </w:lvl>
    <w:lvl w:ilvl="2" w:tplc="7C125DE6">
      <w:start w:val="1"/>
      <w:numFmt w:val="bullet"/>
      <w:lvlText w:val=""/>
      <w:lvlJc w:val="left"/>
      <w:pPr>
        <w:tabs>
          <w:tab w:val="num" w:pos="2160"/>
        </w:tabs>
        <w:ind w:left="2160" w:hanging="360"/>
      </w:pPr>
      <w:rPr>
        <w:rFonts w:ascii="Wingdings" w:hAnsi="Wingdings"/>
      </w:rPr>
    </w:lvl>
    <w:lvl w:ilvl="3" w:tplc="B3AA2C46">
      <w:start w:val="1"/>
      <w:numFmt w:val="bullet"/>
      <w:lvlText w:val=""/>
      <w:lvlJc w:val="left"/>
      <w:pPr>
        <w:tabs>
          <w:tab w:val="num" w:pos="2880"/>
        </w:tabs>
        <w:ind w:left="2880" w:hanging="360"/>
      </w:pPr>
      <w:rPr>
        <w:rFonts w:ascii="Symbol" w:hAnsi="Symbol"/>
      </w:rPr>
    </w:lvl>
    <w:lvl w:ilvl="4" w:tplc="D0108D86">
      <w:start w:val="1"/>
      <w:numFmt w:val="bullet"/>
      <w:lvlText w:val="o"/>
      <w:lvlJc w:val="left"/>
      <w:pPr>
        <w:tabs>
          <w:tab w:val="num" w:pos="3600"/>
        </w:tabs>
        <w:ind w:left="3600" w:hanging="360"/>
      </w:pPr>
      <w:rPr>
        <w:rFonts w:ascii="Courier New" w:hAnsi="Courier New"/>
      </w:rPr>
    </w:lvl>
    <w:lvl w:ilvl="5" w:tplc="C6B6E88A">
      <w:start w:val="1"/>
      <w:numFmt w:val="bullet"/>
      <w:lvlText w:val=""/>
      <w:lvlJc w:val="left"/>
      <w:pPr>
        <w:tabs>
          <w:tab w:val="num" w:pos="4320"/>
        </w:tabs>
        <w:ind w:left="4320" w:hanging="360"/>
      </w:pPr>
      <w:rPr>
        <w:rFonts w:ascii="Wingdings" w:hAnsi="Wingdings"/>
      </w:rPr>
    </w:lvl>
    <w:lvl w:ilvl="6" w:tplc="991C6A3C">
      <w:start w:val="1"/>
      <w:numFmt w:val="bullet"/>
      <w:lvlText w:val=""/>
      <w:lvlJc w:val="left"/>
      <w:pPr>
        <w:tabs>
          <w:tab w:val="num" w:pos="5040"/>
        </w:tabs>
        <w:ind w:left="5040" w:hanging="360"/>
      </w:pPr>
      <w:rPr>
        <w:rFonts w:ascii="Symbol" w:hAnsi="Symbol"/>
      </w:rPr>
    </w:lvl>
    <w:lvl w:ilvl="7" w:tplc="EAEC0618">
      <w:start w:val="1"/>
      <w:numFmt w:val="bullet"/>
      <w:lvlText w:val="o"/>
      <w:lvlJc w:val="left"/>
      <w:pPr>
        <w:tabs>
          <w:tab w:val="num" w:pos="5760"/>
        </w:tabs>
        <w:ind w:left="5760" w:hanging="360"/>
      </w:pPr>
      <w:rPr>
        <w:rFonts w:ascii="Courier New" w:hAnsi="Courier New"/>
      </w:rPr>
    </w:lvl>
    <w:lvl w:ilvl="8" w:tplc="408218B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4805CA2">
      <w:start w:val="1"/>
      <w:numFmt w:val="decimal"/>
      <w:lvlText w:val="(%1)"/>
      <w:lvlJc w:val="left"/>
      <w:pPr>
        <w:tabs>
          <w:tab w:val="num" w:pos="720"/>
        </w:tabs>
        <w:ind w:left="720" w:hanging="360"/>
      </w:pPr>
      <w:rPr>
        <w:rFonts w:ascii="Source Sans Pro" w:eastAsia="Source Sans Pro" w:hAnsi="Source Sans Pro" w:cs="Source Sans Pro"/>
        <w:b w:val="0"/>
        <w:i w:val="0"/>
        <w:strike w:val="0"/>
        <w:sz w:val="24"/>
      </w:rPr>
    </w:lvl>
    <w:lvl w:ilvl="1" w:tplc="33FCB02E">
      <w:start w:val="1"/>
      <w:numFmt w:val="bullet"/>
      <w:lvlText w:val="o"/>
      <w:lvlJc w:val="left"/>
      <w:pPr>
        <w:tabs>
          <w:tab w:val="num" w:pos="1440"/>
        </w:tabs>
        <w:ind w:left="1440" w:hanging="360"/>
      </w:pPr>
      <w:rPr>
        <w:rFonts w:ascii="Courier New" w:hAnsi="Courier New"/>
      </w:rPr>
    </w:lvl>
    <w:lvl w:ilvl="2" w:tplc="5E04150E">
      <w:start w:val="1"/>
      <w:numFmt w:val="bullet"/>
      <w:lvlText w:val=""/>
      <w:lvlJc w:val="left"/>
      <w:pPr>
        <w:tabs>
          <w:tab w:val="num" w:pos="2160"/>
        </w:tabs>
        <w:ind w:left="2160" w:hanging="360"/>
      </w:pPr>
      <w:rPr>
        <w:rFonts w:ascii="Wingdings" w:hAnsi="Wingdings"/>
      </w:rPr>
    </w:lvl>
    <w:lvl w:ilvl="3" w:tplc="2DE03E2A">
      <w:start w:val="1"/>
      <w:numFmt w:val="bullet"/>
      <w:lvlText w:val=""/>
      <w:lvlJc w:val="left"/>
      <w:pPr>
        <w:tabs>
          <w:tab w:val="num" w:pos="2880"/>
        </w:tabs>
        <w:ind w:left="2880" w:hanging="360"/>
      </w:pPr>
      <w:rPr>
        <w:rFonts w:ascii="Symbol" w:hAnsi="Symbol"/>
      </w:rPr>
    </w:lvl>
    <w:lvl w:ilvl="4" w:tplc="52FE7096">
      <w:start w:val="1"/>
      <w:numFmt w:val="bullet"/>
      <w:lvlText w:val="o"/>
      <w:lvlJc w:val="left"/>
      <w:pPr>
        <w:tabs>
          <w:tab w:val="num" w:pos="3600"/>
        </w:tabs>
        <w:ind w:left="3600" w:hanging="360"/>
      </w:pPr>
      <w:rPr>
        <w:rFonts w:ascii="Courier New" w:hAnsi="Courier New"/>
      </w:rPr>
    </w:lvl>
    <w:lvl w:ilvl="5" w:tplc="C7385C1C">
      <w:start w:val="1"/>
      <w:numFmt w:val="bullet"/>
      <w:lvlText w:val=""/>
      <w:lvlJc w:val="left"/>
      <w:pPr>
        <w:tabs>
          <w:tab w:val="num" w:pos="4320"/>
        </w:tabs>
        <w:ind w:left="4320" w:hanging="360"/>
      </w:pPr>
      <w:rPr>
        <w:rFonts w:ascii="Wingdings" w:hAnsi="Wingdings"/>
      </w:rPr>
    </w:lvl>
    <w:lvl w:ilvl="6" w:tplc="359E69F0">
      <w:start w:val="1"/>
      <w:numFmt w:val="bullet"/>
      <w:lvlText w:val=""/>
      <w:lvlJc w:val="left"/>
      <w:pPr>
        <w:tabs>
          <w:tab w:val="num" w:pos="5040"/>
        </w:tabs>
        <w:ind w:left="5040" w:hanging="360"/>
      </w:pPr>
      <w:rPr>
        <w:rFonts w:ascii="Symbol" w:hAnsi="Symbol"/>
      </w:rPr>
    </w:lvl>
    <w:lvl w:ilvl="7" w:tplc="97447E64">
      <w:start w:val="1"/>
      <w:numFmt w:val="bullet"/>
      <w:lvlText w:val="o"/>
      <w:lvlJc w:val="left"/>
      <w:pPr>
        <w:tabs>
          <w:tab w:val="num" w:pos="5760"/>
        </w:tabs>
        <w:ind w:left="5760" w:hanging="360"/>
      </w:pPr>
      <w:rPr>
        <w:rFonts w:ascii="Courier New" w:hAnsi="Courier New"/>
      </w:rPr>
    </w:lvl>
    <w:lvl w:ilvl="8" w:tplc="40545B6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1DEE254">
      <w:start w:val="2"/>
      <w:numFmt w:val="decimal"/>
      <w:lvlText w:val="(%1)"/>
      <w:lvlJc w:val="left"/>
      <w:pPr>
        <w:tabs>
          <w:tab w:val="num" w:pos="720"/>
        </w:tabs>
        <w:ind w:left="720" w:hanging="360"/>
      </w:pPr>
      <w:rPr>
        <w:rFonts w:ascii="Source Sans Pro" w:eastAsia="Source Sans Pro" w:hAnsi="Source Sans Pro" w:cs="Source Sans Pro"/>
        <w:b w:val="0"/>
        <w:i w:val="0"/>
        <w:strike w:val="0"/>
        <w:sz w:val="24"/>
      </w:rPr>
    </w:lvl>
    <w:lvl w:ilvl="1" w:tplc="63FC1C18">
      <w:start w:val="1"/>
      <w:numFmt w:val="bullet"/>
      <w:lvlText w:val="o"/>
      <w:lvlJc w:val="left"/>
      <w:pPr>
        <w:tabs>
          <w:tab w:val="num" w:pos="1440"/>
        </w:tabs>
        <w:ind w:left="1440" w:hanging="360"/>
      </w:pPr>
      <w:rPr>
        <w:rFonts w:ascii="Courier New" w:hAnsi="Courier New"/>
      </w:rPr>
    </w:lvl>
    <w:lvl w:ilvl="2" w:tplc="3B2EBC10">
      <w:start w:val="1"/>
      <w:numFmt w:val="bullet"/>
      <w:lvlText w:val=""/>
      <w:lvlJc w:val="left"/>
      <w:pPr>
        <w:tabs>
          <w:tab w:val="num" w:pos="2160"/>
        </w:tabs>
        <w:ind w:left="2160" w:hanging="360"/>
      </w:pPr>
      <w:rPr>
        <w:rFonts w:ascii="Wingdings" w:hAnsi="Wingdings"/>
      </w:rPr>
    </w:lvl>
    <w:lvl w:ilvl="3" w:tplc="3CEA410C">
      <w:start w:val="1"/>
      <w:numFmt w:val="bullet"/>
      <w:lvlText w:val=""/>
      <w:lvlJc w:val="left"/>
      <w:pPr>
        <w:tabs>
          <w:tab w:val="num" w:pos="2880"/>
        </w:tabs>
        <w:ind w:left="2880" w:hanging="360"/>
      </w:pPr>
      <w:rPr>
        <w:rFonts w:ascii="Symbol" w:hAnsi="Symbol"/>
      </w:rPr>
    </w:lvl>
    <w:lvl w:ilvl="4" w:tplc="E29C23D4">
      <w:start w:val="1"/>
      <w:numFmt w:val="bullet"/>
      <w:lvlText w:val="o"/>
      <w:lvlJc w:val="left"/>
      <w:pPr>
        <w:tabs>
          <w:tab w:val="num" w:pos="3600"/>
        </w:tabs>
        <w:ind w:left="3600" w:hanging="360"/>
      </w:pPr>
      <w:rPr>
        <w:rFonts w:ascii="Courier New" w:hAnsi="Courier New"/>
      </w:rPr>
    </w:lvl>
    <w:lvl w:ilvl="5" w:tplc="FC84E69A">
      <w:start w:val="1"/>
      <w:numFmt w:val="bullet"/>
      <w:lvlText w:val=""/>
      <w:lvlJc w:val="left"/>
      <w:pPr>
        <w:tabs>
          <w:tab w:val="num" w:pos="4320"/>
        </w:tabs>
        <w:ind w:left="4320" w:hanging="360"/>
      </w:pPr>
      <w:rPr>
        <w:rFonts w:ascii="Wingdings" w:hAnsi="Wingdings"/>
      </w:rPr>
    </w:lvl>
    <w:lvl w:ilvl="6" w:tplc="41B8C396">
      <w:start w:val="1"/>
      <w:numFmt w:val="bullet"/>
      <w:lvlText w:val=""/>
      <w:lvlJc w:val="left"/>
      <w:pPr>
        <w:tabs>
          <w:tab w:val="num" w:pos="5040"/>
        </w:tabs>
        <w:ind w:left="5040" w:hanging="360"/>
      </w:pPr>
      <w:rPr>
        <w:rFonts w:ascii="Symbol" w:hAnsi="Symbol"/>
      </w:rPr>
    </w:lvl>
    <w:lvl w:ilvl="7" w:tplc="098C9562">
      <w:start w:val="1"/>
      <w:numFmt w:val="bullet"/>
      <w:lvlText w:val="o"/>
      <w:lvlJc w:val="left"/>
      <w:pPr>
        <w:tabs>
          <w:tab w:val="num" w:pos="5760"/>
        </w:tabs>
        <w:ind w:left="5760" w:hanging="360"/>
      </w:pPr>
      <w:rPr>
        <w:rFonts w:ascii="Courier New" w:hAnsi="Courier New"/>
      </w:rPr>
    </w:lvl>
    <w:lvl w:ilvl="8" w:tplc="45FC2FF0">
      <w:start w:val="1"/>
      <w:numFmt w:val="bullet"/>
      <w:lvlText w:val=""/>
      <w:lvlJc w:val="left"/>
      <w:pPr>
        <w:tabs>
          <w:tab w:val="num" w:pos="6480"/>
        </w:tabs>
        <w:ind w:left="6480" w:hanging="360"/>
      </w:pPr>
      <w:rPr>
        <w:rFonts w:ascii="Wingdings" w:hAnsi="Wingdings"/>
      </w:rPr>
    </w:lvl>
  </w:abstractNum>
  <w:num w:numId="1" w16cid:durableId="406344318">
    <w:abstractNumId w:val="0"/>
  </w:num>
  <w:num w:numId="2" w16cid:durableId="1047531742">
    <w:abstractNumId w:val="1"/>
  </w:num>
  <w:num w:numId="3" w16cid:durableId="416219714">
    <w:abstractNumId w:val="2"/>
  </w:num>
  <w:num w:numId="4" w16cid:durableId="607813294">
    <w:abstractNumId w:val="3"/>
  </w:num>
  <w:num w:numId="5" w16cid:durableId="668368796">
    <w:abstractNumId w:val="4"/>
  </w:num>
  <w:num w:numId="6" w16cid:durableId="1082262648">
    <w:abstractNumId w:val="5"/>
  </w:num>
  <w:num w:numId="7" w16cid:durableId="1160852170">
    <w:abstractNumId w:val="6"/>
  </w:num>
  <w:num w:numId="8" w16cid:durableId="2126727074">
    <w:abstractNumId w:val="7"/>
  </w:num>
  <w:num w:numId="9" w16cid:durableId="93288989">
    <w:abstractNumId w:val="8"/>
  </w:num>
  <w:num w:numId="10" w16cid:durableId="917012156">
    <w:abstractNumId w:val="9"/>
  </w:num>
  <w:num w:numId="11" w16cid:durableId="216743523">
    <w:abstractNumId w:val="10"/>
  </w:num>
  <w:num w:numId="12" w16cid:durableId="2017537681">
    <w:abstractNumId w:val="11"/>
  </w:num>
  <w:num w:numId="13" w16cid:durableId="1434276773">
    <w:abstractNumId w:val="12"/>
  </w:num>
  <w:num w:numId="14" w16cid:durableId="1959946635">
    <w:abstractNumId w:val="13"/>
  </w:num>
  <w:num w:numId="15" w16cid:durableId="1982924903">
    <w:abstractNumId w:val="14"/>
  </w:num>
  <w:num w:numId="16" w16cid:durableId="2039425724">
    <w:abstractNumId w:val="15"/>
  </w:num>
  <w:num w:numId="17" w16cid:durableId="5864290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E1283"/>
    <w:rsid w:val="00794200"/>
    <w:rsid w:val="00A77B3E"/>
    <w:rsid w:val="00BC0927"/>
    <w:rsid w:val="00CA2A55"/>
    <w:rsid w:val="00E66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9D679"/>
  <w15:docId w15:val="{7F07A998-8BA3-439F-B681-0B4CF536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8" w:lineRule="auto"/>
    </w:pPr>
    <w:rPr>
      <w:rFonts w:ascii="Arial" w:eastAsia="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viva.com"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0C78214090D4A864A31AF343353D9" ma:contentTypeVersion="108" ma:contentTypeDescription="Create a new document." ma:contentTypeScope="" ma:versionID="18d7bb7dd222a7ac1855ad6080bf5e5f">
  <xsd:schema xmlns:xsd="http://www.w3.org/2001/XMLSchema" xmlns:xs="http://www.w3.org/2001/XMLSchema" xmlns:p="http://schemas.microsoft.com/office/2006/metadata/properties" xmlns:ns2="ae98c9e5-0181-43a2-8df8-f72529837269" xmlns:ns3="0aebc330-36eb-44ac-b802-17ab6d42f410" xmlns:ns4="d29d637c-07f6-498c-bb02-0218d78fce8a" targetNamespace="http://schemas.microsoft.com/office/2006/metadata/properties" ma:root="true" ma:fieldsID="57a63261332678807ff3a626e15a3daf" ns2:_="" ns3:_="" ns4:_="">
    <xsd:import namespace="ae98c9e5-0181-43a2-8df8-f72529837269"/>
    <xsd:import namespace="0aebc330-36eb-44ac-b802-17ab6d42f410"/>
    <xsd:import namespace="d29d637c-07f6-498c-bb02-0218d78fce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8c9e5-0181-43a2-8df8-f725298372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0d5bf8-7bc1-43a8-a9c0-2de9fd0a7212}" ma:internalName="TaxCatchAll" ma:showField="CatchAllData" ma:web="ae98c9e5-0181-43a2-8df8-f725298372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ebc330-36eb-44ac-b802-17ab6d42f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d2d4de-c64e-4af1-a299-70253fe5d5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9d637c-07f6-498c-bb02-0218d78fce8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e98c9e5-0181-43a2-8df8-f72529837269">DASH65XUQVZH-1397167383-5823</_dlc_DocId>
    <_dlc_DocIdUrl xmlns="ae98c9e5-0181-43a2-8df8-f72529837269">
      <Url>https://teams.avivaworld.com/sites/CustodianLegalMatters-O365/T-010/_layouts/15/DocIdRedir.aspx?ID=DASH65XUQVZH-1397167383-5823</Url>
      <Description>DASH65XUQVZH-1397167383-5823</Description>
    </_dlc_DocIdUrl>
    <TaxCatchAll xmlns="ae98c9e5-0181-43a2-8df8-f72529837269" xsi:nil="true"/>
    <lcf76f155ced4ddcb4097134ff3c332f xmlns="0aebc330-36eb-44ac-b802-17ab6d42f4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A98FEA-3C93-4AA6-98F0-11445BF5EF72}"/>
</file>

<file path=customXml/itemProps2.xml><?xml version="1.0" encoding="utf-8"?>
<ds:datastoreItem xmlns:ds="http://schemas.openxmlformats.org/officeDocument/2006/customXml" ds:itemID="{C995AC5E-2CDC-4332-94FC-E6D667AAA307}"/>
</file>

<file path=customXml/itemProps3.xml><?xml version="1.0" encoding="utf-8"?>
<ds:datastoreItem xmlns:ds="http://schemas.openxmlformats.org/officeDocument/2006/customXml" ds:itemID="{EB7893E0-DBFC-4A20-9B91-922BDC80D14A}"/>
</file>

<file path=customXml/itemProps4.xml><?xml version="1.0" encoding="utf-8"?>
<ds:datastoreItem xmlns:ds="http://schemas.openxmlformats.org/officeDocument/2006/customXml" ds:itemID="{2ED9CAA4-4A2C-4274-BE91-9B94394434F3}"/>
</file>

<file path=docProps/app.xml><?xml version="1.0" encoding="utf-8"?>
<Properties xmlns="http://schemas.openxmlformats.org/officeDocument/2006/extended-properties" xmlns:vt="http://schemas.openxmlformats.org/officeDocument/2006/docPropsVTypes">
  <Template>Normal</Template>
  <TotalTime>7</TotalTime>
  <Pages>4</Pages>
  <Words>1014</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HY23 Press Release</dc:title>
  <dc:creator>Rachel Mawson</dc:creator>
  <cp:lastModifiedBy>Rachel Mawson</cp:lastModifiedBy>
  <cp:revision>4</cp:revision>
  <dcterms:created xsi:type="dcterms:W3CDTF">2023-08-15T08:48:00Z</dcterms:created>
  <dcterms:modified xsi:type="dcterms:W3CDTF">2023-08-15T08:54:00Z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0x010100BE50C78214090D4A864A31AF343353D9</vt:lpwstr>
  </property>
  <property fmtid="{D5CDD505-2E9C-101B-9397-08002B2CF9AE}" pid="3" name="_dlc_DocIdItemGuid">
    <vt:lpwstr>c05e9ba6-3e1e-4798-9cf2-08ddd62e96ff</vt:lpwstr>
  </property>
</Properties>
</file>