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BBA4D" w14:textId="62352576" w:rsidR="00454F23" w:rsidRPr="0044129A" w:rsidRDefault="0044129A" w:rsidP="001A1155">
      <w:pPr>
        <w:spacing w:after="0" w:line="240" w:lineRule="auto"/>
        <w:jc w:val="center"/>
        <w:rPr>
          <w:b/>
          <w:bCs/>
        </w:rPr>
      </w:pPr>
      <w:r w:rsidRPr="0044129A">
        <w:rPr>
          <w:b/>
          <w:bCs/>
        </w:rPr>
        <w:t>FIRSTGROUP PLC</w:t>
      </w:r>
    </w:p>
    <w:p w14:paraId="2BEAFBBB" w14:textId="7FB017E8" w:rsidR="0044129A" w:rsidRPr="0044129A" w:rsidRDefault="0044129A" w:rsidP="001A1155">
      <w:pPr>
        <w:spacing w:after="0" w:line="240" w:lineRule="auto"/>
        <w:jc w:val="center"/>
        <w:rPr>
          <w:b/>
          <w:bCs/>
        </w:rPr>
      </w:pPr>
      <w:r w:rsidRPr="0044129A">
        <w:rPr>
          <w:b/>
          <w:bCs/>
        </w:rPr>
        <w:t>Registered in Scotland No. SC157176</w:t>
      </w:r>
    </w:p>
    <w:p w14:paraId="219215AC" w14:textId="76211744" w:rsidR="0044129A" w:rsidRPr="0044129A" w:rsidRDefault="0044129A" w:rsidP="001A1155">
      <w:pPr>
        <w:spacing w:after="0" w:line="240" w:lineRule="auto"/>
        <w:jc w:val="center"/>
        <w:rPr>
          <w:b/>
          <w:bCs/>
        </w:rPr>
      </w:pPr>
      <w:r w:rsidRPr="0044129A">
        <w:rPr>
          <w:b/>
          <w:bCs/>
        </w:rPr>
        <w:t>(the “Company”)</w:t>
      </w:r>
    </w:p>
    <w:p w14:paraId="6E868DC7" w14:textId="3AF9F1B8" w:rsidR="0044129A" w:rsidRPr="0044129A" w:rsidRDefault="0044129A" w:rsidP="001A1155">
      <w:pPr>
        <w:spacing w:after="0" w:line="240" w:lineRule="auto"/>
        <w:jc w:val="center"/>
        <w:rPr>
          <w:b/>
          <w:bCs/>
        </w:rPr>
      </w:pPr>
    </w:p>
    <w:p w14:paraId="21BB0560" w14:textId="6FB3A84F" w:rsidR="0044129A" w:rsidRDefault="0044129A" w:rsidP="00CA52C8">
      <w:pPr>
        <w:spacing w:after="0" w:line="240" w:lineRule="auto"/>
        <w:jc w:val="both"/>
      </w:pPr>
      <w:r>
        <w:t xml:space="preserve">At the General Meeting of the Company duly convened and held at </w:t>
      </w:r>
      <w:r w:rsidR="00CA52C8">
        <w:t>1</w:t>
      </w:r>
      <w:r>
        <w:t xml:space="preserve">1.00 </w:t>
      </w:r>
      <w:r w:rsidR="00CA52C8">
        <w:t>a</w:t>
      </w:r>
      <w:r>
        <w:t xml:space="preserve">.m. on Thursday </w:t>
      </w:r>
      <w:r w:rsidR="00CA52C8">
        <w:t>18 November</w:t>
      </w:r>
      <w:r>
        <w:t xml:space="preserve"> 2021</w:t>
      </w:r>
      <w:r w:rsidR="00CA52C8">
        <w:t xml:space="preserve"> at the</w:t>
      </w:r>
      <w:r>
        <w:t xml:space="preserve"> </w:t>
      </w:r>
      <w:r w:rsidR="00CA52C8">
        <w:t>Queen Elizabeth II Centre, Broad</w:t>
      </w:r>
      <w:r w:rsidR="00CA52C8">
        <w:t xml:space="preserve"> </w:t>
      </w:r>
      <w:r w:rsidR="00CA52C8">
        <w:t>Sanctuary, Westminster, London, SW1P 3EE</w:t>
      </w:r>
      <w:r>
        <w:t xml:space="preserve"> the following resolution</w:t>
      </w:r>
      <w:r w:rsidR="00CA52C8">
        <w:t>s</w:t>
      </w:r>
      <w:r>
        <w:t xml:space="preserve"> </w:t>
      </w:r>
      <w:r w:rsidR="00CA52C8">
        <w:t>were</w:t>
      </w:r>
      <w:r>
        <w:t xml:space="preserve"> duly passed:</w:t>
      </w:r>
    </w:p>
    <w:p w14:paraId="3194A1D4" w14:textId="77777777" w:rsidR="001A1155" w:rsidRDefault="001A1155" w:rsidP="001A1155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2D644612" w14:textId="77777777" w:rsidR="004C6B68" w:rsidRDefault="004C6B68" w:rsidP="001A1155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066830B3" w14:textId="42FADFB0" w:rsidR="0044129A" w:rsidRPr="00CA52C8" w:rsidRDefault="0044129A" w:rsidP="00CA52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en-GB"/>
        </w:rPr>
      </w:pPr>
      <w:bookmarkStart w:id="0" w:name="_Hlk88145083"/>
      <w:r w:rsidRPr="00CA52C8">
        <w:rPr>
          <w:rFonts w:cstheme="minorHAnsi"/>
          <w:b/>
          <w:bCs/>
          <w:lang w:eastAsia="en-GB"/>
        </w:rPr>
        <w:t>ORDINARY RESOLUTION</w:t>
      </w:r>
    </w:p>
    <w:bookmarkEnd w:id="0"/>
    <w:p w14:paraId="5CFCC50E" w14:textId="77777777" w:rsidR="001A1155" w:rsidRPr="00AA59D6" w:rsidRDefault="001A1155" w:rsidP="001A1155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6620F60D" w14:textId="77777777" w:rsidR="0044129A" w:rsidRPr="00AA59D6" w:rsidRDefault="0044129A" w:rsidP="001A1155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sz w:val="20"/>
          <w:szCs w:val="20"/>
          <w:lang w:eastAsia="en-GB"/>
        </w:rPr>
      </w:pPr>
    </w:p>
    <w:p w14:paraId="15C01EBF" w14:textId="0B6F30D1" w:rsidR="0044129A" w:rsidRDefault="00CA52C8" w:rsidP="00CA52C8">
      <w:pPr>
        <w:spacing w:after="0" w:line="240" w:lineRule="auto"/>
        <w:ind w:left="567" w:hanging="567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2</w:t>
      </w:r>
      <w:r>
        <w:rPr>
          <w:rFonts w:cstheme="minorHAnsi"/>
          <w:bCs/>
          <w:color w:val="000000"/>
        </w:rPr>
        <w:tab/>
      </w:r>
      <w:r w:rsidRPr="00CA52C8">
        <w:rPr>
          <w:rFonts w:cstheme="minorHAnsi"/>
          <w:bCs/>
          <w:color w:val="000000"/>
        </w:rPr>
        <w:t>To authorise the Company and its directors, in connection with any Special Dividend paid or proposed to</w:t>
      </w:r>
      <w:r w:rsidRPr="00CA52C8">
        <w:rPr>
          <w:rFonts w:cstheme="minorHAnsi"/>
          <w:bCs/>
          <w:color w:val="000000"/>
        </w:rPr>
        <w:t xml:space="preserve"> </w:t>
      </w:r>
      <w:r w:rsidRPr="00CA52C8">
        <w:rPr>
          <w:rFonts w:cstheme="minorHAnsi"/>
          <w:bCs/>
          <w:color w:val="000000"/>
        </w:rPr>
        <w:t>be paid by the Company, to consolidate or sub-divide the ordinary shares of the Company, as more</w:t>
      </w:r>
      <w:r w:rsidRPr="00CA52C8">
        <w:rPr>
          <w:rFonts w:cstheme="minorHAnsi"/>
          <w:bCs/>
          <w:color w:val="000000"/>
        </w:rPr>
        <w:t xml:space="preserve"> </w:t>
      </w:r>
      <w:r w:rsidRPr="00CA52C8">
        <w:rPr>
          <w:rFonts w:cstheme="minorHAnsi"/>
          <w:bCs/>
          <w:color w:val="000000"/>
        </w:rPr>
        <w:t>particularly described in the notice of the GM.</w:t>
      </w:r>
    </w:p>
    <w:p w14:paraId="2BDBE40F" w14:textId="2DC8E965" w:rsidR="00CA52C8" w:rsidRDefault="00CA52C8" w:rsidP="00CA52C8">
      <w:pPr>
        <w:spacing w:after="0" w:line="240" w:lineRule="auto"/>
        <w:ind w:left="567" w:hanging="567"/>
        <w:jc w:val="both"/>
        <w:rPr>
          <w:rFonts w:cstheme="minorHAnsi"/>
          <w:bCs/>
          <w:color w:val="000000"/>
        </w:rPr>
      </w:pPr>
    </w:p>
    <w:p w14:paraId="0FAE8848" w14:textId="77777777" w:rsidR="00CA52C8" w:rsidRDefault="00CA52C8" w:rsidP="00CA52C8">
      <w:pPr>
        <w:spacing w:after="0" w:line="240" w:lineRule="auto"/>
        <w:ind w:left="567" w:hanging="567"/>
        <w:jc w:val="both"/>
        <w:rPr>
          <w:rFonts w:cstheme="minorHAnsi"/>
          <w:bCs/>
          <w:color w:val="000000"/>
        </w:rPr>
      </w:pPr>
    </w:p>
    <w:p w14:paraId="0BAC68CD" w14:textId="65ED25F7" w:rsidR="00CA52C8" w:rsidRPr="00CA52C8" w:rsidRDefault="00CA52C8" w:rsidP="00CA52C8">
      <w:pPr>
        <w:spacing w:after="0" w:line="240" w:lineRule="auto"/>
        <w:jc w:val="center"/>
        <w:rPr>
          <w:rFonts w:cstheme="minorHAnsi"/>
          <w:b/>
          <w:color w:val="000000"/>
        </w:rPr>
      </w:pPr>
      <w:r w:rsidRPr="00CA52C8">
        <w:rPr>
          <w:rFonts w:cstheme="minorHAnsi"/>
          <w:b/>
          <w:color w:val="000000"/>
        </w:rPr>
        <w:t>SPECIAL</w:t>
      </w:r>
      <w:r w:rsidRPr="00CA52C8">
        <w:rPr>
          <w:rFonts w:cstheme="minorHAnsi"/>
          <w:b/>
          <w:color w:val="000000"/>
        </w:rPr>
        <w:t xml:space="preserve"> RESOLUTION</w:t>
      </w:r>
    </w:p>
    <w:p w14:paraId="79BC2364" w14:textId="55D66D70" w:rsidR="00CA52C8" w:rsidRDefault="00CA52C8" w:rsidP="00CA52C8">
      <w:pPr>
        <w:spacing w:after="0" w:line="240" w:lineRule="auto"/>
        <w:jc w:val="both"/>
        <w:rPr>
          <w:rFonts w:cstheme="minorHAnsi"/>
          <w:bCs/>
        </w:rPr>
      </w:pPr>
    </w:p>
    <w:p w14:paraId="1E31536E" w14:textId="62F98912" w:rsidR="00CA52C8" w:rsidRDefault="00CA52C8" w:rsidP="00CA52C8">
      <w:pPr>
        <w:spacing w:after="0" w:line="240" w:lineRule="auto"/>
        <w:ind w:left="567" w:hanging="567"/>
        <w:jc w:val="both"/>
        <w:rPr>
          <w:rFonts w:cstheme="minorHAnsi"/>
          <w:bCs/>
        </w:rPr>
      </w:pPr>
      <w:r>
        <w:rPr>
          <w:rFonts w:cstheme="minorHAnsi"/>
          <w:bCs/>
        </w:rPr>
        <w:t>1</w:t>
      </w:r>
      <w:r>
        <w:rPr>
          <w:rFonts w:cstheme="minorHAnsi"/>
          <w:bCs/>
        </w:rPr>
        <w:tab/>
      </w:r>
      <w:r w:rsidRPr="00CA52C8">
        <w:rPr>
          <w:rFonts w:cstheme="minorHAnsi"/>
          <w:bCs/>
        </w:rPr>
        <w:t>In addition to the authority granted at the 2021 annual general meeting of the Company and any authority</w:t>
      </w:r>
      <w:r>
        <w:rPr>
          <w:rFonts w:cstheme="minorHAnsi"/>
          <w:bCs/>
        </w:rPr>
        <w:t xml:space="preserve"> </w:t>
      </w:r>
      <w:r w:rsidRPr="00CA52C8">
        <w:rPr>
          <w:rFonts w:cstheme="minorHAnsi"/>
          <w:bCs/>
        </w:rPr>
        <w:t>granted under Resolution 4, to authorise the Company to make one or more market purchases of its</w:t>
      </w:r>
      <w:r>
        <w:rPr>
          <w:rFonts w:cstheme="minorHAnsi"/>
          <w:bCs/>
        </w:rPr>
        <w:t xml:space="preserve"> </w:t>
      </w:r>
      <w:r w:rsidRPr="00CA52C8">
        <w:rPr>
          <w:rFonts w:cstheme="minorHAnsi"/>
          <w:bCs/>
        </w:rPr>
        <w:t>ordinary shares pursuant to, for the purposes of, or in connection with, the Tender Offer, as more</w:t>
      </w:r>
      <w:r>
        <w:rPr>
          <w:rFonts w:cstheme="minorHAnsi"/>
          <w:bCs/>
        </w:rPr>
        <w:t xml:space="preserve"> </w:t>
      </w:r>
      <w:r w:rsidRPr="00CA52C8">
        <w:rPr>
          <w:rFonts w:cstheme="minorHAnsi"/>
          <w:bCs/>
        </w:rPr>
        <w:t>particularly described in the notice of the GM.</w:t>
      </w:r>
    </w:p>
    <w:p w14:paraId="1A0C6FA7" w14:textId="39534DF9" w:rsidR="00CA52C8" w:rsidRDefault="00CA52C8" w:rsidP="00CA52C8">
      <w:pPr>
        <w:spacing w:after="0" w:line="240" w:lineRule="auto"/>
        <w:ind w:left="567" w:hanging="567"/>
        <w:jc w:val="both"/>
        <w:rPr>
          <w:rFonts w:cstheme="minorHAnsi"/>
          <w:bCs/>
        </w:rPr>
      </w:pPr>
    </w:p>
    <w:p w14:paraId="014B3B1D" w14:textId="7B8D5F93" w:rsidR="00CA52C8" w:rsidRDefault="00CA52C8" w:rsidP="00CA52C8">
      <w:pPr>
        <w:spacing w:after="0" w:line="240" w:lineRule="auto"/>
        <w:ind w:left="567" w:hanging="567"/>
        <w:jc w:val="both"/>
        <w:rPr>
          <w:rFonts w:cstheme="minorHAnsi"/>
          <w:bCs/>
        </w:rPr>
      </w:pPr>
      <w:r>
        <w:rPr>
          <w:rFonts w:cstheme="minorHAnsi"/>
          <w:bCs/>
        </w:rPr>
        <w:t>3</w:t>
      </w:r>
      <w:r>
        <w:rPr>
          <w:rFonts w:cstheme="minorHAnsi"/>
          <w:bCs/>
        </w:rPr>
        <w:tab/>
      </w:r>
      <w:r w:rsidRPr="00CA52C8">
        <w:rPr>
          <w:rFonts w:cstheme="minorHAnsi"/>
          <w:bCs/>
        </w:rPr>
        <w:t>Subject to any share consolidation taking effect, to amend the definition of “nominal amount” or “nominal</w:t>
      </w:r>
      <w:r>
        <w:rPr>
          <w:rFonts w:cstheme="minorHAnsi"/>
          <w:bCs/>
        </w:rPr>
        <w:t xml:space="preserve"> </w:t>
      </w:r>
      <w:r w:rsidRPr="00CA52C8">
        <w:rPr>
          <w:rFonts w:cstheme="minorHAnsi"/>
          <w:bCs/>
        </w:rPr>
        <w:t>value” in the articles of the association of the Company, as more particularly described in the notice of</w:t>
      </w:r>
      <w:r>
        <w:rPr>
          <w:rFonts w:cstheme="minorHAnsi"/>
          <w:bCs/>
        </w:rPr>
        <w:t xml:space="preserve"> </w:t>
      </w:r>
      <w:r w:rsidRPr="00CA52C8">
        <w:rPr>
          <w:rFonts w:cstheme="minorHAnsi"/>
          <w:bCs/>
        </w:rPr>
        <w:t>the GM.</w:t>
      </w:r>
    </w:p>
    <w:p w14:paraId="79987E17" w14:textId="77777777" w:rsidR="00CA52C8" w:rsidRPr="00CA52C8" w:rsidRDefault="00CA52C8" w:rsidP="00CA52C8">
      <w:pPr>
        <w:spacing w:after="0" w:line="240" w:lineRule="auto"/>
        <w:ind w:left="567" w:hanging="567"/>
        <w:jc w:val="both"/>
        <w:rPr>
          <w:rFonts w:cstheme="minorHAnsi"/>
          <w:bCs/>
        </w:rPr>
      </w:pPr>
    </w:p>
    <w:p w14:paraId="4BE314F2" w14:textId="235E0718" w:rsidR="00CA52C8" w:rsidRPr="00CA52C8" w:rsidRDefault="00CA52C8" w:rsidP="00CA52C8">
      <w:pPr>
        <w:spacing w:after="0" w:line="240" w:lineRule="auto"/>
        <w:ind w:left="567" w:hanging="567"/>
        <w:jc w:val="both"/>
        <w:rPr>
          <w:rFonts w:cstheme="minorHAnsi"/>
          <w:bCs/>
        </w:rPr>
      </w:pPr>
      <w:r>
        <w:rPr>
          <w:rFonts w:cstheme="minorHAnsi"/>
          <w:bCs/>
        </w:rPr>
        <w:t>4</w:t>
      </w:r>
      <w:r>
        <w:rPr>
          <w:rFonts w:cstheme="minorHAnsi"/>
          <w:bCs/>
        </w:rPr>
        <w:tab/>
      </w:r>
      <w:r w:rsidRPr="00CA52C8">
        <w:rPr>
          <w:rFonts w:cstheme="minorHAnsi"/>
          <w:bCs/>
        </w:rPr>
        <w:t>Subject to the passing of Resolution 1, in addition to any authority granted under Resolution 1, but in</w:t>
      </w:r>
      <w:r>
        <w:rPr>
          <w:rFonts w:cstheme="minorHAnsi"/>
          <w:bCs/>
        </w:rPr>
        <w:t xml:space="preserve"> </w:t>
      </w:r>
      <w:r w:rsidRPr="00CA52C8">
        <w:rPr>
          <w:rFonts w:cstheme="minorHAnsi"/>
          <w:bCs/>
        </w:rPr>
        <w:t>substitution for any authority granted at the 2021 annual general meeting, to authorise the Company to</w:t>
      </w:r>
      <w:r>
        <w:rPr>
          <w:rFonts w:cstheme="minorHAnsi"/>
          <w:bCs/>
        </w:rPr>
        <w:t xml:space="preserve"> </w:t>
      </w:r>
      <w:r w:rsidRPr="00CA52C8">
        <w:rPr>
          <w:rFonts w:cstheme="minorHAnsi"/>
          <w:bCs/>
        </w:rPr>
        <w:t>make one or more market purchases of its ordinary shares up to approximately ten per cent. of the</w:t>
      </w:r>
      <w:r>
        <w:rPr>
          <w:rFonts w:cstheme="minorHAnsi"/>
          <w:bCs/>
        </w:rPr>
        <w:t xml:space="preserve"> </w:t>
      </w:r>
      <w:r w:rsidRPr="00CA52C8">
        <w:rPr>
          <w:rFonts w:cstheme="minorHAnsi"/>
          <w:bCs/>
        </w:rPr>
        <w:t>Company’s Issued Ordinary Share Capital as at the latest practicable date, as more particularly described</w:t>
      </w:r>
      <w:r>
        <w:rPr>
          <w:rFonts w:cstheme="minorHAnsi"/>
          <w:bCs/>
        </w:rPr>
        <w:t xml:space="preserve"> </w:t>
      </w:r>
      <w:r w:rsidRPr="00CA52C8">
        <w:rPr>
          <w:rFonts w:cstheme="minorHAnsi"/>
          <w:bCs/>
        </w:rPr>
        <w:t>in the notice of the GM</w:t>
      </w:r>
      <w:r>
        <w:rPr>
          <w:rFonts w:cstheme="minorHAnsi"/>
          <w:bCs/>
        </w:rPr>
        <w:t>.</w:t>
      </w:r>
    </w:p>
    <w:sectPr w:rsidR="00CA52C8" w:rsidRPr="00CA5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1680F"/>
    <w:multiLevelType w:val="hybridMultilevel"/>
    <w:tmpl w:val="60B6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6D89"/>
    <w:multiLevelType w:val="hybridMultilevel"/>
    <w:tmpl w:val="CD1C2DD8"/>
    <w:lvl w:ilvl="0" w:tplc="D7B25E16">
      <w:start w:val="1"/>
      <w:numFmt w:val="decimal"/>
      <w:lvlText w:val="%1."/>
      <w:lvlJc w:val="left"/>
      <w:pPr>
        <w:ind w:left="720" w:hanging="360"/>
      </w:pPr>
    </w:lvl>
    <w:lvl w:ilvl="1" w:tplc="E98C29EC" w:tentative="1">
      <w:start w:val="1"/>
      <w:numFmt w:val="lowerLetter"/>
      <w:lvlText w:val="%2."/>
      <w:lvlJc w:val="left"/>
      <w:pPr>
        <w:ind w:left="1440" w:hanging="360"/>
      </w:pPr>
    </w:lvl>
    <w:lvl w:ilvl="2" w:tplc="A5BCAFEC" w:tentative="1">
      <w:start w:val="1"/>
      <w:numFmt w:val="lowerRoman"/>
      <w:lvlText w:val="%3."/>
      <w:lvlJc w:val="right"/>
      <w:pPr>
        <w:ind w:left="2160" w:hanging="180"/>
      </w:pPr>
    </w:lvl>
    <w:lvl w:ilvl="3" w:tplc="85AEF1E4" w:tentative="1">
      <w:start w:val="1"/>
      <w:numFmt w:val="decimal"/>
      <w:lvlText w:val="%4."/>
      <w:lvlJc w:val="left"/>
      <w:pPr>
        <w:ind w:left="2880" w:hanging="360"/>
      </w:pPr>
    </w:lvl>
    <w:lvl w:ilvl="4" w:tplc="78BEB6F2" w:tentative="1">
      <w:start w:val="1"/>
      <w:numFmt w:val="lowerLetter"/>
      <w:lvlText w:val="%5."/>
      <w:lvlJc w:val="left"/>
      <w:pPr>
        <w:ind w:left="3600" w:hanging="360"/>
      </w:pPr>
    </w:lvl>
    <w:lvl w:ilvl="5" w:tplc="ED62736C" w:tentative="1">
      <w:start w:val="1"/>
      <w:numFmt w:val="lowerRoman"/>
      <w:lvlText w:val="%6."/>
      <w:lvlJc w:val="right"/>
      <w:pPr>
        <w:ind w:left="4320" w:hanging="180"/>
      </w:pPr>
    </w:lvl>
    <w:lvl w:ilvl="6" w:tplc="5F12ACFC" w:tentative="1">
      <w:start w:val="1"/>
      <w:numFmt w:val="decimal"/>
      <w:lvlText w:val="%7."/>
      <w:lvlJc w:val="left"/>
      <w:pPr>
        <w:ind w:left="5040" w:hanging="360"/>
      </w:pPr>
    </w:lvl>
    <w:lvl w:ilvl="7" w:tplc="B16E4580" w:tentative="1">
      <w:start w:val="1"/>
      <w:numFmt w:val="lowerLetter"/>
      <w:lvlText w:val="%8."/>
      <w:lvlJc w:val="left"/>
      <w:pPr>
        <w:ind w:left="5760" w:hanging="360"/>
      </w:pPr>
    </w:lvl>
    <w:lvl w:ilvl="8" w:tplc="AC3AD1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9A"/>
    <w:rsid w:val="001A1155"/>
    <w:rsid w:val="00226D7B"/>
    <w:rsid w:val="0044129A"/>
    <w:rsid w:val="00454F23"/>
    <w:rsid w:val="004C6B68"/>
    <w:rsid w:val="00CA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3DA5"/>
  <w15:chartTrackingRefBased/>
  <w15:docId w15:val="{FAE85543-3AFE-419A-8363-701D6D20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2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720"/>
    </w:pPr>
    <w:rPr>
      <w:rFonts w:ascii="Arial" w:hAnsi="Arial"/>
      <w:kern w:val="1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Kamboj</dc:creator>
  <cp:keywords/>
  <dc:description/>
  <cp:lastModifiedBy>Jarlath Wade</cp:lastModifiedBy>
  <cp:revision>2</cp:revision>
  <dcterms:created xsi:type="dcterms:W3CDTF">2021-11-18T16:29:00Z</dcterms:created>
  <dcterms:modified xsi:type="dcterms:W3CDTF">2021-11-18T16:29:00Z</dcterms:modified>
</cp:coreProperties>
</file>