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D02F" w14:textId="69FA17DA" w:rsidR="00351028" w:rsidRPr="00351028" w:rsidRDefault="00002291" w:rsidP="00351028">
      <w:pPr>
        <w:pStyle w:val="BodyText"/>
        <w:jc w:val="center"/>
        <w:rPr>
          <w:rFonts w:ascii="Segoe UI" w:hAnsi="Segoe UI" w:cs="Segoe UI"/>
          <w:b/>
          <w:w w:val="105"/>
          <w:sz w:val="28"/>
          <w:szCs w:val="28"/>
        </w:rPr>
      </w:pPr>
      <w:r w:rsidRPr="00351028">
        <w:rPr>
          <w:rFonts w:ascii="Segoe UI" w:hAnsi="Segoe UI" w:cs="Segoe UI"/>
          <w:b/>
          <w:w w:val="105"/>
          <w:sz w:val="28"/>
          <w:szCs w:val="28"/>
        </w:rPr>
        <w:t>Victrex Plc</w:t>
      </w:r>
    </w:p>
    <w:p w14:paraId="3035C1AF" w14:textId="6300107E" w:rsidR="00002291" w:rsidRDefault="00351028" w:rsidP="00351028">
      <w:pPr>
        <w:pStyle w:val="BodyText"/>
        <w:jc w:val="center"/>
        <w:rPr>
          <w:b/>
          <w:color w:val="525252"/>
          <w:w w:val="105"/>
          <w:sz w:val="23"/>
        </w:rPr>
      </w:pPr>
      <w:r>
        <w:rPr>
          <w:rFonts w:ascii="Segoe UI" w:hAnsi="Segoe UI" w:cs="Segoe UI"/>
          <w:b/>
          <w:w w:val="105"/>
          <w:sz w:val="22"/>
          <w:szCs w:val="22"/>
        </w:rPr>
        <w:t xml:space="preserve">Company Number: </w:t>
      </w:r>
      <w:r w:rsidR="00002291" w:rsidRPr="00EA7FFC">
        <w:rPr>
          <w:b/>
          <w:w w:val="105"/>
          <w:sz w:val="23"/>
        </w:rPr>
        <w:t>02793780 (the "Company")</w:t>
      </w:r>
    </w:p>
    <w:p w14:paraId="5F55A21E" w14:textId="77777777" w:rsidR="00351028" w:rsidRDefault="00351028" w:rsidP="00351028">
      <w:pPr>
        <w:pStyle w:val="BodyText"/>
        <w:jc w:val="center"/>
        <w:rPr>
          <w:rFonts w:ascii="Segoe UI" w:hAnsi="Segoe UI" w:cs="Segoe UI"/>
          <w:b/>
          <w:w w:val="105"/>
          <w:sz w:val="24"/>
          <w:szCs w:val="24"/>
        </w:rPr>
      </w:pPr>
    </w:p>
    <w:p w14:paraId="59775432" w14:textId="4D6EF982" w:rsidR="00002291" w:rsidRPr="0011691B" w:rsidRDefault="00351028" w:rsidP="00351028">
      <w:pPr>
        <w:pStyle w:val="BodyText"/>
        <w:jc w:val="center"/>
        <w:rPr>
          <w:rFonts w:ascii="Segoe UI" w:hAnsi="Segoe UI" w:cs="Segoe UI"/>
          <w:bCs/>
          <w:sz w:val="22"/>
          <w:szCs w:val="22"/>
          <w:lang w:val="en-GB"/>
        </w:rPr>
      </w:pPr>
      <w:r w:rsidRPr="0011691B">
        <w:rPr>
          <w:rFonts w:ascii="Segoe UI" w:hAnsi="Segoe UI" w:cs="Segoe UI"/>
          <w:bCs/>
          <w:w w:val="105"/>
          <w:sz w:val="24"/>
          <w:szCs w:val="24"/>
        </w:rPr>
        <w:t>Extract of Special Resolutions P</w:t>
      </w:r>
      <w:r w:rsidR="00002291" w:rsidRPr="00002291">
        <w:rPr>
          <w:bCs/>
          <w:sz w:val="23"/>
          <w:lang w:val="en-GB"/>
        </w:rPr>
        <w:t>assed at the Annual General Meeting</w:t>
      </w:r>
      <w:r w:rsidRPr="0011691B">
        <w:rPr>
          <w:bCs/>
          <w:sz w:val="23"/>
          <w:lang w:val="en-GB"/>
        </w:rPr>
        <w:t xml:space="preserve"> (“AGM”)</w:t>
      </w:r>
      <w:r w:rsidR="00002291" w:rsidRPr="00002291">
        <w:rPr>
          <w:bCs/>
          <w:sz w:val="23"/>
          <w:lang w:val="en-GB"/>
        </w:rPr>
        <w:t xml:space="preserve"> </w:t>
      </w:r>
      <w:r w:rsidR="00002291" w:rsidRPr="0011691B">
        <w:rPr>
          <w:rFonts w:ascii="Segoe UI" w:hAnsi="Segoe UI" w:cs="Segoe UI"/>
          <w:bCs/>
          <w:w w:val="105"/>
          <w:sz w:val="22"/>
          <w:szCs w:val="22"/>
        </w:rPr>
        <w:t xml:space="preserve">of the Company, duly convened and held at </w:t>
      </w:r>
      <w:r w:rsidR="00002291" w:rsidRPr="0011691B">
        <w:rPr>
          <w:rFonts w:ascii="Segoe UI" w:hAnsi="Segoe UI" w:cs="Segoe UI"/>
          <w:bCs/>
          <w:sz w:val="22"/>
          <w:szCs w:val="22"/>
        </w:rPr>
        <w:t>J.P. Morgan Cazenove, 1 John Carpenter Street, London, EC4Y 0JP</w:t>
      </w:r>
      <w:r w:rsidR="0011691B">
        <w:rPr>
          <w:rFonts w:ascii="Segoe UI" w:hAnsi="Segoe UI" w:cs="Segoe UI"/>
          <w:bCs/>
          <w:sz w:val="22"/>
          <w:szCs w:val="22"/>
        </w:rPr>
        <w:t>.</w:t>
      </w:r>
    </w:p>
    <w:p w14:paraId="2D46662D" w14:textId="4C9A1629" w:rsidR="00002291" w:rsidRDefault="00002291" w:rsidP="00351028">
      <w:pPr>
        <w:pStyle w:val="BodyText"/>
        <w:jc w:val="center"/>
        <w:rPr>
          <w:rFonts w:ascii="Segoe UI" w:hAnsi="Segoe UI" w:cs="Segoe UI"/>
          <w:bCs/>
          <w:sz w:val="22"/>
          <w:szCs w:val="22"/>
        </w:rPr>
      </w:pPr>
      <w:r w:rsidRPr="0011691B">
        <w:rPr>
          <w:rFonts w:ascii="Segoe UI" w:hAnsi="Segoe UI" w:cs="Segoe UI"/>
          <w:bCs/>
          <w:snapToGrid w:val="0"/>
          <w:sz w:val="22"/>
          <w:szCs w:val="22"/>
        </w:rPr>
        <w:t xml:space="preserve">at 11.00am on </w:t>
      </w:r>
      <w:r w:rsidRPr="0011691B">
        <w:rPr>
          <w:rFonts w:ascii="Segoe UI" w:hAnsi="Segoe UI" w:cs="Segoe UI"/>
          <w:bCs/>
          <w:sz w:val="22"/>
          <w:szCs w:val="22"/>
        </w:rPr>
        <w:t>Friday 6 February 2026</w:t>
      </w:r>
    </w:p>
    <w:p w14:paraId="38DCC2D1" w14:textId="77777777" w:rsidR="002F7672" w:rsidRPr="00002291" w:rsidRDefault="002F7672" w:rsidP="00351028">
      <w:pPr>
        <w:pStyle w:val="BodyText"/>
        <w:jc w:val="center"/>
        <w:rPr>
          <w:bCs/>
          <w:sz w:val="23"/>
          <w:lang w:val="en-GB"/>
        </w:rPr>
      </w:pPr>
    </w:p>
    <w:p w14:paraId="3AB35837" w14:textId="77777777" w:rsidR="00002291" w:rsidRDefault="00002291" w:rsidP="00002291">
      <w:pPr>
        <w:pStyle w:val="BodyText"/>
        <w:jc w:val="center"/>
        <w:rPr>
          <w:b/>
          <w:sz w:val="23"/>
        </w:rPr>
      </w:pPr>
    </w:p>
    <w:p w14:paraId="5AA89EEA"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b/>
          <w:bCs/>
          <w:lang w:val="en-GB"/>
        </w:rPr>
      </w:pPr>
      <w:r w:rsidRPr="00351028">
        <w:rPr>
          <w:rFonts w:ascii="Segoe UI" w:eastAsiaTheme="minorHAnsi" w:hAnsi="Segoe UI" w:cs="Segoe UI"/>
          <w:b/>
          <w:bCs/>
          <w:lang w:val="en-GB"/>
        </w:rPr>
        <w:t>SPECIAL RESOLUTION 17 – Disapplication of Pre</w:t>
      </w:r>
      <w:r w:rsidRPr="00351028">
        <w:rPr>
          <w:rFonts w:ascii="Segoe UI" w:eastAsiaTheme="minorHAnsi" w:hAnsi="Segoe UI" w:cs="Segoe UI"/>
          <w:b/>
          <w:bCs/>
          <w:lang w:val="en-GB"/>
        </w:rPr>
        <w:noBreakHyphen/>
        <w:t>emption Rights</w:t>
      </w:r>
    </w:p>
    <w:p w14:paraId="11E56A07"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THAT, subject to the passing of Resolution 16 in the Notice of AGM, the Directors be empowered pursuant to section 570 of the Companies Act 2006 to allot equity securities (as defined in section 560(1) of the Companies Act 2006) for cash under the authority given by Resolution 16 (or by way of a sale of treasury shares) as if section 561 of the Companies Act 2006 did not apply to such allotment or sale, provided that such power shall be limited to:</w:t>
      </w:r>
    </w:p>
    <w:p w14:paraId="50B8EA43" w14:textId="60FFFD41" w:rsidR="00351028" w:rsidRPr="00351028" w:rsidRDefault="00351028" w:rsidP="00351028">
      <w:pPr>
        <w:pStyle w:val="ListParagraph"/>
        <w:widowControl/>
        <w:numPr>
          <w:ilvl w:val="0"/>
          <w:numId w:val="11"/>
        </w:numPr>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the allotment of equity securities and/or sale of treasury shares in connection with an offer of, or invitation to apply for, equity securities (and, in the case of the authority granted under paragraph (b) of Resolution 16, by way of a rights issue only):</w:t>
      </w:r>
    </w:p>
    <w:p w14:paraId="29213B0D" w14:textId="2A94D90F" w:rsidR="00351028" w:rsidRPr="00351028" w:rsidRDefault="00351028" w:rsidP="00351028">
      <w:pPr>
        <w:pStyle w:val="ListParagraph"/>
        <w:widowControl/>
        <w:tabs>
          <w:tab w:val="left" w:pos="469"/>
        </w:tabs>
        <w:kinsoku w:val="0"/>
        <w:overflowPunct w:val="0"/>
        <w:adjustRightInd w:val="0"/>
        <w:spacing w:before="98"/>
        <w:ind w:left="1440" w:firstLine="0"/>
        <w:rPr>
          <w:rFonts w:ascii="Segoe UI" w:eastAsiaTheme="minorHAnsi" w:hAnsi="Segoe UI" w:cs="Segoe UI"/>
          <w:lang w:val="en-GB"/>
        </w:rPr>
      </w:pPr>
      <w:r w:rsidRPr="00351028">
        <w:rPr>
          <w:rFonts w:ascii="Segoe UI" w:eastAsiaTheme="minorHAnsi" w:hAnsi="Segoe UI" w:cs="Segoe UI"/>
          <w:lang w:val="en-GB"/>
        </w:rPr>
        <w:t>(</w:t>
      </w:r>
      <w:proofErr w:type="spellStart"/>
      <w:r w:rsidRPr="00351028">
        <w:rPr>
          <w:rFonts w:ascii="Segoe UI" w:eastAsiaTheme="minorHAnsi" w:hAnsi="Segoe UI" w:cs="Segoe UI"/>
          <w:lang w:val="en-GB"/>
        </w:rPr>
        <w:t>i</w:t>
      </w:r>
      <w:proofErr w:type="spellEnd"/>
      <w:r w:rsidRPr="00351028">
        <w:rPr>
          <w:rFonts w:ascii="Segoe UI" w:eastAsiaTheme="minorHAnsi" w:hAnsi="Segoe UI" w:cs="Segoe UI"/>
          <w:lang w:val="en-GB"/>
        </w:rPr>
        <w:t>) to ordinary shareholders in proportion, as nearly as practicable, to their existing holdings; and</w:t>
      </w:r>
      <w:r w:rsidRPr="00351028">
        <w:rPr>
          <w:rFonts w:ascii="Segoe UI" w:eastAsiaTheme="minorHAnsi" w:hAnsi="Segoe UI" w:cs="Segoe UI"/>
          <w:lang w:val="en-GB"/>
        </w:rPr>
        <w:br/>
        <w:t>(ii) to holders of other equity securities, as required by the rights of those securities, or as the Directors otherwise consider necessary; and</w:t>
      </w:r>
    </w:p>
    <w:p w14:paraId="7AE33783" w14:textId="67A81B31" w:rsidR="00351028" w:rsidRPr="00351028" w:rsidRDefault="00351028" w:rsidP="00351028">
      <w:pPr>
        <w:widowControl/>
        <w:tabs>
          <w:tab w:val="left" w:pos="469"/>
        </w:tabs>
        <w:kinsoku w:val="0"/>
        <w:overflowPunct w:val="0"/>
        <w:adjustRightInd w:val="0"/>
        <w:spacing w:before="98"/>
        <w:ind w:left="469"/>
        <w:rPr>
          <w:rFonts w:ascii="Segoe UI" w:eastAsiaTheme="minorHAnsi" w:hAnsi="Segoe UI" w:cs="Segoe UI"/>
          <w:lang w:val="en-GB"/>
        </w:rPr>
      </w:pPr>
      <w:r w:rsidRPr="00351028">
        <w:rPr>
          <w:rFonts w:ascii="Segoe UI" w:eastAsiaTheme="minorHAnsi" w:hAnsi="Segoe UI" w:cs="Segoe UI"/>
          <w:lang w:val="en-GB"/>
        </w:rPr>
        <w:t>(b) the allotment of equity securities and/or sale of treasury shares (otherwise than under paragraph (a) above) up to an aggregate nominal amount of £43,526.</w:t>
      </w:r>
    </w:p>
    <w:p w14:paraId="79D59BF7"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This authority shall expire on the revocation or expiry (unless renewed) of the authority conferred by Resolution 16, except that the Company may make offers or enter into agreements before such expiry which may require equity securities to be allotted (and/or treasury shares to be sold) after such expiry.</w:t>
      </w:r>
    </w:p>
    <w:p w14:paraId="12CD4AD8" w14:textId="77777777" w:rsidR="00351028" w:rsidRPr="00351028" w:rsidRDefault="007870E1" w:rsidP="00351028">
      <w:pPr>
        <w:widowControl/>
        <w:tabs>
          <w:tab w:val="left" w:pos="469"/>
        </w:tabs>
        <w:kinsoku w:val="0"/>
        <w:overflowPunct w:val="0"/>
        <w:adjustRightInd w:val="0"/>
        <w:spacing w:before="98"/>
        <w:rPr>
          <w:rFonts w:ascii="Segoe UI" w:eastAsiaTheme="minorHAnsi" w:hAnsi="Segoe UI" w:cs="Segoe UI"/>
          <w:lang w:val="en-GB"/>
        </w:rPr>
      </w:pPr>
      <w:r>
        <w:rPr>
          <w:rFonts w:ascii="Segoe UI" w:eastAsiaTheme="minorHAnsi" w:hAnsi="Segoe UI" w:cs="Segoe UI"/>
          <w:lang w:val="en-GB"/>
        </w:rPr>
        <w:pict w14:anchorId="4993167A">
          <v:rect id="_x0000_i1025" style="width:0;height:1.5pt" o:hralign="center" o:hrstd="t" o:hr="t" fillcolor="#a0a0a0" stroked="f"/>
        </w:pict>
      </w:r>
    </w:p>
    <w:p w14:paraId="68BCFA89"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b/>
          <w:bCs/>
          <w:lang w:val="en-GB"/>
        </w:rPr>
      </w:pPr>
      <w:r w:rsidRPr="00351028">
        <w:rPr>
          <w:rFonts w:ascii="Segoe UI" w:eastAsiaTheme="minorHAnsi" w:hAnsi="Segoe UI" w:cs="Segoe UI"/>
          <w:b/>
          <w:bCs/>
          <w:lang w:val="en-GB"/>
        </w:rPr>
        <w:t>SPECIAL RESOLUTION 18 – Additional Disapplication of Pre</w:t>
      </w:r>
      <w:r w:rsidRPr="00351028">
        <w:rPr>
          <w:rFonts w:ascii="Segoe UI" w:eastAsiaTheme="minorHAnsi" w:hAnsi="Segoe UI" w:cs="Segoe UI"/>
          <w:b/>
          <w:bCs/>
          <w:lang w:val="en-GB"/>
        </w:rPr>
        <w:noBreakHyphen/>
        <w:t>emption Rights</w:t>
      </w:r>
    </w:p>
    <w:p w14:paraId="34E45135"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THAT, subject to the passing of Resolution 16 and in addition to the authority conferred by Special Resolution 17, the Directors be empowered pursuant to section 570 of the Companies Act 2006 to allot equity securities (as defined in section 560(1) of the Act) for cash under the authority conferred by Resolution 16 (or by way of a sale of treasury shares) as if section 561 of the Act did not apply to such allotment or sale, provided that such power shall be:</w:t>
      </w:r>
    </w:p>
    <w:p w14:paraId="360C2643" w14:textId="15CCD852" w:rsidR="00351028" w:rsidRPr="00351028" w:rsidRDefault="00351028" w:rsidP="00351028">
      <w:pPr>
        <w:widowControl/>
        <w:tabs>
          <w:tab w:val="left" w:pos="469"/>
        </w:tabs>
        <w:kinsoku w:val="0"/>
        <w:overflowPunct w:val="0"/>
        <w:adjustRightInd w:val="0"/>
        <w:spacing w:before="98"/>
        <w:ind w:left="469"/>
        <w:rPr>
          <w:rFonts w:ascii="Segoe UI" w:eastAsiaTheme="minorHAnsi" w:hAnsi="Segoe UI" w:cs="Segoe UI"/>
          <w:lang w:val="en-GB"/>
        </w:rPr>
      </w:pPr>
      <w:r w:rsidRPr="00351028">
        <w:rPr>
          <w:rFonts w:ascii="Segoe UI" w:eastAsiaTheme="minorHAnsi" w:hAnsi="Segoe UI" w:cs="Segoe UI"/>
          <w:lang w:val="en-GB"/>
        </w:rPr>
        <w:t>(a) limited to the allotment of equity securities and/or sale of treasury shares up to an aggregate nominal amount of £43,526; and</w:t>
      </w:r>
    </w:p>
    <w:p w14:paraId="0B24A12C" w14:textId="2B70B315" w:rsidR="00351028" w:rsidRPr="00351028" w:rsidRDefault="00351028" w:rsidP="00351028">
      <w:pPr>
        <w:widowControl/>
        <w:tabs>
          <w:tab w:val="left" w:pos="469"/>
        </w:tabs>
        <w:kinsoku w:val="0"/>
        <w:overflowPunct w:val="0"/>
        <w:adjustRightInd w:val="0"/>
        <w:spacing w:before="98"/>
        <w:ind w:left="469"/>
        <w:rPr>
          <w:rFonts w:ascii="Segoe UI" w:eastAsiaTheme="minorHAnsi" w:hAnsi="Segoe UI" w:cs="Segoe UI"/>
          <w:lang w:val="en-GB"/>
        </w:rPr>
      </w:pPr>
      <w:r w:rsidRPr="00351028">
        <w:rPr>
          <w:rFonts w:ascii="Segoe UI" w:eastAsiaTheme="minorHAnsi" w:hAnsi="Segoe UI" w:cs="Segoe UI"/>
          <w:lang w:val="en-GB"/>
        </w:rPr>
        <w:t>(b) used only for the purposes of financing (or refinancing, if used within 12 months of the original transaction) an acquisition or specified capital investment of a kind contemplated by the Statement of Principles on Disapplying Pre</w:t>
      </w:r>
      <w:r w:rsidRPr="00351028">
        <w:rPr>
          <w:rFonts w:ascii="Segoe UI" w:eastAsiaTheme="minorHAnsi" w:hAnsi="Segoe UI" w:cs="Segoe UI"/>
          <w:lang w:val="en-GB"/>
        </w:rPr>
        <w:noBreakHyphen/>
        <w:t>Emption Rights most recently published by the Pre</w:t>
      </w:r>
      <w:r w:rsidRPr="00351028">
        <w:rPr>
          <w:rFonts w:ascii="Segoe UI" w:eastAsiaTheme="minorHAnsi" w:hAnsi="Segoe UI" w:cs="Segoe UI"/>
          <w:lang w:val="en-GB"/>
        </w:rPr>
        <w:noBreakHyphen/>
        <w:t>Emption Group.</w:t>
      </w:r>
    </w:p>
    <w:p w14:paraId="1747DDBE"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This authority shall expire on the revocation or expiry (unless renewed) of the authority conferred by Resolution 16, except that the Company may make offers or enter into agreements before such expiry which may require equity securities to be allotted (and/or treasury shares to be sold) after such expiry.</w:t>
      </w:r>
    </w:p>
    <w:p w14:paraId="3B1283D0" w14:textId="77777777" w:rsidR="00351028" w:rsidRPr="00351028" w:rsidRDefault="007870E1" w:rsidP="00351028">
      <w:pPr>
        <w:widowControl/>
        <w:tabs>
          <w:tab w:val="left" w:pos="469"/>
        </w:tabs>
        <w:kinsoku w:val="0"/>
        <w:overflowPunct w:val="0"/>
        <w:adjustRightInd w:val="0"/>
        <w:spacing w:before="98"/>
        <w:rPr>
          <w:rFonts w:ascii="Segoe UI" w:eastAsiaTheme="minorHAnsi" w:hAnsi="Segoe UI" w:cs="Segoe UI"/>
          <w:lang w:val="en-GB"/>
        </w:rPr>
      </w:pPr>
      <w:r>
        <w:rPr>
          <w:rFonts w:ascii="Segoe UI" w:eastAsiaTheme="minorHAnsi" w:hAnsi="Segoe UI" w:cs="Segoe UI"/>
          <w:lang w:val="en-GB"/>
        </w:rPr>
        <w:pict w14:anchorId="2AD21080">
          <v:rect id="_x0000_i1026" style="width:0;height:1.5pt" o:hralign="center" o:hrstd="t" o:hr="t" fillcolor="#a0a0a0" stroked="f"/>
        </w:pict>
      </w:r>
    </w:p>
    <w:p w14:paraId="29471F7B" w14:textId="77777777" w:rsidR="00351028" w:rsidRDefault="00351028" w:rsidP="00351028">
      <w:pPr>
        <w:widowControl/>
        <w:tabs>
          <w:tab w:val="left" w:pos="469"/>
        </w:tabs>
        <w:kinsoku w:val="0"/>
        <w:overflowPunct w:val="0"/>
        <w:adjustRightInd w:val="0"/>
        <w:spacing w:before="98"/>
        <w:rPr>
          <w:rFonts w:ascii="Segoe UI" w:eastAsiaTheme="minorHAnsi" w:hAnsi="Segoe UI" w:cs="Segoe UI"/>
          <w:b/>
          <w:bCs/>
          <w:lang w:val="en-GB"/>
        </w:rPr>
      </w:pPr>
    </w:p>
    <w:p w14:paraId="50578878" w14:textId="1D92F17E"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b/>
          <w:bCs/>
          <w:lang w:val="en-GB"/>
        </w:rPr>
      </w:pPr>
      <w:r w:rsidRPr="00351028">
        <w:rPr>
          <w:rFonts w:ascii="Segoe UI" w:eastAsiaTheme="minorHAnsi" w:hAnsi="Segoe UI" w:cs="Segoe UI"/>
          <w:b/>
          <w:bCs/>
          <w:lang w:val="en-GB"/>
        </w:rPr>
        <w:t>SPECIAL RESOLUTION 19 – Authority to Purchase Own Shares</w:t>
      </w:r>
    </w:p>
    <w:p w14:paraId="491B4F7E"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THAT the Company be authorised generally and unconditionally pursuant to section 701 of the Companies Act 2006 to make market purchases (as defined in section 693(4) of the Act) of its ordinary shares (“Ordinary Shares”), provided that:</w:t>
      </w:r>
    </w:p>
    <w:p w14:paraId="13A09249" w14:textId="0FF20A21" w:rsidR="00351028" w:rsidRDefault="00351028" w:rsidP="00351028">
      <w:pPr>
        <w:widowControl/>
        <w:tabs>
          <w:tab w:val="left" w:pos="469"/>
        </w:tabs>
        <w:kinsoku w:val="0"/>
        <w:overflowPunct w:val="0"/>
        <w:adjustRightInd w:val="0"/>
        <w:spacing w:before="98"/>
        <w:ind w:left="469"/>
        <w:rPr>
          <w:rFonts w:ascii="Segoe UI" w:eastAsiaTheme="minorHAnsi" w:hAnsi="Segoe UI" w:cs="Segoe UI"/>
          <w:lang w:val="en-GB"/>
        </w:rPr>
      </w:pPr>
      <w:r w:rsidRPr="00351028">
        <w:rPr>
          <w:rFonts w:ascii="Segoe UI" w:eastAsiaTheme="minorHAnsi" w:hAnsi="Segoe UI" w:cs="Segoe UI"/>
          <w:lang w:val="en-GB"/>
        </w:rPr>
        <w:t>(a) the maximum aggregate number of Ordinary Shares that may be purchased is 8,705,21</w:t>
      </w:r>
      <w:r w:rsidR="00957425">
        <w:rPr>
          <w:rFonts w:ascii="Segoe UI" w:eastAsiaTheme="minorHAnsi" w:hAnsi="Segoe UI" w:cs="Segoe UI"/>
          <w:lang w:val="en-GB"/>
        </w:rPr>
        <w:t>0</w:t>
      </w:r>
      <w:r w:rsidRPr="00351028">
        <w:rPr>
          <w:rFonts w:ascii="Segoe UI" w:eastAsiaTheme="minorHAnsi" w:hAnsi="Segoe UI" w:cs="Segoe UI"/>
          <w:lang w:val="en-GB"/>
        </w:rPr>
        <w:t>;</w:t>
      </w:r>
      <w:r w:rsidRPr="00351028">
        <w:rPr>
          <w:rFonts w:ascii="Segoe UI" w:eastAsiaTheme="minorHAnsi" w:hAnsi="Segoe UI" w:cs="Segoe UI"/>
          <w:lang w:val="en-GB"/>
        </w:rPr>
        <w:br/>
        <w:t>(b) the maximum price (exclusive of expenses) payable per Ordinary Share shall not exceed the higher of:</w:t>
      </w:r>
    </w:p>
    <w:p w14:paraId="5CB33B19" w14:textId="77777777" w:rsidR="00351028" w:rsidRDefault="00351028" w:rsidP="00351028">
      <w:pPr>
        <w:widowControl/>
        <w:tabs>
          <w:tab w:val="left" w:pos="469"/>
        </w:tabs>
        <w:kinsoku w:val="0"/>
        <w:overflowPunct w:val="0"/>
        <w:adjustRightInd w:val="0"/>
        <w:spacing w:before="98"/>
        <w:ind w:left="720"/>
        <w:rPr>
          <w:rFonts w:ascii="Segoe UI" w:eastAsiaTheme="minorHAnsi" w:hAnsi="Segoe UI" w:cs="Segoe UI"/>
          <w:lang w:val="en-GB"/>
        </w:rPr>
      </w:pPr>
      <w:r w:rsidRPr="00351028">
        <w:rPr>
          <w:rFonts w:ascii="Segoe UI" w:eastAsiaTheme="minorHAnsi" w:hAnsi="Segoe UI" w:cs="Segoe UI"/>
          <w:lang w:val="en-GB"/>
        </w:rPr>
        <w:t>(</w:t>
      </w:r>
      <w:proofErr w:type="spellStart"/>
      <w:r w:rsidRPr="00351028">
        <w:rPr>
          <w:rFonts w:ascii="Segoe UI" w:eastAsiaTheme="minorHAnsi" w:hAnsi="Segoe UI" w:cs="Segoe UI"/>
          <w:lang w:val="en-GB"/>
        </w:rPr>
        <w:t>i</w:t>
      </w:r>
      <w:proofErr w:type="spellEnd"/>
      <w:r w:rsidRPr="00351028">
        <w:rPr>
          <w:rFonts w:ascii="Segoe UI" w:eastAsiaTheme="minorHAnsi" w:hAnsi="Segoe UI" w:cs="Segoe UI"/>
          <w:lang w:val="en-GB"/>
        </w:rPr>
        <w:t>) 5% above the average market price of an Ordinary Share for the five business days immediately preceding the purchase; and</w:t>
      </w:r>
      <w:r w:rsidRPr="00351028">
        <w:rPr>
          <w:rFonts w:ascii="Segoe UI" w:eastAsiaTheme="minorHAnsi" w:hAnsi="Segoe UI" w:cs="Segoe UI"/>
          <w:lang w:val="en-GB"/>
        </w:rPr>
        <w:br/>
        <w:t xml:space="preserve">(ii) the higher of the price of the last independent trade and the highest current independent bid at the time of </w:t>
      </w:r>
      <w:proofErr w:type="gramStart"/>
      <w:r w:rsidRPr="00351028">
        <w:rPr>
          <w:rFonts w:ascii="Segoe UI" w:eastAsiaTheme="minorHAnsi" w:hAnsi="Segoe UI" w:cs="Segoe UI"/>
          <w:lang w:val="en-GB"/>
        </w:rPr>
        <w:t>purchase;</w:t>
      </w:r>
      <w:proofErr w:type="gramEnd"/>
    </w:p>
    <w:p w14:paraId="37C55DD4" w14:textId="4605845A" w:rsidR="00351028" w:rsidRPr="00351028" w:rsidRDefault="00351028" w:rsidP="00351028">
      <w:pPr>
        <w:widowControl/>
        <w:tabs>
          <w:tab w:val="left" w:pos="469"/>
        </w:tabs>
        <w:kinsoku w:val="0"/>
        <w:overflowPunct w:val="0"/>
        <w:adjustRightInd w:val="0"/>
        <w:spacing w:before="98"/>
        <w:ind w:left="567"/>
        <w:rPr>
          <w:rFonts w:ascii="Segoe UI" w:eastAsiaTheme="minorHAnsi" w:hAnsi="Segoe UI" w:cs="Segoe UI"/>
          <w:lang w:val="en-GB"/>
        </w:rPr>
      </w:pPr>
      <w:r w:rsidRPr="00351028">
        <w:rPr>
          <w:rFonts w:ascii="Segoe UI" w:eastAsiaTheme="minorHAnsi" w:hAnsi="Segoe UI" w:cs="Segoe UI"/>
          <w:lang w:val="en-GB"/>
        </w:rPr>
        <w:t>(c) the minimum price (exclusive of expenses) payable per Ordinary Share shall be its nominal value; and</w:t>
      </w:r>
      <w:r w:rsidRPr="00351028">
        <w:rPr>
          <w:rFonts w:ascii="Segoe UI" w:eastAsiaTheme="minorHAnsi" w:hAnsi="Segoe UI" w:cs="Segoe UI"/>
          <w:lang w:val="en-GB"/>
        </w:rPr>
        <w:br/>
        <w:t>(d) this authority shall expire at the close of business on 31 March 2027, or, if earlier, at the conclusion of the next annual general meeting, except that the Company may enter into a contract before such expiry which may be completed wholly or partly after such expiry.</w:t>
      </w:r>
    </w:p>
    <w:p w14:paraId="29AD6BAD" w14:textId="77777777" w:rsidR="00351028" w:rsidRPr="00351028" w:rsidRDefault="007870E1" w:rsidP="00351028">
      <w:pPr>
        <w:widowControl/>
        <w:tabs>
          <w:tab w:val="left" w:pos="469"/>
        </w:tabs>
        <w:kinsoku w:val="0"/>
        <w:overflowPunct w:val="0"/>
        <w:adjustRightInd w:val="0"/>
        <w:spacing w:before="98"/>
        <w:rPr>
          <w:rFonts w:ascii="Segoe UI" w:eastAsiaTheme="minorHAnsi" w:hAnsi="Segoe UI" w:cs="Segoe UI"/>
          <w:lang w:val="en-GB"/>
        </w:rPr>
      </w:pPr>
      <w:r>
        <w:rPr>
          <w:rFonts w:ascii="Segoe UI" w:eastAsiaTheme="minorHAnsi" w:hAnsi="Segoe UI" w:cs="Segoe UI"/>
          <w:lang w:val="en-GB"/>
        </w:rPr>
        <w:pict w14:anchorId="57CFD198">
          <v:rect id="_x0000_i1027" style="width:0;height:1.5pt" o:hralign="center" o:hrstd="t" o:hr="t" fillcolor="#a0a0a0" stroked="f"/>
        </w:pict>
      </w:r>
    </w:p>
    <w:p w14:paraId="7D08A7A2"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b/>
          <w:bCs/>
          <w:lang w:val="en-GB"/>
        </w:rPr>
      </w:pPr>
      <w:r w:rsidRPr="00351028">
        <w:rPr>
          <w:rFonts w:ascii="Segoe UI" w:eastAsiaTheme="minorHAnsi" w:hAnsi="Segoe UI" w:cs="Segoe UI"/>
          <w:b/>
          <w:bCs/>
          <w:lang w:val="en-GB"/>
        </w:rPr>
        <w:t>SPECIAL RESOLUTION 20 – Notice of General Meetings</w:t>
      </w:r>
    </w:p>
    <w:p w14:paraId="5013DF3F" w14:textId="77777777" w:rsidR="00351028" w:rsidRPr="00351028" w:rsidRDefault="00351028" w:rsidP="00351028">
      <w:pPr>
        <w:widowControl/>
        <w:tabs>
          <w:tab w:val="left" w:pos="469"/>
        </w:tabs>
        <w:kinsoku w:val="0"/>
        <w:overflowPunct w:val="0"/>
        <w:adjustRightInd w:val="0"/>
        <w:spacing w:before="98"/>
        <w:rPr>
          <w:rFonts w:ascii="Segoe UI" w:eastAsiaTheme="minorHAnsi" w:hAnsi="Segoe UI" w:cs="Segoe UI"/>
          <w:lang w:val="en-GB"/>
        </w:rPr>
      </w:pPr>
      <w:r w:rsidRPr="00351028">
        <w:rPr>
          <w:rFonts w:ascii="Segoe UI" w:eastAsiaTheme="minorHAnsi" w:hAnsi="Segoe UI" w:cs="Segoe UI"/>
          <w:lang w:val="en-GB"/>
        </w:rPr>
        <w:t>THAT, in accordance with section 307A of the Companies Act 2006, a general meeting of the Company other than an annual general meeting may be called on not less than 14 clear days’ notice. This authority shall expire at the conclusion of the next annual general meeting.</w:t>
      </w:r>
    </w:p>
    <w:p w14:paraId="03E3918A" w14:textId="77777777" w:rsidR="00DB3A57" w:rsidRPr="00351028" w:rsidRDefault="00DB3A57" w:rsidP="00DB3A57">
      <w:pPr>
        <w:widowControl/>
        <w:tabs>
          <w:tab w:val="left" w:pos="469"/>
        </w:tabs>
        <w:kinsoku w:val="0"/>
        <w:overflowPunct w:val="0"/>
        <w:adjustRightInd w:val="0"/>
        <w:spacing w:before="98"/>
        <w:rPr>
          <w:rFonts w:ascii="Segoe UI" w:hAnsi="Segoe UI" w:cs="Segoe UI"/>
          <w:w w:val="110"/>
        </w:rPr>
      </w:pPr>
    </w:p>
    <w:p w14:paraId="010EB654" w14:textId="77777777" w:rsidR="004F51B8" w:rsidRPr="00351028" w:rsidRDefault="004F51B8" w:rsidP="00DB3A57">
      <w:pPr>
        <w:widowControl/>
        <w:tabs>
          <w:tab w:val="left" w:pos="469"/>
        </w:tabs>
        <w:kinsoku w:val="0"/>
        <w:overflowPunct w:val="0"/>
        <w:adjustRightInd w:val="0"/>
        <w:spacing w:before="98"/>
        <w:rPr>
          <w:rFonts w:ascii="Segoe UI" w:hAnsi="Segoe UI" w:cs="Segoe UI"/>
          <w:w w:val="110"/>
        </w:rPr>
      </w:pPr>
    </w:p>
    <w:p w14:paraId="2C68CC60" w14:textId="77777777" w:rsidR="004F51B8" w:rsidRPr="00351028" w:rsidRDefault="004F51B8" w:rsidP="00DB3A57">
      <w:pPr>
        <w:widowControl/>
        <w:tabs>
          <w:tab w:val="left" w:pos="469"/>
        </w:tabs>
        <w:kinsoku w:val="0"/>
        <w:overflowPunct w:val="0"/>
        <w:adjustRightInd w:val="0"/>
        <w:spacing w:before="98"/>
        <w:rPr>
          <w:rFonts w:ascii="Segoe UI" w:hAnsi="Segoe UI" w:cs="Segoe UI"/>
          <w:w w:val="110"/>
        </w:rPr>
      </w:pPr>
    </w:p>
    <w:p w14:paraId="6C59CE6F" w14:textId="77777777" w:rsidR="004F51B8" w:rsidRPr="008C076E" w:rsidRDefault="004F51B8" w:rsidP="00DB3A57">
      <w:pPr>
        <w:widowControl/>
        <w:tabs>
          <w:tab w:val="left" w:pos="469"/>
        </w:tabs>
        <w:kinsoku w:val="0"/>
        <w:overflowPunct w:val="0"/>
        <w:adjustRightInd w:val="0"/>
        <w:spacing w:before="98"/>
        <w:rPr>
          <w:rFonts w:ascii="Segoe UI" w:hAnsi="Segoe UI" w:cs="Segoe UI"/>
          <w:w w:val="110"/>
        </w:rPr>
      </w:pPr>
    </w:p>
    <w:p w14:paraId="4A45011F" w14:textId="77777777" w:rsidR="00DB3A57" w:rsidRPr="008C076E" w:rsidRDefault="00DB3A57" w:rsidP="00DB3A57">
      <w:pPr>
        <w:pStyle w:val="BodyText"/>
        <w:kinsoku w:val="0"/>
        <w:overflowPunct w:val="0"/>
        <w:spacing w:before="11"/>
        <w:ind w:left="39"/>
        <w:rPr>
          <w:rFonts w:ascii="Segoe UI" w:hAnsi="Segoe UI" w:cs="Segoe UI"/>
          <w:sz w:val="22"/>
          <w:szCs w:val="22"/>
        </w:rPr>
      </w:pPr>
    </w:p>
    <w:sectPr w:rsidR="00DB3A57" w:rsidRPr="008C076E" w:rsidSect="00002291">
      <w:headerReference w:type="even" r:id="rId7"/>
      <w:headerReference w:type="default" r:id="rId8"/>
      <w:footerReference w:type="even" r:id="rId9"/>
      <w:footerReference w:type="default" r:id="rId10"/>
      <w:headerReference w:type="first" r:id="rId11"/>
      <w:footerReference w:type="first" r:id="rId12"/>
      <w:type w:val="continuous"/>
      <w:pgSz w:w="11980" w:h="16880"/>
      <w:pgMar w:top="1115" w:right="923" w:bottom="820" w:left="1276" w:header="59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75DE" w14:textId="77777777" w:rsidR="00A2090E" w:rsidRDefault="00A2090E">
      <w:r>
        <w:separator/>
      </w:r>
    </w:p>
  </w:endnote>
  <w:endnote w:type="continuationSeparator" w:id="0">
    <w:p w14:paraId="4AC4C73B" w14:textId="77777777" w:rsidR="00A2090E" w:rsidRDefault="00A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9CF7" w14:textId="7117B1D8" w:rsidR="00957425" w:rsidRDefault="00957425">
    <w:pPr>
      <w:pStyle w:val="Footer"/>
    </w:pPr>
    <w:r>
      <w:rPr>
        <w:noProof/>
      </w:rPr>
      <mc:AlternateContent>
        <mc:Choice Requires="wps">
          <w:drawing>
            <wp:anchor distT="0" distB="0" distL="0" distR="0" simplePos="0" relativeHeight="251662336" behindDoc="0" locked="0" layoutInCell="1" allowOverlap="1" wp14:anchorId="350EA6E0" wp14:editId="45C18477">
              <wp:simplePos x="635" y="635"/>
              <wp:positionH relativeFrom="page">
                <wp:align>center</wp:align>
              </wp:positionH>
              <wp:positionV relativeFrom="page">
                <wp:align>bottom</wp:align>
              </wp:positionV>
              <wp:extent cx="1350010" cy="345440"/>
              <wp:effectExtent l="0" t="0" r="2540" b="0"/>
              <wp:wrapNone/>
              <wp:docPr id="1971194555" name="Text Box 5" descr="VICTREX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7F8B52DF" w14:textId="1EF722B6"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EA6E0" id="_x0000_t202" coordsize="21600,21600" o:spt="202" path="m,l,21600r21600,l21600,xe">
              <v:stroke joinstyle="miter"/>
              <v:path gradientshapeok="t" o:connecttype="rect"/>
            </v:shapetype>
            <v:shape id="Text Box 5" o:spid="_x0000_s1028" type="#_x0000_t202" alt="VICTREX CONFIDENTIAL" style="position:absolute;margin-left:0;margin-top:0;width:106.3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" filled="f" stroked="f">
              <v:fill o:detectmouseclick="t"/>
              <v:textbox style="mso-fit-shape-to-text:t" inset="0,0,0,15pt">
                <w:txbxContent>
                  <w:p w14:paraId="7F8B52DF" w14:textId="1EF722B6"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8CA9" w14:textId="23E6EBF4" w:rsidR="002B2CC4" w:rsidRDefault="00957425">
    <w:pPr>
      <w:pStyle w:val="BodyText"/>
      <w:spacing w:line="14" w:lineRule="auto"/>
      <w:rPr>
        <w:sz w:val="20"/>
      </w:rPr>
    </w:pPr>
    <w:r>
      <w:rPr>
        <w:noProof/>
        <w:sz w:val="20"/>
      </w:rPr>
      <mc:AlternateContent>
        <mc:Choice Requires="wps">
          <w:drawing>
            <wp:anchor distT="0" distB="0" distL="0" distR="0" simplePos="0" relativeHeight="251663360" behindDoc="0" locked="0" layoutInCell="1" allowOverlap="1" wp14:anchorId="6CF6AF1A" wp14:editId="274318B9">
              <wp:simplePos x="809625" y="10315575"/>
              <wp:positionH relativeFrom="page">
                <wp:align>center</wp:align>
              </wp:positionH>
              <wp:positionV relativeFrom="page">
                <wp:align>bottom</wp:align>
              </wp:positionV>
              <wp:extent cx="1350010" cy="345440"/>
              <wp:effectExtent l="0" t="0" r="2540" b="0"/>
              <wp:wrapNone/>
              <wp:docPr id="417253254" name="Text Box 6" descr="VICTREX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0FDFBB60" w14:textId="1523FB03"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6AF1A" id="_x0000_t202" coordsize="21600,21600" o:spt="202" path="m,l,21600r21600,l21600,xe">
              <v:stroke joinstyle="miter"/>
              <v:path gradientshapeok="t" o:connecttype="rect"/>
            </v:shapetype>
            <v:shape id="Text Box 6" o:spid="_x0000_s1029" type="#_x0000_t202" alt="VICTREX CONFIDENTIAL" style="position:absolute;margin-left:0;margin-top:0;width:106.3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" filled="f" stroked="f">
              <v:fill o:detectmouseclick="t"/>
              <v:textbox style="mso-fit-shape-to-text:t" inset="0,0,0,15pt">
                <w:txbxContent>
                  <w:p w14:paraId="0FDFBB60" w14:textId="1523FB03"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AD2" w14:textId="0939F870" w:rsidR="00957425" w:rsidRDefault="00957425">
    <w:pPr>
      <w:pStyle w:val="Footer"/>
    </w:pPr>
    <w:r>
      <w:rPr>
        <w:noProof/>
      </w:rPr>
      <mc:AlternateContent>
        <mc:Choice Requires="wps">
          <w:drawing>
            <wp:anchor distT="0" distB="0" distL="0" distR="0" simplePos="0" relativeHeight="251661312" behindDoc="0" locked="0" layoutInCell="1" allowOverlap="1" wp14:anchorId="0FFC9DC2" wp14:editId="447F4EB8">
              <wp:simplePos x="635" y="635"/>
              <wp:positionH relativeFrom="page">
                <wp:align>center</wp:align>
              </wp:positionH>
              <wp:positionV relativeFrom="page">
                <wp:align>bottom</wp:align>
              </wp:positionV>
              <wp:extent cx="1350010" cy="345440"/>
              <wp:effectExtent l="0" t="0" r="2540" b="0"/>
              <wp:wrapNone/>
              <wp:docPr id="1930455288" name="Text Box 4" descr="VICTREX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36A30A60" w14:textId="27D1DA38"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C9DC2" id="_x0000_t202" coordsize="21600,21600" o:spt="202" path="m,l,21600r21600,l21600,xe">
              <v:stroke joinstyle="miter"/>
              <v:path gradientshapeok="t" o:connecttype="rect"/>
            </v:shapetype>
            <v:shape id="Text Box 4" o:spid="_x0000_s1031" type="#_x0000_t202" alt="VICTREX CONFIDENTIAL" style="position:absolute;margin-left:0;margin-top:0;width:106.3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" filled="f" stroked="f">
              <v:fill o:detectmouseclick="t"/>
              <v:textbox style="mso-fit-shape-to-text:t" inset="0,0,0,15pt">
                <w:txbxContent>
                  <w:p w14:paraId="36A30A60" w14:textId="27D1DA38"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034D" w14:textId="77777777" w:rsidR="00A2090E" w:rsidRDefault="00A2090E">
      <w:r>
        <w:separator/>
      </w:r>
    </w:p>
  </w:footnote>
  <w:footnote w:type="continuationSeparator" w:id="0">
    <w:p w14:paraId="78AE1408" w14:textId="77777777" w:rsidR="00A2090E" w:rsidRDefault="00A2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0654" w14:textId="62016B1C" w:rsidR="00957425" w:rsidRDefault="00957425">
    <w:pPr>
      <w:pStyle w:val="Header"/>
    </w:pPr>
    <w:r>
      <w:rPr>
        <w:noProof/>
      </w:rPr>
      <mc:AlternateContent>
        <mc:Choice Requires="wps">
          <w:drawing>
            <wp:anchor distT="0" distB="0" distL="0" distR="0" simplePos="0" relativeHeight="251659264" behindDoc="0" locked="0" layoutInCell="1" allowOverlap="1" wp14:anchorId="6B770CCE" wp14:editId="01B6D7DD">
              <wp:simplePos x="635" y="635"/>
              <wp:positionH relativeFrom="page">
                <wp:align>center</wp:align>
              </wp:positionH>
              <wp:positionV relativeFrom="page">
                <wp:align>top</wp:align>
              </wp:positionV>
              <wp:extent cx="1350010" cy="345440"/>
              <wp:effectExtent l="0" t="0" r="2540" b="16510"/>
              <wp:wrapNone/>
              <wp:docPr id="66070529" name="Text Box 2" descr="VICTREX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3C75728A" w14:textId="00B7FAD1"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70CCE" id="_x0000_t202" coordsize="21600,21600" o:spt="202" path="m,l,21600r21600,l21600,xe">
              <v:stroke joinstyle="miter"/>
              <v:path gradientshapeok="t" o:connecttype="rect"/>
            </v:shapetype>
            <v:shape id="Text Box 2" o:spid="_x0000_s1026" type="#_x0000_t202" alt="VICTREX CONFIDENTIAL" style="position:absolute;margin-left:0;margin-top:0;width:106.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" filled="f" stroked="f">
              <v:fill o:detectmouseclick="t"/>
              <v:textbox style="mso-fit-shape-to-text:t" inset="0,15pt,0,0">
                <w:txbxContent>
                  <w:p w14:paraId="3C75728A" w14:textId="00B7FAD1"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753D" w14:textId="03E87FFF" w:rsidR="00957425" w:rsidRDefault="00957425">
    <w:pPr>
      <w:pStyle w:val="Header"/>
    </w:pPr>
    <w:r>
      <w:rPr>
        <w:noProof/>
      </w:rPr>
      <mc:AlternateContent>
        <mc:Choice Requires="wps">
          <w:drawing>
            <wp:anchor distT="0" distB="0" distL="0" distR="0" simplePos="0" relativeHeight="251660288" behindDoc="0" locked="0" layoutInCell="1" allowOverlap="1" wp14:anchorId="09830386" wp14:editId="72E0122E">
              <wp:simplePos x="809625" y="371475"/>
              <wp:positionH relativeFrom="page">
                <wp:align>center</wp:align>
              </wp:positionH>
              <wp:positionV relativeFrom="page">
                <wp:align>top</wp:align>
              </wp:positionV>
              <wp:extent cx="1350010" cy="345440"/>
              <wp:effectExtent l="0" t="0" r="2540" b="16510"/>
              <wp:wrapNone/>
              <wp:docPr id="1213252431" name="Text Box 3" descr="VICTREX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6CBA0B36" w14:textId="384D1625"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30386" id="_x0000_t202" coordsize="21600,21600" o:spt="202" path="m,l,21600r21600,l21600,xe">
              <v:stroke joinstyle="miter"/>
              <v:path gradientshapeok="t" o:connecttype="rect"/>
            </v:shapetype>
            <v:shape id="Text Box 3" o:spid="_x0000_s1027" type="#_x0000_t202" alt="VICTREX CONFIDENTIAL" style="position:absolute;margin-left:0;margin-top:0;width:106.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" filled="f" stroked="f">
              <v:fill o:detectmouseclick="t"/>
              <v:textbox style="mso-fit-shape-to-text:t" inset="0,15pt,0,0">
                <w:txbxContent>
                  <w:p w14:paraId="6CBA0B36" w14:textId="384D1625"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3F27" w14:textId="728DDD10" w:rsidR="00957425" w:rsidRDefault="00957425">
    <w:pPr>
      <w:pStyle w:val="Header"/>
    </w:pPr>
    <w:r>
      <w:rPr>
        <w:noProof/>
      </w:rPr>
      <mc:AlternateContent>
        <mc:Choice Requires="wps">
          <w:drawing>
            <wp:anchor distT="0" distB="0" distL="0" distR="0" simplePos="0" relativeHeight="251658240" behindDoc="0" locked="0" layoutInCell="1" allowOverlap="1" wp14:anchorId="4766959D" wp14:editId="0FD53840">
              <wp:simplePos x="635" y="635"/>
              <wp:positionH relativeFrom="page">
                <wp:align>center</wp:align>
              </wp:positionH>
              <wp:positionV relativeFrom="page">
                <wp:align>top</wp:align>
              </wp:positionV>
              <wp:extent cx="1350010" cy="345440"/>
              <wp:effectExtent l="0" t="0" r="2540" b="16510"/>
              <wp:wrapNone/>
              <wp:docPr id="473636651" name="Text Box 1" descr="VICTREX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50010" cy="345440"/>
                      </a:xfrm>
                      <a:prstGeom prst="rect">
                        <a:avLst/>
                      </a:prstGeom>
                      <a:noFill/>
                      <a:ln>
                        <a:noFill/>
                      </a:ln>
                    </wps:spPr>
                    <wps:txbx>
                      <w:txbxContent>
                        <w:p w14:paraId="5567B214" w14:textId="062791F2"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6959D" id="_x0000_t202" coordsize="21600,21600" o:spt="202" path="m,l,21600r21600,l21600,xe">
              <v:stroke joinstyle="miter"/>
              <v:path gradientshapeok="t" o:connecttype="rect"/>
            </v:shapetype>
            <v:shape id="Text Box 1" o:spid="_x0000_s1030" type="#_x0000_t202" alt="VICTREX CONFIDENTIAL" style="position:absolute;margin-left:0;margin-top:0;width:106.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" filled="f" stroked="f">
              <v:fill o:detectmouseclick="t"/>
              <v:textbox style="mso-fit-shape-to-text:t" inset="0,15pt,0,0">
                <w:txbxContent>
                  <w:p w14:paraId="5567B214" w14:textId="062791F2" w:rsidR="00957425" w:rsidRPr="00957425" w:rsidRDefault="00957425" w:rsidP="00957425">
                    <w:pPr>
                      <w:rPr>
                        <w:rFonts w:ascii="Aptos" w:eastAsia="Aptos" w:hAnsi="Aptos" w:cs="Aptos"/>
                        <w:noProof/>
                        <w:color w:val="000000"/>
                        <w:sz w:val="20"/>
                        <w:szCs w:val="20"/>
                      </w:rPr>
                    </w:pPr>
                    <w:r w:rsidRPr="00957425">
                      <w:rPr>
                        <w:rFonts w:ascii="Aptos" w:eastAsia="Aptos" w:hAnsi="Aptos" w:cs="Aptos"/>
                        <w:noProof/>
                        <w:color w:val="000000"/>
                        <w:sz w:val="20"/>
                        <w:szCs w:val="20"/>
                      </w:rPr>
                      <w:t>VICTREX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6"/>
      <w:numFmt w:val="decimal"/>
      <w:lvlText w:val="%1."/>
      <w:lvlJc w:val="left"/>
      <w:pPr>
        <w:ind w:left="471" w:hanging="355"/>
      </w:pPr>
      <w:rPr>
        <w:rFonts w:ascii="Gill Sans MT" w:hAnsi="Gill Sans MT" w:cs="Gill Sans MT"/>
        <w:b w:val="0"/>
        <w:bCs w:val="0"/>
        <w:i w:val="0"/>
        <w:iCs w:val="0"/>
        <w:color w:val="58595B"/>
        <w:spacing w:val="-9"/>
        <w:w w:val="111"/>
        <w:sz w:val="16"/>
        <w:szCs w:val="16"/>
      </w:rPr>
    </w:lvl>
    <w:lvl w:ilvl="1">
      <w:start w:val="1"/>
      <w:numFmt w:val="lowerLetter"/>
      <w:lvlText w:val="%2)"/>
      <w:lvlJc w:val="left"/>
      <w:pPr>
        <w:ind w:left="797" w:hanging="326"/>
      </w:pPr>
      <w:rPr>
        <w:rFonts w:ascii="Gill Sans MT" w:hAnsi="Gill Sans MT" w:cs="Gill Sans MT"/>
        <w:b w:val="0"/>
        <w:bCs w:val="0"/>
        <w:i w:val="0"/>
        <w:iCs w:val="0"/>
        <w:color w:val="58595B"/>
        <w:spacing w:val="-2"/>
        <w:w w:val="86"/>
        <w:sz w:val="16"/>
        <w:szCs w:val="16"/>
      </w:rPr>
    </w:lvl>
    <w:lvl w:ilvl="2">
      <w:start w:val="1"/>
      <w:numFmt w:val="lowerRoman"/>
      <w:lvlText w:val="%3)"/>
      <w:lvlJc w:val="left"/>
      <w:pPr>
        <w:ind w:left="1024" w:hanging="227"/>
      </w:pPr>
      <w:rPr>
        <w:rFonts w:ascii="Gill Sans MT" w:hAnsi="Gill Sans MT" w:cs="Gill Sans MT"/>
        <w:b w:val="0"/>
        <w:bCs w:val="0"/>
        <w:i w:val="0"/>
        <w:iCs w:val="0"/>
        <w:color w:val="58595B"/>
        <w:spacing w:val="0"/>
        <w:w w:val="86"/>
        <w:sz w:val="16"/>
        <w:szCs w:val="16"/>
      </w:rPr>
    </w:lvl>
    <w:lvl w:ilvl="3">
      <w:numFmt w:val="bullet"/>
      <w:lvlText w:val="•"/>
      <w:lvlJc w:val="left"/>
      <w:pPr>
        <w:ind w:left="2128" w:hanging="227"/>
      </w:pPr>
    </w:lvl>
    <w:lvl w:ilvl="4">
      <w:numFmt w:val="bullet"/>
      <w:lvlText w:val="•"/>
      <w:lvlJc w:val="left"/>
      <w:pPr>
        <w:ind w:left="3236" w:hanging="227"/>
      </w:pPr>
    </w:lvl>
    <w:lvl w:ilvl="5">
      <w:numFmt w:val="bullet"/>
      <w:lvlText w:val="•"/>
      <w:lvlJc w:val="left"/>
      <w:pPr>
        <w:ind w:left="4344" w:hanging="227"/>
      </w:pPr>
    </w:lvl>
    <w:lvl w:ilvl="6">
      <w:numFmt w:val="bullet"/>
      <w:lvlText w:val="•"/>
      <w:lvlJc w:val="left"/>
      <w:pPr>
        <w:ind w:left="5452" w:hanging="227"/>
      </w:pPr>
    </w:lvl>
    <w:lvl w:ilvl="7">
      <w:numFmt w:val="bullet"/>
      <w:lvlText w:val="•"/>
      <w:lvlJc w:val="left"/>
      <w:pPr>
        <w:ind w:left="6560" w:hanging="227"/>
      </w:pPr>
    </w:lvl>
    <w:lvl w:ilvl="8">
      <w:numFmt w:val="bullet"/>
      <w:lvlText w:val="•"/>
      <w:lvlJc w:val="left"/>
      <w:pPr>
        <w:ind w:left="7669" w:hanging="227"/>
      </w:pPr>
    </w:lvl>
  </w:abstractNum>
  <w:abstractNum w:abstractNumId="1" w15:restartNumberingAfterBreak="0">
    <w:nsid w:val="05E67CDF"/>
    <w:multiLevelType w:val="hybridMultilevel"/>
    <w:tmpl w:val="B7F859C4"/>
    <w:lvl w:ilvl="0" w:tplc="935253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425603"/>
    <w:multiLevelType w:val="hybridMultilevel"/>
    <w:tmpl w:val="FCC6BC7A"/>
    <w:lvl w:ilvl="0" w:tplc="039CB608">
      <w:start w:val="17"/>
      <w:numFmt w:val="decimal"/>
      <w:lvlText w:val="%1."/>
      <w:lvlJc w:val="left"/>
      <w:pPr>
        <w:ind w:left="153" w:hanging="324"/>
      </w:pPr>
      <w:rPr>
        <w:rFonts w:ascii="Arial" w:eastAsia="Arial" w:hAnsi="Arial" w:cs="Arial" w:hint="default"/>
        <w:color w:val="696969"/>
        <w:spacing w:val="-1"/>
        <w:w w:val="106"/>
        <w:sz w:val="19"/>
        <w:szCs w:val="19"/>
      </w:rPr>
    </w:lvl>
    <w:lvl w:ilvl="1" w:tplc="DE90B4C6">
      <w:start w:val="1"/>
      <w:numFmt w:val="lowerLetter"/>
      <w:lvlText w:val="%2)"/>
      <w:lvlJc w:val="left"/>
      <w:pPr>
        <w:ind w:left="866" w:hanging="216"/>
      </w:pPr>
      <w:rPr>
        <w:rFonts w:ascii="Arial" w:eastAsia="Arial" w:hAnsi="Arial" w:cs="Arial" w:hint="default"/>
        <w:color w:val="696969"/>
        <w:spacing w:val="-1"/>
        <w:w w:val="94"/>
        <w:sz w:val="19"/>
        <w:szCs w:val="19"/>
      </w:rPr>
    </w:lvl>
    <w:lvl w:ilvl="2" w:tplc="C7522A74">
      <w:start w:val="1"/>
      <w:numFmt w:val="lowerRoman"/>
      <w:lvlText w:val="%3)"/>
      <w:lvlJc w:val="left"/>
      <w:pPr>
        <w:ind w:left="869" w:hanging="164"/>
      </w:pPr>
      <w:rPr>
        <w:rFonts w:ascii="Arial" w:eastAsia="Arial" w:hAnsi="Arial" w:cs="Arial" w:hint="default"/>
        <w:color w:val="696969"/>
        <w:spacing w:val="-1"/>
        <w:w w:val="104"/>
        <w:sz w:val="19"/>
        <w:szCs w:val="19"/>
      </w:rPr>
    </w:lvl>
    <w:lvl w:ilvl="3" w:tplc="FE082688">
      <w:numFmt w:val="bullet"/>
      <w:lvlText w:val="•"/>
      <w:lvlJc w:val="left"/>
      <w:pPr>
        <w:ind w:left="2615" w:hanging="164"/>
      </w:pPr>
      <w:rPr>
        <w:rFonts w:hint="default"/>
      </w:rPr>
    </w:lvl>
    <w:lvl w:ilvl="4" w:tplc="836407D2">
      <w:numFmt w:val="bullet"/>
      <w:lvlText w:val="•"/>
      <w:lvlJc w:val="left"/>
      <w:pPr>
        <w:ind w:left="3493" w:hanging="164"/>
      </w:pPr>
      <w:rPr>
        <w:rFonts w:hint="default"/>
      </w:rPr>
    </w:lvl>
    <w:lvl w:ilvl="5" w:tplc="4EA802D8">
      <w:numFmt w:val="bullet"/>
      <w:lvlText w:val="•"/>
      <w:lvlJc w:val="left"/>
      <w:pPr>
        <w:ind w:left="4371" w:hanging="164"/>
      </w:pPr>
      <w:rPr>
        <w:rFonts w:hint="default"/>
      </w:rPr>
    </w:lvl>
    <w:lvl w:ilvl="6" w:tplc="7868C624">
      <w:numFmt w:val="bullet"/>
      <w:lvlText w:val="•"/>
      <w:lvlJc w:val="left"/>
      <w:pPr>
        <w:ind w:left="5248" w:hanging="164"/>
      </w:pPr>
      <w:rPr>
        <w:rFonts w:hint="default"/>
      </w:rPr>
    </w:lvl>
    <w:lvl w:ilvl="7" w:tplc="E50A766C">
      <w:numFmt w:val="bullet"/>
      <w:lvlText w:val="•"/>
      <w:lvlJc w:val="left"/>
      <w:pPr>
        <w:ind w:left="6126" w:hanging="164"/>
      </w:pPr>
      <w:rPr>
        <w:rFonts w:hint="default"/>
      </w:rPr>
    </w:lvl>
    <w:lvl w:ilvl="8" w:tplc="A36CF810">
      <w:numFmt w:val="bullet"/>
      <w:lvlText w:val="•"/>
      <w:lvlJc w:val="left"/>
      <w:pPr>
        <w:ind w:left="7004" w:hanging="164"/>
      </w:pPr>
      <w:rPr>
        <w:rFonts w:hint="default"/>
      </w:rPr>
    </w:lvl>
  </w:abstractNum>
  <w:abstractNum w:abstractNumId="3" w15:restartNumberingAfterBreak="0">
    <w:nsid w:val="1D15674E"/>
    <w:multiLevelType w:val="hybridMultilevel"/>
    <w:tmpl w:val="BB64A4A0"/>
    <w:lvl w:ilvl="0" w:tplc="F288F460">
      <w:start w:val="1"/>
      <w:numFmt w:val="lowerLetter"/>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32A22CDD"/>
    <w:multiLevelType w:val="hybridMultilevel"/>
    <w:tmpl w:val="6A50190A"/>
    <w:lvl w:ilvl="0" w:tplc="B46E5BDC">
      <w:start w:val="1"/>
      <w:numFmt w:val="lowerLetter"/>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5" w15:restartNumberingAfterBreak="0">
    <w:nsid w:val="37D11E8B"/>
    <w:multiLevelType w:val="hybridMultilevel"/>
    <w:tmpl w:val="EF925912"/>
    <w:lvl w:ilvl="0" w:tplc="2884A55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BE8421C"/>
    <w:multiLevelType w:val="hybridMultilevel"/>
    <w:tmpl w:val="E4A079D4"/>
    <w:lvl w:ilvl="0" w:tplc="5A98ED7C">
      <w:start w:val="1"/>
      <w:numFmt w:val="lowerLetter"/>
      <w:lvlText w:val="%1)"/>
      <w:lvlJc w:val="left"/>
      <w:pPr>
        <w:ind w:left="1566" w:hanging="716"/>
      </w:pPr>
      <w:rPr>
        <w:rFonts w:ascii="Arial" w:eastAsia="Arial" w:hAnsi="Arial" w:cs="Arial" w:hint="default"/>
        <w:color w:val="676767"/>
        <w:spacing w:val="-1"/>
        <w:w w:val="94"/>
        <w:sz w:val="19"/>
        <w:szCs w:val="19"/>
      </w:rPr>
    </w:lvl>
    <w:lvl w:ilvl="1" w:tplc="3A649536">
      <w:start w:val="1"/>
      <w:numFmt w:val="lowerRoman"/>
      <w:lvlText w:val="(%2)"/>
      <w:lvlJc w:val="left"/>
      <w:pPr>
        <w:ind w:left="2288" w:hanging="725"/>
      </w:pPr>
      <w:rPr>
        <w:rFonts w:hint="default"/>
        <w:spacing w:val="-1"/>
        <w:w w:val="103"/>
      </w:rPr>
    </w:lvl>
    <w:lvl w:ilvl="2" w:tplc="AAD41AA2">
      <w:numFmt w:val="bullet"/>
      <w:lvlText w:val="•"/>
      <w:lvlJc w:val="left"/>
      <w:pPr>
        <w:ind w:left="3000" w:hanging="725"/>
      </w:pPr>
      <w:rPr>
        <w:rFonts w:hint="default"/>
      </w:rPr>
    </w:lvl>
    <w:lvl w:ilvl="3" w:tplc="4182A214">
      <w:numFmt w:val="bullet"/>
      <w:lvlText w:val="•"/>
      <w:lvlJc w:val="left"/>
      <w:pPr>
        <w:ind w:left="3720" w:hanging="725"/>
      </w:pPr>
      <w:rPr>
        <w:rFonts w:hint="default"/>
      </w:rPr>
    </w:lvl>
    <w:lvl w:ilvl="4" w:tplc="7020FFB2">
      <w:numFmt w:val="bullet"/>
      <w:lvlText w:val="•"/>
      <w:lvlJc w:val="left"/>
      <w:pPr>
        <w:ind w:left="4440" w:hanging="725"/>
      </w:pPr>
      <w:rPr>
        <w:rFonts w:hint="default"/>
      </w:rPr>
    </w:lvl>
    <w:lvl w:ilvl="5" w:tplc="E81AADC2">
      <w:numFmt w:val="bullet"/>
      <w:lvlText w:val="•"/>
      <w:lvlJc w:val="left"/>
      <w:pPr>
        <w:ind w:left="5160" w:hanging="725"/>
      </w:pPr>
      <w:rPr>
        <w:rFonts w:hint="default"/>
      </w:rPr>
    </w:lvl>
    <w:lvl w:ilvl="6" w:tplc="9208DADE">
      <w:numFmt w:val="bullet"/>
      <w:lvlText w:val="•"/>
      <w:lvlJc w:val="left"/>
      <w:pPr>
        <w:ind w:left="5880" w:hanging="725"/>
      </w:pPr>
      <w:rPr>
        <w:rFonts w:hint="default"/>
      </w:rPr>
    </w:lvl>
    <w:lvl w:ilvl="7" w:tplc="107830B6">
      <w:numFmt w:val="bullet"/>
      <w:lvlText w:val="•"/>
      <w:lvlJc w:val="left"/>
      <w:pPr>
        <w:ind w:left="6600" w:hanging="725"/>
      </w:pPr>
      <w:rPr>
        <w:rFonts w:hint="default"/>
      </w:rPr>
    </w:lvl>
    <w:lvl w:ilvl="8" w:tplc="22045890">
      <w:numFmt w:val="bullet"/>
      <w:lvlText w:val="•"/>
      <w:lvlJc w:val="left"/>
      <w:pPr>
        <w:ind w:left="7320" w:hanging="725"/>
      </w:pPr>
      <w:rPr>
        <w:rFonts w:hint="default"/>
      </w:rPr>
    </w:lvl>
  </w:abstractNum>
  <w:abstractNum w:abstractNumId="7" w15:restartNumberingAfterBreak="0">
    <w:nsid w:val="512C4538"/>
    <w:multiLevelType w:val="hybridMultilevel"/>
    <w:tmpl w:val="746CC204"/>
    <w:lvl w:ilvl="0" w:tplc="FFFFFFFF">
      <w:start w:val="1"/>
      <w:numFmt w:val="decimal"/>
      <w:lvlText w:val="%1."/>
      <w:lvlJc w:val="left"/>
      <w:pPr>
        <w:ind w:left="862" w:hanging="720"/>
      </w:pPr>
      <w:rPr>
        <w:rFonts w:hint="default"/>
        <w:b w:val="0"/>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62AD4984"/>
    <w:multiLevelType w:val="hybridMultilevel"/>
    <w:tmpl w:val="F0BE5DBC"/>
    <w:lvl w:ilvl="0" w:tplc="199CC4BC">
      <w:start w:val="2"/>
      <w:numFmt w:val="lowerLetter"/>
      <w:lvlText w:val="%1)"/>
      <w:lvlJc w:val="left"/>
      <w:pPr>
        <w:ind w:left="831" w:hanging="360"/>
      </w:pPr>
      <w:rPr>
        <w:rFonts w:hint="default"/>
      </w:rPr>
    </w:lvl>
    <w:lvl w:ilvl="1" w:tplc="08090019">
      <w:start w:val="1"/>
      <w:numFmt w:val="lowerLetter"/>
      <w:lvlText w:val="%2."/>
      <w:lvlJc w:val="left"/>
      <w:pPr>
        <w:ind w:left="1551" w:hanging="360"/>
      </w:pPr>
    </w:lvl>
    <w:lvl w:ilvl="2" w:tplc="0809001B">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9" w15:restartNumberingAfterBreak="0">
    <w:nsid w:val="6BEB6F61"/>
    <w:multiLevelType w:val="hybridMultilevel"/>
    <w:tmpl w:val="31F4E708"/>
    <w:lvl w:ilvl="0" w:tplc="B458458C">
      <w:start w:val="1"/>
      <w:numFmt w:val="lowerLetter"/>
      <w:lvlText w:val="%1)"/>
      <w:lvlJc w:val="left"/>
      <w:pPr>
        <w:ind w:left="1605" w:hanging="360"/>
      </w:pPr>
      <w:rPr>
        <w:rFonts w:ascii="Arial" w:eastAsia="Arial" w:hAnsi="Arial" w:cs="Arial" w:hint="default"/>
        <w:color w:val="676767"/>
        <w:spacing w:val="-1"/>
        <w:w w:val="94"/>
        <w:sz w:val="19"/>
        <w:szCs w:val="19"/>
      </w:rPr>
    </w:lvl>
    <w:lvl w:ilvl="1" w:tplc="9EFA45E4">
      <w:numFmt w:val="bullet"/>
      <w:lvlText w:val="•"/>
      <w:lvlJc w:val="left"/>
      <w:pPr>
        <w:ind w:left="2316" w:hanging="360"/>
      </w:pPr>
      <w:rPr>
        <w:rFonts w:hint="default"/>
      </w:rPr>
    </w:lvl>
    <w:lvl w:ilvl="2" w:tplc="B64865BC">
      <w:numFmt w:val="bullet"/>
      <w:lvlText w:val="•"/>
      <w:lvlJc w:val="left"/>
      <w:pPr>
        <w:ind w:left="3032" w:hanging="360"/>
      </w:pPr>
      <w:rPr>
        <w:rFonts w:hint="default"/>
      </w:rPr>
    </w:lvl>
    <w:lvl w:ilvl="3" w:tplc="6B62EB3E">
      <w:numFmt w:val="bullet"/>
      <w:lvlText w:val="•"/>
      <w:lvlJc w:val="left"/>
      <w:pPr>
        <w:ind w:left="3748" w:hanging="360"/>
      </w:pPr>
      <w:rPr>
        <w:rFonts w:hint="default"/>
      </w:rPr>
    </w:lvl>
    <w:lvl w:ilvl="4" w:tplc="3C922B08">
      <w:numFmt w:val="bullet"/>
      <w:lvlText w:val="•"/>
      <w:lvlJc w:val="left"/>
      <w:pPr>
        <w:ind w:left="4464" w:hanging="360"/>
      </w:pPr>
      <w:rPr>
        <w:rFonts w:hint="default"/>
      </w:rPr>
    </w:lvl>
    <w:lvl w:ilvl="5" w:tplc="17B0FCA2">
      <w:numFmt w:val="bullet"/>
      <w:lvlText w:val="•"/>
      <w:lvlJc w:val="left"/>
      <w:pPr>
        <w:ind w:left="5180" w:hanging="360"/>
      </w:pPr>
      <w:rPr>
        <w:rFonts w:hint="default"/>
      </w:rPr>
    </w:lvl>
    <w:lvl w:ilvl="6" w:tplc="74B00B88">
      <w:numFmt w:val="bullet"/>
      <w:lvlText w:val="•"/>
      <w:lvlJc w:val="left"/>
      <w:pPr>
        <w:ind w:left="5896" w:hanging="360"/>
      </w:pPr>
      <w:rPr>
        <w:rFonts w:hint="default"/>
      </w:rPr>
    </w:lvl>
    <w:lvl w:ilvl="7" w:tplc="A440D050">
      <w:numFmt w:val="bullet"/>
      <w:lvlText w:val="•"/>
      <w:lvlJc w:val="left"/>
      <w:pPr>
        <w:ind w:left="6612" w:hanging="360"/>
      </w:pPr>
      <w:rPr>
        <w:rFonts w:hint="default"/>
      </w:rPr>
    </w:lvl>
    <w:lvl w:ilvl="8" w:tplc="46CC89D8">
      <w:numFmt w:val="bullet"/>
      <w:lvlText w:val="•"/>
      <w:lvlJc w:val="left"/>
      <w:pPr>
        <w:ind w:left="7328" w:hanging="360"/>
      </w:pPr>
      <w:rPr>
        <w:rFonts w:hint="default"/>
      </w:rPr>
    </w:lvl>
  </w:abstractNum>
  <w:abstractNum w:abstractNumId="10" w15:restartNumberingAfterBreak="0">
    <w:nsid w:val="7D9355F0"/>
    <w:multiLevelType w:val="hybridMultilevel"/>
    <w:tmpl w:val="66ECE348"/>
    <w:lvl w:ilvl="0" w:tplc="F4CA9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5509997">
    <w:abstractNumId w:val="9"/>
  </w:num>
  <w:num w:numId="2" w16cid:durableId="428353496">
    <w:abstractNumId w:val="6"/>
  </w:num>
  <w:num w:numId="3" w16cid:durableId="831333292">
    <w:abstractNumId w:val="2"/>
  </w:num>
  <w:num w:numId="4" w16cid:durableId="2045980182">
    <w:abstractNumId w:val="1"/>
  </w:num>
  <w:num w:numId="5" w16cid:durableId="1317685479">
    <w:abstractNumId w:val="10"/>
  </w:num>
  <w:num w:numId="6" w16cid:durableId="163711572">
    <w:abstractNumId w:val="7"/>
  </w:num>
  <w:num w:numId="7" w16cid:durableId="1488283558">
    <w:abstractNumId w:val="5"/>
  </w:num>
  <w:num w:numId="8" w16cid:durableId="1414007700">
    <w:abstractNumId w:val="0"/>
  </w:num>
  <w:num w:numId="9" w16cid:durableId="966005827">
    <w:abstractNumId w:val="8"/>
  </w:num>
  <w:num w:numId="10" w16cid:durableId="1456633159">
    <w:abstractNumId w:val="3"/>
  </w:num>
  <w:num w:numId="11" w16cid:durableId="38607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C4"/>
    <w:rsid w:val="00002291"/>
    <w:rsid w:val="00040B1C"/>
    <w:rsid w:val="00074D51"/>
    <w:rsid w:val="000B0EA2"/>
    <w:rsid w:val="0011691B"/>
    <w:rsid w:val="0013643A"/>
    <w:rsid w:val="00170FD3"/>
    <w:rsid w:val="00176F16"/>
    <w:rsid w:val="001C3F9A"/>
    <w:rsid w:val="001D545E"/>
    <w:rsid w:val="001E7210"/>
    <w:rsid w:val="0022421A"/>
    <w:rsid w:val="00232068"/>
    <w:rsid w:val="00277B1E"/>
    <w:rsid w:val="002816A3"/>
    <w:rsid w:val="002B2CC4"/>
    <w:rsid w:val="002F7672"/>
    <w:rsid w:val="00320631"/>
    <w:rsid w:val="00351028"/>
    <w:rsid w:val="003A6C2C"/>
    <w:rsid w:val="003C14A9"/>
    <w:rsid w:val="003E5365"/>
    <w:rsid w:val="003F407D"/>
    <w:rsid w:val="00402B45"/>
    <w:rsid w:val="00413AEA"/>
    <w:rsid w:val="004605C2"/>
    <w:rsid w:val="0046466B"/>
    <w:rsid w:val="004B4AFA"/>
    <w:rsid w:val="004B6E03"/>
    <w:rsid w:val="004D1424"/>
    <w:rsid w:val="004F22C8"/>
    <w:rsid w:val="004F51B8"/>
    <w:rsid w:val="00504830"/>
    <w:rsid w:val="00557A6E"/>
    <w:rsid w:val="006231F6"/>
    <w:rsid w:val="00675560"/>
    <w:rsid w:val="00681EB9"/>
    <w:rsid w:val="00694B1A"/>
    <w:rsid w:val="00696415"/>
    <w:rsid w:val="006B43A9"/>
    <w:rsid w:val="007262D8"/>
    <w:rsid w:val="007870E1"/>
    <w:rsid w:val="008003E5"/>
    <w:rsid w:val="0081213D"/>
    <w:rsid w:val="00841CC5"/>
    <w:rsid w:val="0086679E"/>
    <w:rsid w:val="008A24C0"/>
    <w:rsid w:val="008B63B7"/>
    <w:rsid w:val="008C076E"/>
    <w:rsid w:val="0092224D"/>
    <w:rsid w:val="00957425"/>
    <w:rsid w:val="00962FA3"/>
    <w:rsid w:val="00973D8D"/>
    <w:rsid w:val="00A039B5"/>
    <w:rsid w:val="00A2090E"/>
    <w:rsid w:val="00A316AD"/>
    <w:rsid w:val="00A93B9F"/>
    <w:rsid w:val="00AD7717"/>
    <w:rsid w:val="00B25742"/>
    <w:rsid w:val="00B361FF"/>
    <w:rsid w:val="00B4315F"/>
    <w:rsid w:val="00B91AEF"/>
    <w:rsid w:val="00C12A25"/>
    <w:rsid w:val="00C71322"/>
    <w:rsid w:val="00C92DB7"/>
    <w:rsid w:val="00C9439C"/>
    <w:rsid w:val="00CA119E"/>
    <w:rsid w:val="00D30915"/>
    <w:rsid w:val="00D33438"/>
    <w:rsid w:val="00D42DE4"/>
    <w:rsid w:val="00D45E89"/>
    <w:rsid w:val="00D50D23"/>
    <w:rsid w:val="00D54FD1"/>
    <w:rsid w:val="00D90C4C"/>
    <w:rsid w:val="00DB3A57"/>
    <w:rsid w:val="00DC4D6C"/>
    <w:rsid w:val="00DD5B05"/>
    <w:rsid w:val="00E34B96"/>
    <w:rsid w:val="00E5791E"/>
    <w:rsid w:val="00EA7FFC"/>
    <w:rsid w:val="00EB256F"/>
    <w:rsid w:val="00EC08B8"/>
    <w:rsid w:val="00F312B7"/>
    <w:rsid w:val="00FA22B0"/>
    <w:rsid w:val="00FE54D7"/>
    <w:rsid w:val="00FF46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A787E98"/>
  <w15:docId w15:val="{3471F63F-9884-4A7F-A2CC-40F8A8C8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AD"/>
    <w:rPr>
      <w:rFonts w:ascii="Arial" w:eastAsia="Arial" w:hAnsi="Arial" w:cs="Arial"/>
    </w:rPr>
  </w:style>
  <w:style w:type="paragraph" w:styleId="Heading1">
    <w:name w:val="heading 1"/>
    <w:basedOn w:val="Normal"/>
    <w:link w:val="Heading1Char"/>
    <w:uiPriority w:val="9"/>
    <w:qFormat/>
    <w:pPr>
      <w:ind w:left="108"/>
      <w:outlineLvl w:val="0"/>
    </w:pPr>
    <w:rPr>
      <w:rFonts w:ascii="Times New Roman" w:eastAsia="Times New Roman" w:hAnsi="Times New Roman" w:cs="Times New Roman"/>
      <w:i/>
      <w:sz w:val="21"/>
      <w:szCs w:val="21"/>
    </w:rPr>
  </w:style>
  <w:style w:type="paragraph" w:styleId="Heading3">
    <w:name w:val="heading 3"/>
    <w:basedOn w:val="Normal"/>
    <w:next w:val="Normal"/>
    <w:link w:val="Heading3Char"/>
    <w:uiPriority w:val="9"/>
    <w:semiHidden/>
    <w:unhideWhenUsed/>
    <w:qFormat/>
    <w:rsid w:val="003510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53" w:hanging="7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61FF"/>
    <w:pPr>
      <w:tabs>
        <w:tab w:val="center" w:pos="4513"/>
        <w:tab w:val="right" w:pos="9026"/>
      </w:tabs>
    </w:pPr>
  </w:style>
  <w:style w:type="character" w:customStyle="1" w:styleId="HeaderChar">
    <w:name w:val="Header Char"/>
    <w:basedOn w:val="DefaultParagraphFont"/>
    <w:link w:val="Header"/>
    <w:uiPriority w:val="99"/>
    <w:rsid w:val="00B361FF"/>
    <w:rPr>
      <w:rFonts w:ascii="Arial" w:eastAsia="Arial" w:hAnsi="Arial" w:cs="Arial"/>
    </w:rPr>
  </w:style>
  <w:style w:type="paragraph" w:styleId="Footer">
    <w:name w:val="footer"/>
    <w:basedOn w:val="Normal"/>
    <w:link w:val="FooterChar"/>
    <w:uiPriority w:val="99"/>
    <w:unhideWhenUsed/>
    <w:rsid w:val="00B361FF"/>
    <w:pPr>
      <w:tabs>
        <w:tab w:val="center" w:pos="4513"/>
        <w:tab w:val="right" w:pos="9026"/>
      </w:tabs>
    </w:pPr>
  </w:style>
  <w:style w:type="character" w:customStyle="1" w:styleId="FooterChar">
    <w:name w:val="Footer Char"/>
    <w:basedOn w:val="DefaultParagraphFont"/>
    <w:link w:val="Footer"/>
    <w:uiPriority w:val="99"/>
    <w:rsid w:val="00B361FF"/>
    <w:rPr>
      <w:rFonts w:ascii="Arial" w:eastAsia="Arial" w:hAnsi="Arial" w:cs="Arial"/>
    </w:rPr>
  </w:style>
  <w:style w:type="paragraph" w:customStyle="1" w:styleId="Default">
    <w:name w:val="Default"/>
    <w:rsid w:val="00A316AD"/>
    <w:pPr>
      <w:widowControl/>
      <w:adjustRightInd w:val="0"/>
    </w:pPr>
    <w:rPr>
      <w:rFonts w:ascii="Frutiger LT Pro 45 Light" w:hAnsi="Frutiger LT Pro 45 Light" w:cs="Frutiger LT Pro 45 Light"/>
      <w:color w:val="000000"/>
      <w:sz w:val="24"/>
      <w:szCs w:val="24"/>
      <w:lang w:val="en-GB"/>
    </w:rPr>
  </w:style>
  <w:style w:type="paragraph" w:customStyle="1" w:styleId="Pa2">
    <w:name w:val="Pa2"/>
    <w:basedOn w:val="Default"/>
    <w:next w:val="Default"/>
    <w:uiPriority w:val="99"/>
    <w:rsid w:val="00A316AD"/>
    <w:pPr>
      <w:spacing w:line="161" w:lineRule="atLeast"/>
    </w:pPr>
    <w:rPr>
      <w:rFonts w:cstheme="minorBidi"/>
      <w:color w:val="auto"/>
    </w:rPr>
  </w:style>
  <w:style w:type="character" w:customStyle="1" w:styleId="Heading1Char">
    <w:name w:val="Heading 1 Char"/>
    <w:basedOn w:val="DefaultParagraphFont"/>
    <w:link w:val="Heading1"/>
    <w:uiPriority w:val="9"/>
    <w:rsid w:val="00A316AD"/>
    <w:rPr>
      <w:rFonts w:ascii="Times New Roman" w:eastAsia="Times New Roman" w:hAnsi="Times New Roman" w:cs="Times New Roman"/>
      <w:i/>
      <w:sz w:val="21"/>
      <w:szCs w:val="21"/>
    </w:rPr>
  </w:style>
  <w:style w:type="paragraph" w:styleId="Title">
    <w:name w:val="Title"/>
    <w:basedOn w:val="Normal"/>
    <w:next w:val="Normal"/>
    <w:link w:val="TitleChar"/>
    <w:uiPriority w:val="1"/>
    <w:qFormat/>
    <w:rsid w:val="00DB3A57"/>
    <w:pPr>
      <w:widowControl/>
      <w:adjustRightInd w:val="0"/>
      <w:spacing w:before="1"/>
      <w:ind w:left="536"/>
    </w:pPr>
    <w:rPr>
      <w:rFonts w:ascii="Trebuchet MS" w:eastAsiaTheme="minorHAnsi" w:hAnsi="Trebuchet MS" w:cs="Trebuchet MS"/>
      <w:b/>
      <w:bCs/>
      <w:sz w:val="20"/>
      <w:szCs w:val="20"/>
      <w:lang w:val="en-GB"/>
    </w:rPr>
  </w:style>
  <w:style w:type="character" w:customStyle="1" w:styleId="TitleChar">
    <w:name w:val="Title Char"/>
    <w:basedOn w:val="DefaultParagraphFont"/>
    <w:link w:val="Title"/>
    <w:uiPriority w:val="1"/>
    <w:rsid w:val="00DB3A57"/>
    <w:rPr>
      <w:rFonts w:ascii="Trebuchet MS" w:hAnsi="Trebuchet MS" w:cs="Trebuchet MS"/>
      <w:b/>
      <w:bCs/>
      <w:sz w:val="20"/>
      <w:szCs w:val="20"/>
      <w:lang w:val="en-GB"/>
    </w:rPr>
  </w:style>
  <w:style w:type="paragraph" w:customStyle="1" w:styleId="Pa23">
    <w:name w:val="Pa2_3"/>
    <w:basedOn w:val="Default"/>
    <w:next w:val="Default"/>
    <w:uiPriority w:val="99"/>
    <w:rsid w:val="00D30915"/>
    <w:pPr>
      <w:spacing w:line="161" w:lineRule="atLeast"/>
    </w:pPr>
    <w:rPr>
      <w:rFonts w:cstheme="minorBidi"/>
      <w:color w:val="auto"/>
    </w:rPr>
  </w:style>
  <w:style w:type="character" w:customStyle="1" w:styleId="Heading3Char">
    <w:name w:val="Heading 3 Char"/>
    <w:basedOn w:val="DefaultParagraphFont"/>
    <w:link w:val="Heading3"/>
    <w:uiPriority w:val="9"/>
    <w:semiHidden/>
    <w:rsid w:val="0035102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9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3747</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Moore</dc:creator>
  <cp:lastModifiedBy>Sonya Carpenito</cp:lastModifiedBy>
  <cp:revision>3</cp:revision>
  <cp:lastPrinted>2026-02-04T13:20:00Z</cp:lastPrinted>
  <dcterms:created xsi:type="dcterms:W3CDTF">2026-02-09T09:45:00Z</dcterms:created>
  <dcterms:modified xsi:type="dcterms:W3CDTF">2026-02-09T09:45:00Z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2020-01-23T00:00:00Z</vt:filetime>
  </property>
  <property fmtid="{D5CDD505-2E9C-101B-9397-08002B2CF9AE}" pid="4" name="ClassificationContentMarkingHeaderShapeIds">
    <vt:lpwstr>1c3b1f2b,3f02801,4850c34f</vt:lpwstr>
  </property>
  <property fmtid="{D5CDD505-2E9C-101B-9397-08002B2CF9AE}" pid="5" name="ClassificationContentMarkingHeaderFontProps">
    <vt:lpwstr>#000000,10,Aptos</vt:lpwstr>
  </property>
  <property fmtid="{D5CDD505-2E9C-101B-9397-08002B2CF9AE}" pid="6" name="ClassificationContentMarkingHeaderText">
    <vt:lpwstr>VICTREX CONFIDENTIAL</vt:lpwstr>
  </property>
  <property fmtid="{D5CDD505-2E9C-101B-9397-08002B2CF9AE}" pid="7" name="ClassificationContentMarkingFooterShapeIds">
    <vt:lpwstr>731068f8,757e0abb,18dec786</vt:lpwstr>
  </property>
  <property fmtid="{D5CDD505-2E9C-101B-9397-08002B2CF9AE}" pid="8" name="ClassificationContentMarkingFooterFontProps">
    <vt:lpwstr>#000000,10,Aptos</vt:lpwstr>
  </property>
  <property fmtid="{D5CDD505-2E9C-101B-9397-08002B2CF9AE}" pid="9" name="ClassificationContentMarkingFooterText">
    <vt:lpwstr>VICTREX CONFIDENTIAL</vt:lpwstr>
  </property>
  <property fmtid="{D5CDD505-2E9C-101B-9397-08002B2CF9AE}" pid="10" name="MSIP_Label_c134f19f-24fe-4fb9-80c7-74e93f02cb77_Enabled">
    <vt:lpwstr>true</vt:lpwstr>
  </property>
  <property fmtid="{D5CDD505-2E9C-101B-9397-08002B2CF9AE}" pid="11" name="MSIP_Label_c134f19f-24fe-4fb9-80c7-74e93f02cb77_SetDate">
    <vt:lpwstr>2026-01-29T12:00:48Z</vt:lpwstr>
  </property>
  <property fmtid="{D5CDD505-2E9C-101B-9397-08002B2CF9AE}" pid="12" name="MSIP_Label_c134f19f-24fe-4fb9-80c7-74e93f02cb77_Method">
    <vt:lpwstr>Standard</vt:lpwstr>
  </property>
  <property fmtid="{D5CDD505-2E9C-101B-9397-08002B2CF9AE}" pid="13" name="MSIP_Label_c134f19f-24fe-4fb9-80c7-74e93f02cb77_Name">
    <vt:lpwstr>c134f19f-24fe-4fb9-80c7-74e93f02cb77</vt:lpwstr>
  </property>
  <property fmtid="{D5CDD505-2E9C-101B-9397-08002B2CF9AE}" pid="14" name="MSIP_Label_c134f19f-24fe-4fb9-80c7-74e93f02cb77_SiteId">
    <vt:lpwstr>8b5cc50f-a149-44bd-9ddc-9d27ea6d720e</vt:lpwstr>
  </property>
  <property fmtid="{D5CDD505-2E9C-101B-9397-08002B2CF9AE}" pid="15" name="MSIP_Label_c134f19f-24fe-4fb9-80c7-74e93f02cb77_ActionId">
    <vt:lpwstr>6a87fffc-c3a3-47dc-be8d-aed31ca0ebc1</vt:lpwstr>
  </property>
  <property fmtid="{D5CDD505-2E9C-101B-9397-08002B2CF9AE}" pid="16" name="MSIP_Label_c134f19f-24fe-4fb9-80c7-74e93f02cb77_ContentBits">
    <vt:lpwstr>3</vt:lpwstr>
  </property>
  <property fmtid="{D5CDD505-2E9C-101B-9397-08002B2CF9AE}" pid="17" name="MSIP_Label_c134f19f-24fe-4fb9-80c7-74e93f02cb77_Tag">
    <vt:lpwstr>10, 3, 0, 1</vt:lpwstr>
  </property>
</Properties>
</file>