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347AC" w14:textId="77777777" w:rsidR="00687BB9" w:rsidRDefault="00687BB9" w:rsidP="005F095F">
      <w:pPr>
        <w:jc w:val="center"/>
        <w:rPr>
          <w:rFonts w:ascii="Arial" w:hAnsi="Arial" w:cs="Arial"/>
          <w:b/>
          <w:bCs/>
          <w:sz w:val="22"/>
          <w:szCs w:val="22"/>
        </w:rPr>
      </w:pPr>
      <w:r w:rsidRPr="00070F2B">
        <w:rPr>
          <w:rFonts w:ascii="Arial" w:hAnsi="Arial" w:cs="Arial"/>
          <w:b/>
          <w:bCs/>
          <w:sz w:val="22"/>
          <w:szCs w:val="22"/>
        </w:rPr>
        <w:t>Premier Foods plc</w:t>
      </w:r>
    </w:p>
    <w:p w14:paraId="422CD4FD" w14:textId="77777777" w:rsidR="005F095F" w:rsidRPr="00070F2B" w:rsidRDefault="005F095F" w:rsidP="005F095F">
      <w:pPr>
        <w:jc w:val="center"/>
        <w:rPr>
          <w:rFonts w:ascii="Arial" w:hAnsi="Arial" w:cs="Arial"/>
          <w:b/>
          <w:bCs/>
          <w:sz w:val="22"/>
          <w:szCs w:val="22"/>
        </w:rPr>
      </w:pPr>
    </w:p>
    <w:p w14:paraId="61015D03" w14:textId="77777777" w:rsidR="00687BB9" w:rsidRPr="00070F2B" w:rsidRDefault="00687BB9" w:rsidP="00687BB9">
      <w:pPr>
        <w:jc w:val="center"/>
        <w:rPr>
          <w:rFonts w:ascii="Arial" w:hAnsi="Arial" w:cs="Arial"/>
          <w:b/>
          <w:bCs/>
          <w:sz w:val="22"/>
          <w:szCs w:val="22"/>
        </w:rPr>
      </w:pPr>
      <w:r w:rsidRPr="00070F2B">
        <w:rPr>
          <w:rFonts w:ascii="Arial" w:hAnsi="Arial" w:cs="Arial"/>
          <w:b/>
          <w:bCs/>
          <w:sz w:val="22"/>
          <w:szCs w:val="22"/>
        </w:rPr>
        <w:t>Incorporated in England &amp; Wales, number 05160050</w:t>
      </w:r>
    </w:p>
    <w:p w14:paraId="0C5A1987" w14:textId="77777777" w:rsidR="00687BB9" w:rsidRPr="00070F2B" w:rsidRDefault="00687BB9" w:rsidP="00687BB9">
      <w:pPr>
        <w:jc w:val="center"/>
        <w:rPr>
          <w:rFonts w:ascii="Arial" w:hAnsi="Arial" w:cs="Arial"/>
          <w:b/>
          <w:bCs/>
          <w:sz w:val="22"/>
          <w:szCs w:val="22"/>
        </w:rPr>
      </w:pPr>
    </w:p>
    <w:p w14:paraId="779216EC" w14:textId="010A4EEB" w:rsidR="00687BB9" w:rsidRPr="00070F2B" w:rsidRDefault="00687BB9" w:rsidP="00687BB9">
      <w:pPr>
        <w:jc w:val="center"/>
        <w:rPr>
          <w:rFonts w:ascii="Arial" w:hAnsi="Arial" w:cs="Arial"/>
          <w:b/>
          <w:bCs/>
          <w:sz w:val="22"/>
          <w:szCs w:val="22"/>
        </w:rPr>
      </w:pPr>
      <w:r w:rsidRPr="00070F2B">
        <w:rPr>
          <w:rFonts w:ascii="Arial" w:hAnsi="Arial" w:cs="Arial"/>
          <w:b/>
          <w:bCs/>
          <w:sz w:val="22"/>
          <w:szCs w:val="22"/>
        </w:rPr>
        <w:t>Registrable resolutions passed at</w:t>
      </w:r>
      <w:r w:rsidR="000B14E9" w:rsidRPr="00070F2B">
        <w:rPr>
          <w:rFonts w:ascii="Arial" w:hAnsi="Arial" w:cs="Arial"/>
          <w:b/>
          <w:bCs/>
          <w:sz w:val="22"/>
          <w:szCs w:val="22"/>
        </w:rPr>
        <w:t xml:space="preserve"> the Annual General Meeting </w:t>
      </w:r>
      <w:r w:rsidR="003B3D49" w:rsidRPr="00070F2B">
        <w:rPr>
          <w:rFonts w:ascii="Arial" w:hAnsi="Arial" w:cs="Arial"/>
          <w:b/>
          <w:bCs/>
          <w:sz w:val="22"/>
          <w:szCs w:val="22"/>
        </w:rPr>
        <w:t>20</w:t>
      </w:r>
      <w:r w:rsidR="003B3D49">
        <w:rPr>
          <w:rFonts w:ascii="Arial" w:hAnsi="Arial" w:cs="Arial"/>
          <w:b/>
          <w:bCs/>
          <w:sz w:val="22"/>
          <w:szCs w:val="22"/>
        </w:rPr>
        <w:t>20</w:t>
      </w:r>
    </w:p>
    <w:p w14:paraId="3A86557E" w14:textId="77777777" w:rsidR="00687BB9" w:rsidRPr="00070F2B" w:rsidRDefault="00687BB9" w:rsidP="00687BB9">
      <w:pPr>
        <w:pBdr>
          <w:bottom w:val="single" w:sz="12" w:space="1" w:color="auto"/>
        </w:pBdr>
        <w:rPr>
          <w:rFonts w:ascii="Arial" w:hAnsi="Arial" w:cs="Arial"/>
          <w:sz w:val="22"/>
          <w:szCs w:val="22"/>
        </w:rPr>
      </w:pPr>
    </w:p>
    <w:p w14:paraId="4E8AA30E" w14:textId="5ED193F8" w:rsidR="00687BB9" w:rsidRDefault="00687BB9" w:rsidP="00687BB9">
      <w:pPr>
        <w:rPr>
          <w:rFonts w:ascii="Arial" w:hAnsi="Arial" w:cs="Arial"/>
          <w:sz w:val="22"/>
          <w:szCs w:val="22"/>
        </w:rPr>
      </w:pPr>
    </w:p>
    <w:p w14:paraId="292669BC" w14:textId="77777777" w:rsidR="000147A8" w:rsidRPr="00070F2B" w:rsidRDefault="000147A8" w:rsidP="00687BB9">
      <w:pPr>
        <w:rPr>
          <w:rFonts w:ascii="Arial" w:hAnsi="Arial" w:cs="Arial"/>
          <w:sz w:val="22"/>
          <w:szCs w:val="22"/>
        </w:rPr>
      </w:pPr>
    </w:p>
    <w:p w14:paraId="379E3996" w14:textId="6972C17C" w:rsidR="003C4AA0" w:rsidRDefault="00D9768A" w:rsidP="00192318">
      <w:pPr>
        <w:pStyle w:val="BodyText2"/>
        <w:spacing w:after="0" w:line="240" w:lineRule="auto"/>
        <w:jc w:val="both"/>
        <w:rPr>
          <w:sz w:val="22"/>
          <w:szCs w:val="22"/>
        </w:rPr>
      </w:pPr>
      <w:proofErr w:type="gramStart"/>
      <w:r w:rsidRPr="00070F2B">
        <w:rPr>
          <w:sz w:val="22"/>
          <w:szCs w:val="22"/>
        </w:rPr>
        <w:t>T</w:t>
      </w:r>
      <w:r w:rsidR="00687BB9" w:rsidRPr="00070F2B">
        <w:rPr>
          <w:sz w:val="22"/>
          <w:szCs w:val="22"/>
        </w:rPr>
        <w:t xml:space="preserve">he following special </w:t>
      </w:r>
      <w:r w:rsidR="008820DA" w:rsidRPr="00070F2B">
        <w:rPr>
          <w:sz w:val="22"/>
          <w:szCs w:val="22"/>
        </w:rPr>
        <w:t>business</w:t>
      </w:r>
      <w:r w:rsidR="00BB5555" w:rsidRPr="00070F2B">
        <w:rPr>
          <w:sz w:val="22"/>
          <w:szCs w:val="22"/>
        </w:rPr>
        <w:t>,</w:t>
      </w:r>
      <w:proofErr w:type="gramEnd"/>
      <w:r w:rsidR="00BB5555" w:rsidRPr="00070F2B">
        <w:rPr>
          <w:sz w:val="22"/>
          <w:szCs w:val="22"/>
        </w:rPr>
        <w:t xml:space="preserve"> was</w:t>
      </w:r>
      <w:r w:rsidR="00687BB9" w:rsidRPr="00070F2B">
        <w:rPr>
          <w:sz w:val="22"/>
          <w:szCs w:val="22"/>
        </w:rPr>
        <w:t xml:space="preserve"> duly passed by the requisite majority at the Annual General Meeting of Premier Foods plc </w:t>
      </w:r>
      <w:r w:rsidR="00A23967" w:rsidRPr="00070F2B">
        <w:rPr>
          <w:sz w:val="22"/>
          <w:szCs w:val="22"/>
        </w:rPr>
        <w:t>(the “</w:t>
      </w:r>
      <w:r w:rsidR="00A23967" w:rsidRPr="00070F2B">
        <w:rPr>
          <w:b/>
          <w:sz w:val="22"/>
          <w:szCs w:val="22"/>
        </w:rPr>
        <w:t>Company</w:t>
      </w:r>
      <w:r w:rsidR="00A23967" w:rsidRPr="00070F2B">
        <w:rPr>
          <w:sz w:val="22"/>
          <w:szCs w:val="22"/>
        </w:rPr>
        <w:t xml:space="preserve">”) held on </w:t>
      </w:r>
      <w:r w:rsidR="00FC622A">
        <w:rPr>
          <w:sz w:val="22"/>
          <w:szCs w:val="22"/>
        </w:rPr>
        <w:t xml:space="preserve">Wednesday </w:t>
      </w:r>
      <w:r w:rsidR="003B3D49">
        <w:rPr>
          <w:sz w:val="22"/>
          <w:szCs w:val="22"/>
        </w:rPr>
        <w:t>12 August 2020</w:t>
      </w:r>
      <w:r w:rsidR="00A23967" w:rsidRPr="00070F2B">
        <w:rPr>
          <w:sz w:val="22"/>
          <w:szCs w:val="22"/>
        </w:rPr>
        <w:t>.</w:t>
      </w:r>
    </w:p>
    <w:p w14:paraId="60553DC6" w14:textId="5A8BB8DB" w:rsidR="000147A8" w:rsidRDefault="000147A8" w:rsidP="00192318">
      <w:pPr>
        <w:pStyle w:val="BodyText2"/>
        <w:spacing w:after="0" w:line="240" w:lineRule="auto"/>
        <w:jc w:val="both"/>
        <w:rPr>
          <w:sz w:val="22"/>
          <w:szCs w:val="22"/>
        </w:rPr>
      </w:pPr>
    </w:p>
    <w:p w14:paraId="3D3F95D5" w14:textId="4B63D1E9" w:rsidR="000147A8" w:rsidRDefault="000147A8" w:rsidP="00192318">
      <w:pPr>
        <w:pStyle w:val="BodyText2"/>
        <w:spacing w:after="0" w:line="240" w:lineRule="auto"/>
        <w:jc w:val="both"/>
        <w:rPr>
          <w:sz w:val="22"/>
          <w:szCs w:val="22"/>
        </w:rPr>
      </w:pPr>
      <w:bookmarkStart w:id="0" w:name="_Hlk48211265"/>
    </w:p>
    <w:p w14:paraId="0D20099B" w14:textId="77777777" w:rsidR="00742627" w:rsidRDefault="000147A8" w:rsidP="000147A8">
      <w:pPr>
        <w:suppressAutoHyphens/>
        <w:autoSpaceDE w:val="0"/>
        <w:autoSpaceDN w:val="0"/>
        <w:adjustRightInd w:val="0"/>
        <w:spacing w:line="240" w:lineRule="atLeast"/>
        <w:rPr>
          <w:rFonts w:ascii="Arial" w:hAnsi="Arial" w:cs="Arial"/>
          <w:color w:val="000000" w:themeColor="text1"/>
          <w:sz w:val="22"/>
          <w:szCs w:val="22"/>
        </w:rPr>
      </w:pPr>
      <w:r w:rsidRPr="00742627">
        <w:rPr>
          <w:rFonts w:ascii="Arial" w:hAnsi="Arial" w:cs="Arial"/>
          <w:b/>
          <w:bCs/>
          <w:color w:val="000000" w:themeColor="text1"/>
          <w:sz w:val="22"/>
          <w:szCs w:val="22"/>
        </w:rPr>
        <w:t>Resolution 3</w:t>
      </w:r>
      <w:r w:rsidRPr="00742627">
        <w:rPr>
          <w:rFonts w:ascii="Arial" w:hAnsi="Arial" w:cs="Arial"/>
          <w:color w:val="000000" w:themeColor="text1"/>
          <w:sz w:val="22"/>
          <w:szCs w:val="22"/>
        </w:rPr>
        <w:t xml:space="preserve">. </w:t>
      </w:r>
    </w:p>
    <w:p w14:paraId="7624125B" w14:textId="77777777" w:rsidR="00742627" w:rsidRDefault="00742627" w:rsidP="000147A8">
      <w:pPr>
        <w:suppressAutoHyphens/>
        <w:autoSpaceDE w:val="0"/>
        <w:autoSpaceDN w:val="0"/>
        <w:adjustRightInd w:val="0"/>
        <w:spacing w:line="240" w:lineRule="atLeast"/>
        <w:rPr>
          <w:rFonts w:ascii="Arial" w:hAnsi="Arial" w:cs="Arial"/>
          <w:color w:val="000000" w:themeColor="text1"/>
          <w:sz w:val="22"/>
          <w:szCs w:val="22"/>
        </w:rPr>
      </w:pPr>
    </w:p>
    <w:p w14:paraId="6A1876F0" w14:textId="211D2513" w:rsidR="000147A8" w:rsidRPr="00742627" w:rsidRDefault="000147A8" w:rsidP="000147A8">
      <w:pPr>
        <w:suppressAutoHyphens/>
        <w:autoSpaceDE w:val="0"/>
        <w:autoSpaceDN w:val="0"/>
        <w:adjustRightInd w:val="0"/>
        <w:spacing w:line="240" w:lineRule="atLeast"/>
        <w:rPr>
          <w:rFonts w:ascii="Arial" w:hAnsi="Arial" w:cs="Arial"/>
          <w:color w:val="000000" w:themeColor="text1"/>
          <w:sz w:val="22"/>
          <w:szCs w:val="22"/>
        </w:rPr>
      </w:pPr>
      <w:r w:rsidRPr="00742627">
        <w:rPr>
          <w:rFonts w:ascii="Arial" w:hAnsi="Arial" w:cs="Arial"/>
          <w:color w:val="000000" w:themeColor="text1"/>
          <w:sz w:val="22"/>
          <w:szCs w:val="22"/>
        </w:rPr>
        <w:t xml:space="preserve">That the Directors’ Remuneration Policy, the full text of which is set out on pages </w:t>
      </w:r>
      <w:r>
        <w:rPr>
          <w:rFonts w:ascii="Arial" w:hAnsi="Arial" w:cs="Arial"/>
          <w:color w:val="000000" w:themeColor="text1"/>
          <w:sz w:val="22"/>
          <w:szCs w:val="22"/>
        </w:rPr>
        <w:t>61</w:t>
      </w:r>
      <w:r w:rsidRPr="00742627">
        <w:rPr>
          <w:rFonts w:ascii="Arial" w:hAnsi="Arial" w:cs="Arial"/>
          <w:color w:val="000000" w:themeColor="text1"/>
          <w:sz w:val="22"/>
          <w:szCs w:val="22"/>
        </w:rPr>
        <w:t xml:space="preserve"> to </w:t>
      </w:r>
      <w:r>
        <w:rPr>
          <w:rFonts w:ascii="Arial" w:hAnsi="Arial" w:cs="Arial"/>
          <w:color w:val="000000" w:themeColor="text1"/>
          <w:sz w:val="22"/>
          <w:szCs w:val="22"/>
        </w:rPr>
        <w:t>67</w:t>
      </w:r>
      <w:r w:rsidRPr="00742627">
        <w:rPr>
          <w:rFonts w:ascii="Arial" w:hAnsi="Arial" w:cs="Arial"/>
          <w:color w:val="000000" w:themeColor="text1"/>
          <w:sz w:val="22"/>
          <w:szCs w:val="22"/>
        </w:rPr>
        <w:t xml:space="preserve"> of the 2019/20 annual report, be approved.</w:t>
      </w:r>
    </w:p>
    <w:p w14:paraId="7B9829B5" w14:textId="08705808" w:rsidR="000147A8" w:rsidRDefault="000147A8" w:rsidP="00192318">
      <w:pPr>
        <w:pStyle w:val="BodyText2"/>
        <w:spacing w:after="0" w:line="240" w:lineRule="auto"/>
        <w:jc w:val="both"/>
        <w:rPr>
          <w:sz w:val="22"/>
          <w:szCs w:val="22"/>
        </w:rPr>
      </w:pPr>
    </w:p>
    <w:p w14:paraId="58EDCEDF" w14:textId="77777777" w:rsidR="000147A8" w:rsidRDefault="000147A8" w:rsidP="00192318">
      <w:pPr>
        <w:pStyle w:val="BodyText2"/>
        <w:spacing w:after="0" w:line="240" w:lineRule="auto"/>
        <w:jc w:val="both"/>
        <w:rPr>
          <w:sz w:val="22"/>
          <w:szCs w:val="22"/>
        </w:rPr>
      </w:pPr>
    </w:p>
    <w:p w14:paraId="47EFAFC7" w14:textId="77777777" w:rsidR="000147A8" w:rsidRPr="00742627" w:rsidRDefault="000147A8" w:rsidP="000147A8">
      <w:pPr>
        <w:suppressAutoHyphens/>
        <w:autoSpaceDE w:val="0"/>
        <w:autoSpaceDN w:val="0"/>
        <w:adjustRightInd w:val="0"/>
        <w:spacing w:line="240" w:lineRule="atLeast"/>
        <w:rPr>
          <w:rFonts w:ascii="Arial" w:hAnsi="Arial" w:cs="Arial"/>
          <w:b/>
          <w:bCs/>
          <w:color w:val="000000" w:themeColor="text1"/>
          <w:sz w:val="22"/>
          <w:szCs w:val="22"/>
        </w:rPr>
      </w:pPr>
      <w:r w:rsidRPr="00742627">
        <w:rPr>
          <w:rFonts w:ascii="Arial" w:hAnsi="Arial" w:cs="Arial"/>
          <w:b/>
          <w:bCs/>
          <w:color w:val="000000" w:themeColor="text1"/>
          <w:sz w:val="22"/>
          <w:szCs w:val="22"/>
        </w:rPr>
        <w:t>Approval of the Premier Foods plc Long Term Incentive Plan 2020</w:t>
      </w:r>
    </w:p>
    <w:p w14:paraId="14EC77A8" w14:textId="09A83D6B" w:rsidR="000147A8" w:rsidRDefault="000147A8" w:rsidP="000147A8">
      <w:pPr>
        <w:suppressAutoHyphens/>
        <w:autoSpaceDE w:val="0"/>
        <w:autoSpaceDN w:val="0"/>
        <w:adjustRightInd w:val="0"/>
        <w:spacing w:line="240" w:lineRule="atLeast"/>
        <w:rPr>
          <w:rFonts w:ascii="Arial" w:hAnsi="Arial" w:cs="Arial"/>
          <w:color w:val="000000" w:themeColor="text1"/>
          <w:sz w:val="22"/>
          <w:szCs w:val="22"/>
        </w:rPr>
      </w:pPr>
      <w:r w:rsidRPr="00742627">
        <w:rPr>
          <w:rFonts w:ascii="Arial" w:hAnsi="Arial" w:cs="Arial"/>
          <w:b/>
          <w:bCs/>
          <w:color w:val="000000" w:themeColor="text1"/>
          <w:sz w:val="22"/>
          <w:szCs w:val="22"/>
        </w:rPr>
        <w:t>Resolution 17.</w:t>
      </w:r>
      <w:r w:rsidRPr="00742627">
        <w:rPr>
          <w:rFonts w:ascii="Arial" w:hAnsi="Arial" w:cs="Arial"/>
          <w:color w:val="000000" w:themeColor="text1"/>
          <w:sz w:val="22"/>
          <w:szCs w:val="22"/>
        </w:rPr>
        <w:t xml:space="preserve"> </w:t>
      </w:r>
    </w:p>
    <w:p w14:paraId="637E86B0" w14:textId="77777777" w:rsidR="000147A8" w:rsidRDefault="000147A8" w:rsidP="000147A8">
      <w:pPr>
        <w:suppressAutoHyphens/>
        <w:autoSpaceDE w:val="0"/>
        <w:autoSpaceDN w:val="0"/>
        <w:adjustRightInd w:val="0"/>
        <w:spacing w:line="240" w:lineRule="atLeast"/>
        <w:rPr>
          <w:rFonts w:ascii="Arial" w:hAnsi="Arial" w:cs="Arial"/>
          <w:color w:val="000000" w:themeColor="text1"/>
          <w:sz w:val="22"/>
          <w:szCs w:val="22"/>
        </w:rPr>
      </w:pPr>
    </w:p>
    <w:p w14:paraId="302D0A59" w14:textId="6FF4E273" w:rsidR="000147A8" w:rsidRDefault="000147A8" w:rsidP="000147A8">
      <w:pPr>
        <w:suppressAutoHyphens/>
        <w:autoSpaceDE w:val="0"/>
        <w:autoSpaceDN w:val="0"/>
        <w:adjustRightInd w:val="0"/>
        <w:spacing w:line="240" w:lineRule="atLeast"/>
        <w:rPr>
          <w:rFonts w:ascii="Arial" w:hAnsi="Arial" w:cs="Arial"/>
          <w:color w:val="000000" w:themeColor="text1"/>
          <w:sz w:val="22"/>
          <w:szCs w:val="22"/>
        </w:rPr>
      </w:pPr>
      <w:r w:rsidRPr="00742627">
        <w:rPr>
          <w:rFonts w:ascii="Arial" w:hAnsi="Arial" w:cs="Arial"/>
          <w:color w:val="000000" w:themeColor="text1"/>
          <w:sz w:val="22"/>
          <w:szCs w:val="22"/>
        </w:rPr>
        <w:t xml:space="preserve">That the Premier Foods Long Term Incentive Plan 2020 (the "2020 LTIP"), the principal terms of which are summarised in Appendix </w:t>
      </w:r>
      <w:r>
        <w:rPr>
          <w:rFonts w:ascii="Arial" w:hAnsi="Arial" w:cs="Arial"/>
          <w:color w:val="000000" w:themeColor="text1"/>
          <w:sz w:val="22"/>
          <w:szCs w:val="22"/>
        </w:rPr>
        <w:t xml:space="preserve">2 </w:t>
      </w:r>
      <w:r w:rsidRPr="00742627">
        <w:rPr>
          <w:rFonts w:ascii="Arial" w:hAnsi="Arial" w:cs="Arial"/>
          <w:color w:val="000000" w:themeColor="text1"/>
          <w:sz w:val="22"/>
          <w:szCs w:val="22"/>
        </w:rPr>
        <w:t>to this Notice of Annual General Meeting and produced in draft to this meeting and, for the purposes of identification, are initialled by the Chairman of the meeting, be approved and the Directors be authorised to:</w:t>
      </w:r>
    </w:p>
    <w:p w14:paraId="5DE37145" w14:textId="77777777" w:rsidR="000147A8" w:rsidRDefault="000147A8" w:rsidP="000147A8">
      <w:pPr>
        <w:suppressAutoHyphens/>
        <w:autoSpaceDE w:val="0"/>
        <w:autoSpaceDN w:val="0"/>
        <w:adjustRightInd w:val="0"/>
        <w:spacing w:line="240" w:lineRule="atLeast"/>
        <w:rPr>
          <w:rFonts w:ascii="Arial" w:hAnsi="Arial" w:cs="Arial"/>
          <w:color w:val="000000" w:themeColor="text1"/>
          <w:sz w:val="22"/>
          <w:szCs w:val="22"/>
        </w:rPr>
      </w:pPr>
    </w:p>
    <w:p w14:paraId="50C29E69" w14:textId="6EFD9FD3" w:rsidR="000147A8" w:rsidRDefault="000147A8" w:rsidP="00742627">
      <w:pPr>
        <w:suppressAutoHyphens/>
        <w:autoSpaceDE w:val="0"/>
        <w:autoSpaceDN w:val="0"/>
        <w:adjustRightInd w:val="0"/>
        <w:spacing w:line="240" w:lineRule="atLeast"/>
        <w:ind w:left="720" w:hanging="720"/>
        <w:rPr>
          <w:rFonts w:ascii="Arial" w:hAnsi="Arial" w:cs="Arial"/>
          <w:color w:val="000000" w:themeColor="text1"/>
          <w:sz w:val="22"/>
          <w:szCs w:val="22"/>
        </w:rPr>
      </w:pPr>
      <w:r w:rsidRPr="00742627">
        <w:rPr>
          <w:rFonts w:ascii="Arial" w:hAnsi="Arial" w:cs="Arial"/>
          <w:color w:val="000000" w:themeColor="text1"/>
          <w:sz w:val="22"/>
          <w:szCs w:val="22"/>
        </w:rPr>
        <w:t>a)</w:t>
      </w:r>
      <w:r w:rsidRPr="00742627">
        <w:rPr>
          <w:rFonts w:ascii="Arial" w:hAnsi="Arial" w:cs="Arial"/>
          <w:color w:val="000000" w:themeColor="text1"/>
          <w:sz w:val="22"/>
          <w:szCs w:val="22"/>
        </w:rPr>
        <w:tab/>
        <w:t>make such modifications to the 2020 LTIP as they may consider appropriate to take account of the requirements of</w:t>
      </w:r>
      <w:r>
        <w:rPr>
          <w:rFonts w:ascii="Arial" w:hAnsi="Arial" w:cs="Arial"/>
          <w:color w:val="000000" w:themeColor="text1"/>
          <w:sz w:val="22"/>
          <w:szCs w:val="22"/>
        </w:rPr>
        <w:t xml:space="preserve"> </w:t>
      </w:r>
      <w:r w:rsidRPr="00742627">
        <w:rPr>
          <w:rFonts w:ascii="Arial" w:hAnsi="Arial" w:cs="Arial"/>
          <w:color w:val="000000" w:themeColor="text1"/>
          <w:sz w:val="22"/>
          <w:szCs w:val="22"/>
        </w:rPr>
        <w:t>best practice and for the implementation of the 2020 LTIP and to adopt the 2020 LTIP as so modified and to do all such other acts and things as they may consider appropriate to implement the 2020 LTIP; and</w:t>
      </w:r>
    </w:p>
    <w:p w14:paraId="581DF806" w14:textId="77777777" w:rsidR="000147A8" w:rsidRPr="00742627" w:rsidRDefault="000147A8" w:rsidP="000147A8">
      <w:pPr>
        <w:suppressAutoHyphens/>
        <w:autoSpaceDE w:val="0"/>
        <w:autoSpaceDN w:val="0"/>
        <w:adjustRightInd w:val="0"/>
        <w:spacing w:line="240" w:lineRule="atLeast"/>
        <w:rPr>
          <w:rFonts w:ascii="Arial" w:hAnsi="Arial" w:cs="Arial"/>
          <w:color w:val="000000" w:themeColor="text1"/>
          <w:sz w:val="22"/>
          <w:szCs w:val="22"/>
        </w:rPr>
      </w:pPr>
    </w:p>
    <w:p w14:paraId="5543F637" w14:textId="5C9EFE39" w:rsidR="000147A8" w:rsidRPr="00742627" w:rsidRDefault="000147A8" w:rsidP="00742627">
      <w:pPr>
        <w:suppressAutoHyphens/>
        <w:autoSpaceDE w:val="0"/>
        <w:autoSpaceDN w:val="0"/>
        <w:adjustRightInd w:val="0"/>
        <w:spacing w:line="240" w:lineRule="atLeast"/>
        <w:ind w:left="720" w:hanging="720"/>
        <w:rPr>
          <w:rFonts w:ascii="Arial" w:hAnsi="Arial" w:cs="Arial"/>
          <w:color w:val="000000" w:themeColor="text1"/>
          <w:sz w:val="22"/>
          <w:szCs w:val="22"/>
        </w:rPr>
      </w:pPr>
      <w:r w:rsidRPr="00742627">
        <w:rPr>
          <w:rFonts w:ascii="Arial" w:hAnsi="Arial" w:cs="Arial"/>
          <w:color w:val="000000" w:themeColor="text1"/>
          <w:sz w:val="22"/>
          <w:szCs w:val="22"/>
        </w:rPr>
        <w:t>b)</w:t>
      </w:r>
      <w:r w:rsidRPr="00742627">
        <w:rPr>
          <w:rFonts w:ascii="Arial" w:hAnsi="Arial" w:cs="Arial"/>
          <w:color w:val="000000" w:themeColor="text1"/>
          <w:sz w:val="22"/>
          <w:szCs w:val="22"/>
        </w:rPr>
        <w:tab/>
        <w:t>establish further plans based on the 2020 LTIP but modified to take account of local tax, exchange control or</w:t>
      </w:r>
      <w:r>
        <w:rPr>
          <w:rFonts w:ascii="Arial" w:hAnsi="Arial" w:cs="Arial"/>
          <w:color w:val="000000" w:themeColor="text1"/>
          <w:sz w:val="22"/>
          <w:szCs w:val="22"/>
        </w:rPr>
        <w:t xml:space="preserve"> </w:t>
      </w:r>
      <w:r w:rsidRPr="00742627">
        <w:rPr>
          <w:rFonts w:ascii="Arial" w:hAnsi="Arial" w:cs="Arial"/>
          <w:color w:val="000000" w:themeColor="text1"/>
          <w:sz w:val="22"/>
          <w:szCs w:val="22"/>
        </w:rPr>
        <w:t>securities laws in overseas territories, provided that any Shares made available under such further plans are treated</w:t>
      </w:r>
      <w:r>
        <w:rPr>
          <w:rFonts w:ascii="Arial" w:hAnsi="Arial" w:cs="Arial"/>
          <w:color w:val="000000" w:themeColor="text1"/>
          <w:sz w:val="22"/>
          <w:szCs w:val="22"/>
        </w:rPr>
        <w:t xml:space="preserve"> </w:t>
      </w:r>
      <w:r w:rsidRPr="00742627">
        <w:rPr>
          <w:rFonts w:ascii="Arial" w:hAnsi="Arial" w:cs="Arial"/>
          <w:color w:val="000000" w:themeColor="text1"/>
          <w:sz w:val="22"/>
          <w:szCs w:val="22"/>
        </w:rPr>
        <w:t xml:space="preserve">as counting against the limits on individual or overall participation in the 2020 LTIP.  </w:t>
      </w:r>
    </w:p>
    <w:p w14:paraId="2B496E2E" w14:textId="77777777" w:rsidR="000147A8" w:rsidRPr="00742627" w:rsidRDefault="000147A8" w:rsidP="000147A8">
      <w:pPr>
        <w:suppressAutoHyphens/>
        <w:autoSpaceDE w:val="0"/>
        <w:autoSpaceDN w:val="0"/>
        <w:adjustRightInd w:val="0"/>
        <w:spacing w:line="240" w:lineRule="atLeast"/>
        <w:rPr>
          <w:rFonts w:ascii="Arial" w:hAnsi="Arial" w:cs="Arial"/>
          <w:color w:val="000000" w:themeColor="text1"/>
          <w:sz w:val="22"/>
          <w:szCs w:val="22"/>
        </w:rPr>
      </w:pPr>
    </w:p>
    <w:bookmarkEnd w:id="0"/>
    <w:p w14:paraId="1EAC24BB" w14:textId="77777777" w:rsidR="000147A8" w:rsidRPr="00742627" w:rsidRDefault="000147A8" w:rsidP="00192318">
      <w:pPr>
        <w:pStyle w:val="BodyText2"/>
        <w:spacing w:after="0" w:line="240" w:lineRule="auto"/>
        <w:jc w:val="both"/>
        <w:rPr>
          <w:sz w:val="22"/>
          <w:szCs w:val="22"/>
        </w:rPr>
      </w:pPr>
    </w:p>
    <w:p w14:paraId="45C31398" w14:textId="77777777" w:rsidR="0016173D" w:rsidRPr="00601630" w:rsidRDefault="0016173D" w:rsidP="0016173D">
      <w:pPr>
        <w:autoSpaceDE w:val="0"/>
        <w:autoSpaceDN w:val="0"/>
        <w:adjustRightInd w:val="0"/>
        <w:rPr>
          <w:rFonts w:ascii="Arial" w:hAnsi="Arial" w:cs="Arial"/>
          <w:b/>
          <w:sz w:val="22"/>
          <w:szCs w:val="22"/>
        </w:rPr>
      </w:pPr>
      <w:r w:rsidRPr="00601630">
        <w:rPr>
          <w:rFonts w:ascii="Arial" w:hAnsi="Arial" w:cs="Arial"/>
          <w:b/>
          <w:sz w:val="22"/>
          <w:szCs w:val="22"/>
        </w:rPr>
        <w:t>Authority to make political donations (Ordinary Resolution)</w:t>
      </w:r>
    </w:p>
    <w:p w14:paraId="67D37FAA" w14:textId="5AE0FDD4" w:rsidR="0016173D" w:rsidRPr="00601630" w:rsidRDefault="0016173D" w:rsidP="0016173D">
      <w:pPr>
        <w:autoSpaceDE w:val="0"/>
        <w:autoSpaceDN w:val="0"/>
        <w:adjustRightInd w:val="0"/>
        <w:rPr>
          <w:rFonts w:ascii="Arial" w:hAnsi="Arial" w:cs="Arial"/>
          <w:b/>
          <w:sz w:val="22"/>
          <w:szCs w:val="22"/>
        </w:rPr>
      </w:pPr>
      <w:r w:rsidRPr="00601630">
        <w:rPr>
          <w:rFonts w:ascii="Arial" w:hAnsi="Arial" w:cs="Arial"/>
          <w:b/>
          <w:sz w:val="22"/>
          <w:szCs w:val="22"/>
        </w:rPr>
        <w:t xml:space="preserve">Resolution </w:t>
      </w:r>
      <w:r w:rsidR="003B3D49" w:rsidRPr="00601630">
        <w:rPr>
          <w:rFonts w:ascii="Arial" w:hAnsi="Arial" w:cs="Arial"/>
          <w:b/>
          <w:sz w:val="22"/>
          <w:szCs w:val="22"/>
        </w:rPr>
        <w:t>1</w:t>
      </w:r>
      <w:r w:rsidR="003B3D49">
        <w:rPr>
          <w:rFonts w:ascii="Arial" w:hAnsi="Arial" w:cs="Arial"/>
          <w:b/>
          <w:sz w:val="22"/>
          <w:szCs w:val="22"/>
        </w:rPr>
        <w:t>8</w:t>
      </w:r>
      <w:r w:rsidRPr="00601630">
        <w:rPr>
          <w:rFonts w:ascii="Arial" w:hAnsi="Arial" w:cs="Arial"/>
          <w:b/>
          <w:sz w:val="22"/>
          <w:szCs w:val="22"/>
        </w:rPr>
        <w:t xml:space="preserve">. </w:t>
      </w:r>
    </w:p>
    <w:p w14:paraId="37D5879B" w14:textId="77777777" w:rsidR="0016173D" w:rsidRDefault="0016173D" w:rsidP="0016173D">
      <w:pPr>
        <w:autoSpaceDE w:val="0"/>
        <w:autoSpaceDN w:val="0"/>
        <w:adjustRightInd w:val="0"/>
        <w:rPr>
          <w:rFonts w:ascii="Arial" w:hAnsi="Arial" w:cs="Arial"/>
          <w:sz w:val="22"/>
          <w:szCs w:val="22"/>
        </w:rPr>
      </w:pPr>
    </w:p>
    <w:p w14:paraId="15C01FE6" w14:textId="77777777" w:rsidR="0016173D" w:rsidRDefault="0016173D" w:rsidP="0016173D">
      <w:pPr>
        <w:autoSpaceDE w:val="0"/>
        <w:autoSpaceDN w:val="0"/>
        <w:adjustRightInd w:val="0"/>
        <w:rPr>
          <w:rFonts w:ascii="Arial" w:hAnsi="Arial" w:cs="Arial"/>
          <w:sz w:val="22"/>
          <w:szCs w:val="22"/>
        </w:rPr>
      </w:pPr>
      <w:r w:rsidRPr="00601630">
        <w:rPr>
          <w:rFonts w:ascii="Arial" w:hAnsi="Arial" w:cs="Arial"/>
          <w:sz w:val="22"/>
          <w:szCs w:val="22"/>
        </w:rPr>
        <w:t>That, in accordance with sections 366</w:t>
      </w:r>
      <w:r>
        <w:rPr>
          <w:rFonts w:ascii="Arial" w:hAnsi="Arial" w:cs="Arial"/>
          <w:sz w:val="22"/>
          <w:szCs w:val="22"/>
        </w:rPr>
        <w:t xml:space="preserve"> </w:t>
      </w:r>
      <w:r w:rsidRPr="00601630">
        <w:rPr>
          <w:rFonts w:ascii="Arial" w:hAnsi="Arial" w:cs="Arial"/>
          <w:sz w:val="22"/>
          <w:szCs w:val="22"/>
        </w:rPr>
        <w:t>and 367 of the Companies Act 2006, the Company and all</w:t>
      </w:r>
      <w:r>
        <w:rPr>
          <w:rFonts w:ascii="Arial" w:hAnsi="Arial" w:cs="Arial"/>
          <w:sz w:val="22"/>
          <w:szCs w:val="22"/>
        </w:rPr>
        <w:t xml:space="preserve"> </w:t>
      </w:r>
      <w:r w:rsidRPr="00601630">
        <w:rPr>
          <w:rFonts w:ascii="Arial" w:hAnsi="Arial" w:cs="Arial"/>
          <w:sz w:val="22"/>
          <w:szCs w:val="22"/>
        </w:rPr>
        <w:t>companies which, at any time during the period for which</w:t>
      </w:r>
      <w:r>
        <w:rPr>
          <w:rFonts w:ascii="Arial" w:hAnsi="Arial" w:cs="Arial"/>
          <w:sz w:val="22"/>
          <w:szCs w:val="22"/>
        </w:rPr>
        <w:t xml:space="preserve"> </w:t>
      </w:r>
      <w:r w:rsidRPr="00601630">
        <w:rPr>
          <w:rFonts w:ascii="Arial" w:hAnsi="Arial" w:cs="Arial"/>
          <w:sz w:val="22"/>
          <w:szCs w:val="22"/>
        </w:rPr>
        <w:t>this resolution has effect, are subsidiaries of the Company,</w:t>
      </w:r>
      <w:r>
        <w:rPr>
          <w:rFonts w:ascii="Arial" w:hAnsi="Arial" w:cs="Arial"/>
          <w:sz w:val="22"/>
          <w:szCs w:val="22"/>
        </w:rPr>
        <w:t xml:space="preserve"> </w:t>
      </w:r>
      <w:r w:rsidRPr="00601630">
        <w:rPr>
          <w:rFonts w:ascii="Arial" w:hAnsi="Arial" w:cs="Arial"/>
          <w:sz w:val="22"/>
          <w:szCs w:val="22"/>
        </w:rPr>
        <w:t>be and are hereby authorised, in aggregate, to:</w:t>
      </w:r>
    </w:p>
    <w:p w14:paraId="06948530" w14:textId="77777777" w:rsidR="0016173D" w:rsidRPr="00601630" w:rsidRDefault="0016173D" w:rsidP="0016173D">
      <w:pPr>
        <w:autoSpaceDE w:val="0"/>
        <w:autoSpaceDN w:val="0"/>
        <w:adjustRightInd w:val="0"/>
        <w:rPr>
          <w:rFonts w:ascii="Arial" w:hAnsi="Arial" w:cs="Arial"/>
          <w:sz w:val="22"/>
          <w:szCs w:val="22"/>
        </w:rPr>
      </w:pPr>
    </w:p>
    <w:p w14:paraId="0AC6329F" w14:textId="77777777" w:rsidR="0016173D" w:rsidRPr="00601630" w:rsidRDefault="0016173D" w:rsidP="0016173D">
      <w:pPr>
        <w:pStyle w:val="ListParagraph"/>
        <w:numPr>
          <w:ilvl w:val="0"/>
          <w:numId w:val="22"/>
        </w:numPr>
        <w:autoSpaceDE w:val="0"/>
        <w:autoSpaceDN w:val="0"/>
        <w:adjustRightInd w:val="0"/>
        <w:rPr>
          <w:rFonts w:ascii="Arial" w:hAnsi="Arial" w:cs="Arial"/>
          <w:sz w:val="22"/>
          <w:szCs w:val="22"/>
        </w:rPr>
      </w:pPr>
      <w:r w:rsidRPr="00601630">
        <w:rPr>
          <w:rFonts w:ascii="Arial" w:hAnsi="Arial" w:cs="Arial"/>
          <w:sz w:val="22"/>
          <w:szCs w:val="22"/>
        </w:rPr>
        <w:t>make political donations to political organisations other than political parties not exceeding £50,000 in total; and</w:t>
      </w:r>
    </w:p>
    <w:p w14:paraId="7090A95E" w14:textId="77777777" w:rsidR="0016173D" w:rsidRPr="00601630" w:rsidRDefault="0016173D" w:rsidP="0016173D">
      <w:pPr>
        <w:autoSpaceDE w:val="0"/>
        <w:autoSpaceDN w:val="0"/>
        <w:adjustRightInd w:val="0"/>
        <w:rPr>
          <w:rFonts w:ascii="Arial" w:hAnsi="Arial" w:cs="Arial"/>
          <w:sz w:val="22"/>
          <w:szCs w:val="22"/>
        </w:rPr>
      </w:pPr>
    </w:p>
    <w:p w14:paraId="78BE7068" w14:textId="53913F5B" w:rsidR="0016173D" w:rsidRDefault="0016173D" w:rsidP="0016173D">
      <w:pPr>
        <w:pStyle w:val="ListParagraph"/>
        <w:numPr>
          <w:ilvl w:val="0"/>
          <w:numId w:val="22"/>
        </w:numPr>
        <w:autoSpaceDE w:val="0"/>
        <w:autoSpaceDN w:val="0"/>
        <w:adjustRightInd w:val="0"/>
        <w:rPr>
          <w:rFonts w:ascii="Arial" w:hAnsi="Arial" w:cs="Arial"/>
          <w:sz w:val="22"/>
          <w:szCs w:val="22"/>
        </w:rPr>
      </w:pPr>
      <w:r w:rsidRPr="00601630">
        <w:rPr>
          <w:rFonts w:ascii="Arial" w:hAnsi="Arial" w:cs="Arial"/>
          <w:sz w:val="22"/>
          <w:szCs w:val="22"/>
        </w:rPr>
        <w:t xml:space="preserve">incur political expenditure not exceeding £50,000 in total, (as such terms are defined in sections 363 to 365 of the Companies Act 2006) during the period commencing on the date of this resolution and ending at the conclusion of the </w:t>
      </w:r>
      <w:r w:rsidR="003B3D49" w:rsidRPr="00601630">
        <w:rPr>
          <w:rFonts w:ascii="Arial" w:hAnsi="Arial" w:cs="Arial"/>
          <w:sz w:val="22"/>
          <w:szCs w:val="22"/>
        </w:rPr>
        <w:t>202</w:t>
      </w:r>
      <w:r w:rsidR="003B3D49">
        <w:rPr>
          <w:rFonts w:ascii="Arial" w:hAnsi="Arial" w:cs="Arial"/>
          <w:sz w:val="22"/>
          <w:szCs w:val="22"/>
        </w:rPr>
        <w:t>1</w:t>
      </w:r>
      <w:r w:rsidR="003B3D49" w:rsidRPr="00601630">
        <w:rPr>
          <w:rFonts w:ascii="Arial" w:hAnsi="Arial" w:cs="Arial"/>
          <w:sz w:val="22"/>
          <w:szCs w:val="22"/>
        </w:rPr>
        <w:t xml:space="preserve"> </w:t>
      </w:r>
      <w:r w:rsidRPr="00601630">
        <w:rPr>
          <w:rFonts w:ascii="Arial" w:hAnsi="Arial" w:cs="Arial"/>
          <w:sz w:val="22"/>
          <w:szCs w:val="22"/>
        </w:rPr>
        <w:t xml:space="preserve">AGM or close of business on </w:t>
      </w:r>
      <w:r w:rsidR="003B3D49">
        <w:rPr>
          <w:rFonts w:ascii="Arial" w:hAnsi="Arial" w:cs="Arial"/>
          <w:sz w:val="22"/>
          <w:szCs w:val="22"/>
        </w:rPr>
        <w:t>5 November 2021</w:t>
      </w:r>
      <w:r w:rsidRPr="00601630">
        <w:rPr>
          <w:rFonts w:ascii="Arial" w:hAnsi="Arial" w:cs="Arial"/>
          <w:sz w:val="22"/>
          <w:szCs w:val="22"/>
        </w:rPr>
        <w:t>, whichever is sooner, provided that the aggregate amount of any such donations and expenditure shall not exceed £50,000.</w:t>
      </w:r>
    </w:p>
    <w:p w14:paraId="3CEB5053" w14:textId="60E11FB2" w:rsidR="0016173D" w:rsidRDefault="0016173D" w:rsidP="0016173D">
      <w:pPr>
        <w:autoSpaceDE w:val="0"/>
        <w:autoSpaceDN w:val="0"/>
        <w:adjustRightInd w:val="0"/>
        <w:rPr>
          <w:rFonts w:ascii="Arial" w:hAnsi="Arial" w:cs="Arial"/>
          <w:sz w:val="22"/>
          <w:szCs w:val="22"/>
        </w:rPr>
      </w:pPr>
    </w:p>
    <w:p w14:paraId="2A755473" w14:textId="77777777" w:rsidR="0016173D" w:rsidRPr="00601630" w:rsidRDefault="0016173D" w:rsidP="0016173D">
      <w:pPr>
        <w:autoSpaceDE w:val="0"/>
        <w:autoSpaceDN w:val="0"/>
        <w:adjustRightInd w:val="0"/>
        <w:rPr>
          <w:rFonts w:ascii="Arial" w:hAnsi="Arial" w:cs="Arial"/>
          <w:sz w:val="22"/>
          <w:szCs w:val="22"/>
        </w:rPr>
      </w:pPr>
    </w:p>
    <w:p w14:paraId="72358083" w14:textId="77777777" w:rsidR="0016173D" w:rsidRPr="00601630" w:rsidRDefault="0016173D" w:rsidP="0016173D">
      <w:pPr>
        <w:autoSpaceDE w:val="0"/>
        <w:autoSpaceDN w:val="0"/>
        <w:adjustRightInd w:val="0"/>
        <w:rPr>
          <w:rFonts w:ascii="Arial" w:hAnsi="Arial" w:cs="Arial"/>
          <w:b/>
          <w:sz w:val="22"/>
          <w:szCs w:val="22"/>
        </w:rPr>
      </w:pPr>
      <w:r w:rsidRPr="00601630">
        <w:rPr>
          <w:rFonts w:ascii="Arial" w:hAnsi="Arial" w:cs="Arial"/>
          <w:b/>
          <w:sz w:val="22"/>
          <w:szCs w:val="22"/>
        </w:rPr>
        <w:t>Authority to allot shares (Ordinary Resolution)</w:t>
      </w:r>
    </w:p>
    <w:p w14:paraId="09901F66" w14:textId="06387841" w:rsidR="0016173D" w:rsidRPr="00601630" w:rsidRDefault="0016173D" w:rsidP="0016173D">
      <w:pPr>
        <w:autoSpaceDE w:val="0"/>
        <w:autoSpaceDN w:val="0"/>
        <w:adjustRightInd w:val="0"/>
        <w:rPr>
          <w:rFonts w:ascii="Arial" w:hAnsi="Arial" w:cs="Arial"/>
          <w:b/>
          <w:sz w:val="22"/>
          <w:szCs w:val="22"/>
        </w:rPr>
      </w:pPr>
      <w:r w:rsidRPr="00601630">
        <w:rPr>
          <w:rFonts w:ascii="Arial" w:hAnsi="Arial" w:cs="Arial"/>
          <w:b/>
          <w:sz w:val="22"/>
          <w:szCs w:val="22"/>
        </w:rPr>
        <w:lastRenderedPageBreak/>
        <w:t xml:space="preserve">Resolution </w:t>
      </w:r>
      <w:r w:rsidR="003B3D49" w:rsidRPr="00601630">
        <w:rPr>
          <w:rFonts w:ascii="Arial" w:hAnsi="Arial" w:cs="Arial"/>
          <w:b/>
          <w:sz w:val="22"/>
          <w:szCs w:val="22"/>
        </w:rPr>
        <w:t>1</w:t>
      </w:r>
      <w:r w:rsidR="003B3D49">
        <w:rPr>
          <w:rFonts w:ascii="Arial" w:hAnsi="Arial" w:cs="Arial"/>
          <w:b/>
          <w:sz w:val="22"/>
          <w:szCs w:val="22"/>
        </w:rPr>
        <w:t>9</w:t>
      </w:r>
      <w:r w:rsidRPr="00601630">
        <w:rPr>
          <w:rFonts w:ascii="Arial" w:hAnsi="Arial" w:cs="Arial"/>
          <w:b/>
          <w:sz w:val="22"/>
          <w:szCs w:val="22"/>
        </w:rPr>
        <w:t xml:space="preserve">. </w:t>
      </w:r>
    </w:p>
    <w:p w14:paraId="79113EA1" w14:textId="77777777" w:rsidR="0016173D" w:rsidRDefault="0016173D" w:rsidP="0016173D">
      <w:pPr>
        <w:autoSpaceDE w:val="0"/>
        <w:autoSpaceDN w:val="0"/>
        <w:adjustRightInd w:val="0"/>
        <w:rPr>
          <w:rFonts w:ascii="Arial" w:hAnsi="Arial" w:cs="Arial"/>
          <w:sz w:val="22"/>
          <w:szCs w:val="22"/>
        </w:rPr>
      </w:pPr>
    </w:p>
    <w:p w14:paraId="259C97A2" w14:textId="77777777" w:rsidR="0016173D" w:rsidRDefault="0016173D" w:rsidP="0016173D">
      <w:pPr>
        <w:autoSpaceDE w:val="0"/>
        <w:autoSpaceDN w:val="0"/>
        <w:adjustRightInd w:val="0"/>
        <w:rPr>
          <w:rFonts w:ascii="Arial" w:hAnsi="Arial" w:cs="Arial"/>
          <w:sz w:val="22"/>
          <w:szCs w:val="22"/>
        </w:rPr>
      </w:pPr>
      <w:r w:rsidRPr="00601630">
        <w:rPr>
          <w:rFonts w:ascii="Arial" w:hAnsi="Arial" w:cs="Arial"/>
          <w:sz w:val="22"/>
          <w:szCs w:val="22"/>
        </w:rPr>
        <w:t>That the directors be and are hereby</w:t>
      </w:r>
      <w:r>
        <w:rPr>
          <w:rFonts w:ascii="Arial" w:hAnsi="Arial" w:cs="Arial"/>
          <w:sz w:val="22"/>
          <w:szCs w:val="22"/>
        </w:rPr>
        <w:t xml:space="preserve"> </w:t>
      </w:r>
      <w:r w:rsidRPr="00601630">
        <w:rPr>
          <w:rFonts w:ascii="Arial" w:hAnsi="Arial" w:cs="Arial"/>
          <w:sz w:val="22"/>
          <w:szCs w:val="22"/>
        </w:rPr>
        <w:t>generally and unconditionally authorised to exercise all</w:t>
      </w:r>
      <w:r>
        <w:rPr>
          <w:rFonts w:ascii="Arial" w:hAnsi="Arial" w:cs="Arial"/>
          <w:sz w:val="22"/>
          <w:szCs w:val="22"/>
        </w:rPr>
        <w:t xml:space="preserve"> </w:t>
      </w:r>
      <w:r w:rsidRPr="00601630">
        <w:rPr>
          <w:rFonts w:ascii="Arial" w:hAnsi="Arial" w:cs="Arial"/>
          <w:sz w:val="22"/>
          <w:szCs w:val="22"/>
        </w:rPr>
        <w:t>powers of the Company to allot shares in the Company and</w:t>
      </w:r>
      <w:r>
        <w:rPr>
          <w:rFonts w:ascii="Arial" w:hAnsi="Arial" w:cs="Arial"/>
          <w:sz w:val="22"/>
          <w:szCs w:val="22"/>
        </w:rPr>
        <w:t xml:space="preserve"> </w:t>
      </w:r>
      <w:r w:rsidRPr="00601630">
        <w:rPr>
          <w:rFonts w:ascii="Arial" w:hAnsi="Arial" w:cs="Arial"/>
          <w:sz w:val="22"/>
          <w:szCs w:val="22"/>
        </w:rPr>
        <w:t>to grant rights to subscribe for, or to convert any security</w:t>
      </w:r>
      <w:r>
        <w:rPr>
          <w:rFonts w:ascii="Arial" w:hAnsi="Arial" w:cs="Arial"/>
          <w:sz w:val="22"/>
          <w:szCs w:val="22"/>
        </w:rPr>
        <w:t xml:space="preserve"> </w:t>
      </w:r>
      <w:r w:rsidRPr="00601630">
        <w:rPr>
          <w:rFonts w:ascii="Arial" w:hAnsi="Arial" w:cs="Arial"/>
          <w:sz w:val="22"/>
          <w:szCs w:val="22"/>
        </w:rPr>
        <w:t>into, shares in the Company (in accordance with section 551</w:t>
      </w:r>
      <w:r>
        <w:rPr>
          <w:rFonts w:ascii="Arial" w:hAnsi="Arial" w:cs="Arial"/>
          <w:sz w:val="22"/>
          <w:szCs w:val="22"/>
        </w:rPr>
        <w:t xml:space="preserve"> </w:t>
      </w:r>
      <w:r w:rsidRPr="00601630">
        <w:rPr>
          <w:rFonts w:ascii="Arial" w:hAnsi="Arial" w:cs="Arial"/>
          <w:sz w:val="22"/>
          <w:szCs w:val="22"/>
        </w:rPr>
        <w:t>of the Companies Act 2006):</w:t>
      </w:r>
    </w:p>
    <w:p w14:paraId="0371E01F" w14:textId="77777777" w:rsidR="0016173D" w:rsidRPr="00601630" w:rsidRDefault="0016173D" w:rsidP="0016173D">
      <w:pPr>
        <w:autoSpaceDE w:val="0"/>
        <w:autoSpaceDN w:val="0"/>
        <w:adjustRightInd w:val="0"/>
        <w:rPr>
          <w:rFonts w:ascii="Arial" w:hAnsi="Arial" w:cs="Arial"/>
          <w:sz w:val="22"/>
          <w:szCs w:val="22"/>
        </w:rPr>
      </w:pPr>
    </w:p>
    <w:p w14:paraId="42AFB691" w14:textId="3F6A0232" w:rsidR="0016173D" w:rsidRPr="002E3940" w:rsidRDefault="0016173D" w:rsidP="0016173D">
      <w:pPr>
        <w:pStyle w:val="ListParagraph"/>
        <w:numPr>
          <w:ilvl w:val="0"/>
          <w:numId w:val="23"/>
        </w:numPr>
        <w:autoSpaceDE w:val="0"/>
        <w:autoSpaceDN w:val="0"/>
        <w:adjustRightInd w:val="0"/>
        <w:rPr>
          <w:rFonts w:ascii="Arial" w:hAnsi="Arial" w:cs="Arial"/>
          <w:sz w:val="22"/>
          <w:szCs w:val="22"/>
        </w:rPr>
      </w:pPr>
      <w:r w:rsidRPr="002E3940">
        <w:rPr>
          <w:rFonts w:ascii="Arial" w:hAnsi="Arial" w:cs="Arial"/>
          <w:sz w:val="22"/>
          <w:szCs w:val="22"/>
        </w:rPr>
        <w:t>up to an aggregate nominal amount of £28,</w:t>
      </w:r>
      <w:r w:rsidR="003B3D49">
        <w:rPr>
          <w:rFonts w:ascii="Arial" w:hAnsi="Arial" w:cs="Arial"/>
          <w:sz w:val="22"/>
          <w:szCs w:val="22"/>
        </w:rPr>
        <w:t>302,079</w:t>
      </w:r>
      <w:r w:rsidRPr="002E3940">
        <w:rPr>
          <w:rFonts w:ascii="Arial" w:hAnsi="Arial" w:cs="Arial"/>
          <w:sz w:val="22"/>
          <w:szCs w:val="22"/>
        </w:rPr>
        <w:t xml:space="preserve"> (such amount to be reduced by the nominal amount allotted or granted under paragraph (b) below in excess of such sum); and</w:t>
      </w:r>
      <w:r>
        <w:rPr>
          <w:rFonts w:ascii="Arial" w:hAnsi="Arial" w:cs="Arial"/>
          <w:sz w:val="22"/>
          <w:szCs w:val="22"/>
        </w:rPr>
        <w:br/>
      </w:r>
    </w:p>
    <w:p w14:paraId="69FBA015" w14:textId="60E314EC" w:rsidR="0016173D" w:rsidRPr="002E3940" w:rsidRDefault="0016173D" w:rsidP="0016173D">
      <w:pPr>
        <w:pStyle w:val="ListParagraph"/>
        <w:numPr>
          <w:ilvl w:val="0"/>
          <w:numId w:val="23"/>
        </w:numPr>
        <w:autoSpaceDE w:val="0"/>
        <w:autoSpaceDN w:val="0"/>
        <w:adjustRightInd w:val="0"/>
        <w:rPr>
          <w:rFonts w:ascii="Arial" w:hAnsi="Arial" w:cs="Arial"/>
          <w:sz w:val="22"/>
          <w:szCs w:val="22"/>
        </w:rPr>
      </w:pPr>
      <w:r w:rsidRPr="002E3940">
        <w:rPr>
          <w:rFonts w:ascii="Arial" w:hAnsi="Arial" w:cs="Arial"/>
          <w:sz w:val="22"/>
          <w:szCs w:val="22"/>
        </w:rPr>
        <w:t>comprising equity securities (as defined in section 560(1) of the Companies Act 2006) up to an aggregate nominal amount of £56,</w:t>
      </w:r>
      <w:r w:rsidR="003B3D49">
        <w:rPr>
          <w:rFonts w:ascii="Arial" w:hAnsi="Arial" w:cs="Arial"/>
          <w:sz w:val="22"/>
          <w:szCs w:val="22"/>
        </w:rPr>
        <w:t>604,159</w:t>
      </w:r>
      <w:r w:rsidRPr="002E3940">
        <w:rPr>
          <w:rFonts w:ascii="Arial" w:hAnsi="Arial" w:cs="Arial"/>
          <w:sz w:val="22"/>
          <w:szCs w:val="22"/>
        </w:rPr>
        <w:t xml:space="preserve"> (such amount to be reduced by any allotments or grants made under paragraph (a) above) in connection with an offer by way of a rights issue:</w:t>
      </w:r>
    </w:p>
    <w:p w14:paraId="75392370" w14:textId="77777777" w:rsidR="0016173D" w:rsidRPr="00601630" w:rsidRDefault="0016173D" w:rsidP="0016173D">
      <w:pPr>
        <w:autoSpaceDE w:val="0"/>
        <w:autoSpaceDN w:val="0"/>
        <w:adjustRightInd w:val="0"/>
        <w:rPr>
          <w:rFonts w:ascii="Arial" w:hAnsi="Arial" w:cs="Arial"/>
          <w:sz w:val="22"/>
          <w:szCs w:val="22"/>
        </w:rPr>
      </w:pPr>
    </w:p>
    <w:p w14:paraId="2C11696A" w14:textId="77777777" w:rsidR="0016173D" w:rsidRPr="002E3940" w:rsidRDefault="0016173D" w:rsidP="0016173D">
      <w:pPr>
        <w:pStyle w:val="ListParagraph"/>
        <w:numPr>
          <w:ilvl w:val="0"/>
          <w:numId w:val="24"/>
        </w:numPr>
        <w:autoSpaceDE w:val="0"/>
        <w:autoSpaceDN w:val="0"/>
        <w:adjustRightInd w:val="0"/>
        <w:rPr>
          <w:rFonts w:ascii="Arial" w:hAnsi="Arial" w:cs="Arial"/>
          <w:sz w:val="22"/>
          <w:szCs w:val="22"/>
        </w:rPr>
      </w:pPr>
      <w:r w:rsidRPr="002E3940">
        <w:rPr>
          <w:rFonts w:ascii="Arial" w:hAnsi="Arial" w:cs="Arial"/>
          <w:sz w:val="22"/>
          <w:szCs w:val="22"/>
        </w:rPr>
        <w:t>to ordinary shareholders in proportion (as nearly as practicable) to their existing holdings; and</w:t>
      </w:r>
      <w:r>
        <w:rPr>
          <w:rFonts w:ascii="Arial" w:hAnsi="Arial" w:cs="Arial"/>
          <w:sz w:val="22"/>
          <w:szCs w:val="22"/>
        </w:rPr>
        <w:br/>
      </w:r>
      <w:r w:rsidRPr="002E3940">
        <w:rPr>
          <w:rFonts w:ascii="Arial" w:hAnsi="Arial" w:cs="Arial"/>
          <w:sz w:val="22"/>
          <w:szCs w:val="22"/>
        </w:rPr>
        <w:t xml:space="preserve"> </w:t>
      </w:r>
    </w:p>
    <w:p w14:paraId="3305C660" w14:textId="77777777" w:rsidR="0016173D" w:rsidRDefault="0016173D" w:rsidP="0016173D">
      <w:pPr>
        <w:pStyle w:val="ListParagraph"/>
        <w:numPr>
          <w:ilvl w:val="0"/>
          <w:numId w:val="24"/>
        </w:numPr>
        <w:autoSpaceDE w:val="0"/>
        <w:autoSpaceDN w:val="0"/>
        <w:adjustRightInd w:val="0"/>
        <w:rPr>
          <w:rFonts w:ascii="Arial" w:hAnsi="Arial" w:cs="Arial"/>
          <w:sz w:val="22"/>
          <w:szCs w:val="22"/>
        </w:rPr>
      </w:pPr>
      <w:r w:rsidRPr="002E3940">
        <w:rPr>
          <w:rFonts w:ascii="Arial" w:hAnsi="Arial" w:cs="Arial"/>
          <w:sz w:val="22"/>
          <w:szCs w:val="22"/>
        </w:rPr>
        <w:t xml:space="preserve">to holders of any other class of equity securities as required by the rights of those securities or as the directors otherwise consider necessary, </w:t>
      </w:r>
    </w:p>
    <w:p w14:paraId="27A59986" w14:textId="16FF627A" w:rsidR="0016173D" w:rsidRDefault="0016173D" w:rsidP="0016173D">
      <w:pPr>
        <w:autoSpaceDE w:val="0"/>
        <w:autoSpaceDN w:val="0"/>
        <w:adjustRightInd w:val="0"/>
        <w:rPr>
          <w:rFonts w:ascii="Arial" w:hAnsi="Arial" w:cs="Arial"/>
          <w:sz w:val="22"/>
          <w:szCs w:val="22"/>
        </w:rPr>
      </w:pPr>
    </w:p>
    <w:p w14:paraId="5E71B005" w14:textId="77777777" w:rsidR="0016173D" w:rsidRDefault="0016173D" w:rsidP="0016173D">
      <w:pPr>
        <w:autoSpaceDE w:val="0"/>
        <w:autoSpaceDN w:val="0"/>
        <w:adjustRightInd w:val="0"/>
        <w:rPr>
          <w:rFonts w:ascii="Arial" w:hAnsi="Arial" w:cs="Arial"/>
          <w:sz w:val="22"/>
          <w:szCs w:val="22"/>
        </w:rPr>
      </w:pPr>
    </w:p>
    <w:p w14:paraId="3262616B" w14:textId="4CE18E65" w:rsidR="0016173D" w:rsidRDefault="0016173D" w:rsidP="0016173D">
      <w:pPr>
        <w:autoSpaceDE w:val="0"/>
        <w:autoSpaceDN w:val="0"/>
        <w:adjustRightInd w:val="0"/>
        <w:rPr>
          <w:rFonts w:ascii="Arial" w:hAnsi="Arial" w:cs="Arial"/>
          <w:sz w:val="22"/>
          <w:szCs w:val="22"/>
        </w:rPr>
      </w:pPr>
      <w:r w:rsidRPr="002E3940">
        <w:rPr>
          <w:rFonts w:ascii="Arial" w:hAnsi="Arial" w:cs="Arial"/>
          <w:sz w:val="22"/>
          <w:szCs w:val="22"/>
        </w:rPr>
        <w:t>and so that the Board may impose any limits or restrictions or make any other arrangements as it may deem necessary or appropriate in relation to treasury shares, fractional</w:t>
      </w:r>
      <w:r>
        <w:rPr>
          <w:rFonts w:ascii="Arial" w:hAnsi="Arial" w:cs="Arial"/>
          <w:sz w:val="22"/>
          <w:szCs w:val="22"/>
        </w:rPr>
        <w:t xml:space="preserve"> </w:t>
      </w:r>
      <w:r w:rsidRPr="00601630">
        <w:rPr>
          <w:rFonts w:ascii="Arial" w:hAnsi="Arial" w:cs="Arial"/>
          <w:sz w:val="22"/>
          <w:szCs w:val="22"/>
        </w:rPr>
        <w:t>entitlements, record dates or legal, regulatory or practical</w:t>
      </w:r>
      <w:r>
        <w:rPr>
          <w:rFonts w:ascii="Arial" w:hAnsi="Arial" w:cs="Arial"/>
          <w:sz w:val="22"/>
          <w:szCs w:val="22"/>
        </w:rPr>
        <w:t xml:space="preserve"> </w:t>
      </w:r>
      <w:r w:rsidRPr="00601630">
        <w:rPr>
          <w:rFonts w:ascii="Arial" w:hAnsi="Arial" w:cs="Arial"/>
          <w:sz w:val="22"/>
          <w:szCs w:val="22"/>
        </w:rPr>
        <w:t>problems in, or under the laws of, any territory or by virtue</w:t>
      </w:r>
      <w:r>
        <w:rPr>
          <w:rFonts w:ascii="Arial" w:hAnsi="Arial" w:cs="Arial"/>
          <w:sz w:val="22"/>
          <w:szCs w:val="22"/>
        </w:rPr>
        <w:t xml:space="preserve"> </w:t>
      </w:r>
      <w:r w:rsidRPr="00601630">
        <w:rPr>
          <w:rFonts w:ascii="Arial" w:hAnsi="Arial" w:cs="Arial"/>
          <w:sz w:val="22"/>
          <w:szCs w:val="22"/>
        </w:rPr>
        <w:t>of shares being represented by depository receipts or any</w:t>
      </w:r>
      <w:r>
        <w:rPr>
          <w:rFonts w:ascii="Arial" w:hAnsi="Arial" w:cs="Arial"/>
          <w:sz w:val="22"/>
          <w:szCs w:val="22"/>
        </w:rPr>
        <w:t xml:space="preserve"> </w:t>
      </w:r>
      <w:r w:rsidRPr="00601630">
        <w:rPr>
          <w:rFonts w:ascii="Arial" w:hAnsi="Arial" w:cs="Arial"/>
          <w:sz w:val="22"/>
          <w:szCs w:val="22"/>
        </w:rPr>
        <w:t>other matter, such authorities to apply until the conclusion</w:t>
      </w:r>
      <w:r>
        <w:rPr>
          <w:rFonts w:ascii="Arial" w:hAnsi="Arial" w:cs="Arial"/>
          <w:sz w:val="22"/>
          <w:szCs w:val="22"/>
        </w:rPr>
        <w:t xml:space="preserve"> </w:t>
      </w:r>
      <w:r w:rsidRPr="00601630">
        <w:rPr>
          <w:rFonts w:ascii="Arial" w:hAnsi="Arial" w:cs="Arial"/>
          <w:sz w:val="22"/>
          <w:szCs w:val="22"/>
        </w:rPr>
        <w:t xml:space="preserve">of the </w:t>
      </w:r>
      <w:r w:rsidR="003B3D49" w:rsidRPr="00601630">
        <w:rPr>
          <w:rFonts w:ascii="Arial" w:hAnsi="Arial" w:cs="Arial"/>
          <w:sz w:val="22"/>
          <w:szCs w:val="22"/>
        </w:rPr>
        <w:t>202</w:t>
      </w:r>
      <w:r w:rsidR="003B3D49">
        <w:rPr>
          <w:rFonts w:ascii="Arial" w:hAnsi="Arial" w:cs="Arial"/>
          <w:sz w:val="22"/>
          <w:szCs w:val="22"/>
        </w:rPr>
        <w:t>1</w:t>
      </w:r>
      <w:r w:rsidR="003B3D49" w:rsidRPr="00601630">
        <w:rPr>
          <w:rFonts w:ascii="Arial" w:hAnsi="Arial" w:cs="Arial"/>
          <w:sz w:val="22"/>
          <w:szCs w:val="22"/>
        </w:rPr>
        <w:t xml:space="preserve"> </w:t>
      </w:r>
      <w:r w:rsidRPr="00601630">
        <w:rPr>
          <w:rFonts w:ascii="Arial" w:hAnsi="Arial" w:cs="Arial"/>
          <w:sz w:val="22"/>
          <w:szCs w:val="22"/>
        </w:rPr>
        <w:t xml:space="preserve">AGM or close of business on </w:t>
      </w:r>
      <w:r w:rsidR="00E14427">
        <w:rPr>
          <w:rFonts w:ascii="Arial" w:hAnsi="Arial" w:cs="Arial"/>
          <w:sz w:val="22"/>
          <w:szCs w:val="22"/>
        </w:rPr>
        <w:t>12</w:t>
      </w:r>
      <w:r w:rsidR="003B3D49">
        <w:rPr>
          <w:rFonts w:ascii="Arial" w:hAnsi="Arial" w:cs="Arial"/>
          <w:sz w:val="22"/>
          <w:szCs w:val="22"/>
        </w:rPr>
        <w:t xml:space="preserve"> November 2021</w:t>
      </w:r>
      <w:r w:rsidRPr="00601630">
        <w:rPr>
          <w:rFonts w:ascii="Arial" w:hAnsi="Arial" w:cs="Arial"/>
          <w:sz w:val="22"/>
          <w:szCs w:val="22"/>
        </w:rPr>
        <w:t>,</w:t>
      </w:r>
      <w:r>
        <w:rPr>
          <w:rFonts w:ascii="Arial" w:hAnsi="Arial" w:cs="Arial"/>
          <w:sz w:val="22"/>
          <w:szCs w:val="22"/>
        </w:rPr>
        <w:t xml:space="preserve"> </w:t>
      </w:r>
      <w:r w:rsidRPr="00601630">
        <w:rPr>
          <w:rFonts w:ascii="Arial" w:hAnsi="Arial" w:cs="Arial"/>
          <w:sz w:val="22"/>
          <w:szCs w:val="22"/>
        </w:rPr>
        <w:t>whichever is sooner, but, in each case, during this period</w:t>
      </w:r>
      <w:r>
        <w:rPr>
          <w:rFonts w:ascii="Arial" w:hAnsi="Arial" w:cs="Arial"/>
          <w:sz w:val="22"/>
          <w:szCs w:val="22"/>
        </w:rPr>
        <w:t xml:space="preserve"> </w:t>
      </w:r>
      <w:r w:rsidRPr="00601630">
        <w:rPr>
          <w:rFonts w:ascii="Arial" w:hAnsi="Arial" w:cs="Arial"/>
          <w:sz w:val="22"/>
          <w:szCs w:val="22"/>
        </w:rPr>
        <w:t>the Company may make offers or enter into agreements</w:t>
      </w:r>
      <w:r>
        <w:rPr>
          <w:rFonts w:ascii="Arial" w:hAnsi="Arial" w:cs="Arial"/>
          <w:sz w:val="22"/>
          <w:szCs w:val="22"/>
        </w:rPr>
        <w:t xml:space="preserve"> </w:t>
      </w:r>
      <w:r w:rsidRPr="00601630">
        <w:rPr>
          <w:rFonts w:ascii="Arial" w:hAnsi="Arial" w:cs="Arial"/>
          <w:sz w:val="22"/>
          <w:szCs w:val="22"/>
        </w:rPr>
        <w:t>that would or might require shares to be allotted or rights to</w:t>
      </w:r>
      <w:r>
        <w:rPr>
          <w:rFonts w:ascii="Arial" w:hAnsi="Arial" w:cs="Arial"/>
          <w:sz w:val="22"/>
          <w:szCs w:val="22"/>
        </w:rPr>
        <w:t xml:space="preserve"> </w:t>
      </w:r>
      <w:r w:rsidRPr="00601630">
        <w:rPr>
          <w:rFonts w:ascii="Arial" w:hAnsi="Arial" w:cs="Arial"/>
          <w:sz w:val="22"/>
          <w:szCs w:val="22"/>
        </w:rPr>
        <w:t>subscribe for or convert securities into shares to be granted</w:t>
      </w:r>
      <w:r>
        <w:rPr>
          <w:rFonts w:ascii="Arial" w:hAnsi="Arial" w:cs="Arial"/>
          <w:sz w:val="22"/>
          <w:szCs w:val="22"/>
        </w:rPr>
        <w:t xml:space="preserve"> </w:t>
      </w:r>
      <w:r w:rsidRPr="00601630">
        <w:rPr>
          <w:rFonts w:ascii="Arial" w:hAnsi="Arial" w:cs="Arial"/>
          <w:sz w:val="22"/>
          <w:szCs w:val="22"/>
        </w:rPr>
        <w:t>after the authority ends and the directors may allot shares</w:t>
      </w:r>
      <w:r>
        <w:rPr>
          <w:rFonts w:ascii="Arial" w:hAnsi="Arial" w:cs="Arial"/>
          <w:sz w:val="22"/>
          <w:szCs w:val="22"/>
        </w:rPr>
        <w:t xml:space="preserve"> </w:t>
      </w:r>
      <w:r w:rsidRPr="00601630">
        <w:rPr>
          <w:rFonts w:ascii="Arial" w:hAnsi="Arial" w:cs="Arial"/>
          <w:sz w:val="22"/>
          <w:szCs w:val="22"/>
        </w:rPr>
        <w:t>or grant rights to subscribe for or convert securities into</w:t>
      </w:r>
      <w:r>
        <w:rPr>
          <w:rFonts w:ascii="Arial" w:hAnsi="Arial" w:cs="Arial"/>
          <w:sz w:val="22"/>
          <w:szCs w:val="22"/>
        </w:rPr>
        <w:t xml:space="preserve"> </w:t>
      </w:r>
      <w:r w:rsidRPr="00601630">
        <w:rPr>
          <w:rFonts w:ascii="Arial" w:hAnsi="Arial" w:cs="Arial"/>
          <w:sz w:val="22"/>
          <w:szCs w:val="22"/>
        </w:rPr>
        <w:t>shares in pursuance of any such offer or agreement as if the</w:t>
      </w:r>
      <w:r>
        <w:rPr>
          <w:rFonts w:ascii="Arial" w:hAnsi="Arial" w:cs="Arial"/>
          <w:sz w:val="22"/>
          <w:szCs w:val="22"/>
        </w:rPr>
        <w:t xml:space="preserve"> </w:t>
      </w:r>
      <w:r w:rsidRPr="00601630">
        <w:rPr>
          <w:rFonts w:ascii="Arial" w:hAnsi="Arial" w:cs="Arial"/>
          <w:sz w:val="22"/>
          <w:szCs w:val="22"/>
        </w:rPr>
        <w:t>authority conferred hereby had not ended.</w:t>
      </w:r>
    </w:p>
    <w:p w14:paraId="03401A65" w14:textId="77777777" w:rsidR="0016173D" w:rsidRPr="00601630" w:rsidRDefault="0016173D" w:rsidP="0016173D">
      <w:pPr>
        <w:autoSpaceDE w:val="0"/>
        <w:autoSpaceDN w:val="0"/>
        <w:adjustRightInd w:val="0"/>
        <w:rPr>
          <w:rFonts w:ascii="Arial" w:hAnsi="Arial" w:cs="Arial"/>
          <w:b/>
          <w:sz w:val="22"/>
          <w:szCs w:val="22"/>
        </w:rPr>
      </w:pPr>
    </w:p>
    <w:p w14:paraId="4D4143F8" w14:textId="77777777" w:rsidR="0016173D" w:rsidRPr="00601630" w:rsidRDefault="0016173D" w:rsidP="0016173D">
      <w:pPr>
        <w:autoSpaceDE w:val="0"/>
        <w:autoSpaceDN w:val="0"/>
        <w:adjustRightInd w:val="0"/>
        <w:rPr>
          <w:rFonts w:ascii="Arial" w:hAnsi="Arial" w:cs="Arial"/>
          <w:b/>
          <w:sz w:val="22"/>
          <w:szCs w:val="22"/>
        </w:rPr>
      </w:pPr>
    </w:p>
    <w:p w14:paraId="5BD97289" w14:textId="77777777" w:rsidR="0016173D" w:rsidRPr="002E3940" w:rsidRDefault="0016173D" w:rsidP="0016173D">
      <w:pPr>
        <w:autoSpaceDE w:val="0"/>
        <w:autoSpaceDN w:val="0"/>
        <w:adjustRightInd w:val="0"/>
        <w:rPr>
          <w:rFonts w:ascii="Arial" w:hAnsi="Arial" w:cs="Arial"/>
          <w:b/>
          <w:sz w:val="22"/>
          <w:szCs w:val="22"/>
        </w:rPr>
      </w:pPr>
      <w:r w:rsidRPr="002E3940">
        <w:rPr>
          <w:rFonts w:ascii="Arial" w:hAnsi="Arial" w:cs="Arial"/>
          <w:b/>
          <w:sz w:val="22"/>
          <w:szCs w:val="22"/>
        </w:rPr>
        <w:t>Disapplication of pre-emption rights</w:t>
      </w:r>
      <w:r>
        <w:rPr>
          <w:rFonts w:ascii="Arial" w:hAnsi="Arial" w:cs="Arial"/>
          <w:b/>
          <w:sz w:val="22"/>
          <w:szCs w:val="22"/>
        </w:rPr>
        <w:t xml:space="preserve"> (Special Resolution)</w:t>
      </w:r>
    </w:p>
    <w:p w14:paraId="400BE2C3" w14:textId="04209589" w:rsidR="0016173D" w:rsidRPr="002E3940" w:rsidRDefault="0016173D" w:rsidP="0016173D">
      <w:pPr>
        <w:autoSpaceDE w:val="0"/>
        <w:autoSpaceDN w:val="0"/>
        <w:adjustRightInd w:val="0"/>
        <w:rPr>
          <w:rFonts w:ascii="Arial" w:hAnsi="Arial" w:cs="Arial"/>
          <w:b/>
          <w:sz w:val="22"/>
          <w:szCs w:val="22"/>
        </w:rPr>
      </w:pPr>
      <w:r w:rsidRPr="002E3940">
        <w:rPr>
          <w:rFonts w:ascii="Arial" w:hAnsi="Arial" w:cs="Arial"/>
          <w:b/>
          <w:sz w:val="22"/>
          <w:szCs w:val="22"/>
        </w:rPr>
        <w:t xml:space="preserve">Resolution </w:t>
      </w:r>
      <w:r w:rsidR="003B3D49">
        <w:rPr>
          <w:rFonts w:ascii="Arial" w:hAnsi="Arial" w:cs="Arial"/>
          <w:b/>
          <w:sz w:val="22"/>
          <w:szCs w:val="22"/>
        </w:rPr>
        <w:t>20</w:t>
      </w:r>
      <w:r w:rsidRPr="002E3940">
        <w:rPr>
          <w:rFonts w:ascii="Arial" w:hAnsi="Arial" w:cs="Arial"/>
          <w:b/>
          <w:sz w:val="22"/>
          <w:szCs w:val="22"/>
        </w:rPr>
        <w:t xml:space="preserve">. </w:t>
      </w:r>
    </w:p>
    <w:p w14:paraId="23072962" w14:textId="77777777" w:rsidR="0016173D" w:rsidRDefault="0016173D" w:rsidP="0016173D">
      <w:pPr>
        <w:autoSpaceDE w:val="0"/>
        <w:autoSpaceDN w:val="0"/>
        <w:adjustRightInd w:val="0"/>
        <w:rPr>
          <w:rFonts w:ascii="Arial" w:hAnsi="Arial" w:cs="Arial"/>
          <w:sz w:val="22"/>
          <w:szCs w:val="22"/>
        </w:rPr>
      </w:pPr>
    </w:p>
    <w:p w14:paraId="64CB6692" w14:textId="71154EE8" w:rsidR="0016173D" w:rsidRDefault="0016173D" w:rsidP="0016173D">
      <w:pPr>
        <w:autoSpaceDE w:val="0"/>
        <w:autoSpaceDN w:val="0"/>
        <w:adjustRightInd w:val="0"/>
        <w:rPr>
          <w:rFonts w:ascii="Arial" w:hAnsi="Arial" w:cs="Arial"/>
          <w:sz w:val="22"/>
          <w:szCs w:val="22"/>
        </w:rPr>
      </w:pPr>
      <w:r w:rsidRPr="00601630">
        <w:rPr>
          <w:rFonts w:ascii="Arial" w:hAnsi="Arial" w:cs="Arial"/>
          <w:sz w:val="22"/>
          <w:szCs w:val="22"/>
        </w:rPr>
        <w:t xml:space="preserve">That, if resolution </w:t>
      </w:r>
      <w:r w:rsidR="003B3D49" w:rsidRPr="00601630">
        <w:rPr>
          <w:rFonts w:ascii="Arial" w:hAnsi="Arial" w:cs="Arial"/>
          <w:sz w:val="22"/>
          <w:szCs w:val="22"/>
        </w:rPr>
        <w:t>1</w:t>
      </w:r>
      <w:r w:rsidR="003B3D49">
        <w:rPr>
          <w:rFonts w:ascii="Arial" w:hAnsi="Arial" w:cs="Arial"/>
          <w:sz w:val="22"/>
          <w:szCs w:val="22"/>
        </w:rPr>
        <w:t>9</w:t>
      </w:r>
      <w:r w:rsidR="003B3D49" w:rsidRPr="00601630">
        <w:rPr>
          <w:rFonts w:ascii="Arial" w:hAnsi="Arial" w:cs="Arial"/>
          <w:sz w:val="22"/>
          <w:szCs w:val="22"/>
        </w:rPr>
        <w:t xml:space="preserve"> </w:t>
      </w:r>
      <w:r w:rsidRPr="00601630">
        <w:rPr>
          <w:rFonts w:ascii="Arial" w:hAnsi="Arial" w:cs="Arial"/>
          <w:sz w:val="22"/>
          <w:szCs w:val="22"/>
        </w:rPr>
        <w:t>is passed, the directors</w:t>
      </w:r>
      <w:r>
        <w:rPr>
          <w:rFonts w:ascii="Arial" w:hAnsi="Arial" w:cs="Arial"/>
          <w:sz w:val="22"/>
          <w:szCs w:val="22"/>
        </w:rPr>
        <w:t xml:space="preserve"> </w:t>
      </w:r>
      <w:r w:rsidRPr="00601630">
        <w:rPr>
          <w:rFonts w:ascii="Arial" w:hAnsi="Arial" w:cs="Arial"/>
          <w:sz w:val="22"/>
          <w:szCs w:val="22"/>
        </w:rPr>
        <w:t>be given power to allot equity securities (as defined in the</w:t>
      </w:r>
      <w:r>
        <w:rPr>
          <w:rFonts w:ascii="Arial" w:hAnsi="Arial" w:cs="Arial"/>
          <w:sz w:val="22"/>
          <w:szCs w:val="22"/>
        </w:rPr>
        <w:t xml:space="preserve"> </w:t>
      </w:r>
      <w:r w:rsidRPr="00601630">
        <w:rPr>
          <w:rFonts w:ascii="Arial" w:hAnsi="Arial" w:cs="Arial"/>
          <w:sz w:val="22"/>
          <w:szCs w:val="22"/>
        </w:rPr>
        <w:t>Companies Act 2006) for cash under the authority given</w:t>
      </w:r>
      <w:r>
        <w:rPr>
          <w:rFonts w:ascii="Arial" w:hAnsi="Arial" w:cs="Arial"/>
          <w:sz w:val="22"/>
          <w:szCs w:val="22"/>
        </w:rPr>
        <w:t xml:space="preserve"> </w:t>
      </w:r>
      <w:r w:rsidRPr="00601630">
        <w:rPr>
          <w:rFonts w:ascii="Arial" w:hAnsi="Arial" w:cs="Arial"/>
          <w:sz w:val="22"/>
          <w:szCs w:val="22"/>
        </w:rPr>
        <w:t>by that resolution and/or to sell ordinary shares held by the</w:t>
      </w:r>
      <w:r>
        <w:rPr>
          <w:rFonts w:ascii="Arial" w:hAnsi="Arial" w:cs="Arial"/>
          <w:sz w:val="22"/>
          <w:szCs w:val="22"/>
        </w:rPr>
        <w:t xml:space="preserve"> </w:t>
      </w:r>
      <w:r w:rsidRPr="00601630">
        <w:rPr>
          <w:rFonts w:ascii="Arial" w:hAnsi="Arial" w:cs="Arial"/>
          <w:sz w:val="22"/>
          <w:szCs w:val="22"/>
        </w:rPr>
        <w:t>Company as treasury shares for cash as if section 561 of the</w:t>
      </w:r>
      <w:r>
        <w:rPr>
          <w:rFonts w:ascii="Arial" w:hAnsi="Arial" w:cs="Arial"/>
          <w:sz w:val="22"/>
          <w:szCs w:val="22"/>
        </w:rPr>
        <w:t xml:space="preserve"> </w:t>
      </w:r>
      <w:r w:rsidRPr="00601630">
        <w:rPr>
          <w:rFonts w:ascii="Arial" w:hAnsi="Arial" w:cs="Arial"/>
          <w:sz w:val="22"/>
          <w:szCs w:val="22"/>
        </w:rPr>
        <w:t>Companies Act 2006 did not apply to any such allotment or</w:t>
      </w:r>
      <w:r>
        <w:rPr>
          <w:rFonts w:ascii="Arial" w:hAnsi="Arial" w:cs="Arial"/>
          <w:sz w:val="22"/>
          <w:szCs w:val="22"/>
        </w:rPr>
        <w:t xml:space="preserve"> </w:t>
      </w:r>
      <w:r w:rsidRPr="00601630">
        <w:rPr>
          <w:rFonts w:ascii="Arial" w:hAnsi="Arial" w:cs="Arial"/>
          <w:sz w:val="22"/>
          <w:szCs w:val="22"/>
        </w:rPr>
        <w:t>sale, such powers to be limited:</w:t>
      </w:r>
    </w:p>
    <w:p w14:paraId="6A2AE44D" w14:textId="77777777" w:rsidR="0016173D" w:rsidRPr="00601630" w:rsidRDefault="0016173D" w:rsidP="0016173D">
      <w:pPr>
        <w:autoSpaceDE w:val="0"/>
        <w:autoSpaceDN w:val="0"/>
        <w:adjustRightInd w:val="0"/>
        <w:rPr>
          <w:rFonts w:ascii="Arial" w:hAnsi="Arial" w:cs="Arial"/>
          <w:sz w:val="22"/>
          <w:szCs w:val="22"/>
        </w:rPr>
      </w:pPr>
    </w:p>
    <w:p w14:paraId="0A854215" w14:textId="59810594" w:rsidR="0016173D" w:rsidRPr="002E3940" w:rsidRDefault="0016173D" w:rsidP="0016173D">
      <w:pPr>
        <w:pStyle w:val="ListParagraph"/>
        <w:numPr>
          <w:ilvl w:val="0"/>
          <w:numId w:val="25"/>
        </w:numPr>
        <w:autoSpaceDE w:val="0"/>
        <w:autoSpaceDN w:val="0"/>
        <w:adjustRightInd w:val="0"/>
        <w:rPr>
          <w:rFonts w:ascii="Arial" w:hAnsi="Arial" w:cs="Arial"/>
          <w:sz w:val="22"/>
          <w:szCs w:val="22"/>
        </w:rPr>
      </w:pPr>
      <w:r w:rsidRPr="002E3940">
        <w:rPr>
          <w:rFonts w:ascii="Arial" w:hAnsi="Arial" w:cs="Arial"/>
          <w:sz w:val="22"/>
          <w:szCs w:val="22"/>
        </w:rPr>
        <w:t xml:space="preserve">to the allotment of equity securities or the sale of treasury shares for cash in connection with an offer of, or invitation to apply for, equity securities (in the case of the authority sought under resolution </w:t>
      </w:r>
      <w:r w:rsidR="003B3D49" w:rsidRPr="002E3940">
        <w:rPr>
          <w:rFonts w:ascii="Arial" w:hAnsi="Arial" w:cs="Arial"/>
          <w:sz w:val="22"/>
          <w:szCs w:val="22"/>
        </w:rPr>
        <w:t>1</w:t>
      </w:r>
      <w:r w:rsidR="003B3D49">
        <w:rPr>
          <w:rFonts w:ascii="Arial" w:hAnsi="Arial" w:cs="Arial"/>
          <w:sz w:val="22"/>
          <w:szCs w:val="22"/>
        </w:rPr>
        <w:t>9</w:t>
      </w:r>
      <w:r w:rsidR="003B3D49" w:rsidRPr="002E3940">
        <w:rPr>
          <w:rFonts w:ascii="Arial" w:hAnsi="Arial" w:cs="Arial"/>
          <w:sz w:val="22"/>
          <w:szCs w:val="22"/>
        </w:rPr>
        <w:t xml:space="preserve"> </w:t>
      </w:r>
      <w:r w:rsidRPr="002E3940">
        <w:rPr>
          <w:rFonts w:ascii="Arial" w:hAnsi="Arial" w:cs="Arial"/>
          <w:sz w:val="22"/>
          <w:szCs w:val="22"/>
        </w:rPr>
        <w:t>(b), by way of a rights issue only):</w:t>
      </w:r>
    </w:p>
    <w:p w14:paraId="3544C685" w14:textId="77777777" w:rsidR="0016173D" w:rsidRPr="00601630" w:rsidRDefault="0016173D" w:rsidP="0016173D">
      <w:pPr>
        <w:autoSpaceDE w:val="0"/>
        <w:autoSpaceDN w:val="0"/>
        <w:adjustRightInd w:val="0"/>
        <w:rPr>
          <w:rFonts w:ascii="Arial" w:hAnsi="Arial" w:cs="Arial"/>
          <w:sz w:val="22"/>
          <w:szCs w:val="22"/>
        </w:rPr>
      </w:pPr>
    </w:p>
    <w:p w14:paraId="2A809A35" w14:textId="77777777" w:rsidR="0016173D" w:rsidRPr="002E3940" w:rsidRDefault="0016173D" w:rsidP="0016173D">
      <w:pPr>
        <w:pStyle w:val="ListParagraph"/>
        <w:numPr>
          <w:ilvl w:val="0"/>
          <w:numId w:val="26"/>
        </w:numPr>
        <w:autoSpaceDE w:val="0"/>
        <w:autoSpaceDN w:val="0"/>
        <w:adjustRightInd w:val="0"/>
        <w:rPr>
          <w:rFonts w:ascii="Arial" w:hAnsi="Arial" w:cs="Arial"/>
          <w:sz w:val="22"/>
          <w:szCs w:val="22"/>
        </w:rPr>
      </w:pPr>
      <w:r w:rsidRPr="002E3940">
        <w:rPr>
          <w:rFonts w:ascii="Arial" w:hAnsi="Arial" w:cs="Arial"/>
          <w:sz w:val="22"/>
          <w:szCs w:val="22"/>
        </w:rPr>
        <w:t>to ordinary shareholders, in proportion (as nearly as practicable) to their existing holdings; and</w:t>
      </w:r>
      <w:r>
        <w:rPr>
          <w:rFonts w:ascii="Arial" w:hAnsi="Arial" w:cs="Arial"/>
          <w:sz w:val="22"/>
          <w:szCs w:val="22"/>
        </w:rPr>
        <w:br/>
      </w:r>
    </w:p>
    <w:p w14:paraId="22A8BE72" w14:textId="77777777" w:rsidR="0016173D" w:rsidRPr="00601630" w:rsidRDefault="0016173D" w:rsidP="0016173D">
      <w:pPr>
        <w:pStyle w:val="ListParagraph"/>
        <w:numPr>
          <w:ilvl w:val="0"/>
          <w:numId w:val="26"/>
        </w:numPr>
        <w:autoSpaceDE w:val="0"/>
        <w:autoSpaceDN w:val="0"/>
        <w:adjustRightInd w:val="0"/>
        <w:rPr>
          <w:rFonts w:ascii="Arial" w:hAnsi="Arial" w:cs="Arial"/>
          <w:b/>
          <w:sz w:val="22"/>
          <w:szCs w:val="22"/>
        </w:rPr>
      </w:pPr>
      <w:r w:rsidRPr="002E3940">
        <w:rPr>
          <w:rFonts w:ascii="Arial" w:hAnsi="Arial" w:cs="Arial"/>
          <w:sz w:val="22"/>
          <w:szCs w:val="22"/>
        </w:rPr>
        <w:lastRenderedPageBreak/>
        <w:t>to holders of any other class of equity securities, as required by the rights of those securities or as the directors otherwise consider necessary</w:t>
      </w:r>
      <w:r w:rsidRPr="00601630">
        <w:rPr>
          <w:rFonts w:ascii="Arial" w:hAnsi="Arial" w:cs="Arial"/>
          <w:sz w:val="22"/>
          <w:szCs w:val="22"/>
        </w:rPr>
        <w:t>,</w:t>
      </w:r>
    </w:p>
    <w:p w14:paraId="3E9ED110" w14:textId="77777777" w:rsidR="0016173D" w:rsidRPr="00601630" w:rsidRDefault="0016173D" w:rsidP="0016173D">
      <w:pPr>
        <w:autoSpaceDE w:val="0"/>
        <w:autoSpaceDN w:val="0"/>
        <w:adjustRightInd w:val="0"/>
        <w:rPr>
          <w:rFonts w:ascii="Arial" w:hAnsi="Arial" w:cs="Arial"/>
          <w:b/>
          <w:sz w:val="22"/>
          <w:szCs w:val="22"/>
        </w:rPr>
      </w:pPr>
    </w:p>
    <w:p w14:paraId="6DC72EBF" w14:textId="77777777" w:rsidR="0016173D" w:rsidRPr="00601630" w:rsidRDefault="0016173D" w:rsidP="0016173D">
      <w:pPr>
        <w:autoSpaceDE w:val="0"/>
        <w:autoSpaceDN w:val="0"/>
        <w:adjustRightInd w:val="0"/>
        <w:ind w:left="720"/>
        <w:rPr>
          <w:rFonts w:ascii="Arial" w:hAnsi="Arial" w:cs="Arial"/>
          <w:sz w:val="22"/>
          <w:szCs w:val="22"/>
        </w:rPr>
      </w:pPr>
      <w:r w:rsidRPr="00601630">
        <w:rPr>
          <w:rFonts w:ascii="Arial" w:hAnsi="Arial" w:cs="Arial"/>
          <w:sz w:val="22"/>
          <w:szCs w:val="22"/>
        </w:rPr>
        <w:t>and so that the Board may impose any limits or</w:t>
      </w:r>
      <w:r>
        <w:rPr>
          <w:rFonts w:ascii="Arial" w:hAnsi="Arial" w:cs="Arial"/>
          <w:sz w:val="22"/>
          <w:szCs w:val="22"/>
        </w:rPr>
        <w:t xml:space="preserve"> </w:t>
      </w:r>
      <w:r w:rsidRPr="00601630">
        <w:rPr>
          <w:rFonts w:ascii="Arial" w:hAnsi="Arial" w:cs="Arial"/>
          <w:sz w:val="22"/>
          <w:szCs w:val="22"/>
        </w:rPr>
        <w:t>restrictions or make any other arrangements as it may</w:t>
      </w:r>
      <w:r>
        <w:rPr>
          <w:rFonts w:ascii="Arial" w:hAnsi="Arial" w:cs="Arial"/>
          <w:sz w:val="22"/>
          <w:szCs w:val="22"/>
        </w:rPr>
        <w:t xml:space="preserve"> </w:t>
      </w:r>
      <w:r w:rsidRPr="00601630">
        <w:rPr>
          <w:rFonts w:ascii="Arial" w:hAnsi="Arial" w:cs="Arial"/>
          <w:sz w:val="22"/>
          <w:szCs w:val="22"/>
        </w:rPr>
        <w:t>deem necessary or appropriate in relation to treasury</w:t>
      </w:r>
    </w:p>
    <w:p w14:paraId="0D5950B9" w14:textId="77777777" w:rsidR="0016173D" w:rsidRDefault="0016173D" w:rsidP="0016173D">
      <w:pPr>
        <w:autoSpaceDE w:val="0"/>
        <w:autoSpaceDN w:val="0"/>
        <w:adjustRightInd w:val="0"/>
        <w:ind w:left="720"/>
        <w:rPr>
          <w:rFonts w:ascii="Arial" w:hAnsi="Arial" w:cs="Arial"/>
          <w:sz w:val="22"/>
          <w:szCs w:val="22"/>
        </w:rPr>
      </w:pPr>
      <w:r w:rsidRPr="00601630">
        <w:rPr>
          <w:rFonts w:ascii="Arial" w:hAnsi="Arial" w:cs="Arial"/>
          <w:sz w:val="22"/>
          <w:szCs w:val="22"/>
        </w:rPr>
        <w:t>shares, fractional entitlements, record dates or legal,</w:t>
      </w:r>
      <w:r>
        <w:rPr>
          <w:rFonts w:ascii="Arial" w:hAnsi="Arial" w:cs="Arial"/>
          <w:sz w:val="22"/>
          <w:szCs w:val="22"/>
        </w:rPr>
        <w:t xml:space="preserve"> </w:t>
      </w:r>
      <w:r w:rsidRPr="00601630">
        <w:rPr>
          <w:rFonts w:ascii="Arial" w:hAnsi="Arial" w:cs="Arial"/>
          <w:sz w:val="22"/>
          <w:szCs w:val="22"/>
        </w:rPr>
        <w:t>regulatory or practical problems in, or under the laws of,</w:t>
      </w:r>
      <w:r>
        <w:rPr>
          <w:rFonts w:ascii="Arial" w:hAnsi="Arial" w:cs="Arial"/>
          <w:sz w:val="22"/>
          <w:szCs w:val="22"/>
        </w:rPr>
        <w:t xml:space="preserve"> </w:t>
      </w:r>
      <w:r w:rsidRPr="00601630">
        <w:rPr>
          <w:rFonts w:ascii="Arial" w:hAnsi="Arial" w:cs="Arial"/>
          <w:sz w:val="22"/>
          <w:szCs w:val="22"/>
        </w:rPr>
        <w:t>any territory or by virtue of shares being represented by</w:t>
      </w:r>
      <w:r>
        <w:rPr>
          <w:rFonts w:ascii="Arial" w:hAnsi="Arial" w:cs="Arial"/>
          <w:sz w:val="22"/>
          <w:szCs w:val="22"/>
        </w:rPr>
        <w:t xml:space="preserve"> </w:t>
      </w:r>
      <w:r w:rsidRPr="00601630">
        <w:rPr>
          <w:rFonts w:ascii="Arial" w:hAnsi="Arial" w:cs="Arial"/>
          <w:sz w:val="22"/>
          <w:szCs w:val="22"/>
        </w:rPr>
        <w:t>depository receipts or any other matter; and</w:t>
      </w:r>
      <w:r>
        <w:rPr>
          <w:rFonts w:ascii="Arial" w:hAnsi="Arial" w:cs="Arial"/>
          <w:sz w:val="22"/>
          <w:szCs w:val="22"/>
        </w:rPr>
        <w:br/>
      </w:r>
    </w:p>
    <w:p w14:paraId="367A7C16" w14:textId="6C867CBC" w:rsidR="0016173D" w:rsidRDefault="0016173D" w:rsidP="0016173D">
      <w:pPr>
        <w:pStyle w:val="ListParagraph"/>
        <w:numPr>
          <w:ilvl w:val="0"/>
          <w:numId w:val="25"/>
        </w:numPr>
        <w:autoSpaceDE w:val="0"/>
        <w:autoSpaceDN w:val="0"/>
        <w:adjustRightInd w:val="0"/>
        <w:rPr>
          <w:rFonts w:ascii="Arial" w:hAnsi="Arial" w:cs="Arial"/>
          <w:sz w:val="22"/>
          <w:szCs w:val="22"/>
        </w:rPr>
      </w:pPr>
      <w:r w:rsidRPr="002B205E">
        <w:rPr>
          <w:rFonts w:ascii="Arial" w:hAnsi="Arial" w:cs="Arial"/>
          <w:sz w:val="22"/>
          <w:szCs w:val="22"/>
        </w:rPr>
        <w:t xml:space="preserve">in the case of the authority granted under resolution </w:t>
      </w:r>
      <w:r w:rsidR="003B3D49" w:rsidRPr="002B205E">
        <w:rPr>
          <w:rFonts w:ascii="Arial" w:hAnsi="Arial" w:cs="Arial"/>
          <w:sz w:val="22"/>
          <w:szCs w:val="22"/>
        </w:rPr>
        <w:t>1</w:t>
      </w:r>
      <w:r w:rsidR="003B3D49">
        <w:rPr>
          <w:rFonts w:ascii="Arial" w:hAnsi="Arial" w:cs="Arial"/>
          <w:sz w:val="22"/>
          <w:szCs w:val="22"/>
        </w:rPr>
        <w:t>9</w:t>
      </w:r>
      <w:r w:rsidR="003B3D49" w:rsidRPr="002B205E">
        <w:rPr>
          <w:rFonts w:ascii="Arial" w:hAnsi="Arial" w:cs="Arial"/>
          <w:sz w:val="22"/>
          <w:szCs w:val="22"/>
        </w:rPr>
        <w:t xml:space="preserve"> </w:t>
      </w:r>
      <w:r w:rsidRPr="002B205E">
        <w:rPr>
          <w:rFonts w:ascii="Arial" w:hAnsi="Arial" w:cs="Arial"/>
          <w:sz w:val="22"/>
          <w:szCs w:val="22"/>
        </w:rPr>
        <w:t>(a), and/or in the case of any sale of treasury shares for cash, to the allotment (otherwise than under paragraph (a) above) of equity securities or sale of treasury shares up to an aggregate nominal amount of £4,</w:t>
      </w:r>
      <w:r w:rsidR="003B3D49">
        <w:rPr>
          <w:rFonts w:ascii="Arial" w:hAnsi="Arial" w:cs="Arial"/>
          <w:sz w:val="22"/>
          <w:szCs w:val="22"/>
        </w:rPr>
        <w:t>245,311</w:t>
      </w:r>
      <w:r w:rsidRPr="002B205E">
        <w:rPr>
          <w:rFonts w:ascii="Arial" w:hAnsi="Arial" w:cs="Arial"/>
          <w:sz w:val="22"/>
          <w:szCs w:val="22"/>
        </w:rPr>
        <w:t>,</w:t>
      </w:r>
      <w:r>
        <w:rPr>
          <w:rFonts w:ascii="Arial" w:hAnsi="Arial" w:cs="Arial"/>
          <w:sz w:val="22"/>
          <w:szCs w:val="22"/>
        </w:rPr>
        <w:br/>
      </w:r>
      <w:r w:rsidRPr="002B205E">
        <w:rPr>
          <w:rFonts w:ascii="Arial" w:hAnsi="Arial" w:cs="Arial"/>
          <w:sz w:val="22"/>
          <w:szCs w:val="22"/>
        </w:rPr>
        <w:t xml:space="preserve"> </w:t>
      </w:r>
    </w:p>
    <w:p w14:paraId="13F71849" w14:textId="1E2C7EDA" w:rsidR="0016173D" w:rsidRPr="002B205E" w:rsidRDefault="0016173D" w:rsidP="0016173D">
      <w:pPr>
        <w:autoSpaceDE w:val="0"/>
        <w:autoSpaceDN w:val="0"/>
        <w:adjustRightInd w:val="0"/>
        <w:ind w:left="360"/>
        <w:rPr>
          <w:rFonts w:ascii="Arial" w:hAnsi="Arial" w:cs="Arial"/>
          <w:sz w:val="22"/>
          <w:szCs w:val="22"/>
        </w:rPr>
      </w:pPr>
      <w:r w:rsidRPr="002B205E">
        <w:rPr>
          <w:rFonts w:ascii="Arial" w:hAnsi="Arial" w:cs="Arial"/>
          <w:sz w:val="22"/>
          <w:szCs w:val="22"/>
        </w:rPr>
        <w:t xml:space="preserve">such power to apply until the conclusion of the </w:t>
      </w:r>
      <w:r w:rsidR="003B3D49" w:rsidRPr="002B205E">
        <w:rPr>
          <w:rFonts w:ascii="Arial" w:hAnsi="Arial" w:cs="Arial"/>
          <w:sz w:val="22"/>
          <w:szCs w:val="22"/>
        </w:rPr>
        <w:t>202</w:t>
      </w:r>
      <w:r w:rsidR="003B3D49">
        <w:rPr>
          <w:rFonts w:ascii="Arial" w:hAnsi="Arial" w:cs="Arial"/>
          <w:sz w:val="22"/>
          <w:szCs w:val="22"/>
        </w:rPr>
        <w:t>1</w:t>
      </w:r>
      <w:r w:rsidR="003B3D49" w:rsidRPr="002B205E">
        <w:rPr>
          <w:rFonts w:ascii="Arial" w:hAnsi="Arial" w:cs="Arial"/>
          <w:sz w:val="22"/>
          <w:szCs w:val="22"/>
        </w:rPr>
        <w:t xml:space="preserve"> </w:t>
      </w:r>
      <w:r w:rsidRPr="002B205E">
        <w:rPr>
          <w:rFonts w:ascii="Arial" w:hAnsi="Arial" w:cs="Arial"/>
          <w:sz w:val="22"/>
          <w:szCs w:val="22"/>
        </w:rPr>
        <w:t xml:space="preserve">AGM or close of business on </w:t>
      </w:r>
      <w:r w:rsidR="00E14427">
        <w:rPr>
          <w:rFonts w:ascii="Arial" w:hAnsi="Arial" w:cs="Arial"/>
          <w:sz w:val="22"/>
          <w:szCs w:val="22"/>
        </w:rPr>
        <w:t>12</w:t>
      </w:r>
      <w:r w:rsidR="003B3D49">
        <w:rPr>
          <w:rFonts w:ascii="Arial" w:hAnsi="Arial" w:cs="Arial"/>
          <w:sz w:val="22"/>
          <w:szCs w:val="22"/>
        </w:rPr>
        <w:t xml:space="preserve"> November</w:t>
      </w:r>
      <w:r w:rsidR="00E14427">
        <w:rPr>
          <w:rFonts w:ascii="Arial" w:hAnsi="Arial" w:cs="Arial"/>
          <w:sz w:val="22"/>
          <w:szCs w:val="22"/>
        </w:rPr>
        <w:t xml:space="preserve"> </w:t>
      </w:r>
      <w:r w:rsidR="003B3D49">
        <w:rPr>
          <w:rFonts w:ascii="Arial" w:hAnsi="Arial" w:cs="Arial"/>
          <w:sz w:val="22"/>
          <w:szCs w:val="22"/>
        </w:rPr>
        <w:t>2021</w:t>
      </w:r>
      <w:r w:rsidRPr="002B205E">
        <w:rPr>
          <w:rFonts w:ascii="Arial" w:hAnsi="Arial" w:cs="Arial"/>
          <w:sz w:val="22"/>
          <w:szCs w:val="22"/>
        </w:rPr>
        <w:t>, whichever is sooner, but in each case, during this period, the Company may make offers or enter into agreements that would or might require equity securities to be allotted (and treasury shares to be sold) after the power ends and the directors may allot equity securities (and sell treasury shares) in pursuance of that offer or agreement as if the power conferred hereby had not ended.</w:t>
      </w:r>
    </w:p>
    <w:p w14:paraId="096B5628" w14:textId="77777777" w:rsidR="0016173D" w:rsidRDefault="0016173D" w:rsidP="0016173D">
      <w:pPr>
        <w:autoSpaceDE w:val="0"/>
        <w:autoSpaceDN w:val="0"/>
        <w:adjustRightInd w:val="0"/>
        <w:rPr>
          <w:rFonts w:ascii="Arial" w:hAnsi="Arial" w:cs="Arial"/>
          <w:sz w:val="22"/>
          <w:szCs w:val="22"/>
        </w:rPr>
      </w:pPr>
    </w:p>
    <w:p w14:paraId="57F57099" w14:textId="77777777" w:rsidR="0016173D" w:rsidRDefault="0016173D" w:rsidP="0016173D">
      <w:pPr>
        <w:autoSpaceDE w:val="0"/>
        <w:autoSpaceDN w:val="0"/>
        <w:adjustRightInd w:val="0"/>
        <w:rPr>
          <w:rFonts w:ascii="Arial" w:hAnsi="Arial" w:cs="Arial"/>
          <w:sz w:val="22"/>
          <w:szCs w:val="22"/>
        </w:rPr>
      </w:pPr>
    </w:p>
    <w:p w14:paraId="7DED8E1F" w14:textId="77777777" w:rsidR="0016173D" w:rsidRPr="002E3940" w:rsidRDefault="0016173D" w:rsidP="0016173D">
      <w:pPr>
        <w:autoSpaceDE w:val="0"/>
        <w:autoSpaceDN w:val="0"/>
        <w:adjustRightInd w:val="0"/>
        <w:rPr>
          <w:rFonts w:ascii="Arial" w:hAnsi="Arial" w:cs="Arial"/>
          <w:b/>
          <w:sz w:val="22"/>
          <w:szCs w:val="22"/>
        </w:rPr>
      </w:pPr>
      <w:r w:rsidRPr="002E3940">
        <w:rPr>
          <w:rFonts w:ascii="Arial" w:hAnsi="Arial" w:cs="Arial"/>
          <w:b/>
          <w:sz w:val="22"/>
          <w:szCs w:val="22"/>
        </w:rPr>
        <w:t>Disapplication of pre-emption rights for an acquisition</w:t>
      </w:r>
      <w:r>
        <w:rPr>
          <w:rFonts w:ascii="Arial" w:hAnsi="Arial" w:cs="Arial"/>
          <w:b/>
          <w:sz w:val="22"/>
          <w:szCs w:val="22"/>
        </w:rPr>
        <w:t xml:space="preserve"> </w:t>
      </w:r>
      <w:r w:rsidRPr="002E3940">
        <w:rPr>
          <w:rFonts w:ascii="Arial" w:hAnsi="Arial" w:cs="Arial"/>
          <w:b/>
          <w:sz w:val="22"/>
          <w:szCs w:val="22"/>
        </w:rPr>
        <w:t>or a specified capital investment</w:t>
      </w:r>
      <w:r>
        <w:rPr>
          <w:rFonts w:ascii="Arial" w:hAnsi="Arial" w:cs="Arial"/>
          <w:b/>
          <w:sz w:val="22"/>
          <w:szCs w:val="22"/>
        </w:rPr>
        <w:t xml:space="preserve"> (Special Resolution)</w:t>
      </w:r>
    </w:p>
    <w:p w14:paraId="1D7234B9" w14:textId="2C0B3D06" w:rsidR="0016173D" w:rsidRDefault="0016173D" w:rsidP="0016173D">
      <w:pPr>
        <w:autoSpaceDE w:val="0"/>
        <w:autoSpaceDN w:val="0"/>
        <w:adjustRightInd w:val="0"/>
        <w:rPr>
          <w:rFonts w:ascii="Arial" w:hAnsi="Arial" w:cs="Arial"/>
          <w:sz w:val="22"/>
          <w:szCs w:val="22"/>
        </w:rPr>
      </w:pPr>
      <w:r w:rsidRPr="002E3940">
        <w:rPr>
          <w:rFonts w:ascii="Arial" w:hAnsi="Arial" w:cs="Arial"/>
          <w:b/>
          <w:sz w:val="22"/>
          <w:szCs w:val="22"/>
        </w:rPr>
        <w:t xml:space="preserve">Resolution </w:t>
      </w:r>
      <w:r w:rsidR="003B3D49">
        <w:rPr>
          <w:rFonts w:ascii="Arial" w:hAnsi="Arial" w:cs="Arial"/>
          <w:b/>
          <w:sz w:val="22"/>
          <w:szCs w:val="22"/>
        </w:rPr>
        <w:t>21</w:t>
      </w:r>
      <w:r w:rsidRPr="00624E34">
        <w:rPr>
          <w:rFonts w:ascii="Arial" w:hAnsi="Arial" w:cs="Arial"/>
          <w:b/>
          <w:sz w:val="22"/>
          <w:szCs w:val="22"/>
        </w:rPr>
        <w:t>.</w:t>
      </w:r>
      <w:r w:rsidRPr="00601630">
        <w:rPr>
          <w:rFonts w:ascii="Arial" w:hAnsi="Arial" w:cs="Arial"/>
          <w:sz w:val="22"/>
          <w:szCs w:val="22"/>
        </w:rPr>
        <w:t xml:space="preserve"> </w:t>
      </w:r>
    </w:p>
    <w:p w14:paraId="415D619E" w14:textId="77777777" w:rsidR="0016173D" w:rsidRDefault="0016173D" w:rsidP="0016173D">
      <w:pPr>
        <w:autoSpaceDE w:val="0"/>
        <w:autoSpaceDN w:val="0"/>
        <w:adjustRightInd w:val="0"/>
        <w:rPr>
          <w:rFonts w:ascii="Arial" w:hAnsi="Arial" w:cs="Arial"/>
          <w:sz w:val="22"/>
          <w:szCs w:val="22"/>
        </w:rPr>
      </w:pPr>
    </w:p>
    <w:p w14:paraId="3676BE05" w14:textId="5C5FC263" w:rsidR="0016173D" w:rsidRPr="00601630" w:rsidRDefault="0016173D" w:rsidP="0016173D">
      <w:pPr>
        <w:autoSpaceDE w:val="0"/>
        <w:autoSpaceDN w:val="0"/>
        <w:adjustRightInd w:val="0"/>
        <w:rPr>
          <w:rFonts w:ascii="Arial" w:hAnsi="Arial" w:cs="Arial"/>
          <w:sz w:val="22"/>
          <w:szCs w:val="22"/>
        </w:rPr>
      </w:pPr>
      <w:r w:rsidRPr="00601630">
        <w:rPr>
          <w:rFonts w:ascii="Arial" w:hAnsi="Arial" w:cs="Arial"/>
          <w:sz w:val="22"/>
          <w:szCs w:val="22"/>
        </w:rPr>
        <w:t xml:space="preserve">That, if resolution </w:t>
      </w:r>
      <w:r w:rsidR="003B3D49" w:rsidRPr="00601630">
        <w:rPr>
          <w:rFonts w:ascii="Arial" w:hAnsi="Arial" w:cs="Arial"/>
          <w:sz w:val="22"/>
          <w:szCs w:val="22"/>
        </w:rPr>
        <w:t>1</w:t>
      </w:r>
      <w:r w:rsidR="003B3D49">
        <w:rPr>
          <w:rFonts w:ascii="Arial" w:hAnsi="Arial" w:cs="Arial"/>
          <w:sz w:val="22"/>
          <w:szCs w:val="22"/>
        </w:rPr>
        <w:t>9</w:t>
      </w:r>
      <w:r w:rsidR="003B3D49" w:rsidRPr="00601630">
        <w:rPr>
          <w:rFonts w:ascii="Arial" w:hAnsi="Arial" w:cs="Arial"/>
          <w:sz w:val="22"/>
          <w:szCs w:val="22"/>
        </w:rPr>
        <w:t xml:space="preserve"> </w:t>
      </w:r>
      <w:r w:rsidRPr="00601630">
        <w:rPr>
          <w:rFonts w:ascii="Arial" w:hAnsi="Arial" w:cs="Arial"/>
          <w:sz w:val="22"/>
          <w:szCs w:val="22"/>
        </w:rPr>
        <w:t>is passed, the directors</w:t>
      </w:r>
      <w:r>
        <w:rPr>
          <w:rFonts w:ascii="Arial" w:hAnsi="Arial" w:cs="Arial"/>
          <w:sz w:val="22"/>
          <w:szCs w:val="22"/>
        </w:rPr>
        <w:t xml:space="preserve"> </w:t>
      </w:r>
      <w:r w:rsidRPr="00601630">
        <w:rPr>
          <w:rFonts w:ascii="Arial" w:hAnsi="Arial" w:cs="Arial"/>
          <w:sz w:val="22"/>
          <w:szCs w:val="22"/>
        </w:rPr>
        <w:t>be given power, in addition to the</w:t>
      </w:r>
      <w:r>
        <w:rPr>
          <w:rFonts w:ascii="Arial" w:hAnsi="Arial" w:cs="Arial"/>
          <w:sz w:val="22"/>
          <w:szCs w:val="22"/>
        </w:rPr>
        <w:t xml:space="preserve"> </w:t>
      </w:r>
      <w:r w:rsidRPr="00601630">
        <w:rPr>
          <w:rFonts w:ascii="Arial" w:hAnsi="Arial" w:cs="Arial"/>
          <w:sz w:val="22"/>
          <w:szCs w:val="22"/>
        </w:rPr>
        <w:t>authority granted under</w:t>
      </w:r>
      <w:r>
        <w:rPr>
          <w:rFonts w:ascii="Arial" w:hAnsi="Arial" w:cs="Arial"/>
          <w:sz w:val="22"/>
          <w:szCs w:val="22"/>
        </w:rPr>
        <w:t xml:space="preserve"> </w:t>
      </w:r>
      <w:r w:rsidRPr="00601630">
        <w:rPr>
          <w:rFonts w:ascii="Arial" w:hAnsi="Arial" w:cs="Arial"/>
          <w:sz w:val="22"/>
          <w:szCs w:val="22"/>
        </w:rPr>
        <w:t xml:space="preserve">resolution </w:t>
      </w:r>
      <w:r w:rsidR="003B3D49">
        <w:rPr>
          <w:rFonts w:ascii="Arial" w:hAnsi="Arial" w:cs="Arial"/>
          <w:sz w:val="22"/>
          <w:szCs w:val="22"/>
        </w:rPr>
        <w:t>20</w:t>
      </w:r>
      <w:r w:rsidRPr="00601630">
        <w:rPr>
          <w:rFonts w:ascii="Arial" w:hAnsi="Arial" w:cs="Arial"/>
          <w:sz w:val="22"/>
          <w:szCs w:val="22"/>
        </w:rPr>
        <w:t>, to allot equity securities (as defined in the</w:t>
      </w:r>
    </w:p>
    <w:p w14:paraId="04649492" w14:textId="77777777" w:rsidR="0016173D" w:rsidRDefault="0016173D" w:rsidP="0016173D">
      <w:pPr>
        <w:autoSpaceDE w:val="0"/>
        <w:autoSpaceDN w:val="0"/>
        <w:adjustRightInd w:val="0"/>
        <w:rPr>
          <w:rFonts w:ascii="Arial" w:hAnsi="Arial" w:cs="Arial"/>
          <w:sz w:val="22"/>
          <w:szCs w:val="22"/>
        </w:rPr>
      </w:pPr>
      <w:r w:rsidRPr="00601630">
        <w:rPr>
          <w:rFonts w:ascii="Arial" w:hAnsi="Arial" w:cs="Arial"/>
          <w:sz w:val="22"/>
          <w:szCs w:val="22"/>
        </w:rPr>
        <w:t>Companies Act 2006) for cash under the authority given</w:t>
      </w:r>
      <w:r>
        <w:rPr>
          <w:rFonts w:ascii="Arial" w:hAnsi="Arial" w:cs="Arial"/>
          <w:sz w:val="22"/>
          <w:szCs w:val="22"/>
        </w:rPr>
        <w:t xml:space="preserve"> </w:t>
      </w:r>
      <w:r w:rsidRPr="00601630">
        <w:rPr>
          <w:rFonts w:ascii="Arial" w:hAnsi="Arial" w:cs="Arial"/>
          <w:sz w:val="22"/>
          <w:szCs w:val="22"/>
        </w:rPr>
        <w:t>by that resolution and/or to sell ordinary shares held by the</w:t>
      </w:r>
      <w:r>
        <w:rPr>
          <w:rFonts w:ascii="Arial" w:hAnsi="Arial" w:cs="Arial"/>
          <w:sz w:val="22"/>
          <w:szCs w:val="22"/>
        </w:rPr>
        <w:t xml:space="preserve"> </w:t>
      </w:r>
      <w:r w:rsidRPr="00601630">
        <w:rPr>
          <w:rFonts w:ascii="Arial" w:hAnsi="Arial" w:cs="Arial"/>
          <w:sz w:val="22"/>
          <w:szCs w:val="22"/>
        </w:rPr>
        <w:t>Company as treasury shares for cash as if section 561 of the</w:t>
      </w:r>
      <w:r>
        <w:rPr>
          <w:rFonts w:ascii="Arial" w:hAnsi="Arial" w:cs="Arial"/>
          <w:sz w:val="22"/>
          <w:szCs w:val="22"/>
        </w:rPr>
        <w:t xml:space="preserve"> </w:t>
      </w:r>
      <w:r w:rsidRPr="00601630">
        <w:rPr>
          <w:rFonts w:ascii="Arial" w:hAnsi="Arial" w:cs="Arial"/>
          <w:sz w:val="22"/>
          <w:szCs w:val="22"/>
        </w:rPr>
        <w:t>Companies Act 2006 did not apply to any such allotment or</w:t>
      </w:r>
      <w:r>
        <w:rPr>
          <w:rFonts w:ascii="Arial" w:hAnsi="Arial" w:cs="Arial"/>
          <w:sz w:val="22"/>
          <w:szCs w:val="22"/>
        </w:rPr>
        <w:t xml:space="preserve"> </w:t>
      </w:r>
      <w:r w:rsidRPr="00601630">
        <w:rPr>
          <w:rFonts w:ascii="Arial" w:hAnsi="Arial" w:cs="Arial"/>
          <w:sz w:val="22"/>
          <w:szCs w:val="22"/>
        </w:rPr>
        <w:t>sale, such powers to be limited:</w:t>
      </w:r>
    </w:p>
    <w:p w14:paraId="21A454D8" w14:textId="77777777" w:rsidR="0016173D" w:rsidRPr="00601630" w:rsidRDefault="0016173D" w:rsidP="0016173D">
      <w:pPr>
        <w:autoSpaceDE w:val="0"/>
        <w:autoSpaceDN w:val="0"/>
        <w:adjustRightInd w:val="0"/>
        <w:rPr>
          <w:rFonts w:ascii="Arial" w:hAnsi="Arial" w:cs="Arial"/>
          <w:sz w:val="22"/>
          <w:szCs w:val="22"/>
        </w:rPr>
      </w:pPr>
    </w:p>
    <w:p w14:paraId="3857B7F6" w14:textId="60B124DB" w:rsidR="0016173D" w:rsidRPr="002E3940" w:rsidRDefault="0016173D" w:rsidP="0016173D">
      <w:pPr>
        <w:pStyle w:val="ListParagraph"/>
        <w:numPr>
          <w:ilvl w:val="0"/>
          <w:numId w:val="27"/>
        </w:numPr>
        <w:autoSpaceDE w:val="0"/>
        <w:autoSpaceDN w:val="0"/>
        <w:adjustRightInd w:val="0"/>
        <w:rPr>
          <w:rFonts w:ascii="Arial" w:hAnsi="Arial" w:cs="Arial"/>
          <w:sz w:val="22"/>
          <w:szCs w:val="22"/>
        </w:rPr>
      </w:pPr>
      <w:r w:rsidRPr="002E3940">
        <w:rPr>
          <w:rFonts w:ascii="Arial" w:hAnsi="Arial" w:cs="Arial"/>
          <w:sz w:val="22"/>
          <w:szCs w:val="22"/>
        </w:rPr>
        <w:t>to the allotment of equity securities or sale of treasury shares for cash up to an aggregate nominal amount of £4,</w:t>
      </w:r>
      <w:r w:rsidR="003B3D49">
        <w:rPr>
          <w:rFonts w:ascii="Arial" w:hAnsi="Arial" w:cs="Arial"/>
          <w:sz w:val="22"/>
          <w:szCs w:val="22"/>
        </w:rPr>
        <w:t>245,311</w:t>
      </w:r>
      <w:r w:rsidRPr="002E3940">
        <w:rPr>
          <w:rFonts w:ascii="Arial" w:hAnsi="Arial" w:cs="Arial"/>
          <w:sz w:val="22"/>
          <w:szCs w:val="22"/>
        </w:rPr>
        <w:t>; and</w:t>
      </w:r>
    </w:p>
    <w:p w14:paraId="18393BE0" w14:textId="77777777" w:rsidR="0016173D" w:rsidRPr="00601630" w:rsidRDefault="0016173D" w:rsidP="0016173D">
      <w:pPr>
        <w:autoSpaceDE w:val="0"/>
        <w:autoSpaceDN w:val="0"/>
        <w:adjustRightInd w:val="0"/>
        <w:rPr>
          <w:rFonts w:ascii="Arial" w:hAnsi="Arial" w:cs="Arial"/>
          <w:sz w:val="22"/>
          <w:szCs w:val="22"/>
        </w:rPr>
      </w:pPr>
    </w:p>
    <w:p w14:paraId="66BABC3E" w14:textId="77777777" w:rsidR="0016173D" w:rsidRDefault="0016173D" w:rsidP="0016173D">
      <w:pPr>
        <w:pStyle w:val="ListParagraph"/>
        <w:numPr>
          <w:ilvl w:val="0"/>
          <w:numId w:val="27"/>
        </w:numPr>
        <w:autoSpaceDE w:val="0"/>
        <w:autoSpaceDN w:val="0"/>
        <w:adjustRightInd w:val="0"/>
        <w:rPr>
          <w:rFonts w:ascii="Arial" w:hAnsi="Arial" w:cs="Arial"/>
          <w:sz w:val="22"/>
          <w:szCs w:val="22"/>
        </w:rPr>
      </w:pPr>
      <w:r w:rsidRPr="002E3940">
        <w:rPr>
          <w:rFonts w:ascii="Arial" w:hAnsi="Arial" w:cs="Arial"/>
          <w:sz w:val="22"/>
          <w:szCs w:val="22"/>
        </w:rPr>
        <w:t xml:space="preserve">used only for the purposes of financing (or refinancing, if the authority is to be used within six months after the original transaction) a transaction which the directors of the Company determine to be an acquisition or specified capital investment of a kind contemplated by the Statement of Principles on Disapplying Pre-Emption Rights most recently published by the Pre-Emption Group prior to the date of this notice, </w:t>
      </w:r>
    </w:p>
    <w:p w14:paraId="24D47562" w14:textId="77777777" w:rsidR="0016173D" w:rsidRPr="002E3940" w:rsidRDefault="0016173D" w:rsidP="0016173D">
      <w:pPr>
        <w:pStyle w:val="ListParagraph"/>
        <w:rPr>
          <w:rFonts w:ascii="Arial" w:hAnsi="Arial" w:cs="Arial"/>
          <w:sz w:val="22"/>
          <w:szCs w:val="22"/>
        </w:rPr>
      </w:pPr>
    </w:p>
    <w:p w14:paraId="05A808CC" w14:textId="555628D5" w:rsidR="0016173D" w:rsidRDefault="0016173D" w:rsidP="0016173D">
      <w:pPr>
        <w:autoSpaceDE w:val="0"/>
        <w:autoSpaceDN w:val="0"/>
        <w:adjustRightInd w:val="0"/>
        <w:rPr>
          <w:rFonts w:ascii="Arial" w:hAnsi="Arial" w:cs="Arial"/>
          <w:sz w:val="22"/>
          <w:szCs w:val="22"/>
        </w:rPr>
      </w:pPr>
      <w:r w:rsidRPr="002E3940">
        <w:rPr>
          <w:rFonts w:ascii="Arial" w:hAnsi="Arial" w:cs="Arial"/>
          <w:sz w:val="22"/>
          <w:szCs w:val="22"/>
        </w:rPr>
        <w:t xml:space="preserve">such power to apply until the conclusion of the </w:t>
      </w:r>
      <w:r w:rsidR="003B3D49" w:rsidRPr="002E3940">
        <w:rPr>
          <w:rFonts w:ascii="Arial" w:hAnsi="Arial" w:cs="Arial"/>
          <w:sz w:val="22"/>
          <w:szCs w:val="22"/>
        </w:rPr>
        <w:t>202</w:t>
      </w:r>
      <w:r w:rsidR="003B3D49">
        <w:rPr>
          <w:rFonts w:ascii="Arial" w:hAnsi="Arial" w:cs="Arial"/>
          <w:sz w:val="22"/>
          <w:szCs w:val="22"/>
        </w:rPr>
        <w:t>1</w:t>
      </w:r>
      <w:r w:rsidR="003B3D49" w:rsidRPr="002E3940">
        <w:rPr>
          <w:rFonts w:ascii="Arial" w:hAnsi="Arial" w:cs="Arial"/>
          <w:sz w:val="22"/>
          <w:szCs w:val="22"/>
        </w:rPr>
        <w:t xml:space="preserve"> </w:t>
      </w:r>
      <w:r w:rsidRPr="002E3940">
        <w:rPr>
          <w:rFonts w:ascii="Arial" w:hAnsi="Arial" w:cs="Arial"/>
          <w:sz w:val="22"/>
          <w:szCs w:val="22"/>
        </w:rPr>
        <w:t xml:space="preserve">AGM or close of business on </w:t>
      </w:r>
      <w:r w:rsidR="00E14427">
        <w:rPr>
          <w:rFonts w:ascii="Arial" w:hAnsi="Arial" w:cs="Arial"/>
          <w:sz w:val="22"/>
          <w:szCs w:val="22"/>
        </w:rPr>
        <w:t>12</w:t>
      </w:r>
      <w:r w:rsidR="003B3D49">
        <w:rPr>
          <w:rFonts w:ascii="Arial" w:hAnsi="Arial" w:cs="Arial"/>
          <w:sz w:val="22"/>
          <w:szCs w:val="22"/>
        </w:rPr>
        <w:t xml:space="preserve"> November 2021</w:t>
      </w:r>
      <w:r w:rsidRPr="002E3940">
        <w:rPr>
          <w:rFonts w:ascii="Arial" w:hAnsi="Arial" w:cs="Arial"/>
          <w:sz w:val="22"/>
          <w:szCs w:val="22"/>
        </w:rPr>
        <w:t>, whichever is sooner, but in each case, during this period, the Company may make offers or enter into agreements that would or might require equity securities to be allotted (and treasury shares to be sold) after the power ends and the directors may allot equity securities (and sell treasury shares) in pursuance of that offer or agreement as if the power conferred hereby had</w:t>
      </w:r>
      <w:r>
        <w:rPr>
          <w:rFonts w:ascii="Arial" w:hAnsi="Arial" w:cs="Arial"/>
          <w:sz w:val="22"/>
          <w:szCs w:val="22"/>
        </w:rPr>
        <w:t xml:space="preserve"> </w:t>
      </w:r>
      <w:r w:rsidRPr="00601630">
        <w:rPr>
          <w:rFonts w:ascii="Arial" w:hAnsi="Arial" w:cs="Arial"/>
          <w:sz w:val="22"/>
          <w:szCs w:val="22"/>
        </w:rPr>
        <w:t>not ended.</w:t>
      </w:r>
    </w:p>
    <w:p w14:paraId="1A662592" w14:textId="77777777" w:rsidR="0016173D" w:rsidRDefault="0016173D" w:rsidP="0016173D">
      <w:pPr>
        <w:autoSpaceDE w:val="0"/>
        <w:autoSpaceDN w:val="0"/>
        <w:adjustRightInd w:val="0"/>
        <w:rPr>
          <w:rFonts w:ascii="Arial" w:hAnsi="Arial" w:cs="Arial"/>
          <w:sz w:val="22"/>
          <w:szCs w:val="22"/>
        </w:rPr>
      </w:pPr>
    </w:p>
    <w:p w14:paraId="5BBC1300" w14:textId="333D9AE0" w:rsidR="0016173D" w:rsidRDefault="0016173D" w:rsidP="0016173D">
      <w:pPr>
        <w:autoSpaceDE w:val="0"/>
        <w:autoSpaceDN w:val="0"/>
        <w:adjustRightInd w:val="0"/>
        <w:rPr>
          <w:rFonts w:ascii="Arial" w:hAnsi="Arial" w:cs="Arial"/>
          <w:sz w:val="22"/>
          <w:szCs w:val="22"/>
        </w:rPr>
      </w:pPr>
    </w:p>
    <w:p w14:paraId="5D6B4F5A" w14:textId="78D01093" w:rsidR="00200E8E" w:rsidRDefault="00200E8E" w:rsidP="0016173D">
      <w:pPr>
        <w:autoSpaceDE w:val="0"/>
        <w:autoSpaceDN w:val="0"/>
        <w:adjustRightInd w:val="0"/>
        <w:rPr>
          <w:rFonts w:ascii="Arial" w:hAnsi="Arial" w:cs="Arial"/>
          <w:sz w:val="22"/>
          <w:szCs w:val="22"/>
        </w:rPr>
      </w:pPr>
    </w:p>
    <w:p w14:paraId="6118D248" w14:textId="77777777" w:rsidR="00200E8E" w:rsidRPr="00601630" w:rsidRDefault="00200E8E" w:rsidP="0016173D">
      <w:pPr>
        <w:autoSpaceDE w:val="0"/>
        <w:autoSpaceDN w:val="0"/>
        <w:adjustRightInd w:val="0"/>
        <w:rPr>
          <w:rFonts w:ascii="Arial" w:hAnsi="Arial" w:cs="Arial"/>
          <w:sz w:val="22"/>
          <w:szCs w:val="22"/>
        </w:rPr>
      </w:pPr>
      <w:bookmarkStart w:id="1" w:name="_GoBack"/>
      <w:bookmarkEnd w:id="1"/>
    </w:p>
    <w:p w14:paraId="5931D358" w14:textId="77777777" w:rsidR="0016173D" w:rsidRPr="00624E34" w:rsidRDefault="0016173D" w:rsidP="0016173D">
      <w:pPr>
        <w:autoSpaceDE w:val="0"/>
        <w:autoSpaceDN w:val="0"/>
        <w:adjustRightInd w:val="0"/>
        <w:rPr>
          <w:rFonts w:ascii="Arial" w:hAnsi="Arial" w:cs="Arial"/>
          <w:b/>
          <w:sz w:val="22"/>
          <w:szCs w:val="22"/>
        </w:rPr>
      </w:pPr>
      <w:r w:rsidRPr="00624E34">
        <w:rPr>
          <w:rFonts w:ascii="Arial" w:hAnsi="Arial" w:cs="Arial"/>
          <w:b/>
          <w:sz w:val="22"/>
          <w:szCs w:val="22"/>
        </w:rPr>
        <w:lastRenderedPageBreak/>
        <w:t>Notice period for general meetings (Special Resolution)</w:t>
      </w:r>
    </w:p>
    <w:p w14:paraId="6785C9D5" w14:textId="65694F3D" w:rsidR="0016173D" w:rsidRPr="00624E34" w:rsidRDefault="0016173D" w:rsidP="0016173D">
      <w:pPr>
        <w:autoSpaceDE w:val="0"/>
        <w:autoSpaceDN w:val="0"/>
        <w:adjustRightInd w:val="0"/>
        <w:rPr>
          <w:rFonts w:ascii="Arial" w:hAnsi="Arial" w:cs="Arial"/>
          <w:b/>
          <w:sz w:val="22"/>
          <w:szCs w:val="22"/>
        </w:rPr>
      </w:pPr>
      <w:r w:rsidRPr="00624E34">
        <w:rPr>
          <w:rFonts w:ascii="Arial" w:hAnsi="Arial" w:cs="Arial"/>
          <w:b/>
          <w:sz w:val="22"/>
          <w:szCs w:val="22"/>
        </w:rPr>
        <w:t xml:space="preserve">Resolution </w:t>
      </w:r>
      <w:r w:rsidR="00E14427">
        <w:rPr>
          <w:rFonts w:ascii="Arial" w:hAnsi="Arial" w:cs="Arial"/>
          <w:b/>
          <w:sz w:val="22"/>
          <w:szCs w:val="22"/>
        </w:rPr>
        <w:t>22</w:t>
      </w:r>
      <w:r w:rsidRPr="00624E34">
        <w:rPr>
          <w:rFonts w:ascii="Arial" w:hAnsi="Arial" w:cs="Arial"/>
          <w:b/>
          <w:sz w:val="22"/>
          <w:szCs w:val="22"/>
        </w:rPr>
        <w:t xml:space="preserve">. </w:t>
      </w:r>
    </w:p>
    <w:p w14:paraId="129CDBAE" w14:textId="77777777" w:rsidR="0016173D" w:rsidRDefault="0016173D" w:rsidP="0016173D">
      <w:pPr>
        <w:autoSpaceDE w:val="0"/>
        <w:autoSpaceDN w:val="0"/>
        <w:adjustRightInd w:val="0"/>
        <w:rPr>
          <w:rFonts w:ascii="Arial" w:hAnsi="Arial" w:cs="Arial"/>
          <w:sz w:val="22"/>
          <w:szCs w:val="22"/>
        </w:rPr>
      </w:pPr>
    </w:p>
    <w:p w14:paraId="26A459E2" w14:textId="77777777" w:rsidR="0016173D" w:rsidRPr="00601630" w:rsidRDefault="0016173D" w:rsidP="0016173D">
      <w:pPr>
        <w:autoSpaceDE w:val="0"/>
        <w:autoSpaceDN w:val="0"/>
        <w:adjustRightInd w:val="0"/>
        <w:rPr>
          <w:rFonts w:ascii="Arial" w:hAnsi="Arial" w:cs="Arial"/>
          <w:b/>
          <w:sz w:val="22"/>
          <w:szCs w:val="22"/>
        </w:rPr>
      </w:pPr>
      <w:r w:rsidRPr="00601630">
        <w:rPr>
          <w:rFonts w:ascii="Arial" w:hAnsi="Arial" w:cs="Arial"/>
          <w:sz w:val="22"/>
          <w:szCs w:val="22"/>
        </w:rPr>
        <w:t>That a general meeting other than an AGM</w:t>
      </w:r>
      <w:r>
        <w:rPr>
          <w:rFonts w:ascii="Arial" w:hAnsi="Arial" w:cs="Arial"/>
          <w:sz w:val="22"/>
          <w:szCs w:val="22"/>
        </w:rPr>
        <w:t xml:space="preserve"> </w:t>
      </w:r>
      <w:r w:rsidRPr="00601630">
        <w:rPr>
          <w:rFonts w:ascii="Arial" w:hAnsi="Arial" w:cs="Arial"/>
          <w:sz w:val="22"/>
          <w:szCs w:val="22"/>
        </w:rPr>
        <w:t>may be called on not less than 14 clear days’ notice.</w:t>
      </w:r>
    </w:p>
    <w:p w14:paraId="0A190B5F" w14:textId="77777777" w:rsidR="0016173D" w:rsidRDefault="0016173D" w:rsidP="0016173D">
      <w:pPr>
        <w:autoSpaceDE w:val="0"/>
        <w:autoSpaceDN w:val="0"/>
        <w:adjustRightInd w:val="0"/>
        <w:rPr>
          <w:rFonts w:ascii="Arial" w:hAnsi="Arial" w:cs="Arial"/>
          <w:b/>
          <w:sz w:val="22"/>
          <w:szCs w:val="22"/>
        </w:rPr>
      </w:pPr>
    </w:p>
    <w:p w14:paraId="7DD5EDEF" w14:textId="77777777" w:rsidR="0016173D" w:rsidRPr="00070F2B" w:rsidRDefault="0016173D" w:rsidP="0016173D">
      <w:pPr>
        <w:autoSpaceDE w:val="0"/>
        <w:autoSpaceDN w:val="0"/>
        <w:adjustRightInd w:val="0"/>
        <w:jc w:val="both"/>
        <w:rPr>
          <w:rFonts w:ascii="Arial" w:hAnsi="Arial" w:cs="Arial"/>
          <w:sz w:val="22"/>
          <w:szCs w:val="22"/>
        </w:rPr>
      </w:pPr>
    </w:p>
    <w:p w14:paraId="28786F16" w14:textId="1411CB87" w:rsidR="0016173D" w:rsidRPr="00070F2B" w:rsidRDefault="0016173D" w:rsidP="0016173D">
      <w:pPr>
        <w:autoSpaceDE w:val="0"/>
        <w:autoSpaceDN w:val="0"/>
        <w:adjustRightInd w:val="0"/>
        <w:rPr>
          <w:rFonts w:ascii="Arial" w:hAnsi="Arial" w:cs="Arial"/>
          <w:sz w:val="22"/>
          <w:szCs w:val="22"/>
        </w:rPr>
      </w:pPr>
    </w:p>
    <w:p w14:paraId="2F4A588A" w14:textId="77777777" w:rsidR="0016173D" w:rsidRPr="00070F2B" w:rsidRDefault="0016173D" w:rsidP="0016173D">
      <w:pPr>
        <w:jc w:val="both"/>
        <w:rPr>
          <w:rFonts w:ascii="Arial" w:hAnsi="Arial" w:cs="Arial"/>
          <w:sz w:val="22"/>
          <w:szCs w:val="22"/>
        </w:rPr>
      </w:pPr>
      <w:r>
        <w:rPr>
          <w:rFonts w:ascii="Arial" w:hAnsi="Arial" w:cs="Arial"/>
          <w:sz w:val="22"/>
          <w:szCs w:val="22"/>
        </w:rPr>
        <w:t>Simon Rose</w:t>
      </w:r>
    </w:p>
    <w:p w14:paraId="52336CCA" w14:textId="77777777" w:rsidR="0016173D" w:rsidRPr="00070F2B" w:rsidRDefault="0016173D" w:rsidP="0016173D">
      <w:pPr>
        <w:jc w:val="both"/>
        <w:rPr>
          <w:rFonts w:ascii="Arial" w:hAnsi="Arial" w:cs="Arial"/>
          <w:sz w:val="22"/>
          <w:szCs w:val="22"/>
        </w:rPr>
      </w:pPr>
      <w:r>
        <w:rPr>
          <w:rFonts w:ascii="Arial" w:hAnsi="Arial" w:cs="Arial"/>
          <w:sz w:val="22"/>
          <w:szCs w:val="22"/>
        </w:rPr>
        <w:t xml:space="preserve">General Counsel &amp; </w:t>
      </w:r>
      <w:r w:rsidRPr="00070F2B">
        <w:rPr>
          <w:rFonts w:ascii="Arial" w:hAnsi="Arial" w:cs="Arial"/>
          <w:sz w:val="22"/>
          <w:szCs w:val="22"/>
        </w:rPr>
        <w:t>Company Secretary</w:t>
      </w:r>
    </w:p>
    <w:p w14:paraId="19E1663D" w14:textId="77777777" w:rsidR="0016173D" w:rsidRPr="00070F2B" w:rsidRDefault="0016173D" w:rsidP="0016173D">
      <w:pPr>
        <w:jc w:val="both"/>
        <w:rPr>
          <w:rFonts w:ascii="Arial" w:hAnsi="Arial" w:cs="Arial"/>
          <w:sz w:val="22"/>
          <w:szCs w:val="22"/>
        </w:rPr>
      </w:pPr>
    </w:p>
    <w:p w14:paraId="771BF85D" w14:textId="09B9B0E5" w:rsidR="0016173D" w:rsidRPr="00070F2B" w:rsidRDefault="00E14427" w:rsidP="0016173D">
      <w:pPr>
        <w:jc w:val="both"/>
        <w:rPr>
          <w:rFonts w:ascii="Arial" w:hAnsi="Arial" w:cs="Arial"/>
          <w:sz w:val="22"/>
          <w:szCs w:val="22"/>
        </w:rPr>
      </w:pPr>
      <w:r>
        <w:rPr>
          <w:rFonts w:ascii="Arial" w:hAnsi="Arial" w:cs="Arial"/>
          <w:sz w:val="22"/>
          <w:szCs w:val="22"/>
        </w:rPr>
        <w:t>12 August 2020</w:t>
      </w:r>
    </w:p>
    <w:p w14:paraId="50F7CA50" w14:textId="77777777" w:rsidR="0016173D" w:rsidRPr="00070F2B" w:rsidRDefault="0016173D" w:rsidP="00192318">
      <w:pPr>
        <w:pStyle w:val="BodyText2"/>
        <w:spacing w:after="0" w:line="240" w:lineRule="auto"/>
        <w:jc w:val="both"/>
        <w:rPr>
          <w:sz w:val="22"/>
          <w:szCs w:val="22"/>
        </w:rPr>
      </w:pPr>
    </w:p>
    <w:sectPr w:rsidR="0016173D" w:rsidRPr="00070F2B" w:rsidSect="00B0569F">
      <w:pgSz w:w="11906" w:h="16838"/>
      <w:pgMar w:top="851" w:right="1644"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132"/>
    <w:multiLevelType w:val="hybridMultilevel"/>
    <w:tmpl w:val="2A5214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8A1FD6"/>
    <w:multiLevelType w:val="hybridMultilevel"/>
    <w:tmpl w:val="40BAB43E"/>
    <w:lvl w:ilvl="0" w:tplc="2B6061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B4FCA"/>
    <w:multiLevelType w:val="hybridMultilevel"/>
    <w:tmpl w:val="A29CD3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A7731"/>
    <w:multiLevelType w:val="hybridMultilevel"/>
    <w:tmpl w:val="E7FE8AD4"/>
    <w:lvl w:ilvl="0" w:tplc="C1FE9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F2FA0"/>
    <w:multiLevelType w:val="hybridMultilevel"/>
    <w:tmpl w:val="7E224F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F55E2D"/>
    <w:multiLevelType w:val="hybridMultilevel"/>
    <w:tmpl w:val="0E2AAF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D0D67"/>
    <w:multiLevelType w:val="hybridMultilevel"/>
    <w:tmpl w:val="0E2AAF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B7557"/>
    <w:multiLevelType w:val="hybridMultilevel"/>
    <w:tmpl w:val="271481A2"/>
    <w:lvl w:ilvl="0" w:tplc="03A890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B557F"/>
    <w:multiLevelType w:val="hybridMultilevel"/>
    <w:tmpl w:val="B8C8718C"/>
    <w:lvl w:ilvl="0" w:tplc="CB2018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7D35B86"/>
    <w:multiLevelType w:val="hybridMultilevel"/>
    <w:tmpl w:val="039E1B46"/>
    <w:lvl w:ilvl="0" w:tplc="1DA0083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91520D7"/>
    <w:multiLevelType w:val="hybridMultilevel"/>
    <w:tmpl w:val="2A28C84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39E419B2"/>
    <w:multiLevelType w:val="hybridMultilevel"/>
    <w:tmpl w:val="9A7CEF0E"/>
    <w:lvl w:ilvl="0" w:tplc="E80218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39456C7"/>
    <w:multiLevelType w:val="hybridMultilevel"/>
    <w:tmpl w:val="EC26F14A"/>
    <w:lvl w:ilvl="0" w:tplc="749AC8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541BC6"/>
    <w:multiLevelType w:val="hybridMultilevel"/>
    <w:tmpl w:val="12CC8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234D85"/>
    <w:multiLevelType w:val="hybridMultilevel"/>
    <w:tmpl w:val="AF3E7F8A"/>
    <w:lvl w:ilvl="0" w:tplc="767ACAAA">
      <w:start w:val="1"/>
      <w:numFmt w:val="lowerRoman"/>
      <w:lvlText w:val="%1."/>
      <w:lvlJc w:val="righ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9380FEE"/>
    <w:multiLevelType w:val="hybridMultilevel"/>
    <w:tmpl w:val="26F04BC6"/>
    <w:lvl w:ilvl="0" w:tplc="8C14793A">
      <w:start w:val="1"/>
      <w:numFmt w:val="lowerRoman"/>
      <w:lvlText w:val="(%1)"/>
      <w:lvlJc w:val="left"/>
      <w:pPr>
        <w:ind w:left="1860" w:hanging="720"/>
      </w:pPr>
      <w:rPr>
        <w:rFonts w:hint="default"/>
      </w:r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6" w15:restartNumberingAfterBreak="0">
    <w:nsid w:val="5A605652"/>
    <w:multiLevelType w:val="hybridMultilevel"/>
    <w:tmpl w:val="B3963990"/>
    <w:lvl w:ilvl="0" w:tplc="4C664B0E">
      <w:start w:val="1"/>
      <w:numFmt w:val="lowerLetter"/>
      <w:lvlText w:val="(%1)"/>
      <w:lvlJc w:val="left"/>
      <w:pPr>
        <w:ind w:left="883" w:hanging="435"/>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17" w15:restartNumberingAfterBreak="0">
    <w:nsid w:val="5F231E6C"/>
    <w:multiLevelType w:val="hybridMultilevel"/>
    <w:tmpl w:val="F7C0071E"/>
    <w:lvl w:ilvl="0" w:tplc="A732DD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B25B9A"/>
    <w:multiLevelType w:val="hybridMultilevel"/>
    <w:tmpl w:val="D62C0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163F48"/>
    <w:multiLevelType w:val="hybridMultilevel"/>
    <w:tmpl w:val="34B21B2C"/>
    <w:lvl w:ilvl="0" w:tplc="87901F10">
      <w:start w:val="1"/>
      <w:numFmt w:val="lowerRoman"/>
      <w:lvlText w:val="(%1)"/>
      <w:lvlJc w:val="left"/>
      <w:pPr>
        <w:ind w:left="1593" w:hanging="72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20" w15:restartNumberingAfterBreak="0">
    <w:nsid w:val="669952D7"/>
    <w:multiLevelType w:val="hybridMultilevel"/>
    <w:tmpl w:val="11207C72"/>
    <w:lvl w:ilvl="0" w:tplc="FFC61926">
      <w:start w:val="1"/>
      <w:numFmt w:val="lowerRoman"/>
      <w:lvlText w:val="(%1)"/>
      <w:lvlJc w:val="left"/>
      <w:pPr>
        <w:ind w:left="1593" w:hanging="72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21" w15:restartNumberingAfterBreak="0">
    <w:nsid w:val="67E62211"/>
    <w:multiLevelType w:val="hybridMultilevel"/>
    <w:tmpl w:val="4DCABF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3B2C6A"/>
    <w:multiLevelType w:val="hybridMultilevel"/>
    <w:tmpl w:val="49BE6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6064E"/>
    <w:multiLevelType w:val="hybridMultilevel"/>
    <w:tmpl w:val="781C3F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5A74BB"/>
    <w:multiLevelType w:val="hybridMultilevel"/>
    <w:tmpl w:val="FE2A21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7551B9"/>
    <w:multiLevelType w:val="hybridMultilevel"/>
    <w:tmpl w:val="CFB4C6F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99B0BA2"/>
    <w:multiLevelType w:val="hybridMultilevel"/>
    <w:tmpl w:val="BE5E99DC"/>
    <w:lvl w:ilvl="0" w:tplc="06C638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6"/>
  </w:num>
  <w:num w:numId="3">
    <w:abstractNumId w:val="19"/>
  </w:num>
  <w:num w:numId="4">
    <w:abstractNumId w:val="1"/>
  </w:num>
  <w:num w:numId="5">
    <w:abstractNumId w:val="3"/>
  </w:num>
  <w:num w:numId="6">
    <w:abstractNumId w:val="20"/>
  </w:num>
  <w:num w:numId="7">
    <w:abstractNumId w:val="7"/>
  </w:num>
  <w:num w:numId="8">
    <w:abstractNumId w:val="12"/>
  </w:num>
  <w:num w:numId="9">
    <w:abstractNumId w:val="15"/>
  </w:num>
  <w:num w:numId="10">
    <w:abstractNumId w:val="8"/>
  </w:num>
  <w:num w:numId="11">
    <w:abstractNumId w:val="23"/>
  </w:num>
  <w:num w:numId="12">
    <w:abstractNumId w:val="17"/>
  </w:num>
  <w:num w:numId="13">
    <w:abstractNumId w:val="10"/>
  </w:num>
  <w:num w:numId="14">
    <w:abstractNumId w:val="24"/>
  </w:num>
  <w:num w:numId="15">
    <w:abstractNumId w:val="0"/>
  </w:num>
  <w:num w:numId="16">
    <w:abstractNumId w:val="5"/>
  </w:num>
  <w:num w:numId="17">
    <w:abstractNumId w:val="25"/>
  </w:num>
  <w:num w:numId="18">
    <w:abstractNumId w:val="6"/>
  </w:num>
  <w:num w:numId="19">
    <w:abstractNumId w:val="21"/>
  </w:num>
  <w:num w:numId="20">
    <w:abstractNumId w:val="11"/>
  </w:num>
  <w:num w:numId="21">
    <w:abstractNumId w:val="22"/>
  </w:num>
  <w:num w:numId="22">
    <w:abstractNumId w:val="4"/>
  </w:num>
  <w:num w:numId="23">
    <w:abstractNumId w:val="18"/>
  </w:num>
  <w:num w:numId="24">
    <w:abstractNumId w:val="26"/>
  </w:num>
  <w:num w:numId="25">
    <w:abstractNumId w:val="13"/>
  </w:num>
  <w:num w:numId="26">
    <w:abstractNumId w:val="1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C4"/>
    <w:rsid w:val="000147A8"/>
    <w:rsid w:val="00053826"/>
    <w:rsid w:val="00064DBB"/>
    <w:rsid w:val="00070F2B"/>
    <w:rsid w:val="000A26E8"/>
    <w:rsid w:val="000A37C5"/>
    <w:rsid w:val="000A6B49"/>
    <w:rsid w:val="000B14E9"/>
    <w:rsid w:val="0016173D"/>
    <w:rsid w:val="00164797"/>
    <w:rsid w:val="0017410B"/>
    <w:rsid w:val="00186516"/>
    <w:rsid w:val="00192318"/>
    <w:rsid w:val="00200E8E"/>
    <w:rsid w:val="002E67CC"/>
    <w:rsid w:val="003B3D49"/>
    <w:rsid w:val="003C4AA0"/>
    <w:rsid w:val="00474206"/>
    <w:rsid w:val="00495473"/>
    <w:rsid w:val="004E7135"/>
    <w:rsid w:val="005304A3"/>
    <w:rsid w:val="00543ACD"/>
    <w:rsid w:val="00553DC4"/>
    <w:rsid w:val="00555543"/>
    <w:rsid w:val="005F095F"/>
    <w:rsid w:val="00605D9F"/>
    <w:rsid w:val="00687BB9"/>
    <w:rsid w:val="006A43C0"/>
    <w:rsid w:val="00742627"/>
    <w:rsid w:val="007733A9"/>
    <w:rsid w:val="007B3B7F"/>
    <w:rsid w:val="008820DA"/>
    <w:rsid w:val="00891BC9"/>
    <w:rsid w:val="008A4F42"/>
    <w:rsid w:val="008A6341"/>
    <w:rsid w:val="00994419"/>
    <w:rsid w:val="00A23967"/>
    <w:rsid w:val="00B0569F"/>
    <w:rsid w:val="00B62F3B"/>
    <w:rsid w:val="00BB5555"/>
    <w:rsid w:val="00CD3D6A"/>
    <w:rsid w:val="00D9768A"/>
    <w:rsid w:val="00E14427"/>
    <w:rsid w:val="00E81D89"/>
    <w:rsid w:val="00F314A8"/>
    <w:rsid w:val="00F65BAE"/>
    <w:rsid w:val="00FB3BAF"/>
    <w:rsid w:val="00FC6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8E14A"/>
  <w15:docId w15:val="{19617C7D-C10E-447F-A4F2-D402EC7F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3A9"/>
    <w:rPr>
      <w:sz w:val="24"/>
      <w:szCs w:val="24"/>
    </w:rPr>
  </w:style>
  <w:style w:type="paragraph" w:styleId="Heading2">
    <w:name w:val="heading 2"/>
    <w:basedOn w:val="Normal"/>
    <w:next w:val="Normal"/>
    <w:link w:val="Heading2Char"/>
    <w:qFormat/>
    <w:rsid w:val="003C4AA0"/>
    <w:pPr>
      <w:keepNext/>
      <w:jc w:val="both"/>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87BB9"/>
    <w:pPr>
      <w:spacing w:after="120" w:line="480" w:lineRule="auto"/>
    </w:pPr>
    <w:rPr>
      <w:rFonts w:ascii="Arial" w:hAnsi="Arial" w:cs="Arial"/>
      <w:lang w:eastAsia="en-US"/>
    </w:rPr>
  </w:style>
  <w:style w:type="character" w:customStyle="1" w:styleId="Heading2Char">
    <w:name w:val="Heading 2 Char"/>
    <w:basedOn w:val="DefaultParagraphFont"/>
    <w:link w:val="Heading2"/>
    <w:rsid w:val="003C4AA0"/>
    <w:rPr>
      <w:b/>
      <w:bCs/>
      <w:sz w:val="24"/>
      <w:szCs w:val="24"/>
      <w:lang w:eastAsia="en-US"/>
    </w:rPr>
  </w:style>
  <w:style w:type="paragraph" w:styleId="ListParagraph">
    <w:name w:val="List Paragraph"/>
    <w:basedOn w:val="Normal"/>
    <w:uiPriority w:val="34"/>
    <w:qFormat/>
    <w:rsid w:val="00FB3BAF"/>
    <w:pPr>
      <w:ind w:left="720"/>
    </w:pPr>
  </w:style>
  <w:style w:type="paragraph" w:styleId="BalloonText">
    <w:name w:val="Balloon Text"/>
    <w:basedOn w:val="Normal"/>
    <w:link w:val="BalloonTextChar"/>
    <w:rsid w:val="00A23967"/>
    <w:rPr>
      <w:rFonts w:ascii="Tahoma" w:hAnsi="Tahoma" w:cs="Tahoma"/>
      <w:sz w:val="16"/>
      <w:szCs w:val="16"/>
    </w:rPr>
  </w:style>
  <w:style w:type="character" w:customStyle="1" w:styleId="BalloonTextChar">
    <w:name w:val="Balloon Text Char"/>
    <w:basedOn w:val="DefaultParagraphFont"/>
    <w:link w:val="BalloonText"/>
    <w:rsid w:val="00A23967"/>
    <w:rPr>
      <w:rFonts w:ascii="Tahoma" w:hAnsi="Tahoma" w:cs="Tahoma"/>
      <w:sz w:val="16"/>
      <w:szCs w:val="16"/>
    </w:rPr>
  </w:style>
  <w:style w:type="character" w:styleId="CommentReference">
    <w:name w:val="annotation reference"/>
    <w:basedOn w:val="DefaultParagraphFont"/>
    <w:semiHidden/>
    <w:unhideWhenUsed/>
    <w:rsid w:val="00070F2B"/>
    <w:rPr>
      <w:sz w:val="16"/>
      <w:szCs w:val="16"/>
    </w:rPr>
  </w:style>
  <w:style w:type="paragraph" w:styleId="CommentText">
    <w:name w:val="annotation text"/>
    <w:basedOn w:val="Normal"/>
    <w:link w:val="CommentTextChar"/>
    <w:semiHidden/>
    <w:unhideWhenUsed/>
    <w:rsid w:val="00070F2B"/>
    <w:rPr>
      <w:sz w:val="20"/>
      <w:szCs w:val="20"/>
    </w:rPr>
  </w:style>
  <w:style w:type="character" w:customStyle="1" w:styleId="CommentTextChar">
    <w:name w:val="Comment Text Char"/>
    <w:basedOn w:val="DefaultParagraphFont"/>
    <w:link w:val="CommentText"/>
    <w:semiHidden/>
    <w:rsid w:val="00070F2B"/>
  </w:style>
  <w:style w:type="paragraph" w:styleId="CommentSubject">
    <w:name w:val="annotation subject"/>
    <w:basedOn w:val="CommentText"/>
    <w:next w:val="CommentText"/>
    <w:link w:val="CommentSubjectChar"/>
    <w:semiHidden/>
    <w:unhideWhenUsed/>
    <w:rsid w:val="00070F2B"/>
    <w:rPr>
      <w:b/>
      <w:bCs/>
    </w:rPr>
  </w:style>
  <w:style w:type="character" w:customStyle="1" w:styleId="CommentSubjectChar">
    <w:name w:val="Comment Subject Char"/>
    <w:basedOn w:val="CommentTextChar"/>
    <w:link w:val="CommentSubject"/>
    <w:semiHidden/>
    <w:rsid w:val="00070F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1394</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Resolution 8</vt:lpstr>
    </vt:vector>
  </TitlesOfParts>
  <Company>Premier Foods</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8</dc:title>
  <dc:creator>david.morris</dc:creator>
  <cp:lastModifiedBy>Maade Okai</cp:lastModifiedBy>
  <cp:revision>6</cp:revision>
  <cp:lastPrinted>2020-08-13T10:54:00Z</cp:lastPrinted>
  <dcterms:created xsi:type="dcterms:W3CDTF">2020-08-13T10:29:00Z</dcterms:created>
  <dcterms:modified xsi:type="dcterms:W3CDTF">2020-08-13T10:54:00Z</dcterms:modified>
</cp:coreProperties>
</file>