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468C" w:rsidRDefault="0045468C" w:rsidP="0045468C">
      <w:pPr>
        <w:rPr>
          <w:noProof/>
          <w:lang w:val="en-MY" w:eastAsia="zh-CN"/>
        </w:rPr>
      </w:pPr>
      <w:r>
        <w:rPr>
          <w:noProof/>
          <w:lang w:val="en-MY" w:eastAsia="zh-CN"/>
        </w:rPr>
        <w:tab/>
      </w:r>
      <w:r>
        <w:rPr>
          <w:noProof/>
          <w:lang w:val="en-MY" w:eastAsia="zh-CN"/>
        </w:rPr>
        <w:tab/>
      </w:r>
      <w:r>
        <w:rPr>
          <w:noProof/>
          <w:lang w:val="en-MY" w:eastAsia="zh-CN"/>
        </w:rPr>
        <w:tab/>
      </w:r>
      <w:r>
        <w:rPr>
          <w:noProof/>
          <w:lang w:val="en-MY" w:eastAsia="zh-CN"/>
        </w:rPr>
        <w:tab/>
      </w:r>
      <w:r>
        <w:rPr>
          <w:noProof/>
          <w:lang w:val="en-MY" w:eastAsia="zh-CN"/>
        </w:rPr>
        <w:tab/>
      </w:r>
    </w:p>
    <w:p w:rsidR="005824A8" w:rsidRPr="0045468C" w:rsidRDefault="0045468C" w:rsidP="0045468C">
      <w:pPr>
        <w:rPr>
          <w:rFonts w:asciiTheme="majorBidi" w:hAnsiTheme="majorBidi" w:cstheme="majorBidi"/>
          <w:b/>
          <w:bCs/>
          <w:sz w:val="28"/>
          <w:szCs w:val="28"/>
        </w:rPr>
      </w:pPr>
      <w:r>
        <w:rPr>
          <w:noProof/>
          <w:lang w:val="en-GB" w:eastAsia="en-GB"/>
        </w:rPr>
        <w:drawing>
          <wp:inline distT="0" distB="0" distL="0" distR="0">
            <wp:extent cx="619125" cy="542925"/>
            <wp:effectExtent l="19050" t="0" r="9525" b="0"/>
            <wp:docPr id="1" name="Picture 1" descr="Pec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cte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</w:t>
      </w:r>
      <w:r w:rsidRPr="0045468C">
        <w:rPr>
          <w:b/>
          <w:bCs/>
          <w:sz w:val="28"/>
          <w:szCs w:val="28"/>
        </w:rPr>
        <w:t>ROYAL DUTCH SHELL PLC</w:t>
      </w:r>
    </w:p>
    <w:p w:rsidR="005824A8" w:rsidRPr="00AD2496" w:rsidRDefault="005824A8" w:rsidP="005824A8">
      <w:pPr>
        <w:rPr>
          <w:rFonts w:asciiTheme="majorBidi" w:hAnsiTheme="majorBidi" w:cstheme="majorBidi"/>
          <w:sz w:val="22"/>
          <w:szCs w:val="22"/>
        </w:rPr>
      </w:pPr>
    </w:p>
    <w:p w:rsidR="00D7165E" w:rsidRDefault="00D7165E" w:rsidP="005824A8">
      <w:pPr>
        <w:jc w:val="both"/>
        <w:rPr>
          <w:rFonts w:asciiTheme="majorBidi" w:hAnsiTheme="majorBidi" w:cstheme="majorBidi"/>
          <w:sz w:val="22"/>
          <w:szCs w:val="22"/>
        </w:rPr>
      </w:pPr>
    </w:p>
    <w:p w:rsidR="005824A8" w:rsidRPr="00AD2496" w:rsidRDefault="005824A8" w:rsidP="003645FE">
      <w:pPr>
        <w:jc w:val="both"/>
        <w:rPr>
          <w:rFonts w:asciiTheme="majorBidi" w:hAnsiTheme="majorBidi" w:cstheme="majorBidi"/>
          <w:sz w:val="22"/>
          <w:szCs w:val="22"/>
        </w:rPr>
      </w:pPr>
      <w:r w:rsidRPr="00AD2496">
        <w:rPr>
          <w:rFonts w:asciiTheme="majorBidi" w:hAnsiTheme="majorBidi" w:cstheme="majorBidi"/>
          <w:sz w:val="22"/>
          <w:szCs w:val="22"/>
        </w:rPr>
        <w:t xml:space="preserve">The following resolutions submitted to the Annual General Meeting held on May </w:t>
      </w:r>
      <w:r w:rsidR="00254816">
        <w:rPr>
          <w:rFonts w:asciiTheme="majorBidi" w:hAnsiTheme="majorBidi" w:cstheme="majorBidi"/>
          <w:sz w:val="22"/>
          <w:szCs w:val="22"/>
        </w:rPr>
        <w:t>2</w:t>
      </w:r>
      <w:r w:rsidR="00534A30">
        <w:rPr>
          <w:rFonts w:asciiTheme="majorBidi" w:hAnsiTheme="majorBidi" w:cstheme="majorBidi"/>
          <w:sz w:val="22"/>
          <w:szCs w:val="22"/>
        </w:rPr>
        <w:t>2</w:t>
      </w:r>
      <w:r w:rsidR="003567AD">
        <w:rPr>
          <w:rFonts w:asciiTheme="majorBidi" w:hAnsiTheme="majorBidi" w:cstheme="majorBidi"/>
          <w:sz w:val="22"/>
          <w:szCs w:val="22"/>
        </w:rPr>
        <w:t xml:space="preserve">, </w:t>
      </w:r>
      <w:r w:rsidRPr="00AD2496">
        <w:rPr>
          <w:rFonts w:asciiTheme="majorBidi" w:hAnsiTheme="majorBidi" w:cstheme="majorBidi"/>
          <w:sz w:val="22"/>
          <w:szCs w:val="22"/>
        </w:rPr>
        <w:t>201</w:t>
      </w:r>
      <w:r w:rsidR="00534A30">
        <w:rPr>
          <w:rFonts w:asciiTheme="majorBidi" w:hAnsiTheme="majorBidi" w:cstheme="majorBidi"/>
          <w:sz w:val="22"/>
          <w:szCs w:val="22"/>
        </w:rPr>
        <w:t>8</w:t>
      </w:r>
      <w:r w:rsidRPr="00AD2496">
        <w:rPr>
          <w:rFonts w:asciiTheme="majorBidi" w:hAnsiTheme="majorBidi" w:cstheme="majorBidi"/>
          <w:sz w:val="22"/>
          <w:szCs w:val="22"/>
        </w:rPr>
        <w:t xml:space="preserve"> were passed.</w:t>
      </w:r>
    </w:p>
    <w:p w:rsidR="00736AB6" w:rsidRPr="00AD2496" w:rsidRDefault="00736AB6" w:rsidP="00CA213B">
      <w:pPr>
        <w:jc w:val="both"/>
        <w:rPr>
          <w:rFonts w:asciiTheme="majorBidi" w:hAnsiTheme="majorBidi" w:cstheme="majorBidi"/>
          <w:sz w:val="22"/>
          <w:szCs w:val="22"/>
        </w:rPr>
      </w:pPr>
    </w:p>
    <w:p w:rsidR="00051E3C" w:rsidRDefault="00051E3C" w:rsidP="004401E8">
      <w:pPr>
        <w:jc w:val="both"/>
        <w:rPr>
          <w:rFonts w:asciiTheme="majorBidi" w:hAnsiTheme="majorBidi" w:cstheme="majorBidi"/>
          <w:sz w:val="22"/>
          <w:szCs w:val="22"/>
        </w:rPr>
      </w:pPr>
    </w:p>
    <w:p w:rsidR="003645FE" w:rsidRPr="003645FE" w:rsidRDefault="003645FE" w:rsidP="004401E8">
      <w:pPr>
        <w:jc w:val="both"/>
        <w:rPr>
          <w:rFonts w:asciiTheme="majorBidi" w:hAnsiTheme="majorBidi" w:cstheme="majorBidi"/>
          <w:sz w:val="22"/>
          <w:szCs w:val="22"/>
        </w:rPr>
      </w:pPr>
      <w:r w:rsidRPr="003645FE">
        <w:rPr>
          <w:rFonts w:asciiTheme="majorBidi" w:hAnsiTheme="majorBidi" w:cstheme="majorBidi"/>
          <w:sz w:val="22"/>
          <w:szCs w:val="22"/>
        </w:rPr>
        <w:t>RESOLUTION 1</w:t>
      </w:r>
    </w:p>
    <w:p w:rsidR="00CE0C6C" w:rsidRPr="00CE0C6C" w:rsidRDefault="00CE0C6C" w:rsidP="00CE0C6C">
      <w:pPr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That the Company’s annual accounts for the financial year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ended December 31, 2017, together with the Directors’ report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and the Auditor’s report on those accounts, be received.</w:t>
      </w:r>
    </w:p>
    <w:p w:rsidR="00CE0C6C" w:rsidRPr="00CE0C6C" w:rsidRDefault="00CE0C6C" w:rsidP="00CE0C6C">
      <w:pPr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</w:p>
    <w:p w:rsidR="003645FE" w:rsidRPr="003645FE" w:rsidRDefault="003645FE" w:rsidP="004401E8">
      <w:pPr>
        <w:jc w:val="both"/>
        <w:rPr>
          <w:rFonts w:asciiTheme="majorBidi" w:hAnsiTheme="majorBidi" w:cstheme="majorBidi"/>
          <w:sz w:val="22"/>
          <w:szCs w:val="22"/>
        </w:rPr>
      </w:pPr>
      <w:r w:rsidRPr="003645FE">
        <w:rPr>
          <w:rFonts w:asciiTheme="majorBidi" w:hAnsiTheme="majorBidi" w:cstheme="majorBidi"/>
          <w:sz w:val="22"/>
          <w:szCs w:val="22"/>
        </w:rPr>
        <w:t>RESOLUTION 2</w:t>
      </w:r>
    </w:p>
    <w:p w:rsidR="007F598F" w:rsidRDefault="00CE0C6C" w:rsidP="00CE0C6C">
      <w:pPr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That the Directors’ Remuneration Report, excluding the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Directors’ Remuneration Policy set out on pages 109 to 117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of the Directors’ Remuneration Report, for the year ended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 xml:space="preserve">December 31, 2017, be approved. </w:t>
      </w:r>
    </w:p>
    <w:p w:rsidR="007F598F" w:rsidRDefault="007F598F" w:rsidP="008E6112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7F598F" w:rsidRPr="007F598F" w:rsidRDefault="007F598F" w:rsidP="007F598F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7F598F">
        <w:rPr>
          <w:rFonts w:asciiTheme="majorBidi" w:hAnsiTheme="majorBidi" w:cstheme="majorBidi"/>
          <w:sz w:val="22"/>
          <w:szCs w:val="22"/>
        </w:rPr>
        <w:t>RESOLUTION 3</w:t>
      </w:r>
    </w:p>
    <w:p w:rsidR="007F598F" w:rsidRPr="00CE0C6C" w:rsidRDefault="00CE0C6C" w:rsidP="00CE0C6C">
      <w:pPr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That Ann Godbehere be appointed as a Director of the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Company with effect from May 23, 2018.</w:t>
      </w:r>
    </w:p>
    <w:p w:rsid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3645FE" w:rsidRPr="003645FE" w:rsidRDefault="003645FE" w:rsidP="004401E8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3645FE">
        <w:rPr>
          <w:rFonts w:asciiTheme="majorBidi" w:hAnsiTheme="majorBidi" w:cstheme="majorBidi"/>
          <w:sz w:val="22"/>
          <w:szCs w:val="22"/>
        </w:rPr>
        <w:t xml:space="preserve">RESOLUTION </w:t>
      </w:r>
      <w:r w:rsidR="00EE35DF">
        <w:rPr>
          <w:rFonts w:asciiTheme="majorBidi" w:hAnsiTheme="majorBidi" w:cstheme="majorBidi"/>
          <w:sz w:val="22"/>
          <w:szCs w:val="22"/>
        </w:rPr>
        <w:t>4</w:t>
      </w:r>
    </w:p>
    <w:p w:rsidR="00CE0C6C" w:rsidRPr="00CE0C6C" w:rsidRDefault="00CE0C6C" w:rsidP="00CE0C6C">
      <w:pPr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That Ben van Beurden be reappointed as a Director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of the Company.</w:t>
      </w:r>
    </w:p>
    <w:p w:rsid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RESOLUTION 5</w:t>
      </w: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That Euleen Goh be reappointed as a Director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of the Company.</w:t>
      </w:r>
    </w:p>
    <w:p w:rsid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RESOLUTION 6</w:t>
      </w: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That Charles O. Holliday be reappointed as a Director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of the Company.</w:t>
      </w:r>
    </w:p>
    <w:p w:rsid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RESOLUTION 7</w:t>
      </w: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That Catherine Hughes be reappointed as a Director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of the Company.</w:t>
      </w:r>
    </w:p>
    <w:p w:rsid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RESOLUTION 8</w:t>
      </w: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That Gerard Kleisterlee be reappointed as a Director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of the Company.</w:t>
      </w:r>
    </w:p>
    <w:p w:rsid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RESOLUTION 9</w:t>
      </w: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That Roberto Setubal be reappointed as a Director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of the Company.</w:t>
      </w:r>
    </w:p>
    <w:p w:rsid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RESOLUTION 10</w:t>
      </w: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That Sir Nigel Sheinwald be reappointed as a Director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of the Company.</w:t>
      </w:r>
    </w:p>
    <w:p w:rsid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RESOLUTION 11</w:t>
      </w: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That Linda G. Stuntz be reappointed as a Director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of the Company.</w:t>
      </w:r>
    </w:p>
    <w:p w:rsid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RESOLUTION 12</w:t>
      </w: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That Jessica Uhl be reappointed as a Director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of the Company.</w:t>
      </w:r>
    </w:p>
    <w:p w:rsid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CE0C6C" w:rsidRP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RESOLUTION 13</w:t>
      </w:r>
    </w:p>
    <w:p w:rsidR="00CE0C6C" w:rsidRDefault="00CE0C6C" w:rsidP="00CE0C6C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CE0C6C">
        <w:rPr>
          <w:rFonts w:asciiTheme="majorBidi" w:hAnsiTheme="majorBidi" w:cstheme="majorBidi"/>
          <w:sz w:val="22"/>
          <w:szCs w:val="22"/>
        </w:rPr>
        <w:t>That Gerrit Zalm be reappointed as a Director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CE0C6C">
        <w:rPr>
          <w:rFonts w:asciiTheme="majorBidi" w:hAnsiTheme="majorBidi" w:cstheme="majorBidi"/>
          <w:sz w:val="22"/>
          <w:szCs w:val="22"/>
        </w:rPr>
        <w:t>of the Company.</w:t>
      </w:r>
    </w:p>
    <w:p w:rsidR="00CE0C6C" w:rsidRDefault="00CE0C6C" w:rsidP="004401E8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RESOLUTION 14</w:t>
      </w: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That Ernst &amp; Young LLP be reappointed as Auditor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of the Company to hold office until the conclusion</w:t>
      </w: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of the next AGM of the Company.</w:t>
      </w:r>
    </w:p>
    <w:p w:rsidR="007A6253" w:rsidRDefault="007A6253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7A6253" w:rsidRDefault="007A6253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RESOLUTION 15</w:t>
      </w: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That the Audit Committee be authorised to determine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the remuneration of the Auditor for 2018 on behalf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of the Board.</w:t>
      </w:r>
    </w:p>
    <w:p w:rsid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RESOLUTION 16</w:t>
      </w: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That the Board be generally and unconditionally authorised,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in substitution for all subsisting authorities, to allot shares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in the Company, and to grant rights to subscribe for or to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convert any security into shares in the Company, up to an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aggregate nominal amount of €194 million, and to list such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shares or rights on any stock exchange, such authorities to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apply until the earlier of the close of business on August 22,</w:t>
      </w: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2019, and the end of the AGM to be held in 2019 (unless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previously renewed, revoked or varied by the Company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in general meeting) but, in each case, during this period,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the Company may make offers and enter into agreements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which would, or might, require shares to be allotted or rights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to subscribe for or to convert securities into shares to be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granted after the authority ends and the Board may allot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shares or grant rights to subscribe for or to convert securities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into shares under any such offer or agreement as if the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authority had not ended.</w:t>
      </w:r>
    </w:p>
    <w:p w:rsid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RESOLUTION 17</w:t>
      </w: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That if Resolution 16 is passed, the Board be given power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to allot equity securities (as defined in the Companies Act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2006) for cash under the authority given by that resolution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and/or to sell ordinary shares held by the Company as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treasury shares for cash as if section 561 of the Companies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Act 2006 did not apply to any such allotment or sale,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such power to be limited:</w:t>
      </w:r>
    </w:p>
    <w:p w:rsid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(A)</w:t>
      </w:r>
    </w:p>
    <w:p w:rsid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to the allotment of equity securities and sale of treasury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shares for cash in connection with an offer of, or invitation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to apply for, equity securities:</w:t>
      </w: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t>(</w:t>
      </w:r>
      <w:r w:rsidRPr="0013788B">
        <w:rPr>
          <w:rFonts w:asciiTheme="majorBidi" w:hAnsiTheme="majorBidi" w:cstheme="majorBidi"/>
          <w:sz w:val="22"/>
          <w:szCs w:val="22"/>
        </w:rPr>
        <w:t>i) to ordinary shareholders in proportion (as nearly as may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 xml:space="preserve">be practicable) to their existing holdings; </w:t>
      </w: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and</w:t>
      </w:r>
    </w:p>
    <w:p w:rsid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795425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(ii) to holders of other equity securities, as required by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the rights of those securities or, as the Board otherwise</w:t>
      </w:r>
      <w:r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considers necessary,</w:t>
      </w:r>
      <w:r>
        <w:rPr>
          <w:rFonts w:asciiTheme="majorBidi" w:hAnsiTheme="majorBidi" w:cstheme="majorBidi"/>
          <w:sz w:val="22"/>
          <w:szCs w:val="22"/>
        </w:rPr>
        <w:t xml:space="preserve"> </w:t>
      </w:r>
    </w:p>
    <w:p w:rsidR="00795425" w:rsidRDefault="00795425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and so that the Board may impose any limits or restrictions</w:t>
      </w:r>
      <w:r w:rsidR="00E84E28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and make any arrangements which it considers necessary</w:t>
      </w:r>
      <w:r w:rsidR="00E84E28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or appropriate to deal with treasury shares, fractional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entitlements, record dates, or legal or practical problems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arising in any overseas territory, the requirements of any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regulatory body or stock exchange or any other matter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whatsoever; and</w:t>
      </w:r>
    </w:p>
    <w:p w:rsidR="007A6253" w:rsidRDefault="007A6253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(B)</w:t>
      </w:r>
    </w:p>
    <w:p w:rsid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to the allotment of equity securities or sale of treasury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shares (otherwise than under paragraph (A) above) up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to a nominal amount of €29 million,</w:t>
      </w:r>
    </w:p>
    <w:p w:rsidR="007A6253" w:rsidRPr="0013788B" w:rsidRDefault="007A6253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7A6253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such power to apply until the earlier of the close of business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on August 22, 2019, and the end of the AGM to be held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in 2019 but, in each case, prior to its expiry, the Company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may make offers, and enter into agreements, which would,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or might, require equity securities to be allotted (and treasury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shares to be sold) after the power expires and the Board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may allot equity securities (and sell treasury shares) under any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such offer or agreement as if the power had not expired.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</w:p>
    <w:p w:rsidR="007A6253" w:rsidRDefault="007A6253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RESOLUTION 18</w:t>
      </w: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That the Company be authorised for the purposes of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Section 701 of the Companies Act 2006 to make one or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more market purchases (as defined in Section 693(4) of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the Companies Act 2006) of its ordinary shares of €0.07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each (“ordinary shares”), such authority to be limited:</w:t>
      </w:r>
    </w:p>
    <w:p w:rsidR="006B3130" w:rsidRDefault="006B3130">
      <w:pPr>
        <w:ind w:left="567"/>
        <w:rPr>
          <w:rFonts w:asciiTheme="majorBidi" w:hAnsiTheme="majorBidi" w:cstheme="majorBidi"/>
          <w:sz w:val="22"/>
          <w:szCs w:val="22"/>
        </w:rPr>
      </w:pPr>
      <w:r>
        <w:rPr>
          <w:rFonts w:asciiTheme="majorBidi" w:hAnsiTheme="majorBidi" w:cstheme="majorBidi"/>
          <w:sz w:val="22"/>
          <w:szCs w:val="22"/>
        </w:rPr>
        <w:br w:type="page"/>
      </w:r>
    </w:p>
    <w:p w:rsidR="007A6253" w:rsidRDefault="007A6253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(A)</w:t>
      </w: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to a maximum number of 834 million ordinary shares;</w:t>
      </w:r>
    </w:p>
    <w:p w:rsidR="007A6253" w:rsidRDefault="007A6253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13788B" w:rsidRP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(B)</w:t>
      </w:r>
    </w:p>
    <w:p w:rsid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by the condition that the minimum price which may be paid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for an ordinary share is €0.07 and the maximum price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which may be paid for an ordinary share is the higher of:</w:t>
      </w:r>
    </w:p>
    <w:p w:rsidR="007A6253" w:rsidRPr="0013788B" w:rsidRDefault="007A6253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(i) an amount equal to 5% above the average market value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of an ordinary share for the five business days immediately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preceding the day on which that ordinary share is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contracted to be purchased; and</w:t>
      </w:r>
    </w:p>
    <w:p w:rsidR="007A6253" w:rsidRPr="0013788B" w:rsidRDefault="007A6253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6B3130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(ii) the higher of the price of the last independent trade and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the highest current independent bid on the trading venues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where the purchase is carried out,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</w:p>
    <w:p w:rsidR="006B3130" w:rsidRDefault="006B3130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7A6253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in each case, exclusive of expenses;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</w:p>
    <w:p w:rsidR="007A6253" w:rsidRDefault="007A6253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  <w:r w:rsidRPr="0013788B">
        <w:rPr>
          <w:rFonts w:asciiTheme="majorBidi" w:hAnsiTheme="majorBidi" w:cstheme="majorBidi"/>
          <w:sz w:val="22"/>
          <w:szCs w:val="22"/>
        </w:rPr>
        <w:t>such authority to apply until the earlier of the close of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business on August 22, 2019, and the end of the next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AGM of the Company but in each case so that the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Company may enter into a contract to purchase ordinary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shares which will or may be completed or executed wholly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or partly after the authority ends and the Company may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purchase ordinary shares pursuant to any such contract</w:t>
      </w:r>
      <w:r w:rsidR="007A6253">
        <w:rPr>
          <w:rFonts w:asciiTheme="majorBidi" w:hAnsiTheme="majorBidi" w:cstheme="majorBidi"/>
          <w:sz w:val="22"/>
          <w:szCs w:val="22"/>
        </w:rPr>
        <w:t xml:space="preserve"> </w:t>
      </w:r>
      <w:r w:rsidRPr="0013788B">
        <w:rPr>
          <w:rFonts w:asciiTheme="majorBidi" w:hAnsiTheme="majorBidi" w:cstheme="majorBidi"/>
          <w:sz w:val="22"/>
          <w:szCs w:val="22"/>
        </w:rPr>
        <w:t>as if the authority had not ended.</w:t>
      </w:r>
    </w:p>
    <w:p w:rsidR="0013788B" w:rsidRDefault="0013788B" w:rsidP="0013788B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13788B" w:rsidRDefault="0013788B" w:rsidP="004401E8">
      <w:pPr>
        <w:autoSpaceDE w:val="0"/>
        <w:autoSpaceDN w:val="0"/>
        <w:adjustRightInd w:val="0"/>
        <w:rPr>
          <w:rFonts w:asciiTheme="majorBidi" w:hAnsiTheme="majorBidi" w:cstheme="majorBidi"/>
          <w:sz w:val="22"/>
          <w:szCs w:val="22"/>
        </w:rPr>
      </w:pPr>
    </w:p>
    <w:p w:rsidR="004C4351" w:rsidRDefault="004C4351" w:rsidP="00807F7E">
      <w:pPr>
        <w:autoSpaceDE w:val="0"/>
        <w:autoSpaceDN w:val="0"/>
        <w:adjustRightInd w:val="0"/>
        <w:jc w:val="both"/>
        <w:rPr>
          <w:rFonts w:asciiTheme="majorBidi" w:hAnsiTheme="majorBidi" w:cstheme="majorBidi"/>
          <w:sz w:val="22"/>
          <w:szCs w:val="22"/>
        </w:rPr>
      </w:pPr>
    </w:p>
    <w:p w:rsidR="003645FE" w:rsidRPr="00EB4334" w:rsidRDefault="000772EB" w:rsidP="003645FE">
      <w:pPr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EB4334">
        <w:rPr>
          <w:rFonts w:asciiTheme="majorBidi" w:hAnsiTheme="majorBidi" w:cstheme="majorBidi"/>
          <w:b/>
          <w:bCs/>
          <w:sz w:val="22"/>
          <w:szCs w:val="22"/>
        </w:rPr>
        <w:t>Mark Edwards</w:t>
      </w:r>
    </w:p>
    <w:p w:rsidR="003645FE" w:rsidRPr="00EB4334" w:rsidRDefault="000772EB" w:rsidP="003645FE">
      <w:pPr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EB4334">
        <w:rPr>
          <w:rFonts w:asciiTheme="majorBidi" w:hAnsiTheme="majorBidi" w:cstheme="majorBidi"/>
          <w:b/>
          <w:bCs/>
          <w:sz w:val="22"/>
          <w:szCs w:val="22"/>
        </w:rPr>
        <w:t xml:space="preserve">Deputy </w:t>
      </w:r>
      <w:r w:rsidR="003645FE" w:rsidRPr="00EB4334">
        <w:rPr>
          <w:rFonts w:asciiTheme="majorBidi" w:hAnsiTheme="majorBidi" w:cstheme="majorBidi"/>
          <w:b/>
          <w:bCs/>
          <w:sz w:val="22"/>
          <w:szCs w:val="22"/>
        </w:rPr>
        <w:t>Company Secretary</w:t>
      </w:r>
    </w:p>
    <w:p w:rsidR="003645FE" w:rsidRPr="00EB4334" w:rsidRDefault="000772EB" w:rsidP="000772EB">
      <w:pPr>
        <w:jc w:val="both"/>
        <w:rPr>
          <w:rFonts w:asciiTheme="majorBidi" w:hAnsiTheme="majorBidi" w:cstheme="majorBidi"/>
          <w:b/>
          <w:bCs/>
          <w:sz w:val="22"/>
          <w:szCs w:val="22"/>
        </w:rPr>
      </w:pPr>
      <w:r w:rsidRPr="00EB4334">
        <w:rPr>
          <w:rFonts w:asciiTheme="majorBidi" w:hAnsiTheme="majorBidi" w:cstheme="majorBidi"/>
          <w:b/>
          <w:bCs/>
          <w:sz w:val="22"/>
          <w:szCs w:val="22"/>
        </w:rPr>
        <w:t xml:space="preserve">May </w:t>
      </w:r>
      <w:r w:rsidR="004C4351">
        <w:rPr>
          <w:rFonts w:asciiTheme="majorBidi" w:hAnsiTheme="majorBidi" w:cstheme="majorBidi"/>
          <w:b/>
          <w:bCs/>
          <w:sz w:val="22"/>
          <w:szCs w:val="22"/>
        </w:rPr>
        <w:t>2</w:t>
      </w:r>
      <w:r w:rsidR="00CE0C6C">
        <w:rPr>
          <w:rFonts w:asciiTheme="majorBidi" w:hAnsiTheme="majorBidi" w:cstheme="majorBidi"/>
          <w:b/>
          <w:bCs/>
          <w:sz w:val="22"/>
          <w:szCs w:val="22"/>
        </w:rPr>
        <w:t>2</w:t>
      </w:r>
      <w:r w:rsidRPr="00EB4334">
        <w:rPr>
          <w:rFonts w:asciiTheme="majorBidi" w:hAnsiTheme="majorBidi" w:cstheme="majorBidi"/>
          <w:b/>
          <w:bCs/>
          <w:sz w:val="22"/>
          <w:szCs w:val="22"/>
        </w:rPr>
        <w:t>, 201</w:t>
      </w:r>
      <w:r w:rsidR="00CE0C6C">
        <w:rPr>
          <w:rFonts w:asciiTheme="majorBidi" w:hAnsiTheme="majorBidi" w:cstheme="majorBidi"/>
          <w:b/>
          <w:bCs/>
          <w:sz w:val="22"/>
          <w:szCs w:val="22"/>
        </w:rPr>
        <w:t>8</w:t>
      </w:r>
    </w:p>
    <w:p w:rsidR="00EB4334" w:rsidRDefault="00EB4334" w:rsidP="000772EB">
      <w:pPr>
        <w:jc w:val="both"/>
        <w:rPr>
          <w:rFonts w:asciiTheme="majorBidi" w:hAnsiTheme="majorBidi" w:cstheme="majorBidi"/>
          <w:sz w:val="22"/>
          <w:szCs w:val="22"/>
        </w:rPr>
      </w:pPr>
    </w:p>
    <w:p w:rsidR="0093537A" w:rsidRDefault="0093537A" w:rsidP="00EB4334">
      <w:pPr>
        <w:spacing w:before="100" w:beforeAutospacing="1" w:after="100" w:afterAutospacing="1"/>
        <w:rPr>
          <w:rFonts w:ascii="Futura Light" w:hAnsi="Futura Light"/>
          <w:sz w:val="21"/>
          <w:szCs w:val="21"/>
        </w:rPr>
      </w:pPr>
    </w:p>
    <w:p w:rsidR="000D5992" w:rsidRDefault="000D5992" w:rsidP="000D5992">
      <w:pPr>
        <w:spacing w:before="100" w:beforeAutospacing="1" w:after="100" w:afterAutospacing="1"/>
        <w:rPr>
          <w:rFonts w:ascii="Futura Light" w:hAnsi="Futura Light"/>
          <w:sz w:val="21"/>
          <w:szCs w:val="21"/>
        </w:rPr>
      </w:pPr>
    </w:p>
    <w:p w:rsidR="000D5992" w:rsidRDefault="000D5992" w:rsidP="000D5992">
      <w:pPr>
        <w:spacing w:before="100" w:beforeAutospacing="1" w:after="100" w:afterAutospacing="1"/>
        <w:rPr>
          <w:rFonts w:ascii="Futura Light" w:hAnsi="Futura Light"/>
          <w:sz w:val="21"/>
          <w:szCs w:val="21"/>
        </w:rPr>
      </w:pPr>
    </w:p>
    <w:p w:rsidR="008E5623" w:rsidRDefault="008E5623" w:rsidP="000D5992">
      <w:pPr>
        <w:spacing w:before="100" w:beforeAutospacing="1" w:after="100" w:afterAutospacing="1"/>
        <w:rPr>
          <w:rFonts w:ascii="Futura Light" w:hAnsi="Futura Light"/>
          <w:sz w:val="21"/>
          <w:szCs w:val="21"/>
        </w:rPr>
      </w:pPr>
    </w:p>
    <w:p w:rsidR="00187185" w:rsidRDefault="00187185" w:rsidP="00187185">
      <w:pPr>
        <w:rPr>
          <w:rFonts w:ascii="Futura Light" w:hAnsi="Futura Light"/>
          <w:sz w:val="20"/>
          <w:szCs w:val="20"/>
        </w:rPr>
      </w:pPr>
    </w:p>
    <w:p w:rsidR="00323E78" w:rsidRDefault="00323E78" w:rsidP="00187185">
      <w:pPr>
        <w:rPr>
          <w:rFonts w:ascii="Futura Light" w:hAnsi="Futura Light"/>
          <w:sz w:val="20"/>
          <w:szCs w:val="20"/>
        </w:rPr>
      </w:pPr>
    </w:p>
    <w:p w:rsidR="007A6253" w:rsidRDefault="007A6253" w:rsidP="00187185">
      <w:pPr>
        <w:rPr>
          <w:rFonts w:ascii="Futura Light" w:hAnsi="Futura Light"/>
          <w:sz w:val="20"/>
          <w:szCs w:val="20"/>
        </w:rPr>
      </w:pPr>
    </w:p>
    <w:p w:rsidR="007A6253" w:rsidRDefault="007A6253" w:rsidP="00187185">
      <w:pPr>
        <w:rPr>
          <w:rFonts w:ascii="Futura Light" w:hAnsi="Futura Light"/>
          <w:sz w:val="20"/>
          <w:szCs w:val="20"/>
        </w:rPr>
      </w:pPr>
    </w:p>
    <w:p w:rsidR="007A6253" w:rsidRDefault="007A6253" w:rsidP="00187185">
      <w:pPr>
        <w:rPr>
          <w:rFonts w:ascii="Futura Light" w:hAnsi="Futura Light"/>
          <w:sz w:val="20"/>
          <w:szCs w:val="20"/>
        </w:rPr>
      </w:pPr>
    </w:p>
    <w:p w:rsidR="007A6253" w:rsidRDefault="007A6253" w:rsidP="00187185">
      <w:pPr>
        <w:rPr>
          <w:rFonts w:ascii="Futura Light" w:hAnsi="Futura Light"/>
          <w:sz w:val="20"/>
          <w:szCs w:val="20"/>
        </w:rPr>
      </w:pPr>
    </w:p>
    <w:p w:rsidR="007A6253" w:rsidRDefault="007A6253" w:rsidP="00187185">
      <w:pPr>
        <w:rPr>
          <w:rFonts w:ascii="Futura Light" w:hAnsi="Futura Light"/>
          <w:sz w:val="20"/>
          <w:szCs w:val="20"/>
        </w:rPr>
      </w:pPr>
    </w:p>
    <w:p w:rsidR="007A6253" w:rsidRDefault="007A6253" w:rsidP="00187185">
      <w:pPr>
        <w:rPr>
          <w:rFonts w:ascii="Futura Light" w:hAnsi="Futura Light"/>
          <w:sz w:val="20"/>
          <w:szCs w:val="20"/>
        </w:rPr>
      </w:pPr>
    </w:p>
    <w:p w:rsidR="007A6253" w:rsidRDefault="007A6253" w:rsidP="00187185">
      <w:pPr>
        <w:rPr>
          <w:rFonts w:ascii="Futura Light" w:hAnsi="Futura Light"/>
          <w:sz w:val="20"/>
          <w:szCs w:val="20"/>
        </w:rPr>
      </w:pPr>
    </w:p>
    <w:p w:rsidR="007A6253" w:rsidRDefault="007A6253" w:rsidP="00187185">
      <w:pPr>
        <w:rPr>
          <w:rFonts w:ascii="Futura Light" w:hAnsi="Futura Light"/>
          <w:sz w:val="20"/>
          <w:szCs w:val="20"/>
        </w:rPr>
      </w:pPr>
    </w:p>
    <w:p w:rsidR="007A6253" w:rsidRDefault="007A6253" w:rsidP="00187185">
      <w:pPr>
        <w:rPr>
          <w:rFonts w:ascii="Futura Light" w:hAnsi="Futura Light"/>
          <w:sz w:val="20"/>
          <w:szCs w:val="20"/>
        </w:rPr>
      </w:pPr>
    </w:p>
    <w:p w:rsidR="007A6253" w:rsidRDefault="007A6253" w:rsidP="00187185">
      <w:pPr>
        <w:rPr>
          <w:rFonts w:ascii="Futura Light" w:hAnsi="Futura Light"/>
          <w:sz w:val="20"/>
          <w:szCs w:val="20"/>
        </w:rPr>
      </w:pPr>
      <w:bookmarkStart w:id="0" w:name="_GoBack"/>
      <w:bookmarkEnd w:id="0"/>
    </w:p>
    <w:p w:rsidR="00323E78" w:rsidRDefault="00323E78" w:rsidP="00187185">
      <w:pPr>
        <w:rPr>
          <w:rFonts w:ascii="Futura Light" w:hAnsi="Futura Light"/>
          <w:sz w:val="20"/>
          <w:szCs w:val="20"/>
        </w:rPr>
      </w:pPr>
      <w:bookmarkStart w:id="1" w:name="OpenAt"/>
      <w:bookmarkEnd w:id="1"/>
    </w:p>
    <w:p w:rsidR="00187185" w:rsidRDefault="00187185" w:rsidP="00187185">
      <w:pPr>
        <w:rPr>
          <w:rFonts w:ascii="Futura Light" w:hAnsi="Futura Light"/>
          <w:sz w:val="20"/>
          <w:szCs w:val="20"/>
        </w:rPr>
      </w:pPr>
      <w:r w:rsidRPr="00CF5A81">
        <w:rPr>
          <w:rFonts w:ascii="Futura Light" w:hAnsi="Futura Light"/>
          <w:sz w:val="20"/>
          <w:szCs w:val="20"/>
        </w:rPr>
        <w:t>Registered in England and Wales number 4366849</w:t>
      </w:r>
      <w:r w:rsidRPr="00CF5A81">
        <w:rPr>
          <w:rFonts w:ascii="Futura Light" w:hAnsi="Futura Light"/>
          <w:sz w:val="20"/>
          <w:szCs w:val="20"/>
        </w:rPr>
        <w:br/>
      </w:r>
      <w:r>
        <w:rPr>
          <w:rFonts w:ascii="Futura Light" w:hAnsi="Futura Light"/>
          <w:sz w:val="20"/>
          <w:szCs w:val="20"/>
        </w:rPr>
        <w:t>R</w:t>
      </w:r>
      <w:r w:rsidRPr="00CF5A81">
        <w:rPr>
          <w:rFonts w:ascii="Futura Light" w:hAnsi="Futura Light"/>
          <w:sz w:val="20"/>
          <w:szCs w:val="20"/>
        </w:rPr>
        <w:t xml:space="preserve">egistered office: Shell Centre London SE1 7NA. Headquarters: Carel van Bylandtlaan 30, 2596 HR </w:t>
      </w:r>
    </w:p>
    <w:p w:rsidR="0093537A" w:rsidRPr="00CF5A81" w:rsidRDefault="00187185" w:rsidP="00187185">
      <w:pPr>
        <w:rPr>
          <w:rFonts w:ascii="Futura Light" w:hAnsi="Futura Light"/>
          <w:sz w:val="20"/>
          <w:szCs w:val="20"/>
        </w:rPr>
      </w:pPr>
      <w:r w:rsidRPr="00CF5A81">
        <w:rPr>
          <w:rFonts w:ascii="Futura Light" w:hAnsi="Futura Light"/>
          <w:sz w:val="20"/>
          <w:szCs w:val="20"/>
        </w:rPr>
        <w:t>The Hague, The Netherlands</w:t>
      </w:r>
      <w:r w:rsidR="000D5992" w:rsidRPr="00CF5A81">
        <w:rPr>
          <w:sz w:val="20"/>
          <w:szCs w:val="20"/>
        </w:rPr>
        <w:t xml:space="preserve"> </w:t>
      </w:r>
    </w:p>
    <w:sectPr w:rsidR="0093537A" w:rsidRPr="00CF5A81" w:rsidSect="00736A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648" w:rsidRDefault="00B33648" w:rsidP="0045468C">
      <w:r>
        <w:separator/>
      </w:r>
    </w:p>
  </w:endnote>
  <w:endnote w:type="continuationSeparator" w:id="0">
    <w:p w:rsidR="00B33648" w:rsidRDefault="00B33648" w:rsidP="00454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Ligh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648" w:rsidRDefault="00B33648" w:rsidP="0045468C">
      <w:r>
        <w:separator/>
      </w:r>
    </w:p>
  </w:footnote>
  <w:footnote w:type="continuationSeparator" w:id="0">
    <w:p w:rsidR="00B33648" w:rsidRDefault="00B33648" w:rsidP="004546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4A8"/>
    <w:rsid w:val="00007BC1"/>
    <w:rsid w:val="00013168"/>
    <w:rsid w:val="000144FD"/>
    <w:rsid w:val="00024412"/>
    <w:rsid w:val="00051E3C"/>
    <w:rsid w:val="000772EB"/>
    <w:rsid w:val="00096430"/>
    <w:rsid w:val="000D5992"/>
    <w:rsid w:val="000D5D7B"/>
    <w:rsid w:val="001353E6"/>
    <w:rsid w:val="001372E6"/>
    <w:rsid w:val="0013788B"/>
    <w:rsid w:val="00146982"/>
    <w:rsid w:val="00187185"/>
    <w:rsid w:val="00197994"/>
    <w:rsid w:val="001E243E"/>
    <w:rsid w:val="001F310E"/>
    <w:rsid w:val="0022218A"/>
    <w:rsid w:val="00226422"/>
    <w:rsid w:val="002479C3"/>
    <w:rsid w:val="00254816"/>
    <w:rsid w:val="002863F6"/>
    <w:rsid w:val="002A6FF4"/>
    <w:rsid w:val="00323E78"/>
    <w:rsid w:val="003304E6"/>
    <w:rsid w:val="003567AD"/>
    <w:rsid w:val="00356EC9"/>
    <w:rsid w:val="003645FE"/>
    <w:rsid w:val="0039167F"/>
    <w:rsid w:val="003F5F57"/>
    <w:rsid w:val="004401E8"/>
    <w:rsid w:val="004457A6"/>
    <w:rsid w:val="0045468C"/>
    <w:rsid w:val="004865FC"/>
    <w:rsid w:val="00493F76"/>
    <w:rsid w:val="004C4351"/>
    <w:rsid w:val="00503C8C"/>
    <w:rsid w:val="00534A30"/>
    <w:rsid w:val="005824A8"/>
    <w:rsid w:val="005F4950"/>
    <w:rsid w:val="006B3130"/>
    <w:rsid w:val="00736AB6"/>
    <w:rsid w:val="00744E35"/>
    <w:rsid w:val="00795425"/>
    <w:rsid w:val="007A3B4F"/>
    <w:rsid w:val="007A6253"/>
    <w:rsid w:val="007E09EE"/>
    <w:rsid w:val="007F598F"/>
    <w:rsid w:val="00800E7C"/>
    <w:rsid w:val="00801E69"/>
    <w:rsid w:val="00807F7E"/>
    <w:rsid w:val="00894727"/>
    <w:rsid w:val="008E188C"/>
    <w:rsid w:val="008E5623"/>
    <w:rsid w:val="008E6112"/>
    <w:rsid w:val="0091017B"/>
    <w:rsid w:val="0093537A"/>
    <w:rsid w:val="00977B2A"/>
    <w:rsid w:val="00991F03"/>
    <w:rsid w:val="009A7545"/>
    <w:rsid w:val="009C7FEE"/>
    <w:rsid w:val="00A7452F"/>
    <w:rsid w:val="00AD22C4"/>
    <w:rsid w:val="00AD2496"/>
    <w:rsid w:val="00AE1E12"/>
    <w:rsid w:val="00B211E9"/>
    <w:rsid w:val="00B33648"/>
    <w:rsid w:val="00BC1024"/>
    <w:rsid w:val="00BD003D"/>
    <w:rsid w:val="00BF2CC7"/>
    <w:rsid w:val="00C30946"/>
    <w:rsid w:val="00C6323B"/>
    <w:rsid w:val="00C75BB2"/>
    <w:rsid w:val="00C903BF"/>
    <w:rsid w:val="00CA213B"/>
    <w:rsid w:val="00CC0A68"/>
    <w:rsid w:val="00CC74FA"/>
    <w:rsid w:val="00CE0C6C"/>
    <w:rsid w:val="00CF5A81"/>
    <w:rsid w:val="00D22151"/>
    <w:rsid w:val="00D47519"/>
    <w:rsid w:val="00D7165E"/>
    <w:rsid w:val="00DB1B6A"/>
    <w:rsid w:val="00DD2FAB"/>
    <w:rsid w:val="00E04E7B"/>
    <w:rsid w:val="00E231A7"/>
    <w:rsid w:val="00E334E0"/>
    <w:rsid w:val="00E418CE"/>
    <w:rsid w:val="00E84E28"/>
    <w:rsid w:val="00EB0AE0"/>
    <w:rsid w:val="00EB4334"/>
    <w:rsid w:val="00EE35DF"/>
    <w:rsid w:val="00F46DD9"/>
    <w:rsid w:val="00FF5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EAE7B90"/>
  <w15:docId w15:val="{8526CDF9-20D8-411E-AD92-05E581C9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ind w:left="567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24A8"/>
    <w:pPr>
      <w:ind w:left="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4546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468C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4546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468C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B4334"/>
  </w:style>
  <w:style w:type="character" w:customStyle="1" w:styleId="DateChar">
    <w:name w:val="Date Char"/>
    <w:basedOn w:val="DefaultParagraphFont"/>
    <w:link w:val="Date"/>
    <w:uiPriority w:val="99"/>
    <w:semiHidden/>
    <w:rsid w:val="00EB4334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44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44FD"/>
    <w:rPr>
      <w:rFonts w:ascii="Tahoma" w:eastAsia="Times New Roman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807F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39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911</Words>
  <Characters>5198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Shell</Company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m.edwards</dc:creator>
  <cp:lastModifiedBy>Edwards, Mark SI-LSC/R</cp:lastModifiedBy>
  <cp:revision>8</cp:revision>
  <cp:lastPrinted>2017-05-24T13:48:00Z</cp:lastPrinted>
  <dcterms:created xsi:type="dcterms:W3CDTF">2018-05-23T10:55:00Z</dcterms:created>
  <dcterms:modified xsi:type="dcterms:W3CDTF">2018-05-23T11:56:00Z</dcterms:modified>
</cp:coreProperties>
</file>