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EB21A" w14:textId="7479341C" w:rsidR="00504B9A" w:rsidRPr="00675508" w:rsidRDefault="00B465C4" w:rsidP="00B465C4">
      <w:pPr>
        <w:rPr>
          <w:rFonts w:ascii="Garamond" w:hAnsi="Garamond" w:cstheme="minorHAnsi"/>
          <w:b/>
          <w:sz w:val="28"/>
        </w:rPr>
      </w:pPr>
      <w:bookmarkStart w:id="0" w:name="_GoBack"/>
      <w:bookmarkEnd w:id="0"/>
      <w:r w:rsidRPr="00675508">
        <w:rPr>
          <w:rFonts w:ascii="Garamond" w:hAnsi="Garamond" w:cstheme="minorHAnsi"/>
          <w:b/>
          <w:sz w:val="28"/>
        </w:rPr>
        <w:t>Management Day 2019:  Shell</w:t>
      </w:r>
      <w:r w:rsidR="006E1720" w:rsidRPr="00675508">
        <w:rPr>
          <w:rFonts w:ascii="Garamond" w:hAnsi="Garamond" w:cstheme="minorHAnsi"/>
          <w:b/>
          <w:sz w:val="28"/>
        </w:rPr>
        <w:t>,</w:t>
      </w:r>
      <w:r w:rsidRPr="00675508">
        <w:rPr>
          <w:rFonts w:ascii="Garamond" w:hAnsi="Garamond" w:cstheme="minorHAnsi"/>
          <w:b/>
          <w:sz w:val="28"/>
        </w:rPr>
        <w:t xml:space="preserve"> </w:t>
      </w:r>
      <w:r w:rsidR="00CB187F" w:rsidRPr="00675508">
        <w:rPr>
          <w:rFonts w:ascii="Garamond" w:hAnsi="Garamond" w:cstheme="minorHAnsi"/>
          <w:b/>
          <w:sz w:val="28"/>
        </w:rPr>
        <w:t xml:space="preserve">strongly </w:t>
      </w:r>
      <w:r w:rsidR="00AF6633" w:rsidRPr="00675508">
        <w:rPr>
          <w:rFonts w:ascii="Garamond" w:hAnsi="Garamond" w:cstheme="minorHAnsi"/>
          <w:b/>
          <w:sz w:val="28"/>
        </w:rPr>
        <w:t>positioned fo</w:t>
      </w:r>
      <w:r w:rsidR="00446B88" w:rsidRPr="00675508">
        <w:rPr>
          <w:rFonts w:ascii="Garamond" w:hAnsi="Garamond" w:cstheme="minorHAnsi"/>
          <w:b/>
          <w:sz w:val="28"/>
        </w:rPr>
        <w:t>r the</w:t>
      </w:r>
      <w:r w:rsidR="00AF6633" w:rsidRPr="00675508">
        <w:rPr>
          <w:rFonts w:ascii="Garamond" w:hAnsi="Garamond" w:cstheme="minorHAnsi"/>
          <w:b/>
          <w:sz w:val="28"/>
        </w:rPr>
        <w:t xml:space="preserve"> future of energy</w:t>
      </w:r>
      <w:r w:rsidR="006E1720" w:rsidRPr="00675508">
        <w:rPr>
          <w:rFonts w:ascii="Garamond" w:hAnsi="Garamond" w:cstheme="minorHAnsi"/>
          <w:b/>
          <w:sz w:val="28"/>
        </w:rPr>
        <w:t>,</w:t>
      </w:r>
      <w:r w:rsidR="00AF6633" w:rsidRPr="00675508">
        <w:rPr>
          <w:rFonts w:ascii="Garamond" w:hAnsi="Garamond" w:cstheme="minorHAnsi"/>
          <w:b/>
          <w:sz w:val="28"/>
        </w:rPr>
        <w:t xml:space="preserve"> </w:t>
      </w:r>
      <w:r w:rsidR="00121EEA" w:rsidRPr="00675508">
        <w:rPr>
          <w:rFonts w:ascii="Garamond" w:hAnsi="Garamond" w:cstheme="minorHAnsi"/>
          <w:b/>
          <w:sz w:val="28"/>
        </w:rPr>
        <w:t xml:space="preserve">provides </w:t>
      </w:r>
      <w:r w:rsidRPr="00675508">
        <w:rPr>
          <w:rFonts w:ascii="Garamond" w:hAnsi="Garamond" w:cstheme="minorHAnsi"/>
          <w:b/>
          <w:sz w:val="28"/>
        </w:rPr>
        <w:t xml:space="preserve">strategy </w:t>
      </w:r>
      <w:r w:rsidR="00446B88" w:rsidRPr="00675508">
        <w:rPr>
          <w:rFonts w:ascii="Garamond" w:hAnsi="Garamond" w:cstheme="minorHAnsi"/>
          <w:b/>
          <w:sz w:val="28"/>
        </w:rPr>
        <w:t xml:space="preserve">update </w:t>
      </w:r>
      <w:r w:rsidRPr="00675508">
        <w:rPr>
          <w:rFonts w:ascii="Garamond" w:hAnsi="Garamond" w:cstheme="minorHAnsi"/>
          <w:b/>
          <w:sz w:val="28"/>
        </w:rPr>
        <w:t>and financial outlook to 2025</w:t>
      </w:r>
    </w:p>
    <w:p w14:paraId="67092A95" w14:textId="0702D4EC" w:rsidR="009A0E7A" w:rsidRPr="00675508" w:rsidRDefault="009A0E7A" w:rsidP="009A0E7A">
      <w:pPr>
        <w:pStyle w:val="ListParagraph"/>
        <w:numPr>
          <w:ilvl w:val="0"/>
          <w:numId w:val="1"/>
        </w:numPr>
        <w:rPr>
          <w:rFonts w:ascii="Garamond" w:hAnsi="Garamond" w:cstheme="minorHAnsi"/>
        </w:rPr>
      </w:pPr>
      <w:r w:rsidRPr="00675508">
        <w:rPr>
          <w:rFonts w:ascii="Garamond" w:hAnsi="Garamond" w:cstheme="minorHAnsi"/>
        </w:rPr>
        <w:t>Shell refreshes strategy for the energy future as it builds on strong foundation</w:t>
      </w:r>
    </w:p>
    <w:p w14:paraId="689E18F2" w14:textId="2CAA9A5B" w:rsidR="00C14B24" w:rsidRPr="00675508" w:rsidRDefault="00446B88" w:rsidP="00C14B24">
      <w:pPr>
        <w:pStyle w:val="ListParagraph"/>
        <w:numPr>
          <w:ilvl w:val="0"/>
          <w:numId w:val="1"/>
        </w:numPr>
        <w:rPr>
          <w:rFonts w:ascii="Garamond" w:hAnsi="Garamond" w:cstheme="minorHAnsi"/>
        </w:rPr>
      </w:pPr>
      <w:r w:rsidRPr="00675508">
        <w:rPr>
          <w:rFonts w:ascii="Garamond" w:hAnsi="Garamond" w:cstheme="minorHAnsi"/>
        </w:rPr>
        <w:t xml:space="preserve">The company </w:t>
      </w:r>
      <w:r w:rsidR="006D6A07" w:rsidRPr="00675508">
        <w:rPr>
          <w:rFonts w:ascii="Garamond" w:hAnsi="Garamond" w:cstheme="minorHAnsi"/>
        </w:rPr>
        <w:t xml:space="preserve">is on track to deliver on its 2020 </w:t>
      </w:r>
      <w:r w:rsidR="006E1720" w:rsidRPr="00675508">
        <w:rPr>
          <w:rFonts w:ascii="Garamond" w:hAnsi="Garamond" w:cstheme="minorHAnsi"/>
        </w:rPr>
        <w:t>commitments</w:t>
      </w:r>
      <w:r w:rsidR="00A7557A" w:rsidRPr="00675508">
        <w:rPr>
          <w:rFonts w:ascii="Garamond" w:hAnsi="Garamond" w:cstheme="minorHAnsi"/>
        </w:rPr>
        <w:t>; now</w:t>
      </w:r>
      <w:r w:rsidR="00541552" w:rsidRPr="00675508">
        <w:rPr>
          <w:rFonts w:ascii="Garamond" w:hAnsi="Garamond" w:cstheme="minorHAnsi"/>
        </w:rPr>
        <w:t xml:space="preserve"> increases</w:t>
      </w:r>
      <w:r w:rsidR="000E4072" w:rsidRPr="00675508">
        <w:rPr>
          <w:rFonts w:ascii="Garamond" w:hAnsi="Garamond" w:cstheme="minorHAnsi"/>
        </w:rPr>
        <w:t xml:space="preserve"> organic free</w:t>
      </w:r>
      <w:r w:rsidR="00541552" w:rsidRPr="00675508">
        <w:rPr>
          <w:rFonts w:ascii="Garamond" w:hAnsi="Garamond" w:cstheme="minorHAnsi"/>
        </w:rPr>
        <w:t xml:space="preserve"> cash flow outlook to </w:t>
      </w:r>
      <w:r w:rsidR="000E4072" w:rsidRPr="00675508">
        <w:rPr>
          <w:rFonts w:ascii="Garamond" w:hAnsi="Garamond" w:cstheme="minorHAnsi"/>
        </w:rPr>
        <w:t xml:space="preserve">around </w:t>
      </w:r>
      <w:r w:rsidR="00541552" w:rsidRPr="00675508">
        <w:rPr>
          <w:rFonts w:ascii="Garamond" w:hAnsi="Garamond" w:cstheme="minorHAnsi"/>
        </w:rPr>
        <w:t>$35 billion</w:t>
      </w:r>
      <w:r w:rsidR="00C14B24" w:rsidRPr="00675508">
        <w:rPr>
          <w:rFonts w:ascii="Garamond" w:hAnsi="Garamond" w:cstheme="minorHAnsi"/>
        </w:rPr>
        <w:t xml:space="preserve"> </w:t>
      </w:r>
      <w:r w:rsidR="003D465F" w:rsidRPr="00675508">
        <w:rPr>
          <w:rFonts w:ascii="Garamond" w:hAnsi="Garamond" w:cstheme="minorHAnsi"/>
        </w:rPr>
        <w:t>for</w:t>
      </w:r>
      <w:r w:rsidR="000E4072" w:rsidRPr="00675508">
        <w:rPr>
          <w:rFonts w:ascii="Garamond" w:hAnsi="Garamond" w:cstheme="minorHAnsi"/>
        </w:rPr>
        <w:t xml:space="preserve"> 2025</w:t>
      </w:r>
      <w:r w:rsidR="00A7557A" w:rsidRPr="00675508">
        <w:rPr>
          <w:rFonts w:ascii="Garamond" w:hAnsi="Garamond" w:cstheme="minorHAnsi"/>
        </w:rPr>
        <w:t xml:space="preserve"> </w:t>
      </w:r>
      <w:r w:rsidR="00C14B24" w:rsidRPr="00675508">
        <w:rPr>
          <w:rFonts w:ascii="Garamond" w:hAnsi="Garamond" w:cstheme="minorHAnsi"/>
        </w:rPr>
        <w:t>at $60 per barrel (real terms, 201</w:t>
      </w:r>
      <w:r w:rsidR="00B46D80" w:rsidRPr="00675508">
        <w:rPr>
          <w:rFonts w:ascii="Garamond" w:hAnsi="Garamond" w:cstheme="minorHAnsi"/>
        </w:rPr>
        <w:t>6</w:t>
      </w:r>
      <w:r w:rsidR="00C14B24" w:rsidRPr="00675508">
        <w:rPr>
          <w:rFonts w:ascii="Garamond" w:hAnsi="Garamond" w:cstheme="minorHAnsi"/>
        </w:rPr>
        <w:t>)</w:t>
      </w:r>
    </w:p>
    <w:p w14:paraId="4590AECC" w14:textId="0EB408D3" w:rsidR="009A0E7A" w:rsidRPr="00675508" w:rsidRDefault="009A0E7A" w:rsidP="009A0E7A">
      <w:pPr>
        <w:pStyle w:val="ListParagraph"/>
        <w:numPr>
          <w:ilvl w:val="0"/>
          <w:numId w:val="1"/>
        </w:numPr>
        <w:rPr>
          <w:rFonts w:ascii="Garamond" w:hAnsi="Garamond" w:cstheme="minorHAnsi"/>
        </w:rPr>
      </w:pPr>
      <w:r w:rsidRPr="00675508">
        <w:rPr>
          <w:rFonts w:ascii="Garamond" w:hAnsi="Garamond" w:cstheme="minorHAnsi"/>
        </w:rPr>
        <w:t xml:space="preserve">Shell’s expected cash delivery </w:t>
      </w:r>
      <w:r w:rsidR="006E1720" w:rsidRPr="00675508">
        <w:rPr>
          <w:rFonts w:ascii="Garamond" w:hAnsi="Garamond" w:cstheme="minorHAnsi"/>
        </w:rPr>
        <w:t>creates</w:t>
      </w:r>
      <w:r w:rsidRPr="00675508">
        <w:rPr>
          <w:rFonts w:ascii="Garamond" w:hAnsi="Garamond" w:cstheme="minorHAnsi"/>
        </w:rPr>
        <w:t xml:space="preserve"> the potential to distribute $125 billion </w:t>
      </w:r>
      <w:r w:rsidR="00504B9A" w:rsidRPr="00675508">
        <w:rPr>
          <w:rFonts w:ascii="Garamond" w:hAnsi="Garamond" w:cstheme="minorHAnsi"/>
        </w:rPr>
        <w:t xml:space="preserve">or more </w:t>
      </w:r>
      <w:r w:rsidRPr="00675508">
        <w:rPr>
          <w:rFonts w:ascii="Garamond" w:hAnsi="Garamond" w:cstheme="minorHAnsi"/>
        </w:rPr>
        <w:t>to shareholders (dividend</w:t>
      </w:r>
      <w:r w:rsidR="00092E24" w:rsidRPr="00675508">
        <w:rPr>
          <w:rFonts w:ascii="Garamond" w:hAnsi="Garamond" w:cstheme="minorHAnsi"/>
        </w:rPr>
        <w:t>s</w:t>
      </w:r>
      <w:r w:rsidRPr="00675508">
        <w:rPr>
          <w:rFonts w:ascii="Garamond" w:hAnsi="Garamond" w:cstheme="minorHAnsi"/>
        </w:rPr>
        <w:t xml:space="preserve"> and share buybacks) over the </w:t>
      </w:r>
      <w:r w:rsidR="00396E07" w:rsidRPr="00675508">
        <w:rPr>
          <w:rFonts w:ascii="Garamond" w:hAnsi="Garamond" w:cstheme="minorHAnsi"/>
        </w:rPr>
        <w:t>five-year</w:t>
      </w:r>
      <w:r w:rsidRPr="00675508">
        <w:rPr>
          <w:rFonts w:ascii="Garamond" w:hAnsi="Garamond" w:cstheme="minorHAnsi"/>
        </w:rPr>
        <w:t xml:space="preserve"> period of 2021-2025</w:t>
      </w:r>
    </w:p>
    <w:p w14:paraId="2BC34E36" w14:textId="77777777" w:rsidR="00675508" w:rsidRPr="00675508" w:rsidRDefault="00675508" w:rsidP="00675508">
      <w:pPr>
        <w:pStyle w:val="ListParagraph"/>
        <w:rPr>
          <w:rFonts w:ascii="Garamond" w:hAnsi="Garamond" w:cstheme="minorHAnsi"/>
        </w:rPr>
      </w:pPr>
    </w:p>
    <w:p w14:paraId="47E442EA" w14:textId="45DBE2C9" w:rsidR="00B465C4" w:rsidRPr="00675508" w:rsidRDefault="00121EEA" w:rsidP="00B465C4">
      <w:pPr>
        <w:rPr>
          <w:rFonts w:ascii="Garamond" w:hAnsi="Garamond" w:cstheme="minorHAnsi"/>
        </w:rPr>
      </w:pPr>
      <w:r w:rsidRPr="00675508">
        <w:rPr>
          <w:rFonts w:ascii="Garamond" w:hAnsi="Garamond" w:cstheme="minorHAnsi"/>
          <w:b/>
        </w:rPr>
        <w:t xml:space="preserve">LONDON, June 4, 2019 - </w:t>
      </w:r>
      <w:r w:rsidR="00B465C4" w:rsidRPr="00675508">
        <w:rPr>
          <w:rFonts w:ascii="Garamond" w:hAnsi="Garamond" w:cstheme="minorHAnsi"/>
        </w:rPr>
        <w:t>Royal Dutch Shell plc (Shell)</w:t>
      </w:r>
      <w:r w:rsidR="00145561" w:rsidRPr="00675508">
        <w:rPr>
          <w:rFonts w:ascii="Garamond" w:hAnsi="Garamond" w:cstheme="minorHAnsi"/>
        </w:rPr>
        <w:t xml:space="preserve"> </w:t>
      </w:r>
      <w:r w:rsidR="00B465C4" w:rsidRPr="00675508">
        <w:rPr>
          <w:rFonts w:ascii="Garamond" w:hAnsi="Garamond" w:cstheme="minorHAnsi"/>
        </w:rPr>
        <w:t>today update</w:t>
      </w:r>
      <w:r w:rsidR="000E4072" w:rsidRPr="00675508">
        <w:rPr>
          <w:rFonts w:ascii="Garamond" w:hAnsi="Garamond" w:cstheme="minorHAnsi"/>
        </w:rPr>
        <w:t>s</w:t>
      </w:r>
      <w:r w:rsidR="00B465C4" w:rsidRPr="00675508">
        <w:rPr>
          <w:rFonts w:ascii="Garamond" w:hAnsi="Garamond" w:cstheme="minorHAnsi"/>
        </w:rPr>
        <w:t xml:space="preserve"> investors </w:t>
      </w:r>
      <w:r w:rsidRPr="00675508">
        <w:rPr>
          <w:rFonts w:ascii="Garamond" w:hAnsi="Garamond" w:cstheme="minorHAnsi"/>
        </w:rPr>
        <w:t xml:space="preserve">on the company’s strategy, setting out </w:t>
      </w:r>
      <w:r w:rsidR="00541552" w:rsidRPr="00675508">
        <w:rPr>
          <w:rFonts w:ascii="Garamond" w:hAnsi="Garamond" w:cstheme="minorHAnsi"/>
        </w:rPr>
        <w:t xml:space="preserve">a </w:t>
      </w:r>
      <w:r w:rsidR="00A7557A" w:rsidRPr="00675508">
        <w:rPr>
          <w:rFonts w:ascii="Garamond" w:hAnsi="Garamond" w:cstheme="minorHAnsi"/>
        </w:rPr>
        <w:t>compelling</w:t>
      </w:r>
      <w:r w:rsidR="00541552" w:rsidRPr="00675508">
        <w:rPr>
          <w:rFonts w:ascii="Garamond" w:hAnsi="Garamond" w:cstheme="minorHAnsi"/>
        </w:rPr>
        <w:t xml:space="preserve"> </w:t>
      </w:r>
      <w:r w:rsidR="005D3CB4" w:rsidRPr="00675508">
        <w:rPr>
          <w:rFonts w:ascii="Garamond" w:hAnsi="Garamond" w:cstheme="minorHAnsi"/>
        </w:rPr>
        <w:t xml:space="preserve">financial </w:t>
      </w:r>
      <w:r w:rsidR="00DB74C8" w:rsidRPr="00675508">
        <w:rPr>
          <w:rFonts w:ascii="Garamond" w:hAnsi="Garamond" w:cstheme="minorHAnsi"/>
        </w:rPr>
        <w:t>outlook to</w:t>
      </w:r>
      <w:r w:rsidR="008D4B49" w:rsidRPr="00675508">
        <w:rPr>
          <w:rFonts w:ascii="Garamond" w:hAnsi="Garamond" w:cstheme="minorHAnsi"/>
        </w:rPr>
        <w:t xml:space="preserve"> 2025</w:t>
      </w:r>
      <w:r w:rsidR="005D3CB4" w:rsidRPr="00675508">
        <w:rPr>
          <w:rFonts w:ascii="Garamond" w:hAnsi="Garamond" w:cstheme="minorHAnsi"/>
        </w:rPr>
        <w:t xml:space="preserve"> and building on</w:t>
      </w:r>
      <w:r w:rsidR="00504B9A" w:rsidRPr="00675508">
        <w:rPr>
          <w:rFonts w:ascii="Garamond" w:hAnsi="Garamond" w:cstheme="minorHAnsi"/>
        </w:rPr>
        <w:t xml:space="preserve"> a</w:t>
      </w:r>
      <w:r w:rsidR="005D3CB4" w:rsidRPr="00675508">
        <w:rPr>
          <w:rFonts w:ascii="Garamond" w:hAnsi="Garamond" w:cstheme="minorHAnsi"/>
        </w:rPr>
        <w:t xml:space="preserve"> strong foundation that </w:t>
      </w:r>
      <w:r w:rsidR="00A7557A" w:rsidRPr="00675508">
        <w:rPr>
          <w:rFonts w:ascii="Garamond" w:hAnsi="Garamond" w:cstheme="minorHAnsi"/>
        </w:rPr>
        <w:t>will</w:t>
      </w:r>
      <w:r w:rsidR="005D3CB4" w:rsidRPr="00675508">
        <w:rPr>
          <w:rFonts w:ascii="Garamond" w:hAnsi="Garamond" w:cstheme="minorHAnsi"/>
        </w:rPr>
        <w:t xml:space="preserve"> enable it to thrive through the transition to a lower-carbon energy system.</w:t>
      </w:r>
      <w:r w:rsidR="008D4B49" w:rsidRPr="00675508">
        <w:rPr>
          <w:rFonts w:ascii="Garamond" w:hAnsi="Garamond" w:cstheme="minorHAnsi"/>
        </w:rPr>
        <w:t xml:space="preserve"> </w:t>
      </w:r>
    </w:p>
    <w:p w14:paraId="11BB730C" w14:textId="49D00090" w:rsidR="009B506C" w:rsidRPr="00675508" w:rsidRDefault="008E4381" w:rsidP="00E348F1">
      <w:pPr>
        <w:rPr>
          <w:rFonts w:ascii="Garamond" w:hAnsi="Garamond" w:cstheme="minorHAnsi"/>
        </w:rPr>
      </w:pPr>
      <w:r w:rsidRPr="00675508">
        <w:rPr>
          <w:rFonts w:ascii="Garamond" w:hAnsi="Garamond" w:cstheme="minorHAnsi"/>
        </w:rPr>
        <w:t>“We have reshape</w:t>
      </w:r>
      <w:r w:rsidR="003D465F" w:rsidRPr="00675508">
        <w:rPr>
          <w:rFonts w:ascii="Garamond" w:hAnsi="Garamond" w:cstheme="minorHAnsi"/>
        </w:rPr>
        <w:t>d</w:t>
      </w:r>
      <w:r w:rsidRPr="00675508">
        <w:rPr>
          <w:rFonts w:ascii="Garamond" w:hAnsi="Garamond" w:cstheme="minorHAnsi"/>
        </w:rPr>
        <w:t xml:space="preserve"> our company with a focus on value and have demonstrated a clear track record </w:t>
      </w:r>
      <w:r w:rsidR="00504B9A" w:rsidRPr="00675508">
        <w:rPr>
          <w:rFonts w:ascii="Garamond" w:hAnsi="Garamond" w:cstheme="minorHAnsi"/>
        </w:rPr>
        <w:t xml:space="preserve">of </w:t>
      </w:r>
      <w:r w:rsidRPr="00675508">
        <w:rPr>
          <w:rFonts w:ascii="Garamond" w:hAnsi="Garamond" w:cstheme="minorHAnsi"/>
        </w:rPr>
        <w:t xml:space="preserve">delivering on </w:t>
      </w:r>
      <w:r w:rsidR="004F44BB" w:rsidRPr="00675508">
        <w:rPr>
          <w:rFonts w:ascii="Garamond" w:hAnsi="Garamond" w:cstheme="minorHAnsi"/>
        </w:rPr>
        <w:t xml:space="preserve">our ambitious </w:t>
      </w:r>
      <w:r w:rsidRPr="00675508">
        <w:rPr>
          <w:rFonts w:ascii="Garamond" w:hAnsi="Garamond" w:cstheme="minorHAnsi"/>
        </w:rPr>
        <w:t xml:space="preserve">promises made at our Management Day in November 2017,” said Royal Dutch Shell plc Chief Executive Officer, Ben van Beurden.  </w:t>
      </w:r>
      <w:r w:rsidR="003C349B" w:rsidRPr="00675508">
        <w:rPr>
          <w:rFonts w:ascii="Garamond" w:hAnsi="Garamond" w:cstheme="minorHAnsi"/>
        </w:rPr>
        <w:t>“</w:t>
      </w:r>
      <w:r w:rsidR="00E348F1" w:rsidRPr="00675508">
        <w:rPr>
          <w:rFonts w:ascii="Garamond" w:hAnsi="Garamond" w:cstheme="minorHAnsi"/>
        </w:rPr>
        <w:t xml:space="preserve">It is </w:t>
      </w:r>
      <w:r w:rsidR="004F44BB" w:rsidRPr="00675508">
        <w:rPr>
          <w:rFonts w:ascii="Garamond" w:hAnsi="Garamond" w:cstheme="minorHAnsi"/>
        </w:rPr>
        <w:t>the success of our strategy</w:t>
      </w:r>
      <w:r w:rsidR="00CE4AC1" w:rsidRPr="00675508">
        <w:rPr>
          <w:rFonts w:ascii="Garamond" w:hAnsi="Garamond" w:cstheme="minorHAnsi"/>
        </w:rPr>
        <w:t xml:space="preserve"> </w:t>
      </w:r>
      <w:r w:rsidR="004F44BB" w:rsidRPr="00675508">
        <w:rPr>
          <w:rFonts w:ascii="Garamond" w:hAnsi="Garamond" w:cstheme="minorHAnsi"/>
        </w:rPr>
        <w:t xml:space="preserve">and strength of </w:t>
      </w:r>
      <w:r w:rsidR="00E348F1" w:rsidRPr="00675508">
        <w:rPr>
          <w:rFonts w:ascii="Garamond" w:hAnsi="Garamond" w:cstheme="minorHAnsi"/>
        </w:rPr>
        <w:t xml:space="preserve">our delivery today that </w:t>
      </w:r>
      <w:r w:rsidR="00BA66B9" w:rsidRPr="00675508">
        <w:rPr>
          <w:rFonts w:ascii="Garamond" w:hAnsi="Garamond" w:cstheme="minorHAnsi"/>
        </w:rPr>
        <w:t xml:space="preserve">gives </w:t>
      </w:r>
      <w:r w:rsidR="00E348F1" w:rsidRPr="00675508">
        <w:rPr>
          <w:rFonts w:ascii="Garamond" w:hAnsi="Garamond" w:cstheme="minorHAnsi"/>
        </w:rPr>
        <w:t xml:space="preserve">us confidence </w:t>
      </w:r>
      <w:r w:rsidR="00BA66B9" w:rsidRPr="00675508">
        <w:rPr>
          <w:rFonts w:ascii="Garamond" w:hAnsi="Garamond" w:cstheme="minorHAnsi"/>
        </w:rPr>
        <w:t xml:space="preserve">for </w:t>
      </w:r>
      <w:r w:rsidR="00E348F1" w:rsidRPr="00675508">
        <w:rPr>
          <w:rFonts w:ascii="Garamond" w:hAnsi="Garamond" w:cstheme="minorHAnsi"/>
        </w:rPr>
        <w:t>the future</w:t>
      </w:r>
      <w:r w:rsidRPr="00675508">
        <w:rPr>
          <w:rFonts w:ascii="Garamond" w:hAnsi="Garamond" w:cstheme="minorHAnsi"/>
        </w:rPr>
        <w:t>.</w:t>
      </w:r>
      <w:r w:rsidR="003C349B" w:rsidRPr="00675508">
        <w:rPr>
          <w:rFonts w:ascii="Garamond" w:hAnsi="Garamond" w:cstheme="minorHAnsi"/>
        </w:rPr>
        <w:t>”</w:t>
      </w:r>
      <w:r w:rsidR="00E348F1" w:rsidRPr="00675508">
        <w:rPr>
          <w:rFonts w:ascii="Garamond" w:hAnsi="Garamond" w:cstheme="minorHAnsi"/>
        </w:rPr>
        <w:t xml:space="preserve"> </w:t>
      </w:r>
    </w:p>
    <w:p w14:paraId="36BACABF" w14:textId="510F6BD9" w:rsidR="009B506C" w:rsidRPr="00675508" w:rsidRDefault="009B506C" w:rsidP="00E348F1">
      <w:pPr>
        <w:rPr>
          <w:rFonts w:ascii="Garamond" w:hAnsi="Garamond" w:cstheme="minorHAnsi"/>
        </w:rPr>
      </w:pPr>
      <w:r w:rsidRPr="00675508">
        <w:rPr>
          <w:rFonts w:ascii="Garamond" w:hAnsi="Garamond" w:cstheme="minorHAnsi"/>
        </w:rPr>
        <w:t xml:space="preserve">Van Beurden summed up the key points of the company’s update: “Increased organic free cash flow outlook, </w:t>
      </w:r>
      <w:r w:rsidR="00A7557A" w:rsidRPr="00675508">
        <w:rPr>
          <w:rFonts w:ascii="Garamond" w:hAnsi="Garamond" w:cstheme="minorHAnsi"/>
        </w:rPr>
        <w:t>greater</w:t>
      </w:r>
      <w:r w:rsidRPr="00675508">
        <w:rPr>
          <w:rFonts w:ascii="Garamond" w:hAnsi="Garamond" w:cstheme="minorHAnsi"/>
        </w:rPr>
        <w:t xml:space="preserve"> </w:t>
      </w:r>
      <w:r w:rsidR="008E4381" w:rsidRPr="00675508">
        <w:rPr>
          <w:rFonts w:ascii="Garamond" w:hAnsi="Garamond" w:cstheme="minorHAnsi"/>
        </w:rPr>
        <w:t xml:space="preserve">potential </w:t>
      </w:r>
      <w:r w:rsidRPr="00675508">
        <w:rPr>
          <w:rFonts w:ascii="Garamond" w:hAnsi="Garamond" w:cstheme="minorHAnsi"/>
        </w:rPr>
        <w:t>distribution</w:t>
      </w:r>
      <w:r w:rsidR="006E1720" w:rsidRPr="00675508">
        <w:rPr>
          <w:rFonts w:ascii="Garamond" w:hAnsi="Garamond" w:cstheme="minorHAnsi"/>
        </w:rPr>
        <w:t>s</w:t>
      </w:r>
      <w:r w:rsidR="000E4072" w:rsidRPr="00675508">
        <w:rPr>
          <w:rFonts w:ascii="Garamond" w:hAnsi="Garamond" w:cstheme="minorHAnsi"/>
        </w:rPr>
        <w:t xml:space="preserve"> </w:t>
      </w:r>
      <w:r w:rsidR="006E1720" w:rsidRPr="00675508">
        <w:rPr>
          <w:rFonts w:ascii="Garamond" w:hAnsi="Garamond" w:cstheme="minorHAnsi"/>
        </w:rPr>
        <w:t>to</w:t>
      </w:r>
      <w:r w:rsidR="008E4381" w:rsidRPr="00675508">
        <w:rPr>
          <w:rFonts w:ascii="Garamond" w:hAnsi="Garamond" w:cstheme="minorHAnsi"/>
        </w:rPr>
        <w:t xml:space="preserve"> </w:t>
      </w:r>
      <w:r w:rsidRPr="00675508">
        <w:rPr>
          <w:rFonts w:ascii="Garamond" w:hAnsi="Garamond" w:cstheme="minorHAnsi"/>
        </w:rPr>
        <w:t xml:space="preserve">shareholders and confidence </w:t>
      </w:r>
      <w:r w:rsidR="006E1720" w:rsidRPr="00675508">
        <w:rPr>
          <w:rFonts w:ascii="Garamond" w:hAnsi="Garamond" w:cstheme="minorHAnsi"/>
        </w:rPr>
        <w:t xml:space="preserve">in </w:t>
      </w:r>
      <w:r w:rsidR="007920FD" w:rsidRPr="00675508">
        <w:rPr>
          <w:rFonts w:ascii="Garamond" w:hAnsi="Garamond" w:cstheme="minorHAnsi"/>
        </w:rPr>
        <w:t>our</w:t>
      </w:r>
      <w:r w:rsidR="00337977" w:rsidRPr="00675508">
        <w:rPr>
          <w:rFonts w:ascii="Garamond" w:hAnsi="Garamond" w:cstheme="minorHAnsi"/>
        </w:rPr>
        <w:t xml:space="preserve"> world class investment case</w:t>
      </w:r>
      <w:r w:rsidR="006E1720" w:rsidRPr="00675508">
        <w:rPr>
          <w:rFonts w:ascii="Garamond" w:hAnsi="Garamond" w:cstheme="minorHAnsi"/>
        </w:rPr>
        <w:t xml:space="preserve"> given</w:t>
      </w:r>
      <w:r w:rsidR="00A7557A" w:rsidRPr="00675508">
        <w:rPr>
          <w:rFonts w:ascii="Garamond" w:hAnsi="Garamond" w:cstheme="minorHAnsi"/>
        </w:rPr>
        <w:t xml:space="preserve"> our high-</w:t>
      </w:r>
      <w:r w:rsidR="000E4072" w:rsidRPr="00675508">
        <w:rPr>
          <w:rFonts w:ascii="Garamond" w:hAnsi="Garamond" w:cstheme="minorHAnsi"/>
        </w:rPr>
        <w:t>margin</w:t>
      </w:r>
      <w:r w:rsidR="00A7557A" w:rsidRPr="00675508">
        <w:rPr>
          <w:rFonts w:ascii="Garamond" w:hAnsi="Garamond" w:cstheme="minorHAnsi"/>
        </w:rPr>
        <w:t xml:space="preserve"> portfolio</w:t>
      </w:r>
      <w:r w:rsidR="009A0E7A" w:rsidRPr="00675508">
        <w:rPr>
          <w:rFonts w:ascii="Garamond" w:hAnsi="Garamond" w:cstheme="minorHAnsi"/>
        </w:rPr>
        <w:t>, improving returns</w:t>
      </w:r>
      <w:r w:rsidR="00A7557A" w:rsidRPr="00675508">
        <w:rPr>
          <w:rFonts w:ascii="Garamond" w:hAnsi="Garamond" w:cstheme="minorHAnsi"/>
        </w:rPr>
        <w:t xml:space="preserve"> and </w:t>
      </w:r>
      <w:r w:rsidR="009C2C3A" w:rsidRPr="00675508">
        <w:rPr>
          <w:rFonts w:ascii="Garamond" w:hAnsi="Garamond" w:cstheme="minorHAnsi"/>
        </w:rPr>
        <w:t xml:space="preserve">a </w:t>
      </w:r>
      <w:r w:rsidR="00A7557A" w:rsidRPr="00675508">
        <w:rPr>
          <w:rFonts w:ascii="Garamond" w:hAnsi="Garamond" w:cstheme="minorHAnsi"/>
        </w:rPr>
        <w:t xml:space="preserve">globally </w:t>
      </w:r>
      <w:r w:rsidR="000E4072" w:rsidRPr="00675508">
        <w:rPr>
          <w:rFonts w:ascii="Garamond" w:hAnsi="Garamond" w:cstheme="minorHAnsi"/>
        </w:rPr>
        <w:t>recognised brand</w:t>
      </w:r>
      <w:r w:rsidRPr="00675508">
        <w:rPr>
          <w:rFonts w:ascii="Garamond" w:hAnsi="Garamond" w:cstheme="minorHAnsi"/>
        </w:rPr>
        <w:t>.</w:t>
      </w:r>
      <w:r w:rsidR="003D331C" w:rsidRPr="00675508">
        <w:rPr>
          <w:rFonts w:ascii="Garamond" w:hAnsi="Garamond" w:cstheme="minorHAnsi"/>
        </w:rPr>
        <w:t>”</w:t>
      </w:r>
    </w:p>
    <w:p w14:paraId="0B5BA412" w14:textId="736E19FE" w:rsidR="0030371B" w:rsidRPr="00675508" w:rsidRDefault="0030371B" w:rsidP="00B465C4">
      <w:pPr>
        <w:rPr>
          <w:rFonts w:ascii="Garamond" w:hAnsi="Garamond" w:cstheme="minorHAnsi"/>
        </w:rPr>
      </w:pPr>
      <w:r w:rsidRPr="00675508">
        <w:rPr>
          <w:rFonts w:ascii="Garamond" w:hAnsi="Garamond" w:cstheme="minorHAnsi"/>
        </w:rPr>
        <w:t xml:space="preserve">Shell highlighted its delivery on commitments since </w:t>
      </w:r>
      <w:r w:rsidR="00587FE0" w:rsidRPr="00675508">
        <w:rPr>
          <w:rFonts w:ascii="Garamond" w:hAnsi="Garamond" w:cstheme="minorHAnsi"/>
        </w:rPr>
        <w:t xml:space="preserve">the </w:t>
      </w:r>
      <w:r w:rsidRPr="00675508">
        <w:rPr>
          <w:rFonts w:ascii="Garamond" w:hAnsi="Garamond" w:cstheme="minorHAnsi"/>
        </w:rPr>
        <w:t>last Management Day in 2017</w:t>
      </w:r>
      <w:r w:rsidR="008E4381" w:rsidRPr="00675508">
        <w:rPr>
          <w:rFonts w:ascii="Garamond" w:hAnsi="Garamond" w:cstheme="minorHAnsi"/>
        </w:rPr>
        <w:t>:</w:t>
      </w:r>
    </w:p>
    <w:p w14:paraId="67141759" w14:textId="2B6F2420" w:rsidR="004F44BB" w:rsidRPr="00675508" w:rsidRDefault="004F44BB" w:rsidP="004F44BB">
      <w:pPr>
        <w:pStyle w:val="ListParagraph"/>
        <w:numPr>
          <w:ilvl w:val="0"/>
          <w:numId w:val="4"/>
        </w:numPr>
        <w:rPr>
          <w:rFonts w:ascii="Garamond" w:hAnsi="Garamond" w:cstheme="minorHAnsi"/>
        </w:rPr>
      </w:pPr>
      <w:r w:rsidRPr="00675508">
        <w:rPr>
          <w:rFonts w:ascii="Garamond" w:hAnsi="Garamond" w:cstheme="minorHAnsi"/>
        </w:rPr>
        <w:t>achieved $10 billion additional cash flow from operations from new projects started up since 2014;</w:t>
      </w:r>
    </w:p>
    <w:p w14:paraId="736427E5" w14:textId="7426E4B1" w:rsidR="0030371B" w:rsidRPr="00675508" w:rsidRDefault="004F44BB">
      <w:pPr>
        <w:pStyle w:val="ListParagraph"/>
        <w:numPr>
          <w:ilvl w:val="0"/>
          <w:numId w:val="4"/>
        </w:numPr>
        <w:rPr>
          <w:rFonts w:ascii="Garamond" w:hAnsi="Garamond" w:cstheme="minorHAnsi"/>
        </w:rPr>
      </w:pPr>
      <w:r w:rsidRPr="00675508">
        <w:rPr>
          <w:rFonts w:ascii="Garamond" w:hAnsi="Garamond" w:cstheme="minorHAnsi"/>
        </w:rPr>
        <w:t xml:space="preserve">demonstrated </w:t>
      </w:r>
      <w:r w:rsidR="00F36046" w:rsidRPr="00675508">
        <w:rPr>
          <w:rFonts w:ascii="Garamond" w:hAnsi="Garamond" w:cstheme="minorHAnsi"/>
        </w:rPr>
        <w:t xml:space="preserve">capital discipline </w:t>
      </w:r>
      <w:r w:rsidR="0030371B" w:rsidRPr="00675508">
        <w:rPr>
          <w:rFonts w:ascii="Garamond" w:hAnsi="Garamond" w:cstheme="minorHAnsi"/>
        </w:rPr>
        <w:t xml:space="preserve">within </w:t>
      </w:r>
      <w:r w:rsidR="00A83ADC" w:rsidRPr="00675508">
        <w:rPr>
          <w:rFonts w:ascii="Garamond" w:hAnsi="Garamond" w:cstheme="minorHAnsi"/>
        </w:rPr>
        <w:t>committed</w:t>
      </w:r>
      <w:r w:rsidR="00F36046" w:rsidRPr="00675508">
        <w:rPr>
          <w:rFonts w:ascii="Garamond" w:hAnsi="Garamond" w:cstheme="minorHAnsi"/>
        </w:rPr>
        <w:t xml:space="preserve"> </w:t>
      </w:r>
      <w:r w:rsidR="007920FD" w:rsidRPr="00675508">
        <w:rPr>
          <w:rFonts w:ascii="Garamond" w:hAnsi="Garamond" w:cstheme="minorHAnsi"/>
        </w:rPr>
        <w:t>capital</w:t>
      </w:r>
      <w:r w:rsidR="0030371B" w:rsidRPr="00675508">
        <w:rPr>
          <w:rFonts w:ascii="Garamond" w:hAnsi="Garamond" w:cstheme="minorHAnsi"/>
        </w:rPr>
        <w:t xml:space="preserve"> range</w:t>
      </w:r>
      <w:r w:rsidR="00430407" w:rsidRPr="00675508">
        <w:rPr>
          <w:rFonts w:ascii="Garamond" w:hAnsi="Garamond" w:cstheme="minorHAnsi"/>
        </w:rPr>
        <w:t>;</w:t>
      </w:r>
      <w:r w:rsidR="0030371B" w:rsidRPr="00675508">
        <w:rPr>
          <w:rFonts w:ascii="Garamond" w:hAnsi="Garamond" w:cstheme="minorHAnsi"/>
        </w:rPr>
        <w:t xml:space="preserve"> </w:t>
      </w:r>
    </w:p>
    <w:p w14:paraId="4B13E0D5" w14:textId="2A2E7D83" w:rsidR="004F44BB" w:rsidRPr="00675508" w:rsidRDefault="004F44BB">
      <w:pPr>
        <w:pStyle w:val="ListParagraph"/>
        <w:numPr>
          <w:ilvl w:val="0"/>
          <w:numId w:val="4"/>
        </w:numPr>
        <w:rPr>
          <w:rFonts w:ascii="Garamond" w:hAnsi="Garamond" w:cstheme="minorHAnsi"/>
        </w:rPr>
      </w:pPr>
      <w:r w:rsidRPr="00675508">
        <w:rPr>
          <w:rFonts w:ascii="Garamond" w:hAnsi="Garamond" w:cstheme="minorHAnsi"/>
        </w:rPr>
        <w:t>delivered $30 billion of divestments</w:t>
      </w:r>
      <w:r w:rsidR="00017AB8" w:rsidRPr="00675508">
        <w:rPr>
          <w:rFonts w:ascii="Garamond" w:hAnsi="Garamond" w:cstheme="minorHAnsi"/>
        </w:rPr>
        <w:t xml:space="preserve"> from 2016-2018</w:t>
      </w:r>
      <w:r w:rsidRPr="00675508">
        <w:rPr>
          <w:rFonts w:ascii="Garamond" w:hAnsi="Garamond" w:cstheme="minorHAnsi"/>
        </w:rPr>
        <w:t>;</w:t>
      </w:r>
    </w:p>
    <w:p w14:paraId="3C29F3E0" w14:textId="13205F9A" w:rsidR="00587FE0" w:rsidRPr="00675508" w:rsidRDefault="003D465F" w:rsidP="0030371B">
      <w:pPr>
        <w:pStyle w:val="ListParagraph"/>
        <w:numPr>
          <w:ilvl w:val="0"/>
          <w:numId w:val="4"/>
        </w:numPr>
        <w:rPr>
          <w:rFonts w:ascii="Garamond" w:hAnsi="Garamond" w:cstheme="minorHAnsi"/>
        </w:rPr>
      </w:pPr>
      <w:r w:rsidRPr="00675508">
        <w:rPr>
          <w:rFonts w:ascii="Garamond" w:hAnsi="Garamond" w:cstheme="minorHAnsi"/>
        </w:rPr>
        <w:t>cancelled</w:t>
      </w:r>
      <w:r w:rsidR="00C2087E" w:rsidRPr="00675508">
        <w:rPr>
          <w:rFonts w:ascii="Garamond" w:hAnsi="Garamond" w:cstheme="minorHAnsi"/>
        </w:rPr>
        <w:t xml:space="preserve"> </w:t>
      </w:r>
      <w:r w:rsidR="0078602A" w:rsidRPr="00675508">
        <w:rPr>
          <w:rFonts w:ascii="Garamond" w:hAnsi="Garamond" w:cstheme="minorHAnsi"/>
        </w:rPr>
        <w:t xml:space="preserve">the </w:t>
      </w:r>
      <w:r w:rsidR="00716916" w:rsidRPr="00675508">
        <w:rPr>
          <w:rFonts w:ascii="Garamond" w:hAnsi="Garamond" w:cstheme="minorHAnsi"/>
        </w:rPr>
        <w:t>s</w:t>
      </w:r>
      <w:r w:rsidR="00587FE0" w:rsidRPr="00675508">
        <w:rPr>
          <w:rFonts w:ascii="Garamond" w:hAnsi="Garamond" w:cstheme="minorHAnsi"/>
        </w:rPr>
        <w:t xml:space="preserve">crip </w:t>
      </w:r>
      <w:r w:rsidR="00716916" w:rsidRPr="00675508">
        <w:rPr>
          <w:rFonts w:ascii="Garamond" w:hAnsi="Garamond" w:cstheme="minorHAnsi"/>
        </w:rPr>
        <w:t>d</w:t>
      </w:r>
      <w:r w:rsidR="00587FE0" w:rsidRPr="00675508">
        <w:rPr>
          <w:rFonts w:ascii="Garamond" w:hAnsi="Garamond" w:cstheme="minorHAnsi"/>
        </w:rPr>
        <w:t>ividend</w:t>
      </w:r>
      <w:r w:rsidR="004F44BB" w:rsidRPr="00675508">
        <w:rPr>
          <w:rFonts w:ascii="Garamond" w:hAnsi="Garamond" w:cstheme="minorHAnsi"/>
        </w:rPr>
        <w:t>; and</w:t>
      </w:r>
    </w:p>
    <w:p w14:paraId="3DB1F760" w14:textId="2CC27F0D" w:rsidR="0030371B" w:rsidRPr="00675508" w:rsidRDefault="003D465F" w:rsidP="00074F9C">
      <w:pPr>
        <w:pStyle w:val="ListParagraph"/>
        <w:numPr>
          <w:ilvl w:val="0"/>
          <w:numId w:val="4"/>
        </w:numPr>
        <w:rPr>
          <w:rFonts w:ascii="Garamond" w:hAnsi="Garamond" w:cstheme="minorHAnsi"/>
        </w:rPr>
      </w:pPr>
      <w:r w:rsidRPr="00675508">
        <w:rPr>
          <w:rFonts w:ascii="Garamond" w:hAnsi="Garamond" w:cstheme="minorHAnsi"/>
        </w:rPr>
        <w:t xml:space="preserve">started </w:t>
      </w:r>
      <w:r w:rsidR="00F36046" w:rsidRPr="00675508">
        <w:rPr>
          <w:rFonts w:ascii="Garamond" w:hAnsi="Garamond" w:cstheme="minorHAnsi"/>
        </w:rPr>
        <w:t>the</w:t>
      </w:r>
      <w:r w:rsidR="0078602A" w:rsidRPr="00675508">
        <w:rPr>
          <w:rFonts w:ascii="Garamond" w:hAnsi="Garamond" w:cstheme="minorHAnsi"/>
        </w:rPr>
        <w:t xml:space="preserve"> </w:t>
      </w:r>
      <w:r w:rsidR="00587FE0" w:rsidRPr="00675508">
        <w:rPr>
          <w:rFonts w:ascii="Garamond" w:hAnsi="Garamond" w:cstheme="minorHAnsi"/>
        </w:rPr>
        <w:t xml:space="preserve">$25 billion </w:t>
      </w:r>
      <w:r w:rsidR="001014AE" w:rsidRPr="00675508">
        <w:rPr>
          <w:rFonts w:ascii="Garamond" w:hAnsi="Garamond" w:cstheme="minorHAnsi"/>
        </w:rPr>
        <w:t>s</w:t>
      </w:r>
      <w:r w:rsidR="00587FE0" w:rsidRPr="00675508">
        <w:rPr>
          <w:rFonts w:ascii="Garamond" w:hAnsi="Garamond" w:cstheme="minorHAnsi"/>
        </w:rPr>
        <w:t xml:space="preserve">hare </w:t>
      </w:r>
      <w:r w:rsidR="001014AE" w:rsidRPr="00675508">
        <w:rPr>
          <w:rFonts w:ascii="Garamond" w:hAnsi="Garamond" w:cstheme="minorHAnsi"/>
        </w:rPr>
        <w:t>b</w:t>
      </w:r>
      <w:r w:rsidR="00587FE0" w:rsidRPr="00675508">
        <w:rPr>
          <w:rFonts w:ascii="Garamond" w:hAnsi="Garamond" w:cstheme="minorHAnsi"/>
        </w:rPr>
        <w:t>uy</w:t>
      </w:r>
      <w:r w:rsidR="001014AE" w:rsidRPr="00675508">
        <w:rPr>
          <w:rFonts w:ascii="Garamond" w:hAnsi="Garamond" w:cstheme="minorHAnsi"/>
        </w:rPr>
        <w:t>b</w:t>
      </w:r>
      <w:r w:rsidR="00587FE0" w:rsidRPr="00675508">
        <w:rPr>
          <w:rFonts w:ascii="Garamond" w:hAnsi="Garamond" w:cstheme="minorHAnsi"/>
        </w:rPr>
        <w:t>ack programme</w:t>
      </w:r>
      <w:r w:rsidR="00074F9C" w:rsidRPr="00675508">
        <w:rPr>
          <w:rFonts w:ascii="Garamond" w:hAnsi="Garamond" w:cstheme="minorHAnsi"/>
        </w:rPr>
        <w:t>.</w:t>
      </w:r>
    </w:p>
    <w:p w14:paraId="187B38EC" w14:textId="08C4170B" w:rsidR="00901DE0" w:rsidRPr="00675508" w:rsidRDefault="00901DE0" w:rsidP="00CB7C29">
      <w:pPr>
        <w:rPr>
          <w:rFonts w:ascii="Garamond" w:hAnsi="Garamond" w:cstheme="minorHAnsi"/>
          <w:b/>
        </w:rPr>
      </w:pPr>
      <w:r w:rsidRPr="00675508">
        <w:rPr>
          <w:rFonts w:ascii="Garamond" w:hAnsi="Garamond" w:cstheme="minorHAnsi"/>
          <w:b/>
        </w:rPr>
        <w:t>Financial outlook</w:t>
      </w:r>
    </w:p>
    <w:p w14:paraId="68271585" w14:textId="42E57AED" w:rsidR="00505992" w:rsidRPr="00675508" w:rsidRDefault="00505992" w:rsidP="00CB7C29">
      <w:pPr>
        <w:rPr>
          <w:rFonts w:ascii="Garamond" w:hAnsi="Garamond" w:cstheme="minorHAnsi"/>
        </w:rPr>
      </w:pPr>
      <w:r w:rsidRPr="00675508">
        <w:rPr>
          <w:rFonts w:ascii="Garamond" w:hAnsi="Garamond" w:cstheme="minorHAnsi"/>
        </w:rPr>
        <w:t xml:space="preserve">By the end of </w:t>
      </w:r>
      <w:r w:rsidR="00A7557A" w:rsidRPr="00675508">
        <w:rPr>
          <w:rFonts w:ascii="Garamond" w:hAnsi="Garamond" w:cstheme="minorHAnsi"/>
        </w:rPr>
        <w:t>next year</w:t>
      </w:r>
      <w:r w:rsidRPr="00675508">
        <w:rPr>
          <w:rFonts w:ascii="Garamond" w:hAnsi="Garamond" w:cstheme="minorHAnsi"/>
        </w:rPr>
        <w:t xml:space="preserve">, Shell </w:t>
      </w:r>
      <w:r w:rsidR="00F36046" w:rsidRPr="00675508">
        <w:rPr>
          <w:rFonts w:ascii="Garamond" w:hAnsi="Garamond" w:cstheme="minorHAnsi"/>
        </w:rPr>
        <w:t>plans to</w:t>
      </w:r>
      <w:r w:rsidRPr="00675508">
        <w:rPr>
          <w:rFonts w:ascii="Garamond" w:hAnsi="Garamond" w:cstheme="minorHAnsi"/>
        </w:rPr>
        <w:t xml:space="preserve"> complete its $25 billion share buyback programme</w:t>
      </w:r>
      <w:r w:rsidR="00092E24" w:rsidRPr="00675508">
        <w:rPr>
          <w:rFonts w:ascii="Garamond" w:hAnsi="Garamond" w:cstheme="minorHAnsi"/>
        </w:rPr>
        <w:t xml:space="preserve"> (subject to further progress with debt reduction and oil price conditions)</w:t>
      </w:r>
      <w:r w:rsidR="00F36046" w:rsidRPr="00675508">
        <w:rPr>
          <w:rFonts w:ascii="Garamond" w:hAnsi="Garamond" w:cstheme="minorHAnsi"/>
        </w:rPr>
        <w:t xml:space="preserve"> in combination with reaching a gearing </w:t>
      </w:r>
      <w:r w:rsidR="00547EDB" w:rsidRPr="00675508">
        <w:rPr>
          <w:rFonts w:ascii="Garamond" w:hAnsi="Garamond" w:cstheme="minorHAnsi"/>
        </w:rPr>
        <w:t xml:space="preserve">level </w:t>
      </w:r>
      <w:r w:rsidR="00F36046" w:rsidRPr="00675508">
        <w:rPr>
          <w:rFonts w:ascii="Garamond" w:hAnsi="Garamond" w:cstheme="minorHAnsi"/>
        </w:rPr>
        <w:t>of 25%</w:t>
      </w:r>
      <w:r w:rsidRPr="00675508">
        <w:rPr>
          <w:rFonts w:ascii="Garamond" w:hAnsi="Garamond" w:cstheme="minorHAnsi"/>
        </w:rPr>
        <w:t xml:space="preserve"> </w:t>
      </w:r>
      <w:r w:rsidR="00CB187F" w:rsidRPr="00675508">
        <w:rPr>
          <w:rFonts w:ascii="Garamond" w:hAnsi="Garamond" w:cstheme="minorHAnsi"/>
        </w:rPr>
        <w:t xml:space="preserve">(20% pre-IFRS16) </w:t>
      </w:r>
      <w:r w:rsidRPr="00675508">
        <w:rPr>
          <w:rFonts w:ascii="Garamond" w:hAnsi="Garamond" w:cstheme="minorHAnsi"/>
        </w:rPr>
        <w:t xml:space="preserve">and </w:t>
      </w:r>
      <w:r w:rsidR="00430407" w:rsidRPr="00675508">
        <w:rPr>
          <w:rFonts w:ascii="Garamond" w:hAnsi="Garamond" w:cstheme="minorHAnsi"/>
        </w:rPr>
        <w:t>delivering</w:t>
      </w:r>
      <w:r w:rsidRPr="00675508">
        <w:rPr>
          <w:rFonts w:ascii="Garamond" w:hAnsi="Garamond" w:cstheme="minorHAnsi"/>
        </w:rPr>
        <w:t xml:space="preserve"> $28-33 billion of organic free cash flow ($25-30 billion pre-IFRS16) at $60 per barrel (real terms, 2016). </w:t>
      </w:r>
    </w:p>
    <w:p w14:paraId="65CADB83" w14:textId="2761EC05" w:rsidR="00396E07" w:rsidRPr="00675508" w:rsidRDefault="009768AC">
      <w:pPr>
        <w:rPr>
          <w:rFonts w:ascii="Garamond" w:hAnsi="Garamond" w:cstheme="minorHAnsi"/>
        </w:rPr>
      </w:pPr>
      <w:r w:rsidRPr="00675508">
        <w:rPr>
          <w:rFonts w:ascii="Garamond" w:hAnsi="Garamond" w:cstheme="minorHAnsi"/>
        </w:rPr>
        <w:t>Looking further ahead</w:t>
      </w:r>
      <w:r w:rsidR="005C0F8A" w:rsidRPr="00675508">
        <w:rPr>
          <w:rFonts w:ascii="Garamond" w:hAnsi="Garamond" w:cstheme="minorHAnsi"/>
        </w:rPr>
        <w:t xml:space="preserve"> to 2025</w:t>
      </w:r>
      <w:r w:rsidRPr="00675508">
        <w:rPr>
          <w:rFonts w:ascii="Garamond" w:hAnsi="Garamond" w:cstheme="minorHAnsi"/>
        </w:rPr>
        <w:t xml:space="preserve">, </w:t>
      </w:r>
      <w:r w:rsidR="00913049" w:rsidRPr="00675508">
        <w:rPr>
          <w:rFonts w:ascii="Garamond" w:hAnsi="Garamond" w:cstheme="minorHAnsi"/>
        </w:rPr>
        <w:t>v</w:t>
      </w:r>
      <w:r w:rsidR="00091D72" w:rsidRPr="00675508">
        <w:rPr>
          <w:rFonts w:ascii="Garamond" w:hAnsi="Garamond" w:cstheme="minorHAnsi"/>
        </w:rPr>
        <w:t xml:space="preserve">an Beurden </w:t>
      </w:r>
      <w:r w:rsidRPr="00675508">
        <w:rPr>
          <w:rFonts w:ascii="Garamond" w:hAnsi="Garamond" w:cstheme="minorHAnsi"/>
        </w:rPr>
        <w:t xml:space="preserve">set out a robust </w:t>
      </w:r>
      <w:r w:rsidR="003541AF" w:rsidRPr="00675508">
        <w:rPr>
          <w:rFonts w:ascii="Garamond" w:hAnsi="Garamond" w:cstheme="minorHAnsi"/>
        </w:rPr>
        <w:t>financial outlook</w:t>
      </w:r>
      <w:r w:rsidR="005C0F8A" w:rsidRPr="00675508">
        <w:rPr>
          <w:rFonts w:ascii="Garamond" w:hAnsi="Garamond" w:cstheme="minorHAnsi"/>
        </w:rPr>
        <w:t xml:space="preserve"> that </w:t>
      </w:r>
      <w:r w:rsidR="00505992" w:rsidRPr="00675508">
        <w:rPr>
          <w:rFonts w:ascii="Garamond" w:hAnsi="Garamond" w:cstheme="minorHAnsi"/>
        </w:rPr>
        <w:t xml:space="preserve">included </w:t>
      </w:r>
      <w:r w:rsidR="00A7557A" w:rsidRPr="00675508">
        <w:rPr>
          <w:rFonts w:ascii="Garamond" w:hAnsi="Garamond" w:cstheme="minorHAnsi"/>
        </w:rPr>
        <w:t xml:space="preserve">the potential </w:t>
      </w:r>
      <w:r w:rsidR="00505992" w:rsidRPr="00675508">
        <w:rPr>
          <w:rFonts w:ascii="Garamond" w:hAnsi="Garamond" w:cstheme="minorHAnsi"/>
        </w:rPr>
        <w:t xml:space="preserve">to make </w:t>
      </w:r>
      <w:r w:rsidRPr="00675508">
        <w:rPr>
          <w:rFonts w:ascii="Garamond" w:hAnsi="Garamond" w:cstheme="minorHAnsi"/>
        </w:rPr>
        <w:t>distributions to shareholders of $125 billion</w:t>
      </w:r>
      <w:r w:rsidR="00504B9A" w:rsidRPr="00675508">
        <w:rPr>
          <w:rFonts w:ascii="Garamond" w:hAnsi="Garamond" w:cstheme="minorHAnsi"/>
        </w:rPr>
        <w:t xml:space="preserve"> or more</w:t>
      </w:r>
      <w:r w:rsidR="005C0F8A" w:rsidRPr="00675508">
        <w:rPr>
          <w:rFonts w:ascii="Garamond" w:hAnsi="Garamond" w:cstheme="minorHAnsi"/>
        </w:rPr>
        <w:t xml:space="preserve"> in the form of dividends and</w:t>
      </w:r>
      <w:r w:rsidR="00913049" w:rsidRPr="00675508">
        <w:rPr>
          <w:rFonts w:ascii="Garamond" w:hAnsi="Garamond" w:cstheme="minorHAnsi"/>
        </w:rPr>
        <w:t xml:space="preserve"> share</w:t>
      </w:r>
      <w:r w:rsidR="005C0F8A" w:rsidRPr="00675508">
        <w:rPr>
          <w:rFonts w:ascii="Garamond" w:hAnsi="Garamond" w:cstheme="minorHAnsi"/>
        </w:rPr>
        <w:t xml:space="preserve"> buybacks</w:t>
      </w:r>
      <w:r w:rsidR="00F36046" w:rsidRPr="00675508">
        <w:rPr>
          <w:rFonts w:ascii="Garamond" w:hAnsi="Garamond" w:cstheme="minorHAnsi"/>
        </w:rPr>
        <w:t xml:space="preserve"> </w:t>
      </w:r>
      <w:r w:rsidR="00BE093C" w:rsidRPr="00675508">
        <w:rPr>
          <w:rFonts w:ascii="Garamond" w:hAnsi="Garamond" w:cstheme="minorHAnsi"/>
        </w:rPr>
        <w:t xml:space="preserve">in </w:t>
      </w:r>
      <w:r w:rsidR="00F36046" w:rsidRPr="00675508">
        <w:rPr>
          <w:rFonts w:ascii="Garamond" w:hAnsi="Garamond" w:cstheme="minorHAnsi"/>
        </w:rPr>
        <w:t>the period of 2021-2025</w:t>
      </w:r>
      <w:r w:rsidR="00505992" w:rsidRPr="00675508">
        <w:rPr>
          <w:rFonts w:ascii="Garamond" w:hAnsi="Garamond" w:cstheme="minorHAnsi"/>
        </w:rPr>
        <w:t>.</w:t>
      </w:r>
      <w:r w:rsidR="00A7557A" w:rsidRPr="00675508">
        <w:rPr>
          <w:rFonts w:ascii="Garamond" w:hAnsi="Garamond" w:cstheme="minorHAnsi"/>
        </w:rPr>
        <w:t xml:space="preserve">  This is in comparison to</w:t>
      </w:r>
      <w:r w:rsidR="00F36046" w:rsidRPr="00675508">
        <w:rPr>
          <w:rFonts w:ascii="Garamond" w:hAnsi="Garamond" w:cstheme="minorHAnsi"/>
        </w:rPr>
        <w:t xml:space="preserve"> </w:t>
      </w:r>
      <w:r w:rsidR="003A0CC1" w:rsidRPr="00675508">
        <w:rPr>
          <w:rFonts w:ascii="Garamond" w:hAnsi="Garamond" w:cstheme="minorHAnsi"/>
        </w:rPr>
        <w:t>around</w:t>
      </w:r>
      <w:r w:rsidR="00A7557A" w:rsidRPr="00675508">
        <w:rPr>
          <w:rFonts w:ascii="Garamond" w:hAnsi="Garamond" w:cstheme="minorHAnsi"/>
        </w:rPr>
        <w:t xml:space="preserve"> $52 billion</w:t>
      </w:r>
      <w:r w:rsidR="00396E07" w:rsidRPr="00675508">
        <w:rPr>
          <w:rFonts w:ascii="Garamond" w:hAnsi="Garamond" w:cstheme="minorHAnsi"/>
        </w:rPr>
        <w:t xml:space="preserve"> in shareholder distributions</w:t>
      </w:r>
      <w:r w:rsidR="00F36046" w:rsidRPr="00675508">
        <w:rPr>
          <w:rFonts w:ascii="Garamond" w:hAnsi="Garamond" w:cstheme="minorHAnsi"/>
        </w:rPr>
        <w:t xml:space="preserve"> in the period of 2011-2015</w:t>
      </w:r>
      <w:r w:rsidR="00A7557A" w:rsidRPr="00675508">
        <w:rPr>
          <w:rFonts w:ascii="Garamond" w:hAnsi="Garamond" w:cstheme="minorHAnsi"/>
        </w:rPr>
        <w:t xml:space="preserve"> and</w:t>
      </w:r>
      <w:r w:rsidR="00F36046" w:rsidRPr="00675508">
        <w:rPr>
          <w:rFonts w:ascii="Garamond" w:hAnsi="Garamond" w:cstheme="minorHAnsi"/>
        </w:rPr>
        <w:t xml:space="preserve"> expected</w:t>
      </w:r>
      <w:r w:rsidR="00430407" w:rsidRPr="00675508">
        <w:rPr>
          <w:rFonts w:ascii="Garamond" w:hAnsi="Garamond" w:cstheme="minorHAnsi"/>
        </w:rPr>
        <w:t xml:space="preserve"> </w:t>
      </w:r>
      <w:r w:rsidR="00913049" w:rsidRPr="00675508">
        <w:rPr>
          <w:rFonts w:ascii="Garamond" w:hAnsi="Garamond" w:cstheme="minorHAnsi"/>
        </w:rPr>
        <w:t xml:space="preserve">shareholder </w:t>
      </w:r>
      <w:r w:rsidR="00430407" w:rsidRPr="00675508">
        <w:rPr>
          <w:rFonts w:ascii="Garamond" w:hAnsi="Garamond" w:cstheme="minorHAnsi"/>
        </w:rPr>
        <w:t>distributions of</w:t>
      </w:r>
      <w:r w:rsidR="00F36046" w:rsidRPr="00675508">
        <w:rPr>
          <w:rFonts w:ascii="Garamond" w:hAnsi="Garamond" w:cstheme="minorHAnsi"/>
        </w:rPr>
        <w:t xml:space="preserve"> </w:t>
      </w:r>
      <w:r w:rsidR="00913049" w:rsidRPr="00675508">
        <w:rPr>
          <w:rFonts w:ascii="Garamond" w:hAnsi="Garamond" w:cstheme="minorHAnsi"/>
        </w:rPr>
        <w:t xml:space="preserve">around </w:t>
      </w:r>
      <w:r w:rsidR="00A7557A" w:rsidRPr="00675508">
        <w:rPr>
          <w:rFonts w:ascii="Garamond" w:hAnsi="Garamond" w:cstheme="minorHAnsi"/>
        </w:rPr>
        <w:t>$9</w:t>
      </w:r>
      <w:r w:rsidR="00913049" w:rsidRPr="00675508">
        <w:rPr>
          <w:rFonts w:ascii="Garamond" w:hAnsi="Garamond" w:cstheme="minorHAnsi"/>
        </w:rPr>
        <w:t>0</w:t>
      </w:r>
      <w:r w:rsidR="00A7557A" w:rsidRPr="00675508">
        <w:rPr>
          <w:rFonts w:ascii="Garamond" w:hAnsi="Garamond" w:cstheme="minorHAnsi"/>
        </w:rPr>
        <w:t xml:space="preserve"> billion in the </w:t>
      </w:r>
      <w:r w:rsidR="00F36046" w:rsidRPr="00675508">
        <w:rPr>
          <w:rFonts w:ascii="Garamond" w:hAnsi="Garamond" w:cstheme="minorHAnsi"/>
        </w:rPr>
        <w:t xml:space="preserve">period </w:t>
      </w:r>
      <w:r w:rsidR="000C455F" w:rsidRPr="00675508">
        <w:rPr>
          <w:rFonts w:ascii="Garamond" w:hAnsi="Garamond" w:cstheme="minorHAnsi"/>
        </w:rPr>
        <w:t xml:space="preserve">of </w:t>
      </w:r>
      <w:r w:rsidR="00F36046" w:rsidRPr="00675508">
        <w:rPr>
          <w:rFonts w:ascii="Garamond" w:hAnsi="Garamond" w:cstheme="minorHAnsi"/>
        </w:rPr>
        <w:t xml:space="preserve">2016-2020. </w:t>
      </w:r>
      <w:r w:rsidR="004F44BB" w:rsidRPr="00675508">
        <w:rPr>
          <w:rFonts w:ascii="Garamond" w:hAnsi="Garamond" w:cstheme="minorHAnsi"/>
        </w:rPr>
        <w:t xml:space="preserve">Shell </w:t>
      </w:r>
      <w:r w:rsidR="00A475C4" w:rsidRPr="00675508">
        <w:rPr>
          <w:rFonts w:ascii="Garamond" w:hAnsi="Garamond" w:cstheme="minorHAnsi"/>
        </w:rPr>
        <w:t>expect</w:t>
      </w:r>
      <w:r w:rsidR="004F44BB" w:rsidRPr="00675508">
        <w:rPr>
          <w:rFonts w:ascii="Garamond" w:hAnsi="Garamond" w:cstheme="minorHAnsi"/>
        </w:rPr>
        <w:t>s to increase the</w:t>
      </w:r>
      <w:r w:rsidR="00A475C4" w:rsidRPr="00675508">
        <w:rPr>
          <w:rFonts w:ascii="Garamond" w:hAnsi="Garamond" w:cstheme="minorHAnsi"/>
        </w:rPr>
        <w:t xml:space="preserve"> dividend per share when there is line of sight to </w:t>
      </w:r>
      <w:r w:rsidR="004F44BB" w:rsidRPr="00675508">
        <w:rPr>
          <w:rFonts w:ascii="Garamond" w:hAnsi="Garamond" w:cstheme="minorHAnsi"/>
        </w:rPr>
        <w:t xml:space="preserve">the completion of </w:t>
      </w:r>
      <w:r w:rsidR="00A475C4" w:rsidRPr="00675508">
        <w:rPr>
          <w:rFonts w:ascii="Garamond" w:hAnsi="Garamond" w:cstheme="minorHAnsi"/>
        </w:rPr>
        <w:t>the $25</w:t>
      </w:r>
      <w:r w:rsidR="007920FD" w:rsidRPr="00675508">
        <w:rPr>
          <w:rFonts w:ascii="Garamond" w:hAnsi="Garamond" w:cstheme="minorHAnsi"/>
        </w:rPr>
        <w:t xml:space="preserve"> billion</w:t>
      </w:r>
      <w:r w:rsidR="00A475C4" w:rsidRPr="00675508">
        <w:rPr>
          <w:rFonts w:ascii="Garamond" w:hAnsi="Garamond" w:cstheme="minorHAnsi"/>
        </w:rPr>
        <w:t xml:space="preserve"> share buyback programme.</w:t>
      </w:r>
    </w:p>
    <w:p w14:paraId="1386BDE9" w14:textId="7474A6D9" w:rsidR="005C0F8A" w:rsidRPr="00675508" w:rsidRDefault="00505992" w:rsidP="005C0F8A">
      <w:pPr>
        <w:rPr>
          <w:rFonts w:ascii="Garamond" w:hAnsi="Garamond" w:cstheme="minorHAnsi"/>
        </w:rPr>
      </w:pPr>
      <w:r w:rsidRPr="00675508">
        <w:rPr>
          <w:rFonts w:ascii="Garamond" w:hAnsi="Garamond" w:cstheme="minorHAnsi"/>
        </w:rPr>
        <w:t xml:space="preserve">Shell also </w:t>
      </w:r>
      <w:r w:rsidR="00F36046" w:rsidRPr="00675508">
        <w:rPr>
          <w:rFonts w:ascii="Garamond" w:hAnsi="Garamond" w:cstheme="minorHAnsi"/>
        </w:rPr>
        <w:t>plans to</w:t>
      </w:r>
      <w:r w:rsidRPr="00675508">
        <w:rPr>
          <w:rFonts w:ascii="Garamond" w:hAnsi="Garamond" w:cstheme="minorHAnsi"/>
        </w:rPr>
        <w:t>:</w:t>
      </w:r>
    </w:p>
    <w:p w14:paraId="23B3720F" w14:textId="14E607AF" w:rsidR="00471049" w:rsidRPr="00675508" w:rsidRDefault="009C2C3A" w:rsidP="00A8163B">
      <w:pPr>
        <w:pStyle w:val="ListParagraph"/>
        <w:numPr>
          <w:ilvl w:val="0"/>
          <w:numId w:val="8"/>
        </w:numPr>
        <w:rPr>
          <w:rFonts w:ascii="Garamond" w:hAnsi="Garamond" w:cstheme="minorHAnsi"/>
        </w:rPr>
      </w:pPr>
      <w:r w:rsidRPr="00675508">
        <w:rPr>
          <w:rFonts w:ascii="Garamond" w:hAnsi="Garamond" w:cstheme="minorHAnsi"/>
        </w:rPr>
        <w:t>f</w:t>
      </w:r>
      <w:r w:rsidR="00AF6A96" w:rsidRPr="00675508">
        <w:rPr>
          <w:rFonts w:ascii="Garamond" w:hAnsi="Garamond" w:cstheme="minorHAnsi"/>
        </w:rPr>
        <w:t xml:space="preserve">ully sustain </w:t>
      </w:r>
      <w:r w:rsidR="007E3183" w:rsidRPr="00675508">
        <w:rPr>
          <w:rFonts w:ascii="Garamond" w:hAnsi="Garamond" w:cstheme="minorHAnsi"/>
        </w:rPr>
        <w:t xml:space="preserve">the </w:t>
      </w:r>
      <w:r w:rsidR="00AF6A96" w:rsidRPr="00675508">
        <w:rPr>
          <w:rFonts w:ascii="Garamond" w:hAnsi="Garamond" w:cstheme="minorHAnsi"/>
        </w:rPr>
        <w:t>Upstream</w:t>
      </w:r>
      <w:r w:rsidR="00A8163B" w:rsidRPr="00675508">
        <w:rPr>
          <w:rFonts w:ascii="Garamond" w:hAnsi="Garamond" w:cstheme="minorHAnsi"/>
        </w:rPr>
        <w:t xml:space="preserve"> </w:t>
      </w:r>
      <w:r w:rsidR="002C2E7C" w:rsidRPr="00675508">
        <w:rPr>
          <w:rFonts w:ascii="Garamond" w:hAnsi="Garamond" w:cstheme="minorHAnsi"/>
        </w:rPr>
        <w:t xml:space="preserve">business </w:t>
      </w:r>
      <w:r w:rsidR="00A8163B" w:rsidRPr="00675508">
        <w:rPr>
          <w:rFonts w:ascii="Garamond" w:hAnsi="Garamond" w:cstheme="minorHAnsi"/>
        </w:rPr>
        <w:t>through the next decades</w:t>
      </w:r>
      <w:r w:rsidR="00CE2D3E" w:rsidRPr="00675508">
        <w:rPr>
          <w:rFonts w:ascii="Garamond" w:hAnsi="Garamond" w:cstheme="minorHAnsi"/>
        </w:rPr>
        <w:t>,</w:t>
      </w:r>
      <w:r w:rsidR="00AF6A96" w:rsidRPr="00675508">
        <w:rPr>
          <w:rFonts w:ascii="Garamond" w:hAnsi="Garamond" w:cstheme="minorHAnsi"/>
        </w:rPr>
        <w:t xml:space="preserve"> and grow </w:t>
      </w:r>
      <w:r w:rsidR="00CE2D3E" w:rsidRPr="00675508">
        <w:rPr>
          <w:rFonts w:ascii="Garamond" w:hAnsi="Garamond" w:cstheme="minorHAnsi"/>
        </w:rPr>
        <w:t>the company’s</w:t>
      </w:r>
      <w:r w:rsidR="00AF6A96" w:rsidRPr="00675508">
        <w:rPr>
          <w:rFonts w:ascii="Garamond" w:hAnsi="Garamond" w:cstheme="minorHAnsi"/>
        </w:rPr>
        <w:t xml:space="preserve"> market</w:t>
      </w:r>
      <w:r w:rsidR="003A0CC1" w:rsidRPr="00675508">
        <w:rPr>
          <w:rFonts w:ascii="Garamond" w:hAnsi="Garamond" w:cstheme="minorHAnsi"/>
        </w:rPr>
        <w:t>-</w:t>
      </w:r>
      <w:r w:rsidR="00AF6A96" w:rsidRPr="00675508">
        <w:rPr>
          <w:rFonts w:ascii="Garamond" w:hAnsi="Garamond" w:cstheme="minorHAnsi"/>
        </w:rPr>
        <w:t>facing businesses</w:t>
      </w:r>
      <w:r w:rsidR="00A8163B" w:rsidRPr="00675508">
        <w:rPr>
          <w:rFonts w:ascii="Garamond" w:hAnsi="Garamond" w:cstheme="minorHAnsi"/>
        </w:rPr>
        <w:t xml:space="preserve">; </w:t>
      </w:r>
    </w:p>
    <w:p w14:paraId="40B8CBDF" w14:textId="34E7DA15" w:rsidR="005C0F8A" w:rsidRPr="00675508" w:rsidRDefault="005C0F8A" w:rsidP="00A8163B">
      <w:pPr>
        <w:pStyle w:val="ListParagraph"/>
        <w:numPr>
          <w:ilvl w:val="0"/>
          <w:numId w:val="8"/>
        </w:numPr>
        <w:rPr>
          <w:rFonts w:ascii="Garamond" w:hAnsi="Garamond" w:cstheme="minorHAnsi"/>
        </w:rPr>
      </w:pPr>
      <w:r w:rsidRPr="00675508">
        <w:rPr>
          <w:rFonts w:ascii="Garamond" w:hAnsi="Garamond" w:cstheme="minorHAnsi"/>
        </w:rPr>
        <w:t xml:space="preserve">increase organic free cash flow </w:t>
      </w:r>
      <w:r w:rsidR="004F44BB" w:rsidRPr="00675508">
        <w:rPr>
          <w:rFonts w:ascii="Garamond" w:hAnsi="Garamond" w:cstheme="minorHAnsi"/>
        </w:rPr>
        <w:t xml:space="preserve">to </w:t>
      </w:r>
      <w:r w:rsidRPr="00675508">
        <w:rPr>
          <w:rFonts w:ascii="Garamond" w:hAnsi="Garamond" w:cstheme="minorHAnsi"/>
        </w:rPr>
        <w:t>around $35 billion in 2025 at $60 per barrel (real terms, 201</w:t>
      </w:r>
      <w:r w:rsidR="00B46D80" w:rsidRPr="00675508">
        <w:rPr>
          <w:rFonts w:ascii="Garamond" w:hAnsi="Garamond" w:cstheme="minorHAnsi"/>
        </w:rPr>
        <w:t>6</w:t>
      </w:r>
      <w:r w:rsidRPr="00675508">
        <w:rPr>
          <w:rFonts w:ascii="Garamond" w:hAnsi="Garamond" w:cstheme="minorHAnsi"/>
        </w:rPr>
        <w:t>);</w:t>
      </w:r>
    </w:p>
    <w:p w14:paraId="608E3733" w14:textId="63F82751" w:rsidR="005C0F8A" w:rsidRPr="00675508" w:rsidRDefault="00AF6A96" w:rsidP="00CB7C29">
      <w:pPr>
        <w:pStyle w:val="ListParagraph"/>
        <w:numPr>
          <w:ilvl w:val="0"/>
          <w:numId w:val="8"/>
        </w:numPr>
        <w:rPr>
          <w:rFonts w:ascii="Garamond" w:hAnsi="Garamond" w:cstheme="minorHAnsi"/>
        </w:rPr>
      </w:pPr>
      <w:r w:rsidRPr="00675508">
        <w:rPr>
          <w:rFonts w:ascii="Garamond" w:hAnsi="Garamond" w:cstheme="minorHAnsi"/>
        </w:rPr>
        <w:t xml:space="preserve">achieve </w:t>
      </w:r>
      <w:r w:rsidR="005C0F8A" w:rsidRPr="00675508">
        <w:rPr>
          <w:rFonts w:ascii="Garamond" w:hAnsi="Garamond" w:cstheme="minorHAnsi"/>
        </w:rPr>
        <w:t>a return on average capital employed of more than 12% in 2025;</w:t>
      </w:r>
    </w:p>
    <w:p w14:paraId="783EA698" w14:textId="155C73FC" w:rsidR="005C0F8A" w:rsidRPr="00675508" w:rsidRDefault="00AF6A96" w:rsidP="00CB7C29">
      <w:pPr>
        <w:pStyle w:val="ListParagraph"/>
        <w:numPr>
          <w:ilvl w:val="0"/>
          <w:numId w:val="8"/>
        </w:numPr>
        <w:rPr>
          <w:rFonts w:ascii="Garamond" w:hAnsi="Garamond" w:cstheme="minorHAnsi"/>
        </w:rPr>
      </w:pPr>
      <w:r w:rsidRPr="00675508">
        <w:rPr>
          <w:rFonts w:ascii="Garamond" w:hAnsi="Garamond" w:cstheme="minorHAnsi"/>
        </w:rPr>
        <w:t xml:space="preserve">maintain </w:t>
      </w:r>
      <w:r w:rsidR="005C0F8A" w:rsidRPr="00675508">
        <w:rPr>
          <w:rFonts w:ascii="Garamond" w:hAnsi="Garamond" w:cstheme="minorHAnsi"/>
        </w:rPr>
        <w:t>gearing of 15-25% through the cycle; and</w:t>
      </w:r>
    </w:p>
    <w:p w14:paraId="021B5727" w14:textId="5FCE5BDC" w:rsidR="006C6286" w:rsidRPr="00675508" w:rsidRDefault="00AF6A96" w:rsidP="0077549C">
      <w:pPr>
        <w:pStyle w:val="ListParagraph"/>
        <w:numPr>
          <w:ilvl w:val="0"/>
          <w:numId w:val="8"/>
        </w:numPr>
        <w:rPr>
          <w:rFonts w:ascii="Garamond" w:hAnsi="Garamond" w:cstheme="minorHAnsi"/>
          <w:b/>
        </w:rPr>
      </w:pPr>
      <w:r w:rsidRPr="00675508">
        <w:rPr>
          <w:rFonts w:ascii="Garamond" w:hAnsi="Garamond" w:cstheme="minorHAnsi"/>
        </w:rPr>
        <w:lastRenderedPageBreak/>
        <w:t>invest</w:t>
      </w:r>
      <w:r w:rsidR="00510E1E" w:rsidRPr="00675508">
        <w:rPr>
          <w:rFonts w:ascii="Garamond" w:hAnsi="Garamond" w:cstheme="minorHAnsi"/>
        </w:rPr>
        <w:t>,</w:t>
      </w:r>
      <w:r w:rsidR="007920FD" w:rsidRPr="00675508">
        <w:rPr>
          <w:rFonts w:ascii="Garamond" w:hAnsi="Garamond" w:cstheme="minorHAnsi"/>
        </w:rPr>
        <w:t xml:space="preserve"> on average</w:t>
      </w:r>
      <w:r w:rsidR="00510E1E" w:rsidRPr="00675508">
        <w:rPr>
          <w:rFonts w:ascii="Garamond" w:hAnsi="Garamond" w:cstheme="minorHAnsi"/>
        </w:rPr>
        <w:t>,</w:t>
      </w:r>
      <w:r w:rsidR="007920FD" w:rsidRPr="00675508">
        <w:rPr>
          <w:rFonts w:ascii="Garamond" w:hAnsi="Garamond" w:cstheme="minorHAnsi"/>
        </w:rPr>
        <w:t xml:space="preserve"> $30 billion of cash capex a year</w:t>
      </w:r>
      <w:r w:rsidR="006C6286" w:rsidRPr="00675508">
        <w:rPr>
          <w:rFonts w:ascii="Garamond" w:hAnsi="Garamond" w:cstheme="minorHAnsi"/>
        </w:rPr>
        <w:t xml:space="preserve"> over 2021-2025 (excluding major inorganic opportunities, but including minor acquisition spend of up to $1 billion), </w:t>
      </w:r>
      <w:r w:rsidR="005C0F8A" w:rsidRPr="00675508">
        <w:rPr>
          <w:rFonts w:ascii="Garamond" w:hAnsi="Garamond" w:cstheme="minorHAnsi"/>
        </w:rPr>
        <w:t>with a ceiling of $32 billion a year</w:t>
      </w:r>
      <w:r w:rsidR="006C6286" w:rsidRPr="00675508">
        <w:rPr>
          <w:rFonts w:ascii="Garamond" w:hAnsi="Garamond" w:cstheme="minorHAnsi"/>
        </w:rPr>
        <w:t>.</w:t>
      </w:r>
    </w:p>
    <w:p w14:paraId="09AE8A72" w14:textId="2FC3B59F" w:rsidR="00B465C4" w:rsidRPr="00675508" w:rsidRDefault="000B7EA5" w:rsidP="006C6286">
      <w:pPr>
        <w:rPr>
          <w:rFonts w:ascii="Garamond" w:hAnsi="Garamond" w:cstheme="minorHAnsi"/>
          <w:b/>
        </w:rPr>
      </w:pPr>
      <w:r w:rsidRPr="00675508">
        <w:rPr>
          <w:rFonts w:ascii="Garamond" w:hAnsi="Garamond" w:cstheme="minorHAnsi"/>
          <w:b/>
        </w:rPr>
        <w:t>S</w:t>
      </w:r>
      <w:r w:rsidR="00B465C4" w:rsidRPr="00675508">
        <w:rPr>
          <w:rFonts w:ascii="Garamond" w:hAnsi="Garamond" w:cstheme="minorHAnsi"/>
          <w:b/>
        </w:rPr>
        <w:t xml:space="preserve">trategy </w:t>
      </w:r>
      <w:r w:rsidRPr="00675508">
        <w:rPr>
          <w:rFonts w:ascii="Garamond" w:hAnsi="Garamond" w:cstheme="minorHAnsi"/>
          <w:b/>
        </w:rPr>
        <w:t>u</w:t>
      </w:r>
      <w:r w:rsidR="00B465C4" w:rsidRPr="00675508">
        <w:rPr>
          <w:rFonts w:ascii="Garamond" w:hAnsi="Garamond" w:cstheme="minorHAnsi"/>
          <w:b/>
        </w:rPr>
        <w:t>pdates</w:t>
      </w:r>
    </w:p>
    <w:p w14:paraId="3B65FC29" w14:textId="16D12480" w:rsidR="00091D72" w:rsidRPr="00675508" w:rsidRDefault="003D331C" w:rsidP="00091D72">
      <w:pPr>
        <w:rPr>
          <w:rFonts w:ascii="Garamond" w:hAnsi="Garamond" w:cstheme="minorHAnsi"/>
        </w:rPr>
      </w:pPr>
      <w:r w:rsidRPr="00675508">
        <w:rPr>
          <w:rFonts w:ascii="Garamond" w:hAnsi="Garamond" w:cstheme="minorHAnsi"/>
        </w:rPr>
        <w:t>Shell present</w:t>
      </w:r>
      <w:r w:rsidR="006E3B67" w:rsidRPr="00675508">
        <w:rPr>
          <w:rFonts w:ascii="Garamond" w:hAnsi="Garamond" w:cstheme="minorHAnsi"/>
        </w:rPr>
        <w:t>s</w:t>
      </w:r>
      <w:r w:rsidRPr="00675508">
        <w:rPr>
          <w:rFonts w:ascii="Garamond" w:hAnsi="Garamond" w:cstheme="minorHAnsi"/>
        </w:rPr>
        <w:t xml:space="preserve"> a refreshed strategy </w:t>
      </w:r>
      <w:r w:rsidR="00055E6A" w:rsidRPr="00675508">
        <w:rPr>
          <w:rFonts w:ascii="Garamond" w:hAnsi="Garamond" w:cstheme="minorHAnsi"/>
        </w:rPr>
        <w:t xml:space="preserve">that reflects the next step in delivering the world class investment case and </w:t>
      </w:r>
      <w:r w:rsidR="00091D72" w:rsidRPr="00675508">
        <w:rPr>
          <w:rFonts w:ascii="Garamond" w:hAnsi="Garamond" w:cstheme="minorHAnsi"/>
        </w:rPr>
        <w:t xml:space="preserve">thriving through the </w:t>
      </w:r>
      <w:r w:rsidR="00B3715D" w:rsidRPr="00675508">
        <w:rPr>
          <w:rFonts w:ascii="Garamond" w:hAnsi="Garamond" w:cstheme="minorHAnsi"/>
        </w:rPr>
        <w:t xml:space="preserve">energy </w:t>
      </w:r>
      <w:r w:rsidR="00091D72" w:rsidRPr="00675508">
        <w:rPr>
          <w:rFonts w:ascii="Garamond" w:hAnsi="Garamond" w:cstheme="minorHAnsi"/>
        </w:rPr>
        <w:t>transition</w:t>
      </w:r>
      <w:r w:rsidRPr="00675508">
        <w:rPr>
          <w:rFonts w:ascii="Garamond" w:hAnsi="Garamond" w:cstheme="minorHAnsi"/>
        </w:rPr>
        <w:t xml:space="preserve">. </w:t>
      </w:r>
      <w:r w:rsidR="00AB5E52" w:rsidRPr="00675508">
        <w:rPr>
          <w:rFonts w:ascii="Garamond" w:hAnsi="Garamond" w:cstheme="minorHAnsi"/>
        </w:rPr>
        <w:t>I</w:t>
      </w:r>
      <w:r w:rsidR="00091D72" w:rsidRPr="00675508">
        <w:rPr>
          <w:rFonts w:ascii="Garamond" w:hAnsi="Garamond" w:cstheme="minorHAnsi"/>
        </w:rPr>
        <w:t xml:space="preserve">ts </w:t>
      </w:r>
      <w:r w:rsidR="00AF6A96" w:rsidRPr="00675508">
        <w:rPr>
          <w:rFonts w:ascii="Garamond" w:hAnsi="Garamond" w:cstheme="minorHAnsi"/>
        </w:rPr>
        <w:t xml:space="preserve">strategic themes </w:t>
      </w:r>
      <w:r w:rsidR="00BE093C" w:rsidRPr="00675508">
        <w:rPr>
          <w:rFonts w:ascii="Garamond" w:hAnsi="Garamond" w:cstheme="minorHAnsi"/>
        </w:rPr>
        <w:t>are</w:t>
      </w:r>
      <w:r w:rsidR="00AF6A96" w:rsidRPr="00675508">
        <w:rPr>
          <w:rFonts w:ascii="Garamond" w:hAnsi="Garamond" w:cstheme="minorHAnsi"/>
        </w:rPr>
        <w:t xml:space="preserve"> </w:t>
      </w:r>
      <w:r w:rsidR="007666D4" w:rsidRPr="00675508">
        <w:rPr>
          <w:rFonts w:ascii="Garamond" w:hAnsi="Garamond" w:cstheme="minorHAnsi"/>
        </w:rPr>
        <w:t>re-</w:t>
      </w:r>
      <w:r w:rsidR="00A8163B" w:rsidRPr="00675508">
        <w:rPr>
          <w:rFonts w:ascii="Garamond" w:hAnsi="Garamond" w:cstheme="minorHAnsi"/>
        </w:rPr>
        <w:t xml:space="preserve">focused </w:t>
      </w:r>
      <w:r w:rsidR="00AF6A96" w:rsidRPr="00675508">
        <w:rPr>
          <w:rFonts w:ascii="Garamond" w:hAnsi="Garamond" w:cstheme="minorHAnsi"/>
        </w:rPr>
        <w:t xml:space="preserve">into three categories to </w:t>
      </w:r>
      <w:r w:rsidR="00055E6A" w:rsidRPr="00675508">
        <w:rPr>
          <w:rFonts w:ascii="Garamond" w:hAnsi="Garamond" w:cstheme="minorHAnsi"/>
        </w:rPr>
        <w:t xml:space="preserve">shape the portfolio and </w:t>
      </w:r>
      <w:r w:rsidR="00091D72" w:rsidRPr="00675508">
        <w:rPr>
          <w:rFonts w:ascii="Garamond" w:hAnsi="Garamond" w:cstheme="minorHAnsi"/>
        </w:rPr>
        <w:t>drive capital allocation</w:t>
      </w:r>
      <w:r w:rsidR="00AF6A96" w:rsidRPr="00675508">
        <w:rPr>
          <w:rFonts w:ascii="Garamond" w:hAnsi="Garamond" w:cstheme="minorHAnsi"/>
        </w:rPr>
        <w:t xml:space="preserve"> for </w:t>
      </w:r>
      <w:r w:rsidR="00055E6A" w:rsidRPr="00675508">
        <w:rPr>
          <w:rFonts w:ascii="Garamond" w:hAnsi="Garamond" w:cstheme="minorHAnsi"/>
        </w:rPr>
        <w:t xml:space="preserve">value </w:t>
      </w:r>
      <w:r w:rsidR="00AF6A96" w:rsidRPr="00675508">
        <w:rPr>
          <w:rFonts w:ascii="Garamond" w:hAnsi="Garamond" w:cstheme="minorHAnsi"/>
        </w:rPr>
        <w:t>growth</w:t>
      </w:r>
      <w:r w:rsidR="00055E6A" w:rsidRPr="00675508">
        <w:rPr>
          <w:rFonts w:ascii="Garamond" w:hAnsi="Garamond" w:cstheme="minorHAnsi"/>
        </w:rPr>
        <w:t xml:space="preserve"> and resiliency</w:t>
      </w:r>
      <w:r w:rsidR="000E3F2E" w:rsidRPr="00675508">
        <w:rPr>
          <w:rFonts w:ascii="Garamond" w:hAnsi="Garamond" w:cstheme="minorHAnsi"/>
        </w:rPr>
        <w:t>:</w:t>
      </w:r>
      <w:r w:rsidR="00091D72" w:rsidRPr="00675508">
        <w:rPr>
          <w:rFonts w:ascii="Garamond" w:hAnsi="Garamond" w:cstheme="minorHAnsi"/>
        </w:rPr>
        <w:t xml:space="preserve"> </w:t>
      </w:r>
      <w:bookmarkStart w:id="1" w:name="_Hlk9170577"/>
      <w:r w:rsidR="006600AA" w:rsidRPr="00675508">
        <w:rPr>
          <w:rFonts w:ascii="Garamond" w:hAnsi="Garamond" w:cstheme="minorHAnsi"/>
        </w:rPr>
        <w:t>C</w:t>
      </w:r>
      <w:r w:rsidR="00C20606" w:rsidRPr="00675508">
        <w:rPr>
          <w:rFonts w:ascii="Garamond" w:hAnsi="Garamond" w:cstheme="minorHAnsi"/>
        </w:rPr>
        <w:t>ore Upstream</w:t>
      </w:r>
      <w:r w:rsidR="00091D72" w:rsidRPr="00675508">
        <w:rPr>
          <w:rFonts w:ascii="Garamond" w:hAnsi="Garamond" w:cstheme="minorHAnsi"/>
        </w:rPr>
        <w:t>,</w:t>
      </w:r>
      <w:r w:rsidR="00C20606" w:rsidRPr="00675508">
        <w:rPr>
          <w:rFonts w:ascii="Garamond" w:hAnsi="Garamond" w:cstheme="minorHAnsi"/>
        </w:rPr>
        <w:t xml:space="preserve"> </w:t>
      </w:r>
      <w:r w:rsidR="00091D72" w:rsidRPr="00675508">
        <w:rPr>
          <w:rFonts w:ascii="Garamond" w:hAnsi="Garamond" w:cstheme="minorHAnsi"/>
        </w:rPr>
        <w:t>L</w:t>
      </w:r>
      <w:r w:rsidR="00C20606" w:rsidRPr="00675508">
        <w:rPr>
          <w:rFonts w:ascii="Garamond" w:hAnsi="Garamond" w:cstheme="minorHAnsi"/>
        </w:rPr>
        <w:t xml:space="preserve">eading </w:t>
      </w:r>
      <w:r w:rsidR="00091D72" w:rsidRPr="00675508">
        <w:rPr>
          <w:rFonts w:ascii="Garamond" w:hAnsi="Garamond" w:cstheme="minorHAnsi"/>
        </w:rPr>
        <w:t>T</w:t>
      </w:r>
      <w:r w:rsidR="00C20606" w:rsidRPr="00675508">
        <w:rPr>
          <w:rFonts w:ascii="Garamond" w:hAnsi="Garamond" w:cstheme="minorHAnsi"/>
        </w:rPr>
        <w:t>ransition</w:t>
      </w:r>
      <w:r w:rsidR="00091D72" w:rsidRPr="00675508">
        <w:rPr>
          <w:rFonts w:ascii="Garamond" w:hAnsi="Garamond" w:cstheme="minorHAnsi"/>
        </w:rPr>
        <w:t xml:space="preserve"> and </w:t>
      </w:r>
      <w:r w:rsidR="00C20606" w:rsidRPr="00675508">
        <w:rPr>
          <w:rFonts w:ascii="Garamond" w:hAnsi="Garamond" w:cstheme="minorHAnsi"/>
        </w:rPr>
        <w:t>Emerging Power</w:t>
      </w:r>
      <w:r w:rsidR="00091D72" w:rsidRPr="00675508">
        <w:rPr>
          <w:rFonts w:ascii="Garamond" w:hAnsi="Garamond" w:cstheme="minorHAnsi"/>
        </w:rPr>
        <w:t>.</w:t>
      </w:r>
    </w:p>
    <w:p w14:paraId="4EBE5BEF" w14:textId="426AA396" w:rsidR="006600AA" w:rsidRPr="00675508" w:rsidRDefault="00C20606" w:rsidP="00091D72">
      <w:pPr>
        <w:rPr>
          <w:rFonts w:ascii="Garamond" w:hAnsi="Garamond" w:cstheme="minorHAnsi"/>
        </w:rPr>
      </w:pPr>
      <w:r w:rsidRPr="00675508">
        <w:rPr>
          <w:rFonts w:ascii="Garamond" w:hAnsi="Garamond" w:cstheme="minorHAnsi"/>
        </w:rPr>
        <w:t>Deep</w:t>
      </w:r>
      <w:r w:rsidR="006600AA" w:rsidRPr="00675508">
        <w:rPr>
          <w:rFonts w:ascii="Garamond" w:hAnsi="Garamond" w:cstheme="minorHAnsi"/>
        </w:rPr>
        <w:t xml:space="preserve"> </w:t>
      </w:r>
      <w:r w:rsidR="006C6286" w:rsidRPr="00675508">
        <w:rPr>
          <w:rFonts w:ascii="Garamond" w:hAnsi="Garamond" w:cstheme="minorHAnsi"/>
        </w:rPr>
        <w:t>W</w:t>
      </w:r>
      <w:r w:rsidRPr="00675508">
        <w:rPr>
          <w:rFonts w:ascii="Garamond" w:hAnsi="Garamond" w:cstheme="minorHAnsi"/>
        </w:rPr>
        <w:t xml:space="preserve">ater, </w:t>
      </w:r>
      <w:r w:rsidR="00913049" w:rsidRPr="00675508">
        <w:rPr>
          <w:rFonts w:ascii="Garamond" w:hAnsi="Garamond" w:cstheme="minorHAnsi"/>
        </w:rPr>
        <w:t>S</w:t>
      </w:r>
      <w:r w:rsidRPr="00675508">
        <w:rPr>
          <w:rFonts w:ascii="Garamond" w:hAnsi="Garamond" w:cstheme="minorHAnsi"/>
        </w:rPr>
        <w:t xml:space="preserve">hales and </w:t>
      </w:r>
      <w:r w:rsidR="00913049" w:rsidRPr="00675508">
        <w:rPr>
          <w:rFonts w:ascii="Garamond" w:hAnsi="Garamond" w:cstheme="minorHAnsi"/>
        </w:rPr>
        <w:t>C</w:t>
      </w:r>
      <w:r w:rsidRPr="00675508">
        <w:rPr>
          <w:rFonts w:ascii="Garamond" w:hAnsi="Garamond" w:cstheme="minorHAnsi"/>
        </w:rPr>
        <w:t xml:space="preserve">onventional </w:t>
      </w:r>
      <w:r w:rsidR="00913049" w:rsidRPr="00675508">
        <w:rPr>
          <w:rFonts w:ascii="Garamond" w:hAnsi="Garamond" w:cstheme="minorHAnsi"/>
        </w:rPr>
        <w:t>O</w:t>
      </w:r>
      <w:r w:rsidRPr="00675508">
        <w:rPr>
          <w:rFonts w:ascii="Garamond" w:hAnsi="Garamond" w:cstheme="minorHAnsi"/>
        </w:rPr>
        <w:t xml:space="preserve">il and </w:t>
      </w:r>
      <w:r w:rsidR="00913049" w:rsidRPr="00675508">
        <w:rPr>
          <w:rFonts w:ascii="Garamond" w:hAnsi="Garamond" w:cstheme="minorHAnsi"/>
        </w:rPr>
        <w:t>G</w:t>
      </w:r>
      <w:r w:rsidRPr="00675508">
        <w:rPr>
          <w:rFonts w:ascii="Garamond" w:hAnsi="Garamond" w:cstheme="minorHAnsi"/>
        </w:rPr>
        <w:t xml:space="preserve">as form the </w:t>
      </w:r>
      <w:r w:rsidRPr="00675508">
        <w:rPr>
          <w:rFonts w:ascii="Garamond" w:hAnsi="Garamond" w:cstheme="minorHAnsi"/>
          <w:b/>
        </w:rPr>
        <w:t>Core Upstream themes</w:t>
      </w:r>
      <w:r w:rsidRPr="00675508">
        <w:rPr>
          <w:rFonts w:ascii="Garamond" w:hAnsi="Garamond" w:cstheme="minorHAnsi"/>
        </w:rPr>
        <w:t xml:space="preserve">. </w:t>
      </w:r>
    </w:p>
    <w:p w14:paraId="75501077" w14:textId="4E2AF241" w:rsidR="006600AA" w:rsidRPr="00675508" w:rsidRDefault="00C20606" w:rsidP="00091D72">
      <w:pPr>
        <w:rPr>
          <w:rFonts w:ascii="Garamond" w:hAnsi="Garamond" w:cstheme="minorHAnsi"/>
        </w:rPr>
      </w:pPr>
      <w:r w:rsidRPr="00675508">
        <w:rPr>
          <w:rFonts w:ascii="Garamond" w:hAnsi="Garamond" w:cstheme="minorHAnsi"/>
        </w:rPr>
        <w:t>The market</w:t>
      </w:r>
      <w:r w:rsidR="00A7557A" w:rsidRPr="00675508">
        <w:rPr>
          <w:rFonts w:ascii="Garamond" w:hAnsi="Garamond" w:cstheme="minorHAnsi"/>
        </w:rPr>
        <w:t>-</w:t>
      </w:r>
      <w:r w:rsidRPr="00675508">
        <w:rPr>
          <w:rFonts w:ascii="Garamond" w:hAnsi="Garamond" w:cstheme="minorHAnsi"/>
        </w:rPr>
        <w:t>facing</w:t>
      </w:r>
      <w:r w:rsidR="00A8163B" w:rsidRPr="00675508">
        <w:rPr>
          <w:rFonts w:ascii="Garamond" w:hAnsi="Garamond" w:cstheme="minorHAnsi"/>
        </w:rPr>
        <w:t xml:space="preserve"> business</w:t>
      </w:r>
      <w:r w:rsidR="00BE093C" w:rsidRPr="00675508">
        <w:rPr>
          <w:rFonts w:ascii="Garamond" w:hAnsi="Garamond" w:cstheme="minorHAnsi"/>
        </w:rPr>
        <w:t>es</w:t>
      </w:r>
      <w:r w:rsidR="00A8163B" w:rsidRPr="00675508">
        <w:rPr>
          <w:rFonts w:ascii="Garamond" w:hAnsi="Garamond" w:cstheme="minorHAnsi"/>
        </w:rPr>
        <w:t xml:space="preserve"> of</w:t>
      </w:r>
      <w:r w:rsidRPr="00675508">
        <w:rPr>
          <w:rFonts w:ascii="Garamond" w:hAnsi="Garamond" w:cstheme="minorHAnsi"/>
        </w:rPr>
        <w:t xml:space="preserve"> Integrated Gas, Chemicals and Oil Products will be the cornerstone of Shell leading through the energy transition and form the </w:t>
      </w:r>
      <w:r w:rsidRPr="00675508">
        <w:rPr>
          <w:rFonts w:ascii="Garamond" w:hAnsi="Garamond" w:cstheme="minorHAnsi"/>
          <w:b/>
        </w:rPr>
        <w:t>Leading Transition themes</w:t>
      </w:r>
      <w:r w:rsidRPr="00675508">
        <w:rPr>
          <w:rFonts w:ascii="Garamond" w:hAnsi="Garamond" w:cstheme="minorHAnsi"/>
        </w:rPr>
        <w:t xml:space="preserve">. </w:t>
      </w:r>
    </w:p>
    <w:p w14:paraId="28035958" w14:textId="2C8C5338" w:rsidR="00C20606" w:rsidRPr="00675508" w:rsidRDefault="00C20606" w:rsidP="00091D72">
      <w:pPr>
        <w:rPr>
          <w:rFonts w:ascii="Garamond" w:hAnsi="Garamond" w:cstheme="minorHAnsi"/>
        </w:rPr>
      </w:pPr>
      <w:r w:rsidRPr="00675508">
        <w:rPr>
          <w:rFonts w:ascii="Garamond" w:hAnsi="Garamond" w:cstheme="minorHAnsi"/>
        </w:rPr>
        <w:t xml:space="preserve">The </w:t>
      </w:r>
      <w:r w:rsidRPr="00675508">
        <w:rPr>
          <w:rFonts w:ascii="Garamond" w:hAnsi="Garamond" w:cstheme="minorHAnsi"/>
          <w:b/>
        </w:rPr>
        <w:t>Emerging Power</w:t>
      </w:r>
      <w:r w:rsidRPr="00675508">
        <w:rPr>
          <w:rFonts w:ascii="Garamond" w:hAnsi="Garamond" w:cstheme="minorHAnsi"/>
        </w:rPr>
        <w:t xml:space="preserve"> </w:t>
      </w:r>
      <w:r w:rsidRPr="00675508">
        <w:rPr>
          <w:rFonts w:ascii="Garamond" w:hAnsi="Garamond" w:cstheme="minorHAnsi"/>
          <w:b/>
        </w:rPr>
        <w:t>theme</w:t>
      </w:r>
      <w:r w:rsidRPr="00675508">
        <w:rPr>
          <w:rFonts w:ascii="Garamond" w:hAnsi="Garamond" w:cstheme="minorHAnsi"/>
        </w:rPr>
        <w:t xml:space="preserve"> will focus on creating business models to </w:t>
      </w:r>
      <w:r w:rsidR="006600AA" w:rsidRPr="00675508">
        <w:rPr>
          <w:rFonts w:ascii="Garamond" w:hAnsi="Garamond" w:cstheme="minorHAnsi"/>
        </w:rPr>
        <w:t>meet</w:t>
      </w:r>
      <w:r w:rsidRPr="00675508">
        <w:rPr>
          <w:rFonts w:ascii="Garamond" w:hAnsi="Garamond" w:cstheme="minorHAnsi"/>
        </w:rPr>
        <w:t xml:space="preserve"> evolving customer demands </w:t>
      </w:r>
      <w:r w:rsidR="00A8163B" w:rsidRPr="00675508">
        <w:rPr>
          <w:rFonts w:ascii="Garamond" w:hAnsi="Garamond" w:cstheme="minorHAnsi"/>
        </w:rPr>
        <w:t>as society transitions</w:t>
      </w:r>
      <w:r w:rsidR="00A7557A" w:rsidRPr="00675508">
        <w:rPr>
          <w:rFonts w:ascii="Garamond" w:hAnsi="Garamond" w:cstheme="minorHAnsi"/>
        </w:rPr>
        <w:t xml:space="preserve"> to much greater levels of electrification</w:t>
      </w:r>
      <w:r w:rsidR="006600AA" w:rsidRPr="00675508">
        <w:rPr>
          <w:rFonts w:ascii="Garamond" w:hAnsi="Garamond" w:cstheme="minorHAnsi"/>
        </w:rPr>
        <w:t>.</w:t>
      </w:r>
    </w:p>
    <w:p w14:paraId="2153E6EF" w14:textId="57C17161" w:rsidR="00AF6A96" w:rsidRPr="00675508" w:rsidRDefault="006600AA">
      <w:pPr>
        <w:rPr>
          <w:rFonts w:ascii="Garamond" w:hAnsi="Garamond" w:cstheme="minorHAnsi"/>
        </w:rPr>
      </w:pPr>
      <w:r w:rsidRPr="00675508">
        <w:rPr>
          <w:rFonts w:ascii="Garamond" w:hAnsi="Garamond" w:cstheme="minorHAnsi"/>
        </w:rPr>
        <w:t>Shell reaffirm</w:t>
      </w:r>
      <w:r w:rsidR="004F4026" w:rsidRPr="00675508">
        <w:rPr>
          <w:rFonts w:ascii="Garamond" w:hAnsi="Garamond" w:cstheme="minorHAnsi"/>
        </w:rPr>
        <w:t>s</w:t>
      </w:r>
      <w:r w:rsidRPr="00675508">
        <w:rPr>
          <w:rFonts w:ascii="Garamond" w:hAnsi="Garamond" w:cstheme="minorHAnsi"/>
        </w:rPr>
        <w:t xml:space="preserve"> the role each of its businesses play in delivering the company’s performance and building on its foundation for the future</w:t>
      </w:r>
      <w:r w:rsidR="00AF6A96" w:rsidRPr="00675508">
        <w:rPr>
          <w:rFonts w:ascii="Garamond" w:hAnsi="Garamond" w:cstheme="minorHAnsi"/>
        </w:rPr>
        <w:t>:</w:t>
      </w:r>
    </w:p>
    <w:bookmarkEnd w:id="1"/>
    <w:p w14:paraId="33F6B65C" w14:textId="59DE6CFC" w:rsidR="000E3F2E" w:rsidRPr="00675508" w:rsidRDefault="00B465C4" w:rsidP="00CB7C29">
      <w:pPr>
        <w:rPr>
          <w:rFonts w:ascii="Garamond" w:hAnsi="Garamond" w:cstheme="minorHAnsi"/>
        </w:rPr>
      </w:pPr>
      <w:r w:rsidRPr="00675508">
        <w:rPr>
          <w:rFonts w:ascii="Garamond" w:hAnsi="Garamond" w:cstheme="minorHAnsi"/>
          <w:b/>
        </w:rPr>
        <w:t>Upstream</w:t>
      </w:r>
      <w:r w:rsidRPr="00675508">
        <w:rPr>
          <w:rFonts w:ascii="Garamond" w:hAnsi="Garamond" w:cstheme="minorHAnsi"/>
        </w:rPr>
        <w:t xml:space="preserve"> </w:t>
      </w:r>
      <w:r w:rsidR="00BA66B9" w:rsidRPr="00675508">
        <w:rPr>
          <w:rFonts w:ascii="Garamond" w:hAnsi="Garamond" w:cstheme="minorHAnsi"/>
        </w:rPr>
        <w:t xml:space="preserve">continues to focus on </w:t>
      </w:r>
      <w:r w:rsidR="006600AA" w:rsidRPr="00675508">
        <w:rPr>
          <w:rFonts w:ascii="Garamond" w:hAnsi="Garamond" w:cstheme="minorHAnsi"/>
        </w:rPr>
        <w:t>delivery</w:t>
      </w:r>
      <w:r w:rsidR="006C6286" w:rsidRPr="00675508">
        <w:rPr>
          <w:rFonts w:ascii="Garamond" w:hAnsi="Garamond" w:cstheme="minorHAnsi"/>
        </w:rPr>
        <w:t xml:space="preserve"> and</w:t>
      </w:r>
      <w:r w:rsidR="006600AA" w:rsidRPr="00675508">
        <w:rPr>
          <w:rFonts w:ascii="Garamond" w:hAnsi="Garamond" w:cstheme="minorHAnsi"/>
        </w:rPr>
        <w:t xml:space="preserve"> financial </w:t>
      </w:r>
      <w:r w:rsidR="006C6286" w:rsidRPr="00675508">
        <w:rPr>
          <w:rFonts w:ascii="Garamond" w:hAnsi="Garamond" w:cstheme="minorHAnsi"/>
        </w:rPr>
        <w:t>performance and</w:t>
      </w:r>
      <w:r w:rsidR="006600AA" w:rsidRPr="00675508">
        <w:rPr>
          <w:rFonts w:ascii="Garamond" w:hAnsi="Garamond" w:cstheme="minorHAnsi"/>
        </w:rPr>
        <w:t xml:space="preserve"> </w:t>
      </w:r>
      <w:r w:rsidR="003B0F00" w:rsidRPr="00675508">
        <w:rPr>
          <w:rFonts w:ascii="Garamond" w:hAnsi="Garamond" w:cstheme="minorHAnsi"/>
        </w:rPr>
        <w:t>is expected to</w:t>
      </w:r>
      <w:r w:rsidR="006600AA" w:rsidRPr="00675508">
        <w:rPr>
          <w:rFonts w:ascii="Garamond" w:hAnsi="Garamond" w:cstheme="minorHAnsi"/>
        </w:rPr>
        <w:t xml:space="preserve"> continue </w:t>
      </w:r>
      <w:r w:rsidR="00913049" w:rsidRPr="00675508">
        <w:rPr>
          <w:rFonts w:ascii="Garamond" w:hAnsi="Garamond" w:cstheme="minorHAnsi"/>
        </w:rPr>
        <w:t>generating</w:t>
      </w:r>
      <w:r w:rsidR="006600AA" w:rsidRPr="00675508">
        <w:rPr>
          <w:rFonts w:ascii="Garamond" w:hAnsi="Garamond" w:cstheme="minorHAnsi"/>
        </w:rPr>
        <w:t xml:space="preserve"> </w:t>
      </w:r>
      <w:r w:rsidR="00547EDB" w:rsidRPr="00675508">
        <w:rPr>
          <w:rFonts w:ascii="Garamond" w:hAnsi="Garamond" w:cstheme="minorHAnsi"/>
        </w:rPr>
        <w:t>robust</w:t>
      </w:r>
      <w:r w:rsidR="006600AA" w:rsidRPr="00675508">
        <w:rPr>
          <w:rFonts w:ascii="Garamond" w:hAnsi="Garamond" w:cstheme="minorHAnsi"/>
        </w:rPr>
        <w:t xml:space="preserve"> cash flow for decades to come.</w:t>
      </w:r>
      <w:r w:rsidR="000E3F2E" w:rsidRPr="00675508">
        <w:rPr>
          <w:rFonts w:ascii="Garamond" w:hAnsi="Garamond" w:cstheme="minorHAnsi"/>
        </w:rPr>
        <w:t xml:space="preserve"> </w:t>
      </w:r>
      <w:r w:rsidR="00901DE0" w:rsidRPr="00675508">
        <w:rPr>
          <w:rFonts w:ascii="Garamond" w:hAnsi="Garamond" w:cstheme="minorHAnsi"/>
        </w:rPr>
        <w:t>It ha</w:t>
      </w:r>
      <w:r w:rsidR="00A7557A" w:rsidRPr="00675508">
        <w:rPr>
          <w:rFonts w:ascii="Garamond" w:hAnsi="Garamond" w:cstheme="minorHAnsi"/>
        </w:rPr>
        <w:t>s</w:t>
      </w:r>
      <w:r w:rsidR="00901DE0" w:rsidRPr="00675508">
        <w:rPr>
          <w:rFonts w:ascii="Garamond" w:hAnsi="Garamond" w:cstheme="minorHAnsi"/>
        </w:rPr>
        <w:t xml:space="preserve"> a</w:t>
      </w:r>
      <w:r w:rsidR="008576A4" w:rsidRPr="00675508">
        <w:rPr>
          <w:rFonts w:ascii="Garamond" w:hAnsi="Garamond" w:cstheme="minorHAnsi"/>
        </w:rPr>
        <w:t xml:space="preserve"> </w:t>
      </w:r>
      <w:r w:rsidR="00913049" w:rsidRPr="00675508">
        <w:rPr>
          <w:rFonts w:ascii="Garamond" w:hAnsi="Garamond" w:cstheme="minorHAnsi"/>
        </w:rPr>
        <w:t xml:space="preserve">strong </w:t>
      </w:r>
      <w:r w:rsidR="008576A4" w:rsidRPr="00675508">
        <w:rPr>
          <w:rFonts w:ascii="Garamond" w:hAnsi="Garamond" w:cstheme="minorHAnsi"/>
        </w:rPr>
        <w:t>development funnel</w:t>
      </w:r>
      <w:r w:rsidR="00A258A4" w:rsidRPr="00675508">
        <w:rPr>
          <w:rFonts w:ascii="Garamond" w:hAnsi="Garamond" w:cstheme="minorHAnsi"/>
        </w:rPr>
        <w:t xml:space="preserve"> of projects that </w:t>
      </w:r>
      <w:r w:rsidR="004E52AE" w:rsidRPr="00675508">
        <w:rPr>
          <w:rFonts w:ascii="Garamond" w:hAnsi="Garamond" w:cstheme="minorHAnsi"/>
        </w:rPr>
        <w:t>offers long</w:t>
      </w:r>
      <w:r w:rsidR="006C6286" w:rsidRPr="00675508">
        <w:rPr>
          <w:rFonts w:ascii="Garamond" w:hAnsi="Garamond" w:cstheme="minorHAnsi"/>
        </w:rPr>
        <w:t>-</w:t>
      </w:r>
      <w:r w:rsidR="004E52AE" w:rsidRPr="00675508">
        <w:rPr>
          <w:rFonts w:ascii="Garamond" w:hAnsi="Garamond" w:cstheme="minorHAnsi"/>
        </w:rPr>
        <w:t>life, resilient growth opportunities</w:t>
      </w:r>
      <w:r w:rsidR="00607FF2" w:rsidRPr="00675508">
        <w:rPr>
          <w:rFonts w:ascii="Garamond" w:hAnsi="Garamond" w:cstheme="minorHAnsi"/>
        </w:rPr>
        <w:t>.</w:t>
      </w:r>
      <w:r w:rsidR="00CF679A" w:rsidRPr="00675508">
        <w:rPr>
          <w:rFonts w:ascii="Garamond" w:hAnsi="Garamond" w:cstheme="minorHAnsi"/>
        </w:rPr>
        <w:t xml:space="preserve"> </w:t>
      </w:r>
    </w:p>
    <w:p w14:paraId="287103F6" w14:textId="03677754" w:rsidR="00D84E31" w:rsidRPr="00675508" w:rsidRDefault="006600AA" w:rsidP="00CB7C29">
      <w:pPr>
        <w:rPr>
          <w:rFonts w:ascii="Garamond" w:hAnsi="Garamond" w:cstheme="minorHAnsi"/>
        </w:rPr>
      </w:pPr>
      <w:r w:rsidRPr="00675508">
        <w:rPr>
          <w:rFonts w:ascii="Garamond" w:hAnsi="Garamond" w:cstheme="minorHAnsi"/>
        </w:rPr>
        <w:t xml:space="preserve">The </w:t>
      </w:r>
      <w:r w:rsidR="00B465C4" w:rsidRPr="00675508">
        <w:rPr>
          <w:rFonts w:ascii="Garamond" w:hAnsi="Garamond" w:cstheme="minorHAnsi"/>
          <w:b/>
        </w:rPr>
        <w:t>Integrated Gas</w:t>
      </w:r>
      <w:r w:rsidR="00D84E31" w:rsidRPr="00675508">
        <w:rPr>
          <w:rFonts w:ascii="Garamond" w:hAnsi="Garamond" w:cstheme="minorHAnsi"/>
        </w:rPr>
        <w:t xml:space="preserve"> business </w:t>
      </w:r>
      <w:r w:rsidR="00D74794" w:rsidRPr="00675508">
        <w:rPr>
          <w:rFonts w:ascii="Garamond" w:hAnsi="Garamond" w:cstheme="minorHAnsi"/>
        </w:rPr>
        <w:t>is expected to</w:t>
      </w:r>
      <w:r w:rsidR="00D84E31" w:rsidRPr="00675508">
        <w:rPr>
          <w:rFonts w:ascii="Garamond" w:hAnsi="Garamond" w:cstheme="minorHAnsi"/>
        </w:rPr>
        <w:t xml:space="preserve"> attract investment to maintain</w:t>
      </w:r>
      <w:r w:rsidR="00254D4B" w:rsidRPr="00675508">
        <w:rPr>
          <w:rFonts w:ascii="Garamond" w:hAnsi="Garamond" w:cstheme="minorHAnsi"/>
        </w:rPr>
        <w:t xml:space="preserve"> and grow its position</w:t>
      </w:r>
      <w:r w:rsidR="00161CF1" w:rsidRPr="00675508">
        <w:rPr>
          <w:rFonts w:ascii="Garamond" w:hAnsi="Garamond" w:cstheme="minorHAnsi"/>
        </w:rPr>
        <w:t>s</w:t>
      </w:r>
      <w:r w:rsidR="004E52AE" w:rsidRPr="00675508">
        <w:rPr>
          <w:rFonts w:ascii="Garamond" w:hAnsi="Garamond" w:cstheme="minorHAnsi"/>
        </w:rPr>
        <w:t xml:space="preserve"> </w:t>
      </w:r>
      <w:r w:rsidR="00161CF1" w:rsidRPr="00675508">
        <w:rPr>
          <w:rFonts w:ascii="Garamond" w:hAnsi="Garamond" w:cstheme="minorHAnsi"/>
        </w:rPr>
        <w:t>through</w:t>
      </w:r>
      <w:r w:rsidR="00254D4B" w:rsidRPr="00675508">
        <w:rPr>
          <w:rFonts w:ascii="Garamond" w:hAnsi="Garamond" w:cstheme="minorHAnsi"/>
        </w:rPr>
        <w:t xml:space="preserve"> </w:t>
      </w:r>
      <w:r w:rsidR="00D84E31" w:rsidRPr="00675508">
        <w:rPr>
          <w:rFonts w:ascii="Garamond" w:hAnsi="Garamond" w:cstheme="minorHAnsi"/>
        </w:rPr>
        <w:t xml:space="preserve">competitive </w:t>
      </w:r>
      <w:r w:rsidR="00607FF2" w:rsidRPr="00675508">
        <w:rPr>
          <w:rFonts w:ascii="Garamond" w:hAnsi="Garamond" w:cstheme="minorHAnsi"/>
        </w:rPr>
        <w:t xml:space="preserve">options </w:t>
      </w:r>
      <w:r w:rsidR="00A7557A" w:rsidRPr="00675508">
        <w:rPr>
          <w:rFonts w:ascii="Garamond" w:hAnsi="Garamond" w:cstheme="minorHAnsi"/>
        </w:rPr>
        <w:t>for future development</w:t>
      </w:r>
      <w:r w:rsidR="00D84E31" w:rsidRPr="00675508">
        <w:rPr>
          <w:rFonts w:ascii="Garamond" w:hAnsi="Garamond" w:cstheme="minorHAnsi"/>
        </w:rPr>
        <w:t xml:space="preserve">. </w:t>
      </w:r>
      <w:r w:rsidR="00055E6A" w:rsidRPr="00675508">
        <w:rPr>
          <w:rFonts w:ascii="Garamond" w:hAnsi="Garamond" w:cstheme="minorHAnsi"/>
        </w:rPr>
        <w:t>Natural</w:t>
      </w:r>
      <w:r w:rsidR="00B908E7" w:rsidRPr="00675508">
        <w:rPr>
          <w:rFonts w:ascii="Garamond" w:hAnsi="Garamond" w:cstheme="minorHAnsi"/>
        </w:rPr>
        <w:t xml:space="preserve"> gas and </w:t>
      </w:r>
      <w:r w:rsidR="00901DE0" w:rsidRPr="00675508">
        <w:rPr>
          <w:rFonts w:ascii="Garamond" w:hAnsi="Garamond" w:cstheme="minorHAnsi"/>
        </w:rPr>
        <w:t>liquefied natural gas</w:t>
      </w:r>
      <w:r w:rsidR="00D74794" w:rsidRPr="00675508">
        <w:rPr>
          <w:rFonts w:ascii="Garamond" w:hAnsi="Garamond" w:cstheme="minorHAnsi"/>
        </w:rPr>
        <w:t xml:space="preserve"> </w:t>
      </w:r>
      <w:r w:rsidR="00055E6A" w:rsidRPr="00675508">
        <w:rPr>
          <w:rFonts w:ascii="Garamond" w:hAnsi="Garamond" w:cstheme="minorHAnsi"/>
        </w:rPr>
        <w:t xml:space="preserve">are </w:t>
      </w:r>
      <w:r w:rsidR="00D74794" w:rsidRPr="00675508">
        <w:rPr>
          <w:rFonts w:ascii="Garamond" w:hAnsi="Garamond" w:cstheme="minorHAnsi"/>
        </w:rPr>
        <w:t>expected to</w:t>
      </w:r>
      <w:r w:rsidR="00901DE0" w:rsidRPr="00675508">
        <w:rPr>
          <w:rFonts w:ascii="Garamond" w:hAnsi="Garamond" w:cstheme="minorHAnsi"/>
        </w:rPr>
        <w:t xml:space="preserve"> continue to </w:t>
      </w:r>
      <w:r w:rsidR="00055E6A" w:rsidRPr="00675508">
        <w:rPr>
          <w:rFonts w:ascii="Garamond" w:hAnsi="Garamond" w:cstheme="minorHAnsi"/>
        </w:rPr>
        <w:t xml:space="preserve">experience </w:t>
      </w:r>
      <w:r w:rsidR="00901DE0" w:rsidRPr="00675508">
        <w:rPr>
          <w:rFonts w:ascii="Garamond" w:hAnsi="Garamond" w:cstheme="minorHAnsi"/>
        </w:rPr>
        <w:t>strong demand</w:t>
      </w:r>
      <w:r w:rsidR="00A7557A" w:rsidRPr="00675508">
        <w:rPr>
          <w:rFonts w:ascii="Garamond" w:hAnsi="Garamond" w:cstheme="minorHAnsi"/>
        </w:rPr>
        <w:t xml:space="preserve"> as</w:t>
      </w:r>
      <w:r w:rsidR="00901DE0" w:rsidRPr="00675508">
        <w:rPr>
          <w:rFonts w:ascii="Garamond" w:hAnsi="Garamond" w:cstheme="minorHAnsi"/>
        </w:rPr>
        <w:t xml:space="preserve"> </w:t>
      </w:r>
      <w:r w:rsidR="00B908E7" w:rsidRPr="00675508">
        <w:rPr>
          <w:rFonts w:ascii="Garamond" w:hAnsi="Garamond" w:cstheme="minorHAnsi"/>
        </w:rPr>
        <w:t>the world</w:t>
      </w:r>
      <w:r w:rsidR="00161CF1" w:rsidRPr="00675508">
        <w:rPr>
          <w:rFonts w:ascii="Garamond" w:hAnsi="Garamond" w:cstheme="minorHAnsi"/>
        </w:rPr>
        <w:t xml:space="preserve"> </w:t>
      </w:r>
      <w:r w:rsidR="00B908E7" w:rsidRPr="00675508">
        <w:rPr>
          <w:rFonts w:ascii="Garamond" w:hAnsi="Garamond" w:cstheme="minorHAnsi"/>
        </w:rPr>
        <w:t>tackles climate change</w:t>
      </w:r>
      <w:r w:rsidR="00901DE0" w:rsidRPr="00675508">
        <w:rPr>
          <w:rFonts w:ascii="Garamond" w:hAnsi="Garamond" w:cstheme="minorHAnsi"/>
        </w:rPr>
        <w:t>, poor air quality and</w:t>
      </w:r>
      <w:r w:rsidR="00161CF1" w:rsidRPr="00675508">
        <w:rPr>
          <w:rFonts w:ascii="Garamond" w:hAnsi="Garamond" w:cstheme="minorHAnsi"/>
        </w:rPr>
        <w:t xml:space="preserve"> population growth</w:t>
      </w:r>
      <w:r w:rsidR="00901DE0" w:rsidRPr="00675508">
        <w:rPr>
          <w:rFonts w:ascii="Garamond" w:hAnsi="Garamond" w:cstheme="minorHAnsi"/>
        </w:rPr>
        <w:t>.</w:t>
      </w:r>
    </w:p>
    <w:p w14:paraId="45B3A9EF" w14:textId="5C36EF2A" w:rsidR="00161CF1" w:rsidRPr="00675508" w:rsidRDefault="00B465C4" w:rsidP="00CB7C29">
      <w:pPr>
        <w:rPr>
          <w:rFonts w:ascii="Garamond" w:hAnsi="Garamond" w:cstheme="minorHAnsi"/>
        </w:rPr>
      </w:pPr>
      <w:r w:rsidRPr="00675508">
        <w:rPr>
          <w:rFonts w:ascii="Garamond" w:hAnsi="Garamond" w:cstheme="minorHAnsi"/>
          <w:b/>
        </w:rPr>
        <w:t xml:space="preserve">Downstream </w:t>
      </w:r>
      <w:r w:rsidR="00161CF1" w:rsidRPr="00675508">
        <w:rPr>
          <w:rFonts w:ascii="Garamond" w:hAnsi="Garamond" w:cstheme="minorHAnsi"/>
        </w:rPr>
        <w:t xml:space="preserve">continues to deliver strong financial performance due to highly integrated refining, trading and marketing operations, premium products, </w:t>
      </w:r>
      <w:r w:rsidR="00901DE0" w:rsidRPr="00675508">
        <w:rPr>
          <w:rFonts w:ascii="Garamond" w:hAnsi="Garamond" w:cstheme="minorHAnsi"/>
        </w:rPr>
        <w:t>as well as</w:t>
      </w:r>
      <w:r w:rsidR="00161CF1" w:rsidRPr="00675508">
        <w:rPr>
          <w:rFonts w:ascii="Garamond" w:hAnsi="Garamond" w:cstheme="minorHAnsi"/>
        </w:rPr>
        <w:t xml:space="preserve"> competitive growth in the Chemicals business. Strong brand and customer reach </w:t>
      </w:r>
      <w:r w:rsidR="00055E6A" w:rsidRPr="00675508">
        <w:rPr>
          <w:rFonts w:ascii="Garamond" w:hAnsi="Garamond" w:cstheme="minorHAnsi"/>
        </w:rPr>
        <w:t xml:space="preserve">will continue to </w:t>
      </w:r>
      <w:r w:rsidR="006C6286" w:rsidRPr="00675508">
        <w:rPr>
          <w:rFonts w:ascii="Garamond" w:hAnsi="Garamond" w:cstheme="minorHAnsi"/>
        </w:rPr>
        <w:t>be</w:t>
      </w:r>
      <w:r w:rsidR="00055E6A" w:rsidRPr="00675508">
        <w:rPr>
          <w:rFonts w:ascii="Garamond" w:hAnsi="Garamond" w:cstheme="minorHAnsi"/>
        </w:rPr>
        <w:t xml:space="preserve"> a differentiator for Shell and underpin growth in</w:t>
      </w:r>
      <w:r w:rsidR="00901DE0" w:rsidRPr="00675508">
        <w:rPr>
          <w:rFonts w:ascii="Garamond" w:hAnsi="Garamond" w:cstheme="minorHAnsi"/>
        </w:rPr>
        <w:t xml:space="preserve"> its Downstream businesses.</w:t>
      </w:r>
      <w:r w:rsidR="00161CF1" w:rsidRPr="00675508">
        <w:rPr>
          <w:rFonts w:ascii="Garamond" w:hAnsi="Garamond" w:cstheme="minorHAnsi"/>
          <w:b/>
        </w:rPr>
        <w:t xml:space="preserve"> </w:t>
      </w:r>
    </w:p>
    <w:p w14:paraId="4FFDF9B6" w14:textId="57851069" w:rsidR="008E1C18" w:rsidRPr="00675508" w:rsidRDefault="008576A4">
      <w:pPr>
        <w:rPr>
          <w:rFonts w:ascii="Garamond" w:hAnsi="Garamond" w:cstheme="minorHAnsi"/>
        </w:rPr>
      </w:pPr>
      <w:r w:rsidRPr="00675508">
        <w:rPr>
          <w:rFonts w:ascii="Garamond" w:hAnsi="Garamond" w:cstheme="minorHAnsi"/>
        </w:rPr>
        <w:t xml:space="preserve">Shell continues to develop its </w:t>
      </w:r>
      <w:r w:rsidR="000E3F2E" w:rsidRPr="00675508">
        <w:rPr>
          <w:rFonts w:ascii="Garamond" w:hAnsi="Garamond" w:cstheme="minorHAnsi"/>
          <w:b/>
        </w:rPr>
        <w:t>Power</w:t>
      </w:r>
      <w:r w:rsidRPr="00675508">
        <w:rPr>
          <w:rFonts w:ascii="Garamond" w:hAnsi="Garamond" w:cstheme="minorHAnsi"/>
        </w:rPr>
        <w:t xml:space="preserve"> business</w:t>
      </w:r>
      <w:r w:rsidR="00901DE0" w:rsidRPr="00675508">
        <w:rPr>
          <w:rFonts w:ascii="Garamond" w:hAnsi="Garamond" w:cstheme="minorHAnsi"/>
        </w:rPr>
        <w:t>.</w:t>
      </w:r>
      <w:r w:rsidR="007C62D2" w:rsidRPr="00675508">
        <w:rPr>
          <w:rFonts w:ascii="Garamond" w:hAnsi="Garamond" w:cstheme="minorHAnsi"/>
        </w:rPr>
        <w:t xml:space="preserve"> </w:t>
      </w:r>
      <w:r w:rsidR="00901DE0" w:rsidRPr="00675508">
        <w:rPr>
          <w:rFonts w:ascii="Garamond" w:hAnsi="Garamond" w:cstheme="minorHAnsi"/>
        </w:rPr>
        <w:t xml:space="preserve">The company </w:t>
      </w:r>
      <w:r w:rsidR="001C5B23" w:rsidRPr="00675508">
        <w:rPr>
          <w:rFonts w:ascii="Garamond" w:hAnsi="Garamond" w:cstheme="minorHAnsi"/>
        </w:rPr>
        <w:t>plans to</w:t>
      </w:r>
      <w:r w:rsidR="007C62D2" w:rsidRPr="00675508">
        <w:rPr>
          <w:rFonts w:ascii="Garamond" w:hAnsi="Garamond" w:cstheme="minorHAnsi"/>
        </w:rPr>
        <w:t xml:space="preserve"> </w:t>
      </w:r>
      <w:r w:rsidR="00901DE0" w:rsidRPr="00675508">
        <w:rPr>
          <w:rFonts w:ascii="Garamond" w:hAnsi="Garamond" w:cstheme="minorHAnsi"/>
        </w:rPr>
        <w:t xml:space="preserve">seek </w:t>
      </w:r>
      <w:r w:rsidR="007C62D2" w:rsidRPr="00675508">
        <w:rPr>
          <w:rFonts w:ascii="Garamond" w:hAnsi="Garamond" w:cstheme="minorHAnsi"/>
        </w:rPr>
        <w:t xml:space="preserve">new </w:t>
      </w:r>
      <w:r w:rsidR="00901DE0" w:rsidRPr="00675508">
        <w:rPr>
          <w:rFonts w:ascii="Garamond" w:hAnsi="Garamond" w:cstheme="minorHAnsi"/>
        </w:rPr>
        <w:t>opportunities to grow this business as the role of electricity increases in the global en</w:t>
      </w:r>
      <w:r w:rsidR="00284C3A" w:rsidRPr="00675508">
        <w:rPr>
          <w:rFonts w:ascii="Garamond" w:hAnsi="Garamond" w:cstheme="minorHAnsi"/>
        </w:rPr>
        <w:t xml:space="preserve">ergy system and </w:t>
      </w:r>
      <w:r w:rsidR="00901DE0" w:rsidRPr="00675508">
        <w:rPr>
          <w:rFonts w:ascii="Garamond" w:hAnsi="Garamond" w:cstheme="minorHAnsi"/>
        </w:rPr>
        <w:t>consumers</w:t>
      </w:r>
      <w:r w:rsidR="00284C3A" w:rsidRPr="00675508">
        <w:rPr>
          <w:rFonts w:ascii="Garamond" w:hAnsi="Garamond" w:cstheme="minorHAnsi"/>
        </w:rPr>
        <w:t>’ needs evolve.</w:t>
      </w:r>
      <w:r w:rsidR="00901DE0" w:rsidRPr="00675508">
        <w:rPr>
          <w:rFonts w:ascii="Garamond" w:hAnsi="Garamond" w:cstheme="minorHAnsi"/>
        </w:rPr>
        <w:t xml:space="preserve"> </w:t>
      </w:r>
      <w:r w:rsidR="007C62D2" w:rsidRPr="00675508">
        <w:rPr>
          <w:rFonts w:ascii="Garamond" w:hAnsi="Garamond" w:cstheme="minorHAnsi"/>
        </w:rPr>
        <w:t xml:space="preserve">The returns </w:t>
      </w:r>
      <w:r w:rsidR="00284C3A" w:rsidRPr="00675508">
        <w:rPr>
          <w:rFonts w:ascii="Garamond" w:hAnsi="Garamond" w:cstheme="minorHAnsi"/>
        </w:rPr>
        <w:t xml:space="preserve">Shell achieves </w:t>
      </w:r>
      <w:r w:rsidR="007C62D2" w:rsidRPr="00675508">
        <w:rPr>
          <w:rFonts w:ascii="Garamond" w:hAnsi="Garamond" w:cstheme="minorHAnsi"/>
        </w:rPr>
        <w:t xml:space="preserve">will drive </w:t>
      </w:r>
      <w:r w:rsidR="00337977" w:rsidRPr="00675508">
        <w:rPr>
          <w:rFonts w:ascii="Garamond" w:hAnsi="Garamond" w:cstheme="minorHAnsi"/>
        </w:rPr>
        <w:t>the</w:t>
      </w:r>
      <w:r w:rsidR="007C62D2" w:rsidRPr="00675508">
        <w:rPr>
          <w:rFonts w:ascii="Garamond" w:hAnsi="Garamond" w:cstheme="minorHAnsi"/>
        </w:rPr>
        <w:t xml:space="preserve"> pace </w:t>
      </w:r>
      <w:r w:rsidR="00284C3A" w:rsidRPr="00675508">
        <w:rPr>
          <w:rFonts w:ascii="Garamond" w:hAnsi="Garamond" w:cstheme="minorHAnsi"/>
        </w:rPr>
        <w:t>of growth</w:t>
      </w:r>
      <w:r w:rsidR="00AF6A96" w:rsidRPr="00675508">
        <w:rPr>
          <w:rFonts w:ascii="Garamond" w:hAnsi="Garamond" w:cstheme="minorHAnsi"/>
        </w:rPr>
        <w:t xml:space="preserve"> in Power</w:t>
      </w:r>
      <w:r w:rsidR="00284C3A" w:rsidRPr="00675508">
        <w:rPr>
          <w:rFonts w:ascii="Garamond" w:hAnsi="Garamond" w:cstheme="minorHAnsi"/>
        </w:rPr>
        <w:t>.</w:t>
      </w:r>
      <w:r w:rsidR="007C62D2" w:rsidRPr="00675508">
        <w:rPr>
          <w:rFonts w:ascii="Garamond" w:hAnsi="Garamond" w:cstheme="minorHAnsi"/>
        </w:rPr>
        <w:t xml:space="preserve"> </w:t>
      </w:r>
      <w:r w:rsidR="008E1C18" w:rsidRPr="00675508">
        <w:rPr>
          <w:rFonts w:ascii="Garamond" w:hAnsi="Garamond" w:cstheme="minorHAnsi"/>
        </w:rPr>
        <w:t xml:space="preserve">  </w:t>
      </w:r>
    </w:p>
    <w:p w14:paraId="28944F22" w14:textId="11912A7B" w:rsidR="00790AB1" w:rsidRPr="00675508" w:rsidRDefault="00CE2D3E">
      <w:pPr>
        <w:rPr>
          <w:rFonts w:ascii="Garamond" w:hAnsi="Garamond" w:cstheme="minorHAnsi"/>
        </w:rPr>
      </w:pPr>
      <w:r w:rsidRPr="00675508">
        <w:rPr>
          <w:rFonts w:ascii="Garamond" w:hAnsi="Garamond" w:cstheme="minorHAnsi"/>
        </w:rPr>
        <w:t xml:space="preserve">Ben </w:t>
      </w:r>
      <w:r w:rsidR="00913049" w:rsidRPr="00675508">
        <w:rPr>
          <w:rFonts w:ascii="Garamond" w:hAnsi="Garamond" w:cstheme="minorHAnsi"/>
        </w:rPr>
        <w:t>v</w:t>
      </w:r>
      <w:r w:rsidRPr="00675508">
        <w:rPr>
          <w:rFonts w:ascii="Garamond" w:hAnsi="Garamond" w:cstheme="minorHAnsi"/>
        </w:rPr>
        <w:t xml:space="preserve">an Beurden said, </w:t>
      </w:r>
      <w:r w:rsidR="00AF6A96" w:rsidRPr="00675508">
        <w:rPr>
          <w:rFonts w:ascii="Garamond" w:hAnsi="Garamond" w:cstheme="minorHAnsi"/>
        </w:rPr>
        <w:t xml:space="preserve">“All this adds up to a forward-looking </w:t>
      </w:r>
      <w:r w:rsidR="00C97C20" w:rsidRPr="00675508">
        <w:rPr>
          <w:rFonts w:ascii="Garamond" w:hAnsi="Garamond" w:cstheme="minorHAnsi"/>
        </w:rPr>
        <w:t xml:space="preserve">strategy </w:t>
      </w:r>
      <w:r w:rsidR="00AF6A96" w:rsidRPr="00675508">
        <w:rPr>
          <w:rFonts w:ascii="Garamond" w:hAnsi="Garamond" w:cstheme="minorHAnsi"/>
        </w:rPr>
        <w:t xml:space="preserve">that </w:t>
      </w:r>
      <w:r w:rsidR="00C97C20" w:rsidRPr="00675508">
        <w:rPr>
          <w:rFonts w:ascii="Garamond" w:hAnsi="Garamond" w:cstheme="minorHAnsi"/>
        </w:rPr>
        <w:t>ensures</w:t>
      </w:r>
      <w:r w:rsidR="00913049" w:rsidRPr="00675508">
        <w:rPr>
          <w:rFonts w:ascii="Garamond" w:hAnsi="Garamond" w:cstheme="minorHAnsi"/>
        </w:rPr>
        <w:t xml:space="preserve"> Shell </w:t>
      </w:r>
      <w:r w:rsidR="00C97C20" w:rsidRPr="00675508">
        <w:rPr>
          <w:rFonts w:ascii="Garamond" w:hAnsi="Garamond" w:cstheme="minorHAnsi"/>
        </w:rPr>
        <w:t xml:space="preserve">is </w:t>
      </w:r>
      <w:r w:rsidR="00AF6A96" w:rsidRPr="00675508">
        <w:rPr>
          <w:rFonts w:ascii="Garamond" w:hAnsi="Garamond" w:cstheme="minorHAnsi"/>
        </w:rPr>
        <w:t xml:space="preserve">well-placed to </w:t>
      </w:r>
      <w:r w:rsidR="00BA66B9" w:rsidRPr="00675508">
        <w:rPr>
          <w:rFonts w:ascii="Garamond" w:hAnsi="Garamond" w:cstheme="minorHAnsi"/>
        </w:rPr>
        <w:t xml:space="preserve">continue to </w:t>
      </w:r>
      <w:r w:rsidR="00055E6A" w:rsidRPr="00675508">
        <w:rPr>
          <w:rFonts w:ascii="Garamond" w:hAnsi="Garamond" w:cstheme="minorHAnsi"/>
        </w:rPr>
        <w:t xml:space="preserve">deliver a world class investment case </w:t>
      </w:r>
      <w:r w:rsidR="00BA66B9" w:rsidRPr="00675508">
        <w:rPr>
          <w:rFonts w:ascii="Garamond" w:hAnsi="Garamond" w:cstheme="minorHAnsi"/>
        </w:rPr>
        <w:t>and thrive in the energy transition</w:t>
      </w:r>
      <w:r w:rsidR="00055E6A" w:rsidRPr="00675508">
        <w:rPr>
          <w:rFonts w:ascii="Garamond" w:hAnsi="Garamond" w:cstheme="minorHAnsi"/>
        </w:rPr>
        <w:t>.</w:t>
      </w:r>
      <w:r w:rsidR="00AF6A96" w:rsidRPr="00675508">
        <w:rPr>
          <w:rFonts w:ascii="Garamond" w:hAnsi="Garamond" w:cstheme="minorHAnsi"/>
        </w:rPr>
        <w:t>”</w:t>
      </w:r>
    </w:p>
    <w:p w14:paraId="10791271" w14:textId="77777777" w:rsidR="00675508" w:rsidRPr="00675508" w:rsidRDefault="00675508" w:rsidP="00675508">
      <w:pPr>
        <w:pStyle w:val="NoSpacing"/>
        <w:rPr>
          <w:rFonts w:ascii="Garamond" w:hAnsi="Garamond"/>
          <w:b/>
        </w:rPr>
      </w:pPr>
    </w:p>
    <w:p w14:paraId="3E19446A" w14:textId="00EFF43A" w:rsidR="00675508" w:rsidRPr="00675508" w:rsidRDefault="00675508" w:rsidP="00675508">
      <w:pPr>
        <w:pStyle w:val="NoSpacing"/>
        <w:rPr>
          <w:rFonts w:ascii="Garamond" w:hAnsi="Garamond"/>
          <w:b/>
        </w:rPr>
      </w:pPr>
      <w:r w:rsidRPr="00675508">
        <w:rPr>
          <w:rFonts w:ascii="Garamond" w:hAnsi="Garamond"/>
          <w:b/>
        </w:rPr>
        <w:t>Royal Dutch Shell plc</w:t>
      </w:r>
    </w:p>
    <w:p w14:paraId="4BA8C775" w14:textId="76ED7525" w:rsidR="00BE093C" w:rsidRPr="00675508" w:rsidRDefault="00675508" w:rsidP="00675508">
      <w:pPr>
        <w:pStyle w:val="NoSpacing"/>
        <w:rPr>
          <w:rFonts w:ascii="Garamond" w:hAnsi="Garamond"/>
          <w:b/>
        </w:rPr>
      </w:pPr>
      <w:r w:rsidRPr="00675508">
        <w:rPr>
          <w:rFonts w:ascii="Garamond" w:hAnsi="Garamond"/>
          <w:b/>
        </w:rPr>
        <w:t>The Hague, June 4, 2019</w:t>
      </w:r>
    </w:p>
    <w:p w14:paraId="3B0C6853" w14:textId="650ADC51" w:rsidR="00675508" w:rsidRDefault="00675508" w:rsidP="00675508">
      <w:pPr>
        <w:pStyle w:val="NoSpacing"/>
        <w:rPr>
          <w:rFonts w:ascii="Garamond" w:hAnsi="Garamond"/>
          <w:b/>
        </w:rPr>
      </w:pPr>
    </w:p>
    <w:p w14:paraId="6CB2FBEC" w14:textId="77777777" w:rsidR="00FA53A0" w:rsidRPr="00675508" w:rsidRDefault="00FA53A0" w:rsidP="00675508">
      <w:pPr>
        <w:pStyle w:val="NoSpacing"/>
        <w:rPr>
          <w:rFonts w:ascii="Garamond" w:hAnsi="Garamond"/>
          <w:b/>
        </w:rPr>
      </w:pPr>
    </w:p>
    <w:p w14:paraId="5D0EA554" w14:textId="660B1297" w:rsidR="00675508" w:rsidRPr="00675508" w:rsidRDefault="00675508" w:rsidP="00675508">
      <w:pPr>
        <w:pStyle w:val="NoSpacing"/>
        <w:rPr>
          <w:rFonts w:ascii="Garamond" w:hAnsi="Garamond"/>
          <w:b/>
        </w:rPr>
      </w:pPr>
      <w:r w:rsidRPr="00675508">
        <w:rPr>
          <w:rFonts w:ascii="Garamond" w:hAnsi="Garamond"/>
          <w:b/>
        </w:rPr>
        <w:t xml:space="preserve">Enquiries: </w:t>
      </w:r>
    </w:p>
    <w:p w14:paraId="195996D4" w14:textId="51D50DE9" w:rsidR="007C62D2" w:rsidRPr="00675508" w:rsidRDefault="007C62D2" w:rsidP="00675508">
      <w:pPr>
        <w:pStyle w:val="NoSpacing"/>
        <w:rPr>
          <w:rFonts w:ascii="Garamond" w:hAnsi="Garamond"/>
          <w:b/>
        </w:rPr>
      </w:pPr>
      <w:r w:rsidRPr="00675508">
        <w:rPr>
          <w:rFonts w:ascii="Garamond" w:hAnsi="Garamond"/>
          <w:b/>
        </w:rPr>
        <w:t>Investor Relations</w:t>
      </w:r>
    </w:p>
    <w:p w14:paraId="1CFBFD76" w14:textId="00328A6C" w:rsidR="007C62D2" w:rsidRPr="00675508" w:rsidRDefault="007C62D2" w:rsidP="00675508">
      <w:pPr>
        <w:pStyle w:val="NoSpacing"/>
        <w:rPr>
          <w:rFonts w:ascii="Garamond" w:hAnsi="Garamond"/>
        </w:rPr>
      </w:pPr>
      <w:r w:rsidRPr="00675508">
        <w:rPr>
          <w:rFonts w:ascii="Garamond" w:hAnsi="Garamond"/>
        </w:rPr>
        <w:t xml:space="preserve">Europe: </w:t>
      </w:r>
      <w:r w:rsidR="00675508" w:rsidRPr="00675508">
        <w:rPr>
          <w:rFonts w:ascii="Garamond" w:hAnsi="Garamond"/>
        </w:rPr>
        <w:tab/>
      </w:r>
      <w:r w:rsidR="00675508" w:rsidRPr="00675508">
        <w:rPr>
          <w:rFonts w:ascii="Garamond" w:hAnsi="Garamond"/>
        </w:rPr>
        <w:tab/>
      </w:r>
      <w:r w:rsidRPr="00675508">
        <w:rPr>
          <w:rFonts w:ascii="Garamond" w:hAnsi="Garamond"/>
        </w:rPr>
        <w:t>+ 31 70 377 4540</w:t>
      </w:r>
    </w:p>
    <w:p w14:paraId="0A37656C" w14:textId="2BF36998" w:rsidR="007C62D2" w:rsidRPr="00675508" w:rsidRDefault="007C62D2" w:rsidP="00675508">
      <w:pPr>
        <w:pStyle w:val="NoSpacing"/>
        <w:rPr>
          <w:rFonts w:ascii="Garamond" w:hAnsi="Garamond"/>
        </w:rPr>
      </w:pPr>
      <w:r w:rsidRPr="00675508">
        <w:rPr>
          <w:rFonts w:ascii="Garamond" w:hAnsi="Garamond"/>
        </w:rPr>
        <w:t xml:space="preserve">North America: </w:t>
      </w:r>
      <w:r w:rsidR="00675508" w:rsidRPr="00675508">
        <w:rPr>
          <w:rFonts w:ascii="Garamond" w:hAnsi="Garamond"/>
        </w:rPr>
        <w:tab/>
      </w:r>
      <w:r w:rsidR="00675508" w:rsidRPr="00675508">
        <w:rPr>
          <w:rFonts w:ascii="Garamond" w:hAnsi="Garamond"/>
        </w:rPr>
        <w:tab/>
      </w:r>
      <w:r w:rsidRPr="00675508">
        <w:rPr>
          <w:rFonts w:ascii="Garamond" w:hAnsi="Garamond"/>
        </w:rPr>
        <w:t>+1 832 337 2034</w:t>
      </w:r>
    </w:p>
    <w:p w14:paraId="18EE43DE" w14:textId="77777777" w:rsidR="00675508" w:rsidRPr="00675508" w:rsidRDefault="00675508" w:rsidP="00675508">
      <w:pPr>
        <w:pStyle w:val="NoSpacing"/>
        <w:rPr>
          <w:rFonts w:ascii="Garamond" w:hAnsi="Garamond"/>
          <w:b/>
        </w:rPr>
      </w:pPr>
    </w:p>
    <w:p w14:paraId="043E9EEC" w14:textId="0FC52377" w:rsidR="007C62D2" w:rsidRPr="00675508" w:rsidRDefault="007C62D2" w:rsidP="00675508">
      <w:pPr>
        <w:pStyle w:val="NoSpacing"/>
        <w:rPr>
          <w:rFonts w:ascii="Garamond" w:hAnsi="Garamond"/>
          <w:b/>
        </w:rPr>
      </w:pPr>
      <w:r w:rsidRPr="00675508">
        <w:rPr>
          <w:rFonts w:ascii="Garamond" w:hAnsi="Garamond"/>
          <w:b/>
        </w:rPr>
        <w:t>Media</w:t>
      </w:r>
      <w:r w:rsidR="00675508" w:rsidRPr="00675508">
        <w:rPr>
          <w:rFonts w:ascii="Garamond" w:hAnsi="Garamond"/>
          <w:b/>
        </w:rPr>
        <w:t xml:space="preserve"> Relations</w:t>
      </w:r>
    </w:p>
    <w:p w14:paraId="71637AE1" w14:textId="4BDFBDC5" w:rsidR="007C62D2" w:rsidRPr="00675508" w:rsidRDefault="007C62D2" w:rsidP="00675508">
      <w:pPr>
        <w:pStyle w:val="NoSpacing"/>
        <w:rPr>
          <w:rFonts w:ascii="Garamond" w:hAnsi="Garamond"/>
        </w:rPr>
      </w:pPr>
      <w:r w:rsidRPr="00675508">
        <w:rPr>
          <w:rFonts w:ascii="Garamond" w:hAnsi="Garamond"/>
        </w:rPr>
        <w:t xml:space="preserve">International: </w:t>
      </w:r>
      <w:r w:rsidR="00675508" w:rsidRPr="00675508">
        <w:rPr>
          <w:rFonts w:ascii="Garamond" w:hAnsi="Garamond"/>
        </w:rPr>
        <w:tab/>
      </w:r>
      <w:r w:rsidR="00675508" w:rsidRPr="00675508">
        <w:rPr>
          <w:rFonts w:ascii="Garamond" w:hAnsi="Garamond"/>
        </w:rPr>
        <w:tab/>
      </w:r>
      <w:r w:rsidRPr="00675508">
        <w:rPr>
          <w:rFonts w:ascii="Garamond" w:hAnsi="Garamond"/>
        </w:rPr>
        <w:t>+44 207 934 5550</w:t>
      </w:r>
    </w:p>
    <w:p w14:paraId="5BA609FE" w14:textId="0939F6DD" w:rsidR="007C62D2" w:rsidRPr="00675508" w:rsidRDefault="007C62D2" w:rsidP="00675508">
      <w:pPr>
        <w:pStyle w:val="NoSpacing"/>
        <w:rPr>
          <w:rFonts w:ascii="Garamond" w:hAnsi="Garamond"/>
        </w:rPr>
      </w:pPr>
      <w:r w:rsidRPr="00675508">
        <w:rPr>
          <w:rFonts w:ascii="Garamond" w:hAnsi="Garamond"/>
        </w:rPr>
        <w:t>Americas</w:t>
      </w:r>
      <w:r w:rsidR="00675508" w:rsidRPr="00675508">
        <w:rPr>
          <w:rFonts w:ascii="Garamond" w:hAnsi="Garamond"/>
        </w:rPr>
        <w:t xml:space="preserve">:    </w:t>
      </w:r>
      <w:r w:rsidR="00675508" w:rsidRPr="00675508">
        <w:rPr>
          <w:rFonts w:ascii="Garamond" w:hAnsi="Garamond"/>
        </w:rPr>
        <w:tab/>
      </w:r>
      <w:r w:rsidR="00675508" w:rsidRPr="00675508">
        <w:rPr>
          <w:rFonts w:ascii="Garamond" w:hAnsi="Garamond"/>
        </w:rPr>
        <w:tab/>
      </w:r>
      <w:r w:rsidRPr="00675508">
        <w:rPr>
          <w:rFonts w:ascii="Garamond" w:hAnsi="Garamond"/>
        </w:rPr>
        <w:t>+1 832 337 4355</w:t>
      </w:r>
    </w:p>
    <w:p w14:paraId="44D9DD5F" w14:textId="277CF701" w:rsidR="00FA53A0" w:rsidRDefault="00FA53A0" w:rsidP="007C62D2">
      <w:pPr>
        <w:pStyle w:val="Heading2"/>
        <w:jc w:val="both"/>
        <w:rPr>
          <w:rFonts w:ascii="Garamond" w:hAnsi="Garamond" w:cstheme="minorHAnsi"/>
          <w:color w:val="auto"/>
          <w:sz w:val="22"/>
          <w:szCs w:val="22"/>
        </w:rPr>
      </w:pPr>
    </w:p>
    <w:p w14:paraId="001C9EF5" w14:textId="77777777" w:rsidR="00FA53A0" w:rsidRPr="00FA53A0" w:rsidRDefault="00FA53A0" w:rsidP="00FA53A0"/>
    <w:p w14:paraId="207AF104" w14:textId="77777777" w:rsidR="00FA53A0" w:rsidRDefault="00675508" w:rsidP="00FA53A0">
      <w:pPr>
        <w:pStyle w:val="NoSpacing"/>
        <w:rPr>
          <w:rFonts w:ascii="Garamond" w:hAnsi="Garamond"/>
          <w:b/>
        </w:rPr>
      </w:pPr>
      <w:r w:rsidRPr="00FA53A0">
        <w:rPr>
          <w:rFonts w:ascii="Garamond" w:hAnsi="Garamond"/>
          <w:b/>
        </w:rPr>
        <w:lastRenderedPageBreak/>
        <w:t>CAUTIONARY NOTE</w:t>
      </w:r>
    </w:p>
    <w:p w14:paraId="772DC7EB" w14:textId="29777590" w:rsidR="007C62D2" w:rsidRDefault="007C62D2" w:rsidP="00FA53A0">
      <w:pPr>
        <w:pStyle w:val="NoSpacing"/>
        <w:rPr>
          <w:rFonts w:ascii="Garamond" w:hAnsi="Garamond" w:cstheme="minorHAnsi"/>
          <w:sz w:val="18"/>
          <w:szCs w:val="18"/>
          <w:lang w:val="en-GB"/>
        </w:rPr>
      </w:pPr>
      <w:r w:rsidRPr="00675508">
        <w:rPr>
          <w:rFonts w:ascii="Garamond" w:hAnsi="Garamond" w:cstheme="minorHAnsi"/>
          <w:sz w:val="18"/>
          <w:szCs w:val="18"/>
          <w:lang w:val="en-GB"/>
        </w:rPr>
        <w:t>The companies in which Royal Dutch Shell plc directly and indirectly owns investments are separate legal entities. In this announcement “Shell”, “Shell Group” and “Royal Dutch Shell” are sometimes used for convenience where references are made to Royal Dutch Shell plc and its subsidiaries in general. Likewise, the words “we”, “us” and “our” are also used to refer to Royal Dutch Shell plc and its subsidiaries in general or to those who work for them. These terms are also used where no useful purpose is served by identifying the particular entity or entities. ‘‘Subsidiaries’’, “Shell subsidiaries” and “Shell companies” as used in this announcement refer to entities over which Royal Dutch Shell plc either directly or indirectly has control. Entities and unincorporated arrangements over which Shell has joint control are generally referred to as “joint ventures” and “joint operations”, respectively.  Entities over which Shell has significant influence but neither control nor joint control are referred to as “associates”. The term “Shell interest” is used for convenience to indicate the direct and/or indirect ownership interest held by Shell in an entity or unincorporated joint arrangement, after exclusion of all third-party interest.</w:t>
      </w:r>
      <w:r w:rsidRPr="00675508">
        <w:rPr>
          <w:rFonts w:ascii="Garamond" w:hAnsi="Garamond" w:cstheme="minorHAnsi"/>
          <w:sz w:val="18"/>
          <w:szCs w:val="18"/>
        </w:rPr>
        <w:t xml:space="preserve"> </w:t>
      </w:r>
      <w:r w:rsidRPr="00675508">
        <w:rPr>
          <w:rFonts w:ascii="Garamond" w:hAnsi="Garamond" w:cstheme="minorHAnsi"/>
          <w:sz w:val="18"/>
          <w:szCs w:val="18"/>
          <w:lang w:val="en-GB"/>
        </w:rPr>
        <w:t>This announcement contains forward-looking statements (within the meaning of the U.S. Private Securities Litigation Reform Act of 1995) concerning the financial condition, results of operations and businesses of Royal Dutch Shell. All statements other than statements of historical fact are, or may be deemed to be, forward-looking statements. Forward-looking statements are statements of future expectations that are based on management’s current expectations and assumptions and involve known and unknown risks and uncertainties that could cause actual results, performance or events to differ materially from those expressed or implied in these statements. Forward-looking statements include, among other things, statements concerning the potential exposure of Royal Dutch Shell to market risks and statements expressing management’s expectations, beliefs, estimates, forecasts, projections and assumptions. These forward-looking statements are identified by their use of terms and phrases such as “aim”, “ambition”, ‘‘anticipate’’, ‘‘believe’’, ‘‘could’’, ‘‘estimate’’, ‘‘expect’’, ‘‘goals’’, ‘‘intend’’, ‘‘may’’, ‘‘objectives’’, ‘‘outlook’’, ‘‘plan’’, ‘‘probably’’, ‘‘project’’, ‘‘risks’’, “schedule”, ‘‘seek’’, ‘‘should’’, ‘‘target’’, ‘‘will’’ and similar terms and phrases. There are a number of factors that could affect the future operations of Royal Dutch Shell and could cause those results to differ materially from those expressed in the forward-looking statements included in this announcement</w:t>
      </w:r>
      <w:r w:rsidRPr="00675508">
        <w:rPr>
          <w:rFonts w:ascii="Garamond" w:hAnsi="Garamond" w:cstheme="minorHAnsi"/>
          <w:b/>
          <w:sz w:val="18"/>
          <w:szCs w:val="18"/>
          <w:lang w:val="en-GB"/>
        </w:rPr>
        <w:t>,</w:t>
      </w:r>
      <w:r w:rsidRPr="00675508">
        <w:rPr>
          <w:rFonts w:ascii="Garamond" w:hAnsi="Garamond" w:cstheme="minorHAnsi"/>
          <w:sz w:val="18"/>
          <w:szCs w:val="18"/>
          <w:lang w:val="en-GB"/>
        </w:rPr>
        <w:t xml:space="preserve"> including (without limitation): (a) price fluctuations in crude oil and natural gas; (b) changes in demand for Shell’s products; (c) currency fluctuations; (d) drilling and production results; (e) reserves estimates; (f) loss of market share and industry competition; (g) environmental and physical risks; (h) risks associated with the identification of suitable potential acquisition properties and targets, and successful negotiation and completion of such transactions; (i) the risk of doing business in developing countries and countries subject to international sanctions; (j) legislative, fiscal and regulatory developments including regulatory measures addressing climate change; (k) economic and financial market conditions in various countries and regions; (l) political risks, including the risks of expropriation and renegotiation of the terms of contracts with governmental entities, delays or advancements in the approval of projects and delays in the reimbursement for shared costs; and (m) changes in trading conditions. No assurance is provided that future dividend payments will match or exceed previous dividend payments. All forward-looking statements contained in this announcement are expressly qualified in their entirety by the cautionary statements contained or referred to in this section. Readers should not place undue reliance on forward-looking statements. Additional risk factors that may affect future results are contained in Royal Dutch Shell’s Form 20-F for the year ended December 31, 2018 (available at </w:t>
      </w:r>
      <w:hyperlink r:id="rId12" w:tgtFrame="_parent" w:history="1">
        <w:r w:rsidRPr="00675508">
          <w:rPr>
            <w:rStyle w:val="Hyperlink"/>
            <w:rFonts w:ascii="Garamond" w:hAnsi="Garamond" w:cstheme="minorHAnsi"/>
            <w:color w:val="auto"/>
            <w:sz w:val="18"/>
            <w:szCs w:val="18"/>
            <w:lang w:val="en-GB"/>
          </w:rPr>
          <w:t>www.shell.com/investor</w:t>
        </w:r>
      </w:hyperlink>
      <w:r w:rsidRPr="00675508">
        <w:rPr>
          <w:rFonts w:ascii="Garamond" w:hAnsi="Garamond" w:cstheme="minorHAnsi"/>
          <w:sz w:val="18"/>
          <w:szCs w:val="18"/>
          <w:lang w:val="en-GB"/>
        </w:rPr>
        <w:t xml:space="preserve"> and </w:t>
      </w:r>
      <w:hyperlink r:id="rId13" w:tgtFrame="_parent" w:history="1">
        <w:r w:rsidRPr="00675508">
          <w:rPr>
            <w:rStyle w:val="Hyperlink"/>
            <w:rFonts w:ascii="Garamond" w:hAnsi="Garamond" w:cstheme="minorHAnsi"/>
            <w:color w:val="auto"/>
            <w:sz w:val="18"/>
            <w:szCs w:val="18"/>
            <w:lang w:val="en-GB"/>
          </w:rPr>
          <w:t>www.sec.gov</w:t>
        </w:r>
      </w:hyperlink>
      <w:r w:rsidRPr="00675508">
        <w:rPr>
          <w:rFonts w:ascii="Garamond" w:hAnsi="Garamond" w:cstheme="minorHAnsi"/>
          <w:sz w:val="18"/>
          <w:szCs w:val="18"/>
          <w:lang w:val="en-GB"/>
        </w:rPr>
        <w:t>). These risk factors also expressly qualify all forward-looking statements contained in this announcement and should be considered by the reader.  Each forward-looking statement speaks only as of the date of this announcement, June 4, 2019. Neither Royal Dutch Shell plc nor any of its subsidiaries undertake any obligation to publicly update or revise any forward-looking statement as a result of new information, future events or other information. In light of these risks, results could differ materially from those stated, implied or inferred from the forward-looking statements contained in this announcement.</w:t>
      </w:r>
      <w:r w:rsidR="00675508" w:rsidRPr="00675508">
        <w:rPr>
          <w:rFonts w:ascii="Garamond" w:hAnsi="Garamond" w:cstheme="minorHAnsi"/>
          <w:sz w:val="18"/>
          <w:szCs w:val="18"/>
          <w:lang w:val="en-GB"/>
        </w:rPr>
        <w:t xml:space="preserve"> </w:t>
      </w:r>
      <w:r w:rsidRPr="00675508">
        <w:rPr>
          <w:rFonts w:ascii="Garamond" w:hAnsi="Garamond" w:cstheme="minorHAnsi"/>
          <w:sz w:val="18"/>
          <w:szCs w:val="18"/>
          <w:lang w:val="en-GB"/>
        </w:rPr>
        <w:t xml:space="preserve">We may have used certain terms, such as resources, in this announcement that the United States Securities and Exchange Commission (SEC) strictly prohibits us from including in our filings with the SEC.  U.S. investors are urged to consider closely the disclosure in our Form 20-F, File No 1-32575, available on the SEC website www.sec.gov. </w:t>
      </w:r>
    </w:p>
    <w:p w14:paraId="66E5CD48" w14:textId="77777777" w:rsidR="00FA53A0" w:rsidRPr="00675508" w:rsidRDefault="00FA53A0" w:rsidP="00FA53A0">
      <w:pPr>
        <w:pStyle w:val="NoSpacing"/>
        <w:rPr>
          <w:rFonts w:ascii="Garamond" w:hAnsi="Garamond" w:cstheme="minorHAnsi"/>
          <w:sz w:val="18"/>
          <w:szCs w:val="18"/>
          <w:lang w:val="en-GB"/>
        </w:rPr>
      </w:pPr>
    </w:p>
    <w:p w14:paraId="021316C2" w14:textId="21F4E868" w:rsidR="00BF38E0" w:rsidRDefault="00BF38E0" w:rsidP="00BF38E0">
      <w:pPr>
        <w:jc w:val="both"/>
        <w:rPr>
          <w:rFonts w:ascii="Garamond" w:hAnsi="Garamond" w:cstheme="minorHAnsi"/>
          <w:sz w:val="18"/>
          <w:szCs w:val="18"/>
          <w:lang w:val="en-GB"/>
        </w:rPr>
      </w:pPr>
      <w:r w:rsidRPr="00675508">
        <w:rPr>
          <w:rFonts w:ascii="Garamond" w:hAnsi="Garamond" w:cstheme="minorHAnsi"/>
          <w:sz w:val="18"/>
          <w:szCs w:val="18"/>
          <w:lang w:val="en-GB"/>
        </w:rPr>
        <w:t>This announcement contains inside information.</w:t>
      </w:r>
    </w:p>
    <w:p w14:paraId="39E4AA35" w14:textId="27C7C8AA" w:rsidR="00FA53A0" w:rsidRPr="00FA53A0" w:rsidRDefault="00FA53A0" w:rsidP="00FA53A0">
      <w:pPr>
        <w:spacing w:line="240" w:lineRule="auto"/>
        <w:rPr>
          <w:rFonts w:ascii="Garamond" w:hAnsi="Garamond"/>
          <w:sz w:val="18"/>
          <w:szCs w:val="18"/>
          <w:lang w:val="en-GB"/>
        </w:rPr>
      </w:pPr>
      <w:r>
        <w:rPr>
          <w:rFonts w:ascii="Garamond" w:hAnsi="Garamond"/>
          <w:sz w:val="18"/>
          <w:szCs w:val="18"/>
          <w:lang w:val="en-GB"/>
        </w:rPr>
        <w:t>June 4</w:t>
      </w:r>
      <w:r w:rsidRPr="00FA53A0">
        <w:rPr>
          <w:rFonts w:ascii="Garamond" w:hAnsi="Garamond"/>
          <w:sz w:val="18"/>
          <w:szCs w:val="18"/>
          <w:lang w:val="en-GB"/>
        </w:rPr>
        <w:t>, 201</w:t>
      </w:r>
      <w:r>
        <w:rPr>
          <w:rFonts w:ascii="Garamond" w:hAnsi="Garamond"/>
          <w:sz w:val="18"/>
          <w:szCs w:val="18"/>
          <w:lang w:val="en-GB"/>
        </w:rPr>
        <w:t>9</w:t>
      </w:r>
    </w:p>
    <w:p w14:paraId="7F838FE0" w14:textId="5313434A" w:rsidR="00675508" w:rsidRPr="00675508" w:rsidRDefault="00675508" w:rsidP="00675508">
      <w:pPr>
        <w:pStyle w:val="NoSpacing"/>
        <w:rPr>
          <w:rFonts w:ascii="Garamond" w:hAnsi="Garamond"/>
          <w:sz w:val="18"/>
          <w:szCs w:val="18"/>
        </w:rPr>
      </w:pPr>
      <w:r w:rsidRPr="00675508">
        <w:rPr>
          <w:rFonts w:ascii="Garamond" w:hAnsi="Garamond"/>
          <w:sz w:val="18"/>
          <w:szCs w:val="18"/>
        </w:rPr>
        <w:t>Contacts:</w:t>
      </w:r>
    </w:p>
    <w:p w14:paraId="75337B6F" w14:textId="6D33A714" w:rsidR="00675508" w:rsidRPr="00675508" w:rsidRDefault="00675508" w:rsidP="00675508">
      <w:pPr>
        <w:jc w:val="both"/>
        <w:rPr>
          <w:rFonts w:ascii="Garamond" w:hAnsi="Garamond" w:cstheme="minorHAnsi"/>
          <w:sz w:val="18"/>
          <w:szCs w:val="18"/>
          <w:lang w:val="en-GB"/>
        </w:rPr>
      </w:pPr>
      <w:r w:rsidRPr="00675508">
        <w:rPr>
          <w:rFonts w:ascii="Garamond" w:hAnsi="Garamond" w:cstheme="minorHAnsi"/>
          <w:sz w:val="18"/>
          <w:szCs w:val="18"/>
          <w:lang w:val="en-GB"/>
        </w:rPr>
        <w:t>- Linda Szymanski, Company Secretary</w:t>
      </w:r>
    </w:p>
    <w:p w14:paraId="39DAE778" w14:textId="77777777" w:rsidR="00BF38E0" w:rsidRPr="00675508" w:rsidRDefault="00BF38E0" w:rsidP="00675508">
      <w:pPr>
        <w:pStyle w:val="NoSpacing"/>
        <w:rPr>
          <w:rFonts w:ascii="Garamond" w:hAnsi="Garamond"/>
          <w:sz w:val="18"/>
          <w:szCs w:val="18"/>
          <w:lang w:val="en-GB"/>
        </w:rPr>
      </w:pPr>
      <w:r w:rsidRPr="00675508">
        <w:rPr>
          <w:rFonts w:ascii="Garamond" w:hAnsi="Garamond"/>
          <w:sz w:val="18"/>
          <w:szCs w:val="18"/>
          <w:lang w:val="en-GB"/>
        </w:rPr>
        <w:t>LEI number of Royal Dutch Shell plc: 21380068P1DRHMJ8KU70</w:t>
      </w:r>
    </w:p>
    <w:p w14:paraId="2487E821" w14:textId="0C50F99D" w:rsidR="00BF38E0" w:rsidRPr="00675508" w:rsidRDefault="00BF38E0" w:rsidP="00675508">
      <w:pPr>
        <w:pStyle w:val="NoSpacing"/>
        <w:rPr>
          <w:rFonts w:ascii="Garamond" w:hAnsi="Garamond"/>
          <w:sz w:val="18"/>
          <w:szCs w:val="18"/>
          <w:lang w:val="en-GB"/>
        </w:rPr>
      </w:pPr>
      <w:r w:rsidRPr="00675508">
        <w:rPr>
          <w:rFonts w:ascii="Garamond" w:hAnsi="Garamond"/>
          <w:sz w:val="18"/>
          <w:szCs w:val="18"/>
          <w:lang w:val="en-GB"/>
        </w:rPr>
        <w:t>Classification: Inside Information</w:t>
      </w:r>
    </w:p>
    <w:p w14:paraId="3CDCB7C0" w14:textId="7A820468" w:rsidR="0098464D" w:rsidRPr="00675508" w:rsidRDefault="0098464D" w:rsidP="00B465C4">
      <w:pPr>
        <w:rPr>
          <w:rFonts w:ascii="Garamond" w:hAnsi="Garamond" w:cstheme="minorHAnsi"/>
        </w:rPr>
      </w:pPr>
    </w:p>
    <w:p w14:paraId="68F00ACE" w14:textId="5BDB78F2" w:rsidR="0098464D" w:rsidRPr="00675508" w:rsidRDefault="0098464D" w:rsidP="00B465C4">
      <w:pPr>
        <w:rPr>
          <w:rFonts w:ascii="Garamond" w:hAnsi="Garamond" w:cstheme="minorHAnsi"/>
        </w:rPr>
      </w:pPr>
    </w:p>
    <w:sectPr w:rsidR="0098464D" w:rsidRPr="00675508" w:rsidSect="00D02580">
      <w:head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36EFC" w14:textId="77777777" w:rsidR="00504B9A" w:rsidRDefault="00504B9A" w:rsidP="00B465C4">
      <w:pPr>
        <w:spacing w:after="0" w:line="240" w:lineRule="auto"/>
      </w:pPr>
      <w:r>
        <w:separator/>
      </w:r>
    </w:p>
  </w:endnote>
  <w:endnote w:type="continuationSeparator" w:id="0">
    <w:p w14:paraId="4E007839" w14:textId="77777777" w:rsidR="00504B9A" w:rsidRDefault="00504B9A" w:rsidP="00B46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4CA14" w14:textId="77777777" w:rsidR="00504B9A" w:rsidRDefault="00504B9A" w:rsidP="00B465C4">
      <w:pPr>
        <w:spacing w:after="0" w:line="240" w:lineRule="auto"/>
      </w:pPr>
      <w:r>
        <w:separator/>
      </w:r>
    </w:p>
  </w:footnote>
  <w:footnote w:type="continuationSeparator" w:id="0">
    <w:p w14:paraId="4B23EA06" w14:textId="77777777" w:rsidR="00504B9A" w:rsidRDefault="00504B9A" w:rsidP="00B46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DBE7" w14:textId="138C533C" w:rsidR="00504B9A" w:rsidRDefault="00504B9A" w:rsidP="00305CE0">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16C38"/>
    <w:multiLevelType w:val="hybridMultilevel"/>
    <w:tmpl w:val="6B168902"/>
    <w:lvl w:ilvl="0" w:tplc="929E4918">
      <w:start w:val="2"/>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8956B48"/>
    <w:multiLevelType w:val="hybridMultilevel"/>
    <w:tmpl w:val="EC80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3647E"/>
    <w:multiLevelType w:val="hybridMultilevel"/>
    <w:tmpl w:val="5B1A5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B5689"/>
    <w:multiLevelType w:val="hybridMultilevel"/>
    <w:tmpl w:val="115C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186240"/>
    <w:multiLevelType w:val="hybridMultilevel"/>
    <w:tmpl w:val="EE7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62FD7"/>
    <w:multiLevelType w:val="hybridMultilevel"/>
    <w:tmpl w:val="FD06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F0739"/>
    <w:multiLevelType w:val="hybridMultilevel"/>
    <w:tmpl w:val="65F4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C4"/>
    <w:rsid w:val="00017AB8"/>
    <w:rsid w:val="00055E6A"/>
    <w:rsid w:val="00060F5F"/>
    <w:rsid w:val="00070D21"/>
    <w:rsid w:val="00074F9C"/>
    <w:rsid w:val="000752FA"/>
    <w:rsid w:val="00080B68"/>
    <w:rsid w:val="00091D72"/>
    <w:rsid w:val="00092E24"/>
    <w:rsid w:val="000A10BE"/>
    <w:rsid w:val="000A62CB"/>
    <w:rsid w:val="000B7EA5"/>
    <w:rsid w:val="000C455F"/>
    <w:rsid w:val="000C7EAF"/>
    <w:rsid w:val="000D3397"/>
    <w:rsid w:val="000E3F2E"/>
    <w:rsid w:val="000E4072"/>
    <w:rsid w:val="001014AE"/>
    <w:rsid w:val="00121EEA"/>
    <w:rsid w:val="00145561"/>
    <w:rsid w:val="00150064"/>
    <w:rsid w:val="00161CF1"/>
    <w:rsid w:val="00163405"/>
    <w:rsid w:val="00195819"/>
    <w:rsid w:val="00196D8D"/>
    <w:rsid w:val="001B71E0"/>
    <w:rsid w:val="001C5B23"/>
    <w:rsid w:val="00230C39"/>
    <w:rsid w:val="00254D4B"/>
    <w:rsid w:val="00270688"/>
    <w:rsid w:val="00284C3A"/>
    <w:rsid w:val="00285A57"/>
    <w:rsid w:val="002A5342"/>
    <w:rsid w:val="002C2E7C"/>
    <w:rsid w:val="002D657F"/>
    <w:rsid w:val="002E24EB"/>
    <w:rsid w:val="002F555B"/>
    <w:rsid w:val="003000A3"/>
    <w:rsid w:val="0030371B"/>
    <w:rsid w:val="00305CE0"/>
    <w:rsid w:val="003079DC"/>
    <w:rsid w:val="003228CA"/>
    <w:rsid w:val="00327712"/>
    <w:rsid w:val="00331A57"/>
    <w:rsid w:val="0033291D"/>
    <w:rsid w:val="00337977"/>
    <w:rsid w:val="0034707D"/>
    <w:rsid w:val="003541AF"/>
    <w:rsid w:val="00361CE5"/>
    <w:rsid w:val="00380CE8"/>
    <w:rsid w:val="00380D62"/>
    <w:rsid w:val="0038445A"/>
    <w:rsid w:val="0039027C"/>
    <w:rsid w:val="00396E07"/>
    <w:rsid w:val="003A0CC1"/>
    <w:rsid w:val="003B0F00"/>
    <w:rsid w:val="003C349B"/>
    <w:rsid w:val="003C386E"/>
    <w:rsid w:val="003C6017"/>
    <w:rsid w:val="003D0D00"/>
    <w:rsid w:val="003D331C"/>
    <w:rsid w:val="003D465F"/>
    <w:rsid w:val="0040278E"/>
    <w:rsid w:val="004119B6"/>
    <w:rsid w:val="00430407"/>
    <w:rsid w:val="0044440F"/>
    <w:rsid w:val="00446B88"/>
    <w:rsid w:val="00455484"/>
    <w:rsid w:val="00456638"/>
    <w:rsid w:val="00471049"/>
    <w:rsid w:val="00476EC8"/>
    <w:rsid w:val="004B4B4C"/>
    <w:rsid w:val="004B621B"/>
    <w:rsid w:val="004E321E"/>
    <w:rsid w:val="004E52AE"/>
    <w:rsid w:val="004E54B0"/>
    <w:rsid w:val="004F4026"/>
    <w:rsid w:val="004F44BB"/>
    <w:rsid w:val="00502C6C"/>
    <w:rsid w:val="00504B9A"/>
    <w:rsid w:val="00505992"/>
    <w:rsid w:val="00510E1E"/>
    <w:rsid w:val="00525C44"/>
    <w:rsid w:val="00541552"/>
    <w:rsid w:val="00547EDB"/>
    <w:rsid w:val="005537C2"/>
    <w:rsid w:val="005540DE"/>
    <w:rsid w:val="00555649"/>
    <w:rsid w:val="005654B1"/>
    <w:rsid w:val="00587FE0"/>
    <w:rsid w:val="005C0F8A"/>
    <w:rsid w:val="005C4165"/>
    <w:rsid w:val="005D3CB4"/>
    <w:rsid w:val="005E406A"/>
    <w:rsid w:val="005F0ED2"/>
    <w:rsid w:val="005F6C06"/>
    <w:rsid w:val="00601150"/>
    <w:rsid w:val="00602877"/>
    <w:rsid w:val="00607FF2"/>
    <w:rsid w:val="00654C96"/>
    <w:rsid w:val="006600AA"/>
    <w:rsid w:val="00660176"/>
    <w:rsid w:val="00675508"/>
    <w:rsid w:val="006804E8"/>
    <w:rsid w:val="0069026C"/>
    <w:rsid w:val="006B1688"/>
    <w:rsid w:val="006B73A4"/>
    <w:rsid w:val="006C6286"/>
    <w:rsid w:val="006D6A07"/>
    <w:rsid w:val="006E1720"/>
    <w:rsid w:val="006E3B67"/>
    <w:rsid w:val="007019E5"/>
    <w:rsid w:val="00716916"/>
    <w:rsid w:val="007211C5"/>
    <w:rsid w:val="0074234F"/>
    <w:rsid w:val="0076599F"/>
    <w:rsid w:val="007666D4"/>
    <w:rsid w:val="0078602A"/>
    <w:rsid w:val="00790AB1"/>
    <w:rsid w:val="007920FD"/>
    <w:rsid w:val="00795BAF"/>
    <w:rsid w:val="007A1F6D"/>
    <w:rsid w:val="007A63D5"/>
    <w:rsid w:val="007B1BB4"/>
    <w:rsid w:val="007B3B49"/>
    <w:rsid w:val="007B68C6"/>
    <w:rsid w:val="007C34EF"/>
    <w:rsid w:val="007C62D2"/>
    <w:rsid w:val="007E3183"/>
    <w:rsid w:val="007F1A9E"/>
    <w:rsid w:val="008576A4"/>
    <w:rsid w:val="008644B1"/>
    <w:rsid w:val="00864A92"/>
    <w:rsid w:val="00866206"/>
    <w:rsid w:val="008708E6"/>
    <w:rsid w:val="008B0250"/>
    <w:rsid w:val="008B4701"/>
    <w:rsid w:val="008D4B49"/>
    <w:rsid w:val="008E1C18"/>
    <w:rsid w:val="008E308A"/>
    <w:rsid w:val="008E4381"/>
    <w:rsid w:val="008F2202"/>
    <w:rsid w:val="008F7474"/>
    <w:rsid w:val="00901DE0"/>
    <w:rsid w:val="00913049"/>
    <w:rsid w:val="009172BB"/>
    <w:rsid w:val="0096528D"/>
    <w:rsid w:val="00973696"/>
    <w:rsid w:val="009768AC"/>
    <w:rsid w:val="0098464D"/>
    <w:rsid w:val="00987093"/>
    <w:rsid w:val="009A0E7A"/>
    <w:rsid w:val="009B0BDA"/>
    <w:rsid w:val="009B506C"/>
    <w:rsid w:val="009B6C0B"/>
    <w:rsid w:val="009C2C3A"/>
    <w:rsid w:val="009D2E33"/>
    <w:rsid w:val="009F345E"/>
    <w:rsid w:val="009F582A"/>
    <w:rsid w:val="00A160D5"/>
    <w:rsid w:val="00A258A4"/>
    <w:rsid w:val="00A4631C"/>
    <w:rsid w:val="00A475C4"/>
    <w:rsid w:val="00A7557A"/>
    <w:rsid w:val="00A8163B"/>
    <w:rsid w:val="00A83ADC"/>
    <w:rsid w:val="00A90DF2"/>
    <w:rsid w:val="00AA127C"/>
    <w:rsid w:val="00AB23C0"/>
    <w:rsid w:val="00AB5E52"/>
    <w:rsid w:val="00AD4FAD"/>
    <w:rsid w:val="00AF44BD"/>
    <w:rsid w:val="00AF6633"/>
    <w:rsid w:val="00AF6A96"/>
    <w:rsid w:val="00B21B37"/>
    <w:rsid w:val="00B3715D"/>
    <w:rsid w:val="00B465C4"/>
    <w:rsid w:val="00B46D80"/>
    <w:rsid w:val="00B46ECF"/>
    <w:rsid w:val="00B908E7"/>
    <w:rsid w:val="00BA66B9"/>
    <w:rsid w:val="00BD5908"/>
    <w:rsid w:val="00BE093C"/>
    <w:rsid w:val="00BE77C8"/>
    <w:rsid w:val="00BF38E0"/>
    <w:rsid w:val="00BF3D34"/>
    <w:rsid w:val="00C11956"/>
    <w:rsid w:val="00C14B24"/>
    <w:rsid w:val="00C20606"/>
    <w:rsid w:val="00C2087E"/>
    <w:rsid w:val="00C4066B"/>
    <w:rsid w:val="00C4573A"/>
    <w:rsid w:val="00C463E7"/>
    <w:rsid w:val="00C568B0"/>
    <w:rsid w:val="00C72341"/>
    <w:rsid w:val="00C97C20"/>
    <w:rsid w:val="00CB187F"/>
    <w:rsid w:val="00CB7C29"/>
    <w:rsid w:val="00CE2D3E"/>
    <w:rsid w:val="00CE4AC1"/>
    <w:rsid w:val="00CF1C51"/>
    <w:rsid w:val="00CF679A"/>
    <w:rsid w:val="00D02580"/>
    <w:rsid w:val="00D11936"/>
    <w:rsid w:val="00D12241"/>
    <w:rsid w:val="00D74794"/>
    <w:rsid w:val="00D8120A"/>
    <w:rsid w:val="00D844F7"/>
    <w:rsid w:val="00D84632"/>
    <w:rsid w:val="00D84E31"/>
    <w:rsid w:val="00DB41E7"/>
    <w:rsid w:val="00DB71A3"/>
    <w:rsid w:val="00DB74C8"/>
    <w:rsid w:val="00DC30FD"/>
    <w:rsid w:val="00DD0C50"/>
    <w:rsid w:val="00DD6F16"/>
    <w:rsid w:val="00DE12D7"/>
    <w:rsid w:val="00E23572"/>
    <w:rsid w:val="00E30500"/>
    <w:rsid w:val="00E32B2F"/>
    <w:rsid w:val="00E3348E"/>
    <w:rsid w:val="00E348F1"/>
    <w:rsid w:val="00E35A37"/>
    <w:rsid w:val="00E42E0C"/>
    <w:rsid w:val="00E46C5F"/>
    <w:rsid w:val="00E6186D"/>
    <w:rsid w:val="00EA32A3"/>
    <w:rsid w:val="00EC796D"/>
    <w:rsid w:val="00ED2EE9"/>
    <w:rsid w:val="00ED5289"/>
    <w:rsid w:val="00EE5B0C"/>
    <w:rsid w:val="00F17C59"/>
    <w:rsid w:val="00F21AAE"/>
    <w:rsid w:val="00F36046"/>
    <w:rsid w:val="00F45695"/>
    <w:rsid w:val="00F54937"/>
    <w:rsid w:val="00F92C28"/>
    <w:rsid w:val="00FA1CA9"/>
    <w:rsid w:val="00FA53A0"/>
    <w:rsid w:val="00FE35C5"/>
    <w:rsid w:val="00FE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1294"/>
  <w15:chartTrackingRefBased/>
  <w15:docId w15:val="{A5A2124B-809A-4239-B864-08A69AA0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C62D2"/>
    <w:pPr>
      <w:keepNext/>
      <w:spacing w:after="0" w:line="240" w:lineRule="auto"/>
      <w:outlineLvl w:val="1"/>
    </w:pPr>
    <w:rPr>
      <w:rFonts w:ascii="Arial" w:eastAsia="Times New Roman" w:hAnsi="Arial" w:cs="Arial"/>
      <w:b/>
      <w:bCs/>
      <w:color w:val="333399"/>
      <w:sz w:val="20"/>
      <w:szCs w:val="24"/>
    </w:rPr>
  </w:style>
  <w:style w:type="paragraph" w:styleId="Heading3">
    <w:name w:val="heading 3"/>
    <w:basedOn w:val="Normal"/>
    <w:next w:val="Normal"/>
    <w:link w:val="Heading3Char"/>
    <w:uiPriority w:val="9"/>
    <w:semiHidden/>
    <w:unhideWhenUsed/>
    <w:qFormat/>
    <w:rsid w:val="007C62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5C4"/>
  </w:style>
  <w:style w:type="paragraph" w:styleId="Footer">
    <w:name w:val="footer"/>
    <w:basedOn w:val="Normal"/>
    <w:link w:val="FooterChar"/>
    <w:uiPriority w:val="99"/>
    <w:unhideWhenUsed/>
    <w:rsid w:val="00B46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5C4"/>
  </w:style>
  <w:style w:type="paragraph" w:styleId="ListParagraph">
    <w:name w:val="List Paragraph"/>
    <w:aliases w:val="FooterText,Bullet List,List Paragraph1,numbered,Paragraphe de liste1,Bulletr List Paragraph,列出段落,列出段落1,Listeafsnit1,Parágrafo da Lista1,List Paragraph2,List Paragraph21,Párrafo de lista1,リスト段落1,Bullet points,Bullet list,List Paragraph11,?"/>
    <w:basedOn w:val="Normal"/>
    <w:link w:val="ListParagraphChar"/>
    <w:uiPriority w:val="34"/>
    <w:qFormat/>
    <w:rsid w:val="00B465C4"/>
    <w:pPr>
      <w:ind w:left="720"/>
      <w:contextualSpacing/>
    </w:pPr>
  </w:style>
  <w:style w:type="character" w:styleId="Hyperlink">
    <w:name w:val="Hyperlink"/>
    <w:basedOn w:val="DefaultParagraphFont"/>
    <w:uiPriority w:val="99"/>
    <w:unhideWhenUsed/>
    <w:rsid w:val="00987093"/>
    <w:rPr>
      <w:color w:val="0000FF"/>
      <w:u w:val="single"/>
    </w:rPr>
  </w:style>
  <w:style w:type="character" w:styleId="CommentReference">
    <w:name w:val="annotation reference"/>
    <w:basedOn w:val="DefaultParagraphFont"/>
    <w:uiPriority w:val="99"/>
    <w:semiHidden/>
    <w:unhideWhenUsed/>
    <w:rsid w:val="0038445A"/>
    <w:rPr>
      <w:sz w:val="16"/>
      <w:szCs w:val="16"/>
    </w:rPr>
  </w:style>
  <w:style w:type="paragraph" w:styleId="CommentText">
    <w:name w:val="annotation text"/>
    <w:basedOn w:val="Normal"/>
    <w:link w:val="CommentTextChar"/>
    <w:uiPriority w:val="99"/>
    <w:semiHidden/>
    <w:unhideWhenUsed/>
    <w:rsid w:val="0038445A"/>
    <w:pPr>
      <w:spacing w:line="240" w:lineRule="auto"/>
    </w:pPr>
    <w:rPr>
      <w:sz w:val="20"/>
      <w:szCs w:val="20"/>
    </w:rPr>
  </w:style>
  <w:style w:type="character" w:customStyle="1" w:styleId="CommentTextChar">
    <w:name w:val="Comment Text Char"/>
    <w:basedOn w:val="DefaultParagraphFont"/>
    <w:link w:val="CommentText"/>
    <w:uiPriority w:val="99"/>
    <w:semiHidden/>
    <w:rsid w:val="0038445A"/>
    <w:rPr>
      <w:sz w:val="20"/>
      <w:szCs w:val="20"/>
    </w:rPr>
  </w:style>
  <w:style w:type="paragraph" w:styleId="CommentSubject">
    <w:name w:val="annotation subject"/>
    <w:basedOn w:val="CommentText"/>
    <w:next w:val="CommentText"/>
    <w:link w:val="CommentSubjectChar"/>
    <w:uiPriority w:val="99"/>
    <w:semiHidden/>
    <w:unhideWhenUsed/>
    <w:rsid w:val="0038445A"/>
    <w:rPr>
      <w:b/>
      <w:bCs/>
    </w:rPr>
  </w:style>
  <w:style w:type="character" w:customStyle="1" w:styleId="CommentSubjectChar">
    <w:name w:val="Comment Subject Char"/>
    <w:basedOn w:val="CommentTextChar"/>
    <w:link w:val="CommentSubject"/>
    <w:uiPriority w:val="99"/>
    <w:semiHidden/>
    <w:rsid w:val="0038445A"/>
    <w:rPr>
      <w:b/>
      <w:bCs/>
      <w:sz w:val="20"/>
      <w:szCs w:val="20"/>
    </w:rPr>
  </w:style>
  <w:style w:type="paragraph" w:styleId="BalloonText">
    <w:name w:val="Balloon Text"/>
    <w:basedOn w:val="Normal"/>
    <w:link w:val="BalloonTextChar"/>
    <w:uiPriority w:val="99"/>
    <w:semiHidden/>
    <w:unhideWhenUsed/>
    <w:rsid w:val="00384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5A"/>
    <w:rPr>
      <w:rFonts w:ascii="Segoe UI" w:hAnsi="Segoe UI" w:cs="Segoe UI"/>
      <w:sz w:val="18"/>
      <w:szCs w:val="18"/>
    </w:rPr>
  </w:style>
  <w:style w:type="character" w:customStyle="1" w:styleId="Heading2Char">
    <w:name w:val="Heading 2 Char"/>
    <w:basedOn w:val="DefaultParagraphFont"/>
    <w:link w:val="Heading2"/>
    <w:rsid w:val="007C62D2"/>
    <w:rPr>
      <w:rFonts w:ascii="Arial" w:eastAsia="Times New Roman" w:hAnsi="Arial" w:cs="Arial"/>
      <w:b/>
      <w:bCs/>
      <w:color w:val="333399"/>
      <w:sz w:val="20"/>
      <w:szCs w:val="24"/>
    </w:rPr>
  </w:style>
  <w:style w:type="character" w:customStyle="1" w:styleId="Heading3Char">
    <w:name w:val="Heading 3 Char"/>
    <w:basedOn w:val="DefaultParagraphFont"/>
    <w:link w:val="Heading3"/>
    <w:uiPriority w:val="9"/>
    <w:semiHidden/>
    <w:rsid w:val="007C62D2"/>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E348F1"/>
  </w:style>
  <w:style w:type="paragraph" w:styleId="Revision">
    <w:name w:val="Revision"/>
    <w:hidden/>
    <w:uiPriority w:val="99"/>
    <w:semiHidden/>
    <w:rsid w:val="00F17C59"/>
    <w:pPr>
      <w:spacing w:after="0" w:line="240" w:lineRule="auto"/>
    </w:pPr>
  </w:style>
  <w:style w:type="paragraph" w:styleId="NoSpacing">
    <w:name w:val="No Spacing"/>
    <w:uiPriority w:val="1"/>
    <w:qFormat/>
    <w:rsid w:val="00675508"/>
    <w:pPr>
      <w:spacing w:after="0" w:line="240" w:lineRule="auto"/>
    </w:pPr>
  </w:style>
  <w:style w:type="character" w:styleId="UnresolvedMention">
    <w:name w:val="Unresolved Mention"/>
    <w:basedOn w:val="DefaultParagraphFont"/>
    <w:uiPriority w:val="99"/>
    <w:semiHidden/>
    <w:unhideWhenUsed/>
    <w:rsid w:val="00FA5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4814">
      <w:bodyDiv w:val="1"/>
      <w:marLeft w:val="0"/>
      <w:marRight w:val="0"/>
      <w:marTop w:val="0"/>
      <w:marBottom w:val="0"/>
      <w:divBdr>
        <w:top w:val="none" w:sz="0" w:space="0" w:color="auto"/>
        <w:left w:val="none" w:sz="0" w:space="0" w:color="auto"/>
        <w:bottom w:val="none" w:sz="0" w:space="0" w:color="auto"/>
        <w:right w:val="none" w:sz="0" w:space="0" w:color="auto"/>
      </w:divBdr>
      <w:divsChild>
        <w:div w:id="793713586">
          <w:marLeft w:val="0"/>
          <w:marRight w:val="0"/>
          <w:marTop w:val="900"/>
          <w:marBottom w:val="675"/>
          <w:divBdr>
            <w:top w:val="none" w:sz="0" w:space="0" w:color="auto"/>
            <w:left w:val="none" w:sz="0" w:space="0" w:color="auto"/>
            <w:bottom w:val="none" w:sz="0" w:space="0" w:color="auto"/>
            <w:right w:val="none" w:sz="0" w:space="0" w:color="auto"/>
          </w:divBdr>
          <w:divsChild>
            <w:div w:id="5299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9284">
      <w:bodyDiv w:val="1"/>
      <w:marLeft w:val="0"/>
      <w:marRight w:val="0"/>
      <w:marTop w:val="0"/>
      <w:marBottom w:val="0"/>
      <w:divBdr>
        <w:top w:val="none" w:sz="0" w:space="0" w:color="auto"/>
        <w:left w:val="none" w:sz="0" w:space="0" w:color="auto"/>
        <w:bottom w:val="none" w:sz="0" w:space="0" w:color="auto"/>
        <w:right w:val="none" w:sz="0" w:space="0" w:color="auto"/>
      </w:divBdr>
      <w:divsChild>
        <w:div w:id="913247046">
          <w:marLeft w:val="0"/>
          <w:marRight w:val="0"/>
          <w:marTop w:val="0"/>
          <w:marBottom w:val="0"/>
          <w:divBdr>
            <w:top w:val="none" w:sz="0" w:space="0" w:color="auto"/>
            <w:left w:val="none" w:sz="0" w:space="0" w:color="auto"/>
            <w:bottom w:val="none" w:sz="0" w:space="0" w:color="auto"/>
            <w:right w:val="none" w:sz="0" w:space="0" w:color="auto"/>
          </w:divBdr>
          <w:divsChild>
            <w:div w:id="1045372755">
              <w:marLeft w:val="0"/>
              <w:marRight w:val="0"/>
              <w:marTop w:val="0"/>
              <w:marBottom w:val="0"/>
              <w:divBdr>
                <w:top w:val="none" w:sz="0" w:space="0" w:color="auto"/>
                <w:left w:val="none" w:sz="0" w:space="0" w:color="auto"/>
                <w:bottom w:val="none" w:sz="0" w:space="0" w:color="auto"/>
                <w:right w:val="none" w:sz="0" w:space="0" w:color="auto"/>
              </w:divBdr>
              <w:divsChild>
                <w:div w:id="2089957752">
                  <w:marLeft w:val="0"/>
                  <w:marRight w:val="0"/>
                  <w:marTop w:val="0"/>
                  <w:marBottom w:val="0"/>
                  <w:divBdr>
                    <w:top w:val="none" w:sz="0" w:space="0" w:color="auto"/>
                    <w:left w:val="none" w:sz="0" w:space="0" w:color="auto"/>
                    <w:bottom w:val="none" w:sz="0" w:space="0" w:color="auto"/>
                    <w:right w:val="none" w:sz="0" w:space="0" w:color="auto"/>
                  </w:divBdr>
                  <w:divsChild>
                    <w:div w:id="536045732">
                      <w:marLeft w:val="0"/>
                      <w:marRight w:val="0"/>
                      <w:marTop w:val="0"/>
                      <w:marBottom w:val="0"/>
                      <w:divBdr>
                        <w:top w:val="none" w:sz="0" w:space="0" w:color="auto"/>
                        <w:left w:val="none" w:sz="0" w:space="0" w:color="auto"/>
                        <w:bottom w:val="none" w:sz="0" w:space="0" w:color="auto"/>
                        <w:right w:val="none" w:sz="0" w:space="0" w:color="auto"/>
                      </w:divBdr>
                      <w:divsChild>
                        <w:div w:id="467355313">
                          <w:marLeft w:val="0"/>
                          <w:marRight w:val="0"/>
                          <w:marTop w:val="0"/>
                          <w:marBottom w:val="0"/>
                          <w:divBdr>
                            <w:top w:val="none" w:sz="0" w:space="0" w:color="auto"/>
                            <w:left w:val="none" w:sz="0" w:space="0" w:color="auto"/>
                            <w:bottom w:val="none" w:sz="0" w:space="0" w:color="auto"/>
                            <w:right w:val="none" w:sz="0" w:space="0" w:color="auto"/>
                          </w:divBdr>
                          <w:divsChild>
                            <w:div w:id="813647117">
                              <w:marLeft w:val="0"/>
                              <w:marRight w:val="0"/>
                              <w:marTop w:val="0"/>
                              <w:marBottom w:val="0"/>
                              <w:divBdr>
                                <w:top w:val="none" w:sz="0" w:space="0" w:color="auto"/>
                                <w:left w:val="none" w:sz="0" w:space="0" w:color="auto"/>
                                <w:bottom w:val="none" w:sz="0" w:space="0" w:color="auto"/>
                                <w:right w:val="none" w:sz="0" w:space="0" w:color="auto"/>
                              </w:divBdr>
                              <w:divsChild>
                                <w:div w:id="1806191229">
                                  <w:marLeft w:val="0"/>
                                  <w:marRight w:val="0"/>
                                  <w:marTop w:val="0"/>
                                  <w:marBottom w:val="0"/>
                                  <w:divBdr>
                                    <w:top w:val="none" w:sz="0" w:space="0" w:color="auto"/>
                                    <w:left w:val="none" w:sz="0" w:space="0" w:color="auto"/>
                                    <w:bottom w:val="none" w:sz="0" w:space="0" w:color="auto"/>
                                    <w:right w:val="none" w:sz="0" w:space="0" w:color="auto"/>
                                  </w:divBdr>
                                  <w:divsChild>
                                    <w:div w:id="1347246703">
                                      <w:marLeft w:val="0"/>
                                      <w:marRight w:val="0"/>
                                      <w:marTop w:val="0"/>
                                      <w:marBottom w:val="0"/>
                                      <w:divBdr>
                                        <w:top w:val="none" w:sz="0" w:space="0" w:color="auto"/>
                                        <w:left w:val="none" w:sz="0" w:space="0" w:color="auto"/>
                                        <w:bottom w:val="none" w:sz="0" w:space="0" w:color="auto"/>
                                        <w:right w:val="none" w:sz="0" w:space="0" w:color="auto"/>
                                      </w:divBdr>
                                      <w:divsChild>
                                        <w:div w:id="414866764">
                                          <w:marLeft w:val="0"/>
                                          <w:marRight w:val="0"/>
                                          <w:marTop w:val="0"/>
                                          <w:marBottom w:val="0"/>
                                          <w:divBdr>
                                            <w:top w:val="none" w:sz="0" w:space="0" w:color="auto"/>
                                            <w:left w:val="none" w:sz="0" w:space="0" w:color="auto"/>
                                            <w:bottom w:val="none" w:sz="0" w:space="0" w:color="auto"/>
                                            <w:right w:val="none" w:sz="0" w:space="0" w:color="auto"/>
                                          </w:divBdr>
                                          <w:divsChild>
                                            <w:div w:id="682634410">
                                              <w:marLeft w:val="0"/>
                                              <w:marRight w:val="0"/>
                                              <w:marTop w:val="0"/>
                                              <w:marBottom w:val="0"/>
                                              <w:divBdr>
                                                <w:top w:val="none" w:sz="0" w:space="0" w:color="auto"/>
                                                <w:left w:val="none" w:sz="0" w:space="0" w:color="auto"/>
                                                <w:bottom w:val="none" w:sz="0" w:space="0" w:color="auto"/>
                                                <w:right w:val="none" w:sz="0" w:space="0" w:color="auto"/>
                                              </w:divBdr>
                                              <w:divsChild>
                                                <w:div w:id="516387352">
                                                  <w:marLeft w:val="0"/>
                                                  <w:marRight w:val="0"/>
                                                  <w:marTop w:val="0"/>
                                                  <w:marBottom w:val="0"/>
                                                  <w:divBdr>
                                                    <w:top w:val="none" w:sz="0" w:space="0" w:color="auto"/>
                                                    <w:left w:val="none" w:sz="0" w:space="0" w:color="auto"/>
                                                    <w:bottom w:val="none" w:sz="0" w:space="0" w:color="auto"/>
                                                    <w:right w:val="none" w:sz="0" w:space="0" w:color="auto"/>
                                                  </w:divBdr>
                                                  <w:divsChild>
                                                    <w:div w:id="447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045629">
      <w:bodyDiv w:val="1"/>
      <w:marLeft w:val="0"/>
      <w:marRight w:val="0"/>
      <w:marTop w:val="0"/>
      <w:marBottom w:val="0"/>
      <w:divBdr>
        <w:top w:val="none" w:sz="0" w:space="0" w:color="auto"/>
        <w:left w:val="none" w:sz="0" w:space="0" w:color="auto"/>
        <w:bottom w:val="none" w:sz="0" w:space="0" w:color="auto"/>
        <w:right w:val="none" w:sz="0" w:space="0" w:color="auto"/>
      </w:divBdr>
      <w:divsChild>
        <w:div w:id="363023253">
          <w:marLeft w:val="0"/>
          <w:marRight w:val="0"/>
          <w:marTop w:val="0"/>
          <w:marBottom w:val="0"/>
          <w:divBdr>
            <w:top w:val="none" w:sz="0" w:space="0" w:color="auto"/>
            <w:left w:val="none" w:sz="0" w:space="0" w:color="auto"/>
            <w:bottom w:val="none" w:sz="0" w:space="0" w:color="auto"/>
            <w:right w:val="none" w:sz="0" w:space="0" w:color="auto"/>
          </w:divBdr>
          <w:divsChild>
            <w:div w:id="1554388390">
              <w:marLeft w:val="0"/>
              <w:marRight w:val="0"/>
              <w:marTop w:val="0"/>
              <w:marBottom w:val="0"/>
              <w:divBdr>
                <w:top w:val="none" w:sz="0" w:space="0" w:color="auto"/>
                <w:left w:val="none" w:sz="0" w:space="0" w:color="auto"/>
                <w:bottom w:val="none" w:sz="0" w:space="0" w:color="auto"/>
                <w:right w:val="none" w:sz="0" w:space="0" w:color="auto"/>
              </w:divBdr>
              <w:divsChild>
                <w:div w:id="240332392">
                  <w:marLeft w:val="0"/>
                  <w:marRight w:val="0"/>
                  <w:marTop w:val="0"/>
                  <w:marBottom w:val="0"/>
                  <w:divBdr>
                    <w:top w:val="none" w:sz="0" w:space="0" w:color="auto"/>
                    <w:left w:val="none" w:sz="0" w:space="0" w:color="auto"/>
                    <w:bottom w:val="none" w:sz="0" w:space="0" w:color="auto"/>
                    <w:right w:val="none" w:sz="0" w:space="0" w:color="auto"/>
                  </w:divBdr>
                  <w:divsChild>
                    <w:div w:id="777331378">
                      <w:marLeft w:val="0"/>
                      <w:marRight w:val="0"/>
                      <w:marTop w:val="0"/>
                      <w:marBottom w:val="0"/>
                      <w:divBdr>
                        <w:top w:val="none" w:sz="0" w:space="0" w:color="auto"/>
                        <w:left w:val="none" w:sz="0" w:space="0" w:color="auto"/>
                        <w:bottom w:val="none" w:sz="0" w:space="0" w:color="auto"/>
                        <w:right w:val="none" w:sz="0" w:space="0" w:color="auto"/>
                      </w:divBdr>
                      <w:divsChild>
                        <w:div w:id="1274828607">
                          <w:marLeft w:val="0"/>
                          <w:marRight w:val="0"/>
                          <w:marTop w:val="0"/>
                          <w:marBottom w:val="0"/>
                          <w:divBdr>
                            <w:top w:val="none" w:sz="0" w:space="0" w:color="auto"/>
                            <w:left w:val="none" w:sz="0" w:space="0" w:color="auto"/>
                            <w:bottom w:val="none" w:sz="0" w:space="0" w:color="auto"/>
                            <w:right w:val="none" w:sz="0" w:space="0" w:color="auto"/>
                          </w:divBdr>
                          <w:divsChild>
                            <w:div w:id="1579829352">
                              <w:marLeft w:val="0"/>
                              <w:marRight w:val="0"/>
                              <w:marTop w:val="0"/>
                              <w:marBottom w:val="0"/>
                              <w:divBdr>
                                <w:top w:val="none" w:sz="0" w:space="0" w:color="auto"/>
                                <w:left w:val="none" w:sz="0" w:space="0" w:color="auto"/>
                                <w:bottom w:val="none" w:sz="0" w:space="0" w:color="auto"/>
                                <w:right w:val="none" w:sz="0" w:space="0" w:color="auto"/>
                              </w:divBdr>
                              <w:divsChild>
                                <w:div w:id="1362121399">
                                  <w:marLeft w:val="0"/>
                                  <w:marRight w:val="0"/>
                                  <w:marTop w:val="0"/>
                                  <w:marBottom w:val="0"/>
                                  <w:divBdr>
                                    <w:top w:val="none" w:sz="0" w:space="0" w:color="auto"/>
                                    <w:left w:val="none" w:sz="0" w:space="0" w:color="auto"/>
                                    <w:bottom w:val="none" w:sz="0" w:space="0" w:color="auto"/>
                                    <w:right w:val="none" w:sz="0" w:space="0" w:color="auto"/>
                                  </w:divBdr>
                                  <w:divsChild>
                                    <w:div w:id="665091650">
                                      <w:marLeft w:val="0"/>
                                      <w:marRight w:val="0"/>
                                      <w:marTop w:val="0"/>
                                      <w:marBottom w:val="0"/>
                                      <w:divBdr>
                                        <w:top w:val="none" w:sz="0" w:space="0" w:color="auto"/>
                                        <w:left w:val="none" w:sz="0" w:space="0" w:color="auto"/>
                                        <w:bottom w:val="none" w:sz="0" w:space="0" w:color="auto"/>
                                        <w:right w:val="none" w:sz="0" w:space="0" w:color="auto"/>
                                      </w:divBdr>
                                      <w:divsChild>
                                        <w:div w:id="186143264">
                                          <w:marLeft w:val="0"/>
                                          <w:marRight w:val="0"/>
                                          <w:marTop w:val="0"/>
                                          <w:marBottom w:val="0"/>
                                          <w:divBdr>
                                            <w:top w:val="none" w:sz="0" w:space="0" w:color="auto"/>
                                            <w:left w:val="none" w:sz="0" w:space="0" w:color="auto"/>
                                            <w:bottom w:val="none" w:sz="0" w:space="0" w:color="auto"/>
                                            <w:right w:val="none" w:sz="0" w:space="0" w:color="auto"/>
                                          </w:divBdr>
                                          <w:divsChild>
                                            <w:div w:id="416902789">
                                              <w:marLeft w:val="0"/>
                                              <w:marRight w:val="0"/>
                                              <w:marTop w:val="0"/>
                                              <w:marBottom w:val="0"/>
                                              <w:divBdr>
                                                <w:top w:val="none" w:sz="0" w:space="0" w:color="auto"/>
                                                <w:left w:val="none" w:sz="0" w:space="0" w:color="auto"/>
                                                <w:bottom w:val="none" w:sz="0" w:space="0" w:color="auto"/>
                                                <w:right w:val="none" w:sz="0" w:space="0" w:color="auto"/>
                                              </w:divBdr>
                                              <w:divsChild>
                                                <w:div w:id="1890650914">
                                                  <w:marLeft w:val="0"/>
                                                  <w:marRight w:val="0"/>
                                                  <w:marTop w:val="0"/>
                                                  <w:marBottom w:val="0"/>
                                                  <w:divBdr>
                                                    <w:top w:val="none" w:sz="0" w:space="0" w:color="auto"/>
                                                    <w:left w:val="none" w:sz="0" w:space="0" w:color="auto"/>
                                                    <w:bottom w:val="none" w:sz="0" w:space="0" w:color="auto"/>
                                                    <w:right w:val="none" w:sz="0" w:space="0" w:color="auto"/>
                                                  </w:divBdr>
                                                  <w:divsChild>
                                                    <w:div w:id="16826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4435408">
      <w:bodyDiv w:val="1"/>
      <w:marLeft w:val="0"/>
      <w:marRight w:val="0"/>
      <w:marTop w:val="0"/>
      <w:marBottom w:val="0"/>
      <w:divBdr>
        <w:top w:val="none" w:sz="0" w:space="0" w:color="auto"/>
        <w:left w:val="none" w:sz="0" w:space="0" w:color="auto"/>
        <w:bottom w:val="none" w:sz="0" w:space="0" w:color="auto"/>
        <w:right w:val="none" w:sz="0" w:space="0" w:color="auto"/>
      </w:divBdr>
      <w:divsChild>
        <w:div w:id="1874342534">
          <w:marLeft w:val="0"/>
          <w:marRight w:val="0"/>
          <w:marTop w:val="900"/>
          <w:marBottom w:val="675"/>
          <w:divBdr>
            <w:top w:val="none" w:sz="0" w:space="0" w:color="auto"/>
            <w:left w:val="none" w:sz="0" w:space="0" w:color="auto"/>
            <w:bottom w:val="none" w:sz="0" w:space="0" w:color="auto"/>
            <w:right w:val="none" w:sz="0" w:space="0" w:color="auto"/>
          </w:divBdr>
          <w:divsChild>
            <w:div w:id="6196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3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9539">
          <w:marLeft w:val="0"/>
          <w:marRight w:val="0"/>
          <w:marTop w:val="900"/>
          <w:marBottom w:val="675"/>
          <w:divBdr>
            <w:top w:val="none" w:sz="0" w:space="0" w:color="auto"/>
            <w:left w:val="none" w:sz="0" w:space="0" w:color="auto"/>
            <w:bottom w:val="none" w:sz="0" w:space="0" w:color="auto"/>
            <w:right w:val="none" w:sz="0" w:space="0" w:color="auto"/>
          </w:divBdr>
          <w:divsChild>
            <w:div w:id="4663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hell.com/investo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0895dc-1ced-4d74-bb87-20358c45ada2">abaaa2409-827110956-1087</_dlc_DocId>
    <_dlc_DocIdUrl xmlns="400895dc-1ced-4d74-bb87-20358c45ada2">
      <Url>https://eu021-sp.shell.com/sites/abaaa2409/strategy/_layouts/DocIdRedir.aspx?ID=abaaa2409-827110956-1087</Url>
      <Description>abaaa2409-827110956-1087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66099003BF7D47A5F8289501F38EE6" ma:contentTypeVersion="0" ma:contentTypeDescription="Create a new document." ma:contentTypeScope="" ma:versionID="a8d4b5f9fed07fcac52b0f93cabbf580">
  <xsd:schema xmlns:xsd="http://www.w3.org/2001/XMLSchema" xmlns:xs="http://www.w3.org/2001/XMLSchema" xmlns:p="http://schemas.microsoft.com/office/2006/metadata/properties" xmlns:ns2="400895dc-1ced-4d74-bb87-20358c45ada2" targetNamespace="http://schemas.microsoft.com/office/2006/metadata/properties" ma:root="true" ma:fieldsID="6c1e1090948bf411abc506cfb4bf156e" ns2:_="">
    <xsd:import namespace="400895dc-1ced-4d74-bb87-20358c45ada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895dc-1ced-4d74-bb87-20358c45ad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20035-13F8-4001-8C2B-3BC6E2A873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00895dc-1ced-4d74-bb87-20358c45ada2"/>
    <ds:schemaRef ds:uri="http://www.w3.org/XML/1998/namespace"/>
    <ds:schemaRef ds:uri="http://purl.org/dc/dcmitype/"/>
  </ds:schemaRefs>
</ds:datastoreItem>
</file>

<file path=customXml/itemProps2.xml><?xml version="1.0" encoding="utf-8"?>
<ds:datastoreItem xmlns:ds="http://schemas.openxmlformats.org/officeDocument/2006/customXml" ds:itemID="{4B1EF2E2-CC58-4136-94E9-E98999D2B06D}">
  <ds:schemaRefs>
    <ds:schemaRef ds:uri="http://schemas.microsoft.com/sharepoint/events"/>
  </ds:schemaRefs>
</ds:datastoreItem>
</file>

<file path=customXml/itemProps3.xml><?xml version="1.0" encoding="utf-8"?>
<ds:datastoreItem xmlns:ds="http://schemas.openxmlformats.org/officeDocument/2006/customXml" ds:itemID="{E1B075D9-C8AC-4DAF-98A5-565EAD4088EC}">
  <ds:schemaRefs>
    <ds:schemaRef ds:uri="http://schemas.microsoft.com/sharepoint/v3/contenttype/forms"/>
  </ds:schemaRefs>
</ds:datastoreItem>
</file>

<file path=customXml/itemProps4.xml><?xml version="1.0" encoding="utf-8"?>
<ds:datastoreItem xmlns:ds="http://schemas.openxmlformats.org/officeDocument/2006/customXml" ds:itemID="{743E5B6E-182A-4F18-98E4-CED6B1A79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895dc-1ced-4d74-bb87-20358c45a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04C80E-6A50-4BAF-BF22-9C8AFB88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den Ham, Kirsten CM SI-FR</dc:creator>
  <cp:lastModifiedBy>van den Ham, Kirsten CM SI-FR</cp:lastModifiedBy>
  <cp:revision>2</cp:revision>
  <cp:lastPrinted>2019-05-29T16:54:00Z</cp:lastPrinted>
  <dcterms:created xsi:type="dcterms:W3CDTF">2019-06-04T04:25:00Z</dcterms:created>
  <dcterms:modified xsi:type="dcterms:W3CDTF">2019-06-04T04:25:00Z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e9336c8e-5ea4-425e-b7ee-116a90d13664</vt:lpwstr>
  </property>
  <property fmtid="{D5CDD505-2E9C-101B-9397-08002B2CF9AE}" pid="3" name="ContentTypeId">
    <vt:lpwstr>0x0101002E66099003BF7D47A5F8289501F38EE6</vt:lpwstr>
  </property>
</Properties>
</file>