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40A8" w14:textId="77777777" w:rsidR="00A55722" w:rsidRPr="00A55722" w:rsidRDefault="00A55722" w:rsidP="00A55722">
      <w:pPr>
        <w:spacing w:before="100" w:beforeAutospacing="1" w:after="100" w:afterAutospacing="1" w:line="240" w:lineRule="auto"/>
        <w:outlineLvl w:val="0"/>
        <w:rPr>
          <w:rFonts w:ascii="Arial" w:eastAsia="Times New Roman" w:hAnsi="Arial" w:cs="Arial"/>
          <w:color w:val="000000"/>
          <w:kern w:val="36"/>
          <w:sz w:val="36"/>
          <w:szCs w:val="36"/>
          <w14:ligatures w14:val="none"/>
        </w:rPr>
      </w:pPr>
      <w:r w:rsidRPr="00A55722">
        <w:rPr>
          <w:rFonts w:ascii="Arial" w:eastAsia="Times New Roman" w:hAnsi="Arial" w:cs="Arial"/>
          <w:color w:val="000000"/>
          <w:kern w:val="36"/>
          <w:sz w:val="36"/>
          <w:szCs w:val="36"/>
          <w14:ligatures w14:val="none"/>
        </w:rPr>
        <w:t xml:space="preserve">Shell Plc Third Quarter 2023 Euro and </w:t>
      </w:r>
      <w:proofErr w:type="spellStart"/>
      <w:r w:rsidRPr="00A55722">
        <w:rPr>
          <w:rFonts w:ascii="Arial" w:eastAsia="Times New Roman" w:hAnsi="Arial" w:cs="Arial"/>
          <w:color w:val="000000"/>
          <w:kern w:val="36"/>
          <w:sz w:val="36"/>
          <w:szCs w:val="36"/>
          <w14:ligatures w14:val="none"/>
        </w:rPr>
        <w:t>Gbp</w:t>
      </w:r>
      <w:proofErr w:type="spellEnd"/>
      <w:r w:rsidRPr="00A55722">
        <w:rPr>
          <w:rFonts w:ascii="Arial" w:eastAsia="Times New Roman" w:hAnsi="Arial" w:cs="Arial"/>
          <w:color w:val="000000"/>
          <w:kern w:val="36"/>
          <w:sz w:val="36"/>
          <w:szCs w:val="36"/>
          <w14:ligatures w14:val="none"/>
        </w:rPr>
        <w:t xml:space="preserve"> Equivalent Dividend Payments</w:t>
      </w:r>
    </w:p>
    <w:p w14:paraId="56A9139E"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b/>
          <w:bCs/>
          <w:color w:val="000000"/>
          <w:kern w:val="0"/>
          <w:sz w:val="23"/>
          <w:szCs w:val="23"/>
          <w14:ligatures w14:val="none"/>
        </w:rPr>
        <w:t>SHELL PLC THIRD QUARTER 2023 EURO AND GBP EQUIVALENT DIVIDEND PAYMENTS</w:t>
      </w:r>
    </w:p>
    <w:p w14:paraId="2F628325"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color w:val="000000"/>
          <w:kern w:val="0"/>
          <w:sz w:val="23"/>
          <w:szCs w:val="23"/>
          <w14:ligatures w14:val="none"/>
        </w:rPr>
        <w:t>December 11, 2023</w:t>
      </w:r>
    </w:p>
    <w:p w14:paraId="714DFEC0"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color w:val="000000"/>
          <w:kern w:val="0"/>
          <w:sz w:val="23"/>
          <w:szCs w:val="23"/>
          <w14:ligatures w14:val="none"/>
        </w:rPr>
        <w:t xml:space="preserve">The Board of Shell plc today announced the pounds sterling and euro equivalent dividend payments in respect of the third quarter 2023 interim dividend, which was announced on November 2, </w:t>
      </w:r>
      <w:proofErr w:type="gramStart"/>
      <w:r w:rsidRPr="00A55722">
        <w:rPr>
          <w:rFonts w:ascii="Arial" w:eastAsia="Times New Roman" w:hAnsi="Arial" w:cs="Arial"/>
          <w:color w:val="000000"/>
          <w:kern w:val="0"/>
          <w:sz w:val="23"/>
          <w:szCs w:val="23"/>
          <w14:ligatures w14:val="none"/>
        </w:rPr>
        <w:t>2023</w:t>
      </w:r>
      <w:proofErr w:type="gramEnd"/>
      <w:r w:rsidRPr="00A55722">
        <w:rPr>
          <w:rFonts w:ascii="Arial" w:eastAsia="Times New Roman" w:hAnsi="Arial" w:cs="Arial"/>
          <w:color w:val="000000"/>
          <w:kern w:val="0"/>
          <w:sz w:val="23"/>
          <w:szCs w:val="23"/>
          <w14:ligatures w14:val="none"/>
        </w:rPr>
        <w:t xml:space="preserve"> at US$0.331 per ordinary share.</w:t>
      </w:r>
    </w:p>
    <w:p w14:paraId="5833038F"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color w:val="000000"/>
          <w:kern w:val="0"/>
          <w:sz w:val="23"/>
          <w:szCs w:val="23"/>
          <w14:ligatures w14:val="none"/>
        </w:rPr>
        <w:t xml:space="preserve">Shareholders have been able to elect to receive their dividends in US dollars, </w:t>
      </w:r>
      <w:proofErr w:type="gramStart"/>
      <w:r w:rsidRPr="00A55722">
        <w:rPr>
          <w:rFonts w:ascii="Arial" w:eastAsia="Times New Roman" w:hAnsi="Arial" w:cs="Arial"/>
          <w:color w:val="000000"/>
          <w:kern w:val="0"/>
          <w:sz w:val="23"/>
          <w:szCs w:val="23"/>
          <w14:ligatures w14:val="none"/>
        </w:rPr>
        <w:t>euros</w:t>
      </w:r>
      <w:proofErr w:type="gramEnd"/>
      <w:r w:rsidRPr="00A55722">
        <w:rPr>
          <w:rFonts w:ascii="Arial" w:eastAsia="Times New Roman" w:hAnsi="Arial" w:cs="Arial"/>
          <w:color w:val="000000"/>
          <w:kern w:val="0"/>
          <w:sz w:val="23"/>
          <w:szCs w:val="23"/>
          <w14:ligatures w14:val="none"/>
        </w:rPr>
        <w:t xml:space="preserve"> or pounds sterling. Holders of ordinary shares who have validly submitted US dollars, euros or pounds sterling currency elections by December 1, </w:t>
      </w:r>
      <w:proofErr w:type="gramStart"/>
      <w:r w:rsidRPr="00A55722">
        <w:rPr>
          <w:rFonts w:ascii="Arial" w:eastAsia="Times New Roman" w:hAnsi="Arial" w:cs="Arial"/>
          <w:color w:val="000000"/>
          <w:kern w:val="0"/>
          <w:sz w:val="23"/>
          <w:szCs w:val="23"/>
          <w14:ligatures w14:val="none"/>
        </w:rPr>
        <w:t>2023</w:t>
      </w:r>
      <w:proofErr w:type="gramEnd"/>
      <w:r w:rsidRPr="00A55722">
        <w:rPr>
          <w:rFonts w:ascii="Arial" w:eastAsia="Times New Roman" w:hAnsi="Arial" w:cs="Arial"/>
          <w:color w:val="000000"/>
          <w:kern w:val="0"/>
          <w:sz w:val="23"/>
          <w:szCs w:val="23"/>
          <w14:ligatures w14:val="none"/>
        </w:rPr>
        <w:t xml:space="preserve"> will be entitled to a dividend of US$0.331, €0.3070 or 26.31p per ordinary share, respectively.</w:t>
      </w:r>
    </w:p>
    <w:p w14:paraId="381C6FDF"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color w:val="000000"/>
          <w:kern w:val="0"/>
          <w:sz w:val="23"/>
          <w:szCs w:val="23"/>
          <w14:ligatures w14:val="none"/>
        </w:rPr>
        <w:t>Absent any valid election to the contrary, persons holding their ordinary shares through Euroclear Nederland will receive their dividends in euros at the euro rate per ordinary share shown above. Absent any valid election to the contrary, shareholders (both holding in certificated and uncertificated form (CREST members)) and persons holding their shares through the Shell Corporate Nominee will receive their dividends in pounds sterling, at the pound sterling rate per ordinary share shown above.</w:t>
      </w:r>
    </w:p>
    <w:p w14:paraId="35FC9F92"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color w:val="000000"/>
          <w:kern w:val="0"/>
          <w:sz w:val="23"/>
          <w:szCs w:val="23"/>
          <w14:ligatures w14:val="none"/>
        </w:rPr>
        <w:t xml:space="preserve">Euro and pounds sterling dividends payable in cash have been converted from US dollars based on an average of market exchange rates over the three dealing days from December 6 to December 8, 2023. This dividend will be payable on December 20, </w:t>
      </w:r>
      <w:proofErr w:type="gramStart"/>
      <w:r w:rsidRPr="00A55722">
        <w:rPr>
          <w:rFonts w:ascii="Arial" w:eastAsia="Times New Roman" w:hAnsi="Arial" w:cs="Arial"/>
          <w:color w:val="000000"/>
          <w:kern w:val="0"/>
          <w:sz w:val="23"/>
          <w:szCs w:val="23"/>
          <w14:ligatures w14:val="none"/>
        </w:rPr>
        <w:t>2023</w:t>
      </w:r>
      <w:proofErr w:type="gramEnd"/>
      <w:r w:rsidRPr="00A55722">
        <w:rPr>
          <w:rFonts w:ascii="Arial" w:eastAsia="Times New Roman" w:hAnsi="Arial" w:cs="Arial"/>
          <w:color w:val="000000"/>
          <w:kern w:val="0"/>
          <w:sz w:val="23"/>
          <w:szCs w:val="23"/>
          <w14:ligatures w14:val="none"/>
        </w:rPr>
        <w:t xml:space="preserve"> to those members whose names were on the Register of Members on November 17, 2023.</w:t>
      </w:r>
    </w:p>
    <w:p w14:paraId="37826A8C"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b/>
          <w:bCs/>
          <w:color w:val="000000"/>
          <w:kern w:val="0"/>
          <w:sz w:val="23"/>
          <w:szCs w:val="23"/>
          <w14:ligatures w14:val="none"/>
        </w:rPr>
        <w:t>Taxation - cash dividend</w:t>
      </w:r>
      <w:r w:rsidRPr="00A55722">
        <w:rPr>
          <w:rFonts w:ascii="Arial" w:eastAsia="Times New Roman" w:hAnsi="Arial" w:cs="Arial"/>
          <w:color w:val="000000"/>
          <w:kern w:val="0"/>
          <w:sz w:val="23"/>
          <w:szCs w:val="23"/>
          <w14:ligatures w14:val="none"/>
        </w:rPr>
        <w:br/>
        <w:t>If you are uncertain as to the tax treatment of any dividends you should consult your tax advisor.</w:t>
      </w:r>
    </w:p>
    <w:p w14:paraId="213E53C7"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b/>
          <w:bCs/>
          <w:color w:val="000000"/>
          <w:kern w:val="0"/>
          <w:sz w:val="23"/>
          <w:szCs w:val="23"/>
          <w14:ligatures w14:val="none"/>
        </w:rPr>
        <w:t>Note</w:t>
      </w:r>
      <w:r w:rsidRPr="00A55722">
        <w:rPr>
          <w:rFonts w:ascii="Arial" w:eastAsia="Times New Roman" w:hAnsi="Arial" w:cs="Arial"/>
          <w:color w:val="000000"/>
          <w:kern w:val="0"/>
          <w:sz w:val="23"/>
          <w:szCs w:val="23"/>
          <w14:ligatures w14:val="none"/>
        </w:rPr>
        <w:br/>
        <w:t xml:space="preserve">A different currency election date may apply to shareholders holding shares in a securities account with a bank or financial institution ultimately holding through Euroclear Nederland. This may also apply to other shareholders who do not hold their shares either directly on the Register of Members or in the corporate sponsored nominee arrangement. Shareholders can contact their broker, financial intermediary, </w:t>
      </w:r>
      <w:proofErr w:type="gramStart"/>
      <w:r w:rsidRPr="00A55722">
        <w:rPr>
          <w:rFonts w:ascii="Arial" w:eastAsia="Times New Roman" w:hAnsi="Arial" w:cs="Arial"/>
          <w:color w:val="000000"/>
          <w:kern w:val="0"/>
          <w:sz w:val="23"/>
          <w:szCs w:val="23"/>
          <w14:ligatures w14:val="none"/>
        </w:rPr>
        <w:t>bank</w:t>
      </w:r>
      <w:proofErr w:type="gramEnd"/>
      <w:r w:rsidRPr="00A55722">
        <w:rPr>
          <w:rFonts w:ascii="Arial" w:eastAsia="Times New Roman" w:hAnsi="Arial" w:cs="Arial"/>
          <w:color w:val="000000"/>
          <w:kern w:val="0"/>
          <w:sz w:val="23"/>
          <w:szCs w:val="23"/>
          <w14:ligatures w14:val="none"/>
        </w:rPr>
        <w:t xml:space="preserve"> or financial institution for the election deadline that applies.</w:t>
      </w:r>
    </w:p>
    <w:p w14:paraId="6F20C7BE"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color w:val="000000"/>
          <w:kern w:val="0"/>
          <w:sz w:val="23"/>
          <w:szCs w:val="23"/>
          <w14:ligatures w14:val="none"/>
        </w:rPr>
        <w:t>Enquiries</w:t>
      </w:r>
      <w:r w:rsidRPr="00A55722">
        <w:rPr>
          <w:rFonts w:ascii="Arial" w:eastAsia="Times New Roman" w:hAnsi="Arial" w:cs="Arial"/>
          <w:color w:val="000000"/>
          <w:kern w:val="0"/>
          <w:sz w:val="23"/>
          <w:szCs w:val="23"/>
          <w14:ligatures w14:val="none"/>
        </w:rPr>
        <w:br/>
        <w:t>Shell Media Relations</w:t>
      </w:r>
      <w:r w:rsidRPr="00A55722">
        <w:rPr>
          <w:rFonts w:ascii="Arial" w:eastAsia="Times New Roman" w:hAnsi="Arial" w:cs="Arial"/>
          <w:color w:val="000000"/>
          <w:kern w:val="0"/>
          <w:sz w:val="23"/>
          <w:szCs w:val="23"/>
          <w14:ligatures w14:val="none"/>
        </w:rPr>
        <w:br/>
        <w:t>International         +44 (0) 207 934 5550</w:t>
      </w:r>
      <w:r w:rsidRPr="00A55722">
        <w:rPr>
          <w:rFonts w:ascii="Arial" w:eastAsia="Times New Roman" w:hAnsi="Arial" w:cs="Arial"/>
          <w:color w:val="000000"/>
          <w:kern w:val="0"/>
          <w:sz w:val="23"/>
          <w:szCs w:val="23"/>
          <w14:ligatures w14:val="none"/>
        </w:rPr>
        <w:br/>
        <w:t>Americas         +1 832 337 4355</w:t>
      </w:r>
    </w:p>
    <w:p w14:paraId="579BA4AE"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b/>
          <w:bCs/>
          <w:color w:val="000000"/>
          <w:kern w:val="0"/>
          <w:sz w:val="23"/>
          <w:szCs w:val="23"/>
          <w14:ligatures w14:val="none"/>
        </w:rPr>
        <w:t>CAUTIONARY NOTE</w:t>
      </w:r>
    </w:p>
    <w:p w14:paraId="09098D58"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color w:val="000000"/>
          <w:kern w:val="0"/>
          <w:sz w:val="23"/>
          <w:szCs w:val="23"/>
          <w14:ligatures w14:val="none"/>
        </w:rPr>
        <w:lastRenderedPageBreak/>
        <w:t>The companies in which Shell plc directly and indirectly owns investments are separate legal entities. In this announcement “Shell”, “Shell Group” and “Group” are sometimes used for convenience where references are made to Shell plc and its subsidiaries in general. Likewise, the words “we”, “us” and “our” are also used to refer to Shell plc and its subsidiaries in general or to those who work for them. These terms are also used where no useful purpose is served by identifying the particular entity or entities. ‘‘Subsidiaries’’, “Shell subsidiaries” and “Shell companies” as used in this announcement refer to entities over which Shell plc either directly or indirectly has control. Entities and unincorporated arrangements over which Shell has joint control are generally referred to as “joint ventures” and “joint operations”, respectively. “Joint ventures” and “joint operations” are collectively referred to as “joint arrangements”. Entities over which Shell has significant influence but neither control nor joint control are referred to as “associates”. The term “Shell interest” is used for convenience to indicate the direct and/or indirect ownership interest held by Shell in an entity or unincorporated joint arrangement, after exclusion of all third-party interest.</w:t>
      </w:r>
    </w:p>
    <w:p w14:paraId="4E800C2F"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b/>
          <w:bCs/>
          <w:color w:val="000000"/>
          <w:kern w:val="0"/>
          <w:sz w:val="23"/>
          <w:szCs w:val="23"/>
          <w14:ligatures w14:val="none"/>
        </w:rPr>
        <w:t>Forward-Looking Statements</w:t>
      </w:r>
      <w:r w:rsidRPr="00A55722">
        <w:rPr>
          <w:rFonts w:ascii="Arial" w:eastAsia="Times New Roman" w:hAnsi="Arial" w:cs="Arial"/>
          <w:color w:val="000000"/>
          <w:kern w:val="0"/>
          <w:sz w:val="23"/>
          <w:szCs w:val="23"/>
          <w14:ligatures w14:val="none"/>
        </w:rPr>
        <w:br/>
        <w:t xml:space="preserve">This announcement contains forward-looking statements (within the meaning of the U.S. Private Securities Litigation Reform Act of 1995) concerning the financial condition, results of operations and businesses of Shell. All statements other than statements of historical fact are, or may be deemed to be, forward-looking statements. Forward-looking statements are statements of future expectations that are based on management’s current expectations and assumptions and involve known and unknown risks and uncertainties that could cause actual results, </w:t>
      </w:r>
      <w:proofErr w:type="gramStart"/>
      <w:r w:rsidRPr="00A55722">
        <w:rPr>
          <w:rFonts w:ascii="Arial" w:eastAsia="Times New Roman" w:hAnsi="Arial" w:cs="Arial"/>
          <w:color w:val="000000"/>
          <w:kern w:val="0"/>
          <w:sz w:val="23"/>
          <w:szCs w:val="23"/>
          <w14:ligatures w14:val="none"/>
        </w:rPr>
        <w:t>performance</w:t>
      </w:r>
      <w:proofErr w:type="gramEnd"/>
      <w:r w:rsidRPr="00A55722">
        <w:rPr>
          <w:rFonts w:ascii="Arial" w:eastAsia="Times New Roman" w:hAnsi="Arial" w:cs="Arial"/>
          <w:color w:val="000000"/>
          <w:kern w:val="0"/>
          <w:sz w:val="23"/>
          <w:szCs w:val="23"/>
          <w14:ligatures w14:val="none"/>
        </w:rPr>
        <w:t xml:space="preserve"> or events to differ materially from those expressed or implied in these statements. Forward-looking statements include, among other things, statements concerning the potential exposure of Shell to market risks and statements expressing management’s expectations, beliefs, estimates, forecasts, </w:t>
      </w:r>
      <w:proofErr w:type="gramStart"/>
      <w:r w:rsidRPr="00A55722">
        <w:rPr>
          <w:rFonts w:ascii="Arial" w:eastAsia="Times New Roman" w:hAnsi="Arial" w:cs="Arial"/>
          <w:color w:val="000000"/>
          <w:kern w:val="0"/>
          <w:sz w:val="23"/>
          <w:szCs w:val="23"/>
          <w14:ligatures w14:val="none"/>
        </w:rPr>
        <w:t>projections</w:t>
      </w:r>
      <w:proofErr w:type="gramEnd"/>
      <w:r w:rsidRPr="00A55722">
        <w:rPr>
          <w:rFonts w:ascii="Arial" w:eastAsia="Times New Roman" w:hAnsi="Arial" w:cs="Arial"/>
          <w:color w:val="000000"/>
          <w:kern w:val="0"/>
          <w:sz w:val="23"/>
          <w:szCs w:val="23"/>
          <w14:ligatures w14:val="none"/>
        </w:rPr>
        <w:t xml:space="preserve"> and assumptions. These forward-looking statements are identified by their use of terms and phrases such as “aim”, “ambition”, ‘‘anticipate’’, ‘‘believe’’, ‘‘could’’, ‘‘estimate’’, ‘‘expect’’, ‘‘goals’’, ‘‘intend’’, ‘‘may’’, “milestones”, ‘‘objectives’’, ‘‘outlook’’, ‘‘plan’’, ‘‘probably’’, ‘‘project’’, ‘‘risks’’, “schedule”, ‘‘seek’’, ‘‘should’’, ‘‘target’’, ‘‘will’’ and similar terms and phrases. There are a number of factors that could affect the future operations of Shell and could cause those results to differ materially from those expressed in the forward-looking statements included in this announcement, including (without limitation): (a) price fluctuations in crude oil and natural gas; (b) changes in demand for Shell’s products; (c) currency fluctuations; (d) drilling and production results; (e) reserves estimates; (f) loss of market share and industry competition; (g) environmental and physical risks; (h) risks associated with the identification of suitable potential acquisition properties and targets, and successful negotiation and completion of such transactions; (</w:t>
      </w:r>
      <w:proofErr w:type="spellStart"/>
      <w:r w:rsidRPr="00A55722">
        <w:rPr>
          <w:rFonts w:ascii="Arial" w:eastAsia="Times New Roman" w:hAnsi="Arial" w:cs="Arial"/>
          <w:color w:val="000000"/>
          <w:kern w:val="0"/>
          <w:sz w:val="23"/>
          <w:szCs w:val="23"/>
          <w14:ligatures w14:val="none"/>
        </w:rPr>
        <w:t>i</w:t>
      </w:r>
      <w:proofErr w:type="spellEnd"/>
      <w:r w:rsidRPr="00A55722">
        <w:rPr>
          <w:rFonts w:ascii="Arial" w:eastAsia="Times New Roman" w:hAnsi="Arial" w:cs="Arial"/>
          <w:color w:val="000000"/>
          <w:kern w:val="0"/>
          <w:sz w:val="23"/>
          <w:szCs w:val="23"/>
          <w14:ligatures w14:val="none"/>
        </w:rPr>
        <w:t xml:space="preserve">) the risk of doing business in developing countries and countries subject to international sanctions; (j) legislative, judicial, fiscal and regulatory developments including regulatory measures addressing climate change; (k) economic and financial market conditions in various countries and regions; (l) political risks, including the risks of expropriation and renegotiation of the terms of contracts with governmental entities, delays or advancements in the approval of projects and delays in the reimbursement for shared costs; (m) risks associated with the impact of pandemics, such as the COVID-19 (coronavirus) outbreak; and (n) changes in trading conditions. No assurance is provided that future dividend payments will match or exceed previous dividend payments. All forward-looking statements contained in this announcement are expressly qualified in their entirety by the cautionary statements contained or referred to in this section. Readers </w:t>
      </w:r>
      <w:r w:rsidRPr="00A55722">
        <w:rPr>
          <w:rFonts w:ascii="Arial" w:eastAsia="Times New Roman" w:hAnsi="Arial" w:cs="Arial"/>
          <w:color w:val="000000"/>
          <w:kern w:val="0"/>
          <w:sz w:val="23"/>
          <w:szCs w:val="23"/>
          <w14:ligatures w14:val="none"/>
        </w:rPr>
        <w:lastRenderedPageBreak/>
        <w:t>should not place undue reliance on forward-looking statements. Additional risk factors that may affect future results are contained in Shell plc’s Form 20-F for the year ended December 31, 2022 (available at </w:t>
      </w:r>
      <w:hyperlink r:id="rId4" w:tgtFrame="_blank" w:history="1">
        <w:r w:rsidRPr="00A55722">
          <w:rPr>
            <w:rFonts w:ascii="Arial" w:eastAsia="Times New Roman" w:hAnsi="Arial" w:cs="Arial"/>
            <w:color w:val="0000FF"/>
            <w:kern w:val="0"/>
            <w:sz w:val="23"/>
            <w:szCs w:val="23"/>
            <w:u w:val="single"/>
            <w14:ligatures w14:val="none"/>
          </w:rPr>
          <w:t>www.shell.com/investor</w:t>
        </w:r>
      </w:hyperlink>
      <w:r w:rsidRPr="00A55722">
        <w:rPr>
          <w:rFonts w:ascii="Arial" w:eastAsia="Times New Roman" w:hAnsi="Arial" w:cs="Arial"/>
          <w:color w:val="000000"/>
          <w:kern w:val="0"/>
          <w:sz w:val="23"/>
          <w:szCs w:val="23"/>
          <w14:ligatures w14:val="none"/>
        </w:rPr>
        <w:t> and </w:t>
      </w:r>
      <w:hyperlink r:id="rId5" w:tgtFrame="_blank" w:history="1">
        <w:r w:rsidRPr="00A55722">
          <w:rPr>
            <w:rFonts w:ascii="Arial" w:eastAsia="Times New Roman" w:hAnsi="Arial" w:cs="Arial"/>
            <w:color w:val="0000FF"/>
            <w:kern w:val="0"/>
            <w:sz w:val="23"/>
            <w:szCs w:val="23"/>
            <w:u w:val="single"/>
            <w14:ligatures w14:val="none"/>
          </w:rPr>
          <w:t>www.sec.gov</w:t>
        </w:r>
      </w:hyperlink>
      <w:r w:rsidRPr="00A55722">
        <w:rPr>
          <w:rFonts w:ascii="Arial" w:eastAsia="Times New Roman" w:hAnsi="Arial" w:cs="Arial"/>
          <w:color w:val="000000"/>
          <w:kern w:val="0"/>
          <w:sz w:val="23"/>
          <w:szCs w:val="23"/>
          <w14:ligatures w14:val="none"/>
        </w:rPr>
        <w:t xml:space="preserve">). These risk factors also expressly qualify all forward-looking statements contained in this announcement and should be considered by the reader. Each forward-looking statement speaks only as of the date of this announcement, December 11, 2023. Neither Shell plc nor any of its subsidiaries undertake any obligation to publicly update or revise any forward-looking statement </w:t>
      </w:r>
      <w:proofErr w:type="gramStart"/>
      <w:r w:rsidRPr="00A55722">
        <w:rPr>
          <w:rFonts w:ascii="Arial" w:eastAsia="Times New Roman" w:hAnsi="Arial" w:cs="Arial"/>
          <w:color w:val="000000"/>
          <w:kern w:val="0"/>
          <w:sz w:val="23"/>
          <w:szCs w:val="23"/>
          <w14:ligatures w14:val="none"/>
        </w:rPr>
        <w:t>as a result of</w:t>
      </w:r>
      <w:proofErr w:type="gramEnd"/>
      <w:r w:rsidRPr="00A55722">
        <w:rPr>
          <w:rFonts w:ascii="Arial" w:eastAsia="Times New Roman" w:hAnsi="Arial" w:cs="Arial"/>
          <w:color w:val="000000"/>
          <w:kern w:val="0"/>
          <w:sz w:val="23"/>
          <w:szCs w:val="23"/>
          <w14:ligatures w14:val="none"/>
        </w:rPr>
        <w:t xml:space="preserve"> new information, future events or other information. </w:t>
      </w:r>
      <w:proofErr w:type="gramStart"/>
      <w:r w:rsidRPr="00A55722">
        <w:rPr>
          <w:rFonts w:ascii="Arial" w:eastAsia="Times New Roman" w:hAnsi="Arial" w:cs="Arial"/>
          <w:color w:val="000000"/>
          <w:kern w:val="0"/>
          <w:sz w:val="23"/>
          <w:szCs w:val="23"/>
          <w14:ligatures w14:val="none"/>
        </w:rPr>
        <w:t>In light of</w:t>
      </w:r>
      <w:proofErr w:type="gramEnd"/>
      <w:r w:rsidRPr="00A55722">
        <w:rPr>
          <w:rFonts w:ascii="Arial" w:eastAsia="Times New Roman" w:hAnsi="Arial" w:cs="Arial"/>
          <w:color w:val="000000"/>
          <w:kern w:val="0"/>
          <w:sz w:val="23"/>
          <w:szCs w:val="23"/>
          <w14:ligatures w14:val="none"/>
        </w:rPr>
        <w:t xml:space="preserve"> these risks, results could differ materially from those stated, implied or inferred from the forward-looking statements contained in this announcement.</w:t>
      </w:r>
    </w:p>
    <w:p w14:paraId="21604F27"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b/>
          <w:bCs/>
          <w:color w:val="000000"/>
          <w:kern w:val="0"/>
          <w:sz w:val="23"/>
          <w:szCs w:val="23"/>
          <w14:ligatures w14:val="none"/>
        </w:rPr>
        <w:t>Shell’s net carbon intensity</w:t>
      </w:r>
      <w:r w:rsidRPr="00A55722">
        <w:rPr>
          <w:rFonts w:ascii="Arial" w:eastAsia="Times New Roman" w:hAnsi="Arial" w:cs="Arial"/>
          <w:color w:val="000000"/>
          <w:kern w:val="0"/>
          <w:sz w:val="23"/>
          <w:szCs w:val="23"/>
          <w14:ligatures w14:val="none"/>
        </w:rPr>
        <w:br/>
        <w:t>Also, in this announcement we may refer to Shell’s “Net Carbon Intensity”, which includes Shell’s carbon emissions from the production of our energy products, our suppliers’ carbon emissions in supplying energy for that production and our customers’ carbon emissions associated with their use of the energy products we sell. Shell only controls its own emissions. The use of the term Shell’s “Net Carbon Intensity” is for convenience only and not intended to suggest these emissions are those of Shell plc or its subsidiaries.</w:t>
      </w:r>
    </w:p>
    <w:p w14:paraId="06C94A1D"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b/>
          <w:bCs/>
          <w:color w:val="000000"/>
          <w:kern w:val="0"/>
          <w:sz w:val="23"/>
          <w:szCs w:val="23"/>
          <w14:ligatures w14:val="none"/>
        </w:rPr>
        <w:t>Shell’s net-Zero Emissions Target</w:t>
      </w:r>
      <w:r w:rsidRPr="00A55722">
        <w:rPr>
          <w:rFonts w:ascii="Arial" w:eastAsia="Times New Roman" w:hAnsi="Arial" w:cs="Arial"/>
          <w:color w:val="000000"/>
          <w:kern w:val="0"/>
          <w:sz w:val="23"/>
          <w:szCs w:val="23"/>
          <w14:ligatures w14:val="none"/>
        </w:rPr>
        <w:br/>
        <w:t xml:space="preserve">Shell’s operating plan, outlook and budgets are forecasted for a ten-year period and are updated every year. They reflect the current economic environment and what we can reasonably expect to see over the next ten years. Accordingly, they reflect our Scope 1, Scope </w:t>
      </w:r>
      <w:proofErr w:type="gramStart"/>
      <w:r w:rsidRPr="00A55722">
        <w:rPr>
          <w:rFonts w:ascii="Arial" w:eastAsia="Times New Roman" w:hAnsi="Arial" w:cs="Arial"/>
          <w:color w:val="000000"/>
          <w:kern w:val="0"/>
          <w:sz w:val="23"/>
          <w:szCs w:val="23"/>
          <w14:ligatures w14:val="none"/>
        </w:rPr>
        <w:t>2</w:t>
      </w:r>
      <w:proofErr w:type="gramEnd"/>
      <w:r w:rsidRPr="00A55722">
        <w:rPr>
          <w:rFonts w:ascii="Arial" w:eastAsia="Times New Roman" w:hAnsi="Arial" w:cs="Arial"/>
          <w:color w:val="000000"/>
          <w:kern w:val="0"/>
          <w:sz w:val="23"/>
          <w:szCs w:val="23"/>
          <w14:ligatures w14:val="none"/>
        </w:rPr>
        <w:t xml:space="preserve"> and Net Carbon Intensity (NCI) targets over the next ten years. However, Shell’s operating plans cannot reflect our 2050 net-zero emissions target and 2035 NCI target, as these targets are currently outside our planning period. In the future, as society moves towards net-zero emissions, we expect Shell’s operating plans to reflect this movement. However, if society is not net zero in 2050, as of today, there would be significant risk that Shell may not meet this target.</w:t>
      </w:r>
    </w:p>
    <w:p w14:paraId="732CDDD3"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b/>
          <w:bCs/>
          <w:color w:val="000000"/>
          <w:kern w:val="0"/>
          <w:sz w:val="23"/>
          <w:szCs w:val="23"/>
          <w14:ligatures w14:val="none"/>
        </w:rPr>
        <w:t>Forward Looking Non-GAAP measures</w:t>
      </w:r>
      <w:r w:rsidRPr="00A55722">
        <w:rPr>
          <w:rFonts w:ascii="Arial" w:eastAsia="Times New Roman" w:hAnsi="Arial" w:cs="Arial"/>
          <w:color w:val="000000"/>
          <w:kern w:val="0"/>
          <w:sz w:val="23"/>
          <w:szCs w:val="23"/>
          <w14:ligatures w14:val="none"/>
        </w:rPr>
        <w:br/>
        <w:t xml:space="preserve">This announcement may contain certain forward-looking non-GAAP measures such as cash capital expenditure and divestments. We are unable to provide a reconciliation of these forward-looking </w:t>
      </w:r>
      <w:proofErr w:type="gramStart"/>
      <w:r w:rsidRPr="00A55722">
        <w:rPr>
          <w:rFonts w:ascii="Arial" w:eastAsia="Times New Roman" w:hAnsi="Arial" w:cs="Arial"/>
          <w:color w:val="000000"/>
          <w:kern w:val="0"/>
          <w:sz w:val="23"/>
          <w:szCs w:val="23"/>
          <w14:ligatures w14:val="none"/>
        </w:rPr>
        <w:t>Non-GAAP</w:t>
      </w:r>
      <w:proofErr w:type="gramEnd"/>
      <w:r w:rsidRPr="00A55722">
        <w:rPr>
          <w:rFonts w:ascii="Arial" w:eastAsia="Times New Roman" w:hAnsi="Arial" w:cs="Arial"/>
          <w:color w:val="000000"/>
          <w:kern w:val="0"/>
          <w:sz w:val="23"/>
          <w:szCs w:val="23"/>
          <w14:ligatures w14:val="none"/>
        </w:rPr>
        <w:t xml:space="preserve"> measures to the most comparable GAAP financial measures because certain information needed to reconcile those Non-GAAP measures to the most comparable GAAP financial measures is dependent on future events some of which are outside the control of Shell, such as oil and gas prices, interest rates and exchange rates. Moreover, estimating such GAAP measures with the required precision necessary to provide a meaningful reconciliation is extremely difficult and could not be accomplished without unreasonable effort. Non-GAAP measures in respect of future periods which cannot be reconciled to the most comparable GAAP financial measure are calculated in a manner which is consistent with the accounting policies applied in Shell plc’s consolidated financial statements.</w:t>
      </w:r>
    </w:p>
    <w:p w14:paraId="1B46D6B3"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color w:val="000000"/>
          <w:kern w:val="0"/>
          <w:sz w:val="23"/>
          <w:szCs w:val="23"/>
          <w14:ligatures w14:val="none"/>
        </w:rPr>
        <w:t>The contents of websites referred to in this announcement do not form part of this announcement.</w:t>
      </w:r>
    </w:p>
    <w:p w14:paraId="07A74C00"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color w:val="000000"/>
          <w:kern w:val="0"/>
          <w:sz w:val="23"/>
          <w:szCs w:val="23"/>
          <w14:ligatures w14:val="none"/>
        </w:rPr>
        <w:lastRenderedPageBreak/>
        <w:t>We may have used certain terms, such as resources, in this announcement that the United States Securities and Exchange Commission (SEC) strictly prohibits us from including in our filings with the SEC. Investors are urged to consider closely the disclosure in our Form 20-F, File No 1-32575, available on the SEC website www.sec.gov.</w:t>
      </w:r>
    </w:p>
    <w:p w14:paraId="381B4D9A" w14:textId="77777777" w:rsidR="00A55722" w:rsidRPr="00A55722" w:rsidRDefault="00A55722" w:rsidP="00A55722">
      <w:pPr>
        <w:spacing w:before="100" w:beforeAutospacing="1" w:after="100" w:afterAutospacing="1" w:line="240" w:lineRule="auto"/>
        <w:rPr>
          <w:rFonts w:ascii="Arial" w:eastAsia="Times New Roman" w:hAnsi="Arial" w:cs="Arial"/>
          <w:color w:val="000000"/>
          <w:kern w:val="0"/>
          <w:sz w:val="23"/>
          <w:szCs w:val="23"/>
          <w14:ligatures w14:val="none"/>
        </w:rPr>
      </w:pPr>
      <w:r w:rsidRPr="00A55722">
        <w:rPr>
          <w:rFonts w:ascii="Arial" w:eastAsia="Times New Roman" w:hAnsi="Arial" w:cs="Arial"/>
          <w:color w:val="000000"/>
          <w:kern w:val="0"/>
          <w:sz w:val="23"/>
          <w:szCs w:val="23"/>
          <w14:ligatures w14:val="none"/>
        </w:rPr>
        <w:t>LEI number of Shell plc: 21380068P1DRHMJ8KU70</w:t>
      </w:r>
      <w:r w:rsidRPr="00A55722">
        <w:rPr>
          <w:rFonts w:ascii="Arial" w:eastAsia="Times New Roman" w:hAnsi="Arial" w:cs="Arial"/>
          <w:color w:val="000000"/>
          <w:kern w:val="0"/>
          <w:sz w:val="23"/>
          <w:szCs w:val="23"/>
          <w14:ligatures w14:val="none"/>
        </w:rPr>
        <w:br/>
        <w:t>Classification: Additional regulated information required to be disclosed under the laws of a Member State</w:t>
      </w:r>
    </w:p>
    <w:p w14:paraId="682E5D9C" w14:textId="77777777" w:rsidR="005C580C" w:rsidRDefault="005C580C"/>
    <w:sectPr w:rsidR="005C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22"/>
    <w:rsid w:val="005B3D74"/>
    <w:rsid w:val="005C580C"/>
    <w:rsid w:val="00A55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B8FD"/>
  <w15:chartTrackingRefBased/>
  <w15:docId w15:val="{0A30175C-EAF5-4898-B3B3-A457BE59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572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722"/>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A557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55722"/>
    <w:rPr>
      <w:b/>
      <w:bCs/>
    </w:rPr>
  </w:style>
  <w:style w:type="character" w:styleId="Hyperlink">
    <w:name w:val="Hyperlink"/>
    <w:basedOn w:val="DefaultParagraphFont"/>
    <w:uiPriority w:val="99"/>
    <w:semiHidden/>
    <w:unhideWhenUsed/>
    <w:rsid w:val="00A557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06328">
      <w:bodyDiv w:val="1"/>
      <w:marLeft w:val="0"/>
      <w:marRight w:val="0"/>
      <w:marTop w:val="0"/>
      <w:marBottom w:val="0"/>
      <w:divBdr>
        <w:top w:val="none" w:sz="0" w:space="0" w:color="auto"/>
        <w:left w:val="none" w:sz="0" w:space="0" w:color="auto"/>
        <w:bottom w:val="none" w:sz="0" w:space="0" w:color="auto"/>
        <w:right w:val="none" w:sz="0" w:space="0" w:color="auto"/>
      </w:divBdr>
      <w:divsChild>
        <w:div w:id="341323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c.gov/" TargetMode="External"/><Relationship Id="rId4" Type="http://schemas.openxmlformats.org/officeDocument/2006/relationships/hyperlink" Target="http://www.shell.com/inve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Slomskyte, Dominyka</dc:creator>
  <cp:keywords/>
  <dc:description/>
  <cp:lastModifiedBy>Slomskyte, Dominyka</cp:lastModifiedBy>
  <cp:revision>1</cp:revision>
  <dcterms:created xsi:type="dcterms:W3CDTF">2023-12-11T07:05:00Z</dcterms:created>
  <dcterms:modified xsi:type="dcterms:W3CDTF">2023-12-11T07:05:00Z</dcterms:modified>
</cp:coreProperties>
</file>