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28BBF" w14:textId="77777777" w:rsidR="002238FA" w:rsidRPr="002238FA" w:rsidRDefault="002238FA" w:rsidP="002238FA">
      <w:r w:rsidRPr="002238FA">
        <w:t>Transaction in Own Shares</w:t>
      </w:r>
    </w:p>
    <w:p w14:paraId="00B813CE" w14:textId="77777777" w:rsidR="002238FA" w:rsidRPr="002238FA" w:rsidRDefault="002238FA" w:rsidP="002238FA">
      <w:r w:rsidRPr="002238FA">
        <w:rPr>
          <w:b/>
          <w:bCs/>
        </w:rPr>
        <w:t>Transaction in Own Shares</w:t>
      </w:r>
    </w:p>
    <w:p w14:paraId="30DC6B27" w14:textId="77777777" w:rsidR="002238FA" w:rsidRPr="002238FA" w:rsidRDefault="002238FA" w:rsidP="002238FA">
      <w:r w:rsidRPr="002238FA">
        <w:t xml:space="preserve">11 </w:t>
      </w:r>
      <w:proofErr w:type="gramStart"/>
      <w:r w:rsidRPr="002238FA">
        <w:t>November,</w:t>
      </w:r>
      <w:proofErr w:type="gramEnd"/>
      <w:r w:rsidRPr="002238FA">
        <w:t xml:space="preserve"> 2024</w:t>
      </w:r>
    </w:p>
    <w:p w14:paraId="13077C2E" w14:textId="77777777" w:rsidR="002238FA" w:rsidRPr="002238FA" w:rsidRDefault="002238FA" w:rsidP="002238FA">
      <w:r w:rsidRPr="002238FA">
        <w:t>• • • • • • • • • • • • • • • •</w:t>
      </w:r>
    </w:p>
    <w:p w14:paraId="2133BADB" w14:textId="77777777" w:rsidR="002238FA" w:rsidRPr="002238FA" w:rsidRDefault="002238FA" w:rsidP="002238FA">
      <w:r w:rsidRPr="002238FA">
        <w:t>Shell plc (the ‘Company’) announces that on 11 November 2024 it purchased the following number of Shares for cancellation.</w:t>
      </w:r>
    </w:p>
    <w:p w14:paraId="58941FFD" w14:textId="77777777" w:rsidR="002238FA" w:rsidRPr="002238FA" w:rsidRDefault="002238FA" w:rsidP="002238FA">
      <w:r w:rsidRPr="002238FA">
        <w:rPr>
          <w:b/>
          <w:bCs/>
        </w:rPr>
        <w:t>Aggregated information on Shares purchased according to trading venue:</w:t>
      </w:r>
    </w:p>
    <w:tbl>
      <w:tblPr>
        <w:tblW w:w="10065" w:type="dxa"/>
        <w:tblCellMar>
          <w:top w:w="15" w:type="dxa"/>
          <w:left w:w="15" w:type="dxa"/>
          <w:bottom w:w="15" w:type="dxa"/>
          <w:right w:w="15" w:type="dxa"/>
        </w:tblCellMar>
        <w:tblLook w:val="04A0" w:firstRow="1" w:lastRow="0" w:firstColumn="1" w:lastColumn="0" w:noHBand="0" w:noVBand="1"/>
      </w:tblPr>
      <w:tblGrid>
        <w:gridCol w:w="1755"/>
        <w:gridCol w:w="1214"/>
        <w:gridCol w:w="1513"/>
        <w:gridCol w:w="1513"/>
        <w:gridCol w:w="1513"/>
        <w:gridCol w:w="1514"/>
        <w:gridCol w:w="1043"/>
      </w:tblGrid>
      <w:tr w:rsidR="002238FA" w:rsidRPr="002238FA" w14:paraId="58295E41" w14:textId="77777777" w:rsidTr="002238FA">
        <w:tc>
          <w:tcPr>
            <w:tcW w:w="1755" w:type="dxa"/>
            <w:tcBorders>
              <w:top w:val="single" w:sz="8" w:space="0" w:color="000000"/>
              <w:left w:val="single" w:sz="8" w:space="0" w:color="000000"/>
              <w:bottom w:val="single" w:sz="8" w:space="0" w:color="000000"/>
              <w:right w:val="single" w:sz="8" w:space="0" w:color="000000"/>
            </w:tcBorders>
            <w:hideMark/>
          </w:tcPr>
          <w:p w14:paraId="459C067D" w14:textId="77777777" w:rsidR="002238FA" w:rsidRPr="002238FA" w:rsidRDefault="002238FA" w:rsidP="002238FA">
            <w:r w:rsidRPr="002238FA">
              <w:t>Date of purchase</w:t>
            </w:r>
          </w:p>
        </w:tc>
        <w:tc>
          <w:tcPr>
            <w:tcW w:w="1214" w:type="dxa"/>
            <w:tcBorders>
              <w:top w:val="single" w:sz="8" w:space="0" w:color="000000"/>
              <w:left w:val="single" w:sz="8" w:space="0" w:color="000000"/>
              <w:bottom w:val="single" w:sz="8" w:space="0" w:color="000000"/>
              <w:right w:val="single" w:sz="8" w:space="0" w:color="000000"/>
            </w:tcBorders>
            <w:hideMark/>
          </w:tcPr>
          <w:p w14:paraId="0DB1B5D7" w14:textId="77777777" w:rsidR="002238FA" w:rsidRPr="002238FA" w:rsidRDefault="002238FA" w:rsidP="002238FA">
            <w:r w:rsidRPr="002238FA">
              <w:t>Number of Shares purchased</w:t>
            </w:r>
          </w:p>
        </w:tc>
        <w:tc>
          <w:tcPr>
            <w:tcW w:w="1513" w:type="dxa"/>
            <w:tcBorders>
              <w:top w:val="single" w:sz="8" w:space="0" w:color="000000"/>
              <w:left w:val="single" w:sz="8" w:space="0" w:color="000000"/>
              <w:bottom w:val="single" w:sz="8" w:space="0" w:color="000000"/>
              <w:right w:val="single" w:sz="8" w:space="0" w:color="000000"/>
            </w:tcBorders>
            <w:hideMark/>
          </w:tcPr>
          <w:p w14:paraId="7599B711" w14:textId="77777777" w:rsidR="002238FA" w:rsidRPr="002238FA" w:rsidRDefault="002238FA" w:rsidP="002238FA">
            <w:r w:rsidRPr="002238FA">
              <w:t>Highest price paid</w:t>
            </w:r>
            <w:r w:rsidRPr="002238FA">
              <w:br/>
            </w:r>
            <w:r w:rsidRPr="002238FA">
              <w:br/>
              <w:t> </w:t>
            </w:r>
          </w:p>
        </w:tc>
        <w:tc>
          <w:tcPr>
            <w:tcW w:w="1513" w:type="dxa"/>
            <w:tcBorders>
              <w:top w:val="single" w:sz="8" w:space="0" w:color="000000"/>
              <w:left w:val="single" w:sz="8" w:space="0" w:color="000000"/>
              <w:bottom w:val="single" w:sz="8" w:space="0" w:color="000000"/>
              <w:right w:val="single" w:sz="8" w:space="0" w:color="000000"/>
            </w:tcBorders>
            <w:hideMark/>
          </w:tcPr>
          <w:p w14:paraId="25110FB2" w14:textId="77777777" w:rsidR="002238FA" w:rsidRPr="002238FA" w:rsidRDefault="002238FA" w:rsidP="002238FA">
            <w:r w:rsidRPr="002238FA">
              <w:t>Lowest price paid</w:t>
            </w:r>
            <w:r w:rsidRPr="002238FA">
              <w:br/>
            </w:r>
            <w:r w:rsidRPr="002238FA">
              <w:br/>
              <w:t> </w:t>
            </w:r>
          </w:p>
        </w:tc>
        <w:tc>
          <w:tcPr>
            <w:tcW w:w="1513" w:type="dxa"/>
            <w:tcBorders>
              <w:top w:val="single" w:sz="8" w:space="0" w:color="000000"/>
              <w:left w:val="single" w:sz="8" w:space="0" w:color="000000"/>
              <w:bottom w:val="single" w:sz="8" w:space="0" w:color="000000"/>
              <w:right w:val="single" w:sz="8" w:space="0" w:color="000000"/>
            </w:tcBorders>
            <w:hideMark/>
          </w:tcPr>
          <w:p w14:paraId="1A93F7B5" w14:textId="77777777" w:rsidR="002238FA" w:rsidRPr="002238FA" w:rsidRDefault="002238FA" w:rsidP="002238FA">
            <w:r w:rsidRPr="002238FA">
              <w:t>Volume weighted average price paid per share</w:t>
            </w:r>
          </w:p>
        </w:tc>
        <w:tc>
          <w:tcPr>
            <w:tcW w:w="1514" w:type="dxa"/>
            <w:tcBorders>
              <w:top w:val="single" w:sz="8" w:space="0" w:color="000000"/>
              <w:left w:val="single" w:sz="8" w:space="0" w:color="000000"/>
              <w:bottom w:val="single" w:sz="8" w:space="0" w:color="000000"/>
              <w:right w:val="single" w:sz="8" w:space="0" w:color="000000"/>
            </w:tcBorders>
            <w:hideMark/>
          </w:tcPr>
          <w:p w14:paraId="39929EA4" w14:textId="77777777" w:rsidR="002238FA" w:rsidRPr="002238FA" w:rsidRDefault="002238FA" w:rsidP="002238FA">
            <w:r w:rsidRPr="002238FA">
              <w:t>Venue</w:t>
            </w:r>
          </w:p>
        </w:tc>
        <w:tc>
          <w:tcPr>
            <w:tcW w:w="1043" w:type="dxa"/>
            <w:tcBorders>
              <w:top w:val="single" w:sz="8" w:space="0" w:color="000000"/>
              <w:left w:val="single" w:sz="8" w:space="0" w:color="000000"/>
              <w:bottom w:val="single" w:sz="8" w:space="0" w:color="000000"/>
              <w:right w:val="single" w:sz="8" w:space="0" w:color="000000"/>
            </w:tcBorders>
            <w:hideMark/>
          </w:tcPr>
          <w:p w14:paraId="48DCC2C8" w14:textId="77777777" w:rsidR="002238FA" w:rsidRPr="002238FA" w:rsidRDefault="002238FA" w:rsidP="002238FA">
            <w:r w:rsidRPr="002238FA">
              <w:t>Currency</w:t>
            </w:r>
          </w:p>
        </w:tc>
      </w:tr>
      <w:tr w:rsidR="002238FA" w:rsidRPr="002238FA" w14:paraId="3FB6C662" w14:textId="77777777" w:rsidTr="002238FA">
        <w:tc>
          <w:tcPr>
            <w:tcW w:w="1755" w:type="dxa"/>
            <w:tcBorders>
              <w:top w:val="single" w:sz="8" w:space="0" w:color="000000"/>
              <w:left w:val="single" w:sz="8" w:space="0" w:color="000000"/>
              <w:bottom w:val="single" w:sz="8" w:space="0" w:color="000000"/>
              <w:right w:val="single" w:sz="8" w:space="0" w:color="000000"/>
            </w:tcBorders>
            <w:vAlign w:val="center"/>
            <w:hideMark/>
          </w:tcPr>
          <w:p w14:paraId="4611B729" w14:textId="77777777" w:rsidR="002238FA" w:rsidRPr="002238FA" w:rsidRDefault="002238FA" w:rsidP="002238FA">
            <w:r w:rsidRPr="002238FA">
              <w:t>11/11/2024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30AC67AD" w14:textId="77777777" w:rsidR="002238FA" w:rsidRPr="002238FA" w:rsidRDefault="002238FA" w:rsidP="002238FA">
            <w:r w:rsidRPr="002238FA">
              <w:t>851,000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61123222" w14:textId="77777777" w:rsidR="002238FA" w:rsidRPr="002238FA" w:rsidRDefault="002238FA" w:rsidP="002238FA">
            <w:r w:rsidRPr="002238FA">
              <w:t>£25.7900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121A3DD6" w14:textId="77777777" w:rsidR="002238FA" w:rsidRPr="002238FA" w:rsidRDefault="002238FA" w:rsidP="002238FA">
            <w:r w:rsidRPr="002238FA">
              <w:t>£25.4500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13C2FB69" w14:textId="77777777" w:rsidR="002238FA" w:rsidRPr="002238FA" w:rsidRDefault="002238FA" w:rsidP="002238FA">
            <w:r w:rsidRPr="002238FA">
              <w:t>£25.6149</w:t>
            </w:r>
          </w:p>
        </w:tc>
        <w:tc>
          <w:tcPr>
            <w:tcW w:w="1514" w:type="dxa"/>
            <w:tcBorders>
              <w:top w:val="single" w:sz="8" w:space="0" w:color="000000"/>
              <w:left w:val="single" w:sz="8" w:space="0" w:color="000000"/>
              <w:bottom w:val="single" w:sz="8" w:space="0" w:color="000000"/>
              <w:right w:val="single" w:sz="8" w:space="0" w:color="000000"/>
            </w:tcBorders>
            <w:hideMark/>
          </w:tcPr>
          <w:p w14:paraId="3A339541" w14:textId="77777777" w:rsidR="002238FA" w:rsidRPr="002238FA" w:rsidRDefault="002238FA" w:rsidP="002238FA">
            <w:r w:rsidRPr="002238FA">
              <w:t>LSE</w:t>
            </w:r>
          </w:p>
        </w:tc>
        <w:tc>
          <w:tcPr>
            <w:tcW w:w="1043" w:type="dxa"/>
            <w:tcBorders>
              <w:top w:val="single" w:sz="8" w:space="0" w:color="000000"/>
              <w:left w:val="single" w:sz="8" w:space="0" w:color="000000"/>
              <w:bottom w:val="single" w:sz="8" w:space="0" w:color="000000"/>
              <w:right w:val="single" w:sz="8" w:space="0" w:color="000000"/>
            </w:tcBorders>
            <w:hideMark/>
          </w:tcPr>
          <w:p w14:paraId="67F1BB99" w14:textId="77777777" w:rsidR="002238FA" w:rsidRPr="002238FA" w:rsidRDefault="002238FA" w:rsidP="002238FA">
            <w:r w:rsidRPr="002238FA">
              <w:t>GBP</w:t>
            </w:r>
          </w:p>
        </w:tc>
      </w:tr>
      <w:tr w:rsidR="002238FA" w:rsidRPr="002238FA" w14:paraId="6EB5D148" w14:textId="77777777" w:rsidTr="002238FA">
        <w:tc>
          <w:tcPr>
            <w:tcW w:w="1755" w:type="dxa"/>
            <w:tcBorders>
              <w:top w:val="single" w:sz="8" w:space="0" w:color="000000"/>
              <w:left w:val="single" w:sz="8" w:space="0" w:color="000000"/>
              <w:bottom w:val="single" w:sz="8" w:space="0" w:color="000000"/>
              <w:right w:val="single" w:sz="8" w:space="0" w:color="000000"/>
            </w:tcBorders>
            <w:vAlign w:val="center"/>
            <w:hideMark/>
          </w:tcPr>
          <w:p w14:paraId="61E5635C" w14:textId="77777777" w:rsidR="002238FA" w:rsidRPr="002238FA" w:rsidRDefault="002238FA" w:rsidP="002238FA">
            <w:r w:rsidRPr="002238FA">
              <w:t>11/11/2024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38219E62" w14:textId="77777777" w:rsidR="002238FA" w:rsidRPr="002238FA" w:rsidRDefault="002238FA" w:rsidP="002238FA">
            <w:r w:rsidRPr="002238FA">
              <w:t>-</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7CC5E6E5" w14:textId="77777777" w:rsidR="002238FA" w:rsidRPr="002238FA" w:rsidRDefault="002238FA" w:rsidP="002238FA">
            <w:r w:rsidRPr="002238FA">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4F37E277" w14:textId="77777777" w:rsidR="002238FA" w:rsidRPr="002238FA" w:rsidRDefault="002238FA" w:rsidP="002238FA">
            <w:r w:rsidRPr="002238FA">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2DF7D210" w14:textId="77777777" w:rsidR="002238FA" w:rsidRPr="002238FA" w:rsidRDefault="002238FA" w:rsidP="002238FA">
            <w:r w:rsidRPr="002238FA">
              <w:t>£0.0000</w:t>
            </w:r>
          </w:p>
        </w:tc>
        <w:tc>
          <w:tcPr>
            <w:tcW w:w="1514" w:type="dxa"/>
            <w:tcBorders>
              <w:top w:val="single" w:sz="8" w:space="0" w:color="000000"/>
              <w:left w:val="single" w:sz="8" w:space="0" w:color="000000"/>
              <w:bottom w:val="single" w:sz="8" w:space="0" w:color="000000"/>
              <w:right w:val="single" w:sz="8" w:space="0" w:color="000000"/>
            </w:tcBorders>
            <w:hideMark/>
          </w:tcPr>
          <w:p w14:paraId="174279B2" w14:textId="77777777" w:rsidR="002238FA" w:rsidRPr="002238FA" w:rsidRDefault="002238FA" w:rsidP="002238FA">
            <w:r w:rsidRPr="002238FA">
              <w:t>Chi-X (CXE)</w:t>
            </w:r>
          </w:p>
        </w:tc>
        <w:tc>
          <w:tcPr>
            <w:tcW w:w="1043" w:type="dxa"/>
            <w:tcBorders>
              <w:top w:val="single" w:sz="8" w:space="0" w:color="000000"/>
              <w:left w:val="single" w:sz="8" w:space="0" w:color="000000"/>
              <w:bottom w:val="single" w:sz="8" w:space="0" w:color="000000"/>
              <w:right w:val="single" w:sz="8" w:space="0" w:color="000000"/>
            </w:tcBorders>
            <w:hideMark/>
          </w:tcPr>
          <w:p w14:paraId="6C4358E2" w14:textId="77777777" w:rsidR="002238FA" w:rsidRPr="002238FA" w:rsidRDefault="002238FA" w:rsidP="002238FA">
            <w:r w:rsidRPr="002238FA">
              <w:t>GBP</w:t>
            </w:r>
          </w:p>
        </w:tc>
      </w:tr>
      <w:tr w:rsidR="002238FA" w:rsidRPr="002238FA" w14:paraId="0C674763" w14:textId="77777777" w:rsidTr="002238FA">
        <w:tc>
          <w:tcPr>
            <w:tcW w:w="1755" w:type="dxa"/>
            <w:tcBorders>
              <w:top w:val="single" w:sz="8" w:space="0" w:color="000000"/>
              <w:left w:val="single" w:sz="8" w:space="0" w:color="000000"/>
              <w:bottom w:val="single" w:sz="8" w:space="0" w:color="000000"/>
              <w:right w:val="single" w:sz="8" w:space="0" w:color="000000"/>
            </w:tcBorders>
            <w:vAlign w:val="center"/>
            <w:hideMark/>
          </w:tcPr>
          <w:p w14:paraId="502AA8AC" w14:textId="77777777" w:rsidR="002238FA" w:rsidRPr="002238FA" w:rsidRDefault="002238FA" w:rsidP="002238FA">
            <w:r w:rsidRPr="002238FA">
              <w:t>11/11/2024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0F95AF85" w14:textId="77777777" w:rsidR="002238FA" w:rsidRPr="002238FA" w:rsidRDefault="002238FA" w:rsidP="002238FA">
            <w:r w:rsidRPr="002238FA">
              <w:t>-</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7C7B3D68" w14:textId="77777777" w:rsidR="002238FA" w:rsidRPr="002238FA" w:rsidRDefault="002238FA" w:rsidP="002238FA">
            <w:r w:rsidRPr="002238FA">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1EEFB28C" w14:textId="77777777" w:rsidR="002238FA" w:rsidRPr="002238FA" w:rsidRDefault="002238FA" w:rsidP="002238FA">
            <w:r w:rsidRPr="002238FA">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6CA170C2" w14:textId="77777777" w:rsidR="002238FA" w:rsidRPr="002238FA" w:rsidRDefault="002238FA" w:rsidP="002238FA">
            <w:r w:rsidRPr="002238FA">
              <w:t>£0.0000</w:t>
            </w:r>
          </w:p>
        </w:tc>
        <w:tc>
          <w:tcPr>
            <w:tcW w:w="1514" w:type="dxa"/>
            <w:tcBorders>
              <w:top w:val="single" w:sz="8" w:space="0" w:color="000000"/>
              <w:left w:val="single" w:sz="8" w:space="0" w:color="000000"/>
              <w:bottom w:val="single" w:sz="8" w:space="0" w:color="000000"/>
              <w:right w:val="single" w:sz="8" w:space="0" w:color="000000"/>
            </w:tcBorders>
            <w:hideMark/>
          </w:tcPr>
          <w:p w14:paraId="086FC2C2" w14:textId="77777777" w:rsidR="002238FA" w:rsidRPr="002238FA" w:rsidRDefault="002238FA" w:rsidP="002238FA">
            <w:r w:rsidRPr="002238FA">
              <w:t>BATS (BXE)</w:t>
            </w:r>
          </w:p>
        </w:tc>
        <w:tc>
          <w:tcPr>
            <w:tcW w:w="1043" w:type="dxa"/>
            <w:tcBorders>
              <w:top w:val="single" w:sz="8" w:space="0" w:color="000000"/>
              <w:left w:val="single" w:sz="8" w:space="0" w:color="000000"/>
              <w:bottom w:val="single" w:sz="8" w:space="0" w:color="000000"/>
              <w:right w:val="single" w:sz="8" w:space="0" w:color="000000"/>
            </w:tcBorders>
            <w:hideMark/>
          </w:tcPr>
          <w:p w14:paraId="428F3EC1" w14:textId="77777777" w:rsidR="002238FA" w:rsidRPr="002238FA" w:rsidRDefault="002238FA" w:rsidP="002238FA">
            <w:r w:rsidRPr="002238FA">
              <w:t>GBP</w:t>
            </w:r>
          </w:p>
        </w:tc>
      </w:tr>
      <w:tr w:rsidR="002238FA" w:rsidRPr="002238FA" w14:paraId="0F697E95" w14:textId="77777777" w:rsidTr="002238FA">
        <w:tc>
          <w:tcPr>
            <w:tcW w:w="1755" w:type="dxa"/>
            <w:tcBorders>
              <w:top w:val="single" w:sz="8" w:space="0" w:color="000000"/>
              <w:left w:val="single" w:sz="8" w:space="0" w:color="000000"/>
              <w:bottom w:val="single" w:sz="8" w:space="0" w:color="000000"/>
              <w:right w:val="single" w:sz="8" w:space="0" w:color="000000"/>
            </w:tcBorders>
            <w:vAlign w:val="center"/>
            <w:hideMark/>
          </w:tcPr>
          <w:p w14:paraId="712A4933" w14:textId="77777777" w:rsidR="002238FA" w:rsidRPr="002238FA" w:rsidRDefault="002238FA" w:rsidP="002238FA">
            <w:r w:rsidRPr="002238FA">
              <w:t>11/11/2024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7E47181E" w14:textId="77777777" w:rsidR="002238FA" w:rsidRPr="002238FA" w:rsidRDefault="002238FA" w:rsidP="002238FA">
            <w:r w:rsidRPr="002238FA">
              <w:t>512,000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08753B00" w14:textId="77777777" w:rsidR="002238FA" w:rsidRPr="002238FA" w:rsidRDefault="002238FA" w:rsidP="002238FA">
            <w:r w:rsidRPr="002238FA">
              <w:t>€31.4650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14652B78" w14:textId="77777777" w:rsidR="002238FA" w:rsidRPr="002238FA" w:rsidRDefault="002238FA" w:rsidP="002238FA">
            <w:r w:rsidRPr="002238FA">
              <w:t>€31.1350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0841647A" w14:textId="77777777" w:rsidR="002238FA" w:rsidRPr="002238FA" w:rsidRDefault="002238FA" w:rsidP="002238FA">
            <w:r w:rsidRPr="002238FA">
              <w:t>€31.3083</w:t>
            </w:r>
          </w:p>
        </w:tc>
        <w:tc>
          <w:tcPr>
            <w:tcW w:w="1514" w:type="dxa"/>
            <w:tcBorders>
              <w:top w:val="single" w:sz="8" w:space="0" w:color="000000"/>
              <w:left w:val="single" w:sz="8" w:space="0" w:color="000000"/>
              <w:bottom w:val="single" w:sz="8" w:space="0" w:color="000000"/>
              <w:right w:val="single" w:sz="8" w:space="0" w:color="000000"/>
            </w:tcBorders>
            <w:hideMark/>
          </w:tcPr>
          <w:p w14:paraId="4FB8538B" w14:textId="77777777" w:rsidR="002238FA" w:rsidRPr="002238FA" w:rsidRDefault="002238FA" w:rsidP="002238FA">
            <w:r w:rsidRPr="002238FA">
              <w:t>XAMS</w:t>
            </w:r>
          </w:p>
        </w:tc>
        <w:tc>
          <w:tcPr>
            <w:tcW w:w="1043" w:type="dxa"/>
            <w:tcBorders>
              <w:top w:val="single" w:sz="8" w:space="0" w:color="000000"/>
              <w:left w:val="single" w:sz="8" w:space="0" w:color="000000"/>
              <w:bottom w:val="single" w:sz="8" w:space="0" w:color="000000"/>
              <w:right w:val="single" w:sz="8" w:space="0" w:color="000000"/>
            </w:tcBorders>
            <w:hideMark/>
          </w:tcPr>
          <w:p w14:paraId="6D69D050" w14:textId="77777777" w:rsidR="002238FA" w:rsidRPr="002238FA" w:rsidRDefault="002238FA" w:rsidP="002238FA">
            <w:r w:rsidRPr="002238FA">
              <w:t>EUR</w:t>
            </w:r>
          </w:p>
        </w:tc>
      </w:tr>
      <w:tr w:rsidR="002238FA" w:rsidRPr="002238FA" w14:paraId="2B31B8BD" w14:textId="77777777" w:rsidTr="002238FA">
        <w:tc>
          <w:tcPr>
            <w:tcW w:w="1755" w:type="dxa"/>
            <w:tcBorders>
              <w:top w:val="single" w:sz="8" w:space="0" w:color="000000"/>
              <w:left w:val="single" w:sz="8" w:space="0" w:color="000000"/>
              <w:bottom w:val="single" w:sz="8" w:space="0" w:color="000000"/>
              <w:right w:val="single" w:sz="8" w:space="0" w:color="000000"/>
            </w:tcBorders>
            <w:vAlign w:val="center"/>
            <w:hideMark/>
          </w:tcPr>
          <w:p w14:paraId="5D29D4CC" w14:textId="77777777" w:rsidR="002238FA" w:rsidRPr="002238FA" w:rsidRDefault="002238FA" w:rsidP="002238FA">
            <w:r w:rsidRPr="002238FA">
              <w:t>11/11/2024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28D57891" w14:textId="77777777" w:rsidR="002238FA" w:rsidRPr="002238FA" w:rsidRDefault="002238FA" w:rsidP="002238FA">
            <w:r w:rsidRPr="002238FA">
              <w:t>-</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207F2014" w14:textId="77777777" w:rsidR="002238FA" w:rsidRPr="002238FA" w:rsidRDefault="002238FA" w:rsidP="002238FA">
            <w:r w:rsidRPr="002238FA">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47FE6B18" w14:textId="77777777" w:rsidR="002238FA" w:rsidRPr="002238FA" w:rsidRDefault="002238FA" w:rsidP="002238FA">
            <w:r w:rsidRPr="002238FA">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065F4AAB" w14:textId="77777777" w:rsidR="002238FA" w:rsidRPr="002238FA" w:rsidRDefault="002238FA" w:rsidP="002238FA">
            <w:r w:rsidRPr="002238FA">
              <w:t>€0.0000</w:t>
            </w:r>
          </w:p>
        </w:tc>
        <w:tc>
          <w:tcPr>
            <w:tcW w:w="1514" w:type="dxa"/>
            <w:tcBorders>
              <w:top w:val="single" w:sz="8" w:space="0" w:color="000000"/>
              <w:left w:val="single" w:sz="8" w:space="0" w:color="000000"/>
              <w:bottom w:val="single" w:sz="8" w:space="0" w:color="000000"/>
              <w:right w:val="single" w:sz="8" w:space="0" w:color="000000"/>
            </w:tcBorders>
            <w:hideMark/>
          </w:tcPr>
          <w:p w14:paraId="10C03886" w14:textId="77777777" w:rsidR="002238FA" w:rsidRPr="002238FA" w:rsidRDefault="002238FA" w:rsidP="002238FA">
            <w:r w:rsidRPr="002238FA">
              <w:t>CBOE DXE</w:t>
            </w:r>
          </w:p>
        </w:tc>
        <w:tc>
          <w:tcPr>
            <w:tcW w:w="1043" w:type="dxa"/>
            <w:tcBorders>
              <w:top w:val="single" w:sz="8" w:space="0" w:color="000000"/>
              <w:left w:val="single" w:sz="8" w:space="0" w:color="000000"/>
              <w:bottom w:val="single" w:sz="8" w:space="0" w:color="000000"/>
              <w:right w:val="single" w:sz="8" w:space="0" w:color="000000"/>
            </w:tcBorders>
            <w:hideMark/>
          </w:tcPr>
          <w:p w14:paraId="39451B36" w14:textId="77777777" w:rsidR="002238FA" w:rsidRPr="002238FA" w:rsidRDefault="002238FA" w:rsidP="002238FA">
            <w:r w:rsidRPr="002238FA">
              <w:t>EUR</w:t>
            </w:r>
          </w:p>
        </w:tc>
      </w:tr>
      <w:tr w:rsidR="002238FA" w:rsidRPr="002238FA" w14:paraId="5FA4E859" w14:textId="77777777" w:rsidTr="002238FA">
        <w:tc>
          <w:tcPr>
            <w:tcW w:w="1755" w:type="dxa"/>
            <w:tcBorders>
              <w:top w:val="single" w:sz="8" w:space="0" w:color="000000"/>
              <w:left w:val="single" w:sz="8" w:space="0" w:color="000000"/>
              <w:bottom w:val="single" w:sz="8" w:space="0" w:color="000000"/>
              <w:right w:val="single" w:sz="8" w:space="0" w:color="000000"/>
            </w:tcBorders>
            <w:vAlign w:val="center"/>
            <w:hideMark/>
          </w:tcPr>
          <w:p w14:paraId="2D89077F" w14:textId="77777777" w:rsidR="002238FA" w:rsidRPr="002238FA" w:rsidRDefault="002238FA" w:rsidP="002238FA">
            <w:r w:rsidRPr="002238FA">
              <w:t>11/11/2024</w:t>
            </w:r>
          </w:p>
        </w:tc>
        <w:tc>
          <w:tcPr>
            <w:tcW w:w="1214" w:type="dxa"/>
            <w:tcBorders>
              <w:top w:val="single" w:sz="8" w:space="0" w:color="000000"/>
              <w:left w:val="single" w:sz="8" w:space="0" w:color="000000"/>
              <w:bottom w:val="single" w:sz="8" w:space="0" w:color="000000"/>
              <w:right w:val="single" w:sz="8" w:space="0" w:color="000000"/>
            </w:tcBorders>
            <w:vAlign w:val="center"/>
            <w:hideMark/>
          </w:tcPr>
          <w:p w14:paraId="7CF16EFF" w14:textId="77777777" w:rsidR="002238FA" w:rsidRPr="002238FA" w:rsidRDefault="002238FA" w:rsidP="002238FA">
            <w:r w:rsidRPr="002238FA">
              <w:t>-</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553C2100" w14:textId="77777777" w:rsidR="002238FA" w:rsidRPr="002238FA" w:rsidRDefault="002238FA" w:rsidP="002238FA">
            <w:r w:rsidRPr="002238FA">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7ECADA48" w14:textId="77777777" w:rsidR="002238FA" w:rsidRPr="002238FA" w:rsidRDefault="002238FA" w:rsidP="002238FA">
            <w:r w:rsidRPr="002238FA">
              <w:t>€0.0000</w:t>
            </w:r>
          </w:p>
        </w:tc>
        <w:tc>
          <w:tcPr>
            <w:tcW w:w="1513" w:type="dxa"/>
            <w:tcBorders>
              <w:top w:val="single" w:sz="8" w:space="0" w:color="000000"/>
              <w:left w:val="single" w:sz="8" w:space="0" w:color="000000"/>
              <w:bottom w:val="single" w:sz="8" w:space="0" w:color="000000"/>
              <w:right w:val="single" w:sz="8" w:space="0" w:color="000000"/>
            </w:tcBorders>
            <w:vAlign w:val="center"/>
            <w:hideMark/>
          </w:tcPr>
          <w:p w14:paraId="472501D4" w14:textId="77777777" w:rsidR="002238FA" w:rsidRPr="002238FA" w:rsidRDefault="002238FA" w:rsidP="002238FA">
            <w:r w:rsidRPr="002238FA">
              <w:t>€0.0000</w:t>
            </w:r>
          </w:p>
        </w:tc>
        <w:tc>
          <w:tcPr>
            <w:tcW w:w="1514" w:type="dxa"/>
            <w:tcBorders>
              <w:top w:val="single" w:sz="8" w:space="0" w:color="000000"/>
              <w:left w:val="single" w:sz="8" w:space="0" w:color="000000"/>
              <w:bottom w:val="single" w:sz="8" w:space="0" w:color="000000"/>
              <w:right w:val="single" w:sz="8" w:space="0" w:color="000000"/>
            </w:tcBorders>
            <w:hideMark/>
          </w:tcPr>
          <w:p w14:paraId="71C3FDA6" w14:textId="77777777" w:rsidR="002238FA" w:rsidRPr="002238FA" w:rsidRDefault="002238FA" w:rsidP="002238FA">
            <w:r w:rsidRPr="002238FA">
              <w:t>TQEX</w:t>
            </w:r>
          </w:p>
        </w:tc>
        <w:tc>
          <w:tcPr>
            <w:tcW w:w="1043" w:type="dxa"/>
            <w:tcBorders>
              <w:top w:val="single" w:sz="8" w:space="0" w:color="000000"/>
              <w:left w:val="single" w:sz="8" w:space="0" w:color="000000"/>
              <w:bottom w:val="single" w:sz="8" w:space="0" w:color="000000"/>
              <w:right w:val="single" w:sz="8" w:space="0" w:color="000000"/>
            </w:tcBorders>
            <w:hideMark/>
          </w:tcPr>
          <w:p w14:paraId="06E6CF21" w14:textId="77777777" w:rsidR="002238FA" w:rsidRPr="002238FA" w:rsidRDefault="002238FA" w:rsidP="002238FA">
            <w:r w:rsidRPr="002238FA">
              <w:t>EUR</w:t>
            </w:r>
          </w:p>
        </w:tc>
      </w:tr>
    </w:tbl>
    <w:p w14:paraId="5472837C" w14:textId="77777777" w:rsidR="002238FA" w:rsidRPr="002238FA" w:rsidRDefault="002238FA" w:rsidP="002238FA">
      <w:r w:rsidRPr="002238FA">
        <w:t xml:space="preserve">These share purchases form part of the on- and off-market limbs of the Company's existing share buy-back </w:t>
      </w:r>
      <w:proofErr w:type="spellStart"/>
      <w:r w:rsidRPr="002238FA">
        <w:t>programme</w:t>
      </w:r>
      <w:proofErr w:type="spellEnd"/>
      <w:r w:rsidRPr="002238FA">
        <w:t xml:space="preserve"> previously announced on 31 October 2024.</w:t>
      </w:r>
    </w:p>
    <w:p w14:paraId="482B0E21" w14:textId="77777777" w:rsidR="002238FA" w:rsidRPr="002238FA" w:rsidRDefault="002238FA" w:rsidP="002238FA">
      <w:r w:rsidRPr="002238FA">
        <w:t xml:space="preserve">In respect of this </w:t>
      </w:r>
      <w:proofErr w:type="spellStart"/>
      <w:r w:rsidRPr="002238FA">
        <w:t>programme</w:t>
      </w:r>
      <w:proofErr w:type="spellEnd"/>
      <w:r w:rsidRPr="002238FA">
        <w:t>, Citigroup Global Markets Limited will make trading decisions in relation to the securities independently of the Company for a period from 31 October 2024 up to and including 24 January 2025.</w:t>
      </w:r>
    </w:p>
    <w:p w14:paraId="36C9D8E9" w14:textId="77777777" w:rsidR="002238FA" w:rsidRPr="002238FA" w:rsidRDefault="002238FA" w:rsidP="002238FA">
      <w:r w:rsidRPr="002238FA">
        <w:t xml:space="preserve">The on-market limb will be </w:t>
      </w:r>
      <w:proofErr w:type="gramStart"/>
      <w:r w:rsidRPr="002238FA">
        <w:t>effected</w:t>
      </w:r>
      <w:proofErr w:type="gramEnd"/>
      <w:r w:rsidRPr="002238FA">
        <w:t xml:space="preserve"> within certain pre-set parameters and in accordance with the Company’s general authority to repurchase shares on-market. The off-market limb will be </w:t>
      </w:r>
      <w:proofErr w:type="gramStart"/>
      <w:r w:rsidRPr="002238FA">
        <w:t>effected</w:t>
      </w:r>
      <w:proofErr w:type="gramEnd"/>
      <w:r w:rsidRPr="002238FA">
        <w:t xml:space="preserve"> in accordance with the Company’s general authority to repurchase shares off-market pursuant to the off-market buyback contract approved by its shareholders and the pre-set parameters set out therein. The </w:t>
      </w:r>
      <w:proofErr w:type="spellStart"/>
      <w:r w:rsidRPr="002238FA">
        <w:t>programme</w:t>
      </w:r>
      <w:proofErr w:type="spellEnd"/>
      <w:r w:rsidRPr="002238FA">
        <w:t xml:space="preserve"> will be conducted in accordance with Chapter 9 of the UK Listing Rules and Article 5 of the Market Abuse Regulation 596/2014/EU dealing with buy-back </w:t>
      </w:r>
      <w:proofErr w:type="spellStart"/>
      <w:r w:rsidRPr="002238FA">
        <w:t>programmes</w:t>
      </w:r>
      <w:proofErr w:type="spellEnd"/>
      <w:r w:rsidRPr="002238FA">
        <w:t xml:space="preserve"> (“EU MAR”) and EU MAR as “</w:t>
      </w:r>
      <w:proofErr w:type="spellStart"/>
      <w:r w:rsidRPr="002238FA">
        <w:t>onshored</w:t>
      </w:r>
      <w:proofErr w:type="spellEnd"/>
      <w:r w:rsidRPr="002238FA">
        <w:t>” into UK law from the end of the Brexit transition period (at 11:00 pm on 31 December 2020) through the European Union (Withdrawal) Act 2018 (as amended by the European Union (Withdrawal Agreement) Act 2020), and as amended, supplemented, restated, novated, substituted or replaced by the Financial Services Act, 2021 and relevant statutory instruments (including, The Market Abuse (Amendment) (EU Exit) Regulations (SI 2019/310)), from time to time (“UK MAR”) and the Commission Delegated Regulation (EU) 2016/1052 (the “EU MAR Delegated Regulation”) and the EU MAR Delegated Regulation as “</w:t>
      </w:r>
      <w:proofErr w:type="spellStart"/>
      <w:r w:rsidRPr="002238FA">
        <w:t>onshored</w:t>
      </w:r>
      <w:proofErr w:type="spellEnd"/>
      <w:r w:rsidRPr="002238FA">
        <w:t xml:space="preserve">” into UK law from the </w:t>
      </w:r>
      <w:r w:rsidRPr="002238FA">
        <w:lastRenderedPageBreak/>
        <w:t>end of the Brexit transition period (at 11:00 pm on 31 December 2020) through the European Union (Withdrawal) Act 2018 (as amended by the European Union (Withdrawal Agreement) Act 2020), and as amended, supplemented, restated, novated, substituted or replaced by the Financial Services Act, 2021 and relevant statutory instruments (including, The Market Abuse (Amendment) (EU Exit) Regulations (SI 2019/310)), from time to time.</w:t>
      </w:r>
    </w:p>
    <w:p w14:paraId="78934313" w14:textId="77777777" w:rsidR="002238FA" w:rsidRPr="002238FA" w:rsidRDefault="002238FA" w:rsidP="002238FA">
      <w:r w:rsidRPr="002238FA">
        <w:t xml:space="preserve">In accordance with </w:t>
      </w:r>
      <w:proofErr w:type="gramStart"/>
      <w:r w:rsidRPr="002238FA">
        <w:t>EU</w:t>
      </w:r>
      <w:proofErr w:type="gramEnd"/>
      <w:r w:rsidRPr="002238FA">
        <w:t xml:space="preserve"> MAR and UK MAR, a breakdown of the individual trades made by Citigroup Global Markets Limited on behalf of the Company as a part of the buy-back </w:t>
      </w:r>
      <w:proofErr w:type="spellStart"/>
      <w:r w:rsidRPr="002238FA">
        <w:t>programme</w:t>
      </w:r>
      <w:proofErr w:type="spellEnd"/>
      <w:r w:rsidRPr="002238FA">
        <w:t xml:space="preserve"> is detailed below.</w:t>
      </w:r>
    </w:p>
    <w:p w14:paraId="44812757" w14:textId="77777777" w:rsidR="002238FA" w:rsidRPr="002238FA" w:rsidRDefault="002238FA" w:rsidP="002238FA">
      <w:r w:rsidRPr="002238FA">
        <w:t>Enquiries</w:t>
      </w:r>
    </w:p>
    <w:p w14:paraId="29CEFCC3" w14:textId="77777777" w:rsidR="002238FA" w:rsidRPr="002238FA" w:rsidRDefault="002238FA" w:rsidP="002238FA">
      <w:r w:rsidRPr="002238FA">
        <w:t>Media International: +44 (0) 207 934 5550</w:t>
      </w:r>
    </w:p>
    <w:p w14:paraId="04C39B9C" w14:textId="77777777" w:rsidR="002238FA" w:rsidRPr="002238FA" w:rsidRDefault="002238FA" w:rsidP="002238FA">
      <w:r w:rsidRPr="002238FA">
        <w:t>Media Americas: +1 832 337 4335</w:t>
      </w:r>
    </w:p>
    <w:p w14:paraId="5F35702F" w14:textId="77777777" w:rsidR="002238FA" w:rsidRPr="002238FA" w:rsidRDefault="002238FA" w:rsidP="002238FA">
      <w:r w:rsidRPr="002238FA">
        <w:t>LEI number of Shell plc: 21380068P1DRHMJ8KU70</w:t>
      </w:r>
    </w:p>
    <w:p w14:paraId="201DA3FA" w14:textId="77777777" w:rsidR="002238FA" w:rsidRPr="002238FA" w:rsidRDefault="002238FA" w:rsidP="002238FA">
      <w:r w:rsidRPr="002238FA">
        <w:t>Classification: Acquisition or disposal of the issuer’s own shares</w:t>
      </w:r>
    </w:p>
    <w:p w14:paraId="2C286CB0" w14:textId="77777777" w:rsidR="002238FA" w:rsidRPr="002238FA" w:rsidRDefault="002238FA" w:rsidP="002238FA">
      <w:r w:rsidRPr="002238FA">
        <w:rPr>
          <w:b/>
          <w:bCs/>
        </w:rPr>
        <w:t>Attachment</w:t>
      </w:r>
    </w:p>
    <w:p w14:paraId="25DE5EA0" w14:textId="77777777" w:rsidR="002238FA" w:rsidRPr="002238FA" w:rsidRDefault="002238FA" w:rsidP="002238FA">
      <w:pPr>
        <w:numPr>
          <w:ilvl w:val="0"/>
          <w:numId w:val="1"/>
        </w:numPr>
      </w:pPr>
      <w:hyperlink r:id="rId5" w:tgtFrame="_blank" w:history="1">
        <w:r w:rsidRPr="002238FA">
          <w:rPr>
            <w:rStyle w:val="Hyperlink"/>
          </w:rPr>
          <w:t>RNS Template 11-Nov-24 - complete</w:t>
        </w:r>
      </w:hyperlink>
    </w:p>
    <w:p w14:paraId="2D0BF7E0" w14:textId="77777777" w:rsidR="00BC559A" w:rsidRDefault="00BC559A"/>
    <w:sectPr w:rsidR="00BC5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048ED"/>
    <w:multiLevelType w:val="multilevel"/>
    <w:tmpl w:val="D40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7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FA"/>
    <w:rsid w:val="002238FA"/>
    <w:rsid w:val="00A323F1"/>
    <w:rsid w:val="00AC547B"/>
    <w:rsid w:val="00BC559A"/>
    <w:rsid w:val="00D30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462A"/>
  <w15:chartTrackingRefBased/>
  <w15:docId w15:val="{14F0A547-8416-43A4-807B-643510BB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8FA"/>
    <w:rPr>
      <w:rFonts w:eastAsiaTheme="majorEastAsia" w:cstheme="majorBidi"/>
      <w:color w:val="272727" w:themeColor="text1" w:themeTint="D8"/>
    </w:rPr>
  </w:style>
  <w:style w:type="paragraph" w:styleId="Title">
    <w:name w:val="Title"/>
    <w:basedOn w:val="Normal"/>
    <w:next w:val="Normal"/>
    <w:link w:val="TitleChar"/>
    <w:uiPriority w:val="10"/>
    <w:qFormat/>
    <w:rsid w:val="00223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8FA"/>
    <w:pPr>
      <w:spacing w:before="160"/>
      <w:jc w:val="center"/>
    </w:pPr>
    <w:rPr>
      <w:i/>
      <w:iCs/>
      <w:color w:val="404040" w:themeColor="text1" w:themeTint="BF"/>
    </w:rPr>
  </w:style>
  <w:style w:type="character" w:customStyle="1" w:styleId="QuoteChar">
    <w:name w:val="Quote Char"/>
    <w:basedOn w:val="DefaultParagraphFont"/>
    <w:link w:val="Quote"/>
    <w:uiPriority w:val="29"/>
    <w:rsid w:val="002238FA"/>
    <w:rPr>
      <w:i/>
      <w:iCs/>
      <w:color w:val="404040" w:themeColor="text1" w:themeTint="BF"/>
    </w:rPr>
  </w:style>
  <w:style w:type="paragraph" w:styleId="ListParagraph">
    <w:name w:val="List Paragraph"/>
    <w:basedOn w:val="Normal"/>
    <w:uiPriority w:val="34"/>
    <w:qFormat/>
    <w:rsid w:val="002238FA"/>
    <w:pPr>
      <w:ind w:left="720"/>
      <w:contextualSpacing/>
    </w:pPr>
  </w:style>
  <w:style w:type="character" w:styleId="IntenseEmphasis">
    <w:name w:val="Intense Emphasis"/>
    <w:basedOn w:val="DefaultParagraphFont"/>
    <w:uiPriority w:val="21"/>
    <w:qFormat/>
    <w:rsid w:val="002238FA"/>
    <w:rPr>
      <w:i/>
      <w:iCs/>
      <w:color w:val="0F4761" w:themeColor="accent1" w:themeShade="BF"/>
    </w:rPr>
  </w:style>
  <w:style w:type="paragraph" w:styleId="IntenseQuote">
    <w:name w:val="Intense Quote"/>
    <w:basedOn w:val="Normal"/>
    <w:next w:val="Normal"/>
    <w:link w:val="IntenseQuoteChar"/>
    <w:uiPriority w:val="30"/>
    <w:qFormat/>
    <w:rsid w:val="00223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8FA"/>
    <w:rPr>
      <w:i/>
      <w:iCs/>
      <w:color w:val="0F4761" w:themeColor="accent1" w:themeShade="BF"/>
    </w:rPr>
  </w:style>
  <w:style w:type="character" w:styleId="IntenseReference">
    <w:name w:val="Intense Reference"/>
    <w:basedOn w:val="DefaultParagraphFont"/>
    <w:uiPriority w:val="32"/>
    <w:qFormat/>
    <w:rsid w:val="002238FA"/>
    <w:rPr>
      <w:b/>
      <w:bCs/>
      <w:smallCaps/>
      <w:color w:val="0F4761" w:themeColor="accent1" w:themeShade="BF"/>
      <w:spacing w:val="5"/>
    </w:rPr>
  </w:style>
  <w:style w:type="character" w:styleId="Hyperlink">
    <w:name w:val="Hyperlink"/>
    <w:basedOn w:val="DefaultParagraphFont"/>
    <w:uiPriority w:val="99"/>
    <w:unhideWhenUsed/>
    <w:rsid w:val="002238FA"/>
    <w:rPr>
      <w:color w:val="467886" w:themeColor="hyperlink"/>
      <w:u w:val="single"/>
    </w:rPr>
  </w:style>
  <w:style w:type="character" w:styleId="UnresolvedMention">
    <w:name w:val="Unresolved Mention"/>
    <w:basedOn w:val="DefaultParagraphFont"/>
    <w:uiPriority w:val="99"/>
    <w:semiHidden/>
    <w:unhideWhenUsed/>
    <w:rsid w:val="00223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031471">
      <w:bodyDiv w:val="1"/>
      <w:marLeft w:val="0"/>
      <w:marRight w:val="0"/>
      <w:marTop w:val="0"/>
      <w:marBottom w:val="0"/>
      <w:divBdr>
        <w:top w:val="none" w:sz="0" w:space="0" w:color="auto"/>
        <w:left w:val="none" w:sz="0" w:space="0" w:color="auto"/>
        <w:bottom w:val="none" w:sz="0" w:space="0" w:color="auto"/>
        <w:right w:val="none" w:sz="0" w:space="0" w:color="auto"/>
      </w:divBdr>
      <w:divsChild>
        <w:div w:id="161510037">
          <w:marLeft w:val="0"/>
          <w:marRight w:val="0"/>
          <w:marTop w:val="0"/>
          <w:marBottom w:val="0"/>
          <w:divBdr>
            <w:top w:val="none" w:sz="0" w:space="0" w:color="auto"/>
            <w:left w:val="none" w:sz="0" w:space="0" w:color="auto"/>
            <w:bottom w:val="none" w:sz="0" w:space="0" w:color="auto"/>
            <w:right w:val="none" w:sz="0" w:space="0" w:color="auto"/>
          </w:divBdr>
        </w:div>
      </w:divsChild>
    </w:div>
    <w:div w:id="1997610003">
      <w:bodyDiv w:val="1"/>
      <w:marLeft w:val="0"/>
      <w:marRight w:val="0"/>
      <w:marTop w:val="0"/>
      <w:marBottom w:val="0"/>
      <w:divBdr>
        <w:top w:val="none" w:sz="0" w:space="0" w:color="auto"/>
        <w:left w:val="none" w:sz="0" w:space="0" w:color="auto"/>
        <w:bottom w:val="none" w:sz="0" w:space="0" w:color="auto"/>
        <w:right w:val="none" w:sz="0" w:space="0" w:color="auto"/>
      </w:divBdr>
      <w:divsChild>
        <w:div w:id="1217929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l-eu.globenewswire.com/Resource/Download/081d0c2b-a3f9-45e0-a4c7-75b19dc0024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2861</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Matutis, Audrius</dc:creator>
  <cp:keywords/>
  <dc:description/>
  <cp:lastModifiedBy>Matutis, Audrius</cp:lastModifiedBy>
  <cp:revision>1</cp:revision>
  <dcterms:created xsi:type="dcterms:W3CDTF">2024-11-11T17:52:00Z</dcterms:created>
  <dcterms:modified xsi:type="dcterms:W3CDTF">2024-11-11T17:53:00Z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ae5a09c2-aa3b-46b8-9221-f5adc767d481</vt:lpwstr>
  </property>
</Properties>
</file>