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BAB5" w14:textId="4BAC2E43" w:rsidR="0064164A" w:rsidRPr="00A44138" w:rsidRDefault="00294FD1" w:rsidP="0064164A">
      <w:pPr>
        <w:tabs>
          <w:tab w:val="left" w:pos="709"/>
          <w:tab w:val="left" w:pos="1559"/>
          <w:tab w:val="left" w:pos="2268"/>
          <w:tab w:val="left" w:pos="2977"/>
          <w:tab w:val="left" w:pos="3686"/>
          <w:tab w:val="left" w:pos="4394"/>
          <w:tab w:val="right" w:pos="8789"/>
        </w:tabs>
        <w:spacing w:before="240" w:after="0" w:line="240" w:lineRule="auto"/>
        <w:jc w:val="center"/>
        <w:rPr>
          <w:rFonts w:ascii="Arial" w:hAnsi="Arial"/>
          <w:b/>
          <w:sz w:val="20"/>
        </w:rPr>
      </w:pPr>
      <w:r w:rsidRPr="00A44138">
        <w:rPr>
          <w:rFonts w:ascii="Arial" w:hAnsi="Arial"/>
          <w:b/>
          <w:sz w:val="20"/>
        </w:rPr>
        <w:t xml:space="preserve">MONY Group </w:t>
      </w:r>
      <w:r w:rsidR="00EC283B" w:rsidRPr="00A44138">
        <w:rPr>
          <w:rFonts w:ascii="Arial" w:hAnsi="Arial"/>
          <w:b/>
          <w:sz w:val="20"/>
        </w:rPr>
        <w:t>plc</w:t>
      </w:r>
      <w:r w:rsidRPr="00A44138">
        <w:rPr>
          <w:rFonts w:ascii="Arial" w:hAnsi="Arial"/>
          <w:b/>
          <w:sz w:val="20"/>
        </w:rPr>
        <w:t xml:space="preserve"> </w:t>
      </w:r>
    </w:p>
    <w:p w14:paraId="57E61CEA" w14:textId="5DEBB58A" w:rsidR="0064164A" w:rsidRPr="00A44138" w:rsidRDefault="0064164A" w:rsidP="0064164A">
      <w:pPr>
        <w:tabs>
          <w:tab w:val="left" w:pos="709"/>
          <w:tab w:val="left" w:pos="1559"/>
          <w:tab w:val="left" w:pos="2268"/>
          <w:tab w:val="left" w:pos="2977"/>
          <w:tab w:val="left" w:pos="3686"/>
          <w:tab w:val="left" w:pos="4394"/>
          <w:tab w:val="right" w:pos="8789"/>
        </w:tabs>
        <w:spacing w:before="240" w:after="0" w:line="240" w:lineRule="auto"/>
        <w:jc w:val="center"/>
        <w:rPr>
          <w:rFonts w:ascii="Arial" w:hAnsi="Arial"/>
          <w:sz w:val="20"/>
        </w:rPr>
      </w:pPr>
      <w:r w:rsidRPr="00A44138">
        <w:rPr>
          <w:rFonts w:ascii="Arial" w:hAnsi="Arial"/>
          <w:sz w:val="20"/>
        </w:rPr>
        <w:t>I</w:t>
      </w:r>
      <w:r w:rsidR="00294FD1" w:rsidRPr="00A44138">
        <w:rPr>
          <w:rFonts w:ascii="Arial" w:hAnsi="Arial"/>
          <w:sz w:val="20"/>
        </w:rPr>
        <w:t xml:space="preserve">nterim results for the six months ended </w:t>
      </w:r>
      <w:r w:rsidR="00294FD1" w:rsidRPr="005E7A81">
        <w:rPr>
          <w:rFonts w:ascii="Arial" w:hAnsi="Arial"/>
          <w:sz w:val="20"/>
        </w:rPr>
        <w:t>30 June 202</w:t>
      </w:r>
      <w:r w:rsidR="00F95221" w:rsidRPr="005E7A81">
        <w:rPr>
          <w:rFonts w:ascii="Arial" w:hAnsi="Arial"/>
          <w:sz w:val="20"/>
        </w:rPr>
        <w:t>5</w:t>
      </w:r>
    </w:p>
    <w:p w14:paraId="0802B0A8" w14:textId="77777777" w:rsidR="00294FD1" w:rsidRPr="00A44138" w:rsidRDefault="00294FD1" w:rsidP="0064164A">
      <w:pPr>
        <w:tabs>
          <w:tab w:val="left" w:pos="709"/>
          <w:tab w:val="left" w:pos="1559"/>
          <w:tab w:val="left" w:pos="2268"/>
          <w:tab w:val="left" w:pos="2977"/>
          <w:tab w:val="left" w:pos="3686"/>
          <w:tab w:val="left" w:pos="4394"/>
          <w:tab w:val="right" w:pos="8789"/>
        </w:tabs>
        <w:spacing w:after="0" w:line="240" w:lineRule="auto"/>
        <w:rPr>
          <w:rFonts w:ascii="Arial" w:hAnsi="Arial"/>
          <w:color w:val="FF0000"/>
          <w:sz w:val="14"/>
          <w:szCs w:val="16"/>
        </w:rPr>
      </w:pPr>
    </w:p>
    <w:p w14:paraId="665CDC41" w14:textId="1F1B85CA" w:rsidR="0064164A" w:rsidRPr="00952075" w:rsidRDefault="00952075" w:rsidP="00294FD1">
      <w:pPr>
        <w:tabs>
          <w:tab w:val="left" w:pos="709"/>
          <w:tab w:val="left" w:pos="1559"/>
          <w:tab w:val="left" w:pos="2268"/>
          <w:tab w:val="left" w:pos="2977"/>
          <w:tab w:val="left" w:pos="3686"/>
          <w:tab w:val="left" w:pos="4394"/>
          <w:tab w:val="right" w:pos="8789"/>
        </w:tabs>
        <w:spacing w:after="0" w:line="240" w:lineRule="auto"/>
        <w:ind w:firstLine="709"/>
        <w:jc w:val="center"/>
        <w:rPr>
          <w:rFonts w:ascii="Arial" w:hAnsi="Arial"/>
          <w:b/>
          <w:sz w:val="20"/>
          <w:szCs w:val="20"/>
        </w:rPr>
      </w:pPr>
      <w:r w:rsidRPr="00952075">
        <w:rPr>
          <w:rFonts w:ascii="Arial" w:hAnsi="Arial"/>
          <w:b/>
          <w:sz w:val="20"/>
          <w:szCs w:val="20"/>
        </w:rPr>
        <w:t xml:space="preserve">Leveraging our strength in breadth – </w:t>
      </w:r>
      <w:r w:rsidR="001660A8">
        <w:rPr>
          <w:rFonts w:ascii="Arial" w:hAnsi="Arial"/>
          <w:b/>
          <w:sz w:val="20"/>
          <w:szCs w:val="20"/>
        </w:rPr>
        <w:t>SuperSaveClub reaches 1.5 million members</w:t>
      </w:r>
    </w:p>
    <w:p w14:paraId="2EB8AB2F"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center"/>
        <w:rPr>
          <w:rFonts w:ascii="Arial" w:hAnsi="Arial"/>
          <w:color w:val="FF0000"/>
          <w:sz w:val="18"/>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055"/>
        <w:gridCol w:w="2056"/>
        <w:gridCol w:w="1843"/>
      </w:tblGrid>
      <w:tr w:rsidR="00F95221" w:rsidRPr="00A44138" w14:paraId="1D6623DE" w14:textId="77777777" w:rsidTr="005E7A81">
        <w:tc>
          <w:tcPr>
            <w:tcW w:w="2972" w:type="dxa"/>
          </w:tcPr>
          <w:p w14:paraId="7D8BE7F6" w14:textId="77777777" w:rsidR="00F95221" w:rsidRPr="00912A55" w:rsidRDefault="00F95221" w:rsidP="00F95221">
            <w:pPr>
              <w:spacing w:after="0" w:line="240" w:lineRule="auto"/>
              <w:rPr>
                <w:rFonts w:ascii="Arial" w:hAnsi="Arial"/>
                <w:b/>
                <w:sz w:val="20"/>
              </w:rPr>
            </w:pPr>
            <w:r w:rsidRPr="00912A55">
              <w:rPr>
                <w:rFonts w:ascii="Arial" w:hAnsi="Arial"/>
                <w:b/>
                <w:sz w:val="20"/>
              </w:rPr>
              <w:t>6 months ended 30 June</w:t>
            </w:r>
          </w:p>
        </w:tc>
        <w:tc>
          <w:tcPr>
            <w:tcW w:w="2055" w:type="dxa"/>
          </w:tcPr>
          <w:p w14:paraId="7B4EC9EA" w14:textId="4B4E87E8" w:rsidR="00F95221" w:rsidRPr="00912A55" w:rsidRDefault="00F95221" w:rsidP="00F95221">
            <w:pPr>
              <w:spacing w:after="0"/>
              <w:jc w:val="right"/>
              <w:rPr>
                <w:rFonts w:ascii="Arial" w:hAnsi="Arial"/>
                <w:b/>
                <w:sz w:val="20"/>
              </w:rPr>
            </w:pPr>
            <w:r w:rsidRPr="00912A55">
              <w:rPr>
                <w:rFonts w:ascii="Arial" w:hAnsi="Arial"/>
                <w:b/>
                <w:sz w:val="20"/>
              </w:rPr>
              <w:t>2025</w:t>
            </w:r>
          </w:p>
        </w:tc>
        <w:tc>
          <w:tcPr>
            <w:tcW w:w="2056" w:type="dxa"/>
          </w:tcPr>
          <w:p w14:paraId="65145536" w14:textId="011E6637" w:rsidR="00F95221" w:rsidRPr="00912A55" w:rsidRDefault="00F95221" w:rsidP="00F95221">
            <w:pPr>
              <w:spacing w:after="0"/>
              <w:jc w:val="right"/>
              <w:rPr>
                <w:rFonts w:ascii="Arial" w:hAnsi="Arial"/>
                <w:b/>
                <w:sz w:val="20"/>
              </w:rPr>
            </w:pPr>
            <w:r w:rsidRPr="00912A55">
              <w:rPr>
                <w:rFonts w:ascii="Arial" w:hAnsi="Arial"/>
                <w:b/>
                <w:sz w:val="20"/>
              </w:rPr>
              <w:t>2024</w:t>
            </w:r>
          </w:p>
        </w:tc>
        <w:tc>
          <w:tcPr>
            <w:tcW w:w="1843" w:type="dxa"/>
          </w:tcPr>
          <w:p w14:paraId="10A8237D" w14:textId="35AD630C" w:rsidR="00F95221" w:rsidRPr="00912A55" w:rsidRDefault="00F95221" w:rsidP="00F95221">
            <w:pPr>
              <w:spacing w:after="0" w:line="240" w:lineRule="auto"/>
              <w:jc w:val="right"/>
              <w:rPr>
                <w:rFonts w:ascii="Arial" w:hAnsi="Arial"/>
                <w:b/>
                <w:sz w:val="20"/>
              </w:rPr>
            </w:pPr>
            <w:r w:rsidRPr="00912A55">
              <w:rPr>
                <w:rFonts w:ascii="Arial" w:hAnsi="Arial"/>
                <w:b/>
                <w:sz w:val="20"/>
              </w:rPr>
              <w:t xml:space="preserve">Growth </w:t>
            </w:r>
          </w:p>
        </w:tc>
      </w:tr>
      <w:tr w:rsidR="00F95221" w:rsidRPr="00A44138" w14:paraId="35CD8177" w14:textId="77777777" w:rsidTr="005E7A81">
        <w:tc>
          <w:tcPr>
            <w:tcW w:w="2972" w:type="dxa"/>
          </w:tcPr>
          <w:p w14:paraId="727AAAA0" w14:textId="68B98A49" w:rsidR="00F95221" w:rsidRPr="00A44138" w:rsidRDefault="00F95221" w:rsidP="00F95221">
            <w:pPr>
              <w:spacing w:after="0"/>
              <w:rPr>
                <w:rFonts w:ascii="Arial" w:hAnsi="Arial"/>
                <w:sz w:val="20"/>
              </w:rPr>
            </w:pPr>
            <w:r w:rsidRPr="00A44138">
              <w:rPr>
                <w:rFonts w:ascii="Arial" w:hAnsi="Arial"/>
                <w:sz w:val="20"/>
              </w:rPr>
              <w:t xml:space="preserve">Group </w:t>
            </w:r>
            <w:r w:rsidR="00CF68CC">
              <w:rPr>
                <w:rFonts w:ascii="Arial" w:hAnsi="Arial"/>
                <w:sz w:val="20"/>
              </w:rPr>
              <w:t>R</w:t>
            </w:r>
            <w:r w:rsidRPr="00A44138">
              <w:rPr>
                <w:rFonts w:ascii="Arial" w:hAnsi="Arial"/>
                <w:sz w:val="20"/>
              </w:rPr>
              <w:t>evenue</w:t>
            </w:r>
          </w:p>
        </w:tc>
        <w:tc>
          <w:tcPr>
            <w:tcW w:w="2055" w:type="dxa"/>
          </w:tcPr>
          <w:p w14:paraId="66F0B80E" w14:textId="71C592DD" w:rsidR="00F95221" w:rsidRPr="00F217A6" w:rsidRDefault="001703A5" w:rsidP="00F95221">
            <w:pPr>
              <w:overflowPunct w:val="0"/>
              <w:autoSpaceDE w:val="0"/>
              <w:autoSpaceDN w:val="0"/>
              <w:adjustRightInd w:val="0"/>
              <w:spacing w:after="0"/>
              <w:jc w:val="right"/>
              <w:textAlignment w:val="baseline"/>
              <w:rPr>
                <w:rFonts w:ascii="Arial" w:hAnsi="Arial"/>
                <w:sz w:val="20"/>
              </w:rPr>
            </w:pPr>
            <w:r w:rsidRPr="00F217A6">
              <w:rPr>
                <w:rFonts w:ascii="Arial" w:hAnsi="Arial"/>
                <w:sz w:val="20"/>
              </w:rPr>
              <w:t>£22</w:t>
            </w:r>
            <w:r w:rsidR="00073A9E" w:rsidRPr="00F217A6">
              <w:rPr>
                <w:rFonts w:ascii="Arial" w:hAnsi="Arial"/>
                <w:sz w:val="20"/>
              </w:rPr>
              <w:t>5</w:t>
            </w:r>
            <w:r w:rsidR="007C1927" w:rsidRPr="00F217A6">
              <w:rPr>
                <w:rFonts w:ascii="Arial" w:hAnsi="Arial"/>
                <w:sz w:val="20"/>
              </w:rPr>
              <w:t>.</w:t>
            </w:r>
            <w:r w:rsidR="00635DAD">
              <w:rPr>
                <w:rFonts w:ascii="Arial" w:hAnsi="Arial"/>
                <w:sz w:val="20"/>
              </w:rPr>
              <w:t>3</w:t>
            </w:r>
            <w:r w:rsidRPr="00F217A6">
              <w:rPr>
                <w:rFonts w:ascii="Arial" w:hAnsi="Arial"/>
                <w:sz w:val="20"/>
              </w:rPr>
              <w:t>m</w:t>
            </w:r>
          </w:p>
        </w:tc>
        <w:tc>
          <w:tcPr>
            <w:tcW w:w="2056" w:type="dxa"/>
          </w:tcPr>
          <w:p w14:paraId="5B4B40BD" w14:textId="06440DFF"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5E7A81">
              <w:rPr>
                <w:rFonts w:ascii="Arial" w:hAnsi="Arial"/>
                <w:sz w:val="20"/>
              </w:rPr>
              <w:t>£223.5m</w:t>
            </w:r>
          </w:p>
        </w:tc>
        <w:tc>
          <w:tcPr>
            <w:tcW w:w="1843" w:type="dxa"/>
            <w:vAlign w:val="center"/>
          </w:tcPr>
          <w:p w14:paraId="7CE69ACC" w14:textId="2ACEDBEE" w:rsidR="00F95221" w:rsidRPr="00F217A6" w:rsidRDefault="00B75DAE" w:rsidP="00F95221">
            <w:pPr>
              <w:overflowPunct w:val="0"/>
              <w:autoSpaceDE w:val="0"/>
              <w:autoSpaceDN w:val="0"/>
              <w:adjustRightInd w:val="0"/>
              <w:spacing w:after="0"/>
              <w:jc w:val="right"/>
              <w:textAlignment w:val="baseline"/>
              <w:rPr>
                <w:rFonts w:ascii="Arial" w:hAnsi="Arial"/>
                <w:sz w:val="20"/>
              </w:rPr>
            </w:pPr>
            <w:r w:rsidRPr="00F217A6">
              <w:rPr>
                <w:rFonts w:ascii="Arial" w:hAnsi="Arial"/>
                <w:sz w:val="20"/>
              </w:rPr>
              <w:t>1</w:t>
            </w:r>
            <w:r w:rsidR="005A4C04" w:rsidRPr="00F217A6">
              <w:rPr>
                <w:rFonts w:ascii="Arial" w:hAnsi="Arial"/>
                <w:sz w:val="20"/>
              </w:rPr>
              <w:t>%</w:t>
            </w:r>
          </w:p>
        </w:tc>
      </w:tr>
      <w:tr w:rsidR="00F95221" w:rsidRPr="00A44138" w14:paraId="1F9D1BFE" w14:textId="77777777" w:rsidTr="005E7A81">
        <w:tc>
          <w:tcPr>
            <w:tcW w:w="2972" w:type="dxa"/>
          </w:tcPr>
          <w:p w14:paraId="27EC87BA" w14:textId="458A906F" w:rsidR="00F95221" w:rsidRPr="00A44138" w:rsidRDefault="00DC281E" w:rsidP="00F95221">
            <w:pPr>
              <w:spacing w:after="0"/>
              <w:rPr>
                <w:rFonts w:ascii="Arial" w:hAnsi="Arial"/>
                <w:sz w:val="20"/>
              </w:rPr>
            </w:pPr>
            <w:r>
              <w:rPr>
                <w:rFonts w:ascii="Arial" w:hAnsi="Arial"/>
                <w:sz w:val="20"/>
              </w:rPr>
              <w:t xml:space="preserve">Adjusted </w:t>
            </w:r>
            <w:r w:rsidR="00F95221" w:rsidRPr="00A44138">
              <w:rPr>
                <w:rFonts w:ascii="Arial" w:hAnsi="Arial"/>
                <w:sz w:val="20"/>
              </w:rPr>
              <w:t>EBITDA *</w:t>
            </w:r>
          </w:p>
        </w:tc>
        <w:tc>
          <w:tcPr>
            <w:tcW w:w="2055" w:type="dxa"/>
          </w:tcPr>
          <w:p w14:paraId="381FA7B6" w14:textId="5AC71E92" w:rsidR="00F95221" w:rsidRPr="00F217A6" w:rsidRDefault="00517346" w:rsidP="00F95221">
            <w:pPr>
              <w:overflowPunct w:val="0"/>
              <w:autoSpaceDE w:val="0"/>
              <w:autoSpaceDN w:val="0"/>
              <w:adjustRightInd w:val="0"/>
              <w:spacing w:after="0"/>
              <w:jc w:val="right"/>
              <w:textAlignment w:val="baseline"/>
              <w:rPr>
                <w:rFonts w:ascii="Arial" w:hAnsi="Arial"/>
                <w:sz w:val="20"/>
              </w:rPr>
            </w:pPr>
            <w:r w:rsidRPr="00F217A6">
              <w:rPr>
                <w:rFonts w:ascii="Arial" w:hAnsi="Arial"/>
                <w:sz w:val="20"/>
              </w:rPr>
              <w:t>£75.</w:t>
            </w:r>
            <w:r w:rsidR="00635DAD">
              <w:rPr>
                <w:rFonts w:ascii="Arial" w:hAnsi="Arial"/>
                <w:sz w:val="20"/>
              </w:rPr>
              <w:t>1</w:t>
            </w:r>
            <w:r w:rsidRPr="00F217A6">
              <w:rPr>
                <w:rFonts w:ascii="Arial" w:hAnsi="Arial"/>
                <w:sz w:val="20"/>
              </w:rPr>
              <w:t>m</w:t>
            </w:r>
          </w:p>
        </w:tc>
        <w:tc>
          <w:tcPr>
            <w:tcW w:w="2056" w:type="dxa"/>
          </w:tcPr>
          <w:p w14:paraId="15229772" w14:textId="4924A601"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E66BAA">
              <w:rPr>
                <w:rFonts w:ascii="Arial" w:hAnsi="Arial"/>
                <w:sz w:val="20"/>
              </w:rPr>
              <w:t>£7</w:t>
            </w:r>
            <w:r w:rsidR="00765153" w:rsidRPr="00E66BAA">
              <w:rPr>
                <w:rFonts w:ascii="Arial" w:hAnsi="Arial"/>
                <w:sz w:val="20"/>
              </w:rPr>
              <w:t>4</w:t>
            </w:r>
            <w:r w:rsidRPr="00E66BAA">
              <w:rPr>
                <w:rFonts w:ascii="Arial" w:hAnsi="Arial"/>
                <w:sz w:val="20"/>
              </w:rPr>
              <w:t>.0m</w:t>
            </w:r>
          </w:p>
        </w:tc>
        <w:tc>
          <w:tcPr>
            <w:tcW w:w="1843" w:type="dxa"/>
          </w:tcPr>
          <w:p w14:paraId="76C5DC30" w14:textId="5CD80656" w:rsidR="00F95221" w:rsidRPr="00F217A6" w:rsidRDefault="00FE62B8" w:rsidP="00F95221">
            <w:pPr>
              <w:overflowPunct w:val="0"/>
              <w:autoSpaceDE w:val="0"/>
              <w:autoSpaceDN w:val="0"/>
              <w:adjustRightInd w:val="0"/>
              <w:spacing w:after="0"/>
              <w:jc w:val="right"/>
              <w:textAlignment w:val="baseline"/>
              <w:rPr>
                <w:rFonts w:ascii="Arial" w:hAnsi="Arial"/>
                <w:sz w:val="20"/>
              </w:rPr>
            </w:pPr>
            <w:r w:rsidRPr="00B55A91">
              <w:rPr>
                <w:rFonts w:ascii="Arial" w:hAnsi="Arial"/>
                <w:sz w:val="20"/>
              </w:rPr>
              <w:t>2</w:t>
            </w:r>
            <w:r w:rsidR="005A4C04" w:rsidRPr="00B55A91">
              <w:rPr>
                <w:rFonts w:ascii="Arial" w:hAnsi="Arial"/>
                <w:sz w:val="20"/>
              </w:rPr>
              <w:t>%</w:t>
            </w:r>
          </w:p>
        </w:tc>
      </w:tr>
      <w:tr w:rsidR="00F95221" w:rsidRPr="00A44138" w14:paraId="1AE6CD35" w14:textId="77777777" w:rsidTr="005E7A81">
        <w:tc>
          <w:tcPr>
            <w:tcW w:w="2972" w:type="dxa"/>
          </w:tcPr>
          <w:p w14:paraId="6947B12B" w14:textId="35FFFF36" w:rsidR="00F95221" w:rsidRPr="00A44138" w:rsidRDefault="00F95221" w:rsidP="00F95221">
            <w:pPr>
              <w:spacing w:after="0"/>
              <w:rPr>
                <w:rFonts w:ascii="Arial" w:hAnsi="Arial"/>
                <w:sz w:val="20"/>
              </w:rPr>
            </w:pPr>
            <w:r w:rsidRPr="00A44138">
              <w:rPr>
                <w:rFonts w:ascii="Arial" w:hAnsi="Arial"/>
                <w:sz w:val="20"/>
              </w:rPr>
              <w:t xml:space="preserve">Profit </w:t>
            </w:r>
            <w:r w:rsidR="00CF68CC">
              <w:rPr>
                <w:rFonts w:ascii="Arial" w:hAnsi="Arial"/>
                <w:sz w:val="20"/>
              </w:rPr>
              <w:t>A</w:t>
            </w:r>
            <w:r w:rsidRPr="00A44138">
              <w:rPr>
                <w:rFonts w:ascii="Arial" w:hAnsi="Arial"/>
                <w:sz w:val="20"/>
              </w:rPr>
              <w:t xml:space="preserve">fter </w:t>
            </w:r>
            <w:r w:rsidR="00CF68CC">
              <w:rPr>
                <w:rFonts w:ascii="Arial" w:hAnsi="Arial"/>
                <w:sz w:val="20"/>
              </w:rPr>
              <w:t>T</w:t>
            </w:r>
            <w:r w:rsidRPr="00A44138">
              <w:rPr>
                <w:rFonts w:ascii="Arial" w:hAnsi="Arial"/>
                <w:sz w:val="20"/>
              </w:rPr>
              <w:t>ax</w:t>
            </w:r>
          </w:p>
        </w:tc>
        <w:tc>
          <w:tcPr>
            <w:tcW w:w="2055" w:type="dxa"/>
          </w:tcPr>
          <w:p w14:paraId="7E64ACE9" w14:textId="18B15ABD" w:rsidR="00F95221" w:rsidRPr="00DA53C4" w:rsidRDefault="008566F6" w:rsidP="00F95221">
            <w:pPr>
              <w:tabs>
                <w:tab w:val="left" w:pos="491"/>
                <w:tab w:val="center" w:pos="919"/>
              </w:tabs>
              <w:overflowPunct w:val="0"/>
              <w:autoSpaceDE w:val="0"/>
              <w:autoSpaceDN w:val="0"/>
              <w:adjustRightInd w:val="0"/>
              <w:spacing w:after="0"/>
              <w:jc w:val="right"/>
              <w:textAlignment w:val="baseline"/>
              <w:rPr>
                <w:rFonts w:ascii="Arial" w:hAnsi="Arial"/>
                <w:sz w:val="20"/>
              </w:rPr>
            </w:pPr>
            <w:r w:rsidRPr="00DA53C4">
              <w:rPr>
                <w:rFonts w:ascii="Arial" w:hAnsi="Arial"/>
                <w:sz w:val="20"/>
              </w:rPr>
              <w:t>£</w:t>
            </w:r>
            <w:r w:rsidR="00DA51AD" w:rsidRPr="00DA53C4">
              <w:rPr>
                <w:rFonts w:ascii="Arial" w:hAnsi="Arial"/>
                <w:sz w:val="20"/>
              </w:rPr>
              <w:t>4</w:t>
            </w:r>
            <w:r w:rsidR="00CE22EC" w:rsidRPr="00DA53C4">
              <w:rPr>
                <w:rFonts w:ascii="Arial" w:hAnsi="Arial"/>
                <w:sz w:val="20"/>
              </w:rPr>
              <w:t>5</w:t>
            </w:r>
            <w:r w:rsidR="00DA51AD" w:rsidRPr="00DA53C4">
              <w:rPr>
                <w:rFonts w:ascii="Arial" w:hAnsi="Arial"/>
                <w:sz w:val="20"/>
              </w:rPr>
              <w:t>.</w:t>
            </w:r>
            <w:r w:rsidR="00CE22EC" w:rsidRPr="00DA53C4">
              <w:rPr>
                <w:rFonts w:ascii="Arial" w:hAnsi="Arial"/>
                <w:sz w:val="20"/>
              </w:rPr>
              <w:t>6</w:t>
            </w:r>
            <w:r w:rsidRPr="00DA53C4">
              <w:rPr>
                <w:rFonts w:ascii="Arial" w:hAnsi="Arial"/>
                <w:sz w:val="20"/>
              </w:rPr>
              <w:t>m</w:t>
            </w:r>
          </w:p>
        </w:tc>
        <w:tc>
          <w:tcPr>
            <w:tcW w:w="2056" w:type="dxa"/>
          </w:tcPr>
          <w:p w14:paraId="2E1D136E" w14:textId="331885CF"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5E7A81">
              <w:rPr>
                <w:rFonts w:ascii="Arial" w:hAnsi="Arial"/>
                <w:sz w:val="20"/>
              </w:rPr>
              <w:tab/>
              <w:t>£44.1m</w:t>
            </w:r>
          </w:p>
        </w:tc>
        <w:tc>
          <w:tcPr>
            <w:tcW w:w="1843" w:type="dxa"/>
          </w:tcPr>
          <w:p w14:paraId="7E804BBF" w14:textId="66F2C313" w:rsidR="00F95221" w:rsidRPr="00B03968" w:rsidRDefault="00F91715"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3</w:t>
            </w:r>
            <w:r w:rsidR="00D46A09" w:rsidRPr="00B03968">
              <w:rPr>
                <w:rFonts w:ascii="Arial" w:hAnsi="Arial"/>
                <w:sz w:val="20"/>
              </w:rPr>
              <w:t>%</w:t>
            </w:r>
          </w:p>
        </w:tc>
      </w:tr>
      <w:tr w:rsidR="00F95221" w:rsidRPr="00A44138" w14:paraId="5C27FFBE" w14:textId="77777777" w:rsidTr="005E7A81">
        <w:tc>
          <w:tcPr>
            <w:tcW w:w="2972" w:type="dxa"/>
          </w:tcPr>
          <w:p w14:paraId="235B369C" w14:textId="6CAA0DEB" w:rsidR="00F95221" w:rsidRPr="00A44138" w:rsidRDefault="00F95221" w:rsidP="00F95221">
            <w:pPr>
              <w:spacing w:after="0"/>
              <w:rPr>
                <w:rFonts w:ascii="Arial" w:hAnsi="Arial"/>
                <w:sz w:val="20"/>
              </w:rPr>
            </w:pPr>
            <w:r w:rsidRPr="00A44138">
              <w:rPr>
                <w:rFonts w:ascii="Arial" w:hAnsi="Arial"/>
                <w:sz w:val="20"/>
              </w:rPr>
              <w:t xml:space="preserve">Adjusted </w:t>
            </w:r>
            <w:r w:rsidR="00CF68CC">
              <w:rPr>
                <w:rFonts w:ascii="Arial" w:hAnsi="Arial"/>
                <w:sz w:val="20"/>
              </w:rPr>
              <w:t>B</w:t>
            </w:r>
            <w:r w:rsidRPr="00A44138">
              <w:rPr>
                <w:rFonts w:ascii="Arial" w:hAnsi="Arial"/>
                <w:sz w:val="20"/>
              </w:rPr>
              <w:t>asic EPS **</w:t>
            </w:r>
          </w:p>
        </w:tc>
        <w:tc>
          <w:tcPr>
            <w:tcW w:w="2055" w:type="dxa"/>
          </w:tcPr>
          <w:p w14:paraId="7D4AB5AA" w14:textId="0A329582" w:rsidR="00F95221" w:rsidRPr="00DA53C4" w:rsidRDefault="00C90BD5"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9.3p</w:t>
            </w:r>
          </w:p>
        </w:tc>
        <w:tc>
          <w:tcPr>
            <w:tcW w:w="2056" w:type="dxa"/>
          </w:tcPr>
          <w:p w14:paraId="24920115" w14:textId="74A06660" w:rsidR="00F95221" w:rsidRPr="005E7A81" w:rsidRDefault="00EA0B55" w:rsidP="00F95221">
            <w:pPr>
              <w:overflowPunct w:val="0"/>
              <w:autoSpaceDE w:val="0"/>
              <w:autoSpaceDN w:val="0"/>
              <w:adjustRightInd w:val="0"/>
              <w:spacing w:after="0"/>
              <w:jc w:val="right"/>
              <w:textAlignment w:val="baseline"/>
              <w:rPr>
                <w:rFonts w:ascii="Arial" w:hAnsi="Arial"/>
                <w:sz w:val="20"/>
              </w:rPr>
            </w:pPr>
            <w:r>
              <w:rPr>
                <w:rFonts w:ascii="Arial" w:hAnsi="Arial"/>
                <w:sz w:val="20"/>
              </w:rPr>
              <w:t>8.9</w:t>
            </w:r>
            <w:r w:rsidR="00F95221" w:rsidRPr="00E66BAA">
              <w:rPr>
                <w:rFonts w:ascii="Arial" w:hAnsi="Arial"/>
                <w:sz w:val="20"/>
              </w:rPr>
              <w:t>p</w:t>
            </w:r>
          </w:p>
        </w:tc>
        <w:tc>
          <w:tcPr>
            <w:tcW w:w="1843" w:type="dxa"/>
          </w:tcPr>
          <w:p w14:paraId="4247EBA5" w14:textId="519E5B64" w:rsidR="00F95221" w:rsidRPr="00C90BD5" w:rsidRDefault="006B3A80" w:rsidP="00F95221">
            <w:pPr>
              <w:overflowPunct w:val="0"/>
              <w:autoSpaceDE w:val="0"/>
              <w:autoSpaceDN w:val="0"/>
              <w:adjustRightInd w:val="0"/>
              <w:spacing w:after="0"/>
              <w:jc w:val="right"/>
              <w:textAlignment w:val="baseline"/>
              <w:rPr>
                <w:rFonts w:ascii="Arial" w:hAnsi="Arial"/>
                <w:sz w:val="20"/>
              </w:rPr>
            </w:pPr>
            <w:r>
              <w:rPr>
                <w:rFonts w:ascii="Arial" w:hAnsi="Arial"/>
                <w:sz w:val="20"/>
              </w:rPr>
              <w:t>4</w:t>
            </w:r>
            <w:r w:rsidR="00612EA5">
              <w:rPr>
                <w:rFonts w:ascii="Arial" w:hAnsi="Arial"/>
                <w:sz w:val="20"/>
              </w:rPr>
              <w:t>%</w:t>
            </w:r>
          </w:p>
        </w:tc>
      </w:tr>
      <w:tr w:rsidR="00F95221" w:rsidRPr="00A44138" w14:paraId="3DADCEFA" w14:textId="77777777" w:rsidTr="005E7A81">
        <w:tc>
          <w:tcPr>
            <w:tcW w:w="2972" w:type="dxa"/>
          </w:tcPr>
          <w:p w14:paraId="058AFDF5" w14:textId="77777777" w:rsidR="00F95221" w:rsidRPr="00A44138" w:rsidRDefault="00F95221" w:rsidP="00F95221">
            <w:pPr>
              <w:spacing w:after="0"/>
              <w:rPr>
                <w:rFonts w:ascii="Arial" w:hAnsi="Arial"/>
                <w:sz w:val="20"/>
              </w:rPr>
            </w:pPr>
            <w:r w:rsidRPr="00A44138">
              <w:rPr>
                <w:rFonts w:ascii="Arial" w:hAnsi="Arial"/>
                <w:sz w:val="20"/>
              </w:rPr>
              <w:t>Basic EPS</w:t>
            </w:r>
          </w:p>
        </w:tc>
        <w:tc>
          <w:tcPr>
            <w:tcW w:w="2055" w:type="dxa"/>
          </w:tcPr>
          <w:p w14:paraId="403D62FD" w14:textId="7A2D8C24" w:rsidR="00F95221" w:rsidRPr="00DA53C4" w:rsidRDefault="007C1927"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8.</w:t>
            </w:r>
            <w:r w:rsidR="007747AC" w:rsidRPr="00DA53C4">
              <w:rPr>
                <w:rFonts w:ascii="Arial" w:hAnsi="Arial"/>
                <w:sz w:val="20"/>
              </w:rPr>
              <w:t>6</w:t>
            </w:r>
            <w:r w:rsidRPr="00DA53C4">
              <w:rPr>
                <w:rFonts w:ascii="Arial" w:hAnsi="Arial"/>
                <w:sz w:val="20"/>
              </w:rPr>
              <w:t>p</w:t>
            </w:r>
          </w:p>
        </w:tc>
        <w:tc>
          <w:tcPr>
            <w:tcW w:w="2056" w:type="dxa"/>
          </w:tcPr>
          <w:p w14:paraId="0E28904A" w14:textId="58FB033B"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5E7A81">
              <w:rPr>
                <w:rFonts w:ascii="Arial" w:hAnsi="Arial"/>
                <w:sz w:val="20"/>
              </w:rPr>
              <w:t>8.3p</w:t>
            </w:r>
          </w:p>
        </w:tc>
        <w:tc>
          <w:tcPr>
            <w:tcW w:w="1843" w:type="dxa"/>
          </w:tcPr>
          <w:p w14:paraId="675186D0" w14:textId="488453EE" w:rsidR="00F95221" w:rsidRPr="007747AC" w:rsidRDefault="00874374" w:rsidP="00F95221">
            <w:pPr>
              <w:overflowPunct w:val="0"/>
              <w:autoSpaceDE w:val="0"/>
              <w:autoSpaceDN w:val="0"/>
              <w:adjustRightInd w:val="0"/>
              <w:spacing w:after="0"/>
              <w:jc w:val="right"/>
              <w:textAlignment w:val="baseline"/>
              <w:rPr>
                <w:rFonts w:ascii="Arial" w:hAnsi="Arial"/>
                <w:sz w:val="20"/>
              </w:rPr>
            </w:pPr>
            <w:r>
              <w:rPr>
                <w:rFonts w:ascii="Arial" w:hAnsi="Arial"/>
                <w:sz w:val="20"/>
              </w:rPr>
              <w:t>4</w:t>
            </w:r>
            <w:r w:rsidR="00E66BAA" w:rsidRPr="007747AC">
              <w:rPr>
                <w:rFonts w:ascii="Arial" w:hAnsi="Arial"/>
                <w:sz w:val="20"/>
              </w:rPr>
              <w:t>%</w:t>
            </w:r>
          </w:p>
        </w:tc>
      </w:tr>
      <w:tr w:rsidR="00F95221" w:rsidRPr="00A44138" w14:paraId="30ECDCEE" w14:textId="77777777" w:rsidTr="005E7A81">
        <w:tc>
          <w:tcPr>
            <w:tcW w:w="2972" w:type="dxa"/>
          </w:tcPr>
          <w:p w14:paraId="4FEA187F" w14:textId="24E129C2" w:rsidR="00F95221" w:rsidRPr="00A44138" w:rsidRDefault="00F95221" w:rsidP="00F95221">
            <w:pPr>
              <w:spacing w:after="0"/>
              <w:rPr>
                <w:rFonts w:ascii="Arial" w:hAnsi="Arial"/>
                <w:sz w:val="20"/>
              </w:rPr>
            </w:pPr>
            <w:r w:rsidRPr="00A44138">
              <w:rPr>
                <w:rFonts w:ascii="Arial" w:hAnsi="Arial"/>
                <w:sz w:val="20"/>
              </w:rPr>
              <w:t xml:space="preserve">Operating </w:t>
            </w:r>
            <w:r w:rsidR="00CF68CC">
              <w:rPr>
                <w:rFonts w:ascii="Arial" w:hAnsi="Arial"/>
                <w:sz w:val="20"/>
              </w:rPr>
              <w:t>C</w:t>
            </w:r>
            <w:r w:rsidRPr="00A44138">
              <w:rPr>
                <w:rFonts w:ascii="Arial" w:hAnsi="Arial"/>
                <w:sz w:val="20"/>
              </w:rPr>
              <w:t>ashflow</w:t>
            </w:r>
          </w:p>
        </w:tc>
        <w:tc>
          <w:tcPr>
            <w:tcW w:w="2055" w:type="dxa"/>
          </w:tcPr>
          <w:p w14:paraId="62BAAB82" w14:textId="2E1CB40D" w:rsidR="00F95221" w:rsidRPr="00DA53C4" w:rsidRDefault="00CF4971"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w:t>
            </w:r>
            <w:r w:rsidR="007A39BB" w:rsidRPr="00DA53C4">
              <w:rPr>
                <w:rFonts w:ascii="Arial" w:hAnsi="Arial"/>
                <w:sz w:val="20"/>
              </w:rPr>
              <w:t>43.7m</w:t>
            </w:r>
          </w:p>
        </w:tc>
        <w:tc>
          <w:tcPr>
            <w:tcW w:w="2056" w:type="dxa"/>
          </w:tcPr>
          <w:p w14:paraId="7B8505D9" w14:textId="30B7D144"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5E7A81">
              <w:rPr>
                <w:rFonts w:ascii="Arial" w:hAnsi="Arial"/>
                <w:sz w:val="20"/>
              </w:rPr>
              <w:t>£51.8m</w:t>
            </w:r>
          </w:p>
        </w:tc>
        <w:tc>
          <w:tcPr>
            <w:tcW w:w="1843" w:type="dxa"/>
          </w:tcPr>
          <w:p w14:paraId="2DE7CE94" w14:textId="2A34C725" w:rsidR="00F95221" w:rsidRPr="00B03968" w:rsidRDefault="00517026"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(16%)</w:t>
            </w:r>
          </w:p>
        </w:tc>
      </w:tr>
      <w:tr w:rsidR="00F95221" w:rsidRPr="00A44138" w14:paraId="0A249759" w14:textId="77777777" w:rsidTr="005E7A81">
        <w:tc>
          <w:tcPr>
            <w:tcW w:w="2972" w:type="dxa"/>
          </w:tcPr>
          <w:p w14:paraId="09E47626" w14:textId="08DBA1E1" w:rsidR="00F95221" w:rsidRPr="00A44138" w:rsidRDefault="00F95221" w:rsidP="00F95221">
            <w:pPr>
              <w:spacing w:after="0"/>
              <w:rPr>
                <w:rFonts w:ascii="Arial" w:hAnsi="Arial"/>
                <w:sz w:val="20"/>
              </w:rPr>
            </w:pPr>
            <w:r w:rsidRPr="00A44138">
              <w:rPr>
                <w:rFonts w:ascii="Arial" w:hAnsi="Arial"/>
                <w:sz w:val="20"/>
              </w:rPr>
              <w:t xml:space="preserve">Net </w:t>
            </w:r>
            <w:r w:rsidR="00CF68CC">
              <w:rPr>
                <w:rFonts w:ascii="Arial" w:hAnsi="Arial"/>
                <w:sz w:val="20"/>
              </w:rPr>
              <w:t>D</w:t>
            </w:r>
            <w:r w:rsidRPr="00A44138">
              <w:rPr>
                <w:rFonts w:ascii="Arial" w:hAnsi="Arial"/>
                <w:sz w:val="20"/>
              </w:rPr>
              <w:t>ebt ***</w:t>
            </w:r>
          </w:p>
        </w:tc>
        <w:tc>
          <w:tcPr>
            <w:tcW w:w="2055" w:type="dxa"/>
          </w:tcPr>
          <w:p w14:paraId="1C95418F" w14:textId="300ACD17" w:rsidR="00F95221" w:rsidRPr="00DA53C4" w:rsidRDefault="00397D91"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w:t>
            </w:r>
            <w:r w:rsidR="0050027A" w:rsidRPr="00DA53C4">
              <w:rPr>
                <w:rFonts w:ascii="Arial" w:hAnsi="Arial"/>
                <w:sz w:val="20"/>
              </w:rPr>
              <w:t>18.4</w:t>
            </w:r>
            <w:r w:rsidRPr="00DA53C4">
              <w:rPr>
                <w:rFonts w:ascii="Arial" w:hAnsi="Arial"/>
                <w:sz w:val="20"/>
              </w:rPr>
              <w:t>m</w:t>
            </w:r>
          </w:p>
        </w:tc>
        <w:tc>
          <w:tcPr>
            <w:tcW w:w="2056" w:type="dxa"/>
          </w:tcPr>
          <w:p w14:paraId="274F2AD4" w14:textId="102249B7" w:rsidR="00F95221" w:rsidRPr="005E7A81" w:rsidRDefault="00F95221" w:rsidP="00F95221">
            <w:pPr>
              <w:overflowPunct w:val="0"/>
              <w:autoSpaceDE w:val="0"/>
              <w:autoSpaceDN w:val="0"/>
              <w:adjustRightInd w:val="0"/>
              <w:spacing w:after="0"/>
              <w:jc w:val="right"/>
              <w:textAlignment w:val="baseline"/>
              <w:rPr>
                <w:rFonts w:ascii="Arial" w:hAnsi="Arial"/>
                <w:sz w:val="20"/>
              </w:rPr>
            </w:pPr>
            <w:r w:rsidRPr="005E7A81">
              <w:rPr>
                <w:rFonts w:ascii="Arial" w:hAnsi="Arial"/>
                <w:sz w:val="20"/>
              </w:rPr>
              <w:t>£25.1m</w:t>
            </w:r>
          </w:p>
        </w:tc>
        <w:tc>
          <w:tcPr>
            <w:tcW w:w="1843" w:type="dxa"/>
          </w:tcPr>
          <w:p w14:paraId="2C1704EC" w14:textId="7E64149F" w:rsidR="00F95221" w:rsidRPr="00B03968" w:rsidRDefault="00107D83" w:rsidP="00F95221">
            <w:pPr>
              <w:overflowPunct w:val="0"/>
              <w:autoSpaceDE w:val="0"/>
              <w:autoSpaceDN w:val="0"/>
              <w:adjustRightInd w:val="0"/>
              <w:spacing w:after="0"/>
              <w:jc w:val="right"/>
              <w:textAlignment w:val="baseline"/>
              <w:rPr>
                <w:rFonts w:ascii="Arial" w:hAnsi="Arial"/>
                <w:sz w:val="20"/>
              </w:rPr>
            </w:pPr>
            <w:r w:rsidRPr="00B03968">
              <w:rPr>
                <w:rFonts w:ascii="Arial" w:hAnsi="Arial"/>
                <w:sz w:val="20"/>
              </w:rPr>
              <w:t>(</w:t>
            </w:r>
            <w:r w:rsidR="00CE22EC" w:rsidRPr="00B03968">
              <w:rPr>
                <w:rFonts w:ascii="Arial" w:hAnsi="Arial"/>
                <w:sz w:val="20"/>
              </w:rPr>
              <w:t>2</w:t>
            </w:r>
            <w:r w:rsidR="00836912" w:rsidRPr="00DA53C4">
              <w:rPr>
                <w:rFonts w:ascii="Arial" w:hAnsi="Arial"/>
                <w:sz w:val="20"/>
              </w:rPr>
              <w:t>7</w:t>
            </w:r>
            <w:r w:rsidRPr="00B03968">
              <w:rPr>
                <w:rFonts w:ascii="Arial" w:hAnsi="Arial"/>
                <w:sz w:val="20"/>
              </w:rPr>
              <w:t>%)</w:t>
            </w:r>
          </w:p>
        </w:tc>
      </w:tr>
      <w:tr w:rsidR="00F95221" w:rsidRPr="00A44138" w14:paraId="4463EF19" w14:textId="77777777" w:rsidTr="005E7A81">
        <w:tc>
          <w:tcPr>
            <w:tcW w:w="2972" w:type="dxa"/>
          </w:tcPr>
          <w:p w14:paraId="38CEDAFE" w14:textId="745A6CC7" w:rsidR="00F95221" w:rsidRPr="006C295F" w:rsidRDefault="00F95221" w:rsidP="00F95221">
            <w:pPr>
              <w:tabs>
                <w:tab w:val="left" w:pos="709"/>
                <w:tab w:val="left" w:pos="1559"/>
                <w:tab w:val="left" w:pos="2268"/>
                <w:tab w:val="left" w:pos="2977"/>
                <w:tab w:val="left" w:pos="3686"/>
                <w:tab w:val="left" w:pos="4394"/>
                <w:tab w:val="right" w:pos="8789"/>
              </w:tabs>
              <w:spacing w:after="0"/>
              <w:rPr>
                <w:rFonts w:ascii="Arial" w:hAnsi="Arial"/>
                <w:sz w:val="20"/>
              </w:rPr>
            </w:pPr>
            <w:r w:rsidRPr="006C295F">
              <w:rPr>
                <w:rFonts w:ascii="Arial" w:hAnsi="Arial"/>
                <w:sz w:val="20"/>
              </w:rPr>
              <w:t xml:space="preserve">Interim </w:t>
            </w:r>
            <w:r w:rsidR="009B0576" w:rsidRPr="006C295F">
              <w:rPr>
                <w:rFonts w:ascii="Arial" w:hAnsi="Arial"/>
                <w:sz w:val="20"/>
              </w:rPr>
              <w:t>D</w:t>
            </w:r>
            <w:r w:rsidRPr="006C295F">
              <w:rPr>
                <w:rFonts w:ascii="Arial" w:hAnsi="Arial"/>
                <w:sz w:val="20"/>
              </w:rPr>
              <w:t xml:space="preserve">ividend </w:t>
            </w:r>
            <w:r w:rsidR="009B0576" w:rsidRPr="006C295F">
              <w:rPr>
                <w:rFonts w:ascii="Arial" w:hAnsi="Arial"/>
                <w:sz w:val="20"/>
              </w:rPr>
              <w:t>P</w:t>
            </w:r>
            <w:r w:rsidRPr="006C295F">
              <w:rPr>
                <w:rFonts w:ascii="Arial" w:hAnsi="Arial"/>
                <w:sz w:val="20"/>
              </w:rPr>
              <w:t xml:space="preserve">er </w:t>
            </w:r>
            <w:r w:rsidR="009B0576" w:rsidRPr="006C295F">
              <w:rPr>
                <w:rFonts w:ascii="Arial" w:hAnsi="Arial"/>
                <w:sz w:val="20"/>
              </w:rPr>
              <w:t>S</w:t>
            </w:r>
            <w:r w:rsidRPr="006C295F">
              <w:rPr>
                <w:rFonts w:ascii="Arial" w:hAnsi="Arial"/>
                <w:sz w:val="20"/>
              </w:rPr>
              <w:t>hare</w:t>
            </w:r>
          </w:p>
        </w:tc>
        <w:tc>
          <w:tcPr>
            <w:tcW w:w="2055" w:type="dxa"/>
          </w:tcPr>
          <w:p w14:paraId="72B41BCF" w14:textId="76EC368D" w:rsidR="00F95221" w:rsidRPr="00DA53C4" w:rsidRDefault="00611A2B" w:rsidP="00F95221">
            <w:pPr>
              <w:overflowPunct w:val="0"/>
              <w:autoSpaceDE w:val="0"/>
              <w:autoSpaceDN w:val="0"/>
              <w:adjustRightInd w:val="0"/>
              <w:spacing w:after="0"/>
              <w:jc w:val="right"/>
              <w:textAlignment w:val="baseline"/>
              <w:rPr>
                <w:rFonts w:ascii="Arial" w:hAnsi="Arial"/>
                <w:sz w:val="20"/>
              </w:rPr>
            </w:pPr>
            <w:r w:rsidRPr="00DA53C4">
              <w:rPr>
                <w:rFonts w:ascii="Arial" w:hAnsi="Arial"/>
                <w:sz w:val="20"/>
              </w:rPr>
              <w:t>3.3p</w:t>
            </w:r>
          </w:p>
        </w:tc>
        <w:tc>
          <w:tcPr>
            <w:tcW w:w="2056" w:type="dxa"/>
          </w:tcPr>
          <w:p w14:paraId="3D20F8D4" w14:textId="40381CB7" w:rsidR="00F95221" w:rsidRPr="006C295F" w:rsidRDefault="00F95221" w:rsidP="00F95221">
            <w:pPr>
              <w:overflowPunct w:val="0"/>
              <w:autoSpaceDE w:val="0"/>
              <w:autoSpaceDN w:val="0"/>
              <w:adjustRightInd w:val="0"/>
              <w:spacing w:after="0"/>
              <w:jc w:val="right"/>
              <w:textAlignment w:val="baseline"/>
              <w:rPr>
                <w:rFonts w:ascii="Arial" w:hAnsi="Arial"/>
                <w:sz w:val="20"/>
              </w:rPr>
            </w:pPr>
            <w:r w:rsidRPr="006C295F">
              <w:rPr>
                <w:rFonts w:ascii="Arial" w:hAnsi="Arial"/>
                <w:sz w:val="20"/>
              </w:rPr>
              <w:t>3.3p</w:t>
            </w:r>
          </w:p>
        </w:tc>
        <w:tc>
          <w:tcPr>
            <w:tcW w:w="1843" w:type="dxa"/>
          </w:tcPr>
          <w:p w14:paraId="2F89613B" w14:textId="34356600" w:rsidR="00F95221" w:rsidRPr="00C3777D" w:rsidRDefault="00A7058C" w:rsidP="00F95221">
            <w:pPr>
              <w:overflowPunct w:val="0"/>
              <w:autoSpaceDE w:val="0"/>
              <w:autoSpaceDN w:val="0"/>
              <w:adjustRightInd w:val="0"/>
              <w:spacing w:after="0"/>
              <w:jc w:val="right"/>
              <w:textAlignment w:val="baseline"/>
              <w:rPr>
                <w:rFonts w:ascii="Arial" w:hAnsi="Arial"/>
                <w:sz w:val="20"/>
              </w:rPr>
            </w:pPr>
            <w:r w:rsidRPr="00C3777D">
              <w:rPr>
                <w:rFonts w:ascii="Arial" w:hAnsi="Arial"/>
                <w:sz w:val="20"/>
              </w:rPr>
              <w:t>1</w:t>
            </w:r>
            <w:r w:rsidR="00F217A6" w:rsidRPr="00C3777D">
              <w:rPr>
                <w:rFonts w:ascii="Arial" w:hAnsi="Arial"/>
                <w:sz w:val="20"/>
              </w:rPr>
              <w:t>%</w:t>
            </w:r>
          </w:p>
        </w:tc>
      </w:tr>
    </w:tbl>
    <w:p w14:paraId="48D87AAF" w14:textId="77777777" w:rsidR="00294FD1" w:rsidRPr="00A44138" w:rsidRDefault="00294FD1" w:rsidP="00294FD1">
      <w:pPr>
        <w:autoSpaceDE w:val="0"/>
        <w:autoSpaceDN w:val="0"/>
        <w:adjustRightInd w:val="0"/>
        <w:spacing w:after="0" w:line="240" w:lineRule="auto"/>
        <w:contextualSpacing/>
        <w:rPr>
          <w:rFonts w:ascii="Arial" w:hAnsi="Arial"/>
          <w:b/>
          <w:color w:val="FF0000"/>
          <w:sz w:val="6"/>
          <w:szCs w:val="8"/>
        </w:rPr>
      </w:pPr>
    </w:p>
    <w:p w14:paraId="33E754EE" w14:textId="77777777" w:rsidR="00294FD1" w:rsidRPr="00A44138" w:rsidRDefault="00294FD1" w:rsidP="00294FD1">
      <w:pPr>
        <w:autoSpaceDE w:val="0"/>
        <w:autoSpaceDN w:val="0"/>
        <w:adjustRightInd w:val="0"/>
        <w:spacing w:after="60" w:line="240" w:lineRule="auto"/>
        <w:rPr>
          <w:rFonts w:ascii="Arial" w:hAnsi="Arial"/>
          <w:sz w:val="12"/>
          <w:szCs w:val="12"/>
        </w:rPr>
      </w:pPr>
    </w:p>
    <w:p w14:paraId="4CB201A2" w14:textId="2D52D8D6" w:rsidR="00294FD1" w:rsidRPr="0002171D" w:rsidRDefault="00291BA2" w:rsidP="00294FD1">
      <w:pPr>
        <w:autoSpaceDE w:val="0"/>
        <w:autoSpaceDN w:val="0"/>
        <w:adjustRightInd w:val="0"/>
        <w:spacing w:before="120" w:after="60" w:line="240" w:lineRule="auto"/>
        <w:rPr>
          <w:rFonts w:ascii="Arial" w:hAnsi="Arial" w:cs="Arial"/>
          <w:b/>
          <w:sz w:val="20"/>
          <w:szCs w:val="20"/>
        </w:rPr>
      </w:pPr>
      <w:r w:rsidRPr="0002171D">
        <w:rPr>
          <w:rFonts w:ascii="Arial" w:hAnsi="Arial" w:cs="Arial"/>
          <w:b/>
          <w:sz w:val="20"/>
          <w:szCs w:val="20"/>
        </w:rPr>
        <w:t xml:space="preserve">Financial </w:t>
      </w:r>
      <w:r w:rsidR="00E75BCF" w:rsidRPr="0002171D">
        <w:rPr>
          <w:rFonts w:ascii="Arial" w:hAnsi="Arial" w:cs="Arial"/>
          <w:b/>
          <w:sz w:val="20"/>
          <w:szCs w:val="20"/>
        </w:rPr>
        <w:t>performance</w:t>
      </w:r>
    </w:p>
    <w:p w14:paraId="7CAAB988" w14:textId="1EA509E5" w:rsidR="002A59B2" w:rsidRPr="0002171D" w:rsidRDefault="00E75BCF" w:rsidP="00FC7BC6">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cs="Arial"/>
          <w:sz w:val="20"/>
          <w:szCs w:val="20"/>
        </w:rPr>
      </w:pPr>
      <w:r w:rsidRPr="0002171D">
        <w:rPr>
          <w:rFonts w:ascii="Arial" w:hAnsi="Arial" w:cs="Arial"/>
          <w:sz w:val="20"/>
          <w:szCs w:val="20"/>
        </w:rPr>
        <w:t>Resilient financial performance - r</w:t>
      </w:r>
      <w:r w:rsidR="00294FD1" w:rsidRPr="0002171D">
        <w:rPr>
          <w:rFonts w:ascii="Arial" w:hAnsi="Arial" w:cs="Arial"/>
          <w:sz w:val="20"/>
          <w:szCs w:val="20"/>
        </w:rPr>
        <w:t xml:space="preserve">evenue up </w:t>
      </w:r>
      <w:r w:rsidR="008E3FB4" w:rsidRPr="0002171D">
        <w:rPr>
          <w:rFonts w:ascii="Arial" w:hAnsi="Arial" w:cs="Arial"/>
          <w:sz w:val="20"/>
          <w:szCs w:val="20"/>
        </w:rPr>
        <w:t>1</w:t>
      </w:r>
      <w:r w:rsidR="00294FD1" w:rsidRPr="0002171D">
        <w:rPr>
          <w:rFonts w:ascii="Arial" w:hAnsi="Arial" w:cs="Arial"/>
          <w:sz w:val="20"/>
          <w:szCs w:val="20"/>
        </w:rPr>
        <w:t xml:space="preserve">% </w:t>
      </w:r>
      <w:r w:rsidR="000C34C7" w:rsidRPr="0002171D">
        <w:rPr>
          <w:rFonts w:ascii="Arial" w:eastAsia="Calibri" w:hAnsi="Arial" w:cs="Arial"/>
          <w:sz w:val="20"/>
          <w:szCs w:val="20"/>
        </w:rPr>
        <w:t>against a</w:t>
      </w:r>
      <w:r w:rsidR="004B5B25">
        <w:rPr>
          <w:rFonts w:ascii="Arial" w:eastAsia="Calibri" w:hAnsi="Arial" w:cs="Arial"/>
          <w:sz w:val="20"/>
          <w:szCs w:val="20"/>
        </w:rPr>
        <w:t xml:space="preserve"> </w:t>
      </w:r>
      <w:r w:rsidR="000C34C7" w:rsidRPr="0002171D">
        <w:rPr>
          <w:rFonts w:ascii="Arial" w:eastAsia="Calibri" w:hAnsi="Arial" w:cs="Arial"/>
          <w:sz w:val="20"/>
          <w:szCs w:val="20"/>
        </w:rPr>
        <w:t>strong prior period</w:t>
      </w:r>
      <w:r w:rsidR="00A108CC" w:rsidRPr="0002171D">
        <w:rPr>
          <w:rFonts w:ascii="Arial" w:eastAsia="Calibri" w:hAnsi="Arial" w:cs="Arial"/>
          <w:sz w:val="20"/>
          <w:szCs w:val="20"/>
        </w:rPr>
        <w:t>,</w:t>
      </w:r>
      <w:r w:rsidR="000C34C7" w:rsidRPr="0002171D">
        <w:rPr>
          <w:rFonts w:ascii="Arial" w:hAnsi="Arial" w:cs="Arial"/>
          <w:sz w:val="20"/>
          <w:szCs w:val="20"/>
        </w:rPr>
        <w:t xml:space="preserve"> </w:t>
      </w:r>
      <w:r w:rsidR="006C11F5" w:rsidRPr="0002171D">
        <w:rPr>
          <w:rFonts w:ascii="Arial" w:hAnsi="Arial" w:cs="Arial"/>
          <w:sz w:val="20"/>
          <w:szCs w:val="20"/>
        </w:rPr>
        <w:t xml:space="preserve">with </w:t>
      </w:r>
      <w:r w:rsidR="00A108CC" w:rsidRPr="0002171D">
        <w:rPr>
          <w:rFonts w:ascii="Arial" w:hAnsi="Arial" w:cs="Arial"/>
          <w:sz w:val="20"/>
          <w:szCs w:val="20"/>
        </w:rPr>
        <w:t xml:space="preserve">anticipated headwinds </w:t>
      </w:r>
      <w:r w:rsidR="006C11F5" w:rsidRPr="0002171D">
        <w:rPr>
          <w:rFonts w:ascii="Arial" w:hAnsi="Arial" w:cs="Arial"/>
          <w:sz w:val="20"/>
          <w:szCs w:val="20"/>
        </w:rPr>
        <w:t>in car offset by</w:t>
      </w:r>
      <w:r w:rsidR="00B022B2" w:rsidRPr="0002171D">
        <w:rPr>
          <w:rFonts w:ascii="Arial" w:hAnsi="Arial" w:cs="Arial"/>
          <w:sz w:val="20"/>
          <w:szCs w:val="20"/>
        </w:rPr>
        <w:t xml:space="preserve"> </w:t>
      </w:r>
      <w:r w:rsidR="006C11F5" w:rsidRPr="0002171D">
        <w:rPr>
          <w:rFonts w:ascii="Arial" w:hAnsi="Arial" w:cs="Arial"/>
          <w:sz w:val="20"/>
          <w:szCs w:val="20"/>
        </w:rPr>
        <w:t>growth in other channels</w:t>
      </w:r>
      <w:r w:rsidR="00990CEB" w:rsidRPr="0002171D">
        <w:rPr>
          <w:rFonts w:ascii="Arial" w:hAnsi="Arial" w:cs="Arial"/>
          <w:sz w:val="20"/>
          <w:szCs w:val="20"/>
        </w:rPr>
        <w:t>, underlining our strength in breadth</w:t>
      </w:r>
    </w:p>
    <w:p w14:paraId="09279D66" w14:textId="2E8955F3" w:rsidR="007672FA" w:rsidRPr="0002171D" w:rsidRDefault="00E23925" w:rsidP="00FC7BC6">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cs="Arial"/>
          <w:sz w:val="20"/>
          <w:szCs w:val="20"/>
        </w:rPr>
      </w:pPr>
      <w:r>
        <w:rPr>
          <w:rFonts w:ascii="Arial" w:hAnsi="Arial" w:cs="Arial"/>
          <w:sz w:val="20"/>
          <w:szCs w:val="20"/>
        </w:rPr>
        <w:t xml:space="preserve">Adjusted </w:t>
      </w:r>
      <w:r w:rsidR="00294FD1" w:rsidRPr="0002171D">
        <w:rPr>
          <w:rFonts w:ascii="Arial" w:hAnsi="Arial" w:cs="Arial"/>
          <w:sz w:val="20"/>
          <w:szCs w:val="20"/>
        </w:rPr>
        <w:t xml:space="preserve">EBITDA </w:t>
      </w:r>
      <w:r w:rsidR="002A59B2" w:rsidRPr="0002171D">
        <w:rPr>
          <w:rFonts w:ascii="Arial" w:hAnsi="Arial" w:cs="Arial"/>
          <w:sz w:val="20"/>
          <w:szCs w:val="20"/>
        </w:rPr>
        <w:t>growth of</w:t>
      </w:r>
      <w:r w:rsidR="00E625BB">
        <w:rPr>
          <w:rFonts w:ascii="Arial" w:hAnsi="Arial" w:cs="Arial"/>
          <w:sz w:val="20"/>
          <w:szCs w:val="20"/>
        </w:rPr>
        <w:t xml:space="preserve"> </w:t>
      </w:r>
      <w:r w:rsidR="006101B9" w:rsidRPr="0002171D">
        <w:rPr>
          <w:rFonts w:ascii="Arial" w:hAnsi="Arial" w:cs="Arial"/>
          <w:sz w:val="20"/>
          <w:szCs w:val="20"/>
        </w:rPr>
        <w:t>2</w:t>
      </w:r>
      <w:r w:rsidR="00294FD1" w:rsidRPr="0002171D">
        <w:rPr>
          <w:rFonts w:ascii="Arial" w:hAnsi="Arial" w:cs="Arial"/>
          <w:sz w:val="20"/>
          <w:szCs w:val="20"/>
        </w:rPr>
        <w:t>%</w:t>
      </w:r>
      <w:r w:rsidR="00747BD1" w:rsidRPr="0002171D">
        <w:rPr>
          <w:rFonts w:ascii="Arial" w:hAnsi="Arial" w:cs="Arial"/>
          <w:sz w:val="20"/>
          <w:szCs w:val="20"/>
        </w:rPr>
        <w:t xml:space="preserve"> to £7</w:t>
      </w:r>
      <w:r w:rsidR="006101B9" w:rsidRPr="0002171D">
        <w:rPr>
          <w:rFonts w:ascii="Arial" w:hAnsi="Arial" w:cs="Arial"/>
          <w:sz w:val="20"/>
          <w:szCs w:val="20"/>
        </w:rPr>
        <w:t>5</w:t>
      </w:r>
      <w:r w:rsidR="00747BD1" w:rsidRPr="0002171D">
        <w:rPr>
          <w:rFonts w:ascii="Arial" w:hAnsi="Arial" w:cs="Arial"/>
          <w:sz w:val="20"/>
          <w:szCs w:val="20"/>
        </w:rPr>
        <w:t>m</w:t>
      </w:r>
      <w:r w:rsidR="002A59B2" w:rsidRPr="0002171D">
        <w:rPr>
          <w:rFonts w:ascii="Arial" w:hAnsi="Arial" w:cs="Arial"/>
          <w:sz w:val="20"/>
          <w:szCs w:val="20"/>
        </w:rPr>
        <w:t xml:space="preserve">, </w:t>
      </w:r>
      <w:r w:rsidR="00E75BCF" w:rsidRPr="0002171D">
        <w:rPr>
          <w:rFonts w:ascii="Arial" w:hAnsi="Arial" w:cs="Arial"/>
          <w:sz w:val="20"/>
          <w:szCs w:val="20"/>
        </w:rPr>
        <w:t xml:space="preserve">underpinned </w:t>
      </w:r>
      <w:r w:rsidR="002A59B2" w:rsidRPr="0002171D">
        <w:rPr>
          <w:rFonts w:ascii="Arial" w:hAnsi="Arial" w:cs="Arial"/>
          <w:sz w:val="20"/>
          <w:szCs w:val="20"/>
        </w:rPr>
        <w:t xml:space="preserve">by our continued focus on cost control and </w:t>
      </w:r>
      <w:r w:rsidR="00447E9F">
        <w:rPr>
          <w:rFonts w:ascii="Arial" w:hAnsi="Arial" w:cs="Arial"/>
          <w:sz w:val="20"/>
          <w:szCs w:val="20"/>
        </w:rPr>
        <w:t xml:space="preserve">greater </w:t>
      </w:r>
      <w:r w:rsidR="002A59B2" w:rsidRPr="0002171D">
        <w:rPr>
          <w:rFonts w:ascii="Arial" w:hAnsi="Arial" w:cs="Arial"/>
          <w:sz w:val="20"/>
          <w:szCs w:val="20"/>
        </w:rPr>
        <w:t>automation</w:t>
      </w:r>
    </w:p>
    <w:p w14:paraId="1BEB543E" w14:textId="3C7958A7" w:rsidR="00294FD1" w:rsidRPr="0002171D" w:rsidRDefault="001D06E3" w:rsidP="00291BA2">
      <w:pPr>
        <w:pStyle w:val="ListParagraph"/>
        <w:numPr>
          <w:ilvl w:val="3"/>
          <w:numId w:val="5"/>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cs="Arial"/>
          <w:sz w:val="20"/>
          <w:szCs w:val="20"/>
        </w:rPr>
      </w:pPr>
      <w:r>
        <w:rPr>
          <w:rFonts w:ascii="Arial" w:hAnsi="Arial" w:cs="Arial"/>
          <w:sz w:val="20"/>
          <w:szCs w:val="20"/>
        </w:rPr>
        <w:t>Operating cost</w:t>
      </w:r>
      <w:r w:rsidR="00FA4B80">
        <w:rPr>
          <w:rFonts w:ascii="Arial" w:hAnsi="Arial" w:cs="Arial"/>
          <w:sz w:val="20"/>
          <w:szCs w:val="20"/>
        </w:rPr>
        <w:t>s down 6%</w:t>
      </w:r>
      <w:r w:rsidR="00C11C58" w:rsidRPr="0002171D">
        <w:rPr>
          <w:rFonts w:ascii="Arial" w:hAnsi="Arial" w:cs="Arial"/>
          <w:sz w:val="20"/>
          <w:szCs w:val="20"/>
        </w:rPr>
        <w:t xml:space="preserve"> and </w:t>
      </w:r>
      <w:r w:rsidR="006E48F8">
        <w:rPr>
          <w:rFonts w:ascii="Arial" w:hAnsi="Arial" w:cs="Arial"/>
          <w:sz w:val="20"/>
          <w:szCs w:val="20"/>
        </w:rPr>
        <w:t>A</w:t>
      </w:r>
      <w:r w:rsidR="008556F6">
        <w:rPr>
          <w:rFonts w:ascii="Arial" w:hAnsi="Arial" w:cs="Arial"/>
          <w:sz w:val="20"/>
          <w:szCs w:val="20"/>
        </w:rPr>
        <w:t xml:space="preserve">djusted </w:t>
      </w:r>
      <w:r w:rsidR="00C11C58" w:rsidRPr="0002171D">
        <w:rPr>
          <w:rFonts w:ascii="Arial" w:hAnsi="Arial" w:cs="Arial"/>
          <w:sz w:val="20"/>
          <w:szCs w:val="20"/>
        </w:rPr>
        <w:t>e</w:t>
      </w:r>
      <w:r w:rsidR="005116E8" w:rsidRPr="0002171D">
        <w:rPr>
          <w:rFonts w:ascii="Arial" w:hAnsi="Arial" w:cs="Arial"/>
          <w:sz w:val="20"/>
          <w:szCs w:val="20"/>
        </w:rPr>
        <w:t xml:space="preserve">arnings per share growth of </w:t>
      </w:r>
      <w:r w:rsidR="008556F6">
        <w:rPr>
          <w:rFonts w:ascii="Arial" w:hAnsi="Arial" w:cs="Arial"/>
          <w:sz w:val="20"/>
          <w:szCs w:val="20"/>
        </w:rPr>
        <w:t>4</w:t>
      </w:r>
      <w:r w:rsidR="005116E8" w:rsidRPr="0002171D">
        <w:rPr>
          <w:rFonts w:ascii="Arial" w:hAnsi="Arial" w:cs="Arial"/>
          <w:sz w:val="20"/>
          <w:szCs w:val="20"/>
        </w:rPr>
        <w:t xml:space="preserve">% </w:t>
      </w:r>
    </w:p>
    <w:p w14:paraId="6DB13180" w14:textId="77777777" w:rsidR="00291BA2" w:rsidRPr="0002171D" w:rsidRDefault="00291BA2" w:rsidP="00294FD1">
      <w:pPr>
        <w:autoSpaceDE w:val="0"/>
        <w:autoSpaceDN w:val="0"/>
        <w:adjustRightInd w:val="0"/>
        <w:spacing w:after="60" w:line="240" w:lineRule="auto"/>
        <w:rPr>
          <w:rFonts w:ascii="Arial" w:hAnsi="Arial" w:cs="Arial"/>
          <w:b/>
          <w:bCs/>
          <w:sz w:val="20"/>
          <w:szCs w:val="20"/>
        </w:rPr>
      </w:pPr>
    </w:p>
    <w:p w14:paraId="2E0B8F1D" w14:textId="647CDB75" w:rsidR="00294FD1" w:rsidRPr="0002171D" w:rsidRDefault="00291BA2" w:rsidP="00294FD1">
      <w:pPr>
        <w:autoSpaceDE w:val="0"/>
        <w:autoSpaceDN w:val="0"/>
        <w:adjustRightInd w:val="0"/>
        <w:spacing w:after="60" w:line="240" w:lineRule="auto"/>
        <w:rPr>
          <w:rFonts w:ascii="Arial" w:hAnsi="Arial" w:cs="Arial"/>
          <w:b/>
          <w:sz w:val="20"/>
          <w:szCs w:val="20"/>
        </w:rPr>
      </w:pPr>
      <w:r w:rsidRPr="0002171D">
        <w:rPr>
          <w:rFonts w:ascii="Arial" w:hAnsi="Arial" w:cs="Arial"/>
          <w:b/>
          <w:bCs/>
          <w:sz w:val="20"/>
          <w:szCs w:val="20"/>
        </w:rPr>
        <w:t>Strategic highlights</w:t>
      </w:r>
    </w:p>
    <w:p w14:paraId="3B7E112D" w14:textId="22641E42" w:rsidR="00952075" w:rsidRPr="00DA53C4" w:rsidRDefault="00952075" w:rsidP="00661E12">
      <w:pPr>
        <w:pStyle w:val="ListParagraph"/>
        <w:numPr>
          <w:ilvl w:val="0"/>
          <w:numId w:val="8"/>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sidRPr="0002171D">
        <w:rPr>
          <w:rFonts w:ascii="Arial" w:hAnsi="Arial" w:cs="Arial"/>
          <w:sz w:val="20"/>
          <w:szCs w:val="20"/>
        </w:rPr>
        <w:t xml:space="preserve">Helped customers </w:t>
      </w:r>
      <w:r w:rsidR="00D85DB9" w:rsidRPr="0002171D">
        <w:rPr>
          <w:rFonts w:ascii="Arial" w:hAnsi="Arial" w:cs="Arial"/>
          <w:sz w:val="20"/>
          <w:szCs w:val="20"/>
        </w:rPr>
        <w:t xml:space="preserve">to save an estimated </w:t>
      </w:r>
      <w:r w:rsidR="00D85DB9" w:rsidRPr="006D256F">
        <w:rPr>
          <w:rFonts w:ascii="Arial" w:hAnsi="Arial" w:cs="Arial"/>
          <w:sz w:val="20"/>
          <w:szCs w:val="20"/>
        </w:rPr>
        <w:t>£</w:t>
      </w:r>
      <w:r w:rsidR="007F15E0" w:rsidRPr="00DA53C4">
        <w:rPr>
          <w:rFonts w:ascii="Arial" w:hAnsi="Arial" w:cs="Arial"/>
          <w:sz w:val="20"/>
          <w:szCs w:val="20"/>
        </w:rPr>
        <w:t>1.4</w:t>
      </w:r>
      <w:r w:rsidR="00D85DB9" w:rsidRPr="006D256F">
        <w:rPr>
          <w:rFonts w:ascii="Arial" w:hAnsi="Arial" w:cs="Arial"/>
          <w:sz w:val="20"/>
          <w:szCs w:val="20"/>
        </w:rPr>
        <w:t>bn</w:t>
      </w:r>
    </w:p>
    <w:p w14:paraId="548EFAA0" w14:textId="7D3BF449" w:rsidR="00C953AD" w:rsidRPr="0002171D" w:rsidRDefault="00D85DB9" w:rsidP="00661E12">
      <w:pPr>
        <w:pStyle w:val="ListParagraph"/>
        <w:numPr>
          <w:ilvl w:val="0"/>
          <w:numId w:val="8"/>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sidRPr="0002171D">
        <w:rPr>
          <w:rFonts w:ascii="Arial" w:hAnsi="Arial" w:cs="Arial"/>
          <w:sz w:val="20"/>
          <w:szCs w:val="20"/>
        </w:rPr>
        <w:t>Delivered growth across our member-based propositions</w:t>
      </w:r>
    </w:p>
    <w:p w14:paraId="204D3603" w14:textId="0C85821B" w:rsidR="00D85DB9" w:rsidRPr="0002171D" w:rsidRDefault="00D85DB9" w:rsidP="00D85DB9">
      <w:pPr>
        <w:pStyle w:val="ListParagraph"/>
        <w:numPr>
          <w:ilvl w:val="1"/>
          <w:numId w:val="8"/>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sidRPr="0002171D">
        <w:rPr>
          <w:rFonts w:ascii="Arial" w:hAnsi="Arial" w:cs="Arial"/>
          <w:sz w:val="20"/>
          <w:szCs w:val="20"/>
        </w:rPr>
        <w:t xml:space="preserve">SuperSaveClub </w:t>
      </w:r>
      <w:r w:rsidRPr="00FC6DF8">
        <w:rPr>
          <w:rFonts w:ascii="Arial" w:hAnsi="Arial" w:cs="Arial"/>
          <w:sz w:val="20"/>
          <w:szCs w:val="20"/>
        </w:rPr>
        <w:t xml:space="preserve">surpassed </w:t>
      </w:r>
      <w:r w:rsidR="001B5B80">
        <w:rPr>
          <w:rFonts w:ascii="Arial" w:hAnsi="Arial" w:cs="Arial"/>
          <w:sz w:val="20"/>
          <w:szCs w:val="20"/>
        </w:rPr>
        <w:t>the</w:t>
      </w:r>
      <w:r w:rsidRPr="0002171D">
        <w:rPr>
          <w:rFonts w:ascii="Arial" w:hAnsi="Arial" w:cs="Arial"/>
          <w:sz w:val="20"/>
          <w:szCs w:val="20"/>
        </w:rPr>
        <w:t xml:space="preserve"> </w:t>
      </w:r>
      <w:r w:rsidRPr="00FC6DF8">
        <w:rPr>
          <w:rFonts w:ascii="Arial" w:hAnsi="Arial" w:cs="Arial"/>
          <w:sz w:val="20"/>
          <w:szCs w:val="20"/>
        </w:rPr>
        <w:t>1.5 million member milestone</w:t>
      </w:r>
      <w:r w:rsidR="006A5206" w:rsidRPr="0002171D">
        <w:rPr>
          <w:rFonts w:ascii="Arial" w:hAnsi="Arial" w:cs="Arial"/>
          <w:sz w:val="20"/>
          <w:szCs w:val="20"/>
        </w:rPr>
        <w:t xml:space="preserve">, now </w:t>
      </w:r>
      <w:r w:rsidR="006A5206" w:rsidRPr="00C244BB">
        <w:rPr>
          <w:rFonts w:ascii="Arial" w:hAnsi="Arial" w:cs="Arial"/>
          <w:sz w:val="20"/>
          <w:szCs w:val="20"/>
        </w:rPr>
        <w:t xml:space="preserve">generating </w:t>
      </w:r>
      <w:r w:rsidR="00501440" w:rsidRPr="005C13FE">
        <w:rPr>
          <w:rFonts w:ascii="Arial" w:hAnsi="Arial" w:cs="Arial"/>
          <w:sz w:val="20"/>
          <w:szCs w:val="20"/>
        </w:rPr>
        <w:t>14</w:t>
      </w:r>
      <w:r w:rsidR="006A5206" w:rsidRPr="00C244BB">
        <w:rPr>
          <w:rFonts w:ascii="Arial" w:hAnsi="Arial" w:cs="Arial"/>
          <w:sz w:val="20"/>
          <w:szCs w:val="20"/>
        </w:rPr>
        <w:t>%</w:t>
      </w:r>
      <w:r w:rsidR="006A5206" w:rsidRPr="0002171D">
        <w:rPr>
          <w:rFonts w:ascii="Arial" w:hAnsi="Arial" w:cs="Arial"/>
          <w:sz w:val="20"/>
          <w:szCs w:val="20"/>
        </w:rPr>
        <w:t xml:space="preserve"> of Group </w:t>
      </w:r>
      <w:r w:rsidR="00CD43A1">
        <w:rPr>
          <w:rFonts w:ascii="Arial" w:hAnsi="Arial" w:cs="Arial"/>
          <w:sz w:val="20"/>
          <w:szCs w:val="20"/>
        </w:rPr>
        <w:t>revenue</w:t>
      </w:r>
    </w:p>
    <w:p w14:paraId="708F7242" w14:textId="1FCC3104" w:rsidR="00D85DB9" w:rsidRPr="0002171D" w:rsidRDefault="00D85DB9" w:rsidP="00D85DB9">
      <w:pPr>
        <w:pStyle w:val="ListParagraph"/>
        <w:numPr>
          <w:ilvl w:val="1"/>
          <w:numId w:val="8"/>
        </w:numPr>
        <w:tabs>
          <w:tab w:val="left" w:pos="709"/>
          <w:tab w:val="left" w:pos="1559"/>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sidRPr="0002171D">
        <w:rPr>
          <w:rFonts w:ascii="Arial" w:hAnsi="Arial" w:cs="Arial"/>
          <w:sz w:val="20"/>
          <w:szCs w:val="20"/>
        </w:rPr>
        <w:t>Enhanced provider services continue to deliver profitable growth</w:t>
      </w:r>
      <w:r w:rsidR="00C76543">
        <w:rPr>
          <w:rFonts w:ascii="Arial" w:hAnsi="Arial" w:cs="Arial"/>
          <w:sz w:val="20"/>
          <w:szCs w:val="20"/>
        </w:rPr>
        <w:t xml:space="preserve"> </w:t>
      </w:r>
      <w:r w:rsidR="00212EA7">
        <w:rPr>
          <w:rFonts w:ascii="Arial" w:hAnsi="Arial" w:cs="Arial"/>
          <w:sz w:val="20"/>
          <w:szCs w:val="20"/>
        </w:rPr>
        <w:t xml:space="preserve">- </w:t>
      </w:r>
      <w:r w:rsidR="001061E8">
        <w:rPr>
          <w:rFonts w:ascii="Arial" w:hAnsi="Arial" w:cs="Arial"/>
          <w:sz w:val="20"/>
          <w:szCs w:val="20"/>
        </w:rPr>
        <w:t xml:space="preserve">revenue </w:t>
      </w:r>
      <w:r w:rsidR="00212EA7">
        <w:rPr>
          <w:rFonts w:ascii="Arial" w:hAnsi="Arial" w:cs="Arial"/>
          <w:sz w:val="20"/>
          <w:szCs w:val="20"/>
        </w:rPr>
        <w:t>up</w:t>
      </w:r>
      <w:r w:rsidRPr="0002171D">
        <w:rPr>
          <w:rFonts w:ascii="Arial" w:hAnsi="Arial" w:cs="Arial"/>
          <w:sz w:val="20"/>
          <w:szCs w:val="20"/>
        </w:rPr>
        <w:t xml:space="preserve"> +</w:t>
      </w:r>
      <w:r w:rsidR="00501440">
        <w:rPr>
          <w:rFonts w:ascii="Arial" w:hAnsi="Arial" w:cs="Arial"/>
          <w:sz w:val="20"/>
          <w:szCs w:val="20"/>
        </w:rPr>
        <w:t>1</w:t>
      </w:r>
      <w:r w:rsidR="00C76543">
        <w:rPr>
          <w:rFonts w:ascii="Arial" w:hAnsi="Arial" w:cs="Arial"/>
          <w:sz w:val="20"/>
          <w:szCs w:val="20"/>
        </w:rPr>
        <w:t>1</w:t>
      </w:r>
      <w:r w:rsidRPr="0002171D">
        <w:rPr>
          <w:rFonts w:ascii="Arial" w:hAnsi="Arial" w:cs="Arial"/>
          <w:sz w:val="20"/>
          <w:szCs w:val="20"/>
        </w:rPr>
        <w:t xml:space="preserve">% </w:t>
      </w:r>
    </w:p>
    <w:p w14:paraId="4A84D533" w14:textId="156777B6" w:rsidR="006A5206" w:rsidRPr="0002171D" w:rsidRDefault="00D85DB9" w:rsidP="00291BA2">
      <w:pPr>
        <w:pStyle w:val="ListParagraph"/>
        <w:numPr>
          <w:ilvl w:val="0"/>
          <w:numId w:val="1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sidRPr="0002171D">
        <w:rPr>
          <w:rFonts w:ascii="Arial" w:hAnsi="Arial" w:cs="Arial"/>
          <w:sz w:val="20"/>
          <w:szCs w:val="20"/>
        </w:rPr>
        <w:t xml:space="preserve">Investment in our data and tech platform </w:t>
      </w:r>
      <w:r w:rsidR="00600A6A" w:rsidRPr="0002171D">
        <w:rPr>
          <w:rFonts w:ascii="Arial" w:hAnsi="Arial" w:cs="Arial"/>
          <w:sz w:val="20"/>
          <w:szCs w:val="20"/>
        </w:rPr>
        <w:t xml:space="preserve">is providing an efficient, scalable and competitive springboard to capitalise on unlocking our AI and new product development opportunities </w:t>
      </w:r>
    </w:p>
    <w:p w14:paraId="31C21547" w14:textId="77777777" w:rsidR="00294FD1" w:rsidRPr="0002171D" w:rsidRDefault="00294FD1" w:rsidP="00294FD1">
      <w:pPr>
        <w:pStyle w:val="ListParagraph"/>
        <w:autoSpaceDE w:val="0"/>
        <w:autoSpaceDN w:val="0"/>
        <w:adjustRightInd w:val="0"/>
        <w:spacing w:after="60" w:line="240" w:lineRule="auto"/>
        <w:ind w:left="357"/>
        <w:rPr>
          <w:rFonts w:ascii="Arial" w:hAnsi="Arial" w:cs="Arial"/>
          <w:color w:val="FF0000"/>
          <w:sz w:val="20"/>
          <w:szCs w:val="20"/>
          <w:highlight w:val="yellow"/>
        </w:rPr>
      </w:pPr>
    </w:p>
    <w:p w14:paraId="5439D27F" w14:textId="3C8E49B1" w:rsidR="00167AB8" w:rsidRPr="0002171D" w:rsidRDefault="006A5206" w:rsidP="00D20094">
      <w:pPr>
        <w:autoSpaceDE w:val="0"/>
        <w:autoSpaceDN w:val="0"/>
        <w:adjustRightInd w:val="0"/>
        <w:spacing w:after="60" w:line="240" w:lineRule="auto"/>
        <w:rPr>
          <w:rFonts w:ascii="Arial" w:hAnsi="Arial" w:cs="Arial"/>
          <w:b/>
          <w:bCs/>
          <w:sz w:val="20"/>
          <w:szCs w:val="20"/>
        </w:rPr>
      </w:pPr>
      <w:r w:rsidRPr="0002171D">
        <w:rPr>
          <w:rFonts w:ascii="Arial" w:hAnsi="Arial" w:cs="Arial"/>
          <w:b/>
          <w:bCs/>
          <w:sz w:val="20"/>
          <w:szCs w:val="20"/>
        </w:rPr>
        <w:t>Shareholder returns</w:t>
      </w:r>
    </w:p>
    <w:p w14:paraId="5BE98E07" w14:textId="490EC5C2" w:rsidR="006A5206" w:rsidRPr="0002171D" w:rsidRDefault="004A72BC" w:rsidP="00D20094">
      <w:pPr>
        <w:pStyle w:val="ListParagraph"/>
        <w:numPr>
          <w:ilvl w:val="0"/>
          <w:numId w:val="11"/>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contextualSpacing w:val="0"/>
        <w:rPr>
          <w:rFonts w:ascii="Arial" w:hAnsi="Arial" w:cs="Arial"/>
          <w:sz w:val="20"/>
          <w:szCs w:val="20"/>
        </w:rPr>
      </w:pPr>
      <w:r>
        <w:rPr>
          <w:rFonts w:ascii="Arial" w:hAnsi="Arial" w:cs="Arial"/>
          <w:sz w:val="20"/>
          <w:szCs w:val="20"/>
        </w:rPr>
        <w:t>£96</w:t>
      </w:r>
      <w:r w:rsidR="0004004B" w:rsidRPr="0002171D">
        <w:rPr>
          <w:rFonts w:ascii="Arial" w:hAnsi="Arial" w:cs="Arial"/>
          <w:sz w:val="20"/>
          <w:szCs w:val="20"/>
        </w:rPr>
        <w:t>m package of shareholder returns</w:t>
      </w:r>
      <w:r w:rsidR="00D20094" w:rsidRPr="0002171D">
        <w:rPr>
          <w:rFonts w:ascii="Arial" w:hAnsi="Arial" w:cs="Arial"/>
          <w:sz w:val="20"/>
          <w:szCs w:val="20"/>
        </w:rPr>
        <w:t xml:space="preserve"> for 2025 including ongoing </w:t>
      </w:r>
      <w:r w:rsidR="0065136D">
        <w:rPr>
          <w:rFonts w:ascii="Arial" w:hAnsi="Arial" w:cs="Arial"/>
          <w:sz w:val="20"/>
          <w:szCs w:val="20"/>
        </w:rPr>
        <w:t>c.</w:t>
      </w:r>
      <w:r w:rsidR="00D20094" w:rsidRPr="0002171D">
        <w:rPr>
          <w:rFonts w:ascii="Arial" w:hAnsi="Arial" w:cs="Arial"/>
          <w:sz w:val="20"/>
          <w:szCs w:val="20"/>
        </w:rPr>
        <w:t xml:space="preserve">£30m share buyback and progressive dividend growth – interim </w:t>
      </w:r>
      <w:r w:rsidR="00CB7B21">
        <w:rPr>
          <w:rFonts w:ascii="Arial" w:hAnsi="Arial" w:cs="Arial"/>
          <w:sz w:val="20"/>
          <w:szCs w:val="20"/>
        </w:rPr>
        <w:t>dividend per share</w:t>
      </w:r>
      <w:r w:rsidR="00D20094" w:rsidRPr="0002171D">
        <w:rPr>
          <w:rFonts w:ascii="Arial" w:hAnsi="Arial" w:cs="Arial"/>
          <w:sz w:val="20"/>
          <w:szCs w:val="20"/>
        </w:rPr>
        <w:t xml:space="preserve"> +1%</w:t>
      </w:r>
    </w:p>
    <w:p w14:paraId="256215AF" w14:textId="77777777" w:rsidR="0002171D" w:rsidRDefault="0002171D" w:rsidP="00294FD1">
      <w:pPr>
        <w:spacing w:after="60"/>
        <w:rPr>
          <w:rFonts w:ascii="Arial" w:hAnsi="Arial" w:cs="Arial"/>
          <w:b/>
          <w:sz w:val="20"/>
          <w:szCs w:val="20"/>
        </w:rPr>
      </w:pPr>
    </w:p>
    <w:p w14:paraId="551D4171" w14:textId="77777777" w:rsidR="00E05076" w:rsidRDefault="00294FD1" w:rsidP="00E05076">
      <w:pPr>
        <w:spacing w:after="60"/>
        <w:rPr>
          <w:rFonts w:ascii="Arial" w:eastAsia="Batang" w:hAnsi="Arial" w:cs="Arial"/>
          <w:bCs/>
          <w:sz w:val="20"/>
          <w:szCs w:val="20"/>
          <w:lang w:eastAsia="ko-KR"/>
        </w:rPr>
      </w:pPr>
      <w:r w:rsidRPr="0002171D">
        <w:rPr>
          <w:rFonts w:ascii="Arial" w:hAnsi="Arial" w:cs="Arial"/>
          <w:b/>
          <w:sz w:val="20"/>
          <w:szCs w:val="20"/>
        </w:rPr>
        <w:t>Peter Duffy, CEO of MONY Group, said:</w:t>
      </w:r>
    </w:p>
    <w:p w14:paraId="302A51ED" w14:textId="3C32ABB7" w:rsidR="00E05076" w:rsidRDefault="00E05076" w:rsidP="00E05076">
      <w:pPr>
        <w:spacing w:after="60"/>
        <w:rPr>
          <w:rStyle w:val="ui-provider"/>
          <w:rFonts w:ascii="Arial" w:eastAsia="Batang" w:hAnsi="Arial" w:cs="Arial"/>
          <w:bCs/>
          <w:sz w:val="20"/>
          <w:szCs w:val="20"/>
          <w:lang w:eastAsia="ko-KR"/>
        </w:rPr>
      </w:pPr>
      <w:r w:rsidRPr="00E05076">
        <w:rPr>
          <w:rStyle w:val="ui-provider"/>
          <w:rFonts w:ascii="Arial" w:hAnsi="Arial" w:cs="Arial"/>
          <w:i/>
          <w:iCs/>
          <w:sz w:val="20"/>
          <w:szCs w:val="20"/>
        </w:rPr>
        <w:t>‘</w:t>
      </w:r>
      <w:r w:rsidR="005542C6" w:rsidRPr="00E05076">
        <w:rPr>
          <w:rStyle w:val="ui-provider"/>
          <w:rFonts w:ascii="Arial" w:hAnsi="Arial" w:cs="Arial"/>
          <w:i/>
          <w:iCs/>
          <w:sz w:val="20"/>
          <w:szCs w:val="20"/>
        </w:rPr>
        <w:t xml:space="preserve">We’ve </w:t>
      </w:r>
      <w:r w:rsidR="00CB7B21">
        <w:rPr>
          <w:rStyle w:val="ui-provider"/>
          <w:rFonts w:ascii="Arial" w:hAnsi="Arial" w:cs="Arial"/>
          <w:i/>
          <w:iCs/>
          <w:sz w:val="20"/>
          <w:szCs w:val="20"/>
        </w:rPr>
        <w:t>started</w:t>
      </w:r>
      <w:r w:rsidR="005542C6" w:rsidRPr="00E05076">
        <w:rPr>
          <w:rStyle w:val="ui-provider"/>
          <w:rFonts w:ascii="Arial" w:hAnsi="Arial" w:cs="Arial"/>
          <w:i/>
          <w:iCs/>
          <w:sz w:val="20"/>
          <w:szCs w:val="20"/>
        </w:rPr>
        <w:t xml:space="preserve"> the year</w:t>
      </w:r>
      <w:r w:rsidR="00CB7B21">
        <w:rPr>
          <w:rStyle w:val="ui-provider"/>
          <w:rFonts w:ascii="Arial" w:hAnsi="Arial" w:cs="Arial"/>
          <w:i/>
          <w:iCs/>
          <w:sz w:val="20"/>
          <w:szCs w:val="20"/>
        </w:rPr>
        <w:t xml:space="preserve"> well</w:t>
      </w:r>
      <w:r w:rsidR="005542C6" w:rsidRPr="00E05076">
        <w:rPr>
          <w:rStyle w:val="ui-provider"/>
          <w:rFonts w:ascii="Arial" w:hAnsi="Arial" w:cs="Arial"/>
          <w:i/>
          <w:iCs/>
          <w:sz w:val="20"/>
          <w:szCs w:val="20"/>
        </w:rPr>
        <w:t xml:space="preserve">, </w:t>
      </w:r>
      <w:r w:rsidR="00CB047D" w:rsidRPr="00E05076">
        <w:rPr>
          <w:rStyle w:val="ui-provider"/>
          <w:rFonts w:ascii="Arial" w:hAnsi="Arial" w:cs="Arial"/>
          <w:i/>
          <w:iCs/>
          <w:sz w:val="20"/>
          <w:szCs w:val="20"/>
        </w:rPr>
        <w:t xml:space="preserve">hitting strategic milestones and </w:t>
      </w:r>
      <w:r w:rsidR="007B55F0">
        <w:rPr>
          <w:rStyle w:val="ui-provider"/>
          <w:rFonts w:ascii="Arial" w:hAnsi="Arial" w:cs="Arial"/>
          <w:i/>
          <w:iCs/>
          <w:sz w:val="20"/>
          <w:szCs w:val="20"/>
        </w:rPr>
        <w:t>growing revenue and profits despite</w:t>
      </w:r>
      <w:r w:rsidR="004108C8">
        <w:rPr>
          <w:rStyle w:val="ui-provider"/>
          <w:rFonts w:ascii="Arial" w:hAnsi="Arial" w:cs="Arial"/>
          <w:i/>
          <w:iCs/>
          <w:sz w:val="20"/>
          <w:szCs w:val="20"/>
        </w:rPr>
        <w:t xml:space="preserve"> </w:t>
      </w:r>
      <w:r w:rsidR="00485A31" w:rsidRPr="00E05076">
        <w:rPr>
          <w:rStyle w:val="ui-provider"/>
          <w:rFonts w:ascii="Arial" w:hAnsi="Arial" w:cs="Arial"/>
          <w:i/>
          <w:iCs/>
          <w:sz w:val="20"/>
          <w:szCs w:val="20"/>
        </w:rPr>
        <w:t>the challenges faced in some of our end market</w:t>
      </w:r>
      <w:r w:rsidR="00672225" w:rsidRPr="00E05076">
        <w:rPr>
          <w:rStyle w:val="ui-provider"/>
          <w:rFonts w:ascii="Arial" w:hAnsi="Arial" w:cs="Arial"/>
          <w:i/>
          <w:iCs/>
          <w:sz w:val="20"/>
          <w:szCs w:val="20"/>
        </w:rPr>
        <w:t>s.</w:t>
      </w:r>
    </w:p>
    <w:p w14:paraId="0A5AECA0" w14:textId="519348D6" w:rsidR="00E05076" w:rsidRDefault="005542C6" w:rsidP="00E05076">
      <w:pPr>
        <w:spacing w:after="60"/>
        <w:rPr>
          <w:rStyle w:val="ui-provider"/>
          <w:rFonts w:ascii="Arial" w:eastAsia="Batang" w:hAnsi="Arial" w:cs="Arial"/>
          <w:bCs/>
          <w:sz w:val="20"/>
          <w:szCs w:val="20"/>
          <w:lang w:eastAsia="ko-KR"/>
        </w:rPr>
      </w:pPr>
      <w:r w:rsidRPr="00E05076">
        <w:rPr>
          <w:rStyle w:val="ui-provider"/>
          <w:rFonts w:ascii="Arial" w:hAnsi="Arial" w:cs="Arial"/>
          <w:i/>
          <w:iCs/>
          <w:sz w:val="20"/>
          <w:szCs w:val="20"/>
        </w:rPr>
        <w:t xml:space="preserve">Ours is a business that only makes money if customers save money and in the first </w:t>
      </w:r>
      <w:r w:rsidR="00257BE6" w:rsidRPr="00E05076">
        <w:rPr>
          <w:rStyle w:val="ui-provider"/>
          <w:rFonts w:ascii="Arial" w:hAnsi="Arial" w:cs="Arial"/>
          <w:i/>
          <w:iCs/>
          <w:sz w:val="20"/>
          <w:szCs w:val="20"/>
        </w:rPr>
        <w:t>half of 2025,</w:t>
      </w:r>
      <w:r w:rsidR="00672225" w:rsidRPr="00E05076">
        <w:rPr>
          <w:rStyle w:val="ui-provider"/>
          <w:rFonts w:ascii="Arial" w:hAnsi="Arial" w:cs="Arial"/>
          <w:i/>
          <w:iCs/>
          <w:sz w:val="20"/>
          <w:szCs w:val="20"/>
        </w:rPr>
        <w:t xml:space="preserve"> we helped customers to save an estimated £</w:t>
      </w:r>
      <w:r w:rsidR="00184B04">
        <w:rPr>
          <w:rStyle w:val="ui-provider"/>
          <w:rFonts w:ascii="Arial" w:hAnsi="Arial" w:cs="Arial"/>
          <w:i/>
          <w:iCs/>
          <w:sz w:val="20"/>
          <w:szCs w:val="20"/>
        </w:rPr>
        <w:t>1.4</w:t>
      </w:r>
      <w:r w:rsidR="00672225" w:rsidRPr="00E05076">
        <w:rPr>
          <w:rStyle w:val="ui-provider"/>
          <w:rFonts w:ascii="Arial" w:hAnsi="Arial" w:cs="Arial"/>
          <w:i/>
          <w:iCs/>
          <w:sz w:val="20"/>
          <w:szCs w:val="20"/>
        </w:rPr>
        <w:t>bn.</w:t>
      </w:r>
    </w:p>
    <w:p w14:paraId="3B7BDE66" w14:textId="177FD8E4" w:rsidR="00E05076" w:rsidRPr="00E05076" w:rsidRDefault="0037069B" w:rsidP="00E05076">
      <w:pPr>
        <w:spacing w:after="60"/>
        <w:rPr>
          <w:rStyle w:val="ui-provider"/>
          <w:rFonts w:ascii="Arial" w:eastAsia="Batang" w:hAnsi="Arial" w:cs="Arial"/>
          <w:bCs/>
          <w:sz w:val="20"/>
          <w:szCs w:val="20"/>
          <w:lang w:eastAsia="ko-KR"/>
        </w:rPr>
      </w:pPr>
      <w:r>
        <w:rPr>
          <w:rStyle w:val="ui-provider"/>
          <w:rFonts w:ascii="Arial" w:hAnsi="Arial" w:cs="Arial"/>
          <w:i/>
          <w:iCs/>
          <w:sz w:val="20"/>
          <w:szCs w:val="20"/>
        </w:rPr>
        <w:t xml:space="preserve">Since February, we have </w:t>
      </w:r>
      <w:r w:rsidR="005970B5" w:rsidRPr="00E05076">
        <w:rPr>
          <w:rStyle w:val="ui-provider"/>
          <w:rFonts w:ascii="Arial" w:hAnsi="Arial" w:cs="Arial"/>
          <w:i/>
          <w:iCs/>
          <w:sz w:val="20"/>
          <w:szCs w:val="20"/>
        </w:rPr>
        <w:t xml:space="preserve">welcomed over half a million new members to the SuperSaveClub, bringing </w:t>
      </w:r>
      <w:r w:rsidR="00585C00">
        <w:rPr>
          <w:rStyle w:val="ui-provider"/>
          <w:rFonts w:ascii="Arial" w:hAnsi="Arial" w:cs="Arial"/>
          <w:i/>
          <w:iCs/>
          <w:sz w:val="20"/>
          <w:szCs w:val="20"/>
        </w:rPr>
        <w:t>total</w:t>
      </w:r>
      <w:r w:rsidR="005970B5" w:rsidRPr="00E05076">
        <w:rPr>
          <w:rStyle w:val="ui-provider"/>
          <w:rFonts w:ascii="Arial" w:hAnsi="Arial" w:cs="Arial"/>
          <w:i/>
          <w:iCs/>
          <w:sz w:val="20"/>
          <w:szCs w:val="20"/>
        </w:rPr>
        <w:t xml:space="preserve"> membership to just over 1.5 million</w:t>
      </w:r>
      <w:r w:rsidR="00550C68">
        <w:rPr>
          <w:rStyle w:val="ui-provider"/>
          <w:rFonts w:ascii="Arial" w:hAnsi="Arial" w:cs="Arial"/>
          <w:i/>
          <w:iCs/>
          <w:sz w:val="20"/>
          <w:szCs w:val="20"/>
        </w:rPr>
        <w:t xml:space="preserve"> -</w:t>
      </w:r>
      <w:r w:rsidR="005970B5" w:rsidRPr="00E05076" w:rsidDel="00BD7960">
        <w:rPr>
          <w:rStyle w:val="ui-provider"/>
          <w:rFonts w:ascii="Arial" w:hAnsi="Arial" w:cs="Arial"/>
          <w:i/>
          <w:iCs/>
          <w:sz w:val="20"/>
          <w:szCs w:val="20"/>
        </w:rPr>
        <w:t xml:space="preserve"> w</w:t>
      </w:r>
      <w:r w:rsidR="005970B5" w:rsidRPr="00E05076">
        <w:rPr>
          <w:rStyle w:val="ui-provider"/>
          <w:rFonts w:ascii="Arial" w:hAnsi="Arial" w:cs="Arial"/>
          <w:i/>
          <w:iCs/>
          <w:sz w:val="20"/>
          <w:szCs w:val="20"/>
        </w:rPr>
        <w:t xml:space="preserve">e see </w:t>
      </w:r>
      <w:r w:rsidR="0007650D">
        <w:rPr>
          <w:rStyle w:val="ui-provider"/>
          <w:rFonts w:ascii="Arial" w:hAnsi="Arial" w:cs="Arial"/>
          <w:i/>
          <w:iCs/>
          <w:sz w:val="20"/>
          <w:szCs w:val="20"/>
        </w:rPr>
        <w:t>plenty of room for further growth.</w:t>
      </w:r>
    </w:p>
    <w:p w14:paraId="3D12C8E8" w14:textId="0C1175B9" w:rsidR="005970B5" w:rsidRPr="00E05076" w:rsidRDefault="0007650D" w:rsidP="00294FD1">
      <w:pPr>
        <w:spacing w:after="40" w:line="240" w:lineRule="auto"/>
        <w:rPr>
          <w:rStyle w:val="ui-provider"/>
          <w:rFonts w:ascii="Arial" w:hAnsi="Arial" w:cs="Arial"/>
          <w:i/>
          <w:iCs/>
          <w:sz w:val="20"/>
          <w:szCs w:val="20"/>
        </w:rPr>
      </w:pPr>
      <w:r>
        <w:rPr>
          <w:rStyle w:val="ui-provider"/>
          <w:rFonts w:ascii="Arial" w:hAnsi="Arial" w:cs="Arial"/>
          <w:i/>
          <w:iCs/>
          <w:sz w:val="20"/>
          <w:szCs w:val="20"/>
        </w:rPr>
        <w:t>T</w:t>
      </w:r>
      <w:r w:rsidR="00DC6128" w:rsidRPr="00E05076">
        <w:rPr>
          <w:rStyle w:val="ui-provider"/>
          <w:rFonts w:ascii="Arial" w:hAnsi="Arial" w:cs="Arial"/>
          <w:i/>
          <w:iCs/>
          <w:sz w:val="20"/>
          <w:szCs w:val="20"/>
        </w:rPr>
        <w:t xml:space="preserve">he investment we’ve made to date in our data and tech platform </w:t>
      </w:r>
      <w:r w:rsidR="00CA38F7">
        <w:rPr>
          <w:rStyle w:val="ui-provider"/>
          <w:rFonts w:ascii="Arial" w:hAnsi="Arial" w:cs="Arial"/>
          <w:i/>
          <w:iCs/>
          <w:sz w:val="20"/>
          <w:szCs w:val="20"/>
        </w:rPr>
        <w:t>means we have</w:t>
      </w:r>
      <w:r w:rsidR="00ED3508" w:rsidRPr="00E05076">
        <w:rPr>
          <w:rStyle w:val="ui-provider"/>
          <w:rFonts w:ascii="Arial" w:hAnsi="Arial" w:cs="Arial"/>
          <w:i/>
          <w:iCs/>
          <w:sz w:val="20"/>
          <w:szCs w:val="20"/>
        </w:rPr>
        <w:t xml:space="preserve"> </w:t>
      </w:r>
      <w:r w:rsidR="00CA38F7">
        <w:rPr>
          <w:rStyle w:val="ui-provider"/>
          <w:rFonts w:ascii="Arial" w:hAnsi="Arial" w:cs="Arial"/>
          <w:i/>
          <w:iCs/>
          <w:sz w:val="20"/>
          <w:szCs w:val="20"/>
        </w:rPr>
        <w:t>a</w:t>
      </w:r>
      <w:r w:rsidR="00ED3508" w:rsidRPr="00E05076">
        <w:rPr>
          <w:rStyle w:val="ui-provider"/>
          <w:rFonts w:ascii="Arial" w:hAnsi="Arial" w:cs="Arial"/>
          <w:i/>
          <w:iCs/>
          <w:sz w:val="20"/>
          <w:szCs w:val="20"/>
        </w:rPr>
        <w:t xml:space="preserve"> scalable and competitive springboard to unlock further AI and innovative product development opportunities.</w:t>
      </w:r>
      <w:r w:rsidR="00E43A19">
        <w:rPr>
          <w:rStyle w:val="ui-provider"/>
          <w:rFonts w:ascii="Arial" w:hAnsi="Arial" w:cs="Arial"/>
          <w:i/>
          <w:iCs/>
          <w:sz w:val="20"/>
          <w:szCs w:val="20"/>
        </w:rPr>
        <w:t>’</w:t>
      </w:r>
    </w:p>
    <w:p w14:paraId="56C96C50" w14:textId="77777777" w:rsidR="00E05076" w:rsidRDefault="00E05076" w:rsidP="00294FD1">
      <w:pPr>
        <w:spacing w:after="40" w:line="240" w:lineRule="auto"/>
        <w:rPr>
          <w:rStyle w:val="ui-provider"/>
          <w:rFonts w:ascii="Arial" w:hAnsi="Arial" w:cs="Arial"/>
          <w:i/>
          <w:iCs/>
          <w:color w:val="C00000"/>
          <w:sz w:val="20"/>
          <w:szCs w:val="20"/>
        </w:rPr>
      </w:pPr>
    </w:p>
    <w:p w14:paraId="27E134BB" w14:textId="489D827F" w:rsidR="00294FD1" w:rsidRPr="0087387A" w:rsidRDefault="00322757" w:rsidP="0087387A">
      <w:pPr>
        <w:spacing w:after="160" w:line="259" w:lineRule="auto"/>
        <w:rPr>
          <w:rFonts w:ascii="Arial" w:hAnsi="Arial" w:cs="Arial"/>
          <w:b/>
          <w:sz w:val="20"/>
          <w:szCs w:val="20"/>
        </w:rPr>
      </w:pPr>
      <w:r>
        <w:rPr>
          <w:rFonts w:ascii="Arial" w:hAnsi="Arial" w:cs="Arial"/>
          <w:b/>
          <w:sz w:val="20"/>
          <w:szCs w:val="20"/>
        </w:rPr>
        <w:br w:type="page"/>
      </w:r>
      <w:r w:rsidR="00294FD1" w:rsidRPr="0002171D">
        <w:rPr>
          <w:rFonts w:ascii="Arial" w:hAnsi="Arial" w:cs="Arial"/>
          <w:b/>
          <w:sz w:val="20"/>
          <w:szCs w:val="20"/>
        </w:rPr>
        <w:lastRenderedPageBreak/>
        <w:t>Outlook</w:t>
      </w:r>
    </w:p>
    <w:p w14:paraId="1BA8FF2D" w14:textId="1FF44FC2" w:rsidR="0002171D" w:rsidRDefault="00893E41" w:rsidP="00E05076">
      <w:pPr>
        <w:tabs>
          <w:tab w:val="left" w:pos="709"/>
          <w:tab w:val="left" w:pos="1559"/>
          <w:tab w:val="left" w:pos="2268"/>
          <w:tab w:val="left" w:pos="2977"/>
          <w:tab w:val="left" w:pos="3686"/>
          <w:tab w:val="left" w:pos="4394"/>
          <w:tab w:val="right" w:pos="8789"/>
        </w:tabs>
        <w:spacing w:after="0" w:line="240" w:lineRule="auto"/>
        <w:jc w:val="both"/>
        <w:rPr>
          <w:rFonts w:ascii="Arial" w:eastAsia="Calibri" w:hAnsi="Arial" w:cs="Arial"/>
          <w:sz w:val="20"/>
          <w:szCs w:val="20"/>
        </w:rPr>
      </w:pPr>
      <w:r>
        <w:rPr>
          <w:rFonts w:ascii="Arial" w:eastAsia="Calibri" w:hAnsi="Arial" w:cs="Arial"/>
          <w:sz w:val="20"/>
          <w:szCs w:val="20"/>
        </w:rPr>
        <w:t>O</w:t>
      </w:r>
      <w:r w:rsidR="0002171D" w:rsidRPr="0002171D">
        <w:rPr>
          <w:rFonts w:ascii="Arial" w:eastAsia="Calibri" w:hAnsi="Arial" w:cs="Arial"/>
          <w:sz w:val="20"/>
          <w:szCs w:val="20"/>
        </w:rPr>
        <w:t>ur recent trading performance, coupled with momentum in our strategic execution gives the Board confidence that we will deliver Adjusted EBITDA for 2025 within our current published consensus</w:t>
      </w:r>
      <w:r w:rsidR="00987D59">
        <w:rPr>
          <w:rStyle w:val="FootnoteReference"/>
          <w:rFonts w:ascii="Arial" w:eastAsia="Calibri" w:hAnsi="Arial"/>
          <w:sz w:val="20"/>
          <w:szCs w:val="20"/>
        </w:rPr>
        <w:footnoteReference w:id="2"/>
      </w:r>
      <w:r w:rsidR="0002171D" w:rsidRPr="0002171D">
        <w:rPr>
          <w:rFonts w:ascii="Arial" w:eastAsia="Calibri" w:hAnsi="Arial" w:cs="Arial"/>
          <w:sz w:val="20"/>
          <w:szCs w:val="20"/>
        </w:rPr>
        <w:t xml:space="preserve">. </w:t>
      </w:r>
    </w:p>
    <w:p w14:paraId="1E1DA6FD" w14:textId="77777777" w:rsidR="00E05076" w:rsidRPr="00E05076" w:rsidRDefault="00E05076" w:rsidP="00E05076">
      <w:pPr>
        <w:tabs>
          <w:tab w:val="left" w:pos="709"/>
          <w:tab w:val="left" w:pos="1559"/>
          <w:tab w:val="left" w:pos="2268"/>
          <w:tab w:val="left" w:pos="2977"/>
          <w:tab w:val="left" w:pos="3686"/>
          <w:tab w:val="left" w:pos="4394"/>
          <w:tab w:val="right" w:pos="8789"/>
        </w:tabs>
        <w:spacing w:after="0" w:line="240" w:lineRule="auto"/>
        <w:jc w:val="both"/>
        <w:rPr>
          <w:rFonts w:ascii="Arial" w:eastAsia="Calibri" w:hAnsi="Arial" w:cs="Arial"/>
          <w:sz w:val="20"/>
          <w:szCs w:val="20"/>
        </w:rPr>
      </w:pPr>
    </w:p>
    <w:p w14:paraId="20444042" w14:textId="15E8B5FA" w:rsidR="0002171D" w:rsidRPr="0002171D" w:rsidRDefault="0002171D" w:rsidP="0002171D">
      <w:pPr>
        <w:tabs>
          <w:tab w:val="left" w:pos="709"/>
          <w:tab w:val="left" w:pos="1559"/>
          <w:tab w:val="left" w:pos="2268"/>
          <w:tab w:val="left" w:pos="2977"/>
          <w:tab w:val="left" w:pos="3686"/>
          <w:tab w:val="left" w:pos="4394"/>
          <w:tab w:val="right" w:pos="8789"/>
        </w:tabs>
        <w:jc w:val="both"/>
        <w:rPr>
          <w:rFonts w:ascii="Arial" w:eastAsia="Calibri" w:hAnsi="Arial" w:cs="Arial"/>
          <w:color w:val="FF33CC"/>
          <w:sz w:val="20"/>
          <w:szCs w:val="20"/>
        </w:rPr>
      </w:pPr>
      <w:r w:rsidRPr="0002171D">
        <w:rPr>
          <w:rFonts w:ascii="Arial" w:eastAsia="Calibri" w:hAnsi="Arial" w:cs="Arial"/>
          <w:sz w:val="20"/>
          <w:szCs w:val="20"/>
        </w:rPr>
        <w:t xml:space="preserve">Despite the headwinds faced in some of our end markets, we </w:t>
      </w:r>
      <w:r w:rsidR="00666D5D">
        <w:rPr>
          <w:rFonts w:ascii="Arial" w:eastAsia="Calibri" w:hAnsi="Arial" w:cs="Arial"/>
          <w:sz w:val="20"/>
          <w:szCs w:val="20"/>
        </w:rPr>
        <w:t>continue to</w:t>
      </w:r>
      <w:r w:rsidRPr="0002171D">
        <w:rPr>
          <w:rFonts w:ascii="Arial" w:eastAsia="Calibri" w:hAnsi="Arial" w:cs="Arial"/>
          <w:sz w:val="20"/>
          <w:szCs w:val="20"/>
        </w:rPr>
        <w:t xml:space="preserve"> leverage our strength in breadth and the agility of our platform to deliver resilient financial performance whilst maintaining strategic momentum. </w:t>
      </w:r>
    </w:p>
    <w:p w14:paraId="3A8593B9" w14:textId="30288B81" w:rsidR="00314655" w:rsidRPr="006A738C" w:rsidRDefault="002337EB" w:rsidP="00DA53C4">
      <w:pPr>
        <w:tabs>
          <w:tab w:val="left" w:pos="709"/>
          <w:tab w:val="left" w:pos="1559"/>
          <w:tab w:val="left" w:pos="2268"/>
          <w:tab w:val="left" w:pos="2977"/>
          <w:tab w:val="left" w:pos="3686"/>
          <w:tab w:val="left" w:pos="4394"/>
          <w:tab w:val="right" w:pos="8789"/>
        </w:tabs>
        <w:jc w:val="both"/>
        <w:rPr>
          <w:rFonts w:ascii="Arial" w:hAnsi="Arial"/>
          <w:b/>
          <w:sz w:val="20"/>
          <w:highlight w:val="yellow"/>
        </w:rPr>
      </w:pPr>
      <w:r>
        <w:rPr>
          <w:rFonts w:ascii="Arial" w:eastAsia="Calibri" w:hAnsi="Arial" w:cs="Arial"/>
          <w:sz w:val="20"/>
          <w:szCs w:val="20"/>
        </w:rPr>
        <w:t>W</w:t>
      </w:r>
      <w:r w:rsidR="0002171D" w:rsidRPr="0002171D">
        <w:rPr>
          <w:rFonts w:ascii="Arial" w:eastAsia="Calibri" w:hAnsi="Arial" w:cs="Arial"/>
          <w:sz w:val="20"/>
          <w:szCs w:val="20"/>
        </w:rPr>
        <w:t xml:space="preserve">e remain well-positioned to deliver sustainable, profitable growth. Our strategic focus on deepening customer engagement, broadening our product offerings, and disciplined execution gives us </w:t>
      </w:r>
      <w:r w:rsidR="00B660C9">
        <w:rPr>
          <w:rFonts w:ascii="Arial" w:eastAsia="Calibri" w:hAnsi="Arial" w:cs="Arial"/>
          <w:sz w:val="20"/>
          <w:szCs w:val="20"/>
        </w:rPr>
        <w:t>the</w:t>
      </w:r>
      <w:r w:rsidR="0002171D" w:rsidRPr="0002171D">
        <w:rPr>
          <w:rFonts w:ascii="Arial" w:eastAsia="Calibri" w:hAnsi="Arial" w:cs="Arial"/>
          <w:sz w:val="20"/>
          <w:szCs w:val="20"/>
        </w:rPr>
        <w:t xml:space="preserve"> platform to navigate whatever market conditions lie ahead. We’re confident in the opportunities for H2 and beyond.</w:t>
      </w:r>
    </w:p>
    <w:p w14:paraId="6A56057E" w14:textId="6F80E16D" w:rsidR="00294FD1" w:rsidRPr="00A44138" w:rsidRDefault="00294FD1" w:rsidP="00294FD1">
      <w:pPr>
        <w:rPr>
          <w:rFonts w:ascii="Arial" w:hAnsi="Arial"/>
          <w:b/>
          <w:sz w:val="20"/>
        </w:rPr>
      </w:pPr>
      <w:r w:rsidRPr="00DD5DDD">
        <w:rPr>
          <w:rFonts w:ascii="Arial" w:hAnsi="Arial"/>
          <w:b/>
          <w:sz w:val="20"/>
        </w:rPr>
        <w:t xml:space="preserve">H1 </w:t>
      </w:r>
      <w:r w:rsidR="007716C1" w:rsidRPr="00DD5DDD">
        <w:rPr>
          <w:rFonts w:ascii="Arial" w:hAnsi="Arial"/>
          <w:b/>
          <w:sz w:val="20"/>
        </w:rPr>
        <w:t>202</w:t>
      </w:r>
      <w:r w:rsidR="00F95221" w:rsidRPr="00DD5DDD">
        <w:rPr>
          <w:rFonts w:ascii="Arial" w:hAnsi="Arial"/>
          <w:b/>
          <w:sz w:val="20"/>
        </w:rPr>
        <w:t>5</w:t>
      </w:r>
      <w:r w:rsidR="00A51F31" w:rsidRPr="00DD5DDD">
        <w:rPr>
          <w:rFonts w:ascii="Arial" w:hAnsi="Arial"/>
          <w:b/>
          <w:sz w:val="20"/>
        </w:rPr>
        <w:t xml:space="preserve"> trading</w:t>
      </w:r>
      <w:r w:rsidR="007716C1" w:rsidRPr="00DD5DDD">
        <w:rPr>
          <w:rFonts w:ascii="Arial" w:hAnsi="Arial"/>
          <w:b/>
          <w:sz w:val="20"/>
        </w:rPr>
        <w:t xml:space="preserve"> </w:t>
      </w:r>
      <w:r w:rsidRPr="00DD5DDD">
        <w:rPr>
          <w:rFonts w:ascii="Arial" w:hAnsi="Arial"/>
          <w:b/>
          <w:sz w:val="20"/>
        </w:rPr>
        <w:t>performance</w:t>
      </w:r>
    </w:p>
    <w:tbl>
      <w:tblPr>
        <w:tblStyle w:val="TableGrid1"/>
        <w:tblW w:w="8937" w:type="dxa"/>
        <w:tblLayout w:type="fixed"/>
        <w:tblCellMar>
          <w:left w:w="57" w:type="dxa"/>
          <w:right w:w="57" w:type="dxa"/>
        </w:tblCellMar>
        <w:tblLook w:val="06A0" w:firstRow="1" w:lastRow="0" w:firstColumn="1" w:lastColumn="0" w:noHBand="1" w:noVBand="1"/>
      </w:tblPr>
      <w:tblGrid>
        <w:gridCol w:w="4019"/>
        <w:gridCol w:w="2455"/>
        <w:gridCol w:w="2463"/>
      </w:tblGrid>
      <w:tr w:rsidR="005039B1" w:rsidRPr="00A44138" w14:paraId="6B1D436F" w14:textId="77777777" w:rsidTr="0087387A">
        <w:trPr>
          <w:trHeight w:val="453"/>
        </w:trPr>
        <w:tc>
          <w:tcPr>
            <w:tcW w:w="4019" w:type="dxa"/>
          </w:tcPr>
          <w:p w14:paraId="011D97DB"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bookmarkStart w:id="0" w:name="_Hlk30668849"/>
          </w:p>
        </w:tc>
        <w:tc>
          <w:tcPr>
            <w:tcW w:w="4918" w:type="dxa"/>
            <w:gridSpan w:val="2"/>
          </w:tcPr>
          <w:p w14:paraId="21B9AC8C" w14:textId="09185E7E"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B3261A">
              <w:rPr>
                <w:rFonts w:ascii="Arial" w:hAnsi="Arial"/>
                <w:b/>
              </w:rPr>
              <w:t>Revenue for the 6 months ended 30 June 2025</w:t>
            </w:r>
          </w:p>
        </w:tc>
      </w:tr>
      <w:tr w:rsidR="005039B1" w:rsidRPr="00A44138" w14:paraId="718B35B3" w14:textId="77777777" w:rsidTr="0087387A">
        <w:trPr>
          <w:trHeight w:val="246"/>
        </w:trPr>
        <w:tc>
          <w:tcPr>
            <w:tcW w:w="4019" w:type="dxa"/>
            <w:vAlign w:val="center"/>
          </w:tcPr>
          <w:p w14:paraId="5CB0EB97"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p>
        </w:tc>
        <w:tc>
          <w:tcPr>
            <w:tcW w:w="2455" w:type="dxa"/>
            <w:vAlign w:val="center"/>
          </w:tcPr>
          <w:p w14:paraId="6FACB769"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B3261A">
              <w:rPr>
                <w:rFonts w:ascii="Arial" w:hAnsi="Arial"/>
                <w:b/>
              </w:rPr>
              <w:t>£m</w:t>
            </w:r>
          </w:p>
        </w:tc>
        <w:tc>
          <w:tcPr>
            <w:tcW w:w="2462" w:type="dxa"/>
            <w:vAlign w:val="center"/>
          </w:tcPr>
          <w:p w14:paraId="50052C8E" w14:textId="3044AA4D"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B3261A">
              <w:rPr>
                <w:rFonts w:ascii="Arial" w:hAnsi="Arial"/>
                <w:b/>
              </w:rPr>
              <w:t>Growth</w:t>
            </w:r>
            <w:r w:rsidR="004A2811" w:rsidRPr="00B3261A">
              <w:rPr>
                <w:rFonts w:ascii="Arial" w:hAnsi="Arial"/>
                <w:b/>
              </w:rPr>
              <w:t xml:space="preserve"> %</w:t>
            </w:r>
          </w:p>
        </w:tc>
      </w:tr>
      <w:tr w:rsidR="005039B1" w:rsidRPr="00A44138" w14:paraId="437758AC" w14:textId="77777777" w:rsidTr="0087387A">
        <w:trPr>
          <w:trHeight w:val="365"/>
        </w:trPr>
        <w:tc>
          <w:tcPr>
            <w:tcW w:w="4019" w:type="dxa"/>
            <w:vAlign w:val="center"/>
          </w:tcPr>
          <w:p w14:paraId="0498065F"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Insurance</w:t>
            </w:r>
          </w:p>
        </w:tc>
        <w:tc>
          <w:tcPr>
            <w:tcW w:w="2455" w:type="dxa"/>
            <w:vAlign w:val="center"/>
          </w:tcPr>
          <w:p w14:paraId="27FB9706" w14:textId="24226C9B" w:rsidR="005039B1" w:rsidRPr="005C13FE" w:rsidRDefault="009E5135"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117.</w:t>
            </w:r>
            <w:r w:rsidR="00120B6D" w:rsidRPr="005C13FE">
              <w:rPr>
                <w:rFonts w:ascii="Arial" w:hAnsi="Arial"/>
                <w:b/>
              </w:rPr>
              <w:t>7</w:t>
            </w:r>
          </w:p>
        </w:tc>
        <w:tc>
          <w:tcPr>
            <w:tcW w:w="2462" w:type="dxa"/>
            <w:vAlign w:val="center"/>
          </w:tcPr>
          <w:p w14:paraId="79DD8D01" w14:textId="049763DD" w:rsidR="005039B1" w:rsidRPr="005C13FE" w:rsidRDefault="00705FD4"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(2)</w:t>
            </w:r>
          </w:p>
        </w:tc>
      </w:tr>
      <w:tr w:rsidR="005039B1" w:rsidRPr="00A44138" w14:paraId="6DADCBFE" w14:textId="77777777" w:rsidTr="0087387A">
        <w:trPr>
          <w:trHeight w:val="365"/>
        </w:trPr>
        <w:tc>
          <w:tcPr>
            <w:tcW w:w="4019" w:type="dxa"/>
            <w:vAlign w:val="center"/>
          </w:tcPr>
          <w:p w14:paraId="54919B52"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Money</w:t>
            </w:r>
          </w:p>
        </w:tc>
        <w:tc>
          <w:tcPr>
            <w:tcW w:w="2455" w:type="dxa"/>
            <w:vAlign w:val="center"/>
          </w:tcPr>
          <w:p w14:paraId="305B9568" w14:textId="0C0B9C8E" w:rsidR="005039B1" w:rsidRPr="005C13FE" w:rsidRDefault="007C1398"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52.8</w:t>
            </w:r>
          </w:p>
        </w:tc>
        <w:tc>
          <w:tcPr>
            <w:tcW w:w="2462" w:type="dxa"/>
            <w:vAlign w:val="center"/>
          </w:tcPr>
          <w:p w14:paraId="447F9617" w14:textId="0D65FFF2" w:rsidR="005039B1" w:rsidRPr="005C13FE" w:rsidRDefault="00705FD4"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4</w:t>
            </w:r>
          </w:p>
        </w:tc>
      </w:tr>
      <w:tr w:rsidR="005039B1" w:rsidRPr="00A44138" w14:paraId="6DCEED5A" w14:textId="77777777" w:rsidTr="0087387A">
        <w:trPr>
          <w:trHeight w:val="365"/>
        </w:trPr>
        <w:tc>
          <w:tcPr>
            <w:tcW w:w="4019" w:type="dxa"/>
            <w:vAlign w:val="center"/>
          </w:tcPr>
          <w:p w14:paraId="3F77AEBC"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Home Services</w:t>
            </w:r>
          </w:p>
        </w:tc>
        <w:tc>
          <w:tcPr>
            <w:tcW w:w="2455" w:type="dxa"/>
            <w:vAlign w:val="center"/>
          </w:tcPr>
          <w:p w14:paraId="2271844F" w14:textId="10551ED9" w:rsidR="005039B1" w:rsidRPr="005C13FE" w:rsidRDefault="007C1398"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21.</w:t>
            </w:r>
            <w:r w:rsidR="008629BA" w:rsidRPr="005C13FE">
              <w:rPr>
                <w:rFonts w:ascii="Arial" w:hAnsi="Arial"/>
                <w:b/>
              </w:rPr>
              <w:t>6</w:t>
            </w:r>
          </w:p>
        </w:tc>
        <w:tc>
          <w:tcPr>
            <w:tcW w:w="2462" w:type="dxa"/>
            <w:vAlign w:val="center"/>
          </w:tcPr>
          <w:p w14:paraId="77ED8331" w14:textId="506AD66D" w:rsidR="005039B1" w:rsidRPr="005C13FE" w:rsidRDefault="00CC72CB"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29</w:t>
            </w:r>
          </w:p>
        </w:tc>
      </w:tr>
      <w:tr w:rsidR="005039B1" w:rsidRPr="00A44138" w14:paraId="39FCC639" w14:textId="77777777" w:rsidTr="0087387A">
        <w:trPr>
          <w:trHeight w:val="365"/>
        </w:trPr>
        <w:tc>
          <w:tcPr>
            <w:tcW w:w="4019" w:type="dxa"/>
            <w:vAlign w:val="center"/>
          </w:tcPr>
          <w:p w14:paraId="36748DF5"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Travel</w:t>
            </w:r>
          </w:p>
        </w:tc>
        <w:tc>
          <w:tcPr>
            <w:tcW w:w="2455" w:type="dxa"/>
            <w:vAlign w:val="center"/>
          </w:tcPr>
          <w:p w14:paraId="60CF0D7D" w14:textId="4804D76D" w:rsidR="005039B1" w:rsidRPr="005C13FE" w:rsidRDefault="00BE2A43"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1</w:t>
            </w:r>
            <w:r w:rsidR="00073A9E" w:rsidRPr="005C13FE">
              <w:rPr>
                <w:rFonts w:ascii="Arial" w:hAnsi="Arial"/>
                <w:b/>
              </w:rPr>
              <w:t>1.4</w:t>
            </w:r>
          </w:p>
        </w:tc>
        <w:tc>
          <w:tcPr>
            <w:tcW w:w="2462" w:type="dxa"/>
            <w:vAlign w:val="center"/>
          </w:tcPr>
          <w:p w14:paraId="02455C91" w14:textId="7624A3C8" w:rsidR="005039B1" w:rsidRPr="005C13FE" w:rsidRDefault="00705FD4"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w:t>
            </w:r>
            <w:r w:rsidR="00CC72CB" w:rsidRPr="005C13FE">
              <w:rPr>
                <w:rFonts w:ascii="Arial" w:hAnsi="Arial"/>
                <w:b/>
              </w:rPr>
              <w:t>2</w:t>
            </w:r>
            <w:r w:rsidRPr="005C13FE">
              <w:rPr>
                <w:rFonts w:ascii="Arial" w:hAnsi="Arial"/>
                <w:b/>
              </w:rPr>
              <w:t>)</w:t>
            </w:r>
          </w:p>
        </w:tc>
      </w:tr>
      <w:tr w:rsidR="005039B1" w:rsidRPr="00A44138" w14:paraId="2EA00D24" w14:textId="77777777" w:rsidTr="0087387A">
        <w:trPr>
          <w:trHeight w:val="365"/>
        </w:trPr>
        <w:tc>
          <w:tcPr>
            <w:tcW w:w="4019" w:type="dxa"/>
            <w:vAlign w:val="center"/>
          </w:tcPr>
          <w:p w14:paraId="314D3E3E" w14:textId="77777777"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Cashback</w:t>
            </w:r>
          </w:p>
        </w:tc>
        <w:tc>
          <w:tcPr>
            <w:tcW w:w="2455" w:type="dxa"/>
            <w:vAlign w:val="center"/>
          </w:tcPr>
          <w:p w14:paraId="0F394DE6" w14:textId="0A531607" w:rsidR="005039B1" w:rsidRPr="005C13FE" w:rsidDel="000943FA" w:rsidRDefault="00BE2A43"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27.2</w:t>
            </w:r>
          </w:p>
        </w:tc>
        <w:tc>
          <w:tcPr>
            <w:tcW w:w="2462" w:type="dxa"/>
            <w:vAlign w:val="center"/>
          </w:tcPr>
          <w:p w14:paraId="246E181E" w14:textId="441D34C7" w:rsidR="005039B1" w:rsidRPr="005C13FE" w:rsidRDefault="00705FD4"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(9)</w:t>
            </w:r>
          </w:p>
        </w:tc>
      </w:tr>
      <w:tr w:rsidR="005039B1" w:rsidRPr="00A44138" w14:paraId="015B334B" w14:textId="77777777" w:rsidTr="0087387A">
        <w:trPr>
          <w:trHeight w:val="365"/>
        </w:trPr>
        <w:tc>
          <w:tcPr>
            <w:tcW w:w="4019" w:type="dxa"/>
            <w:vAlign w:val="center"/>
          </w:tcPr>
          <w:p w14:paraId="4D24FA8A" w14:textId="69957FCA"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5C13FE">
              <w:rPr>
                <w:rFonts w:ascii="Arial" w:hAnsi="Arial"/>
                <w:b/>
              </w:rPr>
              <w:t>Inter-vertical eliminations*</w:t>
            </w:r>
          </w:p>
        </w:tc>
        <w:tc>
          <w:tcPr>
            <w:tcW w:w="2455" w:type="dxa"/>
            <w:vAlign w:val="center"/>
          </w:tcPr>
          <w:p w14:paraId="07B5A24A" w14:textId="6D7B71FA" w:rsidR="005039B1" w:rsidRPr="005C13FE" w:rsidRDefault="00CC72CB"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w:t>
            </w:r>
            <w:r w:rsidR="00BE2A43" w:rsidRPr="005C13FE">
              <w:rPr>
                <w:rFonts w:ascii="Arial" w:hAnsi="Arial"/>
                <w:b/>
              </w:rPr>
              <w:t>5.</w:t>
            </w:r>
            <w:r w:rsidRPr="005C13FE">
              <w:rPr>
                <w:rFonts w:ascii="Arial" w:hAnsi="Arial"/>
                <w:b/>
              </w:rPr>
              <w:t>4)</w:t>
            </w:r>
          </w:p>
        </w:tc>
        <w:tc>
          <w:tcPr>
            <w:tcW w:w="2462" w:type="dxa"/>
            <w:vAlign w:val="center"/>
          </w:tcPr>
          <w:p w14:paraId="5E1FB477" w14:textId="5C7A883A" w:rsidR="005039B1" w:rsidRPr="005C13FE" w:rsidRDefault="00CC72CB"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5C13FE">
              <w:rPr>
                <w:rFonts w:ascii="Arial" w:hAnsi="Arial"/>
                <w:b/>
              </w:rPr>
              <w:t>(2)</w:t>
            </w:r>
          </w:p>
        </w:tc>
      </w:tr>
      <w:tr w:rsidR="005039B1" w:rsidRPr="00A44138" w14:paraId="3BD0937E" w14:textId="77777777" w:rsidTr="0087387A">
        <w:trPr>
          <w:trHeight w:val="389"/>
        </w:trPr>
        <w:tc>
          <w:tcPr>
            <w:tcW w:w="4019" w:type="dxa"/>
            <w:vAlign w:val="center"/>
          </w:tcPr>
          <w:p w14:paraId="22CB739A" w14:textId="5C98DB35" w:rsidR="005039B1" w:rsidRPr="005C13FE" w:rsidRDefault="005039B1" w:rsidP="005C13FE">
            <w:pPr>
              <w:tabs>
                <w:tab w:val="clear" w:pos="709"/>
                <w:tab w:val="clear" w:pos="1559"/>
                <w:tab w:val="clear" w:pos="2268"/>
                <w:tab w:val="clear" w:pos="2977"/>
                <w:tab w:val="clear" w:pos="3686"/>
                <w:tab w:val="clear" w:pos="4394"/>
                <w:tab w:val="clear" w:pos="8789"/>
              </w:tabs>
              <w:spacing w:after="0" w:line="240" w:lineRule="auto"/>
              <w:rPr>
                <w:rFonts w:ascii="Arial" w:eastAsiaTheme="minorHAnsi" w:hAnsi="Arial" w:cstheme="minorBidi"/>
                <w:b/>
                <w:szCs w:val="22"/>
                <w:lang w:val="en-GB"/>
              </w:rPr>
            </w:pPr>
            <w:r w:rsidRPr="00B3261A">
              <w:rPr>
                <w:rFonts w:ascii="Arial" w:hAnsi="Arial"/>
                <w:b/>
              </w:rPr>
              <w:t>Total</w:t>
            </w:r>
          </w:p>
        </w:tc>
        <w:tc>
          <w:tcPr>
            <w:tcW w:w="2455" w:type="dxa"/>
            <w:vAlign w:val="center"/>
          </w:tcPr>
          <w:p w14:paraId="1F7E1B40" w14:textId="332F5CE9" w:rsidR="005039B1" w:rsidRPr="005C13FE" w:rsidRDefault="00BE2A43"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B3261A">
              <w:rPr>
                <w:rFonts w:ascii="Arial" w:hAnsi="Arial"/>
                <w:b/>
              </w:rPr>
              <w:t>225.</w:t>
            </w:r>
            <w:r w:rsidR="00CC72CB" w:rsidRPr="00B3261A">
              <w:rPr>
                <w:rFonts w:ascii="Arial" w:hAnsi="Arial"/>
                <w:b/>
              </w:rPr>
              <w:t>3</w:t>
            </w:r>
          </w:p>
        </w:tc>
        <w:tc>
          <w:tcPr>
            <w:tcW w:w="2462" w:type="dxa"/>
            <w:vAlign w:val="center"/>
          </w:tcPr>
          <w:p w14:paraId="43E82497" w14:textId="70DCAB3B" w:rsidR="005039B1" w:rsidRPr="005C13FE" w:rsidRDefault="00BE2A43" w:rsidP="005C13FE">
            <w:pPr>
              <w:tabs>
                <w:tab w:val="clear" w:pos="709"/>
                <w:tab w:val="clear" w:pos="1559"/>
                <w:tab w:val="clear" w:pos="2268"/>
                <w:tab w:val="clear" w:pos="2977"/>
                <w:tab w:val="clear" w:pos="3686"/>
                <w:tab w:val="clear" w:pos="4394"/>
                <w:tab w:val="clear" w:pos="8789"/>
              </w:tabs>
              <w:spacing w:after="0" w:line="240" w:lineRule="auto"/>
              <w:jc w:val="right"/>
              <w:rPr>
                <w:rFonts w:ascii="Arial" w:eastAsiaTheme="minorHAnsi" w:hAnsi="Arial" w:cstheme="minorBidi"/>
                <w:b/>
                <w:szCs w:val="22"/>
                <w:lang w:val="en-GB"/>
              </w:rPr>
            </w:pPr>
            <w:r w:rsidRPr="00B3261A">
              <w:rPr>
                <w:rFonts w:ascii="Arial" w:hAnsi="Arial"/>
                <w:b/>
              </w:rPr>
              <w:t>1</w:t>
            </w:r>
          </w:p>
        </w:tc>
      </w:tr>
    </w:tbl>
    <w:p w14:paraId="4BB70C0F" w14:textId="77777777" w:rsidR="00294FD1" w:rsidRPr="00A44138" w:rsidRDefault="00294FD1" w:rsidP="00294FD1">
      <w:pPr>
        <w:pStyle w:val="BodyText"/>
        <w:tabs>
          <w:tab w:val="clear" w:pos="709"/>
        </w:tabs>
        <w:ind w:left="360"/>
        <w:rPr>
          <w:color w:val="FF0000"/>
          <w:sz w:val="12"/>
          <w:szCs w:val="12"/>
        </w:rPr>
      </w:pPr>
    </w:p>
    <w:p w14:paraId="6879B44E" w14:textId="31B89335" w:rsidR="00460753" w:rsidRPr="00E61264" w:rsidRDefault="003F3057" w:rsidP="00974FA2">
      <w:pPr>
        <w:jc w:val="both"/>
        <w:rPr>
          <w:i/>
          <w:sz w:val="18"/>
          <w:szCs w:val="18"/>
        </w:rPr>
      </w:pPr>
      <w:r w:rsidRPr="00A44138">
        <w:rPr>
          <w:rFonts w:ascii="Arial" w:hAnsi="Arial" w:cs="Arial"/>
          <w:i/>
          <w:sz w:val="18"/>
          <w:szCs w:val="18"/>
        </w:rPr>
        <w:t xml:space="preserve">* The inter-vertical eliminations revenue line reflects transactions where revenue in Cashback and Travel has also </w:t>
      </w:r>
      <w:r w:rsidRPr="00E61264">
        <w:rPr>
          <w:rFonts w:ascii="Arial" w:hAnsi="Arial" w:cs="Arial"/>
          <w:i/>
          <w:sz w:val="18"/>
          <w:szCs w:val="18"/>
        </w:rPr>
        <w:t>been recorded as cost of sales in other verticals.</w:t>
      </w:r>
    </w:p>
    <w:p w14:paraId="403BEFDB" w14:textId="32D0A947" w:rsidR="000727B9" w:rsidRPr="00E61264" w:rsidRDefault="008C46FF" w:rsidP="000727B9">
      <w:pPr>
        <w:pStyle w:val="ParaIMS"/>
        <w:jc w:val="both"/>
        <w:rPr>
          <w:rFonts w:ascii="Arial" w:hAnsi="Arial"/>
          <w:lang w:val="en-GB"/>
        </w:rPr>
      </w:pPr>
      <w:r w:rsidRPr="00E61264">
        <w:rPr>
          <w:rFonts w:ascii="Arial" w:hAnsi="Arial"/>
          <w:lang w:val="en-GB"/>
        </w:rPr>
        <w:t>In H1 202</w:t>
      </w:r>
      <w:r w:rsidR="00F2049D" w:rsidRPr="00E61264">
        <w:rPr>
          <w:rFonts w:ascii="Arial" w:hAnsi="Arial"/>
          <w:lang w:val="en-GB"/>
        </w:rPr>
        <w:t>5</w:t>
      </w:r>
      <w:r w:rsidRPr="00E61264">
        <w:rPr>
          <w:rFonts w:ascii="Arial" w:hAnsi="Arial"/>
          <w:lang w:val="en-GB"/>
        </w:rPr>
        <w:t>, t</w:t>
      </w:r>
      <w:r w:rsidR="007A794D" w:rsidRPr="00E61264">
        <w:rPr>
          <w:rFonts w:ascii="Arial" w:hAnsi="Arial"/>
          <w:lang w:val="en-GB"/>
        </w:rPr>
        <w:t xml:space="preserve">he group </w:t>
      </w:r>
      <w:r w:rsidR="002F5A0E" w:rsidRPr="00E61264">
        <w:rPr>
          <w:rFonts w:ascii="Arial" w:hAnsi="Arial"/>
          <w:lang w:val="en-GB"/>
        </w:rPr>
        <w:t xml:space="preserve">delivered resilient financial performance </w:t>
      </w:r>
      <w:r w:rsidR="005A257F">
        <w:rPr>
          <w:rFonts w:ascii="Arial" w:hAnsi="Arial"/>
          <w:lang w:val="en-GB"/>
        </w:rPr>
        <w:t>against</w:t>
      </w:r>
      <w:r w:rsidR="002F5A0E" w:rsidRPr="00E61264">
        <w:rPr>
          <w:rFonts w:ascii="Arial" w:hAnsi="Arial"/>
          <w:lang w:val="en-GB"/>
        </w:rPr>
        <w:t xml:space="preserve"> a</w:t>
      </w:r>
      <w:r w:rsidR="005A257F">
        <w:rPr>
          <w:rFonts w:ascii="Arial" w:hAnsi="Arial"/>
          <w:lang w:val="en-GB"/>
        </w:rPr>
        <w:t xml:space="preserve"> strong comparative</w:t>
      </w:r>
      <w:r w:rsidR="002F5A0E" w:rsidRPr="00E61264">
        <w:rPr>
          <w:rFonts w:ascii="Arial" w:hAnsi="Arial"/>
          <w:lang w:val="en-GB"/>
        </w:rPr>
        <w:t>,</w:t>
      </w:r>
      <w:r w:rsidR="00491012" w:rsidRPr="00E61264">
        <w:rPr>
          <w:rFonts w:ascii="Arial" w:hAnsi="Arial"/>
          <w:lang w:val="en-GB"/>
        </w:rPr>
        <w:t xml:space="preserve"> with</w:t>
      </w:r>
      <w:r w:rsidR="002F5A0E" w:rsidRPr="00E61264">
        <w:rPr>
          <w:rFonts w:ascii="Arial" w:hAnsi="Arial"/>
          <w:lang w:val="en-GB"/>
        </w:rPr>
        <w:t xml:space="preserve"> revenue and</w:t>
      </w:r>
      <w:r w:rsidR="00483696" w:rsidRPr="00E61264">
        <w:rPr>
          <w:rFonts w:ascii="Arial" w:hAnsi="Arial"/>
          <w:lang w:val="en-GB"/>
        </w:rPr>
        <w:t xml:space="preserve"> Adjusted EBITDA up 1% and </w:t>
      </w:r>
      <w:r w:rsidR="008171C7" w:rsidRPr="00E61264">
        <w:rPr>
          <w:rFonts w:ascii="Arial" w:hAnsi="Arial"/>
          <w:lang w:val="en-GB"/>
        </w:rPr>
        <w:t>2%, respectively.</w:t>
      </w:r>
      <w:bookmarkEnd w:id="0"/>
      <w:r w:rsidR="00F12FC3">
        <w:rPr>
          <w:rFonts w:ascii="Arial" w:hAnsi="Arial"/>
          <w:lang w:val="en-GB"/>
        </w:rPr>
        <w:t xml:space="preserve"> </w:t>
      </w:r>
      <w:r w:rsidR="000727B9" w:rsidRPr="00E61264">
        <w:rPr>
          <w:rFonts w:ascii="Arial" w:hAnsi="Arial"/>
          <w:lang w:val="en-GB"/>
        </w:rPr>
        <w:t>Performance within each of our verticals in H1 2025 is as follows:</w:t>
      </w:r>
    </w:p>
    <w:p w14:paraId="566D763B" w14:textId="77777777" w:rsidR="000727B9" w:rsidRPr="00E61264" w:rsidRDefault="000727B9" w:rsidP="000727B9">
      <w:pPr>
        <w:pStyle w:val="BodyText"/>
        <w:rPr>
          <w:sz w:val="18"/>
          <w:szCs w:val="18"/>
        </w:rPr>
      </w:pPr>
    </w:p>
    <w:p w14:paraId="1297E84B" w14:textId="5D8F0E56" w:rsidR="008E0B2A" w:rsidRPr="00E61264" w:rsidRDefault="000727B9" w:rsidP="000727B9">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sz w:val="20"/>
        </w:rPr>
      </w:pPr>
      <w:r w:rsidRPr="00E61264">
        <w:rPr>
          <w:rFonts w:ascii="Arial" w:hAnsi="Arial"/>
          <w:sz w:val="20"/>
        </w:rPr>
        <w:t xml:space="preserve">In Insurance revenue was </w:t>
      </w:r>
      <w:r w:rsidR="008E0B2A" w:rsidRPr="00E61264">
        <w:rPr>
          <w:rFonts w:ascii="Arial" w:hAnsi="Arial"/>
          <w:sz w:val="20"/>
        </w:rPr>
        <w:t xml:space="preserve">down a modest 2% against a very strong prior year comparative </w:t>
      </w:r>
      <w:r w:rsidR="00EF755C">
        <w:rPr>
          <w:rFonts w:ascii="Arial" w:hAnsi="Arial"/>
          <w:sz w:val="20"/>
        </w:rPr>
        <w:t>in which</w:t>
      </w:r>
      <w:r w:rsidR="008E0B2A" w:rsidRPr="00E61264">
        <w:rPr>
          <w:rFonts w:ascii="Arial" w:hAnsi="Arial"/>
          <w:sz w:val="20"/>
        </w:rPr>
        <w:t xml:space="preserve"> </w:t>
      </w:r>
      <w:r w:rsidR="001D4867">
        <w:rPr>
          <w:rFonts w:ascii="Arial" w:hAnsi="Arial"/>
          <w:sz w:val="20"/>
        </w:rPr>
        <w:t>car insurance premiums surged</w:t>
      </w:r>
      <w:r w:rsidR="005D314D" w:rsidRPr="00E61264">
        <w:rPr>
          <w:rFonts w:ascii="Arial" w:hAnsi="Arial"/>
          <w:sz w:val="20"/>
        </w:rPr>
        <w:t>.</w:t>
      </w:r>
      <w:r w:rsidR="000A07F2">
        <w:rPr>
          <w:rFonts w:ascii="Arial" w:hAnsi="Arial"/>
          <w:sz w:val="20"/>
        </w:rPr>
        <w:t xml:space="preserve"> </w:t>
      </w:r>
      <w:r w:rsidR="009D7C4F">
        <w:rPr>
          <w:rFonts w:ascii="Arial" w:hAnsi="Arial"/>
          <w:sz w:val="20"/>
        </w:rPr>
        <w:t xml:space="preserve">Car insurance </w:t>
      </w:r>
      <w:r w:rsidR="000D435C">
        <w:rPr>
          <w:rFonts w:ascii="Arial" w:hAnsi="Arial"/>
          <w:sz w:val="20"/>
        </w:rPr>
        <w:t>premiums were</w:t>
      </w:r>
      <w:r w:rsidR="009D7C4F">
        <w:rPr>
          <w:rFonts w:ascii="Arial" w:hAnsi="Arial"/>
          <w:sz w:val="20"/>
        </w:rPr>
        <w:t xml:space="preserve"> down -9% over the</w:t>
      </w:r>
      <w:r w:rsidR="00716A94">
        <w:rPr>
          <w:rFonts w:ascii="Arial" w:hAnsi="Arial"/>
          <w:sz w:val="20"/>
        </w:rPr>
        <w:t xml:space="preserve"> half year period</w:t>
      </w:r>
      <w:r w:rsidR="009D7C4F">
        <w:rPr>
          <w:rFonts w:ascii="Arial" w:hAnsi="Arial"/>
          <w:sz w:val="20"/>
        </w:rPr>
        <w:t xml:space="preserve">, whilst home insurance </w:t>
      </w:r>
      <w:r w:rsidR="005B211C">
        <w:rPr>
          <w:rFonts w:ascii="Arial" w:hAnsi="Arial"/>
          <w:sz w:val="20"/>
        </w:rPr>
        <w:t>premiums</w:t>
      </w:r>
      <w:r w:rsidR="009D7C4F">
        <w:rPr>
          <w:rFonts w:ascii="Arial" w:hAnsi="Arial"/>
          <w:sz w:val="20"/>
        </w:rPr>
        <w:t xml:space="preserve"> remained in growth at +4%.</w:t>
      </w:r>
      <w:r w:rsidR="00A12C21">
        <w:rPr>
          <w:rFonts w:ascii="Arial" w:hAnsi="Arial"/>
          <w:sz w:val="20"/>
        </w:rPr>
        <w:t xml:space="preserve"> </w:t>
      </w:r>
      <w:r w:rsidR="000A07F2">
        <w:rPr>
          <w:rFonts w:ascii="Arial" w:hAnsi="Arial"/>
          <w:sz w:val="20"/>
        </w:rPr>
        <w:t>To compensate</w:t>
      </w:r>
      <w:r w:rsidR="003D0C3E">
        <w:rPr>
          <w:rFonts w:ascii="Arial" w:hAnsi="Arial"/>
          <w:sz w:val="20"/>
        </w:rPr>
        <w:t xml:space="preserve"> for the headwinds</w:t>
      </w:r>
      <w:r w:rsidR="00FD3AFF">
        <w:rPr>
          <w:rFonts w:ascii="Arial" w:hAnsi="Arial"/>
          <w:sz w:val="20"/>
        </w:rPr>
        <w:t xml:space="preserve"> in car</w:t>
      </w:r>
      <w:r w:rsidR="000A07F2">
        <w:rPr>
          <w:rFonts w:ascii="Arial" w:hAnsi="Arial"/>
          <w:sz w:val="20"/>
        </w:rPr>
        <w:t>,</w:t>
      </w:r>
      <w:r w:rsidR="00E83A93">
        <w:rPr>
          <w:rFonts w:ascii="Arial" w:hAnsi="Arial"/>
          <w:sz w:val="20"/>
        </w:rPr>
        <w:t xml:space="preserve"> w</w:t>
      </w:r>
      <w:r w:rsidR="00890729" w:rsidRPr="00E61264">
        <w:rPr>
          <w:rFonts w:ascii="Arial" w:hAnsi="Arial"/>
          <w:sz w:val="20"/>
        </w:rPr>
        <w:t>e shifted our focus to other insurance categories</w:t>
      </w:r>
      <w:r w:rsidR="00C35B19" w:rsidRPr="00E61264">
        <w:rPr>
          <w:rFonts w:ascii="Arial" w:hAnsi="Arial"/>
          <w:sz w:val="20"/>
        </w:rPr>
        <w:t xml:space="preserve"> with home, life and travel performing wel</w:t>
      </w:r>
      <w:r w:rsidR="008171C7" w:rsidRPr="00E61264">
        <w:rPr>
          <w:rFonts w:ascii="Arial" w:hAnsi="Arial"/>
          <w:sz w:val="20"/>
        </w:rPr>
        <w:t>l</w:t>
      </w:r>
      <w:r w:rsidR="00E61264">
        <w:rPr>
          <w:rFonts w:ascii="Arial" w:hAnsi="Arial"/>
          <w:sz w:val="20"/>
        </w:rPr>
        <w:t>.</w:t>
      </w:r>
    </w:p>
    <w:p w14:paraId="2D581677" w14:textId="277D31E2" w:rsidR="001639A4" w:rsidRPr="0013487C" w:rsidRDefault="000727B9" w:rsidP="000727B9">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sz w:val="20"/>
        </w:rPr>
      </w:pPr>
      <w:r w:rsidRPr="0013487C">
        <w:rPr>
          <w:rFonts w:ascii="Arial" w:hAnsi="Arial"/>
          <w:sz w:val="20"/>
        </w:rPr>
        <w:t xml:space="preserve">Money </w:t>
      </w:r>
      <w:r w:rsidR="002E3FC6" w:rsidRPr="0013487C">
        <w:rPr>
          <w:rFonts w:ascii="Arial" w:hAnsi="Arial"/>
          <w:sz w:val="20"/>
        </w:rPr>
        <w:t xml:space="preserve">delivered good growth </w:t>
      </w:r>
      <w:r w:rsidR="00397610" w:rsidRPr="0013487C">
        <w:rPr>
          <w:rFonts w:ascii="Arial" w:hAnsi="Arial"/>
          <w:sz w:val="20"/>
        </w:rPr>
        <w:t>of</w:t>
      </w:r>
      <w:r w:rsidR="00BD4D6D">
        <w:rPr>
          <w:rFonts w:ascii="Arial" w:hAnsi="Arial"/>
          <w:sz w:val="20"/>
        </w:rPr>
        <w:t xml:space="preserve"> </w:t>
      </w:r>
      <w:r w:rsidR="00397610" w:rsidRPr="0013487C">
        <w:rPr>
          <w:rFonts w:ascii="Arial" w:hAnsi="Arial"/>
          <w:sz w:val="20"/>
        </w:rPr>
        <w:t>4% driven by stron</w:t>
      </w:r>
      <w:r w:rsidR="001639A4" w:rsidRPr="0013487C">
        <w:rPr>
          <w:rFonts w:ascii="Arial" w:hAnsi="Arial"/>
          <w:sz w:val="20"/>
        </w:rPr>
        <w:t xml:space="preserve">g activity in </w:t>
      </w:r>
      <w:r w:rsidR="00E91888" w:rsidRPr="0013487C">
        <w:rPr>
          <w:rFonts w:ascii="Arial" w:hAnsi="Arial"/>
          <w:sz w:val="20"/>
        </w:rPr>
        <w:t xml:space="preserve">borrowing, </w:t>
      </w:r>
      <w:r w:rsidR="005A257F">
        <w:rPr>
          <w:rFonts w:ascii="Arial" w:hAnsi="Arial"/>
          <w:sz w:val="20"/>
        </w:rPr>
        <w:t>underpinned</w:t>
      </w:r>
      <w:r w:rsidR="00E91888" w:rsidRPr="0013487C">
        <w:rPr>
          <w:rFonts w:ascii="Arial" w:hAnsi="Arial"/>
          <w:sz w:val="20"/>
        </w:rPr>
        <w:t xml:space="preserve"> by </w:t>
      </w:r>
      <w:r w:rsidR="000B5864">
        <w:rPr>
          <w:rFonts w:ascii="Arial" w:hAnsi="Arial"/>
          <w:sz w:val="20"/>
        </w:rPr>
        <w:t>growth in</w:t>
      </w:r>
      <w:r w:rsidR="000B5864" w:rsidRPr="0013487C">
        <w:rPr>
          <w:rFonts w:ascii="Arial" w:hAnsi="Arial"/>
          <w:sz w:val="20"/>
        </w:rPr>
        <w:t xml:space="preserve"> </w:t>
      </w:r>
      <w:r w:rsidR="00EC12ED" w:rsidRPr="0013487C">
        <w:rPr>
          <w:rFonts w:ascii="Arial" w:hAnsi="Arial"/>
          <w:sz w:val="20"/>
        </w:rPr>
        <w:t>credit card</w:t>
      </w:r>
      <w:r w:rsidR="000B5864">
        <w:rPr>
          <w:rFonts w:ascii="Arial" w:hAnsi="Arial"/>
          <w:sz w:val="20"/>
        </w:rPr>
        <w:t>s</w:t>
      </w:r>
      <w:r w:rsidR="00EC12ED" w:rsidRPr="0013487C">
        <w:rPr>
          <w:rFonts w:ascii="Arial" w:hAnsi="Arial"/>
          <w:sz w:val="20"/>
        </w:rPr>
        <w:t xml:space="preserve"> and </w:t>
      </w:r>
      <w:r w:rsidR="00166E9E" w:rsidRPr="0013487C">
        <w:rPr>
          <w:rFonts w:ascii="Arial" w:hAnsi="Arial"/>
          <w:sz w:val="20"/>
        </w:rPr>
        <w:t>an improving trend in personal loans.</w:t>
      </w:r>
      <w:r w:rsidR="00A73B1C" w:rsidRPr="0013487C">
        <w:rPr>
          <w:rFonts w:ascii="Arial" w:hAnsi="Arial"/>
          <w:sz w:val="20"/>
        </w:rPr>
        <w:t xml:space="preserve"> </w:t>
      </w:r>
      <w:r w:rsidR="009A2493">
        <w:rPr>
          <w:rFonts w:ascii="Arial" w:hAnsi="Arial"/>
          <w:sz w:val="20"/>
        </w:rPr>
        <w:t xml:space="preserve">In banking, </w:t>
      </w:r>
      <w:r w:rsidR="00277649">
        <w:rPr>
          <w:rFonts w:ascii="Arial" w:hAnsi="Arial"/>
          <w:sz w:val="20"/>
        </w:rPr>
        <w:t>robust savings performance offset lower current account switching volumes.</w:t>
      </w:r>
    </w:p>
    <w:p w14:paraId="06BB699D" w14:textId="09FFFFEE" w:rsidR="007947B4" w:rsidRDefault="000727B9" w:rsidP="004E1DD9">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sz w:val="20"/>
        </w:rPr>
      </w:pPr>
      <w:r w:rsidRPr="00493782">
        <w:rPr>
          <w:rFonts w:ascii="Arial" w:hAnsi="Arial"/>
          <w:sz w:val="20"/>
        </w:rPr>
        <w:t>Home Services</w:t>
      </w:r>
      <w:r w:rsidR="006C7557" w:rsidRPr="00493782">
        <w:rPr>
          <w:rFonts w:ascii="Arial" w:hAnsi="Arial"/>
          <w:sz w:val="20"/>
        </w:rPr>
        <w:t xml:space="preserve"> </w:t>
      </w:r>
      <w:r w:rsidR="0033681B" w:rsidRPr="00493782">
        <w:rPr>
          <w:rFonts w:ascii="Arial" w:hAnsi="Arial"/>
          <w:sz w:val="20"/>
        </w:rPr>
        <w:t xml:space="preserve">grew </w:t>
      </w:r>
      <w:r w:rsidR="00BD4D6D">
        <w:rPr>
          <w:rFonts w:ascii="Arial" w:hAnsi="Arial"/>
          <w:sz w:val="20"/>
        </w:rPr>
        <w:t>29</w:t>
      </w:r>
      <w:r w:rsidR="0033681B" w:rsidRPr="00493782">
        <w:rPr>
          <w:rFonts w:ascii="Arial" w:hAnsi="Arial"/>
          <w:sz w:val="20"/>
        </w:rPr>
        <w:t>%</w:t>
      </w:r>
      <w:r w:rsidR="00C769DE">
        <w:rPr>
          <w:rFonts w:ascii="Arial" w:hAnsi="Arial"/>
          <w:sz w:val="20"/>
        </w:rPr>
        <w:t>,</w:t>
      </w:r>
      <w:r w:rsidR="0033681B" w:rsidRPr="00493782">
        <w:rPr>
          <w:rFonts w:ascii="Arial" w:hAnsi="Arial"/>
          <w:sz w:val="20"/>
        </w:rPr>
        <w:t xml:space="preserve"> </w:t>
      </w:r>
      <w:r w:rsidR="00493782" w:rsidRPr="00493782">
        <w:rPr>
          <w:rFonts w:ascii="Arial" w:hAnsi="Arial"/>
          <w:sz w:val="20"/>
        </w:rPr>
        <w:t>albeit from a low base</w:t>
      </w:r>
      <w:r w:rsidR="00C769DE">
        <w:rPr>
          <w:rFonts w:ascii="Arial" w:hAnsi="Arial"/>
          <w:sz w:val="20"/>
        </w:rPr>
        <w:t>,</w:t>
      </w:r>
      <w:r w:rsidR="00493782" w:rsidRPr="00493782">
        <w:rPr>
          <w:rFonts w:ascii="Arial" w:hAnsi="Arial"/>
          <w:sz w:val="20"/>
        </w:rPr>
        <w:t xml:space="preserve"> with both energy and broadband </w:t>
      </w:r>
      <w:r w:rsidR="00800540">
        <w:rPr>
          <w:rFonts w:ascii="Arial" w:hAnsi="Arial"/>
          <w:sz w:val="20"/>
        </w:rPr>
        <w:t>delivering</w:t>
      </w:r>
      <w:r w:rsidR="00493782" w:rsidRPr="00493782">
        <w:rPr>
          <w:rFonts w:ascii="Arial" w:hAnsi="Arial"/>
          <w:sz w:val="20"/>
        </w:rPr>
        <w:t xml:space="preserve"> significant growth over the period, </w:t>
      </w:r>
      <w:r w:rsidR="00036853">
        <w:rPr>
          <w:rFonts w:ascii="Arial" w:hAnsi="Arial"/>
          <w:sz w:val="20"/>
        </w:rPr>
        <w:t>as</w:t>
      </w:r>
      <w:r w:rsidR="00493782" w:rsidRPr="00493782">
        <w:rPr>
          <w:rFonts w:ascii="Arial" w:hAnsi="Arial"/>
          <w:sz w:val="20"/>
        </w:rPr>
        <w:t xml:space="preserve"> the energy market contin</w:t>
      </w:r>
      <w:r w:rsidR="00036853">
        <w:rPr>
          <w:rFonts w:ascii="Arial" w:hAnsi="Arial"/>
          <w:sz w:val="20"/>
        </w:rPr>
        <w:t>ues</w:t>
      </w:r>
      <w:r w:rsidR="00493782" w:rsidRPr="00493782">
        <w:rPr>
          <w:rFonts w:ascii="Arial" w:hAnsi="Arial"/>
          <w:sz w:val="20"/>
        </w:rPr>
        <w:t xml:space="preserve"> to </w:t>
      </w:r>
      <w:r w:rsidR="003D0C3E">
        <w:rPr>
          <w:rFonts w:ascii="Arial" w:hAnsi="Arial"/>
          <w:sz w:val="20"/>
        </w:rPr>
        <w:t>gradually recover</w:t>
      </w:r>
      <w:r w:rsidR="00493782" w:rsidRPr="00493782">
        <w:rPr>
          <w:rFonts w:ascii="Arial" w:hAnsi="Arial"/>
          <w:sz w:val="20"/>
        </w:rPr>
        <w:t>.</w:t>
      </w:r>
    </w:p>
    <w:p w14:paraId="6FE45DD8" w14:textId="459EB42B" w:rsidR="004E1DD9" w:rsidRPr="004E1DD9" w:rsidRDefault="004E1DD9" w:rsidP="004E1DD9">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sz w:val="20"/>
        </w:rPr>
      </w:pPr>
      <w:r>
        <w:rPr>
          <w:rFonts w:ascii="Arial" w:hAnsi="Arial"/>
          <w:sz w:val="20"/>
        </w:rPr>
        <w:t xml:space="preserve">Cashback </w:t>
      </w:r>
      <w:r w:rsidR="00152894">
        <w:rPr>
          <w:rFonts w:ascii="Arial" w:hAnsi="Arial"/>
          <w:sz w:val="20"/>
        </w:rPr>
        <w:t>had a tougher period, with revenue c.£3m lower at £27m</w:t>
      </w:r>
      <w:r w:rsidR="004412FD">
        <w:rPr>
          <w:rFonts w:ascii="Arial" w:hAnsi="Arial"/>
          <w:sz w:val="20"/>
        </w:rPr>
        <w:t xml:space="preserve">, 9% down, reflecting the challenging retail environment along with the knock-on effect of the weaker car insurance market on Quidco compare. </w:t>
      </w:r>
    </w:p>
    <w:p w14:paraId="6A9B8075" w14:textId="36663DAD" w:rsidR="00404F00" w:rsidRPr="00F12FC3" w:rsidRDefault="00443E70" w:rsidP="00F12FC3">
      <w:pPr>
        <w:pStyle w:val="ListParagraph"/>
        <w:numPr>
          <w:ilvl w:val="3"/>
          <w:numId w:val="5"/>
        </w:numPr>
        <w:tabs>
          <w:tab w:val="left" w:pos="709"/>
          <w:tab w:val="left" w:pos="1134"/>
          <w:tab w:val="left" w:pos="2268"/>
          <w:tab w:val="left" w:pos="2977"/>
          <w:tab w:val="left" w:pos="3686"/>
          <w:tab w:val="left" w:pos="4394"/>
          <w:tab w:val="right" w:pos="8789"/>
        </w:tabs>
        <w:autoSpaceDE w:val="0"/>
        <w:autoSpaceDN w:val="0"/>
        <w:adjustRightInd w:val="0"/>
        <w:spacing w:after="60" w:line="240" w:lineRule="auto"/>
        <w:ind w:left="288" w:hanging="288"/>
        <w:contextualSpacing w:val="0"/>
        <w:rPr>
          <w:rFonts w:ascii="Arial" w:hAnsi="Arial"/>
          <w:sz w:val="20"/>
        </w:rPr>
      </w:pPr>
      <w:r>
        <w:rPr>
          <w:rFonts w:ascii="Arial" w:hAnsi="Arial"/>
          <w:sz w:val="20"/>
        </w:rPr>
        <w:t xml:space="preserve">Travel </w:t>
      </w:r>
      <w:r w:rsidR="00D8034A">
        <w:rPr>
          <w:rFonts w:ascii="Arial" w:hAnsi="Arial"/>
          <w:sz w:val="20"/>
        </w:rPr>
        <w:t xml:space="preserve">was </w:t>
      </w:r>
      <w:r w:rsidR="00BD4D6D">
        <w:rPr>
          <w:rFonts w:ascii="Arial" w:hAnsi="Arial"/>
          <w:sz w:val="20"/>
        </w:rPr>
        <w:t>2</w:t>
      </w:r>
      <w:r w:rsidR="00D8034A">
        <w:rPr>
          <w:rFonts w:ascii="Arial" w:hAnsi="Arial"/>
          <w:sz w:val="20"/>
        </w:rPr>
        <w:t xml:space="preserve">% down with continued high competition in car hire </w:t>
      </w:r>
      <w:r w:rsidR="00ED7AEE">
        <w:rPr>
          <w:rFonts w:ascii="Arial" w:hAnsi="Arial"/>
          <w:sz w:val="20"/>
        </w:rPr>
        <w:t xml:space="preserve">partially offset by solid performance </w:t>
      </w:r>
      <w:r w:rsidR="00167F92">
        <w:rPr>
          <w:rFonts w:ascii="Arial" w:hAnsi="Arial"/>
          <w:sz w:val="20"/>
        </w:rPr>
        <w:t>i</w:t>
      </w:r>
      <w:r w:rsidR="00ED7AEE">
        <w:rPr>
          <w:rFonts w:ascii="Arial" w:hAnsi="Arial"/>
          <w:sz w:val="20"/>
        </w:rPr>
        <w:t>n package holidays.</w:t>
      </w:r>
      <w:r w:rsidR="00AC30FE">
        <w:rPr>
          <w:rFonts w:ascii="Arial" w:hAnsi="Arial"/>
          <w:sz w:val="20"/>
        </w:rPr>
        <w:t xml:space="preserve"> </w:t>
      </w:r>
      <w:bookmarkStart w:id="1" w:name="_Toc360004345"/>
      <w:bookmarkStart w:id="2" w:name="_Toc372451429"/>
      <w:bookmarkStart w:id="3" w:name="_Toc372714800"/>
      <w:bookmarkStart w:id="4" w:name="_Toc373827138"/>
      <w:bookmarkStart w:id="5" w:name="_Toc374516814"/>
      <w:bookmarkStart w:id="6" w:name="_Toc379084156"/>
      <w:bookmarkStart w:id="7" w:name="_Toc379084662"/>
      <w:bookmarkStart w:id="8" w:name="_Toc379288015"/>
      <w:bookmarkStart w:id="9" w:name="_Toc379340739"/>
      <w:bookmarkStart w:id="10" w:name="_Toc379431135"/>
      <w:bookmarkStart w:id="11" w:name="_Toc386095956"/>
      <w:bookmarkStart w:id="12" w:name="_Toc386274263"/>
      <w:bookmarkStart w:id="13" w:name="_Toc457718235"/>
      <w:bookmarkStart w:id="14" w:name="_Toc176844340"/>
      <w:r w:rsidR="00CE16C6">
        <w:rPr>
          <w:rFonts w:ascii="Arial" w:hAnsi="Arial"/>
          <w:sz w:val="20"/>
        </w:rPr>
        <w:t>Note that travel insurance is included within Insurance.</w:t>
      </w:r>
    </w:p>
    <w:p w14:paraId="6AE6C07F" w14:textId="7022B81F" w:rsidR="000727B9" w:rsidRPr="005E7A81" w:rsidRDefault="000727B9" w:rsidP="000727B9">
      <w:pPr>
        <w:spacing w:after="40" w:line="240" w:lineRule="auto"/>
        <w:rPr>
          <w:rFonts w:ascii="Arial" w:hAnsi="Arial"/>
          <w:b/>
          <w:sz w:val="20"/>
        </w:rPr>
      </w:pPr>
      <w:r w:rsidRPr="005E7A81">
        <w:rPr>
          <w:rFonts w:ascii="Arial" w:hAnsi="Arial"/>
          <w:b/>
          <w:sz w:val="20"/>
        </w:rPr>
        <w:lastRenderedPageBreak/>
        <w:t>Results presentation</w:t>
      </w:r>
    </w:p>
    <w:p w14:paraId="3173AECA" w14:textId="5425DDB8" w:rsidR="000727B9" w:rsidRPr="005E7A81" w:rsidRDefault="000727B9" w:rsidP="000727B9">
      <w:pPr>
        <w:pStyle w:val="BodyText"/>
        <w:spacing w:after="40"/>
        <w:rPr>
          <w:rFonts w:cs="Arial"/>
        </w:rPr>
      </w:pPr>
      <w:r w:rsidRPr="005E7A81">
        <w:rPr>
          <w:rFonts w:cs="Arial"/>
        </w:rPr>
        <w:t xml:space="preserve">A presentation for investors and analysts will be available from 7at </w:t>
      </w:r>
    </w:p>
    <w:p w14:paraId="3E054F87" w14:textId="77777777" w:rsidR="000727B9" w:rsidRPr="005E7A81" w:rsidRDefault="000727B9" w:rsidP="000727B9">
      <w:pPr>
        <w:pStyle w:val="BodyText"/>
        <w:spacing w:after="40"/>
        <w:rPr>
          <w:rFonts w:cs="Arial"/>
        </w:rPr>
      </w:pPr>
      <w:hyperlink r:id="rId11" w:history="1">
        <w:r w:rsidRPr="005E7A81">
          <w:rPr>
            <w:rStyle w:val="Hyperlink"/>
            <w:rFonts w:cs="Arial"/>
          </w:rPr>
          <w:t>https://www.monygroup.com/investors/results-reports-and-presentations/</w:t>
        </w:r>
      </w:hyperlink>
    </w:p>
    <w:p w14:paraId="15376A95" w14:textId="77777777" w:rsidR="001807D8" w:rsidRDefault="001807D8" w:rsidP="000727B9">
      <w:pPr>
        <w:pStyle w:val="BodyText"/>
        <w:spacing w:after="40"/>
        <w:rPr>
          <w:rFonts w:cs="Arial"/>
        </w:rPr>
      </w:pPr>
    </w:p>
    <w:p w14:paraId="557F9A9D" w14:textId="10F57B24" w:rsidR="00555226" w:rsidRPr="005E7A81" w:rsidRDefault="000727B9" w:rsidP="000727B9">
      <w:pPr>
        <w:pStyle w:val="BodyText"/>
        <w:spacing w:after="40"/>
      </w:pPr>
      <w:r w:rsidRPr="005E7A81">
        <w:rPr>
          <w:rFonts w:cs="Arial"/>
        </w:rPr>
        <w:t>A</w:t>
      </w:r>
      <w:r w:rsidRPr="005E7A81">
        <w:t xml:space="preserve"> </w:t>
      </w:r>
      <w:r w:rsidRPr="005E7A81">
        <w:rPr>
          <w:rFonts w:cs="Arial"/>
        </w:rPr>
        <w:t>Q&amp;A session will be held at 9.30am with Peter Duffy (CEO) and Niall McBride (CFO). This session can be accessed vi</w:t>
      </w:r>
      <w:r w:rsidRPr="001807D8">
        <w:rPr>
          <w:rFonts w:cs="Arial"/>
        </w:rPr>
        <w:t>a</w:t>
      </w:r>
      <w:r w:rsidRPr="001807D8">
        <w:t xml:space="preserve">: </w:t>
      </w:r>
      <w:hyperlink r:id="rId12" w:history="1">
        <w:r w:rsidR="00555226" w:rsidRPr="005C13FE">
          <w:rPr>
            <w:rStyle w:val="Hyperlink"/>
          </w:rPr>
          <w:t>https://brrmedia.news/MONY_HY25</w:t>
        </w:r>
      </w:hyperlink>
    </w:p>
    <w:p w14:paraId="262F9E61" w14:textId="77777777" w:rsidR="000727B9" w:rsidRPr="00F95221" w:rsidRDefault="000727B9" w:rsidP="000727B9">
      <w:pPr>
        <w:spacing w:after="40" w:line="240" w:lineRule="auto"/>
        <w:rPr>
          <w:rFonts w:ascii="Arial" w:hAnsi="Arial"/>
          <w:b/>
          <w:color w:val="FF0000"/>
          <w:sz w:val="20"/>
          <w:highlight w:val="yellow"/>
        </w:rPr>
      </w:pPr>
    </w:p>
    <w:p w14:paraId="0BDBC123" w14:textId="77777777" w:rsidR="000727B9" w:rsidRPr="005E7A81" w:rsidRDefault="000727B9" w:rsidP="000727B9">
      <w:pPr>
        <w:spacing w:after="40" w:line="240" w:lineRule="auto"/>
      </w:pPr>
      <w:r w:rsidRPr="005E7A81">
        <w:rPr>
          <w:rFonts w:ascii="Arial" w:hAnsi="Arial"/>
          <w:b/>
          <w:sz w:val="20"/>
        </w:rPr>
        <w:t>For further information, contact:</w:t>
      </w:r>
      <w:r w:rsidRPr="005E7A81">
        <w:tab/>
      </w:r>
    </w:p>
    <w:p w14:paraId="3D040641" w14:textId="77777777" w:rsidR="008D0088" w:rsidRDefault="008D0088" w:rsidP="000727B9">
      <w:pPr>
        <w:pStyle w:val="BodyText"/>
        <w:spacing w:after="40"/>
        <w:rPr>
          <w:rFonts w:cs="Arial"/>
        </w:rPr>
      </w:pPr>
    </w:p>
    <w:p w14:paraId="23EF94A7" w14:textId="3B91B0E5" w:rsidR="008D0088" w:rsidRPr="008D0088" w:rsidRDefault="008D0088" w:rsidP="008D0088">
      <w:pPr>
        <w:rPr>
          <w:rFonts w:ascii="Arial" w:hAnsi="Arial" w:cs="Arial"/>
          <w:b/>
          <w:bCs/>
          <w:sz w:val="20"/>
          <w:szCs w:val="20"/>
        </w:rPr>
      </w:pPr>
      <w:r w:rsidRPr="008D0088">
        <w:rPr>
          <w:rFonts w:ascii="Arial" w:hAnsi="Arial" w:cs="Arial"/>
          <w:b/>
          <w:bCs/>
          <w:sz w:val="20"/>
          <w:szCs w:val="20"/>
        </w:rPr>
        <w:t>Investors:</w:t>
      </w:r>
    </w:p>
    <w:p w14:paraId="088D23A6" w14:textId="30F575C6" w:rsidR="000727B9" w:rsidRPr="008D0088" w:rsidRDefault="000727B9" w:rsidP="008D0088">
      <w:pPr>
        <w:rPr>
          <w:rFonts w:ascii="Arial" w:hAnsi="Arial" w:cs="Arial"/>
          <w:sz w:val="20"/>
          <w:szCs w:val="20"/>
        </w:rPr>
      </w:pPr>
      <w:r w:rsidRPr="008D0088">
        <w:rPr>
          <w:rFonts w:ascii="Arial" w:hAnsi="Arial" w:cs="Arial"/>
          <w:sz w:val="20"/>
          <w:szCs w:val="20"/>
        </w:rPr>
        <w:t>Niall McBride, Chief Financial Officer</w:t>
      </w:r>
      <w:r w:rsidRPr="008D0088">
        <w:rPr>
          <w:rFonts w:ascii="Arial" w:hAnsi="Arial" w:cs="Arial"/>
          <w:sz w:val="20"/>
          <w:szCs w:val="20"/>
        </w:rPr>
        <w:tab/>
        <w:t xml:space="preserve"> </w:t>
      </w:r>
      <w:r w:rsidR="002C6758" w:rsidRPr="008D0088">
        <w:rPr>
          <w:rFonts w:ascii="Arial" w:hAnsi="Arial" w:cs="Arial"/>
          <w:sz w:val="20"/>
          <w:szCs w:val="20"/>
        </w:rPr>
        <w:tab/>
      </w:r>
      <w:r w:rsidR="008D0088">
        <w:rPr>
          <w:rFonts w:ascii="Arial" w:hAnsi="Arial" w:cs="Arial"/>
          <w:sz w:val="20"/>
          <w:szCs w:val="20"/>
        </w:rPr>
        <w:t xml:space="preserve"> </w:t>
      </w:r>
      <w:r w:rsidRPr="008D0088">
        <w:rPr>
          <w:rFonts w:ascii="Arial" w:hAnsi="Arial" w:cs="Arial"/>
          <w:sz w:val="20"/>
          <w:szCs w:val="20"/>
        </w:rPr>
        <w:t xml:space="preserve">Niall.McBride@monygroup.com </w:t>
      </w:r>
      <w:r w:rsidR="00404F00">
        <w:rPr>
          <w:rFonts w:ascii="Arial" w:hAnsi="Arial" w:cs="Arial"/>
          <w:sz w:val="20"/>
          <w:szCs w:val="20"/>
        </w:rPr>
        <w:t xml:space="preserve">      </w:t>
      </w:r>
      <w:r w:rsidRPr="008D0088">
        <w:rPr>
          <w:rFonts w:ascii="Arial" w:hAnsi="Arial" w:cs="Arial"/>
          <w:sz w:val="20"/>
          <w:szCs w:val="20"/>
        </w:rPr>
        <w:t xml:space="preserve">0203 826 4667 </w:t>
      </w:r>
    </w:p>
    <w:p w14:paraId="299D592B" w14:textId="2B5354FC" w:rsidR="000727B9" w:rsidRPr="005E7A81" w:rsidRDefault="002C6758" w:rsidP="000727B9">
      <w:pPr>
        <w:pStyle w:val="BodyText"/>
        <w:spacing w:after="40"/>
        <w:rPr>
          <w:rFonts w:cs="Arial"/>
        </w:rPr>
      </w:pPr>
      <w:r>
        <w:rPr>
          <w:rFonts w:cs="Arial"/>
        </w:rPr>
        <w:t>Jennifer Cooke, Head of Investor Relations</w:t>
      </w:r>
      <w:r w:rsidR="008D0088">
        <w:rPr>
          <w:rFonts w:cs="Arial"/>
        </w:rPr>
        <w:tab/>
      </w:r>
      <w:r>
        <w:rPr>
          <w:rFonts w:cs="Arial"/>
        </w:rPr>
        <w:t>Jennifer.Cooke</w:t>
      </w:r>
      <w:r w:rsidR="000727B9" w:rsidRPr="005E7A81">
        <w:rPr>
          <w:rFonts w:cs="Arial"/>
        </w:rPr>
        <w:t xml:space="preserve">@monygroup.com </w:t>
      </w:r>
      <w:r w:rsidR="00404F00">
        <w:rPr>
          <w:rFonts w:cs="Arial"/>
        </w:rPr>
        <w:t xml:space="preserve">  </w:t>
      </w:r>
      <w:r w:rsidR="007D6C25">
        <w:rPr>
          <w:rFonts w:cs="Arial"/>
        </w:rPr>
        <w:t xml:space="preserve"> </w:t>
      </w:r>
      <w:r w:rsidR="000727B9" w:rsidRPr="008D0088">
        <w:rPr>
          <w:rFonts w:cs="Arial"/>
        </w:rPr>
        <w:t>0203 846 2</w:t>
      </w:r>
      <w:r w:rsidR="008D0088" w:rsidRPr="008D0088">
        <w:rPr>
          <w:rFonts w:cs="Arial"/>
        </w:rPr>
        <w:t>034</w:t>
      </w:r>
    </w:p>
    <w:p w14:paraId="6A2F41FB" w14:textId="77777777" w:rsidR="008D0088" w:rsidRDefault="008D0088" w:rsidP="000727B9">
      <w:pPr>
        <w:rPr>
          <w:rFonts w:ascii="Arial" w:hAnsi="Arial" w:cs="Arial"/>
          <w:sz w:val="20"/>
          <w:szCs w:val="20"/>
        </w:rPr>
      </w:pPr>
    </w:p>
    <w:p w14:paraId="68A231BD" w14:textId="77777777" w:rsidR="008D0088" w:rsidRPr="008D0088" w:rsidRDefault="008D0088" w:rsidP="000727B9">
      <w:pPr>
        <w:rPr>
          <w:rFonts w:ascii="Arial" w:hAnsi="Arial" w:cs="Arial"/>
          <w:b/>
          <w:bCs/>
          <w:sz w:val="20"/>
          <w:szCs w:val="20"/>
        </w:rPr>
      </w:pPr>
      <w:r w:rsidRPr="008D0088">
        <w:rPr>
          <w:rFonts w:ascii="Arial" w:hAnsi="Arial" w:cs="Arial"/>
          <w:b/>
          <w:bCs/>
          <w:sz w:val="20"/>
          <w:szCs w:val="20"/>
        </w:rPr>
        <w:t>Media:</w:t>
      </w:r>
    </w:p>
    <w:p w14:paraId="2CCE59AC" w14:textId="1E574E6A" w:rsidR="00404F00" w:rsidRDefault="000727B9" w:rsidP="002167BA">
      <w:pPr>
        <w:rPr>
          <w:rFonts w:ascii="Arial" w:hAnsi="Arial" w:cs="Arial"/>
          <w:b/>
          <w:sz w:val="20"/>
          <w:szCs w:val="20"/>
        </w:rPr>
      </w:pPr>
      <w:r w:rsidRPr="005E7A81">
        <w:rPr>
          <w:rFonts w:ascii="Arial" w:hAnsi="Arial" w:cs="Arial"/>
          <w:sz w:val="20"/>
          <w:szCs w:val="20"/>
        </w:rPr>
        <w:t xml:space="preserve">William Clutterbuck, H/Advisors Maitland   </w:t>
      </w:r>
      <w:r w:rsidR="00404F00">
        <w:rPr>
          <w:rFonts w:ascii="Arial" w:hAnsi="Arial" w:cs="Arial"/>
          <w:sz w:val="20"/>
          <w:szCs w:val="20"/>
        </w:rPr>
        <w:t xml:space="preserve">    </w:t>
      </w:r>
      <w:proofErr w:type="spellStart"/>
      <w:r w:rsidRPr="005E7A81">
        <w:rPr>
          <w:rFonts w:ascii="Arial" w:eastAsia="Batang" w:hAnsi="Arial" w:cs="Arial"/>
          <w:sz w:val="20"/>
          <w:szCs w:val="20"/>
          <w:lang w:eastAsia="ko-KR"/>
        </w:rPr>
        <w:t>W</w:t>
      </w:r>
      <w:hyperlink r:id="rId13" w:history="1">
        <w:r w:rsidRPr="005E7A81">
          <w:rPr>
            <w:rFonts w:ascii="Arial" w:hAnsi="Arial" w:cs="Arial"/>
            <w:sz w:val="20"/>
            <w:szCs w:val="20"/>
          </w:rPr>
          <w:t>illiam.Clutterbuck@h-advisors.global</w:t>
        </w:r>
        <w:proofErr w:type="spellEnd"/>
      </w:hyperlink>
      <w:r w:rsidRPr="005E7A81">
        <w:rPr>
          <w:rFonts w:ascii="Arial" w:eastAsia="Batang" w:hAnsi="Arial" w:cs="Arial"/>
          <w:sz w:val="20"/>
          <w:szCs w:val="20"/>
          <w:lang w:eastAsia="ko-KR"/>
        </w:rPr>
        <w:t xml:space="preserve"> </w:t>
      </w:r>
      <w:r w:rsidRPr="005E7A81">
        <w:rPr>
          <w:rFonts w:ascii="Arial" w:hAnsi="Arial" w:cs="Arial"/>
          <w:sz w:val="20"/>
          <w:szCs w:val="20"/>
        </w:rPr>
        <w:t xml:space="preserve">/ 07785 292617 </w:t>
      </w:r>
    </w:p>
    <w:p w14:paraId="2D2B04D5" w14:textId="77777777" w:rsidR="002167BA" w:rsidRDefault="002167BA" w:rsidP="002167BA">
      <w:pPr>
        <w:rPr>
          <w:rFonts w:ascii="Arial" w:hAnsi="Arial" w:cs="Arial"/>
          <w:b/>
          <w:sz w:val="20"/>
          <w:szCs w:val="20"/>
        </w:rPr>
      </w:pPr>
    </w:p>
    <w:p w14:paraId="4FBEFFA7" w14:textId="77777777" w:rsidR="002167BA" w:rsidRPr="002167BA" w:rsidRDefault="002167BA" w:rsidP="002167BA">
      <w:pPr>
        <w:rPr>
          <w:rFonts w:ascii="Arial" w:hAnsi="Arial" w:cs="Arial"/>
          <w:b/>
          <w:sz w:val="20"/>
          <w:szCs w:val="20"/>
        </w:rPr>
      </w:pPr>
    </w:p>
    <w:p w14:paraId="1E7DDB24" w14:textId="77777777" w:rsidR="00404F00" w:rsidRPr="005E7A81" w:rsidRDefault="00404F00" w:rsidP="000727B9">
      <w:pPr>
        <w:jc w:val="both"/>
        <w:rPr>
          <w:rFonts w:ascii="Arial" w:eastAsia="Batang" w:hAnsi="Arial" w:cs="Times New Roman"/>
          <w:sz w:val="20"/>
          <w:szCs w:val="20"/>
          <w:lang w:eastAsia="ko-KR"/>
        </w:rPr>
      </w:pPr>
    </w:p>
    <w:p w14:paraId="1269F370" w14:textId="77777777" w:rsidR="000727B9" w:rsidRPr="005E7A81" w:rsidRDefault="000727B9" w:rsidP="000727B9">
      <w:pPr>
        <w:spacing w:after="40" w:line="240" w:lineRule="auto"/>
      </w:pPr>
      <w:r w:rsidRPr="005E7A81">
        <w:rPr>
          <w:rFonts w:ascii="Arial" w:hAnsi="Arial"/>
          <w:b/>
          <w:sz w:val="20"/>
        </w:rPr>
        <w:t>Cautionary note regarding forward looking statements</w:t>
      </w:r>
    </w:p>
    <w:p w14:paraId="05ACB90D" w14:textId="77777777" w:rsidR="000727B9" w:rsidRPr="00A44138" w:rsidRDefault="000727B9" w:rsidP="000727B9">
      <w:pPr>
        <w:spacing w:after="0" w:line="240" w:lineRule="auto"/>
        <w:rPr>
          <w:rFonts w:ascii="Arial" w:hAnsi="Arial"/>
          <w:b/>
          <w:sz w:val="16"/>
          <w:szCs w:val="16"/>
        </w:rPr>
      </w:pPr>
      <w:r w:rsidRPr="005E7A81">
        <w:rPr>
          <w:rFonts w:ascii="Arial" w:hAnsi="Arial"/>
          <w:sz w:val="16"/>
          <w:szCs w:val="16"/>
        </w:rPr>
        <w:t>This announcement includes statements that are forward looking in nature. Forward looking statements involve known and unknown risks, assumptions, uncertainties and other factors which may cause the actual results, performance or achievements of the Company to be materially different from any future results, performance or achievements expressed or implied by such forward looking statements. Except as required by the Listing Rules, Disclosure Guidance and Transparency Rules and applicable law, the company undertakes no obligation to update, revise or change any forward-looking statements to reflect events or developments occurring on or after the date such statements are published</w:t>
      </w:r>
      <w:r w:rsidRPr="005E7A81">
        <w:rPr>
          <w:rFonts w:ascii="Arial" w:hAnsi="Arial"/>
          <w:b/>
          <w:sz w:val="16"/>
          <w:szCs w:val="16"/>
        </w:rPr>
        <w:t>.</w:t>
      </w:r>
    </w:p>
    <w:p w14:paraId="4E43E563" w14:textId="77777777" w:rsidR="000727B9" w:rsidRPr="00A44138" w:rsidRDefault="000727B9" w:rsidP="000727B9">
      <w:pPr>
        <w:spacing w:after="0" w:line="240" w:lineRule="auto"/>
        <w:rPr>
          <w:rFonts w:ascii="Arial" w:hAnsi="Arial"/>
          <w:b/>
          <w:color w:val="FF0000"/>
          <w:sz w:val="12"/>
          <w:szCs w:val="12"/>
        </w:rPr>
      </w:pPr>
    </w:p>
    <w:p w14:paraId="1DC3F39D" w14:textId="77777777" w:rsidR="000727B9" w:rsidRPr="00A44138" w:rsidRDefault="000727B9" w:rsidP="000727B9">
      <w:pPr>
        <w:pStyle w:val="Default"/>
        <w:rPr>
          <w:rFonts w:ascii="Arial" w:hAnsi="Arial"/>
          <w:b/>
          <w:bCs/>
          <w:color w:val="auto"/>
          <w:sz w:val="14"/>
          <w:szCs w:val="14"/>
        </w:rPr>
      </w:pPr>
    </w:p>
    <w:p w14:paraId="574856DE" w14:textId="77777777" w:rsidR="003D553A" w:rsidRDefault="000727B9" w:rsidP="000727B9">
      <w:pPr>
        <w:pStyle w:val="Default"/>
        <w:rPr>
          <w:rFonts w:ascii="Arial" w:hAnsi="Arial"/>
          <w:b/>
          <w:bCs/>
          <w:color w:val="auto"/>
          <w:sz w:val="14"/>
          <w:szCs w:val="14"/>
        </w:rPr>
      </w:pPr>
      <w:r w:rsidRPr="005E7A81">
        <w:rPr>
          <w:rFonts w:ascii="Arial" w:hAnsi="Arial"/>
          <w:b/>
          <w:bCs/>
          <w:color w:val="auto"/>
          <w:sz w:val="14"/>
          <w:szCs w:val="14"/>
        </w:rPr>
        <w:t>Notes:</w:t>
      </w:r>
    </w:p>
    <w:p w14:paraId="0165900D" w14:textId="5BA1550A" w:rsidR="000727B9" w:rsidRPr="005E7A81" w:rsidRDefault="000727B9" w:rsidP="000727B9">
      <w:pPr>
        <w:pStyle w:val="Default"/>
        <w:rPr>
          <w:rFonts w:ascii="Arial" w:hAnsi="Arial"/>
          <w:b/>
          <w:bCs/>
          <w:color w:val="auto"/>
          <w:sz w:val="14"/>
          <w:szCs w:val="14"/>
        </w:rPr>
      </w:pPr>
      <w:r w:rsidRPr="005E7A81">
        <w:rPr>
          <w:rFonts w:ascii="Arial" w:hAnsi="Arial"/>
          <w:b/>
          <w:bCs/>
          <w:color w:val="auto"/>
          <w:sz w:val="14"/>
          <w:szCs w:val="14"/>
        </w:rPr>
        <w:t xml:space="preserve"> </w:t>
      </w:r>
    </w:p>
    <w:p w14:paraId="41E9FD7F" w14:textId="77777777" w:rsidR="003B7537" w:rsidRDefault="000727B9" w:rsidP="000727B9">
      <w:pPr>
        <w:pStyle w:val="Default"/>
        <w:rPr>
          <w:rFonts w:ascii="Arial" w:hAnsi="Arial"/>
          <w:color w:val="auto"/>
          <w:sz w:val="14"/>
          <w:szCs w:val="14"/>
        </w:rPr>
      </w:pPr>
      <w:r w:rsidRPr="005C13FE">
        <w:rPr>
          <w:rFonts w:ascii="Arial" w:hAnsi="Arial"/>
          <w:b/>
          <w:color w:val="auto"/>
          <w:sz w:val="14"/>
          <w:szCs w:val="14"/>
        </w:rPr>
        <w:t>* Adjusted EBITDA</w:t>
      </w:r>
      <w:r w:rsidRPr="005E7A81">
        <w:rPr>
          <w:rFonts w:ascii="Arial" w:hAnsi="Arial"/>
          <w:color w:val="auto"/>
          <w:sz w:val="14"/>
          <w:szCs w:val="14"/>
        </w:rPr>
        <w:t xml:space="preserve"> is operating profit before depreciation and amortisation and adjusted for other non-underlying costs as detailed on page </w:t>
      </w:r>
      <w:r>
        <w:rPr>
          <w:rFonts w:ascii="Arial" w:hAnsi="Arial"/>
          <w:color w:val="auto"/>
          <w:sz w:val="14"/>
          <w:szCs w:val="14"/>
        </w:rPr>
        <w:t>9</w:t>
      </w:r>
      <w:r w:rsidRPr="005E7A81">
        <w:rPr>
          <w:rFonts w:ascii="Arial" w:hAnsi="Arial"/>
          <w:color w:val="auto"/>
          <w:sz w:val="14"/>
          <w:szCs w:val="14"/>
        </w:rPr>
        <w:t>. This is consistent with how business performance is measured internally.</w:t>
      </w:r>
    </w:p>
    <w:p w14:paraId="3053F72C" w14:textId="1232CCDD" w:rsidR="000727B9" w:rsidRPr="005E7A81" w:rsidRDefault="000727B9" w:rsidP="000727B9">
      <w:pPr>
        <w:pStyle w:val="Default"/>
        <w:rPr>
          <w:rFonts w:ascii="Arial" w:hAnsi="Arial"/>
          <w:color w:val="auto"/>
          <w:sz w:val="14"/>
          <w:szCs w:val="14"/>
        </w:rPr>
      </w:pPr>
      <w:r w:rsidRPr="005E7A81">
        <w:rPr>
          <w:rFonts w:ascii="Arial" w:hAnsi="Arial"/>
          <w:color w:val="auto"/>
          <w:sz w:val="14"/>
          <w:szCs w:val="14"/>
        </w:rPr>
        <w:t xml:space="preserve">  </w:t>
      </w:r>
    </w:p>
    <w:p w14:paraId="203E3285" w14:textId="1D7A8C3E" w:rsidR="000727B9" w:rsidRPr="00A44138" w:rsidRDefault="000727B9" w:rsidP="000727B9">
      <w:pPr>
        <w:pStyle w:val="Default"/>
        <w:rPr>
          <w:rFonts w:ascii="Arial" w:hAnsi="Arial"/>
          <w:color w:val="auto"/>
          <w:sz w:val="14"/>
          <w:szCs w:val="14"/>
        </w:rPr>
      </w:pPr>
      <w:r w:rsidRPr="00A44138">
        <w:rPr>
          <w:rFonts w:ascii="Arial" w:hAnsi="Arial"/>
          <w:b/>
          <w:bCs/>
          <w:color w:val="auto"/>
          <w:sz w:val="14"/>
          <w:szCs w:val="14"/>
        </w:rPr>
        <w:t>**Adjusted basic earnings per share</w:t>
      </w:r>
      <w:r w:rsidRPr="00A44138">
        <w:rPr>
          <w:rFonts w:ascii="Arial" w:hAnsi="Arial"/>
          <w:color w:val="auto"/>
          <w:sz w:val="14"/>
          <w:szCs w:val="14"/>
        </w:rPr>
        <w:t xml:space="preserve"> is profit before tax adjusted for amortisation of acquisition related intangible assets</w:t>
      </w:r>
      <w:r>
        <w:rPr>
          <w:rFonts w:ascii="Arial" w:hAnsi="Arial"/>
          <w:color w:val="auto"/>
          <w:sz w:val="14"/>
          <w:szCs w:val="14"/>
        </w:rPr>
        <w:t xml:space="preserve"> and other non-underlying costs as described on page 10. A tax rate of 25% (2024: 25%) is applied to calculate adjusted profit after tax. This is </w:t>
      </w:r>
      <w:r w:rsidRPr="00A44138">
        <w:rPr>
          <w:rFonts w:ascii="Arial" w:hAnsi="Arial"/>
          <w:color w:val="auto"/>
          <w:sz w:val="14"/>
          <w:szCs w:val="14"/>
        </w:rPr>
        <w:t>divided by the number of weighted average shares. A reconciliation of adjusted basic earnings per share to the interim financial statements is included in note 5.</w:t>
      </w:r>
      <w:r>
        <w:rPr>
          <w:rFonts w:ascii="Arial" w:hAnsi="Arial"/>
          <w:color w:val="auto"/>
          <w:sz w:val="14"/>
          <w:szCs w:val="14"/>
        </w:rPr>
        <w:t xml:space="preserve"> Adjusted basic earnings per share for the six months ended 30 June 2024 has been updated from 8.8p to </w:t>
      </w:r>
      <w:r w:rsidR="00EA0B55" w:rsidRPr="005C13FE">
        <w:rPr>
          <w:rFonts w:ascii="Arial" w:hAnsi="Arial"/>
          <w:color w:val="auto"/>
          <w:sz w:val="14"/>
          <w:szCs w:val="14"/>
        </w:rPr>
        <w:t>8.9</w:t>
      </w:r>
      <w:r w:rsidRPr="005C13FE">
        <w:rPr>
          <w:rFonts w:ascii="Arial" w:hAnsi="Arial"/>
          <w:color w:val="auto"/>
          <w:sz w:val="14"/>
          <w:szCs w:val="14"/>
        </w:rPr>
        <w:t>p</w:t>
      </w:r>
      <w:r>
        <w:rPr>
          <w:rFonts w:ascii="Arial" w:hAnsi="Arial"/>
          <w:color w:val="auto"/>
          <w:sz w:val="14"/>
          <w:szCs w:val="14"/>
        </w:rPr>
        <w:t xml:space="preserve"> to reflect the reclassification of costs to adjusting items noted on page 8.</w:t>
      </w:r>
    </w:p>
    <w:p w14:paraId="4563DCDF" w14:textId="775FE435" w:rsidR="000727B9" w:rsidRDefault="000727B9" w:rsidP="000727B9">
      <w:pPr>
        <w:pStyle w:val="ParaIMS"/>
        <w:rPr>
          <w:rFonts w:ascii="Arial" w:hAnsi="Arial"/>
          <w:b/>
          <w:u w:val="single"/>
          <w:lang w:val="en-GB"/>
        </w:rPr>
      </w:pPr>
      <w:r w:rsidRPr="00A44138">
        <w:rPr>
          <w:rFonts w:ascii="Arial" w:hAnsi="Arial"/>
          <w:b/>
          <w:bCs/>
          <w:sz w:val="14"/>
          <w:szCs w:val="14"/>
        </w:rPr>
        <w:t xml:space="preserve">***Net </w:t>
      </w:r>
      <w:r w:rsidR="009937FA">
        <w:rPr>
          <w:rFonts w:ascii="Arial" w:hAnsi="Arial"/>
          <w:b/>
          <w:bCs/>
          <w:sz w:val="14"/>
          <w:szCs w:val="14"/>
        </w:rPr>
        <w:t>debt</w:t>
      </w:r>
      <w:r w:rsidRPr="00A44138">
        <w:rPr>
          <w:rFonts w:ascii="Arial" w:hAnsi="Arial"/>
          <w:sz w:val="14"/>
          <w:szCs w:val="14"/>
        </w:rPr>
        <w:t xml:space="preserve"> is cash and cash equivalents </w:t>
      </w:r>
      <w:r w:rsidRPr="00A86F75">
        <w:rPr>
          <w:rFonts w:ascii="Arial" w:hAnsi="Arial"/>
          <w:sz w:val="14"/>
          <w:szCs w:val="14"/>
        </w:rPr>
        <w:t xml:space="preserve">of </w:t>
      </w:r>
      <w:r w:rsidRPr="00DA53C4">
        <w:rPr>
          <w:rFonts w:ascii="Arial" w:hAnsi="Arial"/>
          <w:sz w:val="14"/>
          <w:szCs w:val="14"/>
        </w:rPr>
        <w:t>£</w:t>
      </w:r>
      <w:r w:rsidR="00E36332" w:rsidRPr="00A86F75">
        <w:rPr>
          <w:rFonts w:ascii="Arial" w:hAnsi="Arial"/>
          <w:sz w:val="14"/>
          <w:szCs w:val="14"/>
        </w:rPr>
        <w:t>28.7</w:t>
      </w:r>
      <w:r w:rsidRPr="00A86F75">
        <w:rPr>
          <w:rFonts w:ascii="Arial" w:hAnsi="Arial"/>
          <w:sz w:val="14"/>
          <w:szCs w:val="14"/>
        </w:rPr>
        <w:t>m</w:t>
      </w:r>
      <w:r w:rsidRPr="00A44138">
        <w:rPr>
          <w:rFonts w:ascii="Arial" w:hAnsi="Arial"/>
          <w:sz w:val="14"/>
          <w:szCs w:val="14"/>
        </w:rPr>
        <w:t xml:space="preserve"> (</w:t>
      </w:r>
      <w:r w:rsidRPr="005E7A81">
        <w:rPr>
          <w:rFonts w:ascii="Arial" w:hAnsi="Arial"/>
          <w:sz w:val="14"/>
          <w:szCs w:val="14"/>
        </w:rPr>
        <w:t>2024: £24.9m</w:t>
      </w:r>
      <w:r w:rsidRPr="00A44138">
        <w:rPr>
          <w:rFonts w:ascii="Arial" w:hAnsi="Arial"/>
          <w:sz w:val="14"/>
          <w:szCs w:val="14"/>
        </w:rPr>
        <w:t xml:space="preserve">) less borrowings of </w:t>
      </w:r>
      <w:r w:rsidRPr="00DA53C4">
        <w:rPr>
          <w:rFonts w:ascii="Arial" w:hAnsi="Arial"/>
          <w:sz w:val="14"/>
          <w:szCs w:val="14"/>
        </w:rPr>
        <w:t>£</w:t>
      </w:r>
      <w:r w:rsidR="00E05054" w:rsidRPr="00DA53C4">
        <w:rPr>
          <w:rFonts w:ascii="Arial" w:hAnsi="Arial"/>
          <w:sz w:val="14"/>
          <w:szCs w:val="14"/>
        </w:rPr>
        <w:t>45.0</w:t>
      </w:r>
      <w:r w:rsidRPr="00A44138">
        <w:rPr>
          <w:rFonts w:ascii="Arial" w:hAnsi="Arial"/>
          <w:sz w:val="14"/>
          <w:szCs w:val="14"/>
        </w:rPr>
        <w:t>m (</w:t>
      </w:r>
      <w:r w:rsidRPr="005E7A81">
        <w:rPr>
          <w:rFonts w:ascii="Arial" w:hAnsi="Arial"/>
          <w:sz w:val="14"/>
          <w:szCs w:val="14"/>
        </w:rPr>
        <w:t>2024: £48.0m</w:t>
      </w:r>
      <w:r w:rsidRPr="00A44138">
        <w:rPr>
          <w:rFonts w:ascii="Arial" w:hAnsi="Arial"/>
          <w:sz w:val="14"/>
          <w:szCs w:val="14"/>
        </w:rPr>
        <w:t>)</w:t>
      </w:r>
      <w:r>
        <w:rPr>
          <w:rFonts w:ascii="Arial" w:hAnsi="Arial"/>
          <w:sz w:val="14"/>
          <w:szCs w:val="14"/>
        </w:rPr>
        <w:t xml:space="preserve"> </w:t>
      </w:r>
      <w:r w:rsidRPr="00A44138">
        <w:rPr>
          <w:rFonts w:ascii="Arial" w:hAnsi="Arial"/>
          <w:sz w:val="14"/>
          <w:szCs w:val="14"/>
        </w:rPr>
        <w:t xml:space="preserve">and loan notes payable to Podium’s non-controlling interest of </w:t>
      </w:r>
      <w:r w:rsidRPr="00DA53C4">
        <w:rPr>
          <w:rFonts w:ascii="Arial" w:hAnsi="Arial"/>
          <w:sz w:val="14"/>
          <w:szCs w:val="14"/>
        </w:rPr>
        <w:t>£</w:t>
      </w:r>
      <w:r w:rsidR="003711A4" w:rsidRPr="00DA53C4">
        <w:rPr>
          <w:rFonts w:ascii="Arial" w:hAnsi="Arial"/>
          <w:sz w:val="14"/>
          <w:szCs w:val="14"/>
        </w:rPr>
        <w:t>2.</w:t>
      </w:r>
      <w:r w:rsidR="0050027A" w:rsidRPr="00DA53C4">
        <w:rPr>
          <w:rFonts w:ascii="Arial" w:hAnsi="Arial"/>
          <w:sz w:val="14"/>
          <w:szCs w:val="14"/>
        </w:rPr>
        <w:t>1</w:t>
      </w:r>
      <w:r w:rsidRPr="00A44138">
        <w:rPr>
          <w:rFonts w:ascii="Arial" w:hAnsi="Arial"/>
          <w:sz w:val="14"/>
          <w:szCs w:val="14"/>
        </w:rPr>
        <w:t>m (</w:t>
      </w:r>
      <w:r w:rsidRPr="005E7A81">
        <w:rPr>
          <w:rFonts w:ascii="Arial" w:hAnsi="Arial"/>
          <w:sz w:val="14"/>
          <w:szCs w:val="14"/>
        </w:rPr>
        <w:t>2024: £2.0m</w:t>
      </w:r>
      <w:r w:rsidRPr="003B3044">
        <w:rPr>
          <w:rFonts w:ascii="Arial" w:hAnsi="Arial"/>
          <w:sz w:val="14"/>
          <w:szCs w:val="14"/>
        </w:rPr>
        <w:t xml:space="preserve">). </w:t>
      </w:r>
      <w:r w:rsidRPr="00A44138">
        <w:rPr>
          <w:rFonts w:ascii="Arial" w:hAnsi="Arial"/>
          <w:sz w:val="14"/>
          <w:szCs w:val="14"/>
        </w:rPr>
        <w:t>It does not include lease liabilities.</w:t>
      </w:r>
    </w:p>
    <w:p w14:paraId="386DAD27" w14:textId="0D0A0E4A" w:rsidR="00404F00" w:rsidRDefault="00404F00">
      <w:pPr>
        <w:spacing w:after="160" w:line="259" w:lineRule="auto"/>
        <w:rPr>
          <w:rFonts w:ascii="Arial" w:eastAsia="Times New Roman" w:hAnsi="Arial" w:cs="Times New Roman"/>
          <w:b/>
          <w:sz w:val="20"/>
          <w:szCs w:val="20"/>
        </w:rPr>
      </w:pPr>
    </w:p>
    <w:p w14:paraId="38412AB8" w14:textId="77777777" w:rsidR="001471D3" w:rsidRDefault="001471D3">
      <w:pPr>
        <w:spacing w:after="160" w:line="259" w:lineRule="auto"/>
        <w:rPr>
          <w:rFonts w:ascii="Arial" w:eastAsia="Times New Roman" w:hAnsi="Arial" w:cs="Times New Roman"/>
          <w:b/>
          <w:sz w:val="20"/>
          <w:szCs w:val="20"/>
        </w:rPr>
      </w:pPr>
      <w:r>
        <w:rPr>
          <w:rFonts w:ascii="Arial" w:hAnsi="Arial"/>
          <w:b/>
        </w:rPr>
        <w:br w:type="page"/>
      </w:r>
    </w:p>
    <w:p w14:paraId="1119BD79" w14:textId="668C87C3" w:rsidR="000727B9" w:rsidRDefault="000727B9" w:rsidP="000727B9">
      <w:pPr>
        <w:pStyle w:val="ParaIMS"/>
        <w:rPr>
          <w:rFonts w:ascii="Arial" w:hAnsi="Arial"/>
          <w:b/>
          <w:lang w:val="en-GB"/>
        </w:rPr>
      </w:pPr>
      <w:r w:rsidRPr="00295421">
        <w:rPr>
          <w:rFonts w:ascii="Arial" w:hAnsi="Arial"/>
          <w:b/>
          <w:lang w:val="en-GB"/>
        </w:rPr>
        <w:lastRenderedPageBreak/>
        <w:t>C</w:t>
      </w:r>
      <w:r>
        <w:rPr>
          <w:rFonts w:ascii="Arial" w:hAnsi="Arial"/>
          <w:b/>
          <w:lang w:val="en-GB"/>
        </w:rPr>
        <w:t>hief Executive Officer’s</w:t>
      </w:r>
      <w:r w:rsidRPr="00295421">
        <w:rPr>
          <w:rFonts w:ascii="Arial" w:hAnsi="Arial"/>
          <w:b/>
          <w:lang w:val="en-GB"/>
        </w:rPr>
        <w:t xml:space="preserve"> Review </w:t>
      </w:r>
    </w:p>
    <w:p w14:paraId="5F73EE2C" w14:textId="2E3515CD" w:rsidR="002A4637" w:rsidRPr="008629CF" w:rsidRDefault="000727B9" w:rsidP="000727B9">
      <w:pPr>
        <w:pStyle w:val="ParaIMS"/>
        <w:jc w:val="both"/>
        <w:rPr>
          <w:rFonts w:ascii="Arial" w:hAnsi="Arial"/>
          <w:lang w:val="en-GB"/>
        </w:rPr>
      </w:pPr>
      <w:r w:rsidRPr="008629CF">
        <w:rPr>
          <w:rFonts w:ascii="Arial" w:hAnsi="Arial"/>
          <w:lang w:val="en-GB"/>
        </w:rPr>
        <w:t xml:space="preserve">We </w:t>
      </w:r>
      <w:r w:rsidR="002A4637" w:rsidRPr="008629CF">
        <w:rPr>
          <w:rFonts w:ascii="Arial" w:hAnsi="Arial"/>
          <w:lang w:val="en-GB"/>
        </w:rPr>
        <w:t>have had a good start to the year, achieving both financial and strategic milestones</w:t>
      </w:r>
      <w:r w:rsidR="008629CF">
        <w:rPr>
          <w:rFonts w:ascii="Arial" w:hAnsi="Arial"/>
          <w:lang w:val="en-GB"/>
        </w:rPr>
        <w:t>, a</w:t>
      </w:r>
      <w:r w:rsidR="00651CA1">
        <w:rPr>
          <w:rFonts w:ascii="Arial" w:hAnsi="Arial"/>
          <w:lang w:val="en-GB"/>
        </w:rPr>
        <w:t xml:space="preserve">nd helping customers save an </w:t>
      </w:r>
      <w:r w:rsidR="00651CA1" w:rsidRPr="00540AFB">
        <w:rPr>
          <w:rFonts w:ascii="Arial" w:hAnsi="Arial"/>
          <w:lang w:val="en-GB"/>
        </w:rPr>
        <w:t>estimated £</w:t>
      </w:r>
      <w:r w:rsidR="00662A4E" w:rsidRPr="005C13FE">
        <w:rPr>
          <w:rFonts w:ascii="Arial" w:hAnsi="Arial"/>
          <w:lang w:val="en-GB"/>
        </w:rPr>
        <w:t>1.4</w:t>
      </w:r>
      <w:r w:rsidR="00651CA1" w:rsidRPr="00540AFB">
        <w:rPr>
          <w:rFonts w:ascii="Arial" w:hAnsi="Arial"/>
          <w:lang w:val="en-GB"/>
        </w:rPr>
        <w:t>bn</w:t>
      </w:r>
      <w:r w:rsidR="001D0D8A">
        <w:rPr>
          <w:rFonts w:ascii="Arial" w:hAnsi="Arial"/>
          <w:lang w:val="en-GB"/>
        </w:rPr>
        <w:t xml:space="preserve"> during this half-year period.</w:t>
      </w:r>
    </w:p>
    <w:p w14:paraId="0A03B818" w14:textId="45923556" w:rsidR="00AD13D8" w:rsidRDefault="003957DA" w:rsidP="000727B9">
      <w:pPr>
        <w:pStyle w:val="ParaIMS"/>
        <w:jc w:val="both"/>
        <w:rPr>
          <w:rFonts w:ascii="Arial" w:hAnsi="Arial"/>
          <w:lang w:val="en-GB"/>
        </w:rPr>
      </w:pPr>
      <w:r w:rsidRPr="008629CF">
        <w:rPr>
          <w:rFonts w:ascii="Arial" w:hAnsi="Arial"/>
          <w:lang w:val="en-GB"/>
        </w:rPr>
        <w:t>We</w:t>
      </w:r>
      <w:r w:rsidR="009361F0" w:rsidRPr="008629CF">
        <w:rPr>
          <w:rFonts w:ascii="Arial" w:hAnsi="Arial"/>
          <w:lang w:val="en-GB"/>
        </w:rPr>
        <w:t xml:space="preserve"> </w:t>
      </w:r>
      <w:r w:rsidR="007E6D45">
        <w:rPr>
          <w:rFonts w:ascii="Arial" w:hAnsi="Arial"/>
          <w:lang w:val="en-GB"/>
        </w:rPr>
        <w:t>generated</w:t>
      </w:r>
      <w:r w:rsidR="00B90480" w:rsidRPr="008629CF">
        <w:rPr>
          <w:rFonts w:ascii="Arial" w:hAnsi="Arial"/>
          <w:lang w:val="en-GB"/>
        </w:rPr>
        <w:t xml:space="preserve"> resilient financial performance – increasing both </w:t>
      </w:r>
      <w:r w:rsidRPr="008629CF">
        <w:rPr>
          <w:rFonts w:ascii="Arial" w:hAnsi="Arial"/>
          <w:lang w:val="en-GB"/>
        </w:rPr>
        <w:t>Revenue and Adjusted EBITDA</w:t>
      </w:r>
      <w:r w:rsidR="00F42B5C">
        <w:rPr>
          <w:rFonts w:ascii="Arial" w:hAnsi="Arial"/>
          <w:lang w:val="en-GB"/>
        </w:rPr>
        <w:t xml:space="preserve"> as we leveraged our strength in breadth. </w:t>
      </w:r>
      <w:r w:rsidR="009361F0" w:rsidRPr="008629CF">
        <w:rPr>
          <w:rFonts w:ascii="Arial" w:hAnsi="Arial"/>
          <w:lang w:val="en-GB"/>
        </w:rPr>
        <w:t>Revenue</w:t>
      </w:r>
      <w:r w:rsidRPr="008629CF">
        <w:rPr>
          <w:rFonts w:ascii="Arial" w:hAnsi="Arial"/>
          <w:lang w:val="en-GB"/>
        </w:rPr>
        <w:t xml:space="preserve"> of £22</w:t>
      </w:r>
      <w:r w:rsidR="00662A4E">
        <w:rPr>
          <w:rFonts w:ascii="Arial" w:hAnsi="Arial"/>
          <w:lang w:val="en-GB"/>
        </w:rPr>
        <w:t>5</w:t>
      </w:r>
      <w:r w:rsidRPr="008629CF">
        <w:rPr>
          <w:rFonts w:ascii="Arial" w:hAnsi="Arial"/>
          <w:lang w:val="en-GB"/>
        </w:rPr>
        <w:t>m</w:t>
      </w:r>
      <w:r w:rsidR="00B90480" w:rsidRPr="008629CF">
        <w:rPr>
          <w:rFonts w:ascii="Arial" w:hAnsi="Arial"/>
          <w:lang w:val="en-GB"/>
        </w:rPr>
        <w:t xml:space="preserve"> was</w:t>
      </w:r>
      <w:r w:rsidRPr="008629CF">
        <w:rPr>
          <w:rFonts w:ascii="Arial" w:hAnsi="Arial"/>
          <w:lang w:val="en-GB"/>
        </w:rPr>
        <w:t xml:space="preserve"> up </w:t>
      </w:r>
      <w:r w:rsidR="00D20AAD" w:rsidRPr="008629CF">
        <w:rPr>
          <w:rFonts w:ascii="Arial" w:hAnsi="Arial"/>
          <w:lang w:val="en-GB"/>
        </w:rPr>
        <w:t xml:space="preserve">1% despite </w:t>
      </w:r>
      <w:r w:rsidR="00252098">
        <w:rPr>
          <w:rFonts w:ascii="Arial" w:hAnsi="Arial"/>
          <w:lang w:val="en-GB"/>
        </w:rPr>
        <w:t>the comparative first half of 2024 being one of</w:t>
      </w:r>
      <w:r w:rsidR="009361F0" w:rsidRPr="008629CF">
        <w:rPr>
          <w:rFonts w:ascii="Arial" w:hAnsi="Arial"/>
          <w:lang w:val="en-GB"/>
        </w:rPr>
        <w:t xml:space="preserve"> exceptional growth in car insurance switching. </w:t>
      </w:r>
      <w:r w:rsidR="008629CF" w:rsidRPr="008629CF">
        <w:rPr>
          <w:rFonts w:ascii="Arial" w:hAnsi="Arial"/>
          <w:lang w:val="en-GB"/>
        </w:rPr>
        <w:t xml:space="preserve">Adjusted EBITDA grew 2% to £75m, underpinned by our continued focus on strong cost control and </w:t>
      </w:r>
      <w:r w:rsidR="00D279DB">
        <w:rPr>
          <w:rFonts w:ascii="Arial" w:hAnsi="Arial"/>
          <w:lang w:val="en-GB"/>
        </w:rPr>
        <w:t xml:space="preserve">increasing use of </w:t>
      </w:r>
      <w:r w:rsidR="008629CF" w:rsidRPr="008629CF">
        <w:rPr>
          <w:rFonts w:ascii="Arial" w:hAnsi="Arial"/>
          <w:lang w:val="en-GB"/>
        </w:rPr>
        <w:t xml:space="preserve">automation. </w:t>
      </w:r>
    </w:p>
    <w:p w14:paraId="6ACB344A" w14:textId="5F9E11BC" w:rsidR="002052A4" w:rsidRPr="001161CF" w:rsidRDefault="00AD13D8" w:rsidP="002052A4">
      <w:pPr>
        <w:pStyle w:val="ParaIMS"/>
        <w:jc w:val="both"/>
        <w:rPr>
          <w:rFonts w:ascii="Arial" w:hAnsi="Arial"/>
          <w:lang w:val="en-GB"/>
        </w:rPr>
      </w:pPr>
      <w:r w:rsidRPr="00AD13D8">
        <w:rPr>
          <w:rFonts w:ascii="Arial" w:hAnsi="Arial"/>
          <w:lang w:val="en-GB"/>
        </w:rPr>
        <w:t>We have maintained strategic momentum, continuing</w:t>
      </w:r>
      <w:r w:rsidR="00CE7BF4">
        <w:rPr>
          <w:rFonts w:ascii="Arial" w:hAnsi="Arial"/>
          <w:lang w:val="en-GB"/>
        </w:rPr>
        <w:t xml:space="preserve"> </w:t>
      </w:r>
      <w:r w:rsidRPr="00AD13D8">
        <w:rPr>
          <w:rFonts w:ascii="Arial" w:hAnsi="Arial"/>
          <w:lang w:val="en-GB"/>
        </w:rPr>
        <w:t xml:space="preserve">to grow both sides of our marketplace. </w:t>
      </w:r>
      <w:r w:rsidRPr="001161CF">
        <w:rPr>
          <w:rFonts w:ascii="Arial" w:hAnsi="Arial"/>
          <w:lang w:val="en-GB"/>
        </w:rPr>
        <w:t xml:space="preserve">In SuperSaveClub we welcomed an additional half </w:t>
      </w:r>
      <w:r w:rsidR="00CF791A">
        <w:rPr>
          <w:rFonts w:ascii="Arial" w:hAnsi="Arial"/>
          <w:lang w:val="en-GB"/>
        </w:rPr>
        <w:t>a</w:t>
      </w:r>
      <w:r w:rsidRPr="001161CF">
        <w:rPr>
          <w:rFonts w:ascii="Arial" w:hAnsi="Arial"/>
          <w:lang w:val="en-GB"/>
        </w:rPr>
        <w:t xml:space="preserve"> million more members, bringing the current total to more than 1.5 million. We see</w:t>
      </w:r>
      <w:r w:rsidR="00C02A3E">
        <w:rPr>
          <w:rFonts w:ascii="Arial" w:hAnsi="Arial"/>
          <w:lang w:val="en-GB"/>
        </w:rPr>
        <w:t xml:space="preserve"> </w:t>
      </w:r>
      <w:r w:rsidRPr="001161CF">
        <w:rPr>
          <w:rFonts w:ascii="Arial" w:hAnsi="Arial"/>
          <w:lang w:val="en-GB"/>
        </w:rPr>
        <w:t xml:space="preserve">potential for further growth here, so we’re continuing to invest to </w:t>
      </w:r>
      <w:r w:rsidR="008E147D">
        <w:rPr>
          <w:rFonts w:ascii="Arial" w:hAnsi="Arial"/>
          <w:lang w:val="en-GB"/>
        </w:rPr>
        <w:t>drive</w:t>
      </w:r>
      <w:r w:rsidRPr="001161CF">
        <w:rPr>
          <w:rFonts w:ascii="Arial" w:hAnsi="Arial"/>
          <w:lang w:val="en-GB"/>
        </w:rPr>
        <w:t xml:space="preserve"> member acquisition </w:t>
      </w:r>
      <w:r w:rsidR="00FB1709">
        <w:rPr>
          <w:rFonts w:ascii="Arial" w:hAnsi="Arial"/>
          <w:lang w:val="en-GB"/>
        </w:rPr>
        <w:t xml:space="preserve">by offering </w:t>
      </w:r>
      <w:r w:rsidRPr="001161CF">
        <w:rPr>
          <w:rFonts w:ascii="Arial" w:hAnsi="Arial"/>
          <w:lang w:val="en-GB"/>
        </w:rPr>
        <w:t>First Purchase Reward</w:t>
      </w:r>
      <w:r w:rsidR="00FB1709">
        <w:rPr>
          <w:rFonts w:ascii="Arial" w:hAnsi="Arial"/>
          <w:lang w:val="en-GB"/>
        </w:rPr>
        <w:t>s</w:t>
      </w:r>
      <w:r w:rsidR="00023AFA">
        <w:rPr>
          <w:rFonts w:ascii="Arial" w:hAnsi="Arial"/>
          <w:lang w:val="en-GB"/>
        </w:rPr>
        <w:t>.</w:t>
      </w:r>
      <w:r w:rsidR="00FB1709">
        <w:rPr>
          <w:rFonts w:ascii="Arial" w:hAnsi="Arial"/>
          <w:lang w:val="en-GB"/>
        </w:rPr>
        <w:t xml:space="preserve"> </w:t>
      </w:r>
    </w:p>
    <w:p w14:paraId="2F869F9F" w14:textId="7639A9D0" w:rsidR="00AD13D8" w:rsidRPr="006426E6" w:rsidRDefault="00AD13D8" w:rsidP="006426E6">
      <w:pPr>
        <w:pStyle w:val="ParaIMS"/>
        <w:jc w:val="both"/>
        <w:rPr>
          <w:rFonts w:ascii="Arial" w:hAnsi="Arial"/>
          <w:lang w:val="en-GB"/>
        </w:rPr>
      </w:pPr>
      <w:r w:rsidRPr="001161CF">
        <w:rPr>
          <w:rFonts w:ascii="Arial" w:hAnsi="Arial"/>
          <w:lang w:val="en-GB"/>
        </w:rPr>
        <w:t>We’ve also continue</w:t>
      </w:r>
      <w:r w:rsidR="002052A4" w:rsidRPr="001161CF">
        <w:rPr>
          <w:rFonts w:ascii="Arial" w:hAnsi="Arial"/>
          <w:lang w:val="en-GB"/>
        </w:rPr>
        <w:t>d</w:t>
      </w:r>
      <w:r w:rsidRPr="001161CF">
        <w:rPr>
          <w:rFonts w:ascii="Arial" w:hAnsi="Arial"/>
          <w:lang w:val="en-GB"/>
        </w:rPr>
        <w:t xml:space="preserve"> to grow and enhance the services we offer to providers</w:t>
      </w:r>
      <w:r w:rsidR="003B745B" w:rsidRPr="001161CF">
        <w:rPr>
          <w:rFonts w:ascii="Arial" w:hAnsi="Arial"/>
          <w:lang w:val="en-GB"/>
        </w:rPr>
        <w:t xml:space="preserve"> with </w:t>
      </w:r>
      <w:r w:rsidR="007D6C25" w:rsidRPr="00DA53C4">
        <w:rPr>
          <w:rFonts w:ascii="Arial" w:hAnsi="Arial"/>
          <w:lang w:val="en-GB"/>
        </w:rPr>
        <w:t>1</w:t>
      </w:r>
      <w:r w:rsidR="00F120EC" w:rsidRPr="00DA53C4">
        <w:rPr>
          <w:rFonts w:ascii="Arial" w:hAnsi="Arial"/>
          <w:lang w:val="en-GB"/>
        </w:rPr>
        <w:t>1</w:t>
      </w:r>
      <w:r w:rsidR="003B745B" w:rsidRPr="00F120EC">
        <w:rPr>
          <w:rFonts w:ascii="Arial" w:hAnsi="Arial"/>
          <w:lang w:val="en-GB"/>
        </w:rPr>
        <w:t>%</w:t>
      </w:r>
      <w:r w:rsidR="003B745B" w:rsidRPr="001161CF">
        <w:rPr>
          <w:rFonts w:ascii="Arial" w:hAnsi="Arial"/>
          <w:lang w:val="en-GB"/>
        </w:rPr>
        <w:t xml:space="preserve"> revenue growth over the period. We now have over</w:t>
      </w:r>
      <w:r w:rsidRPr="001161CF">
        <w:rPr>
          <w:rFonts w:ascii="Arial" w:hAnsi="Arial"/>
          <w:lang w:val="en-GB"/>
        </w:rPr>
        <w:t xml:space="preserve"> 100</w:t>
      </w:r>
      <w:r w:rsidR="002052A4" w:rsidRPr="001161CF">
        <w:rPr>
          <w:rFonts w:ascii="Arial" w:hAnsi="Arial"/>
          <w:lang w:val="en-GB"/>
        </w:rPr>
        <w:t xml:space="preserve"> providers</w:t>
      </w:r>
      <w:r w:rsidR="00CA1940">
        <w:rPr>
          <w:rFonts w:ascii="Arial" w:hAnsi="Arial"/>
          <w:lang w:val="en-GB"/>
        </w:rPr>
        <w:t xml:space="preserve"> benefiting from </w:t>
      </w:r>
      <w:r w:rsidR="003B745B" w:rsidRPr="001161CF">
        <w:rPr>
          <w:rFonts w:ascii="Arial" w:hAnsi="Arial"/>
          <w:lang w:val="en-GB"/>
        </w:rPr>
        <w:t xml:space="preserve">our Market Boost insight, </w:t>
      </w:r>
      <w:r w:rsidR="003B745B" w:rsidRPr="00540AFB">
        <w:rPr>
          <w:rFonts w:ascii="Arial" w:hAnsi="Arial"/>
          <w:lang w:val="en-GB"/>
        </w:rPr>
        <w:t xml:space="preserve">and </w:t>
      </w:r>
      <w:r w:rsidRPr="005C13FE">
        <w:rPr>
          <w:rFonts w:ascii="Arial" w:hAnsi="Arial"/>
          <w:lang w:val="en-GB"/>
        </w:rPr>
        <w:t>3</w:t>
      </w:r>
      <w:r w:rsidR="002400BD" w:rsidRPr="005C13FE">
        <w:rPr>
          <w:rFonts w:ascii="Arial" w:hAnsi="Arial"/>
          <w:lang w:val="en-GB"/>
        </w:rPr>
        <w:t>4</w:t>
      </w:r>
      <w:r w:rsidRPr="00540AFB">
        <w:rPr>
          <w:rFonts w:ascii="Arial" w:hAnsi="Arial"/>
          <w:lang w:val="en-GB"/>
        </w:rPr>
        <w:t xml:space="preserve"> </w:t>
      </w:r>
      <w:r w:rsidR="00CA1940">
        <w:rPr>
          <w:rFonts w:ascii="Arial" w:hAnsi="Arial"/>
          <w:lang w:val="en-GB"/>
        </w:rPr>
        <w:t>partners</w:t>
      </w:r>
      <w:r w:rsidR="007F16A3">
        <w:rPr>
          <w:rFonts w:ascii="Arial" w:hAnsi="Arial"/>
          <w:lang w:val="en-GB"/>
        </w:rPr>
        <w:t xml:space="preserve"> </w:t>
      </w:r>
      <w:r w:rsidR="00341154">
        <w:rPr>
          <w:rFonts w:ascii="Arial" w:hAnsi="Arial"/>
          <w:lang w:val="en-GB"/>
        </w:rPr>
        <w:t xml:space="preserve">using </w:t>
      </w:r>
      <w:r w:rsidR="007F16A3">
        <w:rPr>
          <w:rFonts w:ascii="Arial" w:hAnsi="Arial"/>
          <w:lang w:val="en-GB"/>
        </w:rPr>
        <w:t>our</w:t>
      </w:r>
      <w:r w:rsidRPr="001161CF">
        <w:rPr>
          <w:rFonts w:ascii="Arial" w:hAnsi="Arial"/>
          <w:lang w:val="en-GB"/>
        </w:rPr>
        <w:t xml:space="preserve"> enhanced B2B </w:t>
      </w:r>
      <w:r w:rsidR="00696618">
        <w:rPr>
          <w:rFonts w:ascii="Arial" w:hAnsi="Arial"/>
          <w:lang w:val="en-GB"/>
        </w:rPr>
        <w:t xml:space="preserve">comparison </w:t>
      </w:r>
      <w:r w:rsidRPr="001161CF">
        <w:rPr>
          <w:rFonts w:ascii="Arial" w:hAnsi="Arial"/>
          <w:lang w:val="en-GB"/>
        </w:rPr>
        <w:t>services</w:t>
      </w:r>
      <w:r w:rsidR="00455960">
        <w:rPr>
          <w:rFonts w:ascii="Arial" w:hAnsi="Arial"/>
          <w:lang w:val="en-GB"/>
        </w:rPr>
        <w:t xml:space="preserve">, including household names like </w:t>
      </w:r>
      <w:r w:rsidR="00D157F7">
        <w:rPr>
          <w:rFonts w:ascii="Arial" w:hAnsi="Arial"/>
          <w:lang w:val="en-GB"/>
        </w:rPr>
        <w:t>Rightmove</w:t>
      </w:r>
      <w:r w:rsidR="00455960">
        <w:rPr>
          <w:rFonts w:ascii="Arial" w:hAnsi="Arial"/>
          <w:lang w:val="en-GB"/>
        </w:rPr>
        <w:t xml:space="preserve"> and Autotrader. </w:t>
      </w:r>
    </w:p>
    <w:p w14:paraId="348FFF77" w14:textId="77777777" w:rsidR="00DD0471" w:rsidRDefault="00935C1E" w:rsidP="00610795">
      <w:pPr>
        <w:pStyle w:val="ParaIMS"/>
        <w:jc w:val="both"/>
        <w:rPr>
          <w:rFonts w:ascii="Arial" w:hAnsi="Arial"/>
          <w:lang w:val="en-GB"/>
        </w:rPr>
      </w:pPr>
      <w:r w:rsidRPr="007F16A3">
        <w:rPr>
          <w:rFonts w:ascii="Arial" w:hAnsi="Arial"/>
          <w:lang w:val="en-GB"/>
        </w:rPr>
        <w:t xml:space="preserve">Our </w:t>
      </w:r>
      <w:r w:rsidR="00AD13D8" w:rsidRPr="007F16A3">
        <w:rPr>
          <w:rFonts w:ascii="Arial" w:hAnsi="Arial"/>
          <w:lang w:val="en-GB"/>
        </w:rPr>
        <w:t>financial and strategic growth has been underpinned by our ability to leverage our diverse portfolio of products and brands</w:t>
      </w:r>
      <w:r w:rsidR="00DC02EA" w:rsidRPr="007F16A3">
        <w:rPr>
          <w:rFonts w:ascii="Arial" w:hAnsi="Arial"/>
          <w:lang w:val="en-GB"/>
        </w:rPr>
        <w:t xml:space="preserve">. This is </w:t>
      </w:r>
      <w:r w:rsidR="00AD13D8" w:rsidRPr="007F16A3">
        <w:rPr>
          <w:rFonts w:ascii="Arial" w:hAnsi="Arial"/>
          <w:lang w:val="en-GB"/>
        </w:rPr>
        <w:t>all enabled by the investment we have already made in building out our leading data and tech platform</w:t>
      </w:r>
      <w:r w:rsidR="00DC02EA" w:rsidRPr="007F16A3">
        <w:rPr>
          <w:rFonts w:ascii="Arial" w:hAnsi="Arial"/>
          <w:lang w:val="en-GB"/>
        </w:rPr>
        <w:t xml:space="preserve">, which </w:t>
      </w:r>
      <w:r w:rsidR="00AD13D8" w:rsidRPr="007F16A3">
        <w:rPr>
          <w:rFonts w:ascii="Arial" w:hAnsi="Arial"/>
          <w:lang w:val="en-GB"/>
        </w:rPr>
        <w:t xml:space="preserve">will help us drive future organic growth. </w:t>
      </w:r>
    </w:p>
    <w:p w14:paraId="0D423EB7" w14:textId="1D34817B" w:rsidR="00610795" w:rsidRDefault="00DD5CEC" w:rsidP="00610795">
      <w:pPr>
        <w:pStyle w:val="ParaIMS"/>
        <w:jc w:val="both"/>
        <w:rPr>
          <w:rFonts w:ascii="Arial" w:hAnsi="Arial"/>
          <w:lang w:val="en-GB"/>
        </w:rPr>
      </w:pPr>
      <w:r>
        <w:rPr>
          <w:rFonts w:ascii="Arial" w:hAnsi="Arial"/>
          <w:lang w:val="en-GB"/>
        </w:rPr>
        <w:t>We</w:t>
      </w:r>
      <w:r w:rsidR="00DE1EE5">
        <w:rPr>
          <w:rFonts w:ascii="Arial" w:hAnsi="Arial"/>
          <w:lang w:val="en-GB"/>
        </w:rPr>
        <w:t xml:space="preserve"> ar</w:t>
      </w:r>
      <w:r>
        <w:rPr>
          <w:rFonts w:ascii="Arial" w:hAnsi="Arial"/>
          <w:lang w:val="en-GB"/>
        </w:rPr>
        <w:t>e rolling out new AI</w:t>
      </w:r>
      <w:r w:rsidR="009B1D2A">
        <w:rPr>
          <w:rFonts w:ascii="Arial" w:hAnsi="Arial"/>
          <w:lang w:val="en-GB"/>
        </w:rPr>
        <w:t>-assisted</w:t>
      </w:r>
      <w:r>
        <w:rPr>
          <w:rFonts w:ascii="Arial" w:hAnsi="Arial"/>
          <w:lang w:val="en-GB"/>
        </w:rPr>
        <w:t xml:space="preserve"> customer experiences in insurance, credit cards and energy</w:t>
      </w:r>
      <w:r w:rsidR="004E4C09">
        <w:rPr>
          <w:rFonts w:ascii="Arial" w:hAnsi="Arial"/>
          <w:lang w:val="en-GB"/>
        </w:rPr>
        <w:t xml:space="preserve">, and we’ve </w:t>
      </w:r>
      <w:r w:rsidR="00212F07">
        <w:rPr>
          <w:rFonts w:ascii="Arial" w:hAnsi="Arial"/>
          <w:lang w:val="en-GB"/>
        </w:rPr>
        <w:t xml:space="preserve">launched </w:t>
      </w:r>
      <w:r w:rsidR="00441F93">
        <w:rPr>
          <w:rFonts w:ascii="Arial" w:hAnsi="Arial"/>
          <w:lang w:val="en-GB"/>
        </w:rPr>
        <w:t>multiple products during th</w:t>
      </w:r>
      <w:r w:rsidR="000C089E">
        <w:rPr>
          <w:rFonts w:ascii="Arial" w:hAnsi="Arial"/>
          <w:lang w:val="en-GB"/>
        </w:rPr>
        <w:t>e half</w:t>
      </w:r>
      <w:r w:rsidR="00610795">
        <w:rPr>
          <w:rFonts w:ascii="Arial" w:hAnsi="Arial"/>
          <w:lang w:val="en-GB"/>
        </w:rPr>
        <w:t xml:space="preserve"> focused on new, profitable growth opportunities, such as our</w:t>
      </w:r>
      <w:r w:rsidR="00570BA7">
        <w:rPr>
          <w:rFonts w:ascii="Arial" w:hAnsi="Arial"/>
          <w:lang w:val="en-GB"/>
        </w:rPr>
        <w:t xml:space="preserve"> new </w:t>
      </w:r>
      <w:r w:rsidR="00764088">
        <w:rPr>
          <w:rFonts w:ascii="Arial" w:hAnsi="Arial"/>
          <w:lang w:val="en-GB"/>
        </w:rPr>
        <w:t>l</w:t>
      </w:r>
      <w:r w:rsidR="00570BA7">
        <w:rPr>
          <w:rFonts w:ascii="Arial" w:hAnsi="Arial"/>
          <w:lang w:val="en-GB"/>
        </w:rPr>
        <w:t>ife insurance offer on MoneySuperMarket</w:t>
      </w:r>
      <w:r w:rsidR="00686367">
        <w:rPr>
          <w:rFonts w:ascii="Arial" w:hAnsi="Arial"/>
          <w:lang w:val="en-GB"/>
        </w:rPr>
        <w:t>.</w:t>
      </w:r>
    </w:p>
    <w:p w14:paraId="743A5427" w14:textId="7671E72C" w:rsidR="0099601B" w:rsidRDefault="002E36A8" w:rsidP="00610795">
      <w:pPr>
        <w:pStyle w:val="ParaIMS"/>
        <w:jc w:val="both"/>
        <w:rPr>
          <w:rFonts w:ascii="Arial" w:hAnsi="Arial"/>
          <w:lang w:val="en-GB"/>
        </w:rPr>
      </w:pPr>
      <w:r>
        <w:rPr>
          <w:rFonts w:ascii="Arial" w:hAnsi="Arial"/>
          <w:lang w:val="en-GB"/>
        </w:rPr>
        <w:t>It is</w:t>
      </w:r>
      <w:r w:rsidR="00AD13D8" w:rsidRPr="0099601B">
        <w:rPr>
          <w:rFonts w:ascii="Arial" w:hAnsi="Arial"/>
          <w:lang w:val="en-GB"/>
        </w:rPr>
        <w:t xml:space="preserve"> our brilliant people who deliver all this </w:t>
      </w:r>
      <w:r w:rsidR="00610795" w:rsidRPr="0099601B">
        <w:rPr>
          <w:rFonts w:ascii="Arial" w:hAnsi="Arial"/>
          <w:lang w:val="en-GB"/>
        </w:rPr>
        <w:t>and</w:t>
      </w:r>
      <w:r w:rsidR="00AD13D8" w:rsidRPr="0099601B">
        <w:rPr>
          <w:rFonts w:ascii="Arial" w:hAnsi="Arial"/>
          <w:lang w:val="en-GB"/>
        </w:rPr>
        <w:t xml:space="preserve"> we are </w:t>
      </w:r>
      <w:r w:rsidR="00610795" w:rsidRPr="0099601B">
        <w:rPr>
          <w:rFonts w:ascii="Arial" w:hAnsi="Arial"/>
          <w:lang w:val="en-GB"/>
        </w:rPr>
        <w:t>hugely</w:t>
      </w:r>
      <w:r w:rsidR="00AD13D8" w:rsidRPr="0099601B">
        <w:rPr>
          <w:rFonts w:ascii="Arial" w:hAnsi="Arial"/>
          <w:lang w:val="en-GB"/>
        </w:rPr>
        <w:t xml:space="preserve"> grateful for everything they do - both within the Group, </w:t>
      </w:r>
      <w:r>
        <w:rPr>
          <w:rFonts w:ascii="Arial" w:hAnsi="Arial"/>
          <w:lang w:val="en-GB"/>
        </w:rPr>
        <w:t>and</w:t>
      </w:r>
      <w:r w:rsidR="00AD13D8" w:rsidRPr="0099601B">
        <w:rPr>
          <w:rFonts w:ascii="Arial" w:hAnsi="Arial"/>
          <w:lang w:val="en-GB"/>
        </w:rPr>
        <w:t xml:space="preserve"> more broadly. We are particularly proud of our ongoing </w:t>
      </w:r>
      <w:r w:rsidR="008333AB" w:rsidRPr="0099601B">
        <w:rPr>
          <w:rFonts w:ascii="Arial" w:hAnsi="Arial"/>
          <w:lang w:val="en-GB"/>
        </w:rPr>
        <w:t xml:space="preserve">charity </w:t>
      </w:r>
      <w:r w:rsidR="00AD13D8" w:rsidRPr="0099601B">
        <w:rPr>
          <w:rFonts w:ascii="Arial" w:hAnsi="Arial"/>
          <w:lang w:val="en-GB"/>
        </w:rPr>
        <w:t xml:space="preserve">partnership with CALM </w:t>
      </w:r>
      <w:r w:rsidR="008333AB" w:rsidRPr="0099601B">
        <w:rPr>
          <w:rFonts w:ascii="Arial" w:hAnsi="Arial"/>
          <w:lang w:val="en-GB"/>
        </w:rPr>
        <w:t>(Campaign Against Living Miserably)</w:t>
      </w:r>
      <w:r w:rsidR="00AD3F3F">
        <w:rPr>
          <w:rFonts w:ascii="Arial" w:hAnsi="Arial"/>
          <w:lang w:val="en-GB"/>
        </w:rPr>
        <w:t>. We</w:t>
      </w:r>
      <w:r w:rsidR="00AD13D8" w:rsidRPr="0099601B">
        <w:rPr>
          <w:rFonts w:ascii="Arial" w:hAnsi="Arial"/>
          <w:lang w:val="en-GB"/>
        </w:rPr>
        <w:t xml:space="preserve"> hosted our annual Money Talks event at the Houses of Parliament in May</w:t>
      </w:r>
      <w:r w:rsidR="00CE2E9C">
        <w:rPr>
          <w:rFonts w:ascii="Arial" w:hAnsi="Arial"/>
          <w:lang w:val="en-GB"/>
        </w:rPr>
        <w:t>,</w:t>
      </w:r>
      <w:r w:rsidR="00AD13D8" w:rsidRPr="0099601B">
        <w:rPr>
          <w:rFonts w:ascii="Arial" w:hAnsi="Arial"/>
          <w:lang w:val="en-GB"/>
        </w:rPr>
        <w:t xml:space="preserve"> which is all about raising the profile of financial wellbeing as a critical mental health issue and more broadly supporting the work of this leading suicide </w:t>
      </w:r>
      <w:r w:rsidR="00AD3F3F">
        <w:rPr>
          <w:rFonts w:ascii="Arial" w:hAnsi="Arial"/>
          <w:lang w:val="en-GB"/>
        </w:rPr>
        <w:t>prevention</w:t>
      </w:r>
      <w:r w:rsidR="00AD13D8" w:rsidRPr="0099601B">
        <w:rPr>
          <w:rFonts w:ascii="Arial" w:hAnsi="Arial"/>
          <w:lang w:val="en-GB"/>
        </w:rPr>
        <w:t xml:space="preserve"> charity. </w:t>
      </w:r>
    </w:p>
    <w:p w14:paraId="0ACADE28" w14:textId="3FAB660E" w:rsidR="00F42B5C" w:rsidRPr="00642270" w:rsidRDefault="00F42B5C" w:rsidP="00642270">
      <w:pPr>
        <w:pStyle w:val="ParaIMS"/>
        <w:jc w:val="both"/>
        <w:rPr>
          <w:rFonts w:ascii="Arial" w:hAnsi="Arial"/>
          <w:lang w:val="en-GB"/>
        </w:rPr>
      </w:pPr>
      <w:r w:rsidRPr="00642270">
        <w:rPr>
          <w:rFonts w:ascii="Arial" w:hAnsi="Arial"/>
          <w:lang w:val="en-GB"/>
        </w:rPr>
        <w:t>We see a compelling growth story as we look ahead to 2026, with three key building blocks</w:t>
      </w:r>
      <w:r w:rsidR="007060C8">
        <w:rPr>
          <w:rFonts w:ascii="Arial" w:hAnsi="Arial"/>
          <w:lang w:val="en-GB"/>
        </w:rPr>
        <w:t xml:space="preserve">. </w:t>
      </w:r>
      <w:r w:rsidRPr="00642270">
        <w:rPr>
          <w:rFonts w:ascii="Arial" w:hAnsi="Arial"/>
          <w:lang w:val="en-GB"/>
        </w:rPr>
        <w:t>First, we see significant headroom in our member-based propositions, increasing loyalty and customer lifetime value</w:t>
      </w:r>
      <w:r w:rsidR="00191652">
        <w:rPr>
          <w:rFonts w:ascii="Arial" w:hAnsi="Arial"/>
          <w:lang w:val="en-GB"/>
        </w:rPr>
        <w:t xml:space="preserve">. </w:t>
      </w:r>
      <w:r w:rsidRPr="00642270">
        <w:rPr>
          <w:rFonts w:ascii="Arial" w:hAnsi="Arial"/>
          <w:lang w:val="en-GB"/>
        </w:rPr>
        <w:t xml:space="preserve">Second, our innovative product development pipeline </w:t>
      </w:r>
      <w:r w:rsidR="00530099">
        <w:rPr>
          <w:rFonts w:ascii="Arial" w:hAnsi="Arial"/>
          <w:lang w:val="en-GB"/>
        </w:rPr>
        <w:t xml:space="preserve">to </w:t>
      </w:r>
      <w:r w:rsidRPr="00642270">
        <w:rPr>
          <w:rFonts w:ascii="Arial" w:hAnsi="Arial"/>
          <w:lang w:val="en-GB"/>
        </w:rPr>
        <w:t xml:space="preserve">enhance the customer experience, boost conversion and </w:t>
      </w:r>
      <w:r w:rsidR="00825CBD">
        <w:rPr>
          <w:rFonts w:ascii="Arial" w:hAnsi="Arial"/>
          <w:lang w:val="en-GB"/>
        </w:rPr>
        <w:t>access</w:t>
      </w:r>
      <w:r w:rsidRPr="00642270">
        <w:rPr>
          <w:rFonts w:ascii="Arial" w:hAnsi="Arial"/>
          <w:lang w:val="en-GB"/>
        </w:rPr>
        <w:t xml:space="preserve"> new markets</w:t>
      </w:r>
      <w:r w:rsidR="00642270">
        <w:rPr>
          <w:rFonts w:ascii="Arial" w:hAnsi="Arial"/>
          <w:lang w:val="en-GB"/>
        </w:rPr>
        <w:t xml:space="preserve">. </w:t>
      </w:r>
      <w:r w:rsidRPr="00642270">
        <w:rPr>
          <w:rFonts w:ascii="Arial" w:hAnsi="Arial"/>
          <w:lang w:val="en-GB"/>
        </w:rPr>
        <w:t>And lastly, we are confident about the outlook for growth in our end markets. </w:t>
      </w:r>
    </w:p>
    <w:p w14:paraId="075032DE" w14:textId="77777777" w:rsidR="00642270" w:rsidRDefault="00F42B5C" w:rsidP="00642270">
      <w:pPr>
        <w:pStyle w:val="ParaIMS"/>
        <w:jc w:val="both"/>
        <w:rPr>
          <w:rFonts w:ascii="Arial" w:hAnsi="Arial"/>
          <w:lang w:val="en-GB"/>
        </w:rPr>
      </w:pPr>
      <w:r w:rsidRPr="00642270">
        <w:rPr>
          <w:rFonts w:ascii="Arial" w:hAnsi="Arial"/>
          <w:lang w:val="en-GB"/>
        </w:rPr>
        <w:t>Ultimately, all these factors contribute to the creation of an attractive investment case, characterised by a highly effective and resilient business, that is well positioned to continue to deliver sustained and consistent profitable growth.</w:t>
      </w:r>
    </w:p>
    <w:p w14:paraId="3C965FA1" w14:textId="02581B56" w:rsidR="00642270" w:rsidRPr="00642270" w:rsidRDefault="00DC18C0" w:rsidP="00642270">
      <w:pPr>
        <w:pStyle w:val="ParaIMS"/>
        <w:jc w:val="both"/>
        <w:rPr>
          <w:rFonts w:ascii="Arial" w:hAnsi="Arial"/>
          <w:lang w:val="en-GB"/>
        </w:rPr>
      </w:pPr>
      <w:r>
        <w:rPr>
          <w:rFonts w:ascii="Arial" w:hAnsi="Arial"/>
          <w:lang w:val="en-GB"/>
        </w:rPr>
        <w:t>We</w:t>
      </w:r>
      <w:r w:rsidR="00642270" w:rsidRPr="00413061">
        <w:rPr>
          <w:rFonts w:ascii="Arial" w:hAnsi="Arial"/>
          <w:lang w:val="en-GB"/>
        </w:rPr>
        <w:t xml:space="preserve"> increased our </w:t>
      </w:r>
      <w:r w:rsidR="006D4F4D">
        <w:rPr>
          <w:rFonts w:ascii="Arial" w:hAnsi="Arial"/>
          <w:lang w:val="en-GB"/>
        </w:rPr>
        <w:t xml:space="preserve">adjusted </w:t>
      </w:r>
      <w:r w:rsidR="00642270" w:rsidRPr="00413061">
        <w:rPr>
          <w:rFonts w:ascii="Arial" w:hAnsi="Arial"/>
          <w:lang w:val="en-GB"/>
        </w:rPr>
        <w:t xml:space="preserve">earnings per share by </w:t>
      </w:r>
      <w:r w:rsidR="006D4F4D">
        <w:rPr>
          <w:rFonts w:ascii="Arial" w:hAnsi="Arial"/>
          <w:lang w:val="en-GB"/>
        </w:rPr>
        <w:t>4</w:t>
      </w:r>
      <w:r w:rsidR="00642270" w:rsidRPr="00413061">
        <w:rPr>
          <w:rFonts w:ascii="Arial" w:hAnsi="Arial"/>
          <w:lang w:val="en-GB"/>
        </w:rPr>
        <w:t xml:space="preserve">%, and including the </w:t>
      </w:r>
      <w:r w:rsidR="0044589E">
        <w:rPr>
          <w:rFonts w:ascii="Arial" w:hAnsi="Arial"/>
          <w:lang w:val="en-GB"/>
        </w:rPr>
        <w:t xml:space="preserve">ordinary </w:t>
      </w:r>
      <w:r w:rsidR="00642270" w:rsidRPr="00413061">
        <w:rPr>
          <w:rFonts w:ascii="Arial" w:hAnsi="Arial"/>
          <w:lang w:val="en-GB"/>
        </w:rPr>
        <w:t xml:space="preserve">dividend, will be delivering a package of </w:t>
      </w:r>
      <w:r w:rsidR="00DE6AC1">
        <w:rPr>
          <w:rFonts w:ascii="Arial" w:hAnsi="Arial"/>
          <w:lang w:val="en-GB"/>
        </w:rPr>
        <w:t>shareholder</w:t>
      </w:r>
      <w:r w:rsidR="00642270" w:rsidRPr="00413061">
        <w:rPr>
          <w:rFonts w:ascii="Arial" w:hAnsi="Arial"/>
          <w:lang w:val="en-GB"/>
        </w:rPr>
        <w:t xml:space="preserve"> returns of </w:t>
      </w:r>
      <w:r w:rsidR="004A72BC">
        <w:rPr>
          <w:rFonts w:ascii="Arial" w:hAnsi="Arial"/>
          <w:lang w:val="en-GB"/>
        </w:rPr>
        <w:t>£96</w:t>
      </w:r>
      <w:r w:rsidR="00642270" w:rsidRPr="00413061">
        <w:rPr>
          <w:rFonts w:ascii="Arial" w:hAnsi="Arial"/>
          <w:lang w:val="en-GB"/>
        </w:rPr>
        <w:t>m in 2025, focused on maximising shareholder value.</w:t>
      </w:r>
    </w:p>
    <w:p w14:paraId="1A01A46D" w14:textId="699B7858" w:rsidR="00F42B5C" w:rsidRPr="00642270" w:rsidRDefault="00642270" w:rsidP="00642270">
      <w:pPr>
        <w:pStyle w:val="ParaIMS"/>
        <w:jc w:val="both"/>
        <w:rPr>
          <w:rFonts w:ascii="Arial" w:hAnsi="Arial"/>
          <w:lang w:val="en-GB"/>
        </w:rPr>
      </w:pPr>
      <w:r>
        <w:rPr>
          <w:rFonts w:ascii="Arial" w:hAnsi="Arial"/>
          <w:lang w:val="en-GB"/>
        </w:rPr>
        <w:t>O</w:t>
      </w:r>
      <w:r w:rsidR="00F42B5C" w:rsidRPr="00642270">
        <w:rPr>
          <w:rFonts w:ascii="Arial" w:hAnsi="Arial"/>
          <w:lang w:val="en-GB"/>
        </w:rPr>
        <w:t>ur capital allocation policy is clear</w:t>
      </w:r>
      <w:r>
        <w:rPr>
          <w:rFonts w:ascii="Arial" w:hAnsi="Arial"/>
          <w:lang w:val="en-GB"/>
        </w:rPr>
        <w:t>. W</w:t>
      </w:r>
      <w:r w:rsidR="00F42B5C" w:rsidRPr="00642270">
        <w:rPr>
          <w:rFonts w:ascii="Arial" w:hAnsi="Arial"/>
          <w:lang w:val="en-GB"/>
        </w:rPr>
        <w:t xml:space="preserve">e have a clean balance sheet, maintain an active pipeline of M&amp;A opportunities, </w:t>
      </w:r>
      <w:r w:rsidR="000B1EB5">
        <w:rPr>
          <w:rFonts w:ascii="Arial" w:hAnsi="Arial"/>
          <w:lang w:val="en-GB"/>
        </w:rPr>
        <w:t xml:space="preserve">and are well placed to </w:t>
      </w:r>
      <w:r w:rsidR="00F42B5C" w:rsidRPr="00642270">
        <w:rPr>
          <w:rFonts w:ascii="Arial" w:hAnsi="Arial"/>
          <w:lang w:val="en-GB"/>
        </w:rPr>
        <w:t xml:space="preserve">deliver further value for our shareholders. </w:t>
      </w:r>
    </w:p>
    <w:p w14:paraId="3593AB37" w14:textId="37109762" w:rsidR="00E95C4E" w:rsidRDefault="00E95C4E">
      <w:pPr>
        <w:spacing w:after="160" w:line="259" w:lineRule="auto"/>
        <w:rPr>
          <w:rFonts w:ascii="Arial" w:eastAsia="Times New Roman" w:hAnsi="Arial" w:cs="Times New Roman"/>
          <w:color w:val="C00000"/>
          <w:sz w:val="20"/>
          <w:szCs w:val="20"/>
        </w:rPr>
      </w:pPr>
    </w:p>
    <w:p w14:paraId="315A1061" w14:textId="0B6EFF46" w:rsidR="005C13A3" w:rsidRPr="000727B9" w:rsidRDefault="00BD350A" w:rsidP="00A61319">
      <w:pPr>
        <w:pStyle w:val="ParaIMS"/>
        <w:spacing w:before="0"/>
        <w:rPr>
          <w:rFonts w:ascii="Arial" w:hAnsi="Arial"/>
          <w:b/>
          <w:lang w:val="en-GB"/>
        </w:rPr>
      </w:pPr>
      <w:r w:rsidRPr="000727B9">
        <w:rPr>
          <w:rFonts w:ascii="Arial" w:hAnsi="Arial"/>
          <w:b/>
          <w:lang w:val="en-GB"/>
        </w:rPr>
        <w:t xml:space="preserve">Strategic </w:t>
      </w:r>
      <w:r w:rsidR="00294FD1" w:rsidRPr="000727B9">
        <w:rPr>
          <w:rFonts w:ascii="Arial" w:hAnsi="Arial"/>
          <w:b/>
          <w:lang w:val="en-GB"/>
        </w:rPr>
        <w:t xml:space="preserve">review </w:t>
      </w:r>
    </w:p>
    <w:p w14:paraId="6E1AACBD" w14:textId="6C560E07" w:rsidR="00393F43" w:rsidRPr="005C13FE" w:rsidRDefault="00393F43" w:rsidP="00413061">
      <w:pPr>
        <w:pStyle w:val="ParaIMS"/>
        <w:jc w:val="both"/>
        <w:rPr>
          <w:rFonts w:ascii="Arial" w:hAnsi="Arial"/>
        </w:rPr>
      </w:pPr>
      <w:r w:rsidRPr="005C13FE" w:rsidDel="004E3B97">
        <w:rPr>
          <w:rFonts w:ascii="Arial" w:hAnsi="Arial"/>
        </w:rPr>
        <w:t xml:space="preserve">Our strategy is </w:t>
      </w:r>
      <w:r w:rsidR="004A3494" w:rsidRPr="005C13FE">
        <w:rPr>
          <w:rFonts w:ascii="Arial" w:hAnsi="Arial"/>
        </w:rPr>
        <w:t>centered</w:t>
      </w:r>
      <w:r w:rsidRPr="005C13FE">
        <w:rPr>
          <w:rFonts w:ascii="Arial" w:hAnsi="Arial"/>
        </w:rPr>
        <w:t xml:space="preserve"> on growing our </w:t>
      </w:r>
      <w:r w:rsidRPr="005C13FE" w:rsidDel="004E3B97">
        <w:rPr>
          <w:rFonts w:ascii="Arial" w:hAnsi="Arial"/>
        </w:rPr>
        <w:t>two-sided marketplace</w:t>
      </w:r>
      <w:r w:rsidRPr="005C13FE">
        <w:rPr>
          <w:rFonts w:ascii="Arial" w:hAnsi="Arial"/>
        </w:rPr>
        <w:t>, focused on both customers and providers</w:t>
      </w:r>
      <w:r w:rsidRPr="005C13FE" w:rsidDel="004E3B97">
        <w:rPr>
          <w:rFonts w:ascii="Arial" w:hAnsi="Arial"/>
        </w:rPr>
        <w:t xml:space="preserve">. </w:t>
      </w:r>
    </w:p>
    <w:p w14:paraId="001AAA05" w14:textId="03238D34" w:rsidR="006D70C7" w:rsidRPr="00413061" w:rsidRDefault="00347290" w:rsidP="00413061">
      <w:pPr>
        <w:pStyle w:val="ParaIMS"/>
        <w:jc w:val="both"/>
        <w:rPr>
          <w:rFonts w:ascii="Arial" w:hAnsi="Arial"/>
        </w:rPr>
      </w:pPr>
      <w:r w:rsidRPr="0F781754">
        <w:rPr>
          <w:rFonts w:ascii="Arial" w:hAnsi="Arial"/>
        </w:rPr>
        <w:t>We are</w:t>
      </w:r>
      <w:r w:rsidR="006D70C7" w:rsidRPr="0F781754">
        <w:rPr>
          <w:rFonts w:ascii="Arial" w:hAnsi="Arial"/>
        </w:rPr>
        <w:t xml:space="preserve"> </w:t>
      </w:r>
      <w:r w:rsidR="00EC092C" w:rsidRPr="0F781754">
        <w:rPr>
          <w:rFonts w:ascii="Arial" w:hAnsi="Arial"/>
        </w:rPr>
        <w:t>shifting</w:t>
      </w:r>
      <w:r w:rsidR="006D70C7" w:rsidRPr="0F781754">
        <w:rPr>
          <w:rFonts w:ascii="Arial" w:hAnsi="Arial"/>
        </w:rPr>
        <w:t xml:space="preserve"> our customer base from transactional</w:t>
      </w:r>
      <w:r w:rsidR="0090300F" w:rsidRPr="0F781754">
        <w:rPr>
          <w:rFonts w:ascii="Arial" w:hAnsi="Arial"/>
        </w:rPr>
        <w:t xml:space="preserve"> to member-based models</w:t>
      </w:r>
      <w:r w:rsidR="006D70C7" w:rsidRPr="0F781754">
        <w:rPr>
          <w:rFonts w:ascii="Arial" w:hAnsi="Arial"/>
        </w:rPr>
        <w:t>,</w:t>
      </w:r>
      <w:r w:rsidR="00496AC8" w:rsidRPr="0F781754">
        <w:rPr>
          <w:rFonts w:ascii="Arial" w:hAnsi="Arial"/>
        </w:rPr>
        <w:t xml:space="preserve"> which will over time </w:t>
      </w:r>
      <w:r w:rsidR="00F36FB5" w:rsidRPr="0F781754">
        <w:rPr>
          <w:rFonts w:ascii="Arial" w:hAnsi="Arial"/>
        </w:rPr>
        <w:t xml:space="preserve">lower our reliance on </w:t>
      </w:r>
      <w:r w:rsidR="0020049B" w:rsidRPr="0F781754">
        <w:rPr>
          <w:rFonts w:ascii="Arial" w:hAnsi="Arial"/>
        </w:rPr>
        <w:t xml:space="preserve">paid advertising </w:t>
      </w:r>
      <w:r w:rsidR="0097110A" w:rsidRPr="0F781754">
        <w:rPr>
          <w:rFonts w:ascii="Arial" w:hAnsi="Arial"/>
        </w:rPr>
        <w:t>for customer acquisition.</w:t>
      </w:r>
      <w:r w:rsidR="006D70C7" w:rsidRPr="0F781754">
        <w:rPr>
          <w:rFonts w:ascii="Arial" w:hAnsi="Arial"/>
        </w:rPr>
        <w:t xml:space="preserve"> By providing compelling reasons for members to come to us directly, time and time again, we</w:t>
      </w:r>
      <w:r w:rsidR="008105B9" w:rsidRPr="0F781754">
        <w:rPr>
          <w:rFonts w:ascii="Arial" w:hAnsi="Arial"/>
        </w:rPr>
        <w:t xml:space="preserve"> </w:t>
      </w:r>
      <w:r w:rsidR="00CC37B9">
        <w:rPr>
          <w:rFonts w:ascii="Arial" w:hAnsi="Arial"/>
        </w:rPr>
        <w:t>will</w:t>
      </w:r>
      <w:r w:rsidR="00CC37B9" w:rsidRPr="0F781754">
        <w:rPr>
          <w:rFonts w:ascii="Arial" w:hAnsi="Arial"/>
        </w:rPr>
        <w:t xml:space="preserve"> </w:t>
      </w:r>
      <w:r w:rsidR="006D70C7" w:rsidRPr="0F781754">
        <w:rPr>
          <w:rFonts w:ascii="Arial" w:hAnsi="Arial"/>
        </w:rPr>
        <w:t>increas</w:t>
      </w:r>
      <w:r w:rsidR="00CC37B9">
        <w:rPr>
          <w:rFonts w:ascii="Arial" w:hAnsi="Arial"/>
        </w:rPr>
        <w:t>e</w:t>
      </w:r>
      <w:r w:rsidR="006D70C7" w:rsidRPr="0F781754">
        <w:rPr>
          <w:rFonts w:ascii="Arial" w:hAnsi="Arial"/>
        </w:rPr>
        <w:t xml:space="preserve"> transaction volumes and ultimately grow revenue per </w:t>
      </w:r>
      <w:r w:rsidR="001408A0" w:rsidRPr="0F781754">
        <w:rPr>
          <w:rFonts w:ascii="Arial" w:hAnsi="Arial"/>
        </w:rPr>
        <w:t>customer</w:t>
      </w:r>
      <w:r w:rsidR="006D70C7" w:rsidRPr="0F781754">
        <w:rPr>
          <w:rFonts w:ascii="Arial" w:hAnsi="Arial"/>
        </w:rPr>
        <w:t xml:space="preserve">.  </w:t>
      </w:r>
      <w:r w:rsidR="00B97778" w:rsidRPr="0F781754">
        <w:rPr>
          <w:rFonts w:ascii="Arial" w:hAnsi="Arial"/>
        </w:rPr>
        <w:t>B</w:t>
      </w:r>
      <w:r w:rsidR="006D70C7" w:rsidRPr="0F781754">
        <w:rPr>
          <w:rFonts w:ascii="Arial" w:hAnsi="Arial"/>
        </w:rPr>
        <w:t>y rewarding customer loyalty, we aim to reduce our cost of sales, helping</w:t>
      </w:r>
      <w:r w:rsidR="00A127FF" w:rsidRPr="0F781754">
        <w:rPr>
          <w:rFonts w:ascii="Arial" w:hAnsi="Arial"/>
        </w:rPr>
        <w:t xml:space="preserve"> us</w:t>
      </w:r>
      <w:r w:rsidR="006D70C7" w:rsidRPr="0F781754">
        <w:rPr>
          <w:rFonts w:ascii="Arial" w:hAnsi="Arial"/>
        </w:rPr>
        <w:t xml:space="preserve"> to </w:t>
      </w:r>
      <w:r w:rsidR="00CC4FB6" w:rsidRPr="0F781754">
        <w:rPr>
          <w:rFonts w:ascii="Arial" w:hAnsi="Arial"/>
        </w:rPr>
        <w:t>grow sustainably over the longer term.</w:t>
      </w:r>
    </w:p>
    <w:p w14:paraId="062E2A90" w14:textId="400191C9" w:rsidR="006D70C7" w:rsidRPr="00413061" w:rsidRDefault="002C2F5D" w:rsidP="00413061">
      <w:pPr>
        <w:pStyle w:val="ParaIMS"/>
        <w:jc w:val="both"/>
        <w:rPr>
          <w:rFonts w:ascii="Arial" w:hAnsi="Arial"/>
          <w:lang w:val="en-GB"/>
        </w:rPr>
      </w:pPr>
      <w:r w:rsidRPr="00413061">
        <w:rPr>
          <w:rFonts w:ascii="Arial" w:hAnsi="Arial"/>
          <w:lang w:val="en-GB"/>
        </w:rPr>
        <w:t>F</w:t>
      </w:r>
      <w:r w:rsidR="006D70C7" w:rsidRPr="00413061">
        <w:rPr>
          <w:rFonts w:ascii="Arial" w:hAnsi="Arial"/>
          <w:lang w:val="en-GB"/>
        </w:rPr>
        <w:t>or our providers</w:t>
      </w:r>
      <w:r w:rsidR="00764580" w:rsidRPr="00413061">
        <w:rPr>
          <w:rFonts w:ascii="Arial" w:hAnsi="Arial"/>
          <w:lang w:val="en-GB"/>
        </w:rPr>
        <w:t xml:space="preserve"> we are</w:t>
      </w:r>
      <w:r w:rsidR="006D70C7" w:rsidRPr="00413061">
        <w:rPr>
          <w:rFonts w:ascii="Arial" w:hAnsi="Arial"/>
          <w:lang w:val="en-GB"/>
        </w:rPr>
        <w:t xml:space="preserve"> </w:t>
      </w:r>
      <w:r w:rsidR="00737973">
        <w:rPr>
          <w:rFonts w:ascii="Arial" w:hAnsi="Arial"/>
          <w:lang w:val="en-GB"/>
        </w:rPr>
        <w:t xml:space="preserve">helping </w:t>
      </w:r>
      <w:r w:rsidR="006D70C7" w:rsidRPr="00413061">
        <w:rPr>
          <w:rFonts w:ascii="Arial" w:hAnsi="Arial"/>
          <w:lang w:val="en-GB"/>
        </w:rPr>
        <w:t>them to enhance their businesses because when they do well, we do well.</w:t>
      </w:r>
      <w:r w:rsidR="002B6F89" w:rsidRPr="00413061">
        <w:rPr>
          <w:rFonts w:ascii="Arial" w:hAnsi="Arial"/>
          <w:lang w:val="en-GB"/>
        </w:rPr>
        <w:t xml:space="preserve"> </w:t>
      </w:r>
      <w:r w:rsidR="006D70C7" w:rsidRPr="00413061">
        <w:rPr>
          <w:rFonts w:ascii="Arial" w:hAnsi="Arial"/>
          <w:lang w:val="en-GB"/>
        </w:rPr>
        <w:t xml:space="preserve">Providers </w:t>
      </w:r>
      <w:r w:rsidR="001C3457">
        <w:rPr>
          <w:rFonts w:ascii="Arial" w:hAnsi="Arial"/>
          <w:lang w:val="en-GB"/>
        </w:rPr>
        <w:t>know t</w:t>
      </w:r>
      <w:r w:rsidR="006D70C7" w:rsidRPr="00413061">
        <w:rPr>
          <w:rFonts w:ascii="Arial" w:hAnsi="Arial"/>
          <w:lang w:val="en-GB"/>
        </w:rPr>
        <w:t xml:space="preserve">hat we offer an outstanding consumer experience helping customers get the right </w:t>
      </w:r>
      <w:r w:rsidR="006D70C7" w:rsidRPr="00413061">
        <w:rPr>
          <w:rFonts w:ascii="Arial" w:hAnsi="Arial"/>
          <w:lang w:val="en-GB"/>
        </w:rPr>
        <w:lastRenderedPageBreak/>
        <w:t>product for the</w:t>
      </w:r>
      <w:r w:rsidR="00C54490">
        <w:rPr>
          <w:rFonts w:ascii="Arial" w:hAnsi="Arial"/>
          <w:lang w:val="en-GB"/>
        </w:rPr>
        <w:t>m. We</w:t>
      </w:r>
      <w:r w:rsidR="002B6F89" w:rsidRPr="00413061">
        <w:rPr>
          <w:rFonts w:ascii="Arial" w:hAnsi="Arial"/>
          <w:lang w:val="en-GB"/>
        </w:rPr>
        <w:t xml:space="preserve"> </w:t>
      </w:r>
      <w:r w:rsidR="006D70C7" w:rsidRPr="00413061">
        <w:rPr>
          <w:rFonts w:ascii="Arial" w:hAnsi="Arial"/>
          <w:lang w:val="en-GB"/>
        </w:rPr>
        <w:t>also help them appropriately target their products with our tailored tenancy slots and gain a competitive edge by using our proprietary data insights, both boosting conversion and improving acquisition cost efficiency.</w:t>
      </w:r>
    </w:p>
    <w:p w14:paraId="4C8AA69A" w14:textId="63FCA4D4" w:rsidR="00BA08FB" w:rsidRPr="0008201A" w:rsidRDefault="000727B9" w:rsidP="000727B9">
      <w:pPr>
        <w:pStyle w:val="ParaIMS"/>
        <w:jc w:val="both"/>
        <w:rPr>
          <w:rFonts w:ascii="Arial" w:hAnsi="Arial" w:cs="Arial"/>
          <w:b/>
        </w:rPr>
      </w:pPr>
      <w:r w:rsidRPr="0008201A">
        <w:rPr>
          <w:rFonts w:ascii="Arial" w:hAnsi="Arial" w:cs="Arial"/>
          <w:b/>
        </w:rPr>
        <w:t>Loyal, engaged members</w:t>
      </w:r>
    </w:p>
    <w:p w14:paraId="5CECFF09" w14:textId="671BDDC6" w:rsidR="00915C93" w:rsidRPr="0008201A" w:rsidRDefault="00FF504B" w:rsidP="00915C93">
      <w:pPr>
        <w:pStyle w:val="ParaIMS"/>
        <w:jc w:val="both"/>
        <w:rPr>
          <w:rFonts w:ascii="Arial" w:hAnsi="Arial" w:cs="Arial"/>
        </w:rPr>
      </w:pPr>
      <w:r>
        <w:rPr>
          <w:rFonts w:ascii="Arial" w:hAnsi="Arial" w:cs="Arial"/>
        </w:rPr>
        <w:t>SuperSaveClub, MoneySavingExpert app and Quidco</w:t>
      </w:r>
      <w:r w:rsidR="00411FD1">
        <w:rPr>
          <w:rFonts w:ascii="Arial" w:hAnsi="Arial" w:cs="Arial"/>
        </w:rPr>
        <w:t xml:space="preserve"> make up our member-based models. </w:t>
      </w:r>
    </w:p>
    <w:p w14:paraId="1048A8A9" w14:textId="4ECE95F4" w:rsidR="00FF504B" w:rsidRPr="00FF504B" w:rsidRDefault="00FF504B" w:rsidP="00026F79">
      <w:pPr>
        <w:pStyle w:val="ParaIMS"/>
        <w:jc w:val="both"/>
        <w:rPr>
          <w:rFonts w:ascii="Arial" w:hAnsi="Arial" w:cs="Arial"/>
          <w:b/>
          <w:bCs/>
          <w:i/>
          <w:iCs/>
        </w:rPr>
      </w:pPr>
      <w:r w:rsidRPr="00FF504B">
        <w:rPr>
          <w:rFonts w:ascii="Arial" w:hAnsi="Arial" w:cs="Arial"/>
          <w:b/>
          <w:bCs/>
          <w:i/>
          <w:iCs/>
        </w:rPr>
        <w:t>SuperSaveClub</w:t>
      </w:r>
    </w:p>
    <w:p w14:paraId="5E67BC6A" w14:textId="2DD2EFDC" w:rsidR="00026F79" w:rsidRDefault="00171394" w:rsidP="00026F79">
      <w:pPr>
        <w:pStyle w:val="ParaIMS"/>
        <w:jc w:val="both"/>
        <w:rPr>
          <w:rFonts w:ascii="Arial" w:hAnsi="Arial" w:cs="Arial"/>
        </w:rPr>
      </w:pPr>
      <w:r>
        <w:rPr>
          <w:rFonts w:ascii="Arial" w:hAnsi="Arial" w:cs="Arial"/>
        </w:rPr>
        <w:t>W</w:t>
      </w:r>
      <w:r w:rsidR="0008201A" w:rsidRPr="00B543C2">
        <w:rPr>
          <w:rFonts w:ascii="Arial" w:hAnsi="Arial" w:cs="Arial"/>
        </w:rPr>
        <w:t>e launched in September 2023</w:t>
      </w:r>
      <w:r>
        <w:rPr>
          <w:rFonts w:ascii="Arial" w:hAnsi="Arial" w:cs="Arial"/>
        </w:rPr>
        <w:t xml:space="preserve"> and s</w:t>
      </w:r>
      <w:r w:rsidR="0008201A" w:rsidRPr="00B543C2">
        <w:rPr>
          <w:rFonts w:ascii="Arial" w:hAnsi="Arial" w:cs="Arial"/>
        </w:rPr>
        <w:t>ince then</w:t>
      </w:r>
      <w:r>
        <w:rPr>
          <w:rFonts w:ascii="Arial" w:hAnsi="Arial" w:cs="Arial"/>
        </w:rPr>
        <w:t xml:space="preserve"> </w:t>
      </w:r>
      <w:r w:rsidR="0008201A" w:rsidRPr="00B543C2">
        <w:rPr>
          <w:rFonts w:ascii="Arial" w:hAnsi="Arial" w:cs="Arial"/>
        </w:rPr>
        <w:t xml:space="preserve">have actively built out the proposition, adding nearly all of our key products </w:t>
      </w:r>
      <w:r w:rsidR="00026F79">
        <w:rPr>
          <w:rFonts w:ascii="Arial" w:hAnsi="Arial" w:cs="Arial"/>
        </w:rPr>
        <w:t xml:space="preserve">with the </w:t>
      </w:r>
      <w:r w:rsidR="0008201A" w:rsidRPr="00B543C2">
        <w:rPr>
          <w:rFonts w:ascii="Arial" w:hAnsi="Arial" w:cs="Arial"/>
        </w:rPr>
        <w:t xml:space="preserve">club </w:t>
      </w:r>
      <w:r w:rsidR="00026F79">
        <w:rPr>
          <w:rFonts w:ascii="Arial" w:hAnsi="Arial" w:cs="Arial"/>
        </w:rPr>
        <w:t xml:space="preserve">now </w:t>
      </w:r>
      <w:r w:rsidR="0008201A" w:rsidRPr="00B543C2">
        <w:rPr>
          <w:rFonts w:ascii="Arial" w:hAnsi="Arial" w:cs="Arial"/>
        </w:rPr>
        <w:t>cover</w:t>
      </w:r>
      <w:r w:rsidR="00026F79">
        <w:rPr>
          <w:rFonts w:ascii="Arial" w:hAnsi="Arial" w:cs="Arial"/>
        </w:rPr>
        <w:t>ing</w:t>
      </w:r>
      <w:r w:rsidR="0008201A" w:rsidRPr="00B543C2">
        <w:rPr>
          <w:rFonts w:ascii="Arial" w:hAnsi="Arial" w:cs="Arial"/>
        </w:rPr>
        <w:t xml:space="preserve"> more </w:t>
      </w:r>
      <w:r w:rsidR="0008201A" w:rsidRPr="006F0F46">
        <w:rPr>
          <w:rFonts w:ascii="Arial" w:hAnsi="Arial" w:cs="Arial"/>
        </w:rPr>
        <w:t xml:space="preserve">than </w:t>
      </w:r>
      <w:r w:rsidR="0008201A" w:rsidRPr="005C13FE">
        <w:rPr>
          <w:rFonts w:ascii="Arial" w:hAnsi="Arial" w:cs="Arial"/>
        </w:rPr>
        <w:t>95</w:t>
      </w:r>
      <w:r w:rsidR="0008201A" w:rsidRPr="006F0F46">
        <w:rPr>
          <w:rFonts w:ascii="Arial" w:hAnsi="Arial" w:cs="Arial"/>
        </w:rPr>
        <w:t>% of</w:t>
      </w:r>
      <w:r w:rsidR="0008201A" w:rsidRPr="00B543C2">
        <w:rPr>
          <w:rFonts w:ascii="Arial" w:hAnsi="Arial" w:cs="Arial"/>
        </w:rPr>
        <w:t xml:space="preserve"> </w:t>
      </w:r>
      <w:proofErr w:type="spellStart"/>
      <w:r w:rsidR="0008201A" w:rsidRPr="00B543C2">
        <w:rPr>
          <w:rFonts w:ascii="Arial" w:hAnsi="Arial" w:cs="Arial"/>
        </w:rPr>
        <w:t>MoneySuperMarket’s</w:t>
      </w:r>
      <w:proofErr w:type="spellEnd"/>
      <w:r w:rsidR="0008201A" w:rsidRPr="00B543C2">
        <w:rPr>
          <w:rFonts w:ascii="Arial" w:hAnsi="Arial" w:cs="Arial"/>
        </w:rPr>
        <w:t xml:space="preserve"> products sold by volume.</w:t>
      </w:r>
      <w:r w:rsidR="00026F79">
        <w:rPr>
          <w:rFonts w:ascii="Arial" w:hAnsi="Arial" w:cs="Arial"/>
        </w:rPr>
        <w:t xml:space="preserve"> </w:t>
      </w:r>
    </w:p>
    <w:p w14:paraId="77C01D99" w14:textId="3397EAE9" w:rsidR="0008201A" w:rsidRPr="00026F79" w:rsidRDefault="007A1166" w:rsidP="00026F79">
      <w:pPr>
        <w:pStyle w:val="ParaIMS"/>
        <w:jc w:val="both"/>
        <w:rPr>
          <w:rFonts w:ascii="Arial" w:hAnsi="Arial" w:cs="Arial"/>
        </w:rPr>
      </w:pPr>
      <w:r>
        <w:rPr>
          <w:rFonts w:ascii="Arial" w:hAnsi="Arial" w:cs="Arial"/>
        </w:rPr>
        <w:t>S</w:t>
      </w:r>
      <w:r w:rsidR="00026F79">
        <w:rPr>
          <w:rFonts w:ascii="Arial" w:hAnsi="Arial" w:cs="Arial"/>
        </w:rPr>
        <w:t xml:space="preserve">uperSaveClub offers customers: </w:t>
      </w:r>
    </w:p>
    <w:p w14:paraId="203C7BE2" w14:textId="52EAD119" w:rsidR="0008201A" w:rsidRPr="00026F79" w:rsidRDefault="0008201A" w:rsidP="00026F79">
      <w:pPr>
        <w:pStyle w:val="ParaIMS"/>
        <w:numPr>
          <w:ilvl w:val="0"/>
          <w:numId w:val="33"/>
        </w:numPr>
        <w:jc w:val="both"/>
        <w:rPr>
          <w:rFonts w:ascii="Arial" w:hAnsi="Arial" w:cs="Arial"/>
        </w:rPr>
      </w:pPr>
      <w:r w:rsidRPr="00026F79">
        <w:rPr>
          <w:rFonts w:ascii="Arial" w:hAnsi="Arial" w:cs="Arial"/>
        </w:rPr>
        <w:t xml:space="preserve">A cash reward of up to £20 for every purchase </w:t>
      </w:r>
      <w:r w:rsidR="00026F79">
        <w:rPr>
          <w:rFonts w:ascii="Arial" w:hAnsi="Arial" w:cs="Arial"/>
        </w:rPr>
        <w:t>with</w:t>
      </w:r>
      <w:r w:rsidRPr="00026F79">
        <w:rPr>
          <w:rFonts w:ascii="Arial" w:hAnsi="Arial" w:cs="Arial"/>
        </w:rPr>
        <w:t xml:space="preserve"> customers</w:t>
      </w:r>
      <w:r w:rsidR="00026F79">
        <w:rPr>
          <w:rFonts w:ascii="Arial" w:hAnsi="Arial" w:cs="Arial"/>
        </w:rPr>
        <w:t xml:space="preserve"> able</w:t>
      </w:r>
      <w:r w:rsidRPr="00026F79">
        <w:rPr>
          <w:rFonts w:ascii="Arial" w:hAnsi="Arial" w:cs="Arial"/>
        </w:rPr>
        <w:t xml:space="preserve"> to earn up to £130 </w:t>
      </w:r>
      <w:r w:rsidR="00026F79">
        <w:rPr>
          <w:rFonts w:ascii="Arial" w:hAnsi="Arial" w:cs="Arial"/>
        </w:rPr>
        <w:t>each year</w:t>
      </w:r>
    </w:p>
    <w:p w14:paraId="4B6945F9" w14:textId="3FCEB6AB" w:rsidR="0008201A" w:rsidRPr="00026F79" w:rsidRDefault="0008201A" w:rsidP="00026F79">
      <w:pPr>
        <w:pStyle w:val="ParaIMS"/>
        <w:numPr>
          <w:ilvl w:val="0"/>
          <w:numId w:val="33"/>
        </w:numPr>
        <w:jc w:val="both"/>
        <w:rPr>
          <w:rFonts w:ascii="Arial" w:hAnsi="Arial" w:cs="Arial"/>
        </w:rPr>
      </w:pPr>
      <w:r w:rsidRPr="00026F79">
        <w:rPr>
          <w:rFonts w:ascii="Arial" w:hAnsi="Arial" w:cs="Arial"/>
        </w:rPr>
        <w:t>A</w:t>
      </w:r>
      <w:r w:rsidR="00026F79">
        <w:rPr>
          <w:rFonts w:ascii="Arial" w:hAnsi="Arial" w:cs="Arial"/>
        </w:rPr>
        <w:t xml:space="preserve"> best price guarantee</w:t>
      </w:r>
    </w:p>
    <w:p w14:paraId="20AE3621" w14:textId="232E5841" w:rsidR="0008201A" w:rsidRPr="00026F79" w:rsidRDefault="00026F79" w:rsidP="00026F79">
      <w:pPr>
        <w:pStyle w:val="ParaIMS"/>
        <w:numPr>
          <w:ilvl w:val="0"/>
          <w:numId w:val="33"/>
        </w:numPr>
        <w:jc w:val="both"/>
        <w:rPr>
          <w:rFonts w:ascii="Arial" w:hAnsi="Arial" w:cs="Arial"/>
        </w:rPr>
      </w:pPr>
      <w:r>
        <w:rPr>
          <w:rFonts w:ascii="Arial" w:hAnsi="Arial" w:cs="Arial"/>
        </w:rPr>
        <w:t xml:space="preserve">A simple and easy </w:t>
      </w:r>
      <w:r w:rsidR="0008201A" w:rsidRPr="00026F79">
        <w:rPr>
          <w:rFonts w:ascii="Arial" w:hAnsi="Arial" w:cs="Arial"/>
        </w:rPr>
        <w:t xml:space="preserve">customer interaction </w:t>
      </w:r>
      <w:r>
        <w:rPr>
          <w:rFonts w:ascii="Arial" w:hAnsi="Arial" w:cs="Arial"/>
        </w:rPr>
        <w:t xml:space="preserve">which </w:t>
      </w:r>
      <w:r w:rsidR="0008201A" w:rsidRPr="00026F79">
        <w:rPr>
          <w:rFonts w:ascii="Arial" w:hAnsi="Arial" w:cs="Arial"/>
        </w:rPr>
        <w:t>us</w:t>
      </w:r>
      <w:r w:rsidR="00431CBC">
        <w:rPr>
          <w:rFonts w:ascii="Arial" w:hAnsi="Arial" w:cs="Arial"/>
        </w:rPr>
        <w:t>es</w:t>
      </w:r>
      <w:r w:rsidR="0008201A" w:rsidRPr="00026F79">
        <w:rPr>
          <w:rFonts w:ascii="Arial" w:hAnsi="Arial" w:cs="Arial"/>
        </w:rPr>
        <w:t xml:space="preserve"> their data to skip lengthy application forms</w:t>
      </w:r>
    </w:p>
    <w:p w14:paraId="1E88E20F" w14:textId="1A7F2EAF" w:rsidR="00A55953" w:rsidRDefault="0008201A" w:rsidP="00A55953">
      <w:pPr>
        <w:pStyle w:val="ParaIMS"/>
        <w:rPr>
          <w:rFonts w:ascii="Arial" w:hAnsi="Arial" w:cs="Arial"/>
        </w:rPr>
      </w:pPr>
      <w:r w:rsidRPr="00026F79">
        <w:rPr>
          <w:rFonts w:ascii="Arial" w:hAnsi="Arial" w:cs="Arial"/>
        </w:rPr>
        <w:t xml:space="preserve">In addition, we increasingly store key product and policy data, offer free credit monitoring services, and specially selected cashback and retailer discounts which </w:t>
      </w:r>
      <w:r w:rsidR="00D019D3">
        <w:rPr>
          <w:rFonts w:ascii="Arial" w:hAnsi="Arial" w:cs="Arial"/>
        </w:rPr>
        <w:t>encourages</w:t>
      </w:r>
      <w:r w:rsidRPr="00026F79">
        <w:rPr>
          <w:rFonts w:ascii="Arial" w:hAnsi="Arial" w:cs="Arial"/>
        </w:rPr>
        <w:t xml:space="preserve"> further engagement. </w:t>
      </w:r>
    </w:p>
    <w:p w14:paraId="365C4AF7" w14:textId="06867E92" w:rsidR="009450FC" w:rsidRPr="00DA53C4" w:rsidRDefault="00A55953" w:rsidP="00DA53C4">
      <w:pPr>
        <w:pStyle w:val="ParaIMS"/>
        <w:jc w:val="both"/>
        <w:rPr>
          <w:rFonts w:ascii="Arial" w:hAnsi="Arial" w:cs="Arial"/>
        </w:rPr>
      </w:pPr>
      <w:r>
        <w:rPr>
          <w:rFonts w:ascii="Arial" w:hAnsi="Arial" w:cs="Arial"/>
        </w:rPr>
        <w:t>With over</w:t>
      </w:r>
      <w:r w:rsidRPr="00431CBC">
        <w:rPr>
          <w:rFonts w:ascii="Arial" w:hAnsi="Arial" w:cs="Arial"/>
        </w:rPr>
        <w:t xml:space="preserve"> 1.5 million</w:t>
      </w:r>
      <w:r>
        <w:rPr>
          <w:rFonts w:ascii="Arial" w:hAnsi="Arial" w:cs="Arial"/>
        </w:rPr>
        <w:t xml:space="preserve"> SuperSaveClub members, </w:t>
      </w:r>
      <w:r w:rsidR="009450FC" w:rsidRPr="00DA53C4">
        <w:rPr>
          <w:rFonts w:ascii="Arial" w:hAnsi="Arial" w:cs="Arial"/>
        </w:rPr>
        <w:t xml:space="preserve">we </w:t>
      </w:r>
      <w:r>
        <w:rPr>
          <w:rFonts w:ascii="Arial" w:hAnsi="Arial" w:cs="Arial"/>
        </w:rPr>
        <w:t xml:space="preserve">can </w:t>
      </w:r>
      <w:r w:rsidR="009450FC" w:rsidRPr="00DA53C4">
        <w:rPr>
          <w:rFonts w:ascii="Arial" w:hAnsi="Arial" w:cs="Arial"/>
        </w:rPr>
        <w:t xml:space="preserve">see consistency in trends as we build out the member base. In short, the Club is achieving what we hoped, because when we compare with a baseline traditional MoneySuperMarket users, we see: </w:t>
      </w:r>
    </w:p>
    <w:p w14:paraId="0DB4B947" w14:textId="62AD23DE" w:rsidR="009450FC" w:rsidRPr="00DA53C4" w:rsidRDefault="009450FC" w:rsidP="00DA53C4">
      <w:pPr>
        <w:pStyle w:val="ParaIMS"/>
        <w:numPr>
          <w:ilvl w:val="0"/>
          <w:numId w:val="33"/>
        </w:numPr>
        <w:jc w:val="both"/>
        <w:rPr>
          <w:rFonts w:ascii="Arial" w:hAnsi="Arial" w:cs="Arial"/>
        </w:rPr>
      </w:pPr>
      <w:r w:rsidRPr="00DA53C4">
        <w:rPr>
          <w:rFonts w:ascii="Arial" w:hAnsi="Arial" w:cs="Arial"/>
        </w:rPr>
        <w:t xml:space="preserve">40% more customers are coming to us directly for their second purchase,  </w:t>
      </w:r>
    </w:p>
    <w:p w14:paraId="6934A092" w14:textId="33EE3001" w:rsidR="009450FC" w:rsidRPr="00DA53C4" w:rsidRDefault="00301D9D" w:rsidP="00DA53C4">
      <w:pPr>
        <w:pStyle w:val="ParaIMS"/>
        <w:numPr>
          <w:ilvl w:val="0"/>
          <w:numId w:val="33"/>
        </w:numPr>
        <w:jc w:val="both"/>
        <w:rPr>
          <w:rFonts w:ascii="Arial" w:hAnsi="Arial" w:cs="Arial"/>
        </w:rPr>
      </w:pPr>
      <w:r>
        <w:rPr>
          <w:rFonts w:ascii="Arial" w:hAnsi="Arial" w:cs="Arial"/>
        </w:rPr>
        <w:t>M</w:t>
      </w:r>
      <w:r w:rsidR="009450FC" w:rsidRPr="00DA53C4">
        <w:rPr>
          <w:rFonts w:ascii="Arial" w:hAnsi="Arial" w:cs="Arial"/>
        </w:rPr>
        <w:t>embers are then buying more from us, with a 3x increase in renewals, and a 3x increase in second purchases</w:t>
      </w:r>
    </w:p>
    <w:p w14:paraId="47D8470C" w14:textId="63111CD6" w:rsidR="009450FC" w:rsidRPr="00301D9D" w:rsidRDefault="00301D9D" w:rsidP="00DA53C4">
      <w:pPr>
        <w:pStyle w:val="ParaIMS"/>
        <w:numPr>
          <w:ilvl w:val="0"/>
          <w:numId w:val="33"/>
        </w:numPr>
        <w:jc w:val="both"/>
        <w:rPr>
          <w:rFonts w:ascii="Arial" w:hAnsi="Arial" w:cs="Arial"/>
        </w:rPr>
      </w:pPr>
      <w:r w:rsidRPr="00301D9D">
        <w:rPr>
          <w:rFonts w:ascii="Arial" w:hAnsi="Arial" w:cs="Arial"/>
        </w:rPr>
        <w:t>A</w:t>
      </w:r>
      <w:r w:rsidR="009450FC" w:rsidRPr="00DA53C4">
        <w:rPr>
          <w:rFonts w:ascii="Arial" w:hAnsi="Arial" w:cs="Arial"/>
        </w:rPr>
        <w:t>nd</w:t>
      </w:r>
      <w:r>
        <w:rPr>
          <w:rFonts w:ascii="Arial" w:hAnsi="Arial" w:cs="Arial"/>
        </w:rPr>
        <w:t xml:space="preserve"> these members are </w:t>
      </w:r>
      <w:r w:rsidR="009450FC" w:rsidRPr="00DA53C4">
        <w:rPr>
          <w:rFonts w:ascii="Arial" w:hAnsi="Arial" w:cs="Arial"/>
        </w:rPr>
        <w:t>also more engaged with a 2x increase in their propensity to interact with CRM and a 4x increase in the take up of the MSM app.</w:t>
      </w:r>
    </w:p>
    <w:p w14:paraId="074F9AEC" w14:textId="2D7F9AFA" w:rsidR="006A7EF2" w:rsidRDefault="00F40513" w:rsidP="006A7EF2">
      <w:pPr>
        <w:pStyle w:val="ParaIMS"/>
        <w:jc w:val="both"/>
        <w:rPr>
          <w:rFonts w:ascii="Arial" w:hAnsi="Arial" w:cs="Arial"/>
        </w:rPr>
      </w:pPr>
      <w:r>
        <w:rPr>
          <w:rFonts w:ascii="Arial" w:hAnsi="Arial" w:cs="Arial"/>
        </w:rPr>
        <w:t>The clu</w:t>
      </w:r>
      <w:r w:rsidR="00301D9D">
        <w:rPr>
          <w:rFonts w:ascii="Arial" w:hAnsi="Arial" w:cs="Arial"/>
        </w:rPr>
        <w:t>b</w:t>
      </w:r>
      <w:r>
        <w:rPr>
          <w:rFonts w:ascii="Arial" w:hAnsi="Arial" w:cs="Arial"/>
        </w:rPr>
        <w:t xml:space="preserve"> has not yet been live for two years, </w:t>
      </w:r>
      <w:r w:rsidR="00F30268">
        <w:rPr>
          <w:rFonts w:ascii="Arial" w:hAnsi="Arial" w:cs="Arial"/>
        </w:rPr>
        <w:t xml:space="preserve">and we’re still </w:t>
      </w:r>
      <w:r w:rsidR="0008201A" w:rsidRPr="007F1877">
        <w:rPr>
          <w:rFonts w:ascii="Arial" w:hAnsi="Arial" w:cs="Arial"/>
        </w:rPr>
        <w:t xml:space="preserve">evolving the proposition and learning more about the </w:t>
      </w:r>
      <w:proofErr w:type="spellStart"/>
      <w:r w:rsidR="0008201A" w:rsidRPr="007F1877">
        <w:rPr>
          <w:rFonts w:ascii="Arial" w:hAnsi="Arial" w:cs="Arial"/>
        </w:rPr>
        <w:t>behaviours</w:t>
      </w:r>
      <w:proofErr w:type="spellEnd"/>
      <w:r w:rsidR="0008201A" w:rsidRPr="007F1877">
        <w:rPr>
          <w:rFonts w:ascii="Arial" w:hAnsi="Arial" w:cs="Arial"/>
        </w:rPr>
        <w:t xml:space="preserve"> of members</w:t>
      </w:r>
      <w:r w:rsidR="00F30268">
        <w:rPr>
          <w:rFonts w:ascii="Arial" w:hAnsi="Arial" w:cs="Arial"/>
        </w:rPr>
        <w:t xml:space="preserve">. But </w:t>
      </w:r>
      <w:r w:rsidR="0008201A" w:rsidRPr="007F1877">
        <w:rPr>
          <w:rFonts w:ascii="Arial" w:hAnsi="Arial" w:cs="Arial"/>
        </w:rPr>
        <w:t xml:space="preserve">it is clear that the club is growing customer loyalty </w:t>
      </w:r>
      <w:r w:rsidR="00265E94">
        <w:rPr>
          <w:rFonts w:ascii="Arial" w:hAnsi="Arial" w:cs="Arial"/>
        </w:rPr>
        <w:t>and</w:t>
      </w:r>
      <w:r w:rsidR="0008201A" w:rsidRPr="007F1877">
        <w:rPr>
          <w:rFonts w:ascii="Arial" w:hAnsi="Arial" w:cs="Arial"/>
        </w:rPr>
        <w:t xml:space="preserve"> retention, which in time </w:t>
      </w:r>
      <w:r w:rsidR="00F62D76">
        <w:rPr>
          <w:rFonts w:ascii="Arial" w:hAnsi="Arial" w:cs="Arial"/>
        </w:rPr>
        <w:t xml:space="preserve">we expect </w:t>
      </w:r>
      <w:r w:rsidR="0008201A" w:rsidRPr="007F1877">
        <w:rPr>
          <w:rFonts w:ascii="Arial" w:hAnsi="Arial" w:cs="Arial"/>
        </w:rPr>
        <w:t>will reduce our reliance on paid-marketing</w:t>
      </w:r>
      <w:r w:rsidR="00DD0B16">
        <w:rPr>
          <w:rFonts w:ascii="Arial" w:hAnsi="Arial" w:cs="Arial"/>
        </w:rPr>
        <w:t>.</w:t>
      </w:r>
    </w:p>
    <w:p w14:paraId="118DBD4F" w14:textId="49437798" w:rsidR="008A19E0" w:rsidRDefault="0008201A" w:rsidP="00E31984">
      <w:pPr>
        <w:pStyle w:val="ParaIMS"/>
        <w:jc w:val="both"/>
        <w:rPr>
          <w:rFonts w:ascii="Arial" w:hAnsi="Arial" w:cs="Arial"/>
        </w:rPr>
      </w:pPr>
      <w:r w:rsidRPr="007F1877">
        <w:rPr>
          <w:rFonts w:ascii="Arial" w:hAnsi="Arial" w:cs="Arial"/>
        </w:rPr>
        <w:t xml:space="preserve">The growth rate of SuperSaveClub members has </w:t>
      </w:r>
      <w:r w:rsidR="003810B5">
        <w:rPr>
          <w:rFonts w:ascii="Arial" w:hAnsi="Arial" w:cs="Arial"/>
        </w:rPr>
        <w:t>increased</w:t>
      </w:r>
      <w:r w:rsidRPr="007F1877">
        <w:rPr>
          <w:rFonts w:ascii="Arial" w:hAnsi="Arial" w:cs="Arial"/>
        </w:rPr>
        <w:t xml:space="preserve"> in line with expectations, with the club currently accounting for </w:t>
      </w:r>
      <w:r w:rsidR="00C00DDD">
        <w:rPr>
          <w:rFonts w:ascii="Arial" w:hAnsi="Arial" w:cs="Arial"/>
        </w:rPr>
        <w:t>14</w:t>
      </w:r>
      <w:r w:rsidRPr="007F1877">
        <w:rPr>
          <w:rFonts w:ascii="Arial" w:hAnsi="Arial" w:cs="Arial"/>
        </w:rPr>
        <w:t xml:space="preserve">% of our </w:t>
      </w:r>
      <w:r w:rsidR="00CD43A1">
        <w:rPr>
          <w:rFonts w:ascii="Arial" w:hAnsi="Arial" w:cs="Arial"/>
        </w:rPr>
        <w:t>revenue</w:t>
      </w:r>
      <w:r w:rsidRPr="007F1877">
        <w:rPr>
          <w:rFonts w:ascii="Arial" w:hAnsi="Arial" w:cs="Arial"/>
        </w:rPr>
        <w:t xml:space="preserve">. </w:t>
      </w:r>
      <w:r w:rsidR="006A7EF2">
        <w:rPr>
          <w:rFonts w:ascii="Arial" w:hAnsi="Arial" w:cs="Arial"/>
        </w:rPr>
        <w:t xml:space="preserve">Crucially, </w:t>
      </w:r>
      <w:r w:rsidRPr="007F1877">
        <w:rPr>
          <w:rFonts w:ascii="Arial" w:hAnsi="Arial" w:cs="Arial"/>
        </w:rPr>
        <w:t xml:space="preserve">going forwards we continue to see significant headroom for continued member growth, which is why we’re investing in </w:t>
      </w:r>
      <w:r w:rsidR="002D7F99">
        <w:rPr>
          <w:rFonts w:ascii="Arial" w:hAnsi="Arial" w:cs="Arial"/>
        </w:rPr>
        <w:t>First Purchase Rewards</w:t>
      </w:r>
      <w:r w:rsidR="003216E5">
        <w:rPr>
          <w:rFonts w:ascii="Arial" w:hAnsi="Arial" w:cs="Arial"/>
        </w:rPr>
        <w:t xml:space="preserve">. When we launched, customers were initially </w:t>
      </w:r>
      <w:r w:rsidR="00714DBC">
        <w:rPr>
          <w:rFonts w:ascii="Arial" w:hAnsi="Arial" w:cs="Arial"/>
        </w:rPr>
        <w:t>invited to join the Club after their first purchase and</w:t>
      </w:r>
      <w:r w:rsidR="00083C2F">
        <w:rPr>
          <w:rFonts w:ascii="Arial" w:hAnsi="Arial" w:cs="Arial"/>
        </w:rPr>
        <w:t xml:space="preserve"> they began to earn rewards from their second purchase onwards. To </w:t>
      </w:r>
      <w:r w:rsidR="00FF269F">
        <w:rPr>
          <w:rFonts w:ascii="Arial" w:hAnsi="Arial" w:cs="Arial"/>
        </w:rPr>
        <w:t>bring members into our ecosystem earlier,</w:t>
      </w:r>
      <w:r w:rsidR="00714DBC">
        <w:rPr>
          <w:rFonts w:ascii="Arial" w:hAnsi="Arial" w:cs="Arial"/>
        </w:rPr>
        <w:t xml:space="preserve"> First Purchase Reward</w:t>
      </w:r>
      <w:r w:rsidR="008A19E0">
        <w:rPr>
          <w:rFonts w:ascii="Arial" w:hAnsi="Arial" w:cs="Arial"/>
        </w:rPr>
        <w:t xml:space="preserve"> offers an incentive to members on their first purchase</w:t>
      </w:r>
      <w:r w:rsidR="00FF269F">
        <w:rPr>
          <w:rFonts w:ascii="Arial" w:hAnsi="Arial" w:cs="Arial"/>
        </w:rPr>
        <w:t xml:space="preserve">. </w:t>
      </w:r>
    </w:p>
    <w:p w14:paraId="23982B71" w14:textId="36A353A0" w:rsidR="00E31984" w:rsidRPr="00E31984" w:rsidRDefault="00D21C17" w:rsidP="00E31984">
      <w:pPr>
        <w:pStyle w:val="ParaIMS"/>
        <w:jc w:val="both"/>
        <w:rPr>
          <w:rFonts w:ascii="Arial" w:hAnsi="Arial" w:cs="Arial"/>
        </w:rPr>
      </w:pPr>
      <w:r w:rsidRPr="005C13FE">
        <w:rPr>
          <w:rFonts w:ascii="Arial" w:hAnsi="Arial" w:cs="Arial"/>
        </w:rPr>
        <w:t xml:space="preserve">This </w:t>
      </w:r>
      <w:r w:rsidR="00FF269F" w:rsidRPr="005C13FE">
        <w:rPr>
          <w:rFonts w:ascii="Arial" w:hAnsi="Arial" w:cs="Arial"/>
        </w:rPr>
        <w:t>investment</w:t>
      </w:r>
      <w:r w:rsidRPr="005C13FE">
        <w:rPr>
          <w:rFonts w:ascii="Arial" w:hAnsi="Arial" w:cs="Arial"/>
        </w:rPr>
        <w:t xml:space="preserve"> does come with a</w:t>
      </w:r>
      <w:r w:rsidR="00F64D99">
        <w:rPr>
          <w:rFonts w:ascii="Arial" w:hAnsi="Arial" w:cs="Arial"/>
        </w:rPr>
        <w:t>n immediate cost, creating a drag on</w:t>
      </w:r>
      <w:r w:rsidRPr="005C13FE" w:rsidDel="00F64D99">
        <w:rPr>
          <w:rFonts w:ascii="Arial" w:hAnsi="Arial" w:cs="Arial"/>
        </w:rPr>
        <w:t xml:space="preserve"> </w:t>
      </w:r>
      <w:r w:rsidR="00A02756" w:rsidRPr="005C13FE">
        <w:rPr>
          <w:rFonts w:ascii="Arial" w:hAnsi="Arial" w:cs="Arial"/>
        </w:rPr>
        <w:t>gross margin</w:t>
      </w:r>
      <w:r w:rsidR="006946A3" w:rsidRPr="005C13FE">
        <w:rPr>
          <w:rFonts w:ascii="Arial" w:hAnsi="Arial" w:cs="Arial"/>
        </w:rPr>
        <w:t xml:space="preserve">, </w:t>
      </w:r>
      <w:r w:rsidR="009740C4">
        <w:rPr>
          <w:rFonts w:ascii="Arial" w:hAnsi="Arial" w:cs="Arial"/>
        </w:rPr>
        <w:t xml:space="preserve">however, </w:t>
      </w:r>
      <w:r w:rsidR="006946A3" w:rsidRPr="005C13FE">
        <w:rPr>
          <w:rFonts w:ascii="Arial" w:hAnsi="Arial" w:cs="Arial"/>
        </w:rPr>
        <w:t>we</w:t>
      </w:r>
      <w:r w:rsidR="00A02756" w:rsidRPr="005C13FE">
        <w:rPr>
          <w:rFonts w:ascii="Arial" w:hAnsi="Arial" w:cs="Arial"/>
        </w:rPr>
        <w:t xml:space="preserve"> </w:t>
      </w:r>
      <w:r w:rsidRPr="005C13FE">
        <w:rPr>
          <w:rFonts w:ascii="Arial" w:hAnsi="Arial" w:cs="Arial"/>
        </w:rPr>
        <w:t xml:space="preserve">believe </w:t>
      </w:r>
      <w:r w:rsidR="009740C4">
        <w:rPr>
          <w:rFonts w:ascii="Arial" w:hAnsi="Arial" w:cs="Arial"/>
        </w:rPr>
        <w:t>this is a</w:t>
      </w:r>
      <w:r w:rsidR="00E41EF0" w:rsidRPr="005C13FE">
        <w:rPr>
          <w:rFonts w:ascii="Arial" w:hAnsi="Arial" w:cs="Arial"/>
        </w:rPr>
        <w:t xml:space="preserve"> beneficial investment in order</w:t>
      </w:r>
      <w:r w:rsidR="00A02756" w:rsidRPr="005C13FE">
        <w:rPr>
          <w:rFonts w:ascii="Arial" w:hAnsi="Arial" w:cs="Arial"/>
        </w:rPr>
        <w:t xml:space="preserve"> to create a stronger customer base over the longer term</w:t>
      </w:r>
      <w:r w:rsidR="003B4975" w:rsidRPr="005C13FE">
        <w:rPr>
          <w:rFonts w:ascii="Arial" w:hAnsi="Arial" w:cs="Arial"/>
        </w:rPr>
        <w:t>.</w:t>
      </w:r>
      <w:r w:rsidRPr="005C13FE">
        <w:rPr>
          <w:rFonts w:ascii="Arial" w:hAnsi="Arial" w:cs="Arial"/>
        </w:rPr>
        <w:t xml:space="preserve"> </w:t>
      </w:r>
    </w:p>
    <w:p w14:paraId="27BE2E19" w14:textId="4D639D83" w:rsidR="00E31984" w:rsidRDefault="000727B9" w:rsidP="00FC2C53">
      <w:pPr>
        <w:pStyle w:val="ParaIMS"/>
        <w:jc w:val="both"/>
        <w:rPr>
          <w:rFonts w:ascii="Arial" w:hAnsi="Arial" w:cs="Arial"/>
          <w:b/>
          <w:i/>
          <w:iCs/>
          <w:lang w:val="en-GB"/>
        </w:rPr>
      </w:pPr>
      <w:r w:rsidRPr="00E31984">
        <w:rPr>
          <w:rFonts w:ascii="Arial" w:hAnsi="Arial" w:cs="Arial"/>
          <w:b/>
          <w:i/>
          <w:iCs/>
          <w:lang w:val="en-GB"/>
        </w:rPr>
        <w:t>MoneySavingExpert App (MSE</w:t>
      </w:r>
      <w:r w:rsidR="00044A35">
        <w:rPr>
          <w:rFonts w:ascii="Arial" w:hAnsi="Arial" w:cs="Arial"/>
          <w:b/>
          <w:i/>
          <w:iCs/>
          <w:lang w:val="en-GB"/>
        </w:rPr>
        <w:t xml:space="preserve"> </w:t>
      </w:r>
      <w:r w:rsidR="0066767B">
        <w:rPr>
          <w:rFonts w:ascii="Arial" w:hAnsi="Arial" w:cs="Arial"/>
          <w:b/>
          <w:i/>
          <w:iCs/>
          <w:lang w:val="en-GB"/>
        </w:rPr>
        <w:t>a</w:t>
      </w:r>
      <w:r w:rsidR="00044A35">
        <w:rPr>
          <w:rFonts w:ascii="Arial" w:hAnsi="Arial" w:cs="Arial"/>
          <w:b/>
          <w:i/>
          <w:iCs/>
          <w:lang w:val="en-GB"/>
        </w:rPr>
        <w:t>pp</w:t>
      </w:r>
      <w:r w:rsidRPr="00E31984">
        <w:rPr>
          <w:rFonts w:ascii="Arial" w:hAnsi="Arial" w:cs="Arial"/>
          <w:b/>
          <w:i/>
          <w:iCs/>
          <w:lang w:val="en-GB"/>
        </w:rPr>
        <w:t xml:space="preserve">) </w:t>
      </w:r>
    </w:p>
    <w:p w14:paraId="41EF8FA6" w14:textId="019E9631" w:rsidR="003E5035" w:rsidRPr="00E31984" w:rsidRDefault="003E5035" w:rsidP="00FC2C53">
      <w:pPr>
        <w:pStyle w:val="ParaIMS"/>
        <w:jc w:val="both"/>
        <w:rPr>
          <w:rFonts w:ascii="Arial" w:hAnsi="Arial" w:cs="Arial"/>
          <w:b/>
          <w:i/>
          <w:iCs/>
          <w:lang w:val="en-GB"/>
        </w:rPr>
      </w:pPr>
      <w:r w:rsidRPr="00FC2C53">
        <w:rPr>
          <w:rFonts w:ascii="Arial" w:hAnsi="Arial" w:cs="Arial"/>
        </w:rPr>
        <w:t xml:space="preserve">MoneySavingExpert is the UK’s leading consumer finance platform </w:t>
      </w:r>
      <w:r w:rsidR="001F7DB8">
        <w:rPr>
          <w:rFonts w:ascii="Arial" w:hAnsi="Arial" w:cs="Arial"/>
        </w:rPr>
        <w:t xml:space="preserve">and </w:t>
      </w:r>
      <w:r w:rsidR="009E173C">
        <w:rPr>
          <w:rFonts w:ascii="Arial" w:hAnsi="Arial" w:cs="Arial"/>
        </w:rPr>
        <w:t>the four</w:t>
      </w:r>
      <w:r w:rsidR="0040306F">
        <w:rPr>
          <w:rFonts w:ascii="Arial" w:hAnsi="Arial" w:cs="Arial"/>
        </w:rPr>
        <w:t>th most recommended brand in the UK</w:t>
      </w:r>
      <w:r w:rsidR="00815100">
        <w:rPr>
          <w:rStyle w:val="FootnoteReference"/>
          <w:rFonts w:ascii="Arial" w:hAnsi="Arial"/>
        </w:rPr>
        <w:footnoteReference w:id="3"/>
      </w:r>
      <w:r w:rsidR="0031412C">
        <w:rPr>
          <w:rFonts w:ascii="Arial" w:hAnsi="Arial" w:cs="Arial"/>
        </w:rPr>
        <w:t xml:space="preserve">. It </w:t>
      </w:r>
      <w:r w:rsidRPr="00FC2C53">
        <w:rPr>
          <w:rFonts w:ascii="Arial" w:hAnsi="Arial" w:cs="Arial"/>
        </w:rPr>
        <w:t>plays an important strategic role in broadening our reach and deepening customer relationships.</w:t>
      </w:r>
    </w:p>
    <w:p w14:paraId="7EE217C6" w14:textId="25E290F1" w:rsidR="003E5035" w:rsidRPr="00FC2C53" w:rsidRDefault="003E5035" w:rsidP="00FC2C53">
      <w:pPr>
        <w:pStyle w:val="ParaIMS"/>
        <w:jc w:val="both"/>
        <w:rPr>
          <w:rFonts w:ascii="Arial" w:hAnsi="Arial" w:cs="Arial"/>
        </w:rPr>
      </w:pPr>
      <w:r w:rsidRPr="00FC2C53">
        <w:rPr>
          <w:rFonts w:ascii="Arial" w:hAnsi="Arial" w:cs="Arial"/>
        </w:rPr>
        <w:t xml:space="preserve">MSE has a highly engaged, loyal, and growing user base, with </w:t>
      </w:r>
      <w:r w:rsidRPr="00301D9D">
        <w:rPr>
          <w:rFonts w:ascii="Arial" w:hAnsi="Arial" w:cs="Arial"/>
        </w:rPr>
        <w:t>over 9.5</w:t>
      </w:r>
      <w:r w:rsidRPr="00FC2C53">
        <w:rPr>
          <w:rFonts w:ascii="Arial" w:hAnsi="Arial" w:cs="Arial"/>
        </w:rPr>
        <w:t xml:space="preserve"> million subscribers receiving Martin Lewis’ money saving </w:t>
      </w:r>
      <w:r w:rsidR="007463E4">
        <w:rPr>
          <w:rFonts w:ascii="Arial" w:hAnsi="Arial" w:cs="Arial"/>
        </w:rPr>
        <w:t xml:space="preserve">email </w:t>
      </w:r>
      <w:r w:rsidRPr="00FC2C53">
        <w:rPr>
          <w:rFonts w:ascii="Arial" w:hAnsi="Arial" w:cs="Arial"/>
        </w:rPr>
        <w:t xml:space="preserve">on a weekly basis. </w:t>
      </w:r>
    </w:p>
    <w:p w14:paraId="62CB4499" w14:textId="32CBFB0A" w:rsidR="003E5035" w:rsidRPr="00FC2C53" w:rsidRDefault="003E5035" w:rsidP="00FC2C53">
      <w:pPr>
        <w:pStyle w:val="ParaIMS"/>
        <w:jc w:val="both"/>
        <w:rPr>
          <w:rFonts w:ascii="Arial" w:hAnsi="Arial" w:cs="Arial"/>
        </w:rPr>
      </w:pPr>
      <w:r w:rsidRPr="00FC2C53">
        <w:rPr>
          <w:rFonts w:ascii="Arial" w:hAnsi="Arial" w:cs="Arial"/>
        </w:rPr>
        <w:lastRenderedPageBreak/>
        <w:t xml:space="preserve">To deepen the way in which we interact with our </w:t>
      </w:r>
      <w:r w:rsidR="00982E7F" w:rsidRPr="00FC2C53">
        <w:rPr>
          <w:rFonts w:ascii="Arial" w:hAnsi="Arial" w:cs="Arial"/>
        </w:rPr>
        <w:t>user base, w</w:t>
      </w:r>
      <w:r w:rsidRPr="00FC2C53">
        <w:rPr>
          <w:rFonts w:ascii="Arial" w:hAnsi="Arial" w:cs="Arial"/>
        </w:rPr>
        <w:t xml:space="preserve">e developed and launched the MSE </w:t>
      </w:r>
      <w:r w:rsidRPr="00E41EF0">
        <w:rPr>
          <w:rFonts w:ascii="Arial" w:hAnsi="Arial" w:cs="Arial"/>
        </w:rPr>
        <w:t xml:space="preserve">app just over </w:t>
      </w:r>
      <w:r w:rsidR="00E22819" w:rsidRPr="00E41EF0">
        <w:rPr>
          <w:rFonts w:ascii="Arial" w:hAnsi="Arial" w:cs="Arial"/>
        </w:rPr>
        <w:t>two</w:t>
      </w:r>
      <w:r w:rsidRPr="00E41EF0">
        <w:rPr>
          <w:rFonts w:ascii="Arial" w:hAnsi="Arial" w:cs="Arial"/>
        </w:rPr>
        <w:t xml:space="preserve"> years ago, and have now reached </w:t>
      </w:r>
      <w:r w:rsidRPr="005C13FE">
        <w:rPr>
          <w:rFonts w:ascii="Arial" w:hAnsi="Arial" w:cs="Arial"/>
        </w:rPr>
        <w:t>2.2</w:t>
      </w:r>
      <w:r w:rsidRPr="00E41EF0">
        <w:rPr>
          <w:rFonts w:ascii="Arial" w:hAnsi="Arial" w:cs="Arial"/>
        </w:rPr>
        <w:t xml:space="preserve"> million downloads, </w:t>
      </w:r>
      <w:r w:rsidRPr="005C13FE">
        <w:rPr>
          <w:rFonts w:ascii="Arial" w:hAnsi="Arial" w:cs="Arial"/>
        </w:rPr>
        <w:t>with more than half a million monthly active users.</w:t>
      </w:r>
      <w:r w:rsidRPr="00E41EF0">
        <w:rPr>
          <w:rFonts w:ascii="Arial" w:hAnsi="Arial" w:cs="Arial"/>
        </w:rPr>
        <w:t xml:space="preserve"> </w:t>
      </w:r>
    </w:p>
    <w:p w14:paraId="0F5AEA15" w14:textId="47B7B470" w:rsidR="00FF504B" w:rsidRDefault="003E5035" w:rsidP="00FF504B">
      <w:pPr>
        <w:pStyle w:val="ParaIMS"/>
        <w:jc w:val="both"/>
        <w:rPr>
          <w:rFonts w:ascii="Arial" w:hAnsi="Arial" w:cs="Arial"/>
        </w:rPr>
      </w:pPr>
      <w:r w:rsidRPr="00FC2C53">
        <w:rPr>
          <w:rFonts w:ascii="Arial" w:hAnsi="Arial" w:cs="Arial"/>
        </w:rPr>
        <w:t xml:space="preserve">Over the past year, we’ve continued to enhance the MSE app by expanding </w:t>
      </w:r>
      <w:proofErr w:type="spellStart"/>
      <w:r w:rsidRPr="00FC2C53">
        <w:rPr>
          <w:rFonts w:ascii="Arial" w:hAnsi="Arial" w:cs="Arial"/>
        </w:rPr>
        <w:t>personalisation</w:t>
      </w:r>
      <w:proofErr w:type="spellEnd"/>
      <w:r w:rsidRPr="00FC2C53">
        <w:rPr>
          <w:rFonts w:ascii="Arial" w:hAnsi="Arial" w:cs="Arial"/>
        </w:rPr>
        <w:t xml:space="preserve"> features and introducing new tools, including re-launching Cheap Energy Club, MSE Compare+ for Home as well as for Car, and most recently we began </w:t>
      </w:r>
      <w:r w:rsidR="0066767B" w:rsidRPr="00FC2C53">
        <w:rPr>
          <w:rFonts w:ascii="Arial" w:hAnsi="Arial" w:cs="Arial"/>
        </w:rPr>
        <w:t>trialing</w:t>
      </w:r>
      <w:r w:rsidRPr="00FC2C53">
        <w:rPr>
          <w:rFonts w:ascii="Arial" w:hAnsi="Arial" w:cs="Arial"/>
        </w:rPr>
        <w:t xml:space="preserve"> MSE savings hub. Our growth plans for MSE are focused on </w:t>
      </w:r>
      <w:proofErr w:type="spellStart"/>
      <w:r w:rsidRPr="00FC2C53">
        <w:rPr>
          <w:rFonts w:ascii="Arial" w:hAnsi="Arial" w:cs="Arial"/>
        </w:rPr>
        <w:t>optimising</w:t>
      </w:r>
      <w:proofErr w:type="spellEnd"/>
      <w:r w:rsidRPr="00FC2C53">
        <w:rPr>
          <w:rFonts w:ascii="Arial" w:hAnsi="Arial" w:cs="Arial"/>
        </w:rPr>
        <w:t xml:space="preserve"> our comprehensive suite of financial tools to further expand MSE app functionality, reach and engagement. </w:t>
      </w:r>
    </w:p>
    <w:p w14:paraId="2BA641B8" w14:textId="44947BB7" w:rsidR="000727B9" w:rsidRPr="00FF504B" w:rsidRDefault="000727B9" w:rsidP="00FF504B">
      <w:pPr>
        <w:pStyle w:val="ParaIMS"/>
        <w:jc w:val="both"/>
        <w:rPr>
          <w:rFonts w:ascii="Arial" w:hAnsi="Arial" w:cs="Arial"/>
          <w:i/>
          <w:iCs/>
        </w:rPr>
      </w:pPr>
      <w:r w:rsidRPr="00FF504B">
        <w:rPr>
          <w:rFonts w:ascii="Arial" w:hAnsi="Arial" w:cs="Arial"/>
          <w:b/>
          <w:i/>
          <w:iCs/>
        </w:rPr>
        <w:t>Quidco</w:t>
      </w:r>
    </w:p>
    <w:p w14:paraId="6DBB6E57" w14:textId="5D4033DE" w:rsidR="00876EE2" w:rsidRPr="00876EE2" w:rsidRDefault="00876EE2" w:rsidP="00876EE2">
      <w:pPr>
        <w:pStyle w:val="ParaIMS"/>
        <w:jc w:val="both"/>
        <w:rPr>
          <w:rFonts w:ascii="Arial" w:hAnsi="Arial" w:cs="Arial"/>
        </w:rPr>
      </w:pPr>
      <w:r w:rsidRPr="00876EE2">
        <w:rPr>
          <w:rFonts w:ascii="Arial" w:hAnsi="Arial" w:cs="Arial"/>
        </w:rPr>
        <w:t xml:space="preserve">We acquired Quidco in 2021, a strategic move that provided us with valuable insights into a member-based model and access to a new audience. Since then, it has been successfully integrated into the Group, achieving the targeted synergies, </w:t>
      </w:r>
      <w:proofErr w:type="spellStart"/>
      <w:r w:rsidRPr="00876EE2">
        <w:rPr>
          <w:rFonts w:ascii="Arial" w:hAnsi="Arial" w:cs="Arial"/>
        </w:rPr>
        <w:t>realising</w:t>
      </w:r>
      <w:proofErr w:type="spellEnd"/>
      <w:r w:rsidRPr="00876EE2">
        <w:rPr>
          <w:rFonts w:ascii="Arial" w:hAnsi="Arial" w:cs="Arial"/>
        </w:rPr>
        <w:t xml:space="preserve"> operational and cost efficiencies, and despite a challenging retail backdrop,</w:t>
      </w:r>
      <w:r w:rsidR="004D035A">
        <w:rPr>
          <w:rFonts w:ascii="Arial" w:hAnsi="Arial" w:cs="Arial"/>
        </w:rPr>
        <w:t xml:space="preserve"> including a reduction in </w:t>
      </w:r>
      <w:r w:rsidR="004D4477">
        <w:rPr>
          <w:rFonts w:ascii="Arial" w:hAnsi="Arial" w:cs="Arial"/>
        </w:rPr>
        <w:t xml:space="preserve">UK </w:t>
      </w:r>
      <w:r w:rsidR="004D035A">
        <w:rPr>
          <w:rFonts w:ascii="Arial" w:hAnsi="Arial" w:cs="Arial"/>
        </w:rPr>
        <w:t>retail marketing spend,</w:t>
      </w:r>
      <w:r w:rsidRPr="00876EE2">
        <w:rPr>
          <w:rFonts w:ascii="Arial" w:hAnsi="Arial" w:cs="Arial"/>
        </w:rPr>
        <w:t xml:space="preserve"> expanding profitability</w:t>
      </w:r>
      <w:r w:rsidR="00D0687C">
        <w:rPr>
          <w:rFonts w:ascii="Arial" w:hAnsi="Arial" w:cs="Arial"/>
        </w:rPr>
        <w:t>.</w:t>
      </w:r>
    </w:p>
    <w:p w14:paraId="4A84FFCF" w14:textId="25B18CD0" w:rsidR="00876EE2" w:rsidRDefault="004C04F4" w:rsidP="00876EE2">
      <w:pPr>
        <w:pStyle w:val="ParaIMS"/>
        <w:jc w:val="both"/>
        <w:rPr>
          <w:rFonts w:ascii="Arial" w:hAnsi="Arial" w:cs="Arial"/>
        </w:rPr>
      </w:pPr>
      <w:r>
        <w:rPr>
          <w:rFonts w:ascii="Arial" w:hAnsi="Arial" w:cs="Arial"/>
        </w:rPr>
        <w:t>We’re further</w:t>
      </w:r>
      <w:r w:rsidR="00A93D3A">
        <w:rPr>
          <w:rFonts w:ascii="Arial" w:hAnsi="Arial" w:cs="Arial"/>
        </w:rPr>
        <w:t xml:space="preserve"> improving the Quidco</w:t>
      </w:r>
      <w:r w:rsidR="00876EE2" w:rsidRPr="00876EE2">
        <w:rPr>
          <w:rFonts w:ascii="Arial" w:hAnsi="Arial" w:cs="Arial"/>
        </w:rPr>
        <w:t xml:space="preserve"> offering, introducing greater </w:t>
      </w:r>
      <w:proofErr w:type="spellStart"/>
      <w:r w:rsidR="00876EE2" w:rsidRPr="00876EE2">
        <w:rPr>
          <w:rFonts w:ascii="Arial" w:hAnsi="Arial" w:cs="Arial"/>
        </w:rPr>
        <w:t>personalisatio</w:t>
      </w:r>
      <w:r w:rsidR="00A93D3A">
        <w:rPr>
          <w:rFonts w:ascii="Arial" w:hAnsi="Arial" w:cs="Arial"/>
        </w:rPr>
        <w:t>n</w:t>
      </w:r>
      <w:proofErr w:type="spellEnd"/>
      <w:r w:rsidR="00876EE2" w:rsidRPr="00876EE2">
        <w:rPr>
          <w:rFonts w:ascii="Arial" w:hAnsi="Arial" w:cs="Arial"/>
        </w:rPr>
        <w:t xml:space="preserve"> and ‘faster cashback’ with key retailers which is showing encouraging early results. We’ve also expanded cashback to SuperSaveClub, providing an opportunity to increase customer touchpoints and engagement. </w:t>
      </w:r>
    </w:p>
    <w:p w14:paraId="159F07B2" w14:textId="110127ED" w:rsidR="000727B9" w:rsidRPr="00043425" w:rsidRDefault="000727B9" w:rsidP="000727B9">
      <w:pPr>
        <w:pStyle w:val="ParaIMS"/>
        <w:jc w:val="both"/>
        <w:rPr>
          <w:rFonts w:ascii="Arial" w:hAnsi="Arial" w:cs="Arial"/>
          <w:b/>
          <w:lang w:val="en-GB"/>
        </w:rPr>
      </w:pPr>
      <w:r w:rsidRPr="00043425">
        <w:rPr>
          <w:rFonts w:ascii="Arial" w:hAnsi="Arial" w:cs="Arial"/>
          <w:b/>
          <w:lang w:val="en-GB"/>
        </w:rPr>
        <w:t>Best provider proposition</w:t>
      </w:r>
    </w:p>
    <w:p w14:paraId="5A12D6B1" w14:textId="61882F30" w:rsidR="000F2BFD" w:rsidRDefault="000F2BFD" w:rsidP="000F2BFD">
      <w:pPr>
        <w:pStyle w:val="ParaIMS"/>
        <w:jc w:val="both"/>
        <w:rPr>
          <w:rFonts w:ascii="Arial" w:hAnsi="Arial" w:cs="Arial"/>
        </w:rPr>
      </w:pPr>
      <w:r w:rsidRPr="000F2BFD">
        <w:rPr>
          <w:rFonts w:ascii="Arial" w:hAnsi="Arial" w:cs="Arial"/>
        </w:rPr>
        <w:t xml:space="preserve">The second element of our strategy relates to </w:t>
      </w:r>
      <w:r w:rsidR="00BB2544">
        <w:rPr>
          <w:rFonts w:ascii="Arial" w:hAnsi="Arial" w:cs="Arial"/>
        </w:rPr>
        <w:t>how we</w:t>
      </w:r>
      <w:r w:rsidR="00B3534D" w:rsidRPr="000F2BFD">
        <w:rPr>
          <w:rFonts w:ascii="Arial" w:hAnsi="Arial" w:cs="Arial"/>
        </w:rPr>
        <w:t xml:space="preserve"> help our providers become better businesses</w:t>
      </w:r>
      <w:r w:rsidR="001B7730">
        <w:rPr>
          <w:rFonts w:ascii="Arial" w:hAnsi="Arial" w:cs="Arial"/>
        </w:rPr>
        <w:t>. We have delivered good growth in th</w:t>
      </w:r>
      <w:r w:rsidR="00C378D3">
        <w:rPr>
          <w:rFonts w:ascii="Arial" w:hAnsi="Arial" w:cs="Arial"/>
        </w:rPr>
        <w:t>is</w:t>
      </w:r>
      <w:r w:rsidR="001B7730">
        <w:rPr>
          <w:rFonts w:ascii="Arial" w:hAnsi="Arial" w:cs="Arial"/>
        </w:rPr>
        <w:t xml:space="preserve"> half year period, and see opportunit</w:t>
      </w:r>
      <w:r w:rsidR="00C378D3">
        <w:rPr>
          <w:rFonts w:ascii="Arial" w:hAnsi="Arial" w:cs="Arial"/>
        </w:rPr>
        <w:t>ies</w:t>
      </w:r>
      <w:r w:rsidR="001B7730">
        <w:rPr>
          <w:rFonts w:ascii="Arial" w:hAnsi="Arial" w:cs="Arial"/>
        </w:rPr>
        <w:t xml:space="preserve"> for further growth.</w:t>
      </w:r>
    </w:p>
    <w:p w14:paraId="049B4875" w14:textId="66B943DF" w:rsidR="00FF504B" w:rsidRPr="00FF504B" w:rsidRDefault="00FF504B" w:rsidP="000F2BFD">
      <w:pPr>
        <w:pStyle w:val="ParaIMS"/>
        <w:jc w:val="both"/>
        <w:rPr>
          <w:rFonts w:ascii="Arial" w:hAnsi="Arial" w:cs="Arial"/>
          <w:b/>
          <w:i/>
          <w:iCs/>
          <w:lang w:val="en-GB"/>
        </w:rPr>
      </w:pPr>
      <w:r w:rsidRPr="00FF504B">
        <w:rPr>
          <w:rFonts w:ascii="Arial" w:hAnsi="Arial" w:cs="Arial"/>
          <w:b/>
          <w:i/>
          <w:iCs/>
          <w:lang w:val="en-GB"/>
        </w:rPr>
        <w:t>B2B</w:t>
      </w:r>
    </w:p>
    <w:p w14:paraId="5F1C9738" w14:textId="35E283B8" w:rsidR="00B3534D" w:rsidRPr="00FF504B" w:rsidRDefault="000F2BFD" w:rsidP="000F2BFD">
      <w:pPr>
        <w:pStyle w:val="ParaIMS"/>
        <w:jc w:val="both"/>
        <w:rPr>
          <w:rFonts w:ascii="Arial" w:hAnsi="Arial" w:cs="Arial"/>
        </w:rPr>
      </w:pPr>
      <w:r w:rsidRPr="00FF504B">
        <w:rPr>
          <w:rFonts w:ascii="Arial" w:hAnsi="Arial" w:cs="Arial"/>
        </w:rPr>
        <w:t xml:space="preserve">Our B2B proposition </w:t>
      </w:r>
      <w:r w:rsidR="00B3534D" w:rsidRPr="00FF504B">
        <w:rPr>
          <w:rFonts w:ascii="Arial" w:hAnsi="Arial" w:cs="Arial"/>
        </w:rPr>
        <w:t>uses our scalable tech platform to provide switching services for third-party brands who want to offer a comparison service</w:t>
      </w:r>
      <w:r w:rsidR="00BB2544">
        <w:rPr>
          <w:rFonts w:ascii="Arial" w:hAnsi="Arial" w:cs="Arial"/>
        </w:rPr>
        <w:t xml:space="preserve">. This </w:t>
      </w:r>
      <w:r w:rsidR="00A046E5">
        <w:rPr>
          <w:rFonts w:ascii="Arial" w:hAnsi="Arial" w:cs="Arial"/>
        </w:rPr>
        <w:t>extends</w:t>
      </w:r>
      <w:r w:rsidR="00B3534D" w:rsidRPr="00FF504B">
        <w:rPr>
          <w:rFonts w:ascii="Arial" w:hAnsi="Arial" w:cs="Arial"/>
        </w:rPr>
        <w:t xml:space="preserve"> our reach</w:t>
      </w:r>
      <w:r w:rsidR="00A046E5">
        <w:rPr>
          <w:rFonts w:ascii="Arial" w:hAnsi="Arial" w:cs="Arial"/>
        </w:rPr>
        <w:t xml:space="preserve"> and</w:t>
      </w:r>
      <w:r w:rsidR="00B3534D" w:rsidRPr="00FF504B">
        <w:rPr>
          <w:rFonts w:ascii="Arial" w:hAnsi="Arial" w:cs="Arial"/>
        </w:rPr>
        <w:t xml:space="preserve"> attract</w:t>
      </w:r>
      <w:r w:rsidR="00A046E5">
        <w:rPr>
          <w:rFonts w:ascii="Arial" w:hAnsi="Arial" w:cs="Arial"/>
        </w:rPr>
        <w:t>s</w:t>
      </w:r>
      <w:r w:rsidR="00B3534D" w:rsidRPr="00FF504B">
        <w:rPr>
          <w:rFonts w:ascii="Arial" w:hAnsi="Arial" w:cs="Arial"/>
        </w:rPr>
        <w:t xml:space="preserve"> new audiences, at limited incremental cost</w:t>
      </w:r>
      <w:r w:rsidR="00A046E5">
        <w:rPr>
          <w:rFonts w:ascii="Arial" w:hAnsi="Arial" w:cs="Arial"/>
        </w:rPr>
        <w:t xml:space="preserve"> to the Group.</w:t>
      </w:r>
    </w:p>
    <w:p w14:paraId="07807605" w14:textId="3D7353C2" w:rsidR="00FF504B" w:rsidRPr="00FF504B" w:rsidRDefault="000F2BFD" w:rsidP="000F2BFD">
      <w:pPr>
        <w:pStyle w:val="ParaIMS"/>
        <w:jc w:val="both"/>
        <w:rPr>
          <w:rFonts w:ascii="Arial" w:hAnsi="Arial" w:cs="Arial"/>
        </w:rPr>
      </w:pPr>
      <w:r w:rsidRPr="00FF504B">
        <w:rPr>
          <w:rFonts w:ascii="Arial" w:hAnsi="Arial" w:cs="Arial"/>
        </w:rPr>
        <w:t xml:space="preserve">We now provide B2B services across </w:t>
      </w:r>
      <w:r w:rsidR="00B3534D" w:rsidRPr="00FF504B">
        <w:rPr>
          <w:rFonts w:ascii="Arial" w:hAnsi="Arial" w:cs="Arial"/>
        </w:rPr>
        <w:t xml:space="preserve">car, home, broadband, mobile </w:t>
      </w:r>
      <w:r w:rsidR="00911B88">
        <w:rPr>
          <w:rFonts w:ascii="Arial" w:hAnsi="Arial" w:cs="Arial"/>
        </w:rPr>
        <w:t>and</w:t>
      </w:r>
      <w:r w:rsidR="00B3534D" w:rsidRPr="00FF504B">
        <w:rPr>
          <w:rFonts w:ascii="Arial" w:hAnsi="Arial" w:cs="Arial"/>
        </w:rPr>
        <w:t xml:space="preserve"> energy</w:t>
      </w:r>
      <w:r w:rsidR="00FF504B" w:rsidRPr="00FF504B">
        <w:rPr>
          <w:rFonts w:ascii="Arial" w:hAnsi="Arial" w:cs="Arial"/>
        </w:rPr>
        <w:t xml:space="preserve">. </w:t>
      </w:r>
      <w:r w:rsidR="0004486A">
        <w:rPr>
          <w:rFonts w:ascii="Arial" w:hAnsi="Arial" w:cs="Arial"/>
        </w:rPr>
        <w:t>We delivered strong revenue growth in the half</w:t>
      </w:r>
      <w:r w:rsidR="00FF504B" w:rsidRPr="00FF504B" w:rsidDel="0004486A">
        <w:rPr>
          <w:rFonts w:ascii="Arial" w:hAnsi="Arial" w:cs="Arial"/>
        </w:rPr>
        <w:t xml:space="preserve"> </w:t>
      </w:r>
      <w:r w:rsidR="00FF504B" w:rsidRPr="00FF504B">
        <w:rPr>
          <w:rFonts w:ascii="Arial" w:hAnsi="Arial" w:cs="Arial"/>
        </w:rPr>
        <w:t xml:space="preserve">as we scaled </w:t>
      </w:r>
      <w:r w:rsidR="00FF504B" w:rsidRPr="00540AFB">
        <w:rPr>
          <w:rFonts w:ascii="Arial" w:hAnsi="Arial" w:cs="Arial"/>
        </w:rPr>
        <w:t xml:space="preserve">our </w:t>
      </w:r>
      <w:r w:rsidR="00FF504B" w:rsidRPr="005C13FE">
        <w:rPr>
          <w:rFonts w:ascii="Arial" w:hAnsi="Arial" w:cs="Arial"/>
        </w:rPr>
        <w:t>3</w:t>
      </w:r>
      <w:r w:rsidR="002400BD" w:rsidRPr="005C13FE">
        <w:rPr>
          <w:rFonts w:ascii="Arial" w:hAnsi="Arial" w:cs="Arial"/>
        </w:rPr>
        <w:t>4</w:t>
      </w:r>
      <w:r w:rsidR="00FF504B" w:rsidRPr="00540AFB">
        <w:rPr>
          <w:rFonts w:ascii="Arial" w:hAnsi="Arial" w:cs="Arial"/>
        </w:rPr>
        <w:t xml:space="preserve"> existing</w:t>
      </w:r>
      <w:r w:rsidR="00FF504B" w:rsidRPr="00FF504B">
        <w:rPr>
          <w:rFonts w:ascii="Arial" w:hAnsi="Arial" w:cs="Arial"/>
        </w:rPr>
        <w:t xml:space="preserve"> partnerships. </w:t>
      </w:r>
    </w:p>
    <w:p w14:paraId="32C83EC4" w14:textId="40CE7721" w:rsidR="00FF504B" w:rsidRPr="00FF504B" w:rsidRDefault="00FF504B" w:rsidP="000F2BFD">
      <w:pPr>
        <w:pStyle w:val="ParaIMS"/>
        <w:jc w:val="both"/>
        <w:rPr>
          <w:rFonts w:ascii="Arial" w:hAnsi="Arial" w:cs="Arial"/>
          <w:b/>
          <w:i/>
          <w:iCs/>
          <w:lang w:val="en-GB"/>
        </w:rPr>
      </w:pPr>
      <w:r w:rsidRPr="00FF504B">
        <w:rPr>
          <w:rFonts w:ascii="Arial" w:hAnsi="Arial" w:cs="Arial"/>
          <w:b/>
          <w:i/>
          <w:iCs/>
          <w:lang w:val="en-GB"/>
        </w:rPr>
        <w:t>Market Boost</w:t>
      </w:r>
    </w:p>
    <w:p w14:paraId="0E766903" w14:textId="2DAC9E0C" w:rsidR="00B3534D" w:rsidRPr="00D9760D" w:rsidRDefault="00B3534D" w:rsidP="00D9760D">
      <w:pPr>
        <w:pStyle w:val="ParaIMS"/>
        <w:jc w:val="both"/>
        <w:rPr>
          <w:rFonts w:ascii="Arial" w:hAnsi="Arial" w:cs="Arial"/>
          <w:highlight w:val="yellow"/>
        </w:rPr>
      </w:pPr>
      <w:r w:rsidRPr="00D9760D">
        <w:rPr>
          <w:rFonts w:ascii="Arial" w:hAnsi="Arial" w:cs="Arial"/>
        </w:rPr>
        <w:t>We launched Market Boost in 2023</w:t>
      </w:r>
      <w:r w:rsidR="000C5F8A">
        <w:rPr>
          <w:rFonts w:ascii="Arial" w:hAnsi="Arial" w:cs="Arial"/>
        </w:rPr>
        <w:t xml:space="preserve"> and have subsequently rolled it out </w:t>
      </w:r>
      <w:r w:rsidR="000C5F8A" w:rsidRPr="002F04C7">
        <w:rPr>
          <w:rFonts w:ascii="Arial" w:hAnsi="Arial" w:cs="Arial"/>
        </w:rPr>
        <w:t xml:space="preserve">across all channels. This is a product that </w:t>
      </w:r>
      <w:r w:rsidRPr="002F04C7">
        <w:rPr>
          <w:rFonts w:ascii="Arial" w:hAnsi="Arial" w:cs="Arial"/>
        </w:rPr>
        <w:t>uses our aggregated</w:t>
      </w:r>
      <w:r w:rsidR="000C5F8A" w:rsidRPr="002F04C7">
        <w:rPr>
          <w:rFonts w:ascii="Arial" w:hAnsi="Arial" w:cs="Arial"/>
        </w:rPr>
        <w:t xml:space="preserve"> proprietary</w:t>
      </w:r>
      <w:r w:rsidRPr="002F04C7">
        <w:rPr>
          <w:rFonts w:ascii="Arial" w:hAnsi="Arial" w:cs="Arial"/>
        </w:rPr>
        <w:t xml:space="preserve"> data to help </w:t>
      </w:r>
      <w:r w:rsidR="00D57DD6" w:rsidRPr="002F04C7">
        <w:rPr>
          <w:rFonts w:ascii="Arial" w:hAnsi="Arial" w:cs="Arial"/>
        </w:rPr>
        <w:t>currently</w:t>
      </w:r>
      <w:r w:rsidRPr="002F04C7">
        <w:rPr>
          <w:rFonts w:ascii="Arial" w:hAnsi="Arial" w:cs="Arial"/>
        </w:rPr>
        <w:t xml:space="preserve"> </w:t>
      </w:r>
      <w:r w:rsidR="00B10101" w:rsidRPr="002F04C7">
        <w:rPr>
          <w:rFonts w:ascii="Arial" w:hAnsi="Arial" w:cs="Arial"/>
        </w:rPr>
        <w:t xml:space="preserve">over </w:t>
      </w:r>
      <w:r w:rsidRPr="002F04C7" w:rsidDel="00B10101">
        <w:rPr>
          <w:rFonts w:ascii="Arial" w:hAnsi="Arial" w:cs="Arial"/>
        </w:rPr>
        <w:t>1</w:t>
      </w:r>
      <w:r w:rsidRPr="005C13FE">
        <w:rPr>
          <w:rFonts w:ascii="Arial" w:hAnsi="Arial" w:cs="Arial"/>
        </w:rPr>
        <w:t>00</w:t>
      </w:r>
      <w:r w:rsidRPr="002F04C7">
        <w:rPr>
          <w:rFonts w:ascii="Arial" w:hAnsi="Arial" w:cs="Arial"/>
        </w:rPr>
        <w:t xml:space="preserve"> providers better understand how well their products are performi</w:t>
      </w:r>
      <w:r w:rsidR="000C5F8A" w:rsidRPr="002F04C7">
        <w:rPr>
          <w:rFonts w:ascii="Arial" w:hAnsi="Arial" w:cs="Arial"/>
        </w:rPr>
        <w:t xml:space="preserve">ng </w:t>
      </w:r>
      <w:r w:rsidRPr="002F04C7">
        <w:rPr>
          <w:rFonts w:ascii="Arial" w:hAnsi="Arial" w:cs="Arial"/>
        </w:rPr>
        <w:t>v</w:t>
      </w:r>
      <w:r w:rsidR="00190FCF" w:rsidRPr="002F04C7">
        <w:rPr>
          <w:rFonts w:ascii="Arial" w:hAnsi="Arial" w:cs="Arial"/>
        </w:rPr>
        <w:t>ersus</w:t>
      </w:r>
      <w:r w:rsidRPr="002F04C7">
        <w:rPr>
          <w:rFonts w:ascii="Arial" w:hAnsi="Arial" w:cs="Arial"/>
        </w:rPr>
        <w:t xml:space="preserve"> their competition, and</w:t>
      </w:r>
      <w:r w:rsidRPr="00D9760D">
        <w:rPr>
          <w:rFonts w:ascii="Arial" w:hAnsi="Arial" w:cs="Arial"/>
        </w:rPr>
        <w:t xml:space="preserve"> then ultimately offer better products to their customers.</w:t>
      </w:r>
      <w:r w:rsidR="007F37D1" w:rsidRPr="00D9760D">
        <w:rPr>
          <w:rFonts w:ascii="Arial" w:hAnsi="Arial" w:cs="Arial"/>
        </w:rPr>
        <w:t xml:space="preserve"> Market Boost is now </w:t>
      </w:r>
      <w:r w:rsidR="00D9760D" w:rsidRPr="00D9760D">
        <w:rPr>
          <w:rFonts w:ascii="Arial" w:hAnsi="Arial" w:cs="Arial"/>
        </w:rPr>
        <w:t xml:space="preserve">available </w:t>
      </w:r>
      <w:r w:rsidR="00D9760D" w:rsidRPr="002507FD">
        <w:rPr>
          <w:rFonts w:ascii="Arial" w:hAnsi="Arial" w:cs="Arial"/>
        </w:rPr>
        <w:t>across</w:t>
      </w:r>
      <w:r w:rsidR="00154E89">
        <w:rPr>
          <w:rFonts w:ascii="Arial" w:hAnsi="Arial" w:cs="Arial"/>
        </w:rPr>
        <w:t xml:space="preserve"> all</w:t>
      </w:r>
      <w:r w:rsidR="000047F0">
        <w:rPr>
          <w:rFonts w:ascii="Arial" w:hAnsi="Arial" w:cs="Arial"/>
        </w:rPr>
        <w:t xml:space="preserve"> </w:t>
      </w:r>
      <w:r w:rsidR="00363B8E">
        <w:rPr>
          <w:rFonts w:ascii="Arial" w:hAnsi="Arial" w:cs="Arial"/>
        </w:rPr>
        <w:t xml:space="preserve">our </w:t>
      </w:r>
      <w:r w:rsidR="00C85FB5">
        <w:rPr>
          <w:rFonts w:ascii="Arial" w:hAnsi="Arial" w:cs="Arial"/>
        </w:rPr>
        <w:t>key</w:t>
      </w:r>
      <w:r w:rsidR="000047F0">
        <w:rPr>
          <w:rFonts w:ascii="Arial" w:hAnsi="Arial" w:cs="Arial"/>
        </w:rPr>
        <w:t xml:space="preserve"> channel</w:t>
      </w:r>
      <w:r w:rsidR="000047F0" w:rsidRPr="000C5F8A">
        <w:rPr>
          <w:rFonts w:ascii="Arial" w:hAnsi="Arial" w:cs="Arial"/>
        </w:rPr>
        <w:t>s</w:t>
      </w:r>
      <w:r w:rsidR="00C85FB5">
        <w:rPr>
          <w:rFonts w:ascii="Arial" w:hAnsi="Arial" w:cs="Arial"/>
        </w:rPr>
        <w:t xml:space="preserve"> (</w:t>
      </w:r>
      <w:r w:rsidR="00C85FB5" w:rsidRPr="00C85FB5">
        <w:rPr>
          <w:rFonts w:ascii="Arial" w:hAnsi="Arial" w:cs="Arial"/>
          <w:lang w:val="en-GB"/>
        </w:rPr>
        <w:t>car, home, travel</w:t>
      </w:r>
      <w:r w:rsidR="00CE1D9A">
        <w:rPr>
          <w:rFonts w:ascii="Arial" w:hAnsi="Arial" w:cs="Arial"/>
          <w:lang w:val="en-GB"/>
        </w:rPr>
        <w:t xml:space="preserve"> and </w:t>
      </w:r>
      <w:r w:rsidR="00C85FB5" w:rsidRPr="00C85FB5">
        <w:rPr>
          <w:rFonts w:ascii="Arial" w:hAnsi="Arial" w:cs="Arial"/>
          <w:lang w:val="en-GB"/>
        </w:rPr>
        <w:t>pet</w:t>
      </w:r>
      <w:r w:rsidR="00CE1D9A">
        <w:rPr>
          <w:rFonts w:ascii="Arial" w:hAnsi="Arial" w:cs="Arial"/>
          <w:lang w:val="en-GB"/>
        </w:rPr>
        <w:t xml:space="preserve"> insurance</w:t>
      </w:r>
      <w:r w:rsidR="00C85FB5" w:rsidRPr="00C85FB5">
        <w:rPr>
          <w:rFonts w:ascii="Arial" w:hAnsi="Arial" w:cs="Arial"/>
          <w:lang w:val="en-GB"/>
        </w:rPr>
        <w:t>, cards and loans</w:t>
      </w:r>
      <w:r w:rsidR="00D50432">
        <w:rPr>
          <w:rFonts w:ascii="Arial" w:hAnsi="Arial" w:cs="Arial"/>
          <w:lang w:val="en-GB"/>
        </w:rPr>
        <w:t>)</w:t>
      </w:r>
      <w:r w:rsidR="000C5F8A" w:rsidRPr="000C5F8A">
        <w:rPr>
          <w:rFonts w:ascii="Arial" w:hAnsi="Arial" w:cs="Arial"/>
        </w:rPr>
        <w:t>.</w:t>
      </w:r>
    </w:p>
    <w:p w14:paraId="3307E646" w14:textId="25996DAC" w:rsidR="00D9760D" w:rsidRPr="00D9760D" w:rsidRDefault="00D9760D" w:rsidP="00D9760D">
      <w:pPr>
        <w:pStyle w:val="ParaIMS"/>
        <w:jc w:val="both"/>
        <w:rPr>
          <w:rFonts w:ascii="Arial" w:hAnsi="Arial" w:cs="Arial"/>
          <w:b/>
          <w:i/>
          <w:iCs/>
          <w:lang w:val="en-GB"/>
        </w:rPr>
      </w:pPr>
      <w:r w:rsidRPr="00D9760D">
        <w:rPr>
          <w:rFonts w:ascii="Arial" w:hAnsi="Arial" w:cs="Arial"/>
          <w:b/>
          <w:i/>
          <w:iCs/>
          <w:lang w:val="en-GB"/>
        </w:rPr>
        <w:t>Tenancy</w:t>
      </w:r>
    </w:p>
    <w:p w14:paraId="5019515B" w14:textId="35DBF358" w:rsidR="00B3534D" w:rsidRPr="00DA53C4" w:rsidRDefault="00D9760D" w:rsidP="000727B9">
      <w:pPr>
        <w:pStyle w:val="ParaIMS"/>
        <w:jc w:val="both"/>
        <w:rPr>
          <w:rFonts w:ascii="Arial" w:hAnsi="Arial" w:cs="Arial"/>
        </w:rPr>
      </w:pPr>
      <w:r w:rsidRPr="00D9760D">
        <w:rPr>
          <w:rFonts w:ascii="Arial" w:hAnsi="Arial" w:cs="Arial"/>
        </w:rPr>
        <w:t>Tenancy is</w:t>
      </w:r>
      <w:r w:rsidR="00B3534D" w:rsidRPr="00D9760D">
        <w:rPr>
          <w:rFonts w:ascii="Arial" w:hAnsi="Arial" w:cs="Arial"/>
        </w:rPr>
        <w:t xml:space="preserve"> our targeted advertising slots that enable partners to promote their products to specific cohorts of customers.  It is an area we’ve substantially developed over the last three years, and is now available across the Group, including SuperSaveClub. </w:t>
      </w:r>
    </w:p>
    <w:p w14:paraId="636D321D" w14:textId="49944C6F" w:rsidR="000727B9" w:rsidRPr="00DA53C4" w:rsidRDefault="00E8454C" w:rsidP="00DA53C4">
      <w:pPr>
        <w:pStyle w:val="ParaIMS"/>
        <w:jc w:val="both"/>
        <w:rPr>
          <w:rFonts w:ascii="Arial" w:hAnsi="Arial" w:cs="Arial"/>
          <w:b/>
        </w:rPr>
      </w:pPr>
      <w:r w:rsidRPr="00DA53C4">
        <w:rPr>
          <w:rFonts w:ascii="Arial" w:hAnsi="Arial" w:cs="Arial"/>
          <w:b/>
          <w:lang w:val="en-GB"/>
        </w:rPr>
        <w:t>D</w:t>
      </w:r>
      <w:r w:rsidR="000727B9" w:rsidRPr="00DA53C4">
        <w:rPr>
          <w:rFonts w:ascii="Arial" w:hAnsi="Arial" w:cs="Arial"/>
          <w:b/>
          <w:lang w:val="en-GB"/>
        </w:rPr>
        <w:t>ata and technology</w:t>
      </w:r>
    </w:p>
    <w:p w14:paraId="2303FA5E" w14:textId="5945091A" w:rsidR="00D03C1E" w:rsidRDefault="00A14C28" w:rsidP="00A14C28">
      <w:pPr>
        <w:pStyle w:val="ParaIMS"/>
        <w:jc w:val="both"/>
        <w:rPr>
          <w:rFonts w:ascii="Arial" w:hAnsi="Arial" w:cs="Arial"/>
        </w:rPr>
      </w:pPr>
      <w:r>
        <w:rPr>
          <w:rFonts w:ascii="Arial" w:hAnsi="Arial" w:cs="Arial"/>
        </w:rPr>
        <w:t>Underpinning our</w:t>
      </w:r>
      <w:r w:rsidRPr="00A14C28">
        <w:rPr>
          <w:rFonts w:ascii="Arial" w:hAnsi="Arial" w:cs="Arial"/>
        </w:rPr>
        <w:t xml:space="preserve"> growth strategy</w:t>
      </w:r>
      <w:r>
        <w:rPr>
          <w:rFonts w:ascii="Arial" w:hAnsi="Arial" w:cs="Arial"/>
        </w:rPr>
        <w:t xml:space="preserve"> is our</w:t>
      </w:r>
      <w:r w:rsidR="003731C5">
        <w:rPr>
          <w:rFonts w:ascii="Arial" w:hAnsi="Arial" w:cs="Arial"/>
        </w:rPr>
        <w:t xml:space="preserve"> leading data and tech platform. Our investment to date </w:t>
      </w:r>
      <w:r w:rsidR="00CC1F1B">
        <w:rPr>
          <w:rFonts w:ascii="Arial" w:hAnsi="Arial" w:cs="Arial"/>
        </w:rPr>
        <w:t>now enables us to</w:t>
      </w:r>
      <w:r>
        <w:rPr>
          <w:rFonts w:ascii="Arial" w:hAnsi="Arial" w:cs="Arial"/>
        </w:rPr>
        <w:t xml:space="preserve"> continuous</w:t>
      </w:r>
      <w:r w:rsidR="00CC1F1B">
        <w:rPr>
          <w:rFonts w:ascii="Arial" w:hAnsi="Arial" w:cs="Arial"/>
        </w:rPr>
        <w:t>ly</w:t>
      </w:r>
      <w:r>
        <w:rPr>
          <w:rFonts w:ascii="Arial" w:hAnsi="Arial" w:cs="Arial"/>
        </w:rPr>
        <w:t xml:space="preserve"> focus </w:t>
      </w:r>
      <w:r w:rsidR="003731C5">
        <w:rPr>
          <w:rFonts w:ascii="Arial" w:hAnsi="Arial" w:cs="Arial"/>
        </w:rPr>
        <w:t xml:space="preserve">on </w:t>
      </w:r>
      <w:r w:rsidRPr="00A14C28">
        <w:rPr>
          <w:rFonts w:ascii="Arial" w:hAnsi="Arial" w:cs="Arial"/>
        </w:rPr>
        <w:t xml:space="preserve">delivering </w:t>
      </w:r>
      <w:r w:rsidR="00CA457E">
        <w:rPr>
          <w:rFonts w:ascii="Arial" w:hAnsi="Arial" w:cs="Arial"/>
        </w:rPr>
        <w:t>innovative</w:t>
      </w:r>
      <w:r w:rsidRPr="00A14C28">
        <w:rPr>
          <w:rFonts w:ascii="Arial" w:hAnsi="Arial" w:cs="Arial"/>
        </w:rPr>
        <w:t xml:space="preserve"> experiences and products for customers and providers that enhance customer journeys, boost conversion, and tap into new markets. </w:t>
      </w:r>
    </w:p>
    <w:p w14:paraId="03E4C816" w14:textId="64615461" w:rsidR="00830006" w:rsidRDefault="00A14C28" w:rsidP="00D10C9D">
      <w:pPr>
        <w:pStyle w:val="ParaIMS"/>
        <w:jc w:val="both"/>
        <w:rPr>
          <w:rFonts w:ascii="Arial" w:hAnsi="Arial" w:cs="Arial"/>
        </w:rPr>
      </w:pPr>
      <w:r w:rsidRPr="00A14C28">
        <w:rPr>
          <w:rFonts w:ascii="Arial" w:hAnsi="Arial" w:cs="Arial"/>
        </w:rPr>
        <w:t>Our increasing product launch cadence is another aspect of the growing value we’re unlocking from our data and technology.</w:t>
      </w:r>
      <w:r w:rsidR="00D03C1E">
        <w:rPr>
          <w:rFonts w:ascii="Arial" w:hAnsi="Arial" w:cs="Arial"/>
        </w:rPr>
        <w:t xml:space="preserve"> </w:t>
      </w:r>
      <w:r w:rsidR="00012E2E">
        <w:rPr>
          <w:rFonts w:ascii="Arial" w:hAnsi="Arial" w:cs="Arial"/>
        </w:rPr>
        <w:t>D</w:t>
      </w:r>
      <w:r w:rsidR="006644D7">
        <w:rPr>
          <w:rFonts w:ascii="Arial" w:hAnsi="Arial" w:cs="Arial"/>
        </w:rPr>
        <w:t>uring this half year</w:t>
      </w:r>
      <w:r w:rsidR="00D03C1E">
        <w:rPr>
          <w:rFonts w:ascii="Arial" w:hAnsi="Arial" w:cs="Arial"/>
        </w:rPr>
        <w:t xml:space="preserve"> this included</w:t>
      </w:r>
      <w:r w:rsidR="006644D7">
        <w:rPr>
          <w:rFonts w:ascii="Arial" w:hAnsi="Arial" w:cs="Arial"/>
        </w:rPr>
        <w:t xml:space="preserve"> </w:t>
      </w:r>
      <w:r w:rsidR="00D10C9D">
        <w:rPr>
          <w:rFonts w:ascii="Arial" w:hAnsi="Arial" w:cs="Arial"/>
        </w:rPr>
        <w:t>r</w:t>
      </w:r>
      <w:r w:rsidRPr="00D10C9D">
        <w:rPr>
          <w:rFonts w:ascii="Arial" w:hAnsi="Arial" w:cs="Arial"/>
        </w:rPr>
        <w:t xml:space="preserve">olling out a common and much simplified renewal journey across all our main product categories, that uses data to truncate applications, so customers </w:t>
      </w:r>
      <w:r w:rsidR="00D10C9D" w:rsidRPr="00D10C9D">
        <w:rPr>
          <w:rFonts w:ascii="Arial" w:hAnsi="Arial" w:cs="Arial"/>
        </w:rPr>
        <w:t xml:space="preserve">only </w:t>
      </w:r>
      <w:r w:rsidRPr="00D10C9D">
        <w:rPr>
          <w:rFonts w:ascii="Arial" w:hAnsi="Arial" w:cs="Arial"/>
        </w:rPr>
        <w:t>hav</w:t>
      </w:r>
      <w:r w:rsidR="00D10C9D" w:rsidRPr="00D10C9D">
        <w:rPr>
          <w:rFonts w:ascii="Arial" w:hAnsi="Arial" w:cs="Arial"/>
        </w:rPr>
        <w:t xml:space="preserve">e </w:t>
      </w:r>
      <w:r w:rsidRPr="00D10C9D">
        <w:rPr>
          <w:rFonts w:ascii="Arial" w:hAnsi="Arial" w:cs="Arial"/>
        </w:rPr>
        <w:t xml:space="preserve">to complete questions when they </w:t>
      </w:r>
      <w:r w:rsidR="001A1A65">
        <w:rPr>
          <w:rFonts w:ascii="Arial" w:hAnsi="Arial" w:cs="Arial"/>
        </w:rPr>
        <w:t xml:space="preserve">are </w:t>
      </w:r>
      <w:r w:rsidRPr="00D10C9D">
        <w:rPr>
          <w:rFonts w:ascii="Arial" w:hAnsi="Arial" w:cs="Arial"/>
        </w:rPr>
        <w:t>doing something genuinely new. We believe this is industry leading</w:t>
      </w:r>
      <w:r w:rsidR="00D10C9D" w:rsidRPr="00D10C9D">
        <w:rPr>
          <w:rFonts w:ascii="Arial" w:hAnsi="Arial" w:cs="Arial"/>
        </w:rPr>
        <w:t xml:space="preserve">, truly enhancing the customer experience. </w:t>
      </w:r>
    </w:p>
    <w:p w14:paraId="26D51D24" w14:textId="5237F26C" w:rsidR="00A14C28" w:rsidRPr="00D10C9D" w:rsidRDefault="00830006" w:rsidP="00D10C9D">
      <w:pPr>
        <w:pStyle w:val="ParaIMS"/>
        <w:jc w:val="both"/>
        <w:rPr>
          <w:rFonts w:ascii="Arial" w:hAnsi="Arial" w:cs="Arial"/>
        </w:rPr>
      </w:pPr>
      <w:r>
        <w:rPr>
          <w:rFonts w:ascii="Arial" w:hAnsi="Arial" w:cs="Arial"/>
        </w:rPr>
        <w:t>During the first half of the year, we</w:t>
      </w:r>
      <w:r w:rsidR="00A14C28" w:rsidRPr="00D10C9D">
        <w:rPr>
          <w:rFonts w:ascii="Arial" w:hAnsi="Arial" w:cs="Arial"/>
        </w:rPr>
        <w:t xml:space="preserve"> </w:t>
      </w:r>
      <w:r>
        <w:rPr>
          <w:rFonts w:ascii="Arial" w:hAnsi="Arial" w:cs="Arial"/>
        </w:rPr>
        <w:t>also</w:t>
      </w:r>
      <w:r w:rsidR="00A14C28" w:rsidRPr="00D10C9D">
        <w:rPr>
          <w:rFonts w:ascii="Arial" w:hAnsi="Arial" w:cs="Arial"/>
        </w:rPr>
        <w:t xml:space="preserve"> launched our new life insurance product on MoneySuper</w:t>
      </w:r>
      <w:r w:rsidR="00901BD5">
        <w:rPr>
          <w:rFonts w:ascii="Arial" w:hAnsi="Arial" w:cs="Arial"/>
        </w:rPr>
        <w:t>M</w:t>
      </w:r>
      <w:r w:rsidR="00A14C28" w:rsidRPr="00D10C9D">
        <w:rPr>
          <w:rFonts w:ascii="Arial" w:hAnsi="Arial" w:cs="Arial"/>
        </w:rPr>
        <w:t xml:space="preserve">arket, and scaled </w:t>
      </w:r>
      <w:r w:rsidR="00D10C9D" w:rsidRPr="00D10C9D">
        <w:rPr>
          <w:rFonts w:ascii="Arial" w:hAnsi="Arial" w:cs="Arial"/>
        </w:rPr>
        <w:t xml:space="preserve">our Compare+ product </w:t>
      </w:r>
      <w:r w:rsidR="00A14C28" w:rsidRPr="00D10C9D">
        <w:rPr>
          <w:rFonts w:ascii="Arial" w:hAnsi="Arial" w:cs="Arial"/>
        </w:rPr>
        <w:t xml:space="preserve">into </w:t>
      </w:r>
      <w:r w:rsidR="00D10C9D" w:rsidRPr="00D10C9D">
        <w:rPr>
          <w:rFonts w:ascii="Arial" w:hAnsi="Arial" w:cs="Arial"/>
        </w:rPr>
        <w:t>h</w:t>
      </w:r>
      <w:r w:rsidR="00A14C28" w:rsidRPr="00D10C9D">
        <w:rPr>
          <w:rFonts w:ascii="Arial" w:hAnsi="Arial" w:cs="Arial"/>
        </w:rPr>
        <w:t xml:space="preserve">ome </w:t>
      </w:r>
      <w:r w:rsidR="00D10C9D" w:rsidRPr="00D10C9D">
        <w:rPr>
          <w:rFonts w:ascii="Arial" w:hAnsi="Arial" w:cs="Arial"/>
        </w:rPr>
        <w:t>i</w:t>
      </w:r>
      <w:r w:rsidR="00A14C28" w:rsidRPr="00D10C9D">
        <w:rPr>
          <w:rFonts w:ascii="Arial" w:hAnsi="Arial" w:cs="Arial"/>
        </w:rPr>
        <w:t>nsurance on MoneySavingExpert</w:t>
      </w:r>
      <w:r w:rsidR="00D4562A">
        <w:rPr>
          <w:rFonts w:ascii="Arial" w:hAnsi="Arial" w:cs="Arial"/>
        </w:rPr>
        <w:t xml:space="preserve"> which is </w:t>
      </w:r>
      <w:r w:rsidR="00A14C28" w:rsidRPr="00D10C9D">
        <w:rPr>
          <w:rFonts w:ascii="Arial" w:hAnsi="Arial" w:cs="Arial"/>
        </w:rPr>
        <w:t xml:space="preserve">delivering </w:t>
      </w:r>
      <w:r w:rsidR="00494415" w:rsidRPr="00D10C9D">
        <w:rPr>
          <w:rFonts w:ascii="Arial" w:hAnsi="Arial" w:cs="Arial"/>
        </w:rPr>
        <w:t>g</w:t>
      </w:r>
      <w:r w:rsidR="00494415">
        <w:rPr>
          <w:rFonts w:ascii="Arial" w:hAnsi="Arial" w:cs="Arial"/>
        </w:rPr>
        <w:t>ood</w:t>
      </w:r>
      <w:r w:rsidR="00494415" w:rsidRPr="00D10C9D">
        <w:rPr>
          <w:rFonts w:ascii="Arial" w:hAnsi="Arial" w:cs="Arial"/>
        </w:rPr>
        <w:t xml:space="preserve"> </w:t>
      </w:r>
      <w:r w:rsidR="00A14C28" w:rsidRPr="00D10C9D">
        <w:rPr>
          <w:rFonts w:ascii="Arial" w:hAnsi="Arial" w:cs="Arial"/>
        </w:rPr>
        <w:t>results.</w:t>
      </w:r>
      <w:r w:rsidR="00D10C9D">
        <w:rPr>
          <w:rFonts w:ascii="Arial" w:hAnsi="Arial" w:cs="Arial"/>
        </w:rPr>
        <w:t xml:space="preserve"> The</w:t>
      </w:r>
      <w:r w:rsidR="007800D5">
        <w:rPr>
          <w:rFonts w:ascii="Arial" w:hAnsi="Arial" w:cs="Arial"/>
        </w:rPr>
        <w:t xml:space="preserve"> </w:t>
      </w:r>
      <w:proofErr w:type="spellStart"/>
      <w:r w:rsidR="007800D5">
        <w:rPr>
          <w:rFonts w:ascii="Arial" w:hAnsi="Arial" w:cs="Arial"/>
        </w:rPr>
        <w:t>optimisations</w:t>
      </w:r>
      <w:proofErr w:type="spellEnd"/>
      <w:r w:rsidR="007800D5">
        <w:rPr>
          <w:rFonts w:ascii="Arial" w:hAnsi="Arial" w:cs="Arial"/>
        </w:rPr>
        <w:t xml:space="preserve"> to our broadband journey along with the </w:t>
      </w:r>
      <w:r w:rsidR="00D10C9D">
        <w:rPr>
          <w:rFonts w:ascii="Arial" w:hAnsi="Arial" w:cs="Arial"/>
        </w:rPr>
        <w:t xml:space="preserve">re-launch of </w:t>
      </w:r>
      <w:proofErr w:type="spellStart"/>
      <w:r w:rsidR="00D10C9D">
        <w:rPr>
          <w:rFonts w:ascii="Arial" w:hAnsi="Arial" w:cs="Arial"/>
        </w:rPr>
        <w:t>MoneySavingExpert’s</w:t>
      </w:r>
      <w:proofErr w:type="spellEnd"/>
      <w:r w:rsidR="00D10C9D">
        <w:rPr>
          <w:rFonts w:ascii="Arial" w:hAnsi="Arial" w:cs="Arial"/>
        </w:rPr>
        <w:t xml:space="preserve"> </w:t>
      </w:r>
      <w:r w:rsidR="00A14C28" w:rsidRPr="00D10C9D">
        <w:rPr>
          <w:rFonts w:ascii="Arial" w:hAnsi="Arial" w:cs="Arial"/>
        </w:rPr>
        <w:lastRenderedPageBreak/>
        <w:t>Cheap Energy Club</w:t>
      </w:r>
      <w:r w:rsidR="007800D5">
        <w:rPr>
          <w:rFonts w:ascii="Arial" w:hAnsi="Arial" w:cs="Arial"/>
        </w:rPr>
        <w:t xml:space="preserve">, </w:t>
      </w:r>
      <w:r w:rsidR="00D10C9D" w:rsidRPr="00D10C9D">
        <w:rPr>
          <w:rFonts w:ascii="Arial" w:hAnsi="Arial" w:cs="Arial"/>
        </w:rPr>
        <w:t xml:space="preserve">have </w:t>
      </w:r>
      <w:r w:rsidR="00A14C28" w:rsidRPr="00D10C9D">
        <w:rPr>
          <w:rFonts w:ascii="Arial" w:hAnsi="Arial" w:cs="Arial"/>
        </w:rPr>
        <w:t>contribut</w:t>
      </w:r>
      <w:r w:rsidR="002D2896">
        <w:rPr>
          <w:rFonts w:ascii="Arial" w:hAnsi="Arial" w:cs="Arial"/>
        </w:rPr>
        <w:t>ed</w:t>
      </w:r>
      <w:r w:rsidR="00A14C28" w:rsidRPr="00D10C9D">
        <w:rPr>
          <w:rFonts w:ascii="Arial" w:hAnsi="Arial" w:cs="Arial"/>
        </w:rPr>
        <w:t xml:space="preserve"> to the strong growth we’ve seen in </w:t>
      </w:r>
      <w:r w:rsidR="00D10C9D" w:rsidRPr="00D10C9D">
        <w:rPr>
          <w:rFonts w:ascii="Arial" w:hAnsi="Arial" w:cs="Arial"/>
        </w:rPr>
        <w:t xml:space="preserve">Home Services. </w:t>
      </w:r>
      <w:r w:rsidR="00A14C28" w:rsidRPr="00D10C9D">
        <w:rPr>
          <w:rFonts w:ascii="Arial" w:hAnsi="Arial" w:cs="Arial"/>
        </w:rPr>
        <w:t>And</w:t>
      </w:r>
      <w:r>
        <w:rPr>
          <w:rFonts w:ascii="Arial" w:hAnsi="Arial" w:cs="Arial"/>
        </w:rPr>
        <w:t>,</w:t>
      </w:r>
      <w:r w:rsidR="00A14C28" w:rsidRPr="00D10C9D">
        <w:rPr>
          <w:rFonts w:ascii="Arial" w:hAnsi="Arial" w:cs="Arial"/>
        </w:rPr>
        <w:t xml:space="preserve"> our MSE savings hub, which is unlocking further opportunities to increase our depth in this channel </w:t>
      </w:r>
      <w:r w:rsidR="006A4270">
        <w:rPr>
          <w:rFonts w:ascii="Arial" w:hAnsi="Arial" w:cs="Arial"/>
        </w:rPr>
        <w:t>is now live</w:t>
      </w:r>
      <w:r w:rsidR="00A14C28" w:rsidRPr="00D10C9D">
        <w:rPr>
          <w:rFonts w:ascii="Arial" w:hAnsi="Arial" w:cs="Arial"/>
        </w:rPr>
        <w:t xml:space="preserve">. </w:t>
      </w:r>
    </w:p>
    <w:p w14:paraId="1D6A7274" w14:textId="3075F67E" w:rsidR="001E085F" w:rsidRPr="000F64D1" w:rsidRDefault="00925D9F" w:rsidP="001E085F">
      <w:pPr>
        <w:pStyle w:val="ParaIMS"/>
        <w:jc w:val="both"/>
        <w:rPr>
          <w:rFonts w:ascii="Arial" w:hAnsi="Arial" w:cs="Arial"/>
        </w:rPr>
      </w:pPr>
      <w:r>
        <w:rPr>
          <w:rFonts w:ascii="Arial" w:hAnsi="Arial" w:cs="Arial"/>
        </w:rPr>
        <w:t>Our platform also enables us to deliver on our</w:t>
      </w:r>
      <w:r w:rsidR="00B05E50">
        <w:rPr>
          <w:rFonts w:ascii="Arial" w:hAnsi="Arial" w:cs="Arial"/>
        </w:rPr>
        <w:t xml:space="preserve"> comprehensive</w:t>
      </w:r>
      <w:r>
        <w:rPr>
          <w:rFonts w:ascii="Arial" w:hAnsi="Arial" w:cs="Arial"/>
        </w:rPr>
        <w:t xml:space="preserve"> AI</w:t>
      </w:r>
      <w:r w:rsidR="0045321D">
        <w:rPr>
          <w:rFonts w:ascii="Arial" w:hAnsi="Arial" w:cs="Arial"/>
        </w:rPr>
        <w:t xml:space="preserve"> agenda</w:t>
      </w:r>
      <w:r w:rsidR="00C160F2">
        <w:rPr>
          <w:rFonts w:ascii="Arial" w:hAnsi="Arial" w:cs="Arial"/>
        </w:rPr>
        <w:t xml:space="preserve">. </w:t>
      </w:r>
      <w:r w:rsidR="0045321D">
        <w:rPr>
          <w:rFonts w:ascii="Arial" w:hAnsi="Arial" w:cs="Arial"/>
        </w:rPr>
        <w:t xml:space="preserve">Our agentic mesh </w:t>
      </w:r>
      <w:r w:rsidR="0069619A">
        <w:rPr>
          <w:rFonts w:ascii="Arial" w:hAnsi="Arial" w:cs="Arial"/>
        </w:rPr>
        <w:t xml:space="preserve">– system architecture that </w:t>
      </w:r>
      <w:r w:rsidR="00A132DC">
        <w:rPr>
          <w:rFonts w:ascii="Arial" w:hAnsi="Arial" w:cs="Arial"/>
        </w:rPr>
        <w:t>allows multiple AI agents to collaborate – is central to this and</w:t>
      </w:r>
      <w:r w:rsidR="001E085F">
        <w:rPr>
          <w:rFonts w:ascii="Arial" w:hAnsi="Arial" w:cs="Arial"/>
        </w:rPr>
        <w:t xml:space="preserve"> advancing rapidly. It bring</w:t>
      </w:r>
      <w:r w:rsidR="00A132DC">
        <w:rPr>
          <w:rFonts w:ascii="Arial" w:hAnsi="Arial" w:cs="Arial"/>
        </w:rPr>
        <w:t>s</w:t>
      </w:r>
      <w:r w:rsidR="001E085F">
        <w:rPr>
          <w:rFonts w:ascii="Arial" w:hAnsi="Arial" w:cs="Arial"/>
        </w:rPr>
        <w:t xml:space="preserve"> </w:t>
      </w:r>
      <w:r w:rsidR="00A14C28" w:rsidRPr="000F64D1">
        <w:rPr>
          <w:rFonts w:ascii="Arial" w:hAnsi="Arial" w:cs="Arial"/>
        </w:rPr>
        <w:t>together different data sets</w:t>
      </w:r>
      <w:r w:rsidR="006B59EA">
        <w:rPr>
          <w:rFonts w:ascii="Arial" w:hAnsi="Arial" w:cs="Arial"/>
        </w:rPr>
        <w:t xml:space="preserve"> and </w:t>
      </w:r>
      <w:r w:rsidR="00A14C28" w:rsidRPr="000F64D1">
        <w:rPr>
          <w:rFonts w:ascii="Arial" w:hAnsi="Arial" w:cs="Arial"/>
        </w:rPr>
        <w:t>enhance</w:t>
      </w:r>
      <w:r w:rsidR="006B59EA">
        <w:rPr>
          <w:rFonts w:ascii="Arial" w:hAnsi="Arial" w:cs="Arial"/>
        </w:rPr>
        <w:t>s</w:t>
      </w:r>
      <w:r w:rsidR="00A14C28" w:rsidRPr="000F64D1">
        <w:rPr>
          <w:rFonts w:ascii="Arial" w:hAnsi="Arial" w:cs="Arial"/>
        </w:rPr>
        <w:t xml:space="preserve"> user experiences, </w:t>
      </w:r>
      <w:r w:rsidR="001E085F" w:rsidRPr="000F64D1">
        <w:rPr>
          <w:rFonts w:ascii="Arial" w:hAnsi="Arial" w:cs="Arial"/>
        </w:rPr>
        <w:t>and</w:t>
      </w:r>
      <w:r w:rsidR="00A14C28" w:rsidRPr="000F64D1">
        <w:rPr>
          <w:rFonts w:ascii="Arial" w:hAnsi="Arial" w:cs="Arial"/>
        </w:rPr>
        <w:t xml:space="preserve"> at the same time further improv</w:t>
      </w:r>
      <w:r w:rsidR="001E085F" w:rsidRPr="000F64D1">
        <w:rPr>
          <w:rFonts w:ascii="Arial" w:hAnsi="Arial" w:cs="Arial"/>
        </w:rPr>
        <w:t>e</w:t>
      </w:r>
      <w:r w:rsidR="001F47C6">
        <w:rPr>
          <w:rFonts w:ascii="Arial" w:hAnsi="Arial" w:cs="Arial"/>
        </w:rPr>
        <w:t>s</w:t>
      </w:r>
      <w:r w:rsidR="00A14C28" w:rsidRPr="000F64D1">
        <w:rPr>
          <w:rFonts w:ascii="Arial" w:hAnsi="Arial" w:cs="Arial"/>
        </w:rPr>
        <w:t xml:space="preserve"> the efficiency of our core operations.  </w:t>
      </w:r>
    </w:p>
    <w:p w14:paraId="04C40190" w14:textId="7A3007F6" w:rsidR="001E085F" w:rsidRDefault="00A14C28" w:rsidP="000F64D1">
      <w:pPr>
        <w:pStyle w:val="ParaIMS"/>
        <w:jc w:val="both"/>
        <w:rPr>
          <w:rFonts w:ascii="Arial" w:hAnsi="Arial" w:cs="Arial"/>
        </w:rPr>
      </w:pPr>
      <w:r w:rsidRPr="000F64D1">
        <w:rPr>
          <w:rFonts w:ascii="Arial" w:hAnsi="Arial" w:cs="Arial"/>
        </w:rPr>
        <w:t>We see three key areas of near-term opportunity on our AI roadmap:</w:t>
      </w:r>
    </w:p>
    <w:p w14:paraId="06FE65DA" w14:textId="380C3F90" w:rsidR="00EB21C4" w:rsidRPr="00EB21C4" w:rsidRDefault="000F64D1" w:rsidP="00EB21C4">
      <w:pPr>
        <w:pStyle w:val="ParaIMS"/>
        <w:numPr>
          <w:ilvl w:val="0"/>
          <w:numId w:val="35"/>
        </w:numPr>
        <w:jc w:val="both"/>
        <w:rPr>
          <w:rFonts w:ascii="Arial" w:hAnsi="Arial" w:cs="Arial"/>
        </w:rPr>
      </w:pPr>
      <w:r w:rsidRPr="000F64D1">
        <w:rPr>
          <w:rFonts w:ascii="Arial" w:hAnsi="Arial" w:cs="Arial"/>
          <w:b/>
          <w:bCs/>
        </w:rPr>
        <w:t>Improved customer experience</w:t>
      </w:r>
      <w:r w:rsidR="00451070">
        <w:rPr>
          <w:rFonts w:ascii="Arial" w:hAnsi="Arial" w:cs="Arial"/>
        </w:rPr>
        <w:t xml:space="preserve"> – including </w:t>
      </w:r>
      <w:r w:rsidR="00A14C28" w:rsidRPr="000F64D1">
        <w:rPr>
          <w:rFonts w:ascii="Arial" w:hAnsi="Arial" w:cs="Arial"/>
        </w:rPr>
        <w:t xml:space="preserve">smarter </w:t>
      </w:r>
      <w:proofErr w:type="spellStart"/>
      <w:r w:rsidR="00A14C28" w:rsidRPr="000F64D1">
        <w:rPr>
          <w:rFonts w:ascii="Arial" w:hAnsi="Arial" w:cs="Arial"/>
        </w:rPr>
        <w:t>personalisation</w:t>
      </w:r>
      <w:proofErr w:type="spellEnd"/>
      <w:r w:rsidR="00A14C28" w:rsidRPr="000F64D1">
        <w:rPr>
          <w:rFonts w:ascii="Arial" w:hAnsi="Arial" w:cs="Arial"/>
        </w:rPr>
        <w:t xml:space="preserve"> </w:t>
      </w:r>
      <w:r w:rsidR="00451070">
        <w:rPr>
          <w:rFonts w:ascii="Arial" w:hAnsi="Arial" w:cs="Arial"/>
        </w:rPr>
        <w:t>and</w:t>
      </w:r>
      <w:r w:rsidR="00A14C28" w:rsidRPr="000F64D1">
        <w:rPr>
          <w:rFonts w:ascii="Arial" w:hAnsi="Arial" w:cs="Arial"/>
        </w:rPr>
        <w:t xml:space="preserve"> faster, dynamic and more intuitive journeys. A</w:t>
      </w:r>
      <w:r w:rsidR="001F47C6">
        <w:rPr>
          <w:rFonts w:ascii="Arial" w:hAnsi="Arial" w:cs="Arial"/>
        </w:rPr>
        <w:t xml:space="preserve">n example </w:t>
      </w:r>
      <w:r w:rsidR="00A14C28" w:rsidRPr="000F64D1">
        <w:rPr>
          <w:rFonts w:ascii="Arial" w:hAnsi="Arial" w:cs="Arial"/>
        </w:rPr>
        <w:t xml:space="preserve">of this is the roll-out of our ‘Agent </w:t>
      </w:r>
      <w:r w:rsidRPr="000F64D1">
        <w:rPr>
          <w:rFonts w:ascii="Arial" w:hAnsi="Arial" w:cs="Arial"/>
        </w:rPr>
        <w:t>I</w:t>
      </w:r>
      <w:r w:rsidR="00A14C28" w:rsidRPr="000F64D1">
        <w:rPr>
          <w:rFonts w:ascii="Arial" w:hAnsi="Arial" w:cs="Arial"/>
        </w:rPr>
        <w:t xml:space="preserve">’ capability across the Group which is now working for money, insurance and energy. This functionality uses internal and external data sources to provide more tailored </w:t>
      </w:r>
      <w:proofErr w:type="spellStart"/>
      <w:r w:rsidR="00A14C28" w:rsidRPr="000F64D1">
        <w:rPr>
          <w:rFonts w:ascii="Arial" w:hAnsi="Arial" w:cs="Arial"/>
        </w:rPr>
        <w:t>personalised</w:t>
      </w:r>
      <w:proofErr w:type="spellEnd"/>
      <w:r w:rsidR="00A14C28" w:rsidRPr="000F64D1">
        <w:rPr>
          <w:rFonts w:ascii="Arial" w:hAnsi="Arial" w:cs="Arial"/>
        </w:rPr>
        <w:t xml:space="preserve"> recommendations</w:t>
      </w:r>
      <w:r w:rsidR="00E802A4">
        <w:rPr>
          <w:rFonts w:ascii="Arial" w:hAnsi="Arial" w:cs="Arial"/>
        </w:rPr>
        <w:t xml:space="preserve"> and helps us</w:t>
      </w:r>
      <w:r w:rsidR="00E2066D">
        <w:rPr>
          <w:rFonts w:ascii="Arial" w:hAnsi="Arial" w:cs="Arial"/>
        </w:rPr>
        <w:t xml:space="preserve"> move</w:t>
      </w:r>
      <w:r w:rsidR="00E802A4">
        <w:rPr>
          <w:rFonts w:ascii="Arial" w:hAnsi="Arial" w:cs="Arial"/>
        </w:rPr>
        <w:t xml:space="preserve"> to a</w:t>
      </w:r>
      <w:r w:rsidR="00A14C28" w:rsidRPr="000F64D1">
        <w:rPr>
          <w:rFonts w:ascii="Arial" w:hAnsi="Arial" w:cs="Arial"/>
        </w:rPr>
        <w:t xml:space="preserve"> more holistic approach to solving customer problems</w:t>
      </w:r>
      <w:r w:rsidR="006478FB" w:rsidRPr="000F64D1">
        <w:rPr>
          <w:rFonts w:ascii="Arial" w:hAnsi="Arial" w:cs="Arial"/>
        </w:rPr>
        <w:t xml:space="preserve">. </w:t>
      </w:r>
      <w:r w:rsidR="00D95878">
        <w:rPr>
          <w:rFonts w:ascii="Arial" w:hAnsi="Arial" w:cs="Arial"/>
        </w:rPr>
        <w:t>An example would be providing a customer</w:t>
      </w:r>
      <w:r w:rsidR="00EE4662">
        <w:rPr>
          <w:rFonts w:ascii="Arial" w:hAnsi="Arial" w:cs="Arial"/>
        </w:rPr>
        <w:t xml:space="preserve"> with a better understanding of why their car insurance premium </w:t>
      </w:r>
      <w:r w:rsidR="007E1FCD">
        <w:rPr>
          <w:rFonts w:ascii="Arial" w:hAnsi="Arial" w:cs="Arial"/>
        </w:rPr>
        <w:t>has changed</w:t>
      </w:r>
      <w:r w:rsidR="00EE4662">
        <w:rPr>
          <w:rFonts w:ascii="Arial" w:hAnsi="Arial" w:cs="Arial"/>
        </w:rPr>
        <w:t xml:space="preserve">, </w:t>
      </w:r>
      <w:r w:rsidR="00D17C2D">
        <w:rPr>
          <w:rFonts w:ascii="Arial" w:hAnsi="Arial" w:cs="Arial"/>
        </w:rPr>
        <w:t>or specifically tailoring a credit card offer to a customer</w:t>
      </w:r>
      <w:r w:rsidR="00706C36">
        <w:rPr>
          <w:rFonts w:ascii="Arial" w:hAnsi="Arial" w:cs="Arial"/>
        </w:rPr>
        <w:t xml:space="preserve"> and explaining </w:t>
      </w:r>
      <w:r w:rsidR="00CC25B2">
        <w:rPr>
          <w:rFonts w:ascii="Arial" w:hAnsi="Arial" w:cs="Arial"/>
        </w:rPr>
        <w:t xml:space="preserve">how </w:t>
      </w:r>
      <w:r w:rsidR="00FD7D53">
        <w:rPr>
          <w:rFonts w:ascii="Arial" w:hAnsi="Arial" w:cs="Arial"/>
        </w:rPr>
        <w:t>this could work for them</w:t>
      </w:r>
      <w:r w:rsidR="000D396E">
        <w:rPr>
          <w:rFonts w:ascii="Arial" w:hAnsi="Arial" w:cs="Arial"/>
        </w:rPr>
        <w:t>.</w:t>
      </w:r>
      <w:r w:rsidR="00FD7D53">
        <w:rPr>
          <w:rFonts w:ascii="Arial" w:hAnsi="Arial" w:cs="Arial"/>
        </w:rPr>
        <w:t xml:space="preserve"> </w:t>
      </w:r>
      <w:r w:rsidR="000D396E">
        <w:rPr>
          <w:rFonts w:ascii="Arial" w:hAnsi="Arial" w:cs="Arial"/>
        </w:rPr>
        <w:t>We</w:t>
      </w:r>
      <w:r w:rsidR="00FD7D53">
        <w:rPr>
          <w:rFonts w:ascii="Arial" w:hAnsi="Arial" w:cs="Arial"/>
        </w:rPr>
        <w:t xml:space="preserve"> </w:t>
      </w:r>
      <w:r w:rsidR="00425557">
        <w:rPr>
          <w:rFonts w:ascii="Arial" w:hAnsi="Arial" w:cs="Arial"/>
        </w:rPr>
        <w:t xml:space="preserve">are </w:t>
      </w:r>
      <w:r w:rsidR="00A14C28" w:rsidRPr="0037191C">
        <w:rPr>
          <w:rFonts w:ascii="Arial" w:hAnsi="Arial" w:cs="Arial"/>
        </w:rPr>
        <w:t>roll</w:t>
      </w:r>
      <w:r w:rsidR="00FD7D53">
        <w:rPr>
          <w:rFonts w:ascii="Arial" w:hAnsi="Arial" w:cs="Arial"/>
        </w:rPr>
        <w:t>ing</w:t>
      </w:r>
      <w:r w:rsidR="00A14C28" w:rsidRPr="0037191C">
        <w:rPr>
          <w:rFonts w:ascii="Arial" w:hAnsi="Arial" w:cs="Arial"/>
        </w:rPr>
        <w:t xml:space="preserve"> out</w:t>
      </w:r>
      <w:r w:rsidR="00FD7D53">
        <w:rPr>
          <w:rFonts w:ascii="Arial" w:hAnsi="Arial" w:cs="Arial"/>
        </w:rPr>
        <w:t xml:space="preserve"> </w:t>
      </w:r>
      <w:r w:rsidR="00CF628B">
        <w:rPr>
          <w:rFonts w:ascii="Arial" w:hAnsi="Arial" w:cs="Arial"/>
        </w:rPr>
        <w:t xml:space="preserve">this </w:t>
      </w:r>
      <w:r w:rsidR="005E5524">
        <w:rPr>
          <w:rFonts w:ascii="Arial" w:hAnsi="Arial" w:cs="Arial"/>
        </w:rPr>
        <w:t>functionality</w:t>
      </w:r>
      <w:r w:rsidR="00CF628B">
        <w:rPr>
          <w:rFonts w:ascii="Arial" w:hAnsi="Arial" w:cs="Arial"/>
        </w:rPr>
        <w:t xml:space="preserve"> </w:t>
      </w:r>
      <w:r w:rsidR="00FD7D53">
        <w:rPr>
          <w:rFonts w:ascii="Arial" w:hAnsi="Arial" w:cs="Arial"/>
        </w:rPr>
        <w:t>more</w:t>
      </w:r>
      <w:r w:rsidR="00A14C28" w:rsidRPr="0037191C">
        <w:rPr>
          <w:rFonts w:ascii="Arial" w:hAnsi="Arial" w:cs="Arial"/>
        </w:rPr>
        <w:t xml:space="preserve"> broadly across the site </w:t>
      </w:r>
      <w:r w:rsidR="005E5524">
        <w:rPr>
          <w:rFonts w:ascii="Arial" w:hAnsi="Arial" w:cs="Arial"/>
        </w:rPr>
        <w:t>which</w:t>
      </w:r>
      <w:r w:rsidR="007D5F5B">
        <w:rPr>
          <w:rFonts w:ascii="Arial" w:hAnsi="Arial" w:cs="Arial"/>
        </w:rPr>
        <w:t>, we believe,</w:t>
      </w:r>
      <w:r w:rsidR="005E5524">
        <w:rPr>
          <w:rFonts w:ascii="Arial" w:hAnsi="Arial" w:cs="Arial"/>
        </w:rPr>
        <w:t xml:space="preserve"> </w:t>
      </w:r>
      <w:r w:rsidR="00FD7D53">
        <w:rPr>
          <w:rFonts w:ascii="Arial" w:hAnsi="Arial" w:cs="Arial"/>
        </w:rPr>
        <w:t>will start</w:t>
      </w:r>
      <w:r w:rsidR="00A14C28" w:rsidRPr="0037191C">
        <w:rPr>
          <w:rFonts w:ascii="Arial" w:hAnsi="Arial" w:cs="Arial"/>
        </w:rPr>
        <w:t xml:space="preserve"> to fundamentally </w:t>
      </w:r>
      <w:r w:rsidR="00AF7AE0">
        <w:rPr>
          <w:rFonts w:ascii="Arial" w:hAnsi="Arial" w:cs="Arial"/>
        </w:rPr>
        <w:t>enhance</w:t>
      </w:r>
      <w:r w:rsidR="00A14C28" w:rsidRPr="0037191C">
        <w:rPr>
          <w:rFonts w:ascii="Arial" w:hAnsi="Arial" w:cs="Arial"/>
        </w:rPr>
        <w:t xml:space="preserve"> the user experience.</w:t>
      </w:r>
      <w:r w:rsidR="00A14C28">
        <w:t xml:space="preserve"> </w:t>
      </w:r>
    </w:p>
    <w:p w14:paraId="07AF9960" w14:textId="77777777" w:rsidR="00EB21C4" w:rsidRPr="00EB21C4" w:rsidRDefault="00EB21C4" w:rsidP="00EB21C4">
      <w:pPr>
        <w:pStyle w:val="ListParagraph"/>
        <w:spacing w:after="160" w:line="278" w:lineRule="auto"/>
        <w:rPr>
          <w:rFonts w:ascii="Arial" w:eastAsia="Times New Roman" w:hAnsi="Arial" w:cs="Arial"/>
          <w:sz w:val="20"/>
          <w:szCs w:val="20"/>
          <w:lang w:val="en-US"/>
        </w:rPr>
      </w:pPr>
    </w:p>
    <w:p w14:paraId="643FF87E" w14:textId="3E4A8AD8" w:rsidR="00AA15F4" w:rsidRPr="00AA15F4" w:rsidRDefault="00FD7D53" w:rsidP="005C13FE">
      <w:pPr>
        <w:pStyle w:val="ListParagraph"/>
        <w:numPr>
          <w:ilvl w:val="0"/>
          <w:numId w:val="35"/>
        </w:numPr>
        <w:spacing w:after="160" w:line="240" w:lineRule="auto"/>
        <w:ind w:left="714" w:hanging="357"/>
        <w:jc w:val="both"/>
        <w:rPr>
          <w:rFonts w:ascii="Arial" w:eastAsia="Times New Roman" w:hAnsi="Arial" w:cs="Arial"/>
          <w:sz w:val="20"/>
          <w:szCs w:val="20"/>
          <w:lang w:val="en-US"/>
        </w:rPr>
      </w:pPr>
      <w:r w:rsidRPr="00EB21C4">
        <w:rPr>
          <w:rFonts w:ascii="Arial" w:eastAsia="Times New Roman" w:hAnsi="Arial" w:cs="Arial"/>
          <w:b/>
          <w:bCs/>
          <w:sz w:val="20"/>
          <w:szCs w:val="20"/>
          <w:lang w:val="en-US"/>
        </w:rPr>
        <w:t>O</w:t>
      </w:r>
      <w:r w:rsidR="00A14C28" w:rsidRPr="00EB21C4">
        <w:rPr>
          <w:rFonts w:ascii="Arial" w:eastAsia="Times New Roman" w:hAnsi="Arial" w:cs="Arial"/>
          <w:b/>
          <w:bCs/>
          <w:sz w:val="20"/>
          <w:szCs w:val="20"/>
          <w:lang w:val="en-US"/>
        </w:rPr>
        <w:t>perational efficiency</w:t>
      </w:r>
      <w:r w:rsidR="00EB21C4" w:rsidRPr="00EB21C4">
        <w:rPr>
          <w:rFonts w:ascii="Arial" w:eastAsia="Times New Roman" w:hAnsi="Arial" w:cs="Arial"/>
          <w:sz w:val="20"/>
          <w:szCs w:val="20"/>
          <w:lang w:val="en-US"/>
        </w:rPr>
        <w:t xml:space="preserve"> -</w:t>
      </w:r>
      <w:r w:rsidR="00A14C28" w:rsidRPr="00EB21C4">
        <w:rPr>
          <w:rFonts w:ascii="Arial" w:eastAsia="Times New Roman" w:hAnsi="Arial" w:cs="Arial"/>
          <w:sz w:val="20"/>
          <w:szCs w:val="20"/>
          <w:lang w:val="en-US"/>
        </w:rPr>
        <w:t xml:space="preserve"> streamlining internal processes and reducing manual effort, free</w:t>
      </w:r>
      <w:r w:rsidR="00DA2A97">
        <w:rPr>
          <w:rFonts w:ascii="Arial" w:eastAsia="Times New Roman" w:hAnsi="Arial" w:cs="Arial"/>
          <w:sz w:val="20"/>
          <w:szCs w:val="20"/>
          <w:lang w:val="en-US"/>
        </w:rPr>
        <w:t>ing</w:t>
      </w:r>
      <w:r w:rsidR="00A14C28" w:rsidRPr="00EB21C4">
        <w:rPr>
          <w:rFonts w:ascii="Arial" w:eastAsia="Times New Roman" w:hAnsi="Arial" w:cs="Arial"/>
          <w:sz w:val="20"/>
          <w:szCs w:val="20"/>
          <w:lang w:val="en-US"/>
        </w:rPr>
        <w:t xml:space="preserve"> up resources to focus on the areas that really contribute to our strategic growth. </w:t>
      </w:r>
      <w:r w:rsidR="00EB21C4" w:rsidRPr="00EB21C4">
        <w:rPr>
          <w:rFonts w:ascii="Arial" w:eastAsia="Times New Roman" w:hAnsi="Arial" w:cs="Arial"/>
          <w:sz w:val="20"/>
          <w:szCs w:val="20"/>
          <w:lang w:val="en-US"/>
        </w:rPr>
        <w:t xml:space="preserve">We have multiple use cases of automation going live </w:t>
      </w:r>
      <w:r w:rsidR="008864DE">
        <w:rPr>
          <w:rFonts w:ascii="Arial" w:eastAsia="Times New Roman" w:hAnsi="Arial" w:cs="Arial"/>
          <w:sz w:val="20"/>
          <w:szCs w:val="20"/>
          <w:lang w:val="en-US"/>
        </w:rPr>
        <w:t xml:space="preserve">which </w:t>
      </w:r>
      <w:r w:rsidR="00362935">
        <w:rPr>
          <w:rFonts w:ascii="Arial" w:eastAsia="Times New Roman" w:hAnsi="Arial" w:cs="Arial"/>
          <w:sz w:val="20"/>
          <w:szCs w:val="20"/>
          <w:lang w:val="en-US"/>
        </w:rPr>
        <w:t>are</w:t>
      </w:r>
      <w:r w:rsidR="00EB21C4" w:rsidRPr="00EB21C4">
        <w:rPr>
          <w:rFonts w:ascii="Arial" w:eastAsia="Times New Roman" w:hAnsi="Arial" w:cs="Arial"/>
          <w:sz w:val="20"/>
          <w:szCs w:val="20"/>
          <w:lang w:val="en-US"/>
        </w:rPr>
        <w:t xml:space="preserve"> changing internal processes and improving efficiency, the results of which can be seen in our </w:t>
      </w:r>
      <w:r w:rsidR="00E56113">
        <w:rPr>
          <w:rFonts w:ascii="Arial" w:eastAsia="Times New Roman" w:hAnsi="Arial" w:cs="Arial"/>
          <w:sz w:val="20"/>
          <w:szCs w:val="20"/>
          <w:lang w:val="en-US"/>
        </w:rPr>
        <w:t xml:space="preserve">reducing </w:t>
      </w:r>
      <w:r w:rsidR="00EB21C4" w:rsidRPr="00EB21C4">
        <w:rPr>
          <w:rFonts w:ascii="Arial" w:eastAsia="Times New Roman" w:hAnsi="Arial" w:cs="Arial"/>
          <w:sz w:val="20"/>
          <w:szCs w:val="20"/>
          <w:lang w:val="en-US"/>
        </w:rPr>
        <w:t xml:space="preserve">cost base. Within our contact </w:t>
      </w:r>
      <w:proofErr w:type="spellStart"/>
      <w:r w:rsidR="00EB21C4" w:rsidRPr="00EB21C4">
        <w:rPr>
          <w:rFonts w:ascii="Arial" w:eastAsia="Times New Roman" w:hAnsi="Arial" w:cs="Arial"/>
          <w:sz w:val="20"/>
          <w:szCs w:val="20"/>
          <w:lang w:val="en-US"/>
        </w:rPr>
        <w:t>centre</w:t>
      </w:r>
      <w:proofErr w:type="spellEnd"/>
      <w:r w:rsidR="00EB21C4" w:rsidRPr="00EB21C4">
        <w:rPr>
          <w:rFonts w:ascii="Arial" w:eastAsia="Times New Roman" w:hAnsi="Arial" w:cs="Arial"/>
          <w:sz w:val="20"/>
          <w:szCs w:val="20"/>
          <w:lang w:val="en-US"/>
        </w:rPr>
        <w:t xml:space="preserve"> for example, AI is </w:t>
      </w:r>
      <w:r w:rsidR="00F57EBB">
        <w:rPr>
          <w:rFonts w:ascii="Arial" w:eastAsia="Times New Roman" w:hAnsi="Arial" w:cs="Arial"/>
          <w:sz w:val="20"/>
          <w:szCs w:val="20"/>
          <w:lang w:val="en-US"/>
        </w:rPr>
        <w:t xml:space="preserve">now responding to </w:t>
      </w:r>
      <w:r w:rsidR="00EB21C4" w:rsidRPr="00EB21C4">
        <w:rPr>
          <w:rFonts w:ascii="Arial" w:eastAsia="Times New Roman" w:hAnsi="Arial" w:cs="Arial"/>
          <w:sz w:val="20"/>
          <w:szCs w:val="20"/>
          <w:lang w:val="en-US"/>
        </w:rPr>
        <w:t xml:space="preserve">over </w:t>
      </w:r>
      <w:r w:rsidR="00F57EBB" w:rsidRPr="00DA53C4">
        <w:rPr>
          <w:rFonts w:ascii="Arial" w:eastAsia="Times New Roman" w:hAnsi="Arial" w:cs="Arial"/>
          <w:sz w:val="20"/>
          <w:szCs w:val="20"/>
          <w:lang w:val="en-US"/>
        </w:rPr>
        <w:t>60</w:t>
      </w:r>
      <w:r w:rsidR="00EB21C4" w:rsidRPr="00EB21C4">
        <w:rPr>
          <w:rFonts w:ascii="Arial" w:eastAsia="Times New Roman" w:hAnsi="Arial" w:cs="Arial"/>
          <w:sz w:val="20"/>
          <w:szCs w:val="20"/>
          <w:lang w:val="en-US"/>
        </w:rPr>
        <w:t xml:space="preserve">% of </w:t>
      </w:r>
      <w:r w:rsidR="00F57EBB">
        <w:rPr>
          <w:rFonts w:ascii="Arial" w:eastAsia="Times New Roman" w:hAnsi="Arial" w:cs="Arial"/>
          <w:sz w:val="20"/>
          <w:szCs w:val="20"/>
          <w:lang w:val="en-US"/>
        </w:rPr>
        <w:t>customer</w:t>
      </w:r>
      <w:r w:rsidR="00EB21C4" w:rsidRPr="00EB21C4">
        <w:rPr>
          <w:rFonts w:ascii="Arial" w:eastAsia="Times New Roman" w:hAnsi="Arial" w:cs="Arial"/>
          <w:sz w:val="20"/>
          <w:szCs w:val="20"/>
          <w:lang w:val="en-US"/>
        </w:rPr>
        <w:t xml:space="preserve"> contacts</w:t>
      </w:r>
      <w:r w:rsidR="00C33345">
        <w:rPr>
          <w:rFonts w:ascii="Arial" w:eastAsia="Times New Roman" w:hAnsi="Arial" w:cs="Arial"/>
          <w:sz w:val="20"/>
          <w:szCs w:val="20"/>
          <w:lang w:val="en-US"/>
        </w:rPr>
        <w:t xml:space="preserve"> and we</w:t>
      </w:r>
      <w:r w:rsidR="00EB21C4" w:rsidRPr="00EB21C4">
        <w:rPr>
          <w:rFonts w:ascii="Arial" w:eastAsia="Times New Roman" w:hAnsi="Arial" w:cs="Arial"/>
          <w:sz w:val="20"/>
          <w:szCs w:val="20"/>
          <w:lang w:val="en-US"/>
        </w:rPr>
        <w:t xml:space="preserve"> see opportunities to embed AI further into day-to-day activities, reducing manual effort and eliminating unnecessary activities. </w:t>
      </w:r>
    </w:p>
    <w:p w14:paraId="12658730" w14:textId="77777777" w:rsidR="00AA15F4" w:rsidRPr="00AA15F4" w:rsidRDefault="00AA15F4" w:rsidP="00AA15F4">
      <w:pPr>
        <w:pStyle w:val="ListParagraph"/>
        <w:spacing w:after="160" w:line="278" w:lineRule="auto"/>
        <w:rPr>
          <w:rFonts w:ascii="Arial" w:eastAsia="Times New Roman" w:hAnsi="Arial" w:cs="Arial"/>
          <w:sz w:val="20"/>
          <w:szCs w:val="20"/>
          <w:lang w:val="en-US"/>
        </w:rPr>
      </w:pPr>
    </w:p>
    <w:p w14:paraId="22EC69C3" w14:textId="453102F4" w:rsidR="00040211" w:rsidRPr="00040211" w:rsidRDefault="00EB21C4" w:rsidP="005C13FE">
      <w:pPr>
        <w:pStyle w:val="ListParagraph"/>
        <w:numPr>
          <w:ilvl w:val="0"/>
          <w:numId w:val="35"/>
        </w:numPr>
        <w:spacing w:after="160" w:line="240" w:lineRule="auto"/>
        <w:ind w:left="714" w:hanging="357"/>
        <w:jc w:val="both"/>
        <w:rPr>
          <w:rFonts w:ascii="Arial" w:eastAsia="Times New Roman" w:hAnsi="Arial" w:cs="Arial"/>
          <w:sz w:val="20"/>
          <w:szCs w:val="20"/>
          <w:lang w:val="en-US"/>
        </w:rPr>
      </w:pPr>
      <w:r w:rsidRPr="00AA15F4">
        <w:rPr>
          <w:rFonts w:ascii="Arial" w:eastAsia="Times New Roman" w:hAnsi="Arial" w:cs="Arial"/>
          <w:b/>
          <w:bCs/>
          <w:sz w:val="20"/>
          <w:szCs w:val="20"/>
          <w:lang w:val="en-US"/>
        </w:rPr>
        <w:t>Ma</w:t>
      </w:r>
      <w:r w:rsidR="00A14C28" w:rsidRPr="00AA15F4">
        <w:rPr>
          <w:rFonts w:ascii="Arial" w:eastAsia="Times New Roman" w:hAnsi="Arial" w:cs="Arial"/>
          <w:b/>
          <w:bCs/>
          <w:sz w:val="20"/>
          <w:szCs w:val="20"/>
          <w:lang w:val="en-US"/>
        </w:rPr>
        <w:t xml:space="preserve">rketing </w:t>
      </w:r>
      <w:proofErr w:type="spellStart"/>
      <w:r w:rsidR="00A14C28" w:rsidRPr="00AA15F4">
        <w:rPr>
          <w:rFonts w:ascii="Arial" w:eastAsia="Times New Roman" w:hAnsi="Arial" w:cs="Arial"/>
          <w:b/>
          <w:bCs/>
          <w:sz w:val="20"/>
          <w:szCs w:val="20"/>
          <w:lang w:val="en-US"/>
        </w:rPr>
        <w:t>optimisation</w:t>
      </w:r>
      <w:proofErr w:type="spellEnd"/>
      <w:r w:rsidR="00A14C28" w:rsidRPr="00AA15F4">
        <w:rPr>
          <w:rFonts w:ascii="Arial" w:eastAsia="Times New Roman" w:hAnsi="Arial" w:cs="Arial"/>
          <w:sz w:val="20"/>
          <w:szCs w:val="20"/>
          <w:lang w:val="en-US"/>
        </w:rPr>
        <w:t xml:space="preserve"> </w:t>
      </w:r>
      <w:r w:rsidRPr="00AA15F4">
        <w:rPr>
          <w:rFonts w:ascii="Arial" w:eastAsia="Times New Roman" w:hAnsi="Arial" w:cs="Arial"/>
          <w:sz w:val="20"/>
          <w:szCs w:val="20"/>
          <w:lang w:val="en-US"/>
        </w:rPr>
        <w:t xml:space="preserve">– </w:t>
      </w:r>
      <w:r w:rsidR="00D23D9C">
        <w:rPr>
          <w:rFonts w:ascii="Arial" w:eastAsia="Times New Roman" w:hAnsi="Arial" w:cs="Arial"/>
          <w:sz w:val="20"/>
          <w:szCs w:val="20"/>
          <w:lang w:val="en-US"/>
        </w:rPr>
        <w:t xml:space="preserve">while only a small percentage of customer journeys currently start using AI, we already have strong visibility </w:t>
      </w:r>
      <w:r w:rsidR="00C20754">
        <w:rPr>
          <w:rFonts w:ascii="Arial" w:eastAsia="Times New Roman" w:hAnsi="Arial" w:cs="Arial"/>
          <w:sz w:val="20"/>
          <w:szCs w:val="20"/>
          <w:lang w:val="en-US"/>
        </w:rPr>
        <w:t>in LLMs and AI overviews</w:t>
      </w:r>
      <w:r w:rsidR="00534F67">
        <w:rPr>
          <w:rFonts w:ascii="Arial" w:eastAsia="Times New Roman" w:hAnsi="Arial" w:cs="Arial"/>
          <w:sz w:val="20"/>
          <w:szCs w:val="20"/>
          <w:lang w:val="en-US"/>
        </w:rPr>
        <w:t>, having</w:t>
      </w:r>
      <w:r w:rsidRPr="00AA15F4">
        <w:rPr>
          <w:rFonts w:ascii="Arial" w:eastAsia="Times New Roman" w:hAnsi="Arial" w:cs="Arial"/>
          <w:sz w:val="20"/>
          <w:szCs w:val="20"/>
          <w:lang w:val="en-US"/>
        </w:rPr>
        <w:t xml:space="preserve"> </w:t>
      </w:r>
      <w:r w:rsidR="00A14C28" w:rsidRPr="00AA15F4">
        <w:rPr>
          <w:rFonts w:ascii="Arial" w:eastAsia="Times New Roman" w:hAnsi="Arial" w:cs="Arial"/>
          <w:sz w:val="20"/>
          <w:szCs w:val="20"/>
          <w:lang w:val="en-US"/>
        </w:rPr>
        <w:t>establish</w:t>
      </w:r>
      <w:r w:rsidR="00534F67">
        <w:rPr>
          <w:rFonts w:ascii="Arial" w:eastAsia="Times New Roman" w:hAnsi="Arial" w:cs="Arial"/>
          <w:sz w:val="20"/>
          <w:szCs w:val="20"/>
          <w:lang w:val="en-US"/>
        </w:rPr>
        <w:t>ed</w:t>
      </w:r>
      <w:r w:rsidR="00A14C28" w:rsidRPr="00AA15F4">
        <w:rPr>
          <w:rFonts w:ascii="Arial" w:eastAsia="Times New Roman" w:hAnsi="Arial" w:cs="Arial"/>
          <w:sz w:val="20"/>
          <w:szCs w:val="20"/>
          <w:lang w:val="en-US"/>
        </w:rPr>
        <w:t xml:space="preserve"> ourselves in this evolving channel</w:t>
      </w:r>
      <w:r w:rsidR="007B77DF">
        <w:rPr>
          <w:rFonts w:ascii="Arial" w:eastAsia="Times New Roman" w:hAnsi="Arial" w:cs="Arial"/>
          <w:sz w:val="20"/>
          <w:szCs w:val="20"/>
          <w:lang w:val="en-US"/>
        </w:rPr>
        <w:t>.</w:t>
      </w:r>
      <w:r w:rsidR="00A14C28" w:rsidRPr="00AA15F4">
        <w:rPr>
          <w:rFonts w:ascii="Arial" w:eastAsia="Times New Roman" w:hAnsi="Arial" w:cs="Arial"/>
          <w:sz w:val="20"/>
          <w:szCs w:val="20"/>
          <w:lang w:val="en-US"/>
        </w:rPr>
        <w:t xml:space="preserve"> </w:t>
      </w:r>
      <w:r w:rsidR="007B77DF">
        <w:rPr>
          <w:rFonts w:ascii="Arial" w:eastAsia="Times New Roman" w:hAnsi="Arial" w:cs="Arial"/>
          <w:sz w:val="20"/>
          <w:szCs w:val="20"/>
          <w:lang w:val="en-US"/>
        </w:rPr>
        <w:t>O</w:t>
      </w:r>
      <w:r w:rsidR="00A14C28" w:rsidRPr="00AA15F4">
        <w:rPr>
          <w:rFonts w:ascii="Arial" w:eastAsia="Times New Roman" w:hAnsi="Arial" w:cs="Arial"/>
          <w:sz w:val="20"/>
          <w:szCs w:val="20"/>
          <w:lang w:val="en-US"/>
        </w:rPr>
        <w:t xml:space="preserve">ur platform investment positions us well to </w:t>
      </w:r>
      <w:proofErr w:type="spellStart"/>
      <w:r w:rsidR="00A14C28" w:rsidRPr="00AA15F4">
        <w:rPr>
          <w:rFonts w:ascii="Arial" w:eastAsia="Times New Roman" w:hAnsi="Arial" w:cs="Arial"/>
          <w:sz w:val="20"/>
          <w:szCs w:val="20"/>
          <w:lang w:val="en-US"/>
        </w:rPr>
        <w:t>capitalise</w:t>
      </w:r>
      <w:proofErr w:type="spellEnd"/>
      <w:r w:rsidR="00A14C28" w:rsidRPr="00AA15F4">
        <w:rPr>
          <w:rFonts w:ascii="Arial" w:eastAsia="Times New Roman" w:hAnsi="Arial" w:cs="Arial"/>
          <w:sz w:val="20"/>
          <w:szCs w:val="20"/>
          <w:lang w:val="en-US"/>
        </w:rPr>
        <w:t xml:space="preserve"> on this opportunity to deeper integrate our brands in this field.</w:t>
      </w:r>
    </w:p>
    <w:p w14:paraId="6E01E9FC" w14:textId="77777777" w:rsidR="00CA18D6" w:rsidRDefault="00040211" w:rsidP="00CA18D6">
      <w:pPr>
        <w:pStyle w:val="ParaIMS"/>
        <w:rPr>
          <w:rFonts w:ascii="Arial" w:hAnsi="Arial" w:cs="Arial"/>
          <w:b/>
          <w:bCs/>
          <w:lang w:val="en-GB"/>
        </w:rPr>
      </w:pPr>
      <w:r>
        <w:rPr>
          <w:rFonts w:ascii="Arial" w:hAnsi="Arial" w:cs="Arial"/>
          <w:b/>
          <w:bCs/>
          <w:lang w:val="en-GB"/>
        </w:rPr>
        <w:t xml:space="preserve">Building blocks for growth </w:t>
      </w:r>
    </w:p>
    <w:p w14:paraId="22220054" w14:textId="4CBD6266" w:rsidR="000E0DF8" w:rsidRPr="000E0DF8" w:rsidRDefault="00CA18D6" w:rsidP="000E0DF8">
      <w:pPr>
        <w:pStyle w:val="ParaIMS"/>
        <w:jc w:val="both"/>
        <w:rPr>
          <w:rFonts w:ascii="Arial" w:hAnsi="Arial" w:cs="Arial"/>
        </w:rPr>
      </w:pPr>
      <w:r w:rsidRPr="000E0DF8">
        <w:rPr>
          <w:rFonts w:ascii="Arial" w:hAnsi="Arial" w:cs="Arial"/>
        </w:rPr>
        <w:t>We see a compelling growth story as we look ahead to 2026, with three key building blocks. First, we see significant headroom in our member-based propositions, increasing loyalty and customer lifetime value. Second, our innovative product development pipeline is focused on delivering products that enhance the</w:t>
      </w:r>
      <w:r w:rsidR="002F04C7">
        <w:rPr>
          <w:rFonts w:ascii="Arial" w:hAnsi="Arial" w:cs="Arial"/>
        </w:rPr>
        <w:t xml:space="preserve"> </w:t>
      </w:r>
      <w:r w:rsidRPr="000E0DF8">
        <w:rPr>
          <w:rFonts w:ascii="Arial" w:hAnsi="Arial" w:cs="Arial"/>
        </w:rPr>
        <w:t xml:space="preserve">customer experience, boost conversion and </w:t>
      </w:r>
      <w:r w:rsidR="000226AD">
        <w:rPr>
          <w:rFonts w:ascii="Arial" w:hAnsi="Arial" w:cs="Arial"/>
        </w:rPr>
        <w:t xml:space="preserve">access </w:t>
      </w:r>
      <w:r w:rsidRPr="000E0DF8">
        <w:rPr>
          <w:rFonts w:ascii="Arial" w:hAnsi="Arial" w:cs="Arial"/>
        </w:rPr>
        <w:t>new markets. And finally, we are confident about the outlook for growth in our end markets.</w:t>
      </w:r>
    </w:p>
    <w:p w14:paraId="29DBA9FB" w14:textId="56D8027C" w:rsidR="002F04C7" w:rsidRPr="000E0DF8" w:rsidRDefault="00CA18D6" w:rsidP="000E0DF8">
      <w:pPr>
        <w:pStyle w:val="ParaIMS"/>
        <w:jc w:val="both"/>
        <w:rPr>
          <w:rFonts w:ascii="Arial" w:hAnsi="Arial" w:cs="Arial"/>
        </w:rPr>
      </w:pPr>
      <w:r w:rsidRPr="000E0DF8">
        <w:rPr>
          <w:rFonts w:ascii="Arial" w:hAnsi="Arial" w:cs="Arial"/>
        </w:rPr>
        <w:t>Ultimately, all these factors contribute to a highly effective and resilient business</w:t>
      </w:r>
      <w:r w:rsidR="002F04C7">
        <w:rPr>
          <w:rFonts w:ascii="Arial" w:hAnsi="Arial" w:cs="Arial"/>
        </w:rPr>
        <w:t>, underpinned by a clear capital allocation policy</w:t>
      </w:r>
      <w:r w:rsidR="000E0DF8" w:rsidRPr="000E0DF8" w:rsidDel="002F04C7">
        <w:rPr>
          <w:rFonts w:ascii="Arial" w:hAnsi="Arial" w:cs="Arial"/>
        </w:rPr>
        <w:t>.</w:t>
      </w:r>
      <w:r w:rsidR="000E0DF8" w:rsidRPr="000E0DF8">
        <w:rPr>
          <w:rFonts w:ascii="Arial" w:hAnsi="Arial" w:cs="Arial"/>
        </w:rPr>
        <w:t xml:space="preserve"> We remain focused on </w:t>
      </w:r>
      <w:proofErr w:type="spellStart"/>
      <w:r w:rsidR="000E0DF8" w:rsidRPr="000E0DF8">
        <w:rPr>
          <w:rFonts w:ascii="Arial" w:hAnsi="Arial" w:cs="Arial"/>
        </w:rPr>
        <w:t>maximising</w:t>
      </w:r>
      <w:proofErr w:type="spellEnd"/>
      <w:r w:rsidR="000E0DF8" w:rsidRPr="000E0DF8">
        <w:rPr>
          <w:rFonts w:ascii="Arial" w:hAnsi="Arial" w:cs="Arial"/>
        </w:rPr>
        <w:t xml:space="preserve"> shareholder value, delivering a package of shareholder returns over 2025 </w:t>
      </w:r>
      <w:r w:rsidR="000E0DF8" w:rsidRPr="00B74413">
        <w:rPr>
          <w:rFonts w:ascii="Arial" w:hAnsi="Arial" w:cs="Arial"/>
        </w:rPr>
        <w:t>of £</w:t>
      </w:r>
      <w:r w:rsidR="00690AA0" w:rsidRPr="00DA53C4">
        <w:rPr>
          <w:rFonts w:ascii="Arial" w:hAnsi="Arial" w:cs="Arial"/>
        </w:rPr>
        <w:t>96</w:t>
      </w:r>
      <w:r w:rsidR="000E0DF8" w:rsidRPr="00B74413">
        <w:rPr>
          <w:rFonts w:ascii="Arial" w:hAnsi="Arial" w:cs="Arial"/>
        </w:rPr>
        <w:t>m,</w:t>
      </w:r>
      <w:r w:rsidR="000E0DF8" w:rsidRPr="000E0DF8">
        <w:rPr>
          <w:rFonts w:ascii="Arial" w:hAnsi="Arial" w:cs="Arial"/>
        </w:rPr>
        <w:t xml:space="preserve"> incorporating the ongoing share buyback and our progressive dividend. </w:t>
      </w:r>
      <w:r w:rsidR="002F04C7">
        <w:rPr>
          <w:rFonts w:ascii="Arial" w:hAnsi="Arial" w:cs="Arial"/>
        </w:rPr>
        <w:t>W</w:t>
      </w:r>
      <w:r w:rsidRPr="000E0DF8">
        <w:rPr>
          <w:rFonts w:ascii="Arial" w:hAnsi="Arial" w:cs="Arial"/>
        </w:rPr>
        <w:t xml:space="preserve">e have a clean balance sheet, maintain an active pipeline of M&amp;A opportunities, </w:t>
      </w:r>
      <w:r w:rsidR="0088129F">
        <w:rPr>
          <w:rFonts w:ascii="Arial" w:hAnsi="Arial" w:cs="Arial"/>
        </w:rPr>
        <w:t>and</w:t>
      </w:r>
      <w:r w:rsidRPr="000E0DF8">
        <w:rPr>
          <w:rFonts w:ascii="Arial" w:hAnsi="Arial" w:cs="Arial"/>
        </w:rPr>
        <w:t xml:space="preserve"> remain well positioned to</w:t>
      </w:r>
      <w:r w:rsidR="002F04C7">
        <w:rPr>
          <w:rFonts w:ascii="Arial" w:hAnsi="Arial" w:cs="Arial"/>
        </w:rPr>
        <w:t xml:space="preserve"> </w:t>
      </w:r>
      <w:r w:rsidRPr="000E0DF8">
        <w:rPr>
          <w:rFonts w:ascii="Arial" w:hAnsi="Arial" w:cs="Arial"/>
        </w:rPr>
        <w:t>execute to deliver further value</w:t>
      </w:r>
      <w:r w:rsidR="000E0DF8" w:rsidRPr="000E0DF8">
        <w:rPr>
          <w:rFonts w:ascii="Arial" w:hAnsi="Arial" w:cs="Arial"/>
        </w:rPr>
        <w:t xml:space="preserve"> and sustainable, profitable growth</w:t>
      </w:r>
      <w:r w:rsidRPr="000E0DF8">
        <w:rPr>
          <w:rFonts w:ascii="Arial" w:hAnsi="Arial" w:cs="Arial"/>
        </w:rPr>
        <w:t xml:space="preserve"> for our shareholders</w:t>
      </w:r>
      <w:r w:rsidR="000E0DF8" w:rsidRPr="000E0DF8">
        <w:rPr>
          <w:rFonts w:ascii="Arial" w:hAnsi="Arial" w:cs="Arial"/>
        </w:rPr>
        <w:t>.</w:t>
      </w:r>
    </w:p>
    <w:p w14:paraId="40CCAEF0" w14:textId="77777777" w:rsidR="00294FD1" w:rsidRPr="00A61319" w:rsidRDefault="00294FD1" w:rsidP="00294FD1">
      <w:pPr>
        <w:pStyle w:val="ParaIMS"/>
        <w:rPr>
          <w:rFonts w:ascii="Arial" w:hAnsi="Arial" w:cs="Arial"/>
          <w:b/>
          <w:bCs/>
          <w:lang w:val="en-GB"/>
        </w:rPr>
      </w:pPr>
      <w:r w:rsidRPr="00A61319">
        <w:rPr>
          <w:rFonts w:ascii="Arial" w:hAnsi="Arial" w:cs="Arial"/>
          <w:b/>
          <w:bCs/>
          <w:lang w:val="en-GB"/>
        </w:rPr>
        <w:t>Key performance indicators</w:t>
      </w:r>
    </w:p>
    <w:p w14:paraId="07601412" w14:textId="37E42F1B" w:rsidR="00294FD1" w:rsidRPr="00A61319" w:rsidRDefault="00294FD1" w:rsidP="00294FD1">
      <w:pPr>
        <w:spacing w:before="160" w:after="0" w:line="240" w:lineRule="auto"/>
        <w:jc w:val="both"/>
        <w:rPr>
          <w:rFonts w:ascii="Arial" w:hAnsi="Arial"/>
          <w:sz w:val="20"/>
        </w:rPr>
      </w:pPr>
      <w:r w:rsidRPr="00A61319">
        <w:rPr>
          <w:rFonts w:ascii="Arial" w:hAnsi="Arial"/>
          <w:sz w:val="20"/>
        </w:rPr>
        <w:t xml:space="preserve">The Board reviews key performance indicators (KPIs) to assess the performance of the business against the Group’s strategy. The KPIs are largely brand focused and therefore span multiple segments. We measure </w:t>
      </w:r>
      <w:r w:rsidR="00A163F3">
        <w:rPr>
          <w:rFonts w:ascii="Arial" w:hAnsi="Arial"/>
          <w:sz w:val="20"/>
        </w:rPr>
        <w:t>six</w:t>
      </w:r>
      <w:r w:rsidRPr="00A61319">
        <w:rPr>
          <w:rFonts w:ascii="Arial" w:hAnsi="Arial"/>
          <w:sz w:val="20"/>
        </w:rPr>
        <w:t xml:space="preserve"> key strategic KPIs: estimated </w:t>
      </w:r>
      <w:r w:rsidR="0018505C" w:rsidRPr="00A61319">
        <w:rPr>
          <w:rFonts w:ascii="Arial" w:hAnsi="Arial"/>
          <w:sz w:val="20"/>
        </w:rPr>
        <w:t>G</w:t>
      </w:r>
      <w:r w:rsidRPr="00A61319">
        <w:rPr>
          <w:rFonts w:ascii="Arial" w:hAnsi="Arial"/>
          <w:sz w:val="20"/>
        </w:rPr>
        <w:t xml:space="preserve">roup customer savings, </w:t>
      </w:r>
      <w:r w:rsidR="0018505C" w:rsidRPr="00A61319">
        <w:rPr>
          <w:rFonts w:ascii="Arial" w:hAnsi="Arial"/>
          <w:sz w:val="20"/>
        </w:rPr>
        <w:t>G</w:t>
      </w:r>
      <w:r w:rsidRPr="00A61319">
        <w:rPr>
          <w:rFonts w:ascii="Arial" w:hAnsi="Arial"/>
          <w:sz w:val="20"/>
        </w:rPr>
        <w:t xml:space="preserve">roup marketing margin, MSM and MSE net promoter score, MSM </w:t>
      </w:r>
      <w:r w:rsidR="00260C5C" w:rsidRPr="00A61319">
        <w:rPr>
          <w:rFonts w:ascii="Arial" w:hAnsi="Arial"/>
          <w:sz w:val="20"/>
        </w:rPr>
        <w:t xml:space="preserve">&amp; Quidco </w:t>
      </w:r>
      <w:r w:rsidRPr="00A61319">
        <w:rPr>
          <w:rFonts w:ascii="Arial" w:hAnsi="Arial"/>
          <w:sz w:val="20"/>
        </w:rPr>
        <w:t xml:space="preserve">active users, MSM </w:t>
      </w:r>
      <w:r w:rsidR="00260C5C" w:rsidRPr="00A61319">
        <w:rPr>
          <w:rFonts w:ascii="Arial" w:hAnsi="Arial"/>
          <w:sz w:val="20"/>
        </w:rPr>
        <w:t xml:space="preserve">&amp; Quidco </w:t>
      </w:r>
      <w:r w:rsidRPr="00A61319">
        <w:rPr>
          <w:rFonts w:ascii="Arial" w:hAnsi="Arial"/>
          <w:sz w:val="20"/>
        </w:rPr>
        <w:t xml:space="preserve">revenue per active user and MSM cross-channel enquiry. </w:t>
      </w:r>
      <w:r w:rsidR="00CD6A98">
        <w:rPr>
          <w:rFonts w:ascii="Arial" w:hAnsi="Arial"/>
          <w:sz w:val="20"/>
        </w:rPr>
        <w:t xml:space="preserve">The anticipated headwinds in </w:t>
      </w:r>
      <w:r w:rsidR="002C4207">
        <w:rPr>
          <w:rFonts w:ascii="Arial" w:hAnsi="Arial"/>
          <w:sz w:val="20"/>
        </w:rPr>
        <w:t>the</w:t>
      </w:r>
      <w:r w:rsidR="00CD6A98">
        <w:rPr>
          <w:rFonts w:ascii="Arial" w:hAnsi="Arial"/>
          <w:sz w:val="20"/>
        </w:rPr>
        <w:t xml:space="preserve"> car insurance </w:t>
      </w:r>
      <w:r w:rsidR="002C4207">
        <w:rPr>
          <w:rFonts w:ascii="Arial" w:hAnsi="Arial"/>
          <w:sz w:val="20"/>
        </w:rPr>
        <w:t xml:space="preserve">market </w:t>
      </w:r>
      <w:r w:rsidR="00CD6A98">
        <w:rPr>
          <w:rFonts w:ascii="Arial" w:hAnsi="Arial"/>
          <w:sz w:val="20"/>
        </w:rPr>
        <w:t xml:space="preserve">have </w:t>
      </w:r>
      <w:r w:rsidR="002C4207">
        <w:rPr>
          <w:rFonts w:ascii="Arial" w:hAnsi="Arial"/>
          <w:sz w:val="20"/>
        </w:rPr>
        <w:t xml:space="preserve">negatively </w:t>
      </w:r>
      <w:r w:rsidR="00973AB0">
        <w:rPr>
          <w:rFonts w:ascii="Arial" w:hAnsi="Arial"/>
          <w:sz w:val="20"/>
        </w:rPr>
        <w:t xml:space="preserve">impacted </w:t>
      </w:r>
      <w:r w:rsidR="004466A5">
        <w:rPr>
          <w:rFonts w:ascii="Arial" w:hAnsi="Arial"/>
          <w:sz w:val="20"/>
        </w:rPr>
        <w:t xml:space="preserve">three of our </w:t>
      </w:r>
      <w:r w:rsidR="00A16DAA">
        <w:rPr>
          <w:rFonts w:ascii="Arial" w:hAnsi="Arial"/>
          <w:sz w:val="20"/>
        </w:rPr>
        <w:t>G</w:t>
      </w:r>
      <w:r w:rsidR="00A16DAA" w:rsidRPr="00A16DAA">
        <w:rPr>
          <w:rFonts w:ascii="Arial" w:hAnsi="Arial"/>
          <w:sz w:val="20"/>
        </w:rPr>
        <w:t>roup</w:t>
      </w:r>
      <w:r w:rsidR="004466A5">
        <w:rPr>
          <w:rFonts w:ascii="Arial" w:hAnsi="Arial"/>
          <w:sz w:val="20"/>
        </w:rPr>
        <w:t xml:space="preserve"> KPIs</w:t>
      </w:r>
      <w:r w:rsidR="00B74650">
        <w:rPr>
          <w:rFonts w:ascii="Arial" w:hAnsi="Arial"/>
          <w:sz w:val="20"/>
        </w:rPr>
        <w:t xml:space="preserve"> (</w:t>
      </w:r>
      <w:r w:rsidR="00E53EF4">
        <w:rPr>
          <w:rFonts w:ascii="Arial" w:hAnsi="Arial"/>
          <w:sz w:val="20"/>
        </w:rPr>
        <w:t>customer savings, active users and cross-channel enquiries</w:t>
      </w:r>
      <w:r w:rsidR="00B74650">
        <w:rPr>
          <w:rFonts w:ascii="Arial" w:hAnsi="Arial"/>
          <w:sz w:val="20"/>
        </w:rPr>
        <w:t>)</w:t>
      </w:r>
      <w:r w:rsidR="00D16F4E">
        <w:rPr>
          <w:rFonts w:ascii="Arial" w:hAnsi="Arial"/>
          <w:sz w:val="20"/>
        </w:rPr>
        <w:t>.</w:t>
      </w:r>
      <w:r w:rsidR="00B74650">
        <w:rPr>
          <w:rFonts w:ascii="Arial" w:hAnsi="Arial"/>
          <w:sz w:val="20"/>
        </w:rPr>
        <w:t xml:space="preserve"> </w:t>
      </w:r>
      <w:r w:rsidR="00D16F4E">
        <w:rPr>
          <w:rFonts w:ascii="Arial" w:hAnsi="Arial"/>
          <w:sz w:val="20"/>
        </w:rPr>
        <w:t>R</w:t>
      </w:r>
      <w:r w:rsidR="00B74650">
        <w:rPr>
          <w:rFonts w:ascii="Arial" w:hAnsi="Arial"/>
          <w:sz w:val="20"/>
        </w:rPr>
        <w:t xml:space="preserve">evenue per active user and </w:t>
      </w:r>
      <w:r w:rsidR="000960E1">
        <w:rPr>
          <w:rFonts w:ascii="Arial" w:hAnsi="Arial"/>
          <w:sz w:val="20"/>
        </w:rPr>
        <w:t>net promoter score have both i</w:t>
      </w:r>
      <w:r w:rsidR="00467B56">
        <w:rPr>
          <w:rFonts w:ascii="Arial" w:hAnsi="Arial"/>
          <w:sz w:val="20"/>
        </w:rPr>
        <w:t>mproved</w:t>
      </w:r>
      <w:r w:rsidR="00AB52D4">
        <w:rPr>
          <w:rFonts w:ascii="Arial" w:hAnsi="Arial"/>
          <w:sz w:val="20"/>
        </w:rPr>
        <w:t xml:space="preserve"> year on year</w:t>
      </w:r>
      <w:r w:rsidR="00467B56">
        <w:rPr>
          <w:rFonts w:ascii="Arial" w:hAnsi="Arial"/>
          <w:sz w:val="20"/>
        </w:rPr>
        <w:t>.</w:t>
      </w:r>
      <w:r w:rsidR="00E53EF4">
        <w:rPr>
          <w:rFonts w:ascii="Arial" w:hAnsi="Arial"/>
          <w:sz w:val="20"/>
        </w:rPr>
        <w:t xml:space="preserve"> </w:t>
      </w:r>
      <w:r w:rsidR="00A16DAA" w:rsidRPr="00A16DAA">
        <w:rPr>
          <w:rFonts w:ascii="Arial" w:hAnsi="Arial"/>
          <w:sz w:val="20"/>
        </w:rPr>
        <w:t> </w:t>
      </w:r>
    </w:p>
    <w:p w14:paraId="74CF5126" w14:textId="77777777" w:rsidR="00996418" w:rsidRDefault="00996418">
      <w:pPr>
        <w:spacing w:after="160" w:line="259" w:lineRule="auto"/>
        <w:rPr>
          <w:rFonts w:ascii="Arial" w:hAnsi="Arial"/>
          <w:sz w:val="20"/>
        </w:rPr>
      </w:pPr>
      <w:r>
        <w:rPr>
          <w:rFonts w:ascii="Arial" w:hAnsi="Arial"/>
          <w:sz w:val="20"/>
        </w:rPr>
        <w:br w:type="page"/>
      </w:r>
    </w:p>
    <w:p w14:paraId="0BEE9E2E" w14:textId="77777777" w:rsidR="00294FD1" w:rsidRPr="00A61319" w:rsidRDefault="00294FD1" w:rsidP="00294FD1">
      <w:pPr>
        <w:spacing w:before="160" w:after="0" w:line="240" w:lineRule="auto"/>
        <w:jc w:val="both"/>
        <w:rPr>
          <w:rFonts w:ascii="Arial" w:hAnsi="Arial"/>
          <w:sz w:val="20"/>
        </w:rPr>
      </w:pPr>
      <w:r w:rsidRPr="00A61319">
        <w:rPr>
          <w:rFonts w:ascii="Arial" w:hAnsi="Arial"/>
          <w:sz w:val="20"/>
        </w:rPr>
        <w:lastRenderedPageBreak/>
        <w:t>We will continue to evaluate and broaden the KPIs as needed to ensure they provide visibility of our strategic progress under a framework that measures the strength of the Group and our brands.</w:t>
      </w:r>
    </w:p>
    <w:p w14:paraId="5C37018F" w14:textId="77777777" w:rsidR="00294FD1" w:rsidRPr="00A44138" w:rsidRDefault="00294FD1" w:rsidP="00294FD1">
      <w:pPr>
        <w:spacing w:before="160" w:after="0" w:line="240" w:lineRule="auto"/>
        <w:rPr>
          <w:rFonts w:ascii="Arial" w:hAnsi="Arial"/>
          <w:sz w:val="20"/>
        </w:rPr>
      </w:pPr>
    </w:p>
    <w:tbl>
      <w:tblPr>
        <w:tblW w:w="4943" w:type="pct"/>
        <w:tblLayout w:type="fixed"/>
        <w:tblCellMar>
          <w:left w:w="0" w:type="dxa"/>
          <w:right w:w="0" w:type="dxa"/>
        </w:tblCellMar>
        <w:tblLook w:val="04A0" w:firstRow="1" w:lastRow="0" w:firstColumn="1" w:lastColumn="0" w:noHBand="0" w:noVBand="1"/>
      </w:tblPr>
      <w:tblGrid>
        <w:gridCol w:w="5672"/>
        <w:gridCol w:w="1839"/>
        <w:gridCol w:w="1458"/>
      </w:tblGrid>
      <w:tr w:rsidR="00B01C3F" w:rsidRPr="00A44138" w14:paraId="4D4EA1E2" w14:textId="77777777" w:rsidTr="00B01C3F">
        <w:trPr>
          <w:trHeight w:val="314"/>
        </w:trPr>
        <w:tc>
          <w:tcPr>
            <w:tcW w:w="3162" w:type="pct"/>
            <w:tcBorders>
              <w:bottom w:val="single" w:sz="4" w:space="0" w:color="auto"/>
            </w:tcBorders>
            <w:vAlign w:val="bottom"/>
          </w:tcPr>
          <w:p w14:paraId="4543A34A" w14:textId="77777777" w:rsidR="00B01C3F" w:rsidRPr="00A44138" w:rsidRDefault="00B01C3F" w:rsidP="00B01C3F">
            <w:pPr>
              <w:spacing w:before="40" w:after="0"/>
              <w:ind w:left="173" w:hanging="173"/>
              <w:jc w:val="right"/>
              <w:rPr>
                <w:rFonts w:ascii="Arial" w:hAnsi="Arial"/>
                <w:sz w:val="20"/>
              </w:rPr>
            </w:pPr>
          </w:p>
        </w:tc>
        <w:tc>
          <w:tcPr>
            <w:tcW w:w="1025" w:type="pct"/>
            <w:tcBorders>
              <w:bottom w:val="single" w:sz="4" w:space="0" w:color="auto"/>
            </w:tcBorders>
          </w:tcPr>
          <w:p w14:paraId="4EDC2DA4" w14:textId="77777777" w:rsidR="00B01C3F" w:rsidRPr="00A44138" w:rsidRDefault="00B01C3F" w:rsidP="00B01C3F">
            <w:pPr>
              <w:spacing w:before="40" w:after="0"/>
              <w:jc w:val="right"/>
              <w:rPr>
                <w:rFonts w:ascii="Arial" w:eastAsia="Times New Roman" w:hAnsi="Arial" w:cs="Arial"/>
                <w:b/>
                <w:sz w:val="20"/>
                <w:szCs w:val="20"/>
              </w:rPr>
            </w:pPr>
            <w:r w:rsidRPr="00A44138">
              <w:rPr>
                <w:rFonts w:ascii="Arial" w:eastAsia="Times New Roman" w:hAnsi="Arial" w:cs="Arial"/>
                <w:b/>
                <w:sz w:val="20"/>
                <w:szCs w:val="20"/>
              </w:rPr>
              <w:t>30 June</w:t>
            </w:r>
          </w:p>
          <w:p w14:paraId="6FCFCBA9" w14:textId="7865A1B0" w:rsidR="00B01C3F" w:rsidRPr="00A44138" w:rsidRDefault="00B01C3F" w:rsidP="00B01C3F">
            <w:pPr>
              <w:spacing w:before="40" w:after="0"/>
              <w:jc w:val="right"/>
              <w:rPr>
                <w:rFonts w:ascii="Arial" w:eastAsia="Times New Roman" w:hAnsi="Arial" w:cs="Arial"/>
                <w:b/>
                <w:color w:val="FF0000"/>
                <w:sz w:val="20"/>
                <w:szCs w:val="20"/>
              </w:rPr>
            </w:pPr>
            <w:r w:rsidRPr="00A44138">
              <w:rPr>
                <w:rFonts w:ascii="Arial" w:eastAsia="Times New Roman" w:hAnsi="Arial" w:cs="Arial"/>
                <w:b/>
                <w:sz w:val="20"/>
                <w:szCs w:val="20"/>
              </w:rPr>
              <w:t>202</w:t>
            </w:r>
            <w:r>
              <w:rPr>
                <w:rFonts w:ascii="Arial" w:eastAsia="Times New Roman" w:hAnsi="Arial" w:cs="Arial"/>
                <w:b/>
                <w:sz w:val="20"/>
                <w:szCs w:val="20"/>
              </w:rPr>
              <w:t>5</w:t>
            </w:r>
          </w:p>
        </w:tc>
        <w:tc>
          <w:tcPr>
            <w:tcW w:w="813" w:type="pct"/>
            <w:tcBorders>
              <w:bottom w:val="single" w:sz="4" w:space="0" w:color="auto"/>
            </w:tcBorders>
          </w:tcPr>
          <w:p w14:paraId="04C4C133" w14:textId="77777777" w:rsidR="00B01C3F" w:rsidRPr="005E7A81" w:rsidRDefault="00B01C3F" w:rsidP="00B01C3F">
            <w:pPr>
              <w:spacing w:before="40" w:after="0"/>
              <w:jc w:val="right"/>
              <w:rPr>
                <w:rFonts w:ascii="Arial" w:eastAsia="Times New Roman" w:hAnsi="Arial" w:cs="Arial"/>
                <w:b/>
                <w:sz w:val="20"/>
                <w:szCs w:val="20"/>
              </w:rPr>
            </w:pPr>
            <w:r w:rsidRPr="005E7A81">
              <w:rPr>
                <w:rFonts w:ascii="Arial" w:eastAsia="Times New Roman" w:hAnsi="Arial" w:cs="Arial"/>
                <w:b/>
                <w:sz w:val="20"/>
                <w:szCs w:val="20"/>
              </w:rPr>
              <w:t>30 June</w:t>
            </w:r>
          </w:p>
          <w:p w14:paraId="7F7D2926" w14:textId="0B3478C1" w:rsidR="00B01C3F" w:rsidRPr="005E7A81" w:rsidRDefault="00B01C3F" w:rsidP="00B01C3F">
            <w:pPr>
              <w:spacing w:before="40" w:after="0"/>
              <w:jc w:val="right"/>
              <w:rPr>
                <w:rFonts w:ascii="Arial" w:eastAsia="Times New Roman" w:hAnsi="Arial" w:cs="Arial"/>
                <w:b/>
                <w:sz w:val="20"/>
                <w:szCs w:val="20"/>
              </w:rPr>
            </w:pPr>
            <w:r w:rsidRPr="005E7A81">
              <w:rPr>
                <w:rFonts w:ascii="Arial" w:eastAsia="Times New Roman" w:hAnsi="Arial" w:cs="Arial"/>
                <w:b/>
                <w:sz w:val="20"/>
                <w:szCs w:val="20"/>
              </w:rPr>
              <w:t>2024</w:t>
            </w:r>
          </w:p>
        </w:tc>
      </w:tr>
      <w:tr w:rsidR="00B01C3F" w:rsidRPr="00A44138" w14:paraId="02FFC1CE" w14:textId="77777777" w:rsidTr="00B01C3F">
        <w:trPr>
          <w:trHeight w:val="314"/>
        </w:trPr>
        <w:tc>
          <w:tcPr>
            <w:tcW w:w="3162" w:type="pct"/>
            <w:tcBorders>
              <w:top w:val="single" w:sz="4" w:space="0" w:color="auto"/>
              <w:left w:val="nil"/>
              <w:bottom w:val="nil"/>
              <w:right w:val="nil"/>
            </w:tcBorders>
            <w:vAlign w:val="center"/>
          </w:tcPr>
          <w:p w14:paraId="5CA53CE2" w14:textId="77777777" w:rsidR="00B01C3F" w:rsidRPr="00A44138" w:rsidRDefault="00B01C3F" w:rsidP="00B01C3F">
            <w:pPr>
              <w:spacing w:before="40" w:after="0"/>
              <w:ind w:left="173" w:hanging="173"/>
              <w:rPr>
                <w:rFonts w:ascii="Arial" w:eastAsia="Times New Roman" w:hAnsi="Arial" w:cs="Arial"/>
                <w:sz w:val="20"/>
                <w:szCs w:val="20"/>
              </w:rPr>
            </w:pPr>
            <w:r w:rsidRPr="00A44138">
              <w:rPr>
                <w:rFonts w:ascii="Arial" w:eastAsia="Times New Roman" w:hAnsi="Arial" w:cs="Arial"/>
                <w:sz w:val="20"/>
                <w:szCs w:val="20"/>
              </w:rPr>
              <w:t>Estimated Group customer savings</w:t>
            </w:r>
          </w:p>
        </w:tc>
        <w:tc>
          <w:tcPr>
            <w:tcW w:w="1025" w:type="pct"/>
            <w:tcBorders>
              <w:top w:val="single" w:sz="4" w:space="0" w:color="auto"/>
              <w:left w:val="nil"/>
              <w:bottom w:val="nil"/>
              <w:right w:val="nil"/>
            </w:tcBorders>
            <w:vAlign w:val="center"/>
          </w:tcPr>
          <w:p w14:paraId="4A1D8584" w14:textId="2CA0A3D0" w:rsidR="00B01C3F" w:rsidRPr="00FC6DF8" w:rsidRDefault="00F04430" w:rsidP="00B01C3F">
            <w:pPr>
              <w:spacing w:before="40" w:after="0"/>
              <w:ind w:left="173" w:hanging="173"/>
              <w:jc w:val="right"/>
              <w:rPr>
                <w:rFonts w:ascii="Arial" w:eastAsia="Times New Roman" w:hAnsi="Arial" w:cs="Arial"/>
                <w:b/>
                <w:color w:val="EE0000"/>
                <w:sz w:val="20"/>
                <w:szCs w:val="20"/>
              </w:rPr>
            </w:pPr>
            <w:r w:rsidRPr="00DA53C4">
              <w:rPr>
                <w:rFonts w:ascii="Arial" w:eastAsia="Times New Roman" w:hAnsi="Arial" w:cs="Arial"/>
                <w:b/>
                <w:sz w:val="20"/>
                <w:szCs w:val="20"/>
              </w:rPr>
              <w:t>£1.</w:t>
            </w:r>
            <w:r w:rsidR="00D552ED" w:rsidRPr="00DA53C4">
              <w:rPr>
                <w:rFonts w:ascii="Arial" w:eastAsia="Times New Roman" w:hAnsi="Arial" w:cs="Arial"/>
                <w:b/>
                <w:sz w:val="20"/>
                <w:szCs w:val="20"/>
              </w:rPr>
              <w:t>4</w:t>
            </w:r>
            <w:r w:rsidRPr="00DA53C4">
              <w:rPr>
                <w:rFonts w:ascii="Arial" w:eastAsia="Times New Roman" w:hAnsi="Arial" w:cs="Arial"/>
                <w:b/>
                <w:sz w:val="20"/>
                <w:szCs w:val="20"/>
              </w:rPr>
              <w:t>bn</w:t>
            </w:r>
          </w:p>
        </w:tc>
        <w:tc>
          <w:tcPr>
            <w:tcW w:w="813" w:type="pct"/>
            <w:tcBorders>
              <w:top w:val="single" w:sz="4" w:space="0" w:color="auto"/>
              <w:left w:val="nil"/>
              <w:bottom w:val="nil"/>
              <w:right w:val="nil"/>
            </w:tcBorders>
            <w:vAlign w:val="center"/>
          </w:tcPr>
          <w:p w14:paraId="4FCAEE18" w14:textId="77093291" w:rsidR="00B01C3F" w:rsidRPr="00FC6DF8" w:rsidRDefault="00B01C3F" w:rsidP="00B01C3F">
            <w:pPr>
              <w:spacing w:before="40" w:after="0"/>
              <w:ind w:left="173" w:hanging="173"/>
              <w:jc w:val="right"/>
              <w:rPr>
                <w:rFonts w:ascii="Arial" w:eastAsia="Times New Roman" w:hAnsi="Arial" w:cs="Arial"/>
                <w:sz w:val="20"/>
                <w:szCs w:val="20"/>
              </w:rPr>
            </w:pPr>
            <w:r w:rsidRPr="00FC6DF8">
              <w:rPr>
                <w:rFonts w:ascii="Arial" w:eastAsia="Times New Roman" w:hAnsi="Arial" w:cs="Arial"/>
                <w:sz w:val="20"/>
                <w:szCs w:val="20"/>
              </w:rPr>
              <w:t>£1.7bn</w:t>
            </w:r>
          </w:p>
        </w:tc>
      </w:tr>
      <w:tr w:rsidR="00B31718" w:rsidRPr="00A44138" w14:paraId="1843F653" w14:textId="77777777">
        <w:trPr>
          <w:trHeight w:val="314"/>
        </w:trPr>
        <w:tc>
          <w:tcPr>
            <w:tcW w:w="3162" w:type="pct"/>
            <w:tcBorders>
              <w:left w:val="nil"/>
              <w:bottom w:val="nil"/>
              <w:right w:val="nil"/>
            </w:tcBorders>
            <w:vAlign w:val="center"/>
          </w:tcPr>
          <w:p w14:paraId="28BAAB91" w14:textId="09104639" w:rsidR="00B31718" w:rsidRPr="00A44138" w:rsidRDefault="00B31718" w:rsidP="00B31718">
            <w:pPr>
              <w:spacing w:before="40" w:after="0"/>
              <w:ind w:left="173" w:hanging="173"/>
              <w:rPr>
                <w:rFonts w:ascii="Arial" w:eastAsia="Times New Roman" w:hAnsi="Arial" w:cs="Arial"/>
                <w:sz w:val="20"/>
                <w:szCs w:val="20"/>
              </w:rPr>
            </w:pPr>
            <w:r w:rsidRPr="00A44138">
              <w:rPr>
                <w:rFonts w:ascii="Arial" w:eastAsia="Times New Roman" w:hAnsi="Arial" w:cs="Arial"/>
                <w:sz w:val="20"/>
                <w:szCs w:val="20"/>
              </w:rPr>
              <w:t>Group marketing margin*</w:t>
            </w:r>
          </w:p>
        </w:tc>
        <w:tc>
          <w:tcPr>
            <w:tcW w:w="1025" w:type="pct"/>
            <w:tcBorders>
              <w:left w:val="nil"/>
              <w:bottom w:val="nil"/>
              <w:right w:val="nil"/>
            </w:tcBorders>
          </w:tcPr>
          <w:p w14:paraId="1C54A835" w14:textId="3DC5C157" w:rsidR="00B31718" w:rsidRPr="00E66BAA" w:rsidRDefault="00A47470" w:rsidP="00B31718">
            <w:pPr>
              <w:spacing w:before="40" w:after="0"/>
              <w:ind w:left="173" w:hanging="173"/>
              <w:jc w:val="right"/>
              <w:rPr>
                <w:rFonts w:ascii="Arial" w:eastAsia="Times New Roman" w:hAnsi="Arial" w:cs="Arial"/>
                <w:b/>
                <w:color w:val="EE0000"/>
                <w:sz w:val="20"/>
                <w:szCs w:val="20"/>
              </w:rPr>
            </w:pPr>
            <w:r w:rsidRPr="00DA53C4">
              <w:rPr>
                <w:rFonts w:ascii="Arial" w:eastAsia="Times New Roman" w:hAnsi="Arial" w:cs="Arial"/>
                <w:b/>
                <w:sz w:val="20"/>
                <w:szCs w:val="20"/>
              </w:rPr>
              <w:t>57%</w:t>
            </w:r>
          </w:p>
        </w:tc>
        <w:tc>
          <w:tcPr>
            <w:tcW w:w="813" w:type="pct"/>
            <w:tcBorders>
              <w:left w:val="nil"/>
              <w:bottom w:val="nil"/>
              <w:right w:val="nil"/>
            </w:tcBorders>
            <w:vAlign w:val="center"/>
          </w:tcPr>
          <w:p w14:paraId="69749A3E" w14:textId="36E5D631" w:rsidR="00B31718" w:rsidRPr="005E7A81" w:rsidRDefault="00B31718" w:rsidP="00B31718">
            <w:pPr>
              <w:spacing w:before="40" w:after="0"/>
              <w:ind w:left="173" w:hanging="173"/>
              <w:jc w:val="right"/>
              <w:rPr>
                <w:rFonts w:ascii="Arial" w:eastAsia="Times New Roman" w:hAnsi="Arial" w:cs="Arial"/>
                <w:sz w:val="20"/>
                <w:szCs w:val="20"/>
              </w:rPr>
            </w:pPr>
            <w:r w:rsidRPr="005E7A81">
              <w:rPr>
                <w:rFonts w:ascii="Arial" w:eastAsia="Times New Roman" w:hAnsi="Arial" w:cs="Arial"/>
                <w:sz w:val="20"/>
                <w:szCs w:val="20"/>
              </w:rPr>
              <w:t>60%</w:t>
            </w:r>
          </w:p>
        </w:tc>
      </w:tr>
      <w:tr w:rsidR="00B31718" w:rsidRPr="00A44138" w14:paraId="72391C4B" w14:textId="77777777">
        <w:trPr>
          <w:trHeight w:val="314"/>
        </w:trPr>
        <w:tc>
          <w:tcPr>
            <w:tcW w:w="3162" w:type="pct"/>
            <w:tcBorders>
              <w:top w:val="nil"/>
              <w:left w:val="nil"/>
              <w:bottom w:val="nil"/>
              <w:right w:val="nil"/>
            </w:tcBorders>
            <w:vAlign w:val="center"/>
          </w:tcPr>
          <w:p w14:paraId="024D8B13" w14:textId="0C4C15C6" w:rsidR="00B31718" w:rsidRPr="00A44138" w:rsidRDefault="00B31718" w:rsidP="00B31718">
            <w:pPr>
              <w:spacing w:before="40" w:after="0"/>
              <w:ind w:left="173" w:hanging="173"/>
              <w:rPr>
                <w:rFonts w:ascii="Arial" w:eastAsia="Times New Roman" w:hAnsi="Arial" w:cs="Arial"/>
                <w:sz w:val="20"/>
                <w:szCs w:val="20"/>
                <w:lang w:val="nl-NL"/>
              </w:rPr>
            </w:pPr>
            <w:r w:rsidRPr="00A44138">
              <w:rPr>
                <w:rFonts w:ascii="Arial" w:hAnsi="Arial" w:cs="Arial"/>
                <w:sz w:val="20"/>
                <w:szCs w:val="20"/>
                <w:lang w:val="nl-NL"/>
              </w:rPr>
              <w:t>MSM &amp; MSE net promoter score</w:t>
            </w:r>
          </w:p>
        </w:tc>
        <w:tc>
          <w:tcPr>
            <w:tcW w:w="1025" w:type="pct"/>
            <w:tcBorders>
              <w:top w:val="nil"/>
              <w:left w:val="nil"/>
              <w:bottom w:val="nil"/>
              <w:right w:val="nil"/>
            </w:tcBorders>
          </w:tcPr>
          <w:p w14:paraId="73DCFEDD" w14:textId="46724FB2" w:rsidR="00B31718" w:rsidRPr="00DA53C4" w:rsidRDefault="00F04430" w:rsidP="00B31718">
            <w:pPr>
              <w:spacing w:before="40" w:after="0"/>
              <w:ind w:left="173" w:hanging="173"/>
              <w:jc w:val="right"/>
              <w:rPr>
                <w:rFonts w:ascii="Arial" w:eastAsia="Times New Roman" w:hAnsi="Arial" w:cs="Arial"/>
                <w:b/>
                <w:sz w:val="20"/>
                <w:szCs w:val="20"/>
              </w:rPr>
            </w:pPr>
            <w:r w:rsidRPr="00DA53C4">
              <w:rPr>
                <w:rFonts w:ascii="Arial" w:eastAsia="Times New Roman" w:hAnsi="Arial" w:cs="Arial"/>
                <w:b/>
                <w:sz w:val="20"/>
                <w:szCs w:val="20"/>
              </w:rPr>
              <w:t>72</w:t>
            </w:r>
          </w:p>
        </w:tc>
        <w:tc>
          <w:tcPr>
            <w:tcW w:w="813" w:type="pct"/>
            <w:tcBorders>
              <w:top w:val="nil"/>
              <w:left w:val="nil"/>
              <w:bottom w:val="nil"/>
              <w:right w:val="nil"/>
            </w:tcBorders>
            <w:vAlign w:val="center"/>
          </w:tcPr>
          <w:p w14:paraId="065D6133" w14:textId="2A56F6D6" w:rsidR="00B31718" w:rsidRPr="005E7A81" w:rsidRDefault="00B31718" w:rsidP="00B31718">
            <w:pPr>
              <w:spacing w:before="40" w:after="0"/>
              <w:ind w:left="173" w:hanging="173"/>
              <w:jc w:val="right"/>
              <w:rPr>
                <w:rFonts w:ascii="Arial" w:eastAsia="Times New Roman" w:hAnsi="Arial" w:cs="Arial"/>
                <w:sz w:val="20"/>
                <w:szCs w:val="20"/>
              </w:rPr>
            </w:pPr>
            <w:r w:rsidRPr="005E7A81">
              <w:rPr>
                <w:rFonts w:ascii="Arial" w:eastAsia="Times New Roman" w:hAnsi="Arial" w:cs="Arial"/>
                <w:sz w:val="20"/>
                <w:szCs w:val="20"/>
              </w:rPr>
              <w:t>71</w:t>
            </w:r>
          </w:p>
        </w:tc>
      </w:tr>
      <w:tr w:rsidR="00B31718" w:rsidRPr="00A44138" w14:paraId="28354C37" w14:textId="77777777">
        <w:trPr>
          <w:trHeight w:val="314"/>
        </w:trPr>
        <w:tc>
          <w:tcPr>
            <w:tcW w:w="3162" w:type="pct"/>
            <w:tcBorders>
              <w:top w:val="nil"/>
              <w:left w:val="nil"/>
              <w:bottom w:val="nil"/>
              <w:right w:val="nil"/>
            </w:tcBorders>
            <w:vAlign w:val="center"/>
          </w:tcPr>
          <w:p w14:paraId="13FF62EF" w14:textId="21EB7E87" w:rsidR="00B31718" w:rsidRPr="00A44138" w:rsidRDefault="00B31718" w:rsidP="00B31718">
            <w:pPr>
              <w:spacing w:before="40" w:after="0"/>
              <w:ind w:left="173" w:hanging="173"/>
              <w:rPr>
                <w:rFonts w:ascii="Arial" w:eastAsia="Times New Roman" w:hAnsi="Arial" w:cs="Arial"/>
                <w:sz w:val="20"/>
                <w:szCs w:val="20"/>
              </w:rPr>
            </w:pPr>
            <w:r w:rsidRPr="00A44138">
              <w:rPr>
                <w:rFonts w:ascii="Arial" w:eastAsia="Times New Roman" w:hAnsi="Arial" w:cs="Arial"/>
                <w:sz w:val="20"/>
                <w:szCs w:val="20"/>
              </w:rPr>
              <w:t>MSM &amp; Quidco active users</w:t>
            </w:r>
          </w:p>
        </w:tc>
        <w:tc>
          <w:tcPr>
            <w:tcW w:w="1025" w:type="pct"/>
            <w:tcBorders>
              <w:top w:val="nil"/>
              <w:left w:val="nil"/>
              <w:bottom w:val="nil"/>
              <w:right w:val="nil"/>
            </w:tcBorders>
            <w:shd w:val="clear" w:color="auto" w:fill="FFFFFF" w:themeFill="background1"/>
          </w:tcPr>
          <w:p w14:paraId="47832C16" w14:textId="79D4EE28" w:rsidR="00B31718" w:rsidRPr="00DA53C4" w:rsidRDefault="00F04430" w:rsidP="00B31718">
            <w:pPr>
              <w:spacing w:before="40" w:after="0"/>
              <w:ind w:left="173" w:hanging="173"/>
              <w:jc w:val="right"/>
              <w:rPr>
                <w:rFonts w:ascii="Arial" w:eastAsia="Times New Roman" w:hAnsi="Arial" w:cs="Arial"/>
                <w:b/>
                <w:sz w:val="20"/>
                <w:szCs w:val="20"/>
              </w:rPr>
            </w:pPr>
            <w:r w:rsidRPr="00DA53C4">
              <w:rPr>
                <w:rFonts w:ascii="Arial" w:eastAsia="Times New Roman" w:hAnsi="Arial" w:cs="Arial"/>
                <w:b/>
                <w:sz w:val="20"/>
                <w:szCs w:val="20"/>
              </w:rPr>
              <w:t>13.0</w:t>
            </w:r>
            <w:r w:rsidR="003B1C3A">
              <w:rPr>
                <w:rFonts w:ascii="Arial" w:eastAsia="Times New Roman" w:hAnsi="Arial" w:cs="Arial"/>
                <w:b/>
                <w:sz w:val="20"/>
                <w:szCs w:val="20"/>
              </w:rPr>
              <w:t>m</w:t>
            </w:r>
          </w:p>
        </w:tc>
        <w:tc>
          <w:tcPr>
            <w:tcW w:w="813" w:type="pct"/>
            <w:tcBorders>
              <w:top w:val="nil"/>
              <w:left w:val="nil"/>
              <w:bottom w:val="nil"/>
              <w:right w:val="nil"/>
            </w:tcBorders>
            <w:shd w:val="clear" w:color="auto" w:fill="FFFFFF" w:themeFill="background1"/>
            <w:vAlign w:val="center"/>
          </w:tcPr>
          <w:p w14:paraId="4494A2DD" w14:textId="65482BD5" w:rsidR="00B31718" w:rsidRPr="005E7A81" w:rsidRDefault="00B31718" w:rsidP="00B31718">
            <w:pPr>
              <w:spacing w:before="40" w:after="0"/>
              <w:ind w:left="173" w:hanging="173"/>
              <w:jc w:val="right"/>
              <w:rPr>
                <w:rFonts w:ascii="Arial" w:eastAsia="Times New Roman" w:hAnsi="Arial" w:cs="Arial"/>
                <w:sz w:val="20"/>
                <w:szCs w:val="20"/>
              </w:rPr>
            </w:pPr>
            <w:r w:rsidRPr="005E7A81">
              <w:rPr>
                <w:rFonts w:ascii="Arial" w:eastAsia="Times New Roman" w:hAnsi="Arial" w:cs="Arial"/>
                <w:sz w:val="20"/>
                <w:szCs w:val="20"/>
              </w:rPr>
              <w:t>14.3m</w:t>
            </w:r>
          </w:p>
        </w:tc>
      </w:tr>
      <w:tr w:rsidR="00B31718" w:rsidRPr="00A44138" w14:paraId="412AAA2F" w14:textId="77777777">
        <w:trPr>
          <w:trHeight w:val="314"/>
        </w:trPr>
        <w:tc>
          <w:tcPr>
            <w:tcW w:w="3162" w:type="pct"/>
            <w:tcBorders>
              <w:top w:val="nil"/>
              <w:left w:val="nil"/>
              <w:right w:val="nil"/>
            </w:tcBorders>
            <w:vAlign w:val="center"/>
          </w:tcPr>
          <w:p w14:paraId="1FB9A06A" w14:textId="5E08ADEE" w:rsidR="00B31718" w:rsidRPr="00A44138" w:rsidRDefault="00B31718" w:rsidP="00B31718">
            <w:pPr>
              <w:spacing w:before="40" w:after="0"/>
              <w:ind w:left="173" w:hanging="173"/>
              <w:rPr>
                <w:rFonts w:ascii="Arial" w:eastAsia="Times New Roman" w:hAnsi="Arial" w:cs="Arial"/>
                <w:sz w:val="20"/>
                <w:szCs w:val="20"/>
              </w:rPr>
            </w:pPr>
            <w:r w:rsidRPr="00A44138">
              <w:rPr>
                <w:rFonts w:ascii="Arial" w:eastAsia="Times New Roman" w:hAnsi="Arial" w:cs="Arial"/>
                <w:sz w:val="20"/>
                <w:szCs w:val="20"/>
              </w:rPr>
              <w:t>MSM &amp; Quidco revenue per active user</w:t>
            </w:r>
          </w:p>
        </w:tc>
        <w:tc>
          <w:tcPr>
            <w:tcW w:w="1025" w:type="pct"/>
            <w:tcBorders>
              <w:top w:val="nil"/>
              <w:left w:val="nil"/>
              <w:right w:val="nil"/>
            </w:tcBorders>
            <w:shd w:val="clear" w:color="auto" w:fill="FFFFFF" w:themeFill="background1"/>
          </w:tcPr>
          <w:p w14:paraId="2F4BD275" w14:textId="7CB7E2D2" w:rsidR="00B31718" w:rsidRPr="00DA53C4" w:rsidRDefault="00EC6D5C" w:rsidP="00B31718">
            <w:pPr>
              <w:tabs>
                <w:tab w:val="left" w:pos="1200"/>
              </w:tabs>
              <w:spacing w:before="40" w:after="0"/>
              <w:jc w:val="right"/>
              <w:rPr>
                <w:rFonts w:ascii="Arial" w:eastAsia="Times New Roman" w:hAnsi="Arial" w:cs="Arial"/>
                <w:b/>
                <w:sz w:val="20"/>
                <w:szCs w:val="20"/>
              </w:rPr>
            </w:pPr>
            <w:r w:rsidRPr="00DA53C4">
              <w:rPr>
                <w:rFonts w:ascii="Arial" w:eastAsia="Times New Roman" w:hAnsi="Arial" w:cs="Arial"/>
                <w:b/>
                <w:sz w:val="20"/>
                <w:szCs w:val="20"/>
              </w:rPr>
              <w:t>£19</w:t>
            </w:r>
            <w:r w:rsidR="00E05A47" w:rsidRPr="00DA53C4">
              <w:rPr>
                <w:rFonts w:ascii="Arial" w:eastAsia="Times New Roman" w:hAnsi="Arial" w:cs="Arial"/>
                <w:b/>
                <w:sz w:val="20"/>
                <w:szCs w:val="20"/>
              </w:rPr>
              <w:t>.83</w:t>
            </w:r>
          </w:p>
        </w:tc>
        <w:tc>
          <w:tcPr>
            <w:tcW w:w="813" w:type="pct"/>
            <w:tcBorders>
              <w:top w:val="nil"/>
              <w:left w:val="nil"/>
              <w:right w:val="nil"/>
            </w:tcBorders>
            <w:shd w:val="clear" w:color="auto" w:fill="FFFFFF" w:themeFill="background1"/>
            <w:vAlign w:val="center"/>
          </w:tcPr>
          <w:p w14:paraId="40C21D36" w14:textId="1CC67E25" w:rsidR="00B31718" w:rsidRPr="005E7A81" w:rsidRDefault="00B31718" w:rsidP="00B31718">
            <w:pPr>
              <w:spacing w:before="40" w:after="0"/>
              <w:jc w:val="right"/>
              <w:rPr>
                <w:rFonts w:ascii="Arial" w:eastAsia="Times New Roman" w:hAnsi="Arial" w:cs="Arial"/>
                <w:sz w:val="20"/>
                <w:szCs w:val="20"/>
              </w:rPr>
            </w:pPr>
            <w:r w:rsidRPr="005E7A81">
              <w:rPr>
                <w:rFonts w:ascii="Arial" w:eastAsia="Times New Roman" w:hAnsi="Arial" w:cs="Arial"/>
                <w:sz w:val="20"/>
                <w:szCs w:val="20"/>
              </w:rPr>
              <w:t>£18.24</w:t>
            </w:r>
          </w:p>
        </w:tc>
      </w:tr>
      <w:tr w:rsidR="00B31718" w:rsidRPr="00A44138" w14:paraId="5CCDC88C" w14:textId="77777777" w:rsidTr="00B01C3F">
        <w:trPr>
          <w:trHeight w:val="329"/>
        </w:trPr>
        <w:tc>
          <w:tcPr>
            <w:tcW w:w="3162" w:type="pct"/>
            <w:tcBorders>
              <w:top w:val="nil"/>
              <w:left w:val="nil"/>
              <w:bottom w:val="single" w:sz="4" w:space="0" w:color="auto"/>
              <w:right w:val="nil"/>
            </w:tcBorders>
          </w:tcPr>
          <w:p w14:paraId="1CCFB693" w14:textId="77777777" w:rsidR="00B31718" w:rsidRPr="00A44138" w:rsidRDefault="00B31718" w:rsidP="00B31718">
            <w:pPr>
              <w:spacing w:before="40" w:after="0"/>
              <w:ind w:left="173" w:hanging="173"/>
              <w:rPr>
                <w:rFonts w:ascii="Arial" w:eastAsia="Times New Roman" w:hAnsi="Arial" w:cs="Arial"/>
                <w:sz w:val="20"/>
                <w:szCs w:val="20"/>
              </w:rPr>
            </w:pPr>
            <w:r w:rsidRPr="00A44138">
              <w:rPr>
                <w:rFonts w:ascii="Arial" w:hAnsi="Arial" w:cs="Arial"/>
                <w:sz w:val="20"/>
                <w:szCs w:val="20"/>
              </w:rPr>
              <w:t>MSM cross-channel enquiry</w:t>
            </w:r>
          </w:p>
        </w:tc>
        <w:tc>
          <w:tcPr>
            <w:tcW w:w="1025" w:type="pct"/>
            <w:tcBorders>
              <w:top w:val="nil"/>
              <w:left w:val="nil"/>
              <w:bottom w:val="single" w:sz="4" w:space="0" w:color="auto"/>
              <w:right w:val="nil"/>
            </w:tcBorders>
            <w:shd w:val="clear" w:color="auto" w:fill="FFFFFF" w:themeFill="background1"/>
          </w:tcPr>
          <w:p w14:paraId="679BF5A6" w14:textId="38D796A2" w:rsidR="00B31718" w:rsidRPr="00DA53C4" w:rsidRDefault="00720639" w:rsidP="00B31718">
            <w:pPr>
              <w:spacing w:before="40" w:after="0"/>
              <w:jc w:val="right"/>
              <w:rPr>
                <w:rFonts w:ascii="Arial" w:eastAsia="Times New Roman" w:hAnsi="Arial" w:cs="Arial"/>
                <w:b/>
                <w:sz w:val="20"/>
                <w:szCs w:val="20"/>
              </w:rPr>
            </w:pPr>
            <w:r w:rsidRPr="00DA53C4">
              <w:rPr>
                <w:rFonts w:ascii="Arial" w:eastAsia="Times New Roman" w:hAnsi="Arial" w:cs="Arial"/>
                <w:b/>
                <w:sz w:val="20"/>
                <w:szCs w:val="20"/>
              </w:rPr>
              <w:t>2</w:t>
            </w:r>
            <w:r w:rsidR="00E05A47" w:rsidRPr="00DA53C4">
              <w:rPr>
                <w:rFonts w:ascii="Arial" w:eastAsia="Times New Roman" w:hAnsi="Arial" w:cs="Arial"/>
                <w:b/>
                <w:sz w:val="20"/>
                <w:szCs w:val="20"/>
              </w:rPr>
              <w:t>2</w:t>
            </w:r>
            <w:r w:rsidRPr="00DA53C4">
              <w:rPr>
                <w:rFonts w:ascii="Arial" w:eastAsia="Times New Roman" w:hAnsi="Arial" w:cs="Arial"/>
                <w:b/>
                <w:sz w:val="20"/>
                <w:szCs w:val="20"/>
              </w:rPr>
              <w:t>%</w:t>
            </w:r>
          </w:p>
        </w:tc>
        <w:tc>
          <w:tcPr>
            <w:tcW w:w="813" w:type="pct"/>
            <w:tcBorders>
              <w:top w:val="nil"/>
              <w:left w:val="nil"/>
              <w:bottom w:val="single" w:sz="4" w:space="0" w:color="auto"/>
              <w:right w:val="nil"/>
            </w:tcBorders>
            <w:shd w:val="clear" w:color="auto" w:fill="FFFFFF" w:themeFill="background1"/>
          </w:tcPr>
          <w:p w14:paraId="5612C60A" w14:textId="6767B0E3" w:rsidR="00B31718" w:rsidRPr="005E7A81" w:rsidRDefault="00B31718" w:rsidP="00B31718">
            <w:pPr>
              <w:spacing w:before="40" w:after="0"/>
              <w:jc w:val="right"/>
              <w:rPr>
                <w:rFonts w:ascii="Arial" w:eastAsia="Times New Roman" w:hAnsi="Arial" w:cs="Arial"/>
                <w:sz w:val="20"/>
                <w:szCs w:val="20"/>
              </w:rPr>
            </w:pPr>
            <w:r>
              <w:rPr>
                <w:rFonts w:ascii="Arial" w:eastAsia="Times New Roman" w:hAnsi="Arial" w:cs="Arial"/>
                <w:sz w:val="20"/>
                <w:szCs w:val="20"/>
              </w:rPr>
              <w:t>24</w:t>
            </w:r>
            <w:r w:rsidRPr="005E7A81">
              <w:rPr>
                <w:rFonts w:ascii="Arial" w:eastAsia="Times New Roman" w:hAnsi="Arial" w:cs="Arial"/>
                <w:sz w:val="20"/>
                <w:szCs w:val="20"/>
              </w:rPr>
              <w:t>%</w:t>
            </w:r>
          </w:p>
        </w:tc>
      </w:tr>
    </w:tbl>
    <w:p w14:paraId="5D938DDB" w14:textId="77777777" w:rsidR="00294FD1" w:rsidRPr="00A44138" w:rsidRDefault="00294FD1" w:rsidP="00294FD1">
      <w:pPr>
        <w:pStyle w:val="Default"/>
        <w:ind w:left="2160" w:hanging="2160"/>
        <w:rPr>
          <w:rFonts w:ascii="Arial" w:hAnsi="Arial"/>
          <w:color w:val="FF0000"/>
          <w:sz w:val="16"/>
          <w:szCs w:val="16"/>
        </w:rPr>
      </w:pPr>
    </w:p>
    <w:p w14:paraId="00B5F316" w14:textId="77777777" w:rsidR="00294FD1" w:rsidRPr="00A44138" w:rsidRDefault="00294FD1" w:rsidP="00294FD1">
      <w:pPr>
        <w:pStyle w:val="Default"/>
        <w:ind w:left="2160" w:hanging="2160"/>
        <w:rPr>
          <w:rFonts w:ascii="Arial" w:hAnsi="Arial"/>
          <w:color w:val="FF0000"/>
          <w:sz w:val="16"/>
          <w:szCs w:val="16"/>
        </w:rPr>
      </w:pPr>
    </w:p>
    <w:p w14:paraId="174FDCC2" w14:textId="77777777" w:rsidR="002305D3" w:rsidRPr="005E7A81" w:rsidRDefault="00294FD1" w:rsidP="002305D3">
      <w:pPr>
        <w:pStyle w:val="Default"/>
        <w:ind w:left="2160" w:hanging="2160"/>
        <w:jc w:val="both"/>
        <w:rPr>
          <w:rFonts w:ascii="Arial" w:hAnsi="Arial"/>
          <w:color w:val="auto"/>
          <w:sz w:val="16"/>
          <w:szCs w:val="16"/>
        </w:rPr>
      </w:pPr>
      <w:r w:rsidRPr="005E7A81">
        <w:rPr>
          <w:rFonts w:ascii="Arial" w:hAnsi="Arial"/>
          <w:color w:val="auto"/>
          <w:sz w:val="16"/>
          <w:szCs w:val="16"/>
        </w:rPr>
        <w:t xml:space="preserve">Estimated Group customer savings: </w:t>
      </w:r>
      <w:r w:rsidRPr="005E7A81">
        <w:tab/>
      </w:r>
      <w:r w:rsidR="002305D3" w:rsidRPr="005E7A81">
        <w:rPr>
          <w:rFonts w:ascii="Arial" w:hAnsi="Arial"/>
          <w:color w:val="auto"/>
          <w:sz w:val="16"/>
          <w:szCs w:val="16"/>
        </w:rPr>
        <w:t xml:space="preserve">This is calculated by multiplying sales volume by the market average price per product </w:t>
      </w:r>
    </w:p>
    <w:p w14:paraId="132FE95F" w14:textId="77728C81" w:rsidR="00294FD1" w:rsidRPr="005E7A81" w:rsidRDefault="002305D3" w:rsidP="002305D3">
      <w:pPr>
        <w:pStyle w:val="Default"/>
        <w:ind w:left="2880"/>
        <w:jc w:val="both"/>
        <w:rPr>
          <w:rFonts w:ascii="Arial" w:hAnsi="Arial"/>
          <w:color w:val="auto"/>
          <w:sz w:val="16"/>
          <w:szCs w:val="16"/>
        </w:rPr>
      </w:pPr>
      <w:r w:rsidRPr="005E7A81">
        <w:rPr>
          <w:rFonts w:ascii="Arial" w:hAnsi="Arial"/>
          <w:color w:val="auto"/>
          <w:sz w:val="16"/>
          <w:szCs w:val="16"/>
        </w:rPr>
        <w:t>based on external data compared to the cheapest deal in the results table for core channels. Savings for non-core channels are estimated by applying the savings for core channels proportionally to non-core revenue. The cashback earned by Quidco members is included in this KPI.</w:t>
      </w:r>
    </w:p>
    <w:p w14:paraId="22752263" w14:textId="77777777" w:rsidR="002305D3" w:rsidRPr="005E7A81" w:rsidRDefault="002305D3" w:rsidP="00297459">
      <w:pPr>
        <w:pStyle w:val="Default"/>
        <w:ind w:left="2880"/>
        <w:jc w:val="both"/>
        <w:rPr>
          <w:rFonts w:ascii="Arial" w:hAnsi="Arial"/>
          <w:color w:val="auto"/>
          <w:sz w:val="16"/>
          <w:szCs w:val="16"/>
        </w:rPr>
      </w:pPr>
    </w:p>
    <w:p w14:paraId="795E69D1" w14:textId="77777777" w:rsidR="002305D3" w:rsidRPr="005E7A81" w:rsidRDefault="00294FD1" w:rsidP="00297459">
      <w:pPr>
        <w:pStyle w:val="Default"/>
        <w:ind w:left="2160" w:hanging="2160"/>
        <w:jc w:val="both"/>
        <w:rPr>
          <w:rFonts w:ascii="Arial" w:hAnsi="Arial"/>
          <w:color w:val="auto"/>
          <w:sz w:val="16"/>
          <w:szCs w:val="16"/>
        </w:rPr>
      </w:pPr>
      <w:r w:rsidRPr="005E7A81">
        <w:rPr>
          <w:rFonts w:ascii="Arial" w:hAnsi="Arial"/>
          <w:color w:val="auto"/>
          <w:sz w:val="16"/>
          <w:szCs w:val="16"/>
        </w:rPr>
        <w:t xml:space="preserve">Group marketing margin: </w:t>
      </w:r>
      <w:r w:rsidRPr="005E7A81">
        <w:rPr>
          <w:rFonts w:ascii="Arial" w:hAnsi="Arial"/>
          <w:color w:val="auto"/>
          <w:sz w:val="16"/>
          <w:szCs w:val="16"/>
        </w:rPr>
        <w:tab/>
      </w:r>
      <w:r w:rsidRPr="005E7A81">
        <w:rPr>
          <w:rFonts w:ascii="Arial" w:hAnsi="Arial"/>
          <w:color w:val="auto"/>
          <w:sz w:val="16"/>
          <w:szCs w:val="16"/>
        </w:rPr>
        <w:tab/>
      </w:r>
      <w:r w:rsidR="002305D3" w:rsidRPr="005E7A81">
        <w:rPr>
          <w:rFonts w:ascii="Arial" w:hAnsi="Arial"/>
          <w:color w:val="auto"/>
          <w:sz w:val="16"/>
          <w:szCs w:val="16"/>
        </w:rPr>
        <w:t xml:space="preserve">The inverse relationship between Group revenue and total marketing spend </w:t>
      </w:r>
    </w:p>
    <w:p w14:paraId="360E65F8" w14:textId="77777777" w:rsidR="002305D3" w:rsidRPr="005E7A81" w:rsidRDefault="002305D3" w:rsidP="00297459">
      <w:pPr>
        <w:pStyle w:val="Default"/>
        <w:ind w:left="2160" w:firstLine="720"/>
        <w:jc w:val="both"/>
        <w:rPr>
          <w:rFonts w:ascii="Arial" w:hAnsi="Arial"/>
          <w:color w:val="auto"/>
          <w:sz w:val="16"/>
          <w:szCs w:val="16"/>
        </w:rPr>
      </w:pPr>
      <w:r w:rsidRPr="005E7A81">
        <w:rPr>
          <w:rFonts w:ascii="Arial" w:hAnsi="Arial"/>
          <w:color w:val="auto"/>
          <w:sz w:val="16"/>
          <w:szCs w:val="16"/>
        </w:rPr>
        <w:t xml:space="preserve">represented as a percentage. Total marketing spend is the direct cost of sales plus </w:t>
      </w:r>
    </w:p>
    <w:p w14:paraId="66F6B913" w14:textId="56265252" w:rsidR="00294FD1" w:rsidRPr="005E7A81" w:rsidRDefault="002305D3" w:rsidP="00297459">
      <w:pPr>
        <w:pStyle w:val="Default"/>
        <w:ind w:left="2160" w:firstLine="720"/>
        <w:jc w:val="both"/>
        <w:rPr>
          <w:rFonts w:ascii="Arial" w:hAnsi="Arial"/>
          <w:color w:val="auto"/>
          <w:sz w:val="16"/>
          <w:szCs w:val="16"/>
        </w:rPr>
      </w:pPr>
      <w:r w:rsidRPr="005E7A81">
        <w:rPr>
          <w:rFonts w:ascii="Arial" w:hAnsi="Arial"/>
          <w:color w:val="auto"/>
          <w:sz w:val="16"/>
          <w:szCs w:val="16"/>
        </w:rPr>
        <w:t xml:space="preserve">distribution expenses. </w:t>
      </w:r>
    </w:p>
    <w:p w14:paraId="4D0774EA" w14:textId="77777777" w:rsidR="002305D3" w:rsidRPr="005E7A81" w:rsidRDefault="002305D3" w:rsidP="00297459">
      <w:pPr>
        <w:pStyle w:val="Default"/>
        <w:ind w:left="2160" w:firstLine="720"/>
        <w:jc w:val="both"/>
        <w:rPr>
          <w:rFonts w:ascii="Arial" w:hAnsi="Arial"/>
          <w:color w:val="auto"/>
          <w:sz w:val="16"/>
          <w:szCs w:val="16"/>
        </w:rPr>
      </w:pPr>
    </w:p>
    <w:p w14:paraId="05CC21B7" w14:textId="60C0FF19" w:rsidR="001C6A6B" w:rsidRPr="005E7A81" w:rsidRDefault="00294FD1" w:rsidP="00297459">
      <w:pPr>
        <w:pStyle w:val="Default"/>
        <w:ind w:left="2880" w:hanging="2880"/>
        <w:jc w:val="both"/>
        <w:rPr>
          <w:rFonts w:ascii="Arial" w:hAnsi="Arial"/>
          <w:color w:val="auto"/>
          <w:sz w:val="16"/>
          <w:szCs w:val="16"/>
        </w:rPr>
      </w:pPr>
      <w:r w:rsidRPr="005E7A81">
        <w:rPr>
          <w:rFonts w:ascii="Arial" w:hAnsi="Arial"/>
          <w:color w:val="auto"/>
          <w:sz w:val="16"/>
          <w:szCs w:val="16"/>
        </w:rPr>
        <w:t xml:space="preserve">MSM </w:t>
      </w:r>
      <w:r w:rsidR="001C6A6B" w:rsidRPr="005E7A81">
        <w:rPr>
          <w:rFonts w:ascii="Arial" w:hAnsi="Arial"/>
          <w:color w:val="auto"/>
          <w:sz w:val="16"/>
          <w:szCs w:val="16"/>
        </w:rPr>
        <w:t>&amp;</w:t>
      </w:r>
      <w:r w:rsidRPr="005E7A81">
        <w:rPr>
          <w:rFonts w:ascii="Arial" w:hAnsi="Arial"/>
          <w:color w:val="auto"/>
          <w:sz w:val="16"/>
          <w:szCs w:val="16"/>
        </w:rPr>
        <w:t xml:space="preserve"> MSE net promoter score: </w:t>
      </w:r>
      <w:r w:rsidRPr="005E7A81">
        <w:rPr>
          <w:rFonts w:ascii="Arial" w:hAnsi="Arial"/>
          <w:color w:val="auto"/>
          <w:sz w:val="16"/>
          <w:szCs w:val="16"/>
        </w:rPr>
        <w:tab/>
      </w:r>
      <w:r w:rsidR="001C6A6B" w:rsidRPr="005E7A81">
        <w:rPr>
          <w:rFonts w:ascii="Arial" w:hAnsi="Arial"/>
          <w:color w:val="auto"/>
          <w:sz w:val="16"/>
          <w:szCs w:val="16"/>
        </w:rPr>
        <w:t>The 12 monthly rolling average NPS (1 July 202</w:t>
      </w:r>
      <w:r w:rsidR="00740D7B" w:rsidRPr="005E7A81">
        <w:rPr>
          <w:rFonts w:ascii="Arial" w:hAnsi="Arial"/>
          <w:color w:val="auto"/>
          <w:sz w:val="16"/>
          <w:szCs w:val="16"/>
        </w:rPr>
        <w:t>4</w:t>
      </w:r>
      <w:r w:rsidR="001C6A6B" w:rsidRPr="005E7A81">
        <w:rPr>
          <w:rFonts w:ascii="Arial" w:hAnsi="Arial"/>
          <w:color w:val="auto"/>
          <w:sz w:val="16"/>
          <w:szCs w:val="16"/>
        </w:rPr>
        <w:t xml:space="preserve"> - 30 June 202</w:t>
      </w:r>
      <w:r w:rsidR="00740D7B" w:rsidRPr="005E7A81">
        <w:rPr>
          <w:rFonts w:ascii="Arial" w:hAnsi="Arial"/>
          <w:color w:val="auto"/>
          <w:sz w:val="16"/>
          <w:szCs w:val="16"/>
        </w:rPr>
        <w:t>5</w:t>
      </w:r>
      <w:r w:rsidR="001C6A6B" w:rsidRPr="005E7A81">
        <w:rPr>
          <w:rFonts w:ascii="Arial" w:hAnsi="Arial"/>
          <w:color w:val="auto"/>
          <w:sz w:val="16"/>
          <w:szCs w:val="16"/>
        </w:rPr>
        <w:t xml:space="preserve"> inclusive) measured </w:t>
      </w:r>
    </w:p>
    <w:p w14:paraId="0336267A" w14:textId="77777777" w:rsidR="001C6A6B" w:rsidRPr="005E7A81" w:rsidRDefault="001C6A6B" w:rsidP="00297459">
      <w:pPr>
        <w:pStyle w:val="Default"/>
        <w:ind w:left="2160" w:firstLine="720"/>
        <w:jc w:val="both"/>
        <w:rPr>
          <w:rFonts w:ascii="Arial" w:hAnsi="Arial"/>
          <w:color w:val="auto"/>
          <w:sz w:val="16"/>
          <w:szCs w:val="16"/>
        </w:rPr>
      </w:pPr>
      <w:r w:rsidRPr="005E7A81">
        <w:rPr>
          <w:rFonts w:ascii="Arial" w:hAnsi="Arial"/>
          <w:color w:val="auto"/>
          <w:sz w:val="16"/>
          <w:szCs w:val="16"/>
        </w:rPr>
        <w:t xml:space="preserve">by YouGov Brand Index service Recommend Score weighted by revenue for MSM and </w:t>
      </w:r>
    </w:p>
    <w:p w14:paraId="71114275" w14:textId="4F6EC440" w:rsidR="001C6A6B" w:rsidRPr="005E7A81" w:rsidRDefault="001C6A6B" w:rsidP="00297459">
      <w:pPr>
        <w:pStyle w:val="Default"/>
        <w:ind w:left="2160" w:firstLine="720"/>
        <w:jc w:val="both"/>
        <w:rPr>
          <w:rFonts w:ascii="Arial" w:hAnsi="Arial"/>
          <w:color w:val="auto"/>
          <w:sz w:val="16"/>
          <w:szCs w:val="16"/>
        </w:rPr>
      </w:pPr>
      <w:r w:rsidRPr="005E7A81">
        <w:rPr>
          <w:rFonts w:ascii="Arial" w:hAnsi="Arial"/>
          <w:color w:val="auto"/>
          <w:sz w:val="16"/>
          <w:szCs w:val="16"/>
        </w:rPr>
        <w:t>MSE to create a combined NPS.</w:t>
      </w:r>
    </w:p>
    <w:p w14:paraId="32F01620" w14:textId="77777777" w:rsidR="00294FD1" w:rsidRPr="005E7A81" w:rsidRDefault="00294FD1" w:rsidP="00297459">
      <w:pPr>
        <w:pStyle w:val="Default"/>
        <w:ind w:left="2160" w:hanging="2160"/>
        <w:jc w:val="both"/>
        <w:rPr>
          <w:rFonts w:ascii="Arial" w:hAnsi="Arial"/>
          <w:color w:val="auto"/>
          <w:sz w:val="16"/>
          <w:szCs w:val="16"/>
        </w:rPr>
      </w:pPr>
    </w:p>
    <w:p w14:paraId="39FBB317" w14:textId="77777777" w:rsidR="001C6A6B" w:rsidRPr="005E7A81" w:rsidRDefault="001C6A6B" w:rsidP="00297459">
      <w:pPr>
        <w:pStyle w:val="Default"/>
        <w:ind w:left="2160" w:hanging="2160"/>
        <w:jc w:val="both"/>
        <w:rPr>
          <w:rFonts w:ascii="Arial" w:hAnsi="Arial"/>
          <w:color w:val="auto"/>
          <w:sz w:val="16"/>
          <w:szCs w:val="16"/>
        </w:rPr>
      </w:pPr>
      <w:r w:rsidRPr="005E7A81">
        <w:rPr>
          <w:rFonts w:ascii="Arial" w:hAnsi="Arial"/>
          <w:color w:val="auto"/>
          <w:sz w:val="16"/>
          <w:szCs w:val="16"/>
        </w:rPr>
        <w:t>MSM &amp; Quidco active users</w:t>
      </w:r>
      <w:r w:rsidR="00294FD1" w:rsidRPr="005E7A81">
        <w:rPr>
          <w:rFonts w:ascii="Arial" w:hAnsi="Arial"/>
          <w:color w:val="auto"/>
          <w:sz w:val="16"/>
          <w:szCs w:val="16"/>
        </w:rPr>
        <w:t xml:space="preserve">: </w:t>
      </w:r>
      <w:r w:rsidR="00294FD1" w:rsidRPr="005E7A81">
        <w:rPr>
          <w:rFonts w:ascii="Arial" w:hAnsi="Arial"/>
          <w:color w:val="auto"/>
          <w:sz w:val="16"/>
          <w:szCs w:val="16"/>
        </w:rPr>
        <w:tab/>
      </w:r>
      <w:r w:rsidR="00294FD1" w:rsidRPr="005E7A81">
        <w:rPr>
          <w:rFonts w:ascii="Arial" w:hAnsi="Arial"/>
          <w:color w:val="auto"/>
          <w:sz w:val="16"/>
          <w:szCs w:val="16"/>
        </w:rPr>
        <w:tab/>
      </w:r>
      <w:r w:rsidRPr="005E7A81">
        <w:rPr>
          <w:rFonts w:ascii="Arial" w:hAnsi="Arial"/>
          <w:color w:val="auto"/>
          <w:sz w:val="16"/>
          <w:szCs w:val="16"/>
        </w:rPr>
        <w:t xml:space="preserve">The number of unique MSM accounts running enquiries on MSM (car insurance, home </w:t>
      </w:r>
    </w:p>
    <w:p w14:paraId="08124723" w14:textId="77777777" w:rsidR="001C6A6B" w:rsidRPr="005E7A81" w:rsidRDefault="001C6A6B" w:rsidP="00297459">
      <w:pPr>
        <w:pStyle w:val="Default"/>
        <w:ind w:left="2160" w:firstLine="720"/>
        <w:jc w:val="both"/>
        <w:rPr>
          <w:rFonts w:ascii="Arial" w:hAnsi="Arial"/>
          <w:color w:val="auto"/>
          <w:sz w:val="16"/>
          <w:szCs w:val="16"/>
        </w:rPr>
      </w:pPr>
      <w:r w:rsidRPr="005E7A81">
        <w:rPr>
          <w:rFonts w:ascii="Arial" w:hAnsi="Arial"/>
          <w:color w:val="auto"/>
          <w:sz w:val="16"/>
          <w:szCs w:val="16"/>
        </w:rPr>
        <w:t xml:space="preserve">insurance, life insurance, travel insurance, pet insurance, van insurance, credit cards, </w:t>
      </w:r>
    </w:p>
    <w:p w14:paraId="403FABA8" w14:textId="77777777" w:rsidR="001C6A6B" w:rsidRPr="005E7A81" w:rsidRDefault="001C6A6B" w:rsidP="00297459">
      <w:pPr>
        <w:pStyle w:val="Default"/>
        <w:ind w:left="2160" w:firstLine="720"/>
        <w:jc w:val="both"/>
        <w:rPr>
          <w:rFonts w:ascii="Arial" w:hAnsi="Arial"/>
          <w:color w:val="auto"/>
          <w:sz w:val="16"/>
          <w:szCs w:val="16"/>
        </w:rPr>
      </w:pPr>
      <w:r w:rsidRPr="005E7A81">
        <w:rPr>
          <w:rFonts w:ascii="Arial" w:hAnsi="Arial"/>
          <w:color w:val="auto"/>
          <w:sz w:val="16"/>
          <w:szCs w:val="16"/>
        </w:rPr>
        <w:t xml:space="preserve">loans and energy channels) in the last 12-month period, plus the number of unique </w:t>
      </w:r>
    </w:p>
    <w:p w14:paraId="56DB723B" w14:textId="77777777" w:rsidR="00AF3000" w:rsidRPr="005E7A81" w:rsidRDefault="001C6A6B" w:rsidP="00297459">
      <w:pPr>
        <w:pStyle w:val="Default"/>
        <w:ind w:left="2160" w:firstLine="720"/>
        <w:jc w:val="both"/>
        <w:rPr>
          <w:rFonts w:ascii="Arial" w:hAnsi="Arial"/>
          <w:color w:val="auto"/>
          <w:sz w:val="16"/>
          <w:szCs w:val="16"/>
        </w:rPr>
      </w:pPr>
      <w:r w:rsidRPr="005E7A81">
        <w:rPr>
          <w:rFonts w:ascii="Arial" w:hAnsi="Arial"/>
          <w:color w:val="auto"/>
          <w:sz w:val="16"/>
          <w:szCs w:val="16"/>
        </w:rPr>
        <w:t>Quidco members making a purchase in the last 12-month period</w:t>
      </w:r>
      <w:r w:rsidR="00AF3000" w:rsidRPr="005E7A81">
        <w:rPr>
          <w:rFonts w:ascii="Arial" w:hAnsi="Arial"/>
          <w:color w:val="auto"/>
          <w:sz w:val="16"/>
          <w:szCs w:val="16"/>
        </w:rPr>
        <w:t xml:space="preserve">. </w:t>
      </w:r>
    </w:p>
    <w:p w14:paraId="0A1B2D05" w14:textId="3BBA296F" w:rsidR="00294FD1" w:rsidRPr="005E7A81" w:rsidRDefault="00294FD1" w:rsidP="00297459">
      <w:pPr>
        <w:pStyle w:val="Default"/>
        <w:ind w:left="2160" w:firstLine="720"/>
        <w:jc w:val="both"/>
        <w:rPr>
          <w:rFonts w:ascii="Arial" w:hAnsi="Arial"/>
          <w:color w:val="auto"/>
          <w:sz w:val="16"/>
          <w:szCs w:val="16"/>
        </w:rPr>
      </w:pPr>
    </w:p>
    <w:p w14:paraId="45DBC4AE" w14:textId="5F2E56C7" w:rsidR="00AF3000" w:rsidRPr="005E7A81" w:rsidRDefault="00294FD1" w:rsidP="00297459">
      <w:pPr>
        <w:pStyle w:val="Default"/>
        <w:ind w:left="2880" w:hanging="2880"/>
        <w:rPr>
          <w:rFonts w:ascii="Arial" w:hAnsi="Arial"/>
          <w:color w:val="auto"/>
          <w:sz w:val="16"/>
          <w:szCs w:val="16"/>
        </w:rPr>
      </w:pPr>
      <w:r w:rsidRPr="005E7A81">
        <w:rPr>
          <w:rFonts w:ascii="Arial" w:hAnsi="Arial"/>
          <w:color w:val="auto"/>
          <w:sz w:val="16"/>
          <w:szCs w:val="16"/>
        </w:rPr>
        <w:t>MSM</w:t>
      </w:r>
      <w:r w:rsidR="00AF3000" w:rsidRPr="005E7A81">
        <w:rPr>
          <w:rFonts w:ascii="Arial" w:hAnsi="Arial"/>
          <w:color w:val="auto"/>
          <w:sz w:val="16"/>
          <w:szCs w:val="16"/>
        </w:rPr>
        <w:t xml:space="preserve"> &amp; Quidco</w:t>
      </w:r>
      <w:r w:rsidRPr="005E7A81">
        <w:rPr>
          <w:rFonts w:ascii="Arial" w:hAnsi="Arial"/>
          <w:color w:val="auto"/>
          <w:sz w:val="16"/>
          <w:szCs w:val="16"/>
        </w:rPr>
        <w:t xml:space="preserve"> revenue per active user:</w:t>
      </w:r>
      <w:r w:rsidR="00660A4D" w:rsidRPr="005E7A81">
        <w:rPr>
          <w:rFonts w:ascii="Arial" w:hAnsi="Arial"/>
          <w:color w:val="auto"/>
          <w:sz w:val="16"/>
          <w:szCs w:val="16"/>
        </w:rPr>
        <w:t xml:space="preserve"> </w:t>
      </w:r>
      <w:r w:rsidR="00AF3000" w:rsidRPr="005E7A81">
        <w:rPr>
          <w:rFonts w:ascii="Arial" w:hAnsi="Arial"/>
          <w:color w:val="auto"/>
          <w:sz w:val="16"/>
          <w:szCs w:val="16"/>
        </w:rPr>
        <w:t xml:space="preserve">The revenue for MSM channels (car insurance, home insurance, life insurance, travel insurance, pet insurance, van insurance, credit cards, loans and energy channels) plus </w:t>
      </w:r>
    </w:p>
    <w:p w14:paraId="1B152C25" w14:textId="77777777" w:rsidR="00AF3000" w:rsidRPr="005E7A81" w:rsidRDefault="00AF3000" w:rsidP="00297459">
      <w:pPr>
        <w:pStyle w:val="Default"/>
        <w:ind w:left="5760" w:hanging="2880"/>
        <w:rPr>
          <w:rFonts w:ascii="Arial" w:hAnsi="Arial"/>
          <w:color w:val="auto"/>
          <w:sz w:val="16"/>
          <w:szCs w:val="16"/>
        </w:rPr>
      </w:pPr>
      <w:r w:rsidRPr="005E7A81">
        <w:rPr>
          <w:rFonts w:ascii="Arial" w:hAnsi="Arial"/>
          <w:color w:val="auto"/>
          <w:sz w:val="16"/>
          <w:szCs w:val="16"/>
        </w:rPr>
        <w:t xml:space="preserve">Quidco revenue net of member commission divided by the number of MSM and Quidco </w:t>
      </w:r>
    </w:p>
    <w:p w14:paraId="4F9AD475" w14:textId="164B4543" w:rsidR="00294FD1" w:rsidRPr="005E7A81" w:rsidRDefault="00AF3000" w:rsidP="00297459">
      <w:pPr>
        <w:pStyle w:val="Default"/>
        <w:ind w:left="5760" w:hanging="2880"/>
        <w:rPr>
          <w:rFonts w:ascii="Arial" w:hAnsi="Arial"/>
          <w:color w:val="auto"/>
          <w:sz w:val="16"/>
          <w:szCs w:val="16"/>
        </w:rPr>
      </w:pPr>
      <w:r w:rsidRPr="005E7A81">
        <w:rPr>
          <w:rFonts w:ascii="Arial" w:hAnsi="Arial"/>
          <w:color w:val="auto"/>
          <w:sz w:val="16"/>
          <w:szCs w:val="16"/>
        </w:rPr>
        <w:t>active users for the last 12 months.</w:t>
      </w:r>
    </w:p>
    <w:p w14:paraId="01D57CD3" w14:textId="77777777" w:rsidR="00294FD1" w:rsidRPr="005E7A81" w:rsidRDefault="00294FD1" w:rsidP="00297459">
      <w:pPr>
        <w:pStyle w:val="Default"/>
        <w:ind w:left="2160" w:hanging="2160"/>
        <w:jc w:val="both"/>
        <w:rPr>
          <w:rFonts w:ascii="Arial" w:hAnsi="Arial"/>
          <w:color w:val="auto"/>
          <w:sz w:val="16"/>
          <w:szCs w:val="16"/>
        </w:rPr>
      </w:pPr>
    </w:p>
    <w:p w14:paraId="480A72E8" w14:textId="77777777" w:rsidR="00AF3000" w:rsidRPr="005E7A81" w:rsidRDefault="00294FD1" w:rsidP="00297459">
      <w:pPr>
        <w:pStyle w:val="Default"/>
        <w:ind w:left="2160" w:hanging="2160"/>
        <w:jc w:val="both"/>
        <w:rPr>
          <w:rFonts w:ascii="Arial" w:hAnsi="Arial"/>
          <w:color w:val="auto"/>
          <w:sz w:val="16"/>
          <w:szCs w:val="16"/>
        </w:rPr>
      </w:pPr>
      <w:r w:rsidRPr="005E7A81">
        <w:rPr>
          <w:rFonts w:ascii="Arial" w:hAnsi="Arial"/>
          <w:color w:val="auto"/>
          <w:sz w:val="16"/>
          <w:szCs w:val="16"/>
        </w:rPr>
        <w:t xml:space="preserve">MSM cross-channel enquiry: </w:t>
      </w:r>
      <w:r w:rsidRPr="005E7A81">
        <w:rPr>
          <w:rFonts w:ascii="Arial" w:hAnsi="Arial"/>
          <w:color w:val="auto"/>
          <w:sz w:val="16"/>
          <w:szCs w:val="16"/>
        </w:rPr>
        <w:tab/>
      </w:r>
      <w:r w:rsidRPr="005E7A81">
        <w:rPr>
          <w:rFonts w:ascii="Arial" w:hAnsi="Arial"/>
          <w:color w:val="auto"/>
          <w:sz w:val="16"/>
          <w:szCs w:val="16"/>
        </w:rPr>
        <w:tab/>
      </w:r>
      <w:r w:rsidR="00AF3000" w:rsidRPr="005E7A81">
        <w:rPr>
          <w:rFonts w:ascii="Arial" w:hAnsi="Arial"/>
          <w:color w:val="auto"/>
          <w:sz w:val="16"/>
          <w:szCs w:val="16"/>
        </w:rPr>
        <w:t xml:space="preserve">The proportion of MSM active users that enquire in more than one channel (car </w:t>
      </w:r>
    </w:p>
    <w:p w14:paraId="6F430F26" w14:textId="53E719F4" w:rsidR="00294FD1" w:rsidRPr="00A44138" w:rsidRDefault="00AF3000" w:rsidP="00297459">
      <w:pPr>
        <w:pStyle w:val="Default"/>
        <w:ind w:left="2880"/>
        <w:jc w:val="both"/>
        <w:rPr>
          <w:rFonts w:ascii="Arial" w:hAnsi="Arial"/>
          <w:color w:val="FF0000"/>
          <w:sz w:val="16"/>
          <w:szCs w:val="16"/>
        </w:rPr>
      </w:pPr>
      <w:r w:rsidRPr="005E7A81">
        <w:rPr>
          <w:rFonts w:ascii="Arial" w:hAnsi="Arial"/>
          <w:color w:val="auto"/>
          <w:sz w:val="16"/>
          <w:szCs w:val="16"/>
        </w:rPr>
        <w:t>insurance, home insurance, life insurance, travel insurance, pet insurance, van insurance, credit cards, loans and energy) within a 12-month period.</w:t>
      </w:r>
    </w:p>
    <w:p w14:paraId="770684ED" w14:textId="77777777" w:rsidR="00882913" w:rsidRPr="00A44138" w:rsidRDefault="00882913" w:rsidP="00294FD1">
      <w:pPr>
        <w:pStyle w:val="Default"/>
        <w:ind w:left="2160" w:hanging="2160"/>
        <w:rPr>
          <w:rFonts w:ascii="Arial" w:hAnsi="Arial"/>
          <w:color w:val="FF0000"/>
          <w:sz w:val="16"/>
          <w:szCs w:val="16"/>
        </w:rPr>
      </w:pPr>
    </w:p>
    <w:p w14:paraId="7B2D23A1" w14:textId="77777777" w:rsidR="00AF3000" w:rsidRPr="00A44138" w:rsidRDefault="00AF3000" w:rsidP="00294FD1">
      <w:pPr>
        <w:pStyle w:val="Default"/>
        <w:ind w:left="2160" w:hanging="2160"/>
        <w:rPr>
          <w:rFonts w:ascii="Arial" w:hAnsi="Arial"/>
          <w:color w:val="FF0000"/>
          <w:sz w:val="16"/>
          <w:szCs w:val="16"/>
        </w:rPr>
      </w:pPr>
    </w:p>
    <w:p w14:paraId="4A722ACF" w14:textId="2F49FF44" w:rsidR="00F43DDB" w:rsidRPr="00A44138" w:rsidRDefault="00F43DDB" w:rsidP="009E4876">
      <w:pPr>
        <w:pStyle w:val="Default"/>
        <w:ind w:left="2160" w:hanging="2160"/>
        <w:jc w:val="both"/>
        <w:rPr>
          <w:rFonts w:ascii="Arial" w:hAnsi="Arial"/>
          <w:color w:val="auto"/>
          <w:sz w:val="16"/>
          <w:szCs w:val="16"/>
        </w:rPr>
      </w:pPr>
      <w:r w:rsidRPr="00A44138">
        <w:rPr>
          <w:rFonts w:ascii="Arial" w:hAnsi="Arial"/>
          <w:color w:val="auto"/>
          <w:sz w:val="16"/>
          <w:szCs w:val="16"/>
        </w:rPr>
        <w:t>*Marketing spend for the perio</w:t>
      </w:r>
      <w:r w:rsidR="000077FA" w:rsidRPr="00A44138">
        <w:rPr>
          <w:rFonts w:ascii="Arial" w:hAnsi="Arial"/>
          <w:color w:val="auto"/>
          <w:sz w:val="16"/>
          <w:szCs w:val="16"/>
        </w:rPr>
        <w:t>d</w:t>
      </w:r>
      <w:r w:rsidRPr="00A44138">
        <w:rPr>
          <w:rFonts w:ascii="Arial" w:hAnsi="Arial"/>
          <w:color w:val="auto"/>
          <w:sz w:val="16"/>
          <w:szCs w:val="16"/>
        </w:rPr>
        <w:t xml:space="preserve"> is </w:t>
      </w:r>
      <w:r w:rsidRPr="00DA53C4">
        <w:rPr>
          <w:rFonts w:ascii="Arial" w:hAnsi="Arial"/>
          <w:color w:val="auto"/>
          <w:sz w:val="16"/>
          <w:szCs w:val="16"/>
        </w:rPr>
        <w:t>£</w:t>
      </w:r>
      <w:r w:rsidR="00AC6BB3" w:rsidRPr="00DA53C4">
        <w:rPr>
          <w:rFonts w:ascii="Arial" w:hAnsi="Arial"/>
          <w:color w:val="auto"/>
          <w:sz w:val="16"/>
          <w:szCs w:val="16"/>
        </w:rPr>
        <w:t>96</w:t>
      </w:r>
      <w:r w:rsidR="00DE145A" w:rsidRPr="00DA53C4">
        <w:rPr>
          <w:rFonts w:ascii="Arial" w:hAnsi="Arial"/>
          <w:color w:val="auto"/>
          <w:sz w:val="16"/>
          <w:szCs w:val="16"/>
        </w:rPr>
        <w:t>.2</w:t>
      </w:r>
      <w:r w:rsidRPr="00DA53C4">
        <w:rPr>
          <w:rFonts w:ascii="Arial" w:hAnsi="Arial"/>
          <w:color w:val="auto"/>
          <w:sz w:val="16"/>
          <w:szCs w:val="16"/>
        </w:rPr>
        <w:t xml:space="preserve">m </w:t>
      </w:r>
      <w:r w:rsidRPr="00E81D40">
        <w:rPr>
          <w:rFonts w:ascii="Arial" w:hAnsi="Arial"/>
          <w:color w:val="auto"/>
          <w:sz w:val="16"/>
          <w:szCs w:val="16"/>
        </w:rPr>
        <w:t>(</w:t>
      </w:r>
      <w:r w:rsidRPr="005E7A81">
        <w:rPr>
          <w:rFonts w:ascii="Arial" w:hAnsi="Arial"/>
          <w:color w:val="auto"/>
          <w:sz w:val="16"/>
          <w:szCs w:val="16"/>
        </w:rPr>
        <w:t>202</w:t>
      </w:r>
      <w:r w:rsidR="00B01C3F" w:rsidRPr="005E7A81">
        <w:rPr>
          <w:rFonts w:ascii="Arial" w:hAnsi="Arial"/>
          <w:color w:val="auto"/>
          <w:sz w:val="16"/>
          <w:szCs w:val="16"/>
        </w:rPr>
        <w:t>4</w:t>
      </w:r>
      <w:r w:rsidRPr="005E7A81">
        <w:rPr>
          <w:rFonts w:ascii="Arial" w:hAnsi="Arial"/>
          <w:color w:val="auto"/>
          <w:sz w:val="16"/>
          <w:szCs w:val="16"/>
        </w:rPr>
        <w:t>: £</w:t>
      </w:r>
      <w:r w:rsidR="00B01C3F" w:rsidRPr="005E7A81">
        <w:rPr>
          <w:rFonts w:ascii="Arial" w:hAnsi="Arial"/>
          <w:color w:val="auto"/>
          <w:sz w:val="16"/>
          <w:szCs w:val="16"/>
        </w:rPr>
        <w:t>90</w:t>
      </w:r>
      <w:r w:rsidRPr="005E7A81">
        <w:rPr>
          <w:rFonts w:ascii="Arial" w:hAnsi="Arial"/>
          <w:color w:val="auto"/>
          <w:sz w:val="16"/>
          <w:szCs w:val="16"/>
        </w:rPr>
        <w:t>m</w:t>
      </w:r>
      <w:r w:rsidRPr="00E81D40">
        <w:rPr>
          <w:rFonts w:ascii="Arial" w:hAnsi="Arial"/>
          <w:color w:val="auto"/>
          <w:sz w:val="16"/>
          <w:szCs w:val="16"/>
        </w:rPr>
        <w:t>).</w:t>
      </w:r>
    </w:p>
    <w:p w14:paraId="3A3F6952" w14:textId="77777777" w:rsidR="0032166B" w:rsidRPr="00A44138" w:rsidRDefault="0032166B" w:rsidP="009E4876">
      <w:pPr>
        <w:pStyle w:val="Default"/>
        <w:ind w:left="2160" w:hanging="2160"/>
        <w:jc w:val="both"/>
        <w:rPr>
          <w:rFonts w:ascii="Arial" w:hAnsi="Arial"/>
          <w:color w:val="auto"/>
          <w:sz w:val="16"/>
          <w:szCs w:val="16"/>
        </w:rPr>
      </w:pPr>
    </w:p>
    <w:p w14:paraId="281E54EE" w14:textId="77777777" w:rsidR="000077FA" w:rsidRPr="00B01C3F" w:rsidRDefault="000077FA" w:rsidP="009E4876">
      <w:pPr>
        <w:pStyle w:val="Default"/>
        <w:ind w:left="2160" w:hanging="2160"/>
        <w:jc w:val="both"/>
        <w:rPr>
          <w:rFonts w:ascii="Arial" w:hAnsi="Arial"/>
          <w:color w:val="auto"/>
          <w:sz w:val="16"/>
          <w:szCs w:val="16"/>
          <w:highlight w:val="yellow"/>
        </w:rPr>
      </w:pPr>
    </w:p>
    <w:p w14:paraId="1D518BB2" w14:textId="77777777" w:rsidR="000077FA" w:rsidRPr="005E7A81" w:rsidRDefault="000077FA" w:rsidP="009E4876">
      <w:pPr>
        <w:pStyle w:val="Default"/>
        <w:ind w:left="2160" w:hanging="2160"/>
        <w:jc w:val="both"/>
        <w:rPr>
          <w:rFonts w:ascii="Arial" w:hAnsi="Arial"/>
          <w:color w:val="auto"/>
          <w:sz w:val="16"/>
          <w:szCs w:val="16"/>
        </w:rPr>
      </w:pPr>
      <w:r w:rsidRPr="005E7A81">
        <w:rPr>
          <w:rFonts w:ascii="Arial" w:hAnsi="Arial"/>
          <w:color w:val="auto"/>
          <w:sz w:val="16"/>
          <w:szCs w:val="16"/>
        </w:rPr>
        <w:t xml:space="preserve">KPI definitions reflect the parts of the Group most relevant for assessing its performance and where data is available: NPS </w:t>
      </w:r>
    </w:p>
    <w:p w14:paraId="75566F00" w14:textId="77777777" w:rsidR="000077FA" w:rsidRPr="005E7A81" w:rsidRDefault="000077FA" w:rsidP="009E4876">
      <w:pPr>
        <w:pStyle w:val="Default"/>
        <w:ind w:left="2160" w:hanging="2160"/>
        <w:jc w:val="both"/>
        <w:rPr>
          <w:rFonts w:ascii="Arial" w:hAnsi="Arial"/>
          <w:color w:val="auto"/>
          <w:sz w:val="16"/>
          <w:szCs w:val="16"/>
        </w:rPr>
      </w:pPr>
      <w:r w:rsidRPr="005E7A81">
        <w:rPr>
          <w:rFonts w:ascii="Arial" w:hAnsi="Arial"/>
          <w:color w:val="auto"/>
          <w:sz w:val="16"/>
          <w:szCs w:val="16"/>
        </w:rPr>
        <w:t xml:space="preserve">includes our two biggest consumer brands. Active users is most relevant for MSM and Quidco where user accounts are </w:t>
      </w:r>
    </w:p>
    <w:p w14:paraId="4299C28F" w14:textId="6F3C3F54" w:rsidR="000077FA" w:rsidRPr="005E7A81" w:rsidRDefault="000077FA" w:rsidP="009E4876">
      <w:pPr>
        <w:pStyle w:val="Default"/>
        <w:ind w:left="2160" w:hanging="2160"/>
        <w:jc w:val="both"/>
        <w:rPr>
          <w:rFonts w:ascii="Arial" w:hAnsi="Arial"/>
          <w:color w:val="auto"/>
          <w:sz w:val="16"/>
          <w:szCs w:val="16"/>
        </w:rPr>
      </w:pPr>
      <w:r w:rsidRPr="005E7A81">
        <w:rPr>
          <w:rFonts w:ascii="Arial" w:hAnsi="Arial"/>
          <w:color w:val="auto"/>
          <w:sz w:val="16"/>
          <w:szCs w:val="16"/>
        </w:rPr>
        <w:t xml:space="preserve">identified as a key part of the transactional journey. Cross-channel enquiry relates only to MSM as this metric is aligned to our </w:t>
      </w:r>
    </w:p>
    <w:p w14:paraId="3E01F0B5" w14:textId="44D2AFF1" w:rsidR="000077FA" w:rsidRPr="005E7A81" w:rsidRDefault="000077FA" w:rsidP="009E4876">
      <w:pPr>
        <w:pStyle w:val="Default"/>
        <w:ind w:left="2160" w:hanging="2160"/>
        <w:jc w:val="both"/>
        <w:rPr>
          <w:rFonts w:ascii="Arial" w:hAnsi="Arial"/>
          <w:color w:val="auto"/>
          <w:sz w:val="16"/>
          <w:szCs w:val="16"/>
        </w:rPr>
      </w:pPr>
      <w:r w:rsidRPr="005E7A81">
        <w:rPr>
          <w:rFonts w:ascii="Arial" w:hAnsi="Arial"/>
          <w:color w:val="auto"/>
          <w:sz w:val="16"/>
          <w:szCs w:val="16"/>
        </w:rPr>
        <w:t>aim of offering more products to users as part of our strategy.</w:t>
      </w:r>
    </w:p>
    <w:p w14:paraId="1D89D00E" w14:textId="77777777" w:rsidR="000077FA" w:rsidRPr="00B01C3F" w:rsidRDefault="000077FA" w:rsidP="000077FA">
      <w:pPr>
        <w:pStyle w:val="Default"/>
        <w:ind w:left="2160" w:hanging="2160"/>
        <w:rPr>
          <w:rFonts w:ascii="Arial" w:hAnsi="Arial"/>
          <w:color w:val="auto"/>
          <w:sz w:val="16"/>
          <w:szCs w:val="16"/>
          <w:highlight w:val="yellow"/>
        </w:rPr>
      </w:pPr>
    </w:p>
    <w:p w14:paraId="669B4CB4" w14:textId="6BBA28D5" w:rsidR="00CC6448" w:rsidRPr="00CC6448" w:rsidRDefault="00CC6448" w:rsidP="00CC6448">
      <w:pPr>
        <w:pStyle w:val="ParaIMS"/>
        <w:jc w:val="both"/>
        <w:rPr>
          <w:rFonts w:ascii="Arial" w:hAnsi="Arial"/>
          <w:lang w:val="en-GB"/>
        </w:rPr>
      </w:pPr>
      <w:r w:rsidRPr="00CC6448">
        <w:rPr>
          <w:rFonts w:ascii="Arial" w:hAnsi="Arial"/>
          <w:lang w:val="en-GB"/>
        </w:rPr>
        <w:t xml:space="preserve">Estimated customer savings has </w:t>
      </w:r>
      <w:r w:rsidR="00545387">
        <w:rPr>
          <w:rFonts w:ascii="Arial" w:hAnsi="Arial"/>
          <w:lang w:val="en-GB"/>
        </w:rPr>
        <w:t>reduced</w:t>
      </w:r>
      <w:r w:rsidRPr="00CC6448">
        <w:rPr>
          <w:rFonts w:ascii="Arial" w:hAnsi="Arial"/>
          <w:lang w:val="en-GB"/>
        </w:rPr>
        <w:t xml:space="preserve"> by </w:t>
      </w:r>
      <w:r w:rsidRPr="00DA53C4">
        <w:rPr>
          <w:rFonts w:ascii="Arial" w:hAnsi="Arial"/>
          <w:lang w:val="en-GB"/>
        </w:rPr>
        <w:t>£0.</w:t>
      </w:r>
      <w:r w:rsidR="000B1A61" w:rsidRPr="00DA53C4">
        <w:rPr>
          <w:rFonts w:ascii="Arial" w:hAnsi="Arial"/>
          <w:lang w:val="en-GB"/>
        </w:rPr>
        <w:t>3</w:t>
      </w:r>
      <w:r w:rsidRPr="00DA53C4">
        <w:rPr>
          <w:rFonts w:ascii="Arial" w:hAnsi="Arial"/>
          <w:lang w:val="en-GB"/>
        </w:rPr>
        <w:t>bn to £1.</w:t>
      </w:r>
      <w:r w:rsidR="000B1A61" w:rsidRPr="00DA53C4">
        <w:rPr>
          <w:rFonts w:ascii="Arial" w:hAnsi="Arial"/>
          <w:lang w:val="en-GB"/>
        </w:rPr>
        <w:t>4</w:t>
      </w:r>
      <w:r w:rsidRPr="00DA53C4">
        <w:rPr>
          <w:rFonts w:ascii="Arial" w:hAnsi="Arial"/>
          <w:lang w:val="en-GB"/>
        </w:rPr>
        <w:t xml:space="preserve">bn </w:t>
      </w:r>
      <w:r w:rsidRPr="00CC6448">
        <w:rPr>
          <w:rFonts w:ascii="Arial" w:hAnsi="Arial"/>
          <w:lang w:val="en-GB"/>
        </w:rPr>
        <w:t>due to</w:t>
      </w:r>
      <w:r w:rsidR="00E24FD9">
        <w:rPr>
          <w:rFonts w:ascii="Arial" w:hAnsi="Arial"/>
          <w:lang w:val="en-GB"/>
        </w:rPr>
        <w:t xml:space="preserve"> the</w:t>
      </w:r>
      <w:r w:rsidRPr="00CC6448">
        <w:rPr>
          <w:rFonts w:ascii="Arial" w:hAnsi="Arial"/>
          <w:lang w:val="en-GB"/>
        </w:rPr>
        <w:t xml:space="preserve"> softening </w:t>
      </w:r>
      <w:r w:rsidR="00E24FD9">
        <w:rPr>
          <w:rFonts w:ascii="Arial" w:hAnsi="Arial"/>
          <w:lang w:val="en-GB"/>
        </w:rPr>
        <w:t>in</w:t>
      </w:r>
      <w:r w:rsidRPr="00CC6448">
        <w:rPr>
          <w:rFonts w:ascii="Arial" w:hAnsi="Arial"/>
          <w:lang w:val="en-GB"/>
        </w:rPr>
        <w:t xml:space="preserve"> the car insurance market, with lower switching volumes and savings per sale for customers in car. This was partially offset by higher customer savings generated from energy due to increased levels of energy switching.</w:t>
      </w:r>
    </w:p>
    <w:p w14:paraId="14BF6FEE" w14:textId="47EFF367" w:rsidR="003731DC" w:rsidRPr="00CC6448" w:rsidRDefault="004159BA" w:rsidP="004159BA">
      <w:pPr>
        <w:pStyle w:val="ParaIMS"/>
        <w:jc w:val="both"/>
        <w:rPr>
          <w:rFonts w:ascii="Arial" w:hAnsi="Arial"/>
          <w:lang w:val="en-GB"/>
        </w:rPr>
      </w:pPr>
      <w:r w:rsidRPr="004159BA">
        <w:rPr>
          <w:rFonts w:ascii="Arial" w:hAnsi="Arial"/>
          <w:lang w:val="en-GB"/>
        </w:rPr>
        <w:t xml:space="preserve">The </w:t>
      </w:r>
      <w:r w:rsidRPr="00A47470">
        <w:rPr>
          <w:rFonts w:ascii="Arial" w:hAnsi="Arial"/>
          <w:lang w:val="en-GB"/>
        </w:rPr>
        <w:t xml:space="preserve">decrease </w:t>
      </w:r>
      <w:r w:rsidRPr="004159BA">
        <w:rPr>
          <w:rFonts w:ascii="Arial" w:hAnsi="Arial"/>
          <w:lang w:val="en-GB"/>
        </w:rPr>
        <w:t>in marketing margin reflect</w:t>
      </w:r>
      <w:r w:rsidRPr="007F15E0">
        <w:rPr>
          <w:rFonts w:ascii="Arial" w:hAnsi="Arial"/>
          <w:lang w:val="en-GB"/>
        </w:rPr>
        <w:t xml:space="preserve">s </w:t>
      </w:r>
      <w:r w:rsidR="003731DC" w:rsidRPr="007F15E0">
        <w:rPr>
          <w:rFonts w:ascii="Arial" w:hAnsi="Arial"/>
          <w:lang w:val="en-GB"/>
        </w:rPr>
        <w:t>movements in gross margin</w:t>
      </w:r>
      <w:r w:rsidR="00677C41">
        <w:rPr>
          <w:rFonts w:ascii="Arial" w:hAnsi="Arial"/>
          <w:lang w:val="en-GB"/>
        </w:rPr>
        <w:t xml:space="preserve"> with higher cost of sales</w:t>
      </w:r>
      <w:r w:rsidR="003731DC" w:rsidRPr="007F15E0">
        <w:rPr>
          <w:rFonts w:ascii="Arial" w:hAnsi="Arial"/>
          <w:lang w:val="en-GB"/>
        </w:rPr>
        <w:t xml:space="preserve">, described below, </w:t>
      </w:r>
      <w:r w:rsidR="003D16AB">
        <w:rPr>
          <w:rFonts w:ascii="Arial" w:hAnsi="Arial"/>
          <w:lang w:val="en-GB"/>
        </w:rPr>
        <w:t>with</w:t>
      </w:r>
      <w:r w:rsidR="003D16AB" w:rsidRPr="007F15E0">
        <w:rPr>
          <w:rFonts w:ascii="Arial" w:hAnsi="Arial"/>
          <w:lang w:val="en-GB"/>
        </w:rPr>
        <w:t xml:space="preserve"> </w:t>
      </w:r>
      <w:r w:rsidR="003731DC" w:rsidRPr="007F15E0">
        <w:rPr>
          <w:rFonts w:ascii="Arial" w:hAnsi="Arial"/>
          <w:lang w:val="en-GB"/>
        </w:rPr>
        <w:t xml:space="preserve">lower </w:t>
      </w:r>
      <w:r w:rsidR="00746E39">
        <w:rPr>
          <w:rFonts w:ascii="Arial" w:hAnsi="Arial"/>
          <w:lang w:val="en-GB"/>
        </w:rPr>
        <w:t xml:space="preserve">distribution </w:t>
      </w:r>
      <w:r w:rsidR="003731DC" w:rsidRPr="007F15E0">
        <w:rPr>
          <w:rFonts w:ascii="Arial" w:hAnsi="Arial"/>
          <w:lang w:val="en-GB"/>
        </w:rPr>
        <w:t>marketing spend in the first half of 2025.</w:t>
      </w:r>
    </w:p>
    <w:p w14:paraId="4A2A266B" w14:textId="27ACF8AC" w:rsidR="004159BA" w:rsidRPr="004159BA" w:rsidRDefault="004159BA" w:rsidP="004159BA">
      <w:pPr>
        <w:pStyle w:val="ParaIMS"/>
        <w:jc w:val="both"/>
        <w:rPr>
          <w:rFonts w:ascii="Arial" w:hAnsi="Arial"/>
          <w:lang w:val="en-GB"/>
        </w:rPr>
      </w:pPr>
      <w:r w:rsidRPr="004159BA">
        <w:rPr>
          <w:rFonts w:ascii="Arial" w:hAnsi="Arial"/>
          <w:lang w:val="en-GB"/>
        </w:rPr>
        <w:t>Trust and satisfaction in our brands rema</w:t>
      </w:r>
      <w:r w:rsidR="00D74016">
        <w:rPr>
          <w:rFonts w:ascii="Arial" w:hAnsi="Arial"/>
          <w:lang w:val="en-GB"/>
        </w:rPr>
        <w:t>i</w:t>
      </w:r>
      <w:r w:rsidRPr="004159BA">
        <w:rPr>
          <w:rFonts w:ascii="Arial" w:hAnsi="Arial"/>
          <w:lang w:val="en-GB"/>
        </w:rPr>
        <w:t xml:space="preserve">ned strong, NPS has increased from 71 to </w:t>
      </w:r>
      <w:r w:rsidRPr="00DA53C4">
        <w:rPr>
          <w:rFonts w:ascii="Arial" w:hAnsi="Arial"/>
          <w:lang w:val="en-GB"/>
        </w:rPr>
        <w:t>72.</w:t>
      </w:r>
      <w:r w:rsidRPr="007F15E0">
        <w:rPr>
          <w:rFonts w:ascii="Arial" w:hAnsi="Arial"/>
          <w:color w:val="EE0000"/>
          <w:lang w:val="en-GB"/>
        </w:rPr>
        <w:t xml:space="preserve"> </w:t>
      </w:r>
    </w:p>
    <w:p w14:paraId="6AAE635A" w14:textId="0B9F30BE" w:rsidR="00CC6448" w:rsidRPr="00CC6448" w:rsidRDefault="00CC6448" w:rsidP="00CC6448">
      <w:pPr>
        <w:pStyle w:val="ParaIMS"/>
        <w:jc w:val="both"/>
        <w:rPr>
          <w:rFonts w:ascii="Arial" w:hAnsi="Arial"/>
          <w:lang w:val="en-GB"/>
        </w:rPr>
      </w:pPr>
      <w:r w:rsidRPr="00CC6448">
        <w:rPr>
          <w:rFonts w:ascii="Arial" w:hAnsi="Arial"/>
          <w:lang w:val="en-GB"/>
        </w:rPr>
        <w:t xml:space="preserve">Active user numbers have reduced by </w:t>
      </w:r>
      <w:r w:rsidRPr="00DA53C4">
        <w:rPr>
          <w:rFonts w:ascii="Arial" w:hAnsi="Arial"/>
          <w:lang w:val="en-GB"/>
        </w:rPr>
        <w:t>1.3m to 13</w:t>
      </w:r>
      <w:r w:rsidR="000B1A61" w:rsidRPr="00DA53C4">
        <w:rPr>
          <w:rFonts w:ascii="Arial" w:hAnsi="Arial"/>
          <w:lang w:val="en-GB"/>
        </w:rPr>
        <w:t>.0</w:t>
      </w:r>
      <w:r w:rsidRPr="00DA53C4">
        <w:rPr>
          <w:rFonts w:ascii="Arial" w:hAnsi="Arial"/>
          <w:lang w:val="en-GB"/>
        </w:rPr>
        <w:t>m</w:t>
      </w:r>
      <w:r w:rsidRPr="00CC6448">
        <w:rPr>
          <w:rFonts w:ascii="Arial" w:hAnsi="Arial"/>
          <w:lang w:val="en-GB"/>
        </w:rPr>
        <w:t>, driven by the expected mix out of car insurance enquiries with market contraction, as well as a reduction in energy enquiries as conditions stabilise following a period with very high levels of media coverage on energy costs where limited deals were available and we had high volumes of users coming to our site to look for a deal</w:t>
      </w:r>
      <w:r w:rsidR="00B9265A">
        <w:rPr>
          <w:rFonts w:ascii="Arial" w:hAnsi="Arial"/>
          <w:lang w:val="en-GB"/>
        </w:rPr>
        <w:t xml:space="preserve"> in the prior period comparator.</w:t>
      </w:r>
    </w:p>
    <w:p w14:paraId="3F265973" w14:textId="0A352141" w:rsidR="00CC6448" w:rsidRPr="00CC6448" w:rsidRDefault="00CC6448" w:rsidP="00CC6448">
      <w:pPr>
        <w:pStyle w:val="ParaIMS"/>
        <w:jc w:val="both"/>
        <w:rPr>
          <w:rFonts w:ascii="Arial" w:hAnsi="Arial"/>
          <w:lang w:val="en-GB"/>
        </w:rPr>
      </w:pPr>
      <w:r w:rsidRPr="00CC6448">
        <w:rPr>
          <w:rFonts w:ascii="Arial" w:hAnsi="Arial"/>
          <w:lang w:val="en-GB"/>
        </w:rPr>
        <w:lastRenderedPageBreak/>
        <w:t xml:space="preserve">Revenue per active user has grown by </w:t>
      </w:r>
      <w:r w:rsidR="000D4589">
        <w:rPr>
          <w:rFonts w:ascii="Arial" w:hAnsi="Arial"/>
          <w:lang w:val="en-GB"/>
        </w:rPr>
        <w:t>£1.59 to £19.83</w:t>
      </w:r>
      <w:r w:rsidRPr="00233460">
        <w:rPr>
          <w:rFonts w:ascii="Arial" w:hAnsi="Arial"/>
          <w:color w:val="EE0000"/>
          <w:lang w:val="en-GB"/>
        </w:rPr>
        <w:t xml:space="preserve"> </w:t>
      </w:r>
      <w:r w:rsidRPr="00CC6448">
        <w:rPr>
          <w:rFonts w:ascii="Arial" w:hAnsi="Arial"/>
          <w:lang w:val="en-GB"/>
        </w:rPr>
        <w:t>due to higher volumes of energy switching, with the mix out of car offset by higher revenues in other channels such as life, improved borrowing conversion and higher multichannel activity.</w:t>
      </w:r>
    </w:p>
    <w:p w14:paraId="16249A2A" w14:textId="021C3A9C" w:rsidR="00665AB8" w:rsidRDefault="00CC6448" w:rsidP="004159BA">
      <w:pPr>
        <w:pStyle w:val="ParaIMS"/>
        <w:jc w:val="both"/>
        <w:rPr>
          <w:rFonts w:ascii="Arial" w:hAnsi="Arial"/>
          <w:lang w:val="en-GB"/>
        </w:rPr>
      </w:pPr>
      <w:r w:rsidRPr="00CC6448">
        <w:rPr>
          <w:rFonts w:ascii="Arial" w:hAnsi="Arial"/>
          <w:lang w:val="en-GB"/>
        </w:rPr>
        <w:t xml:space="preserve">The cross-channel enquiry rate </w:t>
      </w:r>
      <w:r w:rsidR="00566E42">
        <w:rPr>
          <w:rFonts w:ascii="Arial" w:hAnsi="Arial"/>
          <w:lang w:val="en-GB"/>
        </w:rPr>
        <w:t>reduced</w:t>
      </w:r>
      <w:r w:rsidR="006A6CE0" w:rsidRPr="006A6CE0">
        <w:rPr>
          <w:rFonts w:ascii="Arial" w:hAnsi="Arial"/>
          <w:lang w:val="en-GB"/>
        </w:rPr>
        <w:t xml:space="preserve"> </w:t>
      </w:r>
      <w:r w:rsidR="006A6CE0" w:rsidRPr="00DA53C4">
        <w:rPr>
          <w:rFonts w:ascii="Arial" w:hAnsi="Arial"/>
          <w:lang w:val="en-GB"/>
        </w:rPr>
        <w:t>2</w:t>
      </w:r>
      <w:r w:rsidRPr="00DA53C4">
        <w:rPr>
          <w:rFonts w:ascii="Arial" w:hAnsi="Arial"/>
          <w:lang w:val="en-GB"/>
        </w:rPr>
        <w:t>%</w:t>
      </w:r>
      <w:r w:rsidRPr="00CC6448">
        <w:rPr>
          <w:rFonts w:ascii="Arial" w:hAnsi="Arial"/>
          <w:lang w:val="en-GB"/>
        </w:rPr>
        <w:t xml:space="preserve"> year on year</w:t>
      </w:r>
      <w:r w:rsidR="00EA6488">
        <w:rPr>
          <w:rFonts w:ascii="Arial" w:hAnsi="Arial"/>
          <w:lang w:val="en-GB"/>
        </w:rPr>
        <w:t>,</w:t>
      </w:r>
      <w:r w:rsidRPr="00CC6448">
        <w:rPr>
          <w:rFonts w:ascii="Arial" w:hAnsi="Arial"/>
          <w:lang w:val="en-GB"/>
        </w:rPr>
        <w:t xml:space="preserve"> with volume mix out of car insurance </w:t>
      </w:r>
      <w:r w:rsidR="00EA6488">
        <w:rPr>
          <w:rFonts w:ascii="Arial" w:hAnsi="Arial"/>
          <w:lang w:val="en-GB"/>
        </w:rPr>
        <w:t>from</w:t>
      </w:r>
      <w:r w:rsidR="00EA6488" w:rsidRPr="00CC6448">
        <w:rPr>
          <w:rFonts w:ascii="Arial" w:hAnsi="Arial"/>
          <w:lang w:val="en-GB"/>
        </w:rPr>
        <w:t xml:space="preserve"> </w:t>
      </w:r>
      <w:r w:rsidRPr="00CC6448">
        <w:rPr>
          <w:rFonts w:ascii="Arial" w:hAnsi="Arial"/>
          <w:lang w:val="en-GB"/>
        </w:rPr>
        <w:t>anticipated market contraction, with some offset from growth in cross-enquiry from SuperSaveClub members.</w:t>
      </w:r>
      <w:r w:rsidR="00233460">
        <w:rPr>
          <w:rFonts w:ascii="Arial" w:hAnsi="Arial"/>
          <w:lang w:val="en-GB"/>
        </w:rPr>
        <w:t xml:space="preserve"> </w:t>
      </w:r>
    </w:p>
    <w:p w14:paraId="36230EF4" w14:textId="77777777" w:rsidR="00C93BA3" w:rsidRPr="00A44138" w:rsidRDefault="00C93BA3" w:rsidP="004159BA">
      <w:pPr>
        <w:pStyle w:val="ParaIMS"/>
        <w:jc w:val="both"/>
        <w:rPr>
          <w:rFonts w:ascii="Arial" w:hAnsi="Arial"/>
          <w:b/>
          <w:color w:val="FF0000"/>
        </w:rPr>
      </w:pPr>
    </w:p>
    <w:p w14:paraId="46534866" w14:textId="0627C6BC" w:rsidR="00294FD1" w:rsidRPr="00A44138" w:rsidRDefault="002167BA" w:rsidP="00294FD1">
      <w:pPr>
        <w:rPr>
          <w:rFonts w:ascii="Arial" w:eastAsia="Batang" w:hAnsi="Arial" w:cs="Times New Roman"/>
          <w:b/>
          <w:sz w:val="20"/>
          <w:szCs w:val="20"/>
          <w:lang w:eastAsia="ko-KR"/>
        </w:rPr>
      </w:pPr>
      <w:r>
        <w:rPr>
          <w:rFonts w:ascii="Arial" w:hAnsi="Arial"/>
          <w:b/>
          <w:sz w:val="20"/>
        </w:rPr>
        <w:t xml:space="preserve">Chief Financial Officer’s Review </w:t>
      </w:r>
    </w:p>
    <w:p w14:paraId="040D4D72" w14:textId="7ADAA5A4" w:rsidR="00294FD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sz w:val="20"/>
          <w:szCs w:val="20"/>
          <w:lang w:eastAsia="ko-KR"/>
        </w:rPr>
      </w:pPr>
      <w:r w:rsidRPr="00A44138">
        <w:rPr>
          <w:rFonts w:ascii="Arial" w:eastAsia="Batang" w:hAnsi="Arial" w:cs="Times New Roman"/>
          <w:sz w:val="20"/>
          <w:szCs w:val="20"/>
          <w:lang w:eastAsia="ko-KR"/>
        </w:rPr>
        <w:t>Group revenue increased</w:t>
      </w:r>
      <w:r w:rsidR="00011176">
        <w:rPr>
          <w:rFonts w:ascii="Arial" w:eastAsia="Batang" w:hAnsi="Arial" w:cs="Times New Roman"/>
          <w:sz w:val="20"/>
          <w:szCs w:val="20"/>
          <w:lang w:eastAsia="ko-KR"/>
        </w:rPr>
        <w:t xml:space="preserve"> 1</w:t>
      </w:r>
      <w:r w:rsidRPr="00F12FC3">
        <w:rPr>
          <w:rFonts w:ascii="Arial" w:eastAsia="Batang" w:hAnsi="Arial" w:cs="Times New Roman"/>
          <w:sz w:val="20"/>
          <w:szCs w:val="20"/>
          <w:lang w:eastAsia="ko-KR"/>
        </w:rPr>
        <w:t xml:space="preserve">% </w:t>
      </w:r>
      <w:r w:rsidRPr="00A44138">
        <w:rPr>
          <w:rFonts w:ascii="Arial" w:eastAsia="Batang" w:hAnsi="Arial" w:cs="Times New Roman"/>
          <w:sz w:val="20"/>
          <w:szCs w:val="20"/>
          <w:lang w:eastAsia="ko-KR"/>
        </w:rPr>
        <w:t xml:space="preserve">to </w:t>
      </w:r>
      <w:r w:rsidRPr="00F12FC3">
        <w:rPr>
          <w:rFonts w:ascii="Arial" w:eastAsia="Batang" w:hAnsi="Arial" w:cs="Times New Roman"/>
          <w:sz w:val="20"/>
          <w:szCs w:val="20"/>
          <w:lang w:eastAsia="ko-KR"/>
        </w:rPr>
        <w:t>£</w:t>
      </w:r>
      <w:r w:rsidR="006B4ACC" w:rsidRPr="00F12FC3">
        <w:rPr>
          <w:rFonts w:ascii="Arial" w:eastAsia="Batang" w:hAnsi="Arial" w:cs="Times New Roman"/>
          <w:sz w:val="20"/>
          <w:szCs w:val="20"/>
          <w:lang w:eastAsia="ko-KR"/>
        </w:rPr>
        <w:t>225.</w:t>
      </w:r>
      <w:r w:rsidR="00011176">
        <w:rPr>
          <w:rFonts w:ascii="Arial" w:eastAsia="Batang" w:hAnsi="Arial" w:cs="Times New Roman"/>
          <w:sz w:val="20"/>
          <w:szCs w:val="20"/>
          <w:lang w:eastAsia="ko-KR"/>
        </w:rPr>
        <w:t>3</w:t>
      </w:r>
      <w:r w:rsidRPr="00A44138">
        <w:rPr>
          <w:rFonts w:ascii="Arial" w:eastAsia="Batang" w:hAnsi="Arial" w:cs="Times New Roman"/>
          <w:sz w:val="20"/>
          <w:szCs w:val="20"/>
          <w:lang w:eastAsia="ko-KR"/>
        </w:rPr>
        <w:t>m (</w:t>
      </w:r>
      <w:r w:rsidRPr="005E7A81">
        <w:rPr>
          <w:rFonts w:ascii="Arial" w:eastAsia="Batang" w:hAnsi="Arial" w:cs="Times New Roman"/>
          <w:sz w:val="20"/>
          <w:szCs w:val="20"/>
          <w:lang w:eastAsia="ko-KR"/>
        </w:rPr>
        <w:t>202</w:t>
      </w:r>
      <w:r w:rsidR="00B01C3F" w:rsidRPr="005E7A81">
        <w:rPr>
          <w:rFonts w:ascii="Arial" w:eastAsia="Batang" w:hAnsi="Arial" w:cs="Times New Roman"/>
          <w:sz w:val="20"/>
          <w:szCs w:val="20"/>
          <w:lang w:eastAsia="ko-KR"/>
        </w:rPr>
        <w:t>4</w:t>
      </w:r>
      <w:r w:rsidRPr="005E7A81">
        <w:rPr>
          <w:rFonts w:ascii="Arial" w:eastAsia="Batang" w:hAnsi="Arial" w:cs="Times New Roman"/>
          <w:sz w:val="20"/>
          <w:szCs w:val="20"/>
          <w:lang w:eastAsia="ko-KR"/>
        </w:rPr>
        <w:t>: £2</w:t>
      </w:r>
      <w:r w:rsidR="00B01C3F" w:rsidRPr="005E7A81">
        <w:rPr>
          <w:rFonts w:ascii="Arial" w:eastAsia="Batang" w:hAnsi="Arial" w:cs="Times New Roman"/>
          <w:sz w:val="20"/>
          <w:szCs w:val="20"/>
          <w:lang w:eastAsia="ko-KR"/>
        </w:rPr>
        <w:t>23.5</w:t>
      </w:r>
      <w:r w:rsidRPr="005E7A81">
        <w:rPr>
          <w:rFonts w:ascii="Arial" w:eastAsia="Batang" w:hAnsi="Arial" w:cs="Times New Roman"/>
          <w:sz w:val="20"/>
          <w:szCs w:val="20"/>
          <w:lang w:eastAsia="ko-KR"/>
        </w:rPr>
        <w:t>m</w:t>
      </w:r>
      <w:r w:rsidRPr="00077D35">
        <w:rPr>
          <w:rFonts w:ascii="Arial" w:eastAsia="Batang" w:hAnsi="Arial" w:cs="Times New Roman"/>
          <w:sz w:val="20"/>
          <w:szCs w:val="20"/>
          <w:lang w:eastAsia="ko-KR"/>
        </w:rPr>
        <w:t xml:space="preserve">), </w:t>
      </w:r>
      <w:r w:rsidRPr="00A44138">
        <w:rPr>
          <w:rFonts w:ascii="Arial" w:eastAsia="Batang" w:hAnsi="Arial" w:cs="Times New Roman"/>
          <w:sz w:val="20"/>
          <w:szCs w:val="20"/>
          <w:lang w:eastAsia="ko-KR"/>
        </w:rPr>
        <w:t xml:space="preserve">with profit after tax increasing </w:t>
      </w:r>
      <w:r w:rsidR="008B78FB" w:rsidRPr="00DA53C4">
        <w:rPr>
          <w:rFonts w:ascii="Arial" w:eastAsia="Batang" w:hAnsi="Arial" w:cs="Times New Roman"/>
          <w:sz w:val="20"/>
          <w:szCs w:val="20"/>
          <w:lang w:eastAsia="ko-KR"/>
        </w:rPr>
        <w:t>3</w:t>
      </w:r>
      <w:r w:rsidRPr="008817C5">
        <w:rPr>
          <w:rFonts w:ascii="Arial" w:eastAsia="Batang" w:hAnsi="Arial" w:cs="Times New Roman"/>
          <w:sz w:val="20"/>
          <w:szCs w:val="20"/>
          <w:lang w:eastAsia="ko-KR"/>
        </w:rPr>
        <w:t>%</w:t>
      </w:r>
      <w:r w:rsidRPr="00F12FC3">
        <w:rPr>
          <w:rFonts w:ascii="Arial" w:eastAsia="Batang" w:hAnsi="Arial" w:cs="Times New Roman"/>
          <w:sz w:val="20"/>
          <w:szCs w:val="20"/>
          <w:lang w:eastAsia="ko-KR"/>
        </w:rPr>
        <w:t xml:space="preserve"> </w:t>
      </w:r>
      <w:r w:rsidRPr="00A44138">
        <w:rPr>
          <w:rFonts w:ascii="Arial" w:eastAsia="Batang" w:hAnsi="Arial" w:cs="Times New Roman"/>
          <w:sz w:val="20"/>
          <w:szCs w:val="20"/>
          <w:lang w:eastAsia="ko-KR"/>
        </w:rPr>
        <w:t xml:space="preserve">to </w:t>
      </w:r>
      <w:r w:rsidRPr="008817C5">
        <w:rPr>
          <w:rFonts w:ascii="Arial" w:eastAsia="Batang" w:hAnsi="Arial" w:cs="Times New Roman"/>
          <w:sz w:val="20"/>
          <w:szCs w:val="20"/>
          <w:lang w:eastAsia="ko-KR"/>
        </w:rPr>
        <w:t>£</w:t>
      </w:r>
      <w:r w:rsidR="008817C5" w:rsidRPr="00DA53C4">
        <w:rPr>
          <w:rFonts w:ascii="Arial" w:eastAsia="Batang" w:hAnsi="Arial" w:cs="Times New Roman"/>
          <w:sz w:val="20"/>
          <w:szCs w:val="20"/>
          <w:lang w:eastAsia="ko-KR"/>
        </w:rPr>
        <w:t>45.6</w:t>
      </w:r>
      <w:r w:rsidRPr="00A44138">
        <w:rPr>
          <w:rFonts w:ascii="Arial" w:eastAsia="Batang" w:hAnsi="Arial" w:cs="Times New Roman"/>
          <w:sz w:val="20"/>
          <w:szCs w:val="20"/>
          <w:lang w:eastAsia="ko-KR"/>
        </w:rPr>
        <w:t>m (</w:t>
      </w:r>
      <w:r w:rsidRPr="005E7A81">
        <w:rPr>
          <w:rFonts w:ascii="Arial" w:eastAsia="Batang" w:hAnsi="Arial" w:cs="Times New Roman"/>
          <w:sz w:val="20"/>
          <w:szCs w:val="20"/>
          <w:lang w:eastAsia="ko-KR"/>
        </w:rPr>
        <w:t>202</w:t>
      </w:r>
      <w:r w:rsidR="00B01C3F" w:rsidRPr="005E7A81">
        <w:rPr>
          <w:rFonts w:ascii="Arial" w:eastAsia="Batang" w:hAnsi="Arial" w:cs="Times New Roman"/>
          <w:sz w:val="20"/>
          <w:szCs w:val="20"/>
          <w:lang w:eastAsia="ko-KR"/>
        </w:rPr>
        <w:t>4</w:t>
      </w:r>
      <w:r w:rsidRPr="005E7A81">
        <w:rPr>
          <w:rFonts w:ascii="Arial" w:eastAsia="Batang" w:hAnsi="Arial" w:cs="Times New Roman"/>
          <w:sz w:val="20"/>
          <w:szCs w:val="20"/>
          <w:lang w:eastAsia="ko-KR"/>
        </w:rPr>
        <w:t>: £4</w:t>
      </w:r>
      <w:r w:rsidR="00B01C3F" w:rsidRPr="005E7A81">
        <w:rPr>
          <w:rFonts w:ascii="Arial" w:eastAsia="Batang" w:hAnsi="Arial" w:cs="Times New Roman"/>
          <w:sz w:val="20"/>
          <w:szCs w:val="20"/>
          <w:lang w:eastAsia="ko-KR"/>
        </w:rPr>
        <w:t>4.1</w:t>
      </w:r>
      <w:r w:rsidRPr="005E7A81">
        <w:rPr>
          <w:rFonts w:ascii="Arial" w:eastAsia="Batang" w:hAnsi="Arial" w:cs="Times New Roman"/>
          <w:sz w:val="20"/>
          <w:szCs w:val="20"/>
          <w:lang w:eastAsia="ko-KR"/>
        </w:rPr>
        <w:t>m</w:t>
      </w:r>
      <w:r w:rsidRPr="00A44138">
        <w:rPr>
          <w:rFonts w:ascii="Arial" w:eastAsia="Batang" w:hAnsi="Arial" w:cs="Times New Roman"/>
          <w:sz w:val="20"/>
          <w:szCs w:val="20"/>
          <w:lang w:eastAsia="ko-KR"/>
        </w:rPr>
        <w:t xml:space="preserve">). When reviewing performance, the Board reviews several adjusted measures, including </w:t>
      </w:r>
      <w:r w:rsidR="00335735">
        <w:rPr>
          <w:rFonts w:ascii="Arial" w:eastAsia="Batang" w:hAnsi="Arial" w:cs="Times New Roman"/>
          <w:sz w:val="20"/>
          <w:szCs w:val="20"/>
          <w:lang w:eastAsia="ko-KR"/>
        </w:rPr>
        <w:t>A</w:t>
      </w:r>
      <w:r w:rsidR="00F767A1">
        <w:rPr>
          <w:rFonts w:ascii="Arial" w:eastAsia="Batang" w:hAnsi="Arial" w:cs="Times New Roman"/>
          <w:sz w:val="20"/>
          <w:szCs w:val="20"/>
          <w:lang w:eastAsia="ko-KR"/>
        </w:rPr>
        <w:t xml:space="preserve">djusted </w:t>
      </w:r>
      <w:r w:rsidRPr="00A44138">
        <w:rPr>
          <w:rFonts w:ascii="Arial" w:eastAsia="Batang" w:hAnsi="Arial" w:cs="Times New Roman"/>
          <w:sz w:val="20"/>
          <w:szCs w:val="20"/>
          <w:lang w:eastAsia="ko-KR"/>
        </w:rPr>
        <w:t xml:space="preserve">EBITDA which increased </w:t>
      </w:r>
      <w:r w:rsidR="00AF5CB3" w:rsidRPr="00F12FC3">
        <w:rPr>
          <w:rFonts w:ascii="Arial" w:eastAsia="Batang" w:hAnsi="Arial" w:cs="Times New Roman"/>
          <w:sz w:val="20"/>
          <w:szCs w:val="20"/>
          <w:lang w:eastAsia="ko-KR"/>
        </w:rPr>
        <w:t>2</w:t>
      </w:r>
      <w:r w:rsidRPr="00F12FC3">
        <w:rPr>
          <w:rFonts w:ascii="Arial" w:eastAsia="Batang" w:hAnsi="Arial" w:cs="Times New Roman"/>
          <w:sz w:val="20"/>
          <w:szCs w:val="20"/>
          <w:lang w:eastAsia="ko-KR"/>
        </w:rPr>
        <w:t xml:space="preserve">% </w:t>
      </w:r>
      <w:r w:rsidRPr="00A44138">
        <w:rPr>
          <w:rFonts w:ascii="Arial" w:eastAsia="Batang" w:hAnsi="Arial" w:cs="Times New Roman"/>
          <w:sz w:val="20"/>
          <w:szCs w:val="20"/>
          <w:lang w:eastAsia="ko-KR"/>
        </w:rPr>
        <w:t xml:space="preserve">to </w:t>
      </w:r>
      <w:r w:rsidRPr="00F12FC3">
        <w:rPr>
          <w:rFonts w:ascii="Arial" w:eastAsia="Batang" w:hAnsi="Arial" w:cs="Times New Roman"/>
          <w:sz w:val="20"/>
          <w:szCs w:val="20"/>
          <w:lang w:eastAsia="ko-KR"/>
        </w:rPr>
        <w:t>£</w:t>
      </w:r>
      <w:r w:rsidR="00AF5CB3" w:rsidRPr="00F12FC3">
        <w:rPr>
          <w:rFonts w:ascii="Arial" w:eastAsia="Batang" w:hAnsi="Arial" w:cs="Times New Roman"/>
          <w:sz w:val="20"/>
          <w:szCs w:val="20"/>
          <w:lang w:eastAsia="ko-KR"/>
        </w:rPr>
        <w:t>75.</w:t>
      </w:r>
      <w:r w:rsidR="0093208C">
        <w:rPr>
          <w:rFonts w:ascii="Arial" w:eastAsia="Batang" w:hAnsi="Arial" w:cs="Times New Roman"/>
          <w:sz w:val="20"/>
          <w:szCs w:val="20"/>
          <w:lang w:eastAsia="ko-KR"/>
        </w:rPr>
        <w:t>1m (</w:t>
      </w:r>
      <w:r w:rsidRPr="00F12FC3">
        <w:rPr>
          <w:rFonts w:ascii="Arial" w:eastAsia="Batang" w:hAnsi="Arial" w:cs="Times New Roman"/>
          <w:sz w:val="20"/>
          <w:szCs w:val="20"/>
          <w:lang w:eastAsia="ko-KR"/>
        </w:rPr>
        <w:t>202</w:t>
      </w:r>
      <w:r w:rsidR="00B01C3F" w:rsidRPr="00F12FC3">
        <w:rPr>
          <w:rFonts w:ascii="Arial" w:eastAsia="Batang" w:hAnsi="Arial" w:cs="Times New Roman"/>
          <w:sz w:val="20"/>
          <w:szCs w:val="20"/>
          <w:lang w:eastAsia="ko-KR"/>
        </w:rPr>
        <w:t>4</w:t>
      </w:r>
      <w:r w:rsidRPr="00F12FC3">
        <w:rPr>
          <w:rFonts w:ascii="Arial" w:eastAsia="Batang" w:hAnsi="Arial" w:cs="Times New Roman"/>
          <w:sz w:val="20"/>
          <w:szCs w:val="20"/>
          <w:lang w:eastAsia="ko-KR"/>
        </w:rPr>
        <w:t>: £</w:t>
      </w:r>
      <w:r w:rsidR="00B01C3F" w:rsidRPr="00F12FC3">
        <w:rPr>
          <w:rFonts w:ascii="Arial" w:eastAsia="Batang" w:hAnsi="Arial" w:cs="Times New Roman"/>
          <w:sz w:val="20"/>
          <w:szCs w:val="20"/>
          <w:lang w:eastAsia="ko-KR"/>
        </w:rPr>
        <w:t>7</w:t>
      </w:r>
      <w:r w:rsidR="00F767A1" w:rsidRPr="00F12FC3">
        <w:rPr>
          <w:rFonts w:ascii="Arial" w:eastAsia="Batang" w:hAnsi="Arial" w:cs="Times New Roman"/>
          <w:sz w:val="20"/>
          <w:szCs w:val="20"/>
          <w:lang w:eastAsia="ko-KR"/>
        </w:rPr>
        <w:t>4</w:t>
      </w:r>
      <w:r w:rsidR="00B01C3F" w:rsidRPr="00F12FC3">
        <w:rPr>
          <w:rFonts w:ascii="Arial" w:eastAsia="Batang" w:hAnsi="Arial" w:cs="Times New Roman"/>
          <w:sz w:val="20"/>
          <w:szCs w:val="20"/>
          <w:lang w:eastAsia="ko-KR"/>
        </w:rPr>
        <w:t>.0</w:t>
      </w:r>
      <w:r w:rsidRPr="00F12FC3">
        <w:rPr>
          <w:rFonts w:ascii="Arial" w:eastAsia="Batang" w:hAnsi="Arial" w:cs="Times New Roman"/>
          <w:sz w:val="20"/>
          <w:szCs w:val="20"/>
          <w:lang w:eastAsia="ko-KR"/>
        </w:rPr>
        <w:t>m)</w:t>
      </w:r>
      <w:r w:rsidRPr="00F767A1">
        <w:rPr>
          <w:rFonts w:ascii="Arial" w:eastAsia="Batang" w:hAnsi="Arial" w:cs="Times New Roman"/>
          <w:sz w:val="20"/>
          <w:szCs w:val="20"/>
          <w:lang w:eastAsia="ko-KR"/>
        </w:rPr>
        <w:t xml:space="preserve"> </w:t>
      </w:r>
      <w:r w:rsidRPr="00A44138">
        <w:rPr>
          <w:rFonts w:ascii="Arial" w:eastAsia="Batang" w:hAnsi="Arial" w:cs="Times New Roman"/>
          <w:sz w:val="20"/>
          <w:szCs w:val="20"/>
          <w:lang w:eastAsia="ko-KR"/>
        </w:rPr>
        <w:t xml:space="preserve">and </w:t>
      </w:r>
      <w:r w:rsidR="00335735">
        <w:rPr>
          <w:rFonts w:ascii="Arial" w:eastAsia="Batang" w:hAnsi="Arial" w:cs="Times New Roman"/>
          <w:sz w:val="20"/>
          <w:szCs w:val="20"/>
          <w:lang w:eastAsia="ko-KR"/>
        </w:rPr>
        <w:t>A</w:t>
      </w:r>
      <w:r w:rsidRPr="00A44138">
        <w:rPr>
          <w:rFonts w:ascii="Arial" w:eastAsia="Batang" w:hAnsi="Arial" w:cs="Times New Roman"/>
          <w:sz w:val="20"/>
          <w:szCs w:val="20"/>
          <w:lang w:eastAsia="ko-KR"/>
        </w:rPr>
        <w:t>djusted</w:t>
      </w:r>
      <w:r w:rsidR="008A0831">
        <w:rPr>
          <w:rFonts w:ascii="Arial" w:eastAsia="Batang" w:hAnsi="Arial" w:cs="Times New Roman"/>
          <w:sz w:val="20"/>
          <w:szCs w:val="20"/>
          <w:lang w:eastAsia="ko-KR"/>
        </w:rPr>
        <w:t xml:space="preserve"> </w:t>
      </w:r>
      <w:r w:rsidR="00335735">
        <w:rPr>
          <w:rFonts w:ascii="Arial" w:eastAsia="Batang" w:hAnsi="Arial" w:cs="Times New Roman"/>
          <w:sz w:val="20"/>
          <w:szCs w:val="20"/>
          <w:lang w:eastAsia="ko-KR"/>
        </w:rPr>
        <w:t>B</w:t>
      </w:r>
      <w:r w:rsidR="008A0831">
        <w:rPr>
          <w:rFonts w:ascii="Arial" w:eastAsia="Batang" w:hAnsi="Arial" w:cs="Times New Roman"/>
          <w:sz w:val="20"/>
          <w:szCs w:val="20"/>
          <w:lang w:eastAsia="ko-KR"/>
        </w:rPr>
        <w:t>asic</w:t>
      </w:r>
      <w:r w:rsidRPr="00A44138">
        <w:rPr>
          <w:rFonts w:ascii="Arial" w:eastAsia="Batang" w:hAnsi="Arial" w:cs="Times New Roman"/>
          <w:sz w:val="20"/>
          <w:szCs w:val="20"/>
          <w:lang w:eastAsia="ko-KR"/>
        </w:rPr>
        <w:t xml:space="preserve"> EPS which increased </w:t>
      </w:r>
      <w:r w:rsidR="00062C0A">
        <w:rPr>
          <w:rFonts w:ascii="Arial" w:eastAsia="Batang" w:hAnsi="Arial" w:cs="Times New Roman"/>
          <w:sz w:val="20"/>
          <w:szCs w:val="20"/>
          <w:lang w:eastAsia="ko-KR"/>
        </w:rPr>
        <w:t>4</w:t>
      </w:r>
      <w:r w:rsidRPr="00693E39">
        <w:rPr>
          <w:rFonts w:ascii="Arial" w:eastAsia="Batang" w:hAnsi="Arial" w:cs="Times New Roman"/>
          <w:sz w:val="20"/>
          <w:szCs w:val="20"/>
          <w:lang w:eastAsia="ko-KR"/>
        </w:rPr>
        <w:t>%</w:t>
      </w:r>
      <w:r w:rsidRPr="00A44138">
        <w:rPr>
          <w:rFonts w:ascii="Arial" w:eastAsia="Batang" w:hAnsi="Arial" w:cs="Times New Roman"/>
          <w:sz w:val="20"/>
          <w:szCs w:val="20"/>
          <w:lang w:eastAsia="ko-KR"/>
        </w:rPr>
        <w:t xml:space="preserve"> to </w:t>
      </w:r>
      <w:r w:rsidR="00040014" w:rsidRPr="00DA53C4">
        <w:rPr>
          <w:rFonts w:ascii="Arial" w:eastAsia="Batang" w:hAnsi="Arial" w:cs="Times New Roman"/>
          <w:sz w:val="20"/>
          <w:szCs w:val="20"/>
          <w:lang w:eastAsia="ko-KR"/>
        </w:rPr>
        <w:t>9.3</w:t>
      </w:r>
      <w:r w:rsidRPr="00A44138">
        <w:rPr>
          <w:rFonts w:ascii="Arial" w:eastAsia="Batang" w:hAnsi="Arial" w:cs="Times New Roman"/>
          <w:sz w:val="20"/>
          <w:szCs w:val="20"/>
          <w:lang w:eastAsia="ko-KR"/>
        </w:rPr>
        <w:t>p (</w:t>
      </w:r>
      <w:r w:rsidRPr="00F12FC3">
        <w:rPr>
          <w:rFonts w:ascii="Arial" w:eastAsia="Batang" w:hAnsi="Arial" w:cs="Times New Roman"/>
          <w:sz w:val="20"/>
          <w:szCs w:val="20"/>
          <w:lang w:eastAsia="ko-KR"/>
        </w:rPr>
        <w:t>202</w:t>
      </w:r>
      <w:r w:rsidR="00B01C3F" w:rsidRPr="00F12FC3">
        <w:rPr>
          <w:rFonts w:ascii="Arial" w:eastAsia="Batang" w:hAnsi="Arial" w:cs="Times New Roman"/>
          <w:sz w:val="20"/>
          <w:szCs w:val="20"/>
          <w:lang w:eastAsia="ko-KR"/>
        </w:rPr>
        <w:t>4</w:t>
      </w:r>
      <w:r w:rsidRPr="00F12FC3">
        <w:rPr>
          <w:rFonts w:ascii="Arial" w:eastAsia="Batang" w:hAnsi="Arial" w:cs="Times New Roman"/>
          <w:sz w:val="20"/>
          <w:szCs w:val="20"/>
          <w:lang w:eastAsia="ko-KR"/>
        </w:rPr>
        <w:t xml:space="preserve">: </w:t>
      </w:r>
      <w:r w:rsidR="000A1AE0">
        <w:rPr>
          <w:rFonts w:ascii="Arial" w:eastAsia="Batang" w:hAnsi="Arial" w:cs="Times New Roman"/>
          <w:sz w:val="20"/>
          <w:szCs w:val="20"/>
          <w:lang w:eastAsia="ko-KR"/>
        </w:rPr>
        <w:t>8.9</w:t>
      </w:r>
      <w:r w:rsidR="00997357" w:rsidRPr="00F12FC3">
        <w:rPr>
          <w:rFonts w:ascii="Arial" w:eastAsia="Batang" w:hAnsi="Arial" w:cs="Times New Roman"/>
          <w:sz w:val="20"/>
          <w:szCs w:val="20"/>
          <w:lang w:eastAsia="ko-KR"/>
        </w:rPr>
        <w:t>p</w:t>
      </w:r>
      <w:r w:rsidRPr="00A44138">
        <w:rPr>
          <w:rFonts w:ascii="Arial" w:eastAsia="Batang" w:hAnsi="Arial" w:cs="Times New Roman"/>
          <w:sz w:val="20"/>
          <w:szCs w:val="20"/>
          <w:lang w:eastAsia="ko-KR"/>
        </w:rPr>
        <w:t>), as shown in the table below.</w:t>
      </w:r>
    </w:p>
    <w:p w14:paraId="19F700B1" w14:textId="77777777" w:rsidR="002458EE" w:rsidRDefault="002458EE"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sz w:val="20"/>
          <w:szCs w:val="20"/>
          <w:lang w:eastAsia="ko-KR"/>
        </w:rPr>
      </w:pPr>
    </w:p>
    <w:p w14:paraId="0D15380A" w14:textId="31118468" w:rsidR="002458EE" w:rsidRPr="005E7A81" w:rsidRDefault="002458EE" w:rsidP="005C13FE">
      <w:pPr>
        <w:spacing w:line="240" w:lineRule="auto"/>
        <w:jc w:val="both"/>
        <w:rPr>
          <w:rFonts w:ascii="Arial" w:hAnsi="Arial" w:cs="Arial"/>
          <w:sz w:val="20"/>
          <w:szCs w:val="20"/>
        </w:rPr>
      </w:pPr>
      <w:r w:rsidRPr="005E7A81">
        <w:rPr>
          <w:rFonts w:ascii="Arial" w:hAnsi="Arial" w:cs="Arial"/>
          <w:sz w:val="20"/>
          <w:szCs w:val="20"/>
        </w:rPr>
        <w:t>Adjusting items include a provision made for VAT and related costs of £</w:t>
      </w:r>
      <w:r w:rsidR="00A70D51" w:rsidRPr="00F12FC3">
        <w:rPr>
          <w:rFonts w:ascii="Arial" w:hAnsi="Arial" w:cs="Arial"/>
          <w:sz w:val="20"/>
          <w:szCs w:val="20"/>
        </w:rPr>
        <w:t>2.2</w:t>
      </w:r>
      <w:r w:rsidRPr="00F12FC3">
        <w:rPr>
          <w:rFonts w:ascii="Arial" w:hAnsi="Arial" w:cs="Arial"/>
          <w:sz w:val="20"/>
          <w:szCs w:val="20"/>
        </w:rPr>
        <w:t>m</w:t>
      </w:r>
      <w:r w:rsidRPr="005E7A81">
        <w:rPr>
          <w:rFonts w:ascii="Arial" w:hAnsi="Arial" w:cs="Arial"/>
          <w:sz w:val="20"/>
          <w:szCs w:val="20"/>
        </w:rPr>
        <w:t xml:space="preserve"> (explained on page </w:t>
      </w:r>
      <w:r w:rsidR="00204000" w:rsidRPr="005C13FE">
        <w:rPr>
          <w:rFonts w:ascii="Arial" w:hAnsi="Arial" w:cs="Arial"/>
          <w:sz w:val="20"/>
          <w:szCs w:val="20"/>
        </w:rPr>
        <w:t>11</w:t>
      </w:r>
      <w:r w:rsidRPr="005E7A81">
        <w:rPr>
          <w:rFonts w:ascii="Arial" w:hAnsi="Arial" w:cs="Arial"/>
          <w:sz w:val="20"/>
          <w:szCs w:val="20"/>
        </w:rPr>
        <w:t xml:space="preserve">). This is due to ongoing discussions with HMRC regarding the method we use to recover VAT, a Partial Exemption Special Method (PESM). For comparability and consistency, adjusting items for the </w:t>
      </w:r>
      <w:r w:rsidR="00123DB5" w:rsidRPr="005E7A81">
        <w:rPr>
          <w:rFonts w:ascii="Arial" w:hAnsi="Arial" w:cs="Arial"/>
          <w:sz w:val="20"/>
          <w:szCs w:val="20"/>
        </w:rPr>
        <w:t xml:space="preserve">six months </w:t>
      </w:r>
      <w:r w:rsidRPr="005E7A81">
        <w:rPr>
          <w:rFonts w:ascii="Arial" w:hAnsi="Arial" w:cs="Arial"/>
          <w:sz w:val="20"/>
          <w:szCs w:val="20"/>
        </w:rPr>
        <w:t xml:space="preserve">ended </w:t>
      </w:r>
      <w:r w:rsidR="00123DB5" w:rsidRPr="005E7A81">
        <w:rPr>
          <w:rFonts w:ascii="Arial" w:hAnsi="Arial" w:cs="Arial"/>
          <w:sz w:val="20"/>
          <w:szCs w:val="20"/>
        </w:rPr>
        <w:t>30 June 202</w:t>
      </w:r>
      <w:r w:rsidR="00A660CD" w:rsidRPr="005E7A81">
        <w:rPr>
          <w:rFonts w:ascii="Arial" w:hAnsi="Arial" w:cs="Arial"/>
          <w:sz w:val="20"/>
          <w:szCs w:val="20"/>
        </w:rPr>
        <w:t>4</w:t>
      </w:r>
      <w:r w:rsidRPr="005E7A81">
        <w:rPr>
          <w:rFonts w:ascii="Arial" w:hAnsi="Arial" w:cs="Arial"/>
          <w:sz w:val="20"/>
          <w:szCs w:val="20"/>
        </w:rPr>
        <w:t xml:space="preserve"> have been updated to include £</w:t>
      </w:r>
      <w:r w:rsidRPr="00F12FC3">
        <w:rPr>
          <w:rFonts w:ascii="Arial" w:hAnsi="Arial" w:cs="Arial"/>
          <w:sz w:val="20"/>
          <w:szCs w:val="20"/>
        </w:rPr>
        <w:t>1</w:t>
      </w:r>
      <w:r w:rsidR="00863AA2">
        <w:rPr>
          <w:rFonts w:ascii="Arial" w:hAnsi="Arial" w:cs="Arial"/>
          <w:sz w:val="20"/>
          <w:szCs w:val="20"/>
        </w:rPr>
        <w:t>.0</w:t>
      </w:r>
      <w:r w:rsidRPr="00F12FC3">
        <w:rPr>
          <w:rFonts w:ascii="Arial" w:hAnsi="Arial" w:cs="Arial"/>
          <w:sz w:val="20"/>
          <w:szCs w:val="20"/>
        </w:rPr>
        <w:t>m</w:t>
      </w:r>
      <w:r w:rsidRPr="005E7A81">
        <w:rPr>
          <w:rFonts w:ascii="Arial" w:hAnsi="Arial" w:cs="Arial"/>
          <w:sz w:val="20"/>
          <w:szCs w:val="20"/>
        </w:rPr>
        <w:t xml:space="preserve"> of provision that w</w:t>
      </w:r>
      <w:r w:rsidR="00644829">
        <w:rPr>
          <w:rFonts w:ascii="Arial" w:hAnsi="Arial" w:cs="Arial"/>
          <w:sz w:val="20"/>
          <w:szCs w:val="20"/>
        </w:rPr>
        <w:t>as</w:t>
      </w:r>
      <w:r w:rsidRPr="005E7A81">
        <w:rPr>
          <w:rFonts w:ascii="Arial" w:hAnsi="Arial" w:cs="Arial"/>
          <w:sz w:val="20"/>
          <w:szCs w:val="20"/>
        </w:rPr>
        <w:t xml:space="preserve"> recognised within EBITDA but not presented as adjusting items </w:t>
      </w:r>
      <w:r w:rsidR="00B23E41">
        <w:rPr>
          <w:rFonts w:ascii="Arial" w:hAnsi="Arial" w:cs="Arial"/>
          <w:sz w:val="20"/>
          <w:szCs w:val="20"/>
        </w:rPr>
        <w:t>as it was</w:t>
      </w:r>
      <w:r w:rsidRPr="005E7A81">
        <w:rPr>
          <w:rFonts w:ascii="Arial" w:hAnsi="Arial" w:cs="Arial"/>
          <w:sz w:val="20"/>
          <w:szCs w:val="20"/>
        </w:rPr>
        <w:t xml:space="preserve"> not material. </w:t>
      </w:r>
    </w:p>
    <w:p w14:paraId="0AAF7A60" w14:textId="7A3C0B0B" w:rsidR="002458EE" w:rsidRPr="00A44138" w:rsidRDefault="002458EE" w:rsidP="002458EE">
      <w:pPr>
        <w:jc w:val="both"/>
        <w:rPr>
          <w:rFonts w:ascii="Arial" w:eastAsia="Batang" w:hAnsi="Arial" w:cs="Times New Roman"/>
          <w:b/>
          <w:bCs/>
          <w:sz w:val="20"/>
          <w:szCs w:val="20"/>
          <w:lang w:eastAsia="ko-KR"/>
        </w:rPr>
      </w:pPr>
      <w:r w:rsidRPr="005E7A81">
        <w:rPr>
          <w:rFonts w:ascii="Arial" w:hAnsi="Arial" w:cs="Arial"/>
          <w:sz w:val="20"/>
          <w:szCs w:val="20"/>
        </w:rPr>
        <w:t>Last year’s Adjusted Basic EPS has also been updated accordingly. More information on the nature of these costs is included in the Adjusting items section below.</w:t>
      </w:r>
    </w:p>
    <w:p w14:paraId="0D60C078"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b/>
          <w:color w:val="FF0000"/>
          <w:sz w:val="20"/>
          <w:szCs w:val="20"/>
          <w:lang w:eastAsia="ko-KR"/>
        </w:rPr>
      </w:pPr>
    </w:p>
    <w:p w14:paraId="53C47BF5" w14:textId="77777777" w:rsidR="00294FD1" w:rsidRPr="00A44138" w:rsidRDefault="00294FD1" w:rsidP="00294FD1">
      <w:pPr>
        <w:rPr>
          <w:rFonts w:ascii="Arial" w:eastAsia="Batang" w:hAnsi="Arial" w:cs="Times New Roman"/>
          <w:b/>
          <w:sz w:val="20"/>
          <w:szCs w:val="20"/>
          <w:lang w:eastAsia="ko-KR"/>
        </w:rPr>
      </w:pPr>
      <w:r w:rsidRPr="00A44138">
        <w:rPr>
          <w:rFonts w:ascii="Arial" w:eastAsia="Batang" w:hAnsi="Arial" w:cs="Times New Roman"/>
          <w:b/>
          <w:sz w:val="20"/>
          <w:szCs w:val="20"/>
          <w:lang w:eastAsia="ko-KR"/>
        </w:rPr>
        <w:t>Extract from the Consolidated Statement of Comprehensive Income</w:t>
      </w:r>
    </w:p>
    <w:p w14:paraId="33D440F8" w14:textId="189E8BE0" w:rsidR="00294FD1" w:rsidRPr="005E7A8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b/>
          <w:sz w:val="20"/>
        </w:rPr>
      </w:pPr>
      <w:r w:rsidRPr="005E7A81">
        <w:rPr>
          <w:rFonts w:ascii="Arial" w:eastAsia="Batang" w:hAnsi="Arial" w:cs="Times New Roman"/>
          <w:i/>
          <w:sz w:val="20"/>
          <w:szCs w:val="20"/>
          <w:lang w:eastAsia="ko-KR"/>
        </w:rPr>
        <w:t>for the six months ended 30 June</w:t>
      </w:r>
      <w:r w:rsidR="00190ADD" w:rsidRPr="005E7A81">
        <w:rPr>
          <w:rFonts w:ascii="Arial" w:eastAsia="Batang" w:hAnsi="Arial" w:cs="Times New Roman"/>
          <w:i/>
          <w:sz w:val="20"/>
          <w:szCs w:val="20"/>
          <w:lang w:eastAsia="ko-KR"/>
        </w:rPr>
        <w:t xml:space="preserve"> 202</w:t>
      </w:r>
      <w:r w:rsidR="00B01C3F" w:rsidRPr="005E7A81">
        <w:rPr>
          <w:rFonts w:ascii="Arial" w:eastAsia="Batang" w:hAnsi="Arial" w:cs="Times New Roman"/>
          <w:i/>
          <w:sz w:val="20"/>
          <w:szCs w:val="20"/>
          <w:lang w:eastAsia="ko-KR"/>
        </w:rPr>
        <w:t>5</w:t>
      </w:r>
      <w:r w:rsidR="00190ADD" w:rsidRPr="005E7A81">
        <w:rPr>
          <w:rFonts w:ascii="Arial" w:eastAsia="Batang" w:hAnsi="Arial" w:cs="Times New Roman"/>
          <w:i/>
          <w:sz w:val="20"/>
          <w:szCs w:val="20"/>
          <w:lang w:eastAsia="ko-KR"/>
        </w:rPr>
        <w:t xml:space="preserve"> and </w:t>
      </w:r>
      <w:r w:rsidR="00190ADD" w:rsidRPr="005E7A81">
        <w:rPr>
          <w:rFonts w:ascii="Arial" w:eastAsia="Batang" w:hAnsi="Arial" w:cs="Arial"/>
          <w:i/>
          <w:sz w:val="20"/>
          <w:szCs w:val="20"/>
        </w:rPr>
        <w:t>30 June 202</w:t>
      </w:r>
      <w:r w:rsidR="00B01C3F" w:rsidRPr="005E7A81">
        <w:rPr>
          <w:rFonts w:ascii="Arial" w:eastAsia="Batang" w:hAnsi="Arial" w:cs="Arial"/>
          <w:i/>
          <w:sz w:val="20"/>
          <w:szCs w:val="20"/>
        </w:rPr>
        <w:t>4</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14"/>
        <w:gridCol w:w="257"/>
        <w:gridCol w:w="1394"/>
        <w:gridCol w:w="1277"/>
        <w:gridCol w:w="1061"/>
      </w:tblGrid>
      <w:tr w:rsidR="00294FD1" w:rsidRPr="00A44138" w14:paraId="328B9B92" w14:textId="77777777" w:rsidTr="006B4517">
        <w:tc>
          <w:tcPr>
            <w:tcW w:w="2785" w:type="pct"/>
            <w:tcBorders>
              <w:top w:val="nil"/>
              <w:left w:val="nil"/>
              <w:bottom w:val="nil"/>
              <w:right w:val="nil"/>
            </w:tcBorders>
            <w:vAlign w:val="bottom"/>
          </w:tcPr>
          <w:p w14:paraId="70CD3133"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i/>
                <w:color w:val="FF0000"/>
                <w:sz w:val="20"/>
                <w:szCs w:val="20"/>
                <w:lang w:eastAsia="ko-KR"/>
              </w:rPr>
            </w:pPr>
          </w:p>
        </w:tc>
        <w:tc>
          <w:tcPr>
            <w:tcW w:w="917" w:type="pct"/>
            <w:gridSpan w:val="2"/>
            <w:tcBorders>
              <w:top w:val="nil"/>
              <w:left w:val="nil"/>
              <w:bottom w:val="nil"/>
              <w:right w:val="nil"/>
            </w:tcBorders>
          </w:tcPr>
          <w:p w14:paraId="0AE559D5" w14:textId="7394096F" w:rsidR="00294FD1" w:rsidRPr="005E7A81" w:rsidRDefault="00294FD1" w:rsidP="00294FD1">
            <w:pPr>
              <w:pStyle w:val="TableColumnHeadingIMS"/>
              <w:spacing w:line="276" w:lineRule="auto"/>
              <w:jc w:val="right"/>
              <w:rPr>
                <w:rFonts w:ascii="Arial" w:hAnsi="Arial" w:cs="Arial"/>
                <w:bCs/>
                <w:sz w:val="20"/>
              </w:rPr>
            </w:pPr>
            <w:r w:rsidRPr="005E7A81">
              <w:rPr>
                <w:rFonts w:ascii="Arial" w:hAnsi="Arial" w:cs="Arial"/>
                <w:bCs/>
                <w:sz w:val="20"/>
              </w:rPr>
              <w:t>202</w:t>
            </w:r>
            <w:r w:rsidR="00B01C3F" w:rsidRPr="005E7A81">
              <w:rPr>
                <w:rFonts w:ascii="Arial" w:hAnsi="Arial" w:cs="Arial"/>
                <w:bCs/>
                <w:sz w:val="20"/>
              </w:rPr>
              <w:t>5</w:t>
            </w:r>
          </w:p>
        </w:tc>
        <w:tc>
          <w:tcPr>
            <w:tcW w:w="709" w:type="pct"/>
            <w:tcBorders>
              <w:top w:val="nil"/>
              <w:left w:val="nil"/>
              <w:bottom w:val="nil"/>
              <w:right w:val="nil"/>
            </w:tcBorders>
          </w:tcPr>
          <w:p w14:paraId="6FB5D253" w14:textId="6FE0CFC8" w:rsidR="00294FD1" w:rsidRPr="005E7A81" w:rsidRDefault="00294FD1" w:rsidP="00294FD1">
            <w:pPr>
              <w:pStyle w:val="TableColumnHeadingIMS"/>
              <w:spacing w:line="276" w:lineRule="auto"/>
              <w:jc w:val="right"/>
              <w:rPr>
                <w:rFonts w:ascii="Arial" w:hAnsi="Arial" w:cs="Arial"/>
                <w:bCs/>
                <w:sz w:val="20"/>
              </w:rPr>
            </w:pPr>
            <w:r w:rsidRPr="005E7A81">
              <w:rPr>
                <w:rFonts w:ascii="Arial" w:hAnsi="Arial" w:cs="Arial"/>
                <w:bCs/>
                <w:sz w:val="20"/>
              </w:rPr>
              <w:t>202</w:t>
            </w:r>
            <w:r w:rsidR="00B01C3F" w:rsidRPr="005E7A81">
              <w:rPr>
                <w:rFonts w:ascii="Arial" w:hAnsi="Arial" w:cs="Arial"/>
                <w:bCs/>
                <w:sz w:val="20"/>
              </w:rPr>
              <w:t>4</w:t>
            </w:r>
          </w:p>
        </w:tc>
        <w:tc>
          <w:tcPr>
            <w:tcW w:w="589" w:type="pct"/>
            <w:tcBorders>
              <w:top w:val="nil"/>
              <w:left w:val="nil"/>
              <w:bottom w:val="nil"/>
              <w:right w:val="nil"/>
            </w:tcBorders>
          </w:tcPr>
          <w:p w14:paraId="60B8F493" w14:textId="77777777" w:rsidR="00294FD1" w:rsidRPr="00C72877" w:rsidRDefault="00294FD1" w:rsidP="00294FD1">
            <w:pPr>
              <w:pStyle w:val="TableColumnHeadingIMS"/>
              <w:spacing w:line="276" w:lineRule="auto"/>
              <w:jc w:val="right"/>
              <w:rPr>
                <w:rFonts w:ascii="Arial" w:hAnsi="Arial" w:cs="Arial"/>
                <w:bCs/>
                <w:sz w:val="20"/>
              </w:rPr>
            </w:pPr>
            <w:r w:rsidRPr="00C72877">
              <w:rPr>
                <w:rFonts w:ascii="Arial" w:hAnsi="Arial" w:cs="Arial"/>
                <w:bCs/>
                <w:sz w:val="20"/>
              </w:rPr>
              <w:t>Growth</w:t>
            </w:r>
          </w:p>
        </w:tc>
      </w:tr>
      <w:tr w:rsidR="00294FD1" w:rsidRPr="00A44138" w14:paraId="338DB986" w14:textId="77777777" w:rsidTr="006B4517">
        <w:tc>
          <w:tcPr>
            <w:tcW w:w="2785" w:type="pct"/>
            <w:tcBorders>
              <w:top w:val="nil"/>
              <w:left w:val="nil"/>
              <w:bottom w:val="single" w:sz="4" w:space="0" w:color="auto"/>
              <w:right w:val="nil"/>
            </w:tcBorders>
            <w:vAlign w:val="bottom"/>
          </w:tcPr>
          <w:p w14:paraId="30DC06A8" w14:textId="77777777" w:rsidR="00294FD1" w:rsidRPr="00A44138" w:rsidRDefault="00294FD1" w:rsidP="00294FD1">
            <w:pPr>
              <w:pStyle w:val="TableStubIMS"/>
              <w:spacing w:line="276" w:lineRule="auto"/>
              <w:ind w:left="173" w:hanging="173"/>
              <w:jc w:val="right"/>
              <w:rPr>
                <w:rFonts w:ascii="Arial" w:hAnsi="Arial"/>
                <w:b/>
                <w:lang w:val="en-GB"/>
              </w:rPr>
            </w:pPr>
          </w:p>
        </w:tc>
        <w:tc>
          <w:tcPr>
            <w:tcW w:w="917" w:type="pct"/>
            <w:gridSpan w:val="2"/>
            <w:tcBorders>
              <w:top w:val="nil"/>
              <w:left w:val="nil"/>
              <w:bottom w:val="single" w:sz="4" w:space="0" w:color="auto"/>
              <w:right w:val="nil"/>
            </w:tcBorders>
          </w:tcPr>
          <w:p w14:paraId="03F833FA" w14:textId="77777777" w:rsidR="00294FD1" w:rsidRPr="00A44138" w:rsidRDefault="00294FD1" w:rsidP="00294FD1">
            <w:pPr>
              <w:pStyle w:val="TableColumnIMS"/>
              <w:spacing w:line="276" w:lineRule="auto"/>
              <w:rPr>
                <w:rFonts w:ascii="Arial" w:hAnsi="Arial" w:cs="Arial"/>
                <w:b/>
                <w:bCs/>
              </w:rPr>
            </w:pPr>
            <w:r w:rsidRPr="00A44138">
              <w:rPr>
                <w:rFonts w:ascii="Arial" w:hAnsi="Arial" w:cs="Arial"/>
                <w:b/>
                <w:bCs/>
              </w:rPr>
              <w:t>£m</w:t>
            </w:r>
          </w:p>
        </w:tc>
        <w:tc>
          <w:tcPr>
            <w:tcW w:w="709" w:type="pct"/>
            <w:tcBorders>
              <w:top w:val="nil"/>
              <w:left w:val="nil"/>
              <w:bottom w:val="single" w:sz="4" w:space="0" w:color="auto"/>
              <w:right w:val="nil"/>
            </w:tcBorders>
          </w:tcPr>
          <w:p w14:paraId="57658204" w14:textId="11A3A734" w:rsidR="00294FD1" w:rsidRPr="005E7A81" w:rsidRDefault="00294FD1" w:rsidP="00294FD1">
            <w:pPr>
              <w:pStyle w:val="TableColumnIMS"/>
              <w:spacing w:line="276" w:lineRule="auto"/>
              <w:rPr>
                <w:rFonts w:ascii="Arial" w:hAnsi="Arial" w:cs="Arial"/>
                <w:b/>
                <w:bCs/>
              </w:rPr>
            </w:pPr>
            <w:r w:rsidRPr="005E7A81">
              <w:rPr>
                <w:rFonts w:ascii="Arial" w:hAnsi="Arial" w:cs="Arial"/>
                <w:b/>
                <w:bCs/>
              </w:rPr>
              <w:t>£m</w:t>
            </w:r>
          </w:p>
        </w:tc>
        <w:tc>
          <w:tcPr>
            <w:tcW w:w="589" w:type="pct"/>
            <w:tcBorders>
              <w:top w:val="nil"/>
              <w:left w:val="nil"/>
              <w:bottom w:val="single" w:sz="4" w:space="0" w:color="auto"/>
              <w:right w:val="nil"/>
            </w:tcBorders>
          </w:tcPr>
          <w:p w14:paraId="54D2BC46" w14:textId="31A25BD7" w:rsidR="00294FD1" w:rsidRPr="00A44138" w:rsidRDefault="004A2811" w:rsidP="00294FD1">
            <w:pPr>
              <w:pStyle w:val="TableColumnHeadingIMS"/>
              <w:spacing w:line="276" w:lineRule="auto"/>
              <w:jc w:val="right"/>
              <w:rPr>
                <w:rFonts w:ascii="Arial" w:hAnsi="Arial" w:cs="Arial"/>
                <w:bCs/>
                <w:sz w:val="20"/>
              </w:rPr>
            </w:pPr>
            <w:r>
              <w:rPr>
                <w:rFonts w:ascii="Arial" w:hAnsi="Arial" w:cs="Arial"/>
                <w:bCs/>
                <w:sz w:val="20"/>
              </w:rPr>
              <w:t>%</w:t>
            </w:r>
          </w:p>
        </w:tc>
      </w:tr>
      <w:tr w:rsidR="00B01C3F" w:rsidRPr="00B833C0" w14:paraId="17EF46F8" w14:textId="77777777" w:rsidTr="006B4517">
        <w:trPr>
          <w:trHeight w:val="234"/>
        </w:trPr>
        <w:tc>
          <w:tcPr>
            <w:tcW w:w="2785" w:type="pct"/>
            <w:tcBorders>
              <w:top w:val="single" w:sz="4" w:space="0" w:color="auto"/>
              <w:left w:val="nil"/>
              <w:bottom w:val="nil"/>
              <w:right w:val="nil"/>
            </w:tcBorders>
            <w:vAlign w:val="center"/>
            <w:hideMark/>
          </w:tcPr>
          <w:p w14:paraId="5F131954"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Revenue</w:t>
            </w:r>
          </w:p>
        </w:tc>
        <w:tc>
          <w:tcPr>
            <w:tcW w:w="917" w:type="pct"/>
            <w:gridSpan w:val="2"/>
            <w:tcBorders>
              <w:top w:val="single" w:sz="4" w:space="0" w:color="auto"/>
              <w:left w:val="nil"/>
              <w:bottom w:val="nil"/>
              <w:right w:val="nil"/>
            </w:tcBorders>
            <w:vAlign w:val="center"/>
          </w:tcPr>
          <w:p w14:paraId="7ABF8893" w14:textId="6ADEEF47" w:rsidR="00B01C3F" w:rsidRPr="006B4517" w:rsidRDefault="00794D00" w:rsidP="00B01C3F">
            <w:pPr>
              <w:pStyle w:val="TableColumnIMS"/>
              <w:spacing w:line="276" w:lineRule="auto"/>
              <w:rPr>
                <w:rFonts w:ascii="Arial" w:eastAsia="Batang" w:hAnsi="Arial"/>
                <w:b/>
                <w:color w:val="000000" w:themeColor="text1"/>
              </w:rPr>
            </w:pPr>
            <w:r w:rsidRPr="006B4517">
              <w:rPr>
                <w:rFonts w:ascii="Arial" w:eastAsia="Batang" w:hAnsi="Arial"/>
                <w:b/>
                <w:color w:val="000000" w:themeColor="text1"/>
              </w:rPr>
              <w:t>225.</w:t>
            </w:r>
            <w:r w:rsidR="00103F29">
              <w:rPr>
                <w:rFonts w:ascii="Arial" w:eastAsia="Batang" w:hAnsi="Arial"/>
                <w:b/>
                <w:color w:val="000000" w:themeColor="text1"/>
              </w:rPr>
              <w:t>3</w:t>
            </w:r>
          </w:p>
        </w:tc>
        <w:tc>
          <w:tcPr>
            <w:tcW w:w="709" w:type="pct"/>
            <w:tcBorders>
              <w:top w:val="single" w:sz="4" w:space="0" w:color="auto"/>
              <w:left w:val="nil"/>
              <w:bottom w:val="nil"/>
              <w:right w:val="nil"/>
            </w:tcBorders>
            <w:vAlign w:val="center"/>
          </w:tcPr>
          <w:p w14:paraId="7F7CDC97" w14:textId="5FD4E7EC"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223.5</w:t>
            </w:r>
          </w:p>
        </w:tc>
        <w:tc>
          <w:tcPr>
            <w:tcW w:w="589" w:type="pct"/>
            <w:tcBorders>
              <w:top w:val="single" w:sz="4" w:space="0" w:color="auto"/>
              <w:left w:val="nil"/>
              <w:bottom w:val="nil"/>
              <w:right w:val="nil"/>
            </w:tcBorders>
            <w:vAlign w:val="center"/>
          </w:tcPr>
          <w:p w14:paraId="676139B2" w14:textId="5652B9E8" w:rsidR="00B01C3F" w:rsidRPr="00011176" w:rsidRDefault="00794D00" w:rsidP="00B01C3F">
            <w:pPr>
              <w:pStyle w:val="TableColumnHeadingIMS"/>
              <w:spacing w:line="276" w:lineRule="auto"/>
              <w:jc w:val="right"/>
              <w:rPr>
                <w:rFonts w:ascii="Arial" w:hAnsi="Arial" w:cs="Arial"/>
                <w:b w:val="0"/>
                <w:color w:val="000000" w:themeColor="text1"/>
                <w:sz w:val="20"/>
                <w:lang w:val="en-GB"/>
              </w:rPr>
            </w:pPr>
            <w:r w:rsidRPr="00011176">
              <w:rPr>
                <w:rFonts w:ascii="Arial" w:hAnsi="Arial" w:cs="Arial"/>
                <w:b w:val="0"/>
                <w:color w:val="000000" w:themeColor="text1"/>
                <w:sz w:val="20"/>
                <w:lang w:val="en-GB"/>
              </w:rPr>
              <w:t>1</w:t>
            </w:r>
          </w:p>
        </w:tc>
      </w:tr>
      <w:tr w:rsidR="00B01C3F" w:rsidRPr="00A44138" w14:paraId="2D54C41E" w14:textId="77777777" w:rsidTr="006B4517">
        <w:tc>
          <w:tcPr>
            <w:tcW w:w="2785" w:type="pct"/>
            <w:tcBorders>
              <w:top w:val="nil"/>
              <w:left w:val="nil"/>
              <w:bottom w:val="single" w:sz="4" w:space="0" w:color="auto"/>
              <w:right w:val="nil"/>
            </w:tcBorders>
            <w:vAlign w:val="center"/>
          </w:tcPr>
          <w:p w14:paraId="518261BF"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Cost of sales</w:t>
            </w:r>
          </w:p>
        </w:tc>
        <w:tc>
          <w:tcPr>
            <w:tcW w:w="917" w:type="pct"/>
            <w:gridSpan w:val="2"/>
            <w:tcBorders>
              <w:top w:val="nil"/>
              <w:left w:val="nil"/>
              <w:bottom w:val="single" w:sz="4" w:space="0" w:color="auto"/>
              <w:right w:val="nil"/>
            </w:tcBorders>
            <w:vAlign w:val="center"/>
          </w:tcPr>
          <w:p w14:paraId="11ECCB6F" w14:textId="556E323E" w:rsidR="00B01C3F" w:rsidRPr="00523C9B" w:rsidRDefault="006B4FA8" w:rsidP="00B01C3F">
            <w:pPr>
              <w:pStyle w:val="TableColumnIMS"/>
              <w:spacing w:line="276" w:lineRule="auto"/>
              <w:rPr>
                <w:rFonts w:ascii="Arial" w:eastAsia="Batang" w:hAnsi="Arial"/>
                <w:b/>
                <w:color w:val="000000" w:themeColor="text1"/>
              </w:rPr>
            </w:pPr>
            <w:r w:rsidRPr="00523C9B">
              <w:rPr>
                <w:rFonts w:ascii="Arial" w:eastAsia="Batang" w:hAnsi="Arial"/>
                <w:b/>
                <w:color w:val="000000" w:themeColor="text1"/>
              </w:rPr>
              <w:t>(77.</w:t>
            </w:r>
            <w:r w:rsidR="00646AFE" w:rsidRPr="00DA53C4">
              <w:rPr>
                <w:rFonts w:ascii="Arial" w:eastAsia="Batang" w:hAnsi="Arial"/>
                <w:b/>
                <w:color w:val="000000" w:themeColor="text1"/>
              </w:rPr>
              <w:t>6</w:t>
            </w:r>
            <w:r w:rsidRPr="00523C9B">
              <w:rPr>
                <w:rFonts w:ascii="Arial" w:eastAsia="Batang" w:hAnsi="Arial"/>
                <w:b/>
                <w:color w:val="000000" w:themeColor="text1"/>
              </w:rPr>
              <w:t>)</w:t>
            </w:r>
          </w:p>
        </w:tc>
        <w:tc>
          <w:tcPr>
            <w:tcW w:w="709" w:type="pct"/>
            <w:tcBorders>
              <w:top w:val="nil"/>
              <w:left w:val="nil"/>
              <w:bottom w:val="single" w:sz="4" w:space="0" w:color="auto"/>
              <w:right w:val="nil"/>
            </w:tcBorders>
            <w:vAlign w:val="center"/>
          </w:tcPr>
          <w:p w14:paraId="2C6109F0" w14:textId="6D848508"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(71.3)</w:t>
            </w:r>
          </w:p>
        </w:tc>
        <w:tc>
          <w:tcPr>
            <w:tcW w:w="589" w:type="pct"/>
            <w:tcBorders>
              <w:top w:val="nil"/>
              <w:left w:val="nil"/>
              <w:bottom w:val="single" w:sz="4" w:space="0" w:color="auto"/>
              <w:right w:val="nil"/>
            </w:tcBorders>
            <w:vAlign w:val="center"/>
          </w:tcPr>
          <w:p w14:paraId="2A558179" w14:textId="7F8A60CB" w:rsidR="00B01C3F" w:rsidRPr="00011176" w:rsidRDefault="001F0886" w:rsidP="00B01C3F">
            <w:pPr>
              <w:pStyle w:val="TableColumnHeadingIMS"/>
              <w:spacing w:line="276" w:lineRule="auto"/>
              <w:jc w:val="right"/>
              <w:rPr>
                <w:rFonts w:ascii="Arial" w:hAnsi="Arial" w:cs="Arial"/>
                <w:b w:val="0"/>
                <w:color w:val="000000" w:themeColor="text1"/>
                <w:sz w:val="20"/>
                <w:lang w:val="en-GB"/>
              </w:rPr>
            </w:pPr>
            <w:r w:rsidRPr="00DA53C4">
              <w:rPr>
                <w:rFonts w:ascii="Arial" w:hAnsi="Arial" w:cs="Arial"/>
                <w:b w:val="0"/>
                <w:color w:val="000000" w:themeColor="text1"/>
                <w:sz w:val="20"/>
                <w:lang w:val="en-GB"/>
              </w:rPr>
              <w:t>9</w:t>
            </w:r>
          </w:p>
        </w:tc>
      </w:tr>
      <w:tr w:rsidR="00B01C3F" w:rsidRPr="00A44138" w14:paraId="3C8657B0" w14:textId="77777777" w:rsidTr="006B4517">
        <w:tc>
          <w:tcPr>
            <w:tcW w:w="2785" w:type="pct"/>
            <w:tcBorders>
              <w:top w:val="single" w:sz="4" w:space="0" w:color="auto"/>
              <w:left w:val="nil"/>
              <w:bottom w:val="nil"/>
              <w:right w:val="nil"/>
            </w:tcBorders>
            <w:vAlign w:val="center"/>
            <w:hideMark/>
          </w:tcPr>
          <w:p w14:paraId="27F47F7A"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Gross profit</w:t>
            </w:r>
          </w:p>
        </w:tc>
        <w:tc>
          <w:tcPr>
            <w:tcW w:w="917" w:type="pct"/>
            <w:gridSpan w:val="2"/>
            <w:tcBorders>
              <w:top w:val="single" w:sz="4" w:space="0" w:color="auto"/>
              <w:left w:val="nil"/>
              <w:bottom w:val="nil"/>
              <w:right w:val="nil"/>
            </w:tcBorders>
            <w:vAlign w:val="center"/>
          </w:tcPr>
          <w:p w14:paraId="69CB3738" w14:textId="76778844" w:rsidR="00B01C3F" w:rsidRPr="00523C9B" w:rsidRDefault="000C0CBB" w:rsidP="00B01C3F">
            <w:pPr>
              <w:pStyle w:val="TableColumnIMS"/>
              <w:spacing w:line="276" w:lineRule="auto"/>
              <w:rPr>
                <w:rFonts w:ascii="Arial" w:eastAsia="Batang" w:hAnsi="Arial"/>
                <w:b/>
                <w:color w:val="000000" w:themeColor="text1"/>
              </w:rPr>
            </w:pPr>
            <w:r w:rsidRPr="00523C9B">
              <w:rPr>
                <w:rFonts w:ascii="Arial" w:eastAsia="Batang" w:hAnsi="Arial"/>
                <w:b/>
                <w:color w:val="000000" w:themeColor="text1"/>
              </w:rPr>
              <w:t>14</w:t>
            </w:r>
            <w:r w:rsidR="003F11D1" w:rsidRPr="00DA53C4">
              <w:rPr>
                <w:rFonts w:ascii="Arial" w:eastAsia="Batang" w:hAnsi="Arial"/>
                <w:b/>
                <w:color w:val="000000" w:themeColor="text1"/>
              </w:rPr>
              <w:t>7</w:t>
            </w:r>
            <w:r w:rsidRPr="00523C9B">
              <w:rPr>
                <w:rFonts w:ascii="Arial" w:eastAsia="Batang" w:hAnsi="Arial"/>
                <w:b/>
                <w:color w:val="000000" w:themeColor="text1"/>
              </w:rPr>
              <w:t>.</w:t>
            </w:r>
            <w:r w:rsidR="003F11D1" w:rsidRPr="00DA53C4">
              <w:rPr>
                <w:rFonts w:ascii="Arial" w:eastAsia="Batang" w:hAnsi="Arial"/>
                <w:b/>
                <w:color w:val="000000" w:themeColor="text1"/>
              </w:rPr>
              <w:t>7</w:t>
            </w:r>
          </w:p>
        </w:tc>
        <w:tc>
          <w:tcPr>
            <w:tcW w:w="709" w:type="pct"/>
            <w:tcBorders>
              <w:top w:val="single" w:sz="4" w:space="0" w:color="auto"/>
              <w:left w:val="nil"/>
              <w:bottom w:val="nil"/>
              <w:right w:val="nil"/>
            </w:tcBorders>
            <w:vAlign w:val="center"/>
          </w:tcPr>
          <w:p w14:paraId="6D659F0F" w14:textId="179348BC"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152.2</w:t>
            </w:r>
          </w:p>
        </w:tc>
        <w:tc>
          <w:tcPr>
            <w:tcW w:w="589" w:type="pct"/>
            <w:tcBorders>
              <w:top w:val="single" w:sz="4" w:space="0" w:color="auto"/>
              <w:left w:val="nil"/>
              <w:bottom w:val="nil"/>
              <w:right w:val="nil"/>
            </w:tcBorders>
            <w:vAlign w:val="center"/>
          </w:tcPr>
          <w:p w14:paraId="3FEB2F67" w14:textId="2AC26FE2" w:rsidR="00B01C3F" w:rsidRPr="00011176" w:rsidRDefault="003C26A9" w:rsidP="00B01C3F">
            <w:pPr>
              <w:pStyle w:val="TableColumnHeadingIMS"/>
              <w:spacing w:line="276" w:lineRule="auto"/>
              <w:jc w:val="right"/>
              <w:rPr>
                <w:rFonts w:ascii="Arial" w:hAnsi="Arial" w:cs="Arial"/>
                <w:b w:val="0"/>
                <w:color w:val="000000" w:themeColor="text1"/>
                <w:sz w:val="20"/>
                <w:lang w:val="en-GB"/>
              </w:rPr>
            </w:pPr>
            <w:r w:rsidRPr="00011176">
              <w:rPr>
                <w:rFonts w:ascii="Arial" w:hAnsi="Arial" w:cs="Arial"/>
                <w:b w:val="0"/>
                <w:color w:val="000000" w:themeColor="text1"/>
                <w:sz w:val="20"/>
                <w:lang w:val="en-GB"/>
              </w:rPr>
              <w:t>(3)</w:t>
            </w:r>
          </w:p>
        </w:tc>
      </w:tr>
      <w:tr w:rsidR="00B01C3F" w:rsidRPr="00A44138" w14:paraId="47FDE4D0" w14:textId="77777777" w:rsidTr="002458EE">
        <w:tc>
          <w:tcPr>
            <w:tcW w:w="2785" w:type="pct"/>
            <w:tcBorders>
              <w:top w:val="nil"/>
              <w:left w:val="nil"/>
              <w:bottom w:val="single" w:sz="4" w:space="0" w:color="auto"/>
              <w:right w:val="nil"/>
            </w:tcBorders>
            <w:vAlign w:val="center"/>
            <w:hideMark/>
          </w:tcPr>
          <w:p w14:paraId="08DEC98A"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 xml:space="preserve">Operating costs </w:t>
            </w:r>
          </w:p>
        </w:tc>
        <w:tc>
          <w:tcPr>
            <w:tcW w:w="917" w:type="pct"/>
            <w:gridSpan w:val="2"/>
            <w:tcBorders>
              <w:top w:val="nil"/>
              <w:left w:val="nil"/>
              <w:bottom w:val="single" w:sz="4" w:space="0" w:color="auto"/>
              <w:right w:val="nil"/>
            </w:tcBorders>
            <w:vAlign w:val="center"/>
          </w:tcPr>
          <w:p w14:paraId="65E67B5D" w14:textId="16380424" w:rsidR="00B01C3F" w:rsidRPr="00523C9B" w:rsidRDefault="004100EF" w:rsidP="00B01C3F">
            <w:pPr>
              <w:pStyle w:val="TableColumnIMS"/>
              <w:spacing w:line="276" w:lineRule="auto"/>
              <w:rPr>
                <w:rFonts w:ascii="Arial" w:eastAsia="Batang" w:hAnsi="Arial"/>
                <w:b/>
              </w:rPr>
            </w:pPr>
            <w:r w:rsidRPr="00523C9B">
              <w:rPr>
                <w:rFonts w:ascii="Arial" w:eastAsia="Batang" w:hAnsi="Arial"/>
                <w:b/>
              </w:rPr>
              <w:t>(</w:t>
            </w:r>
            <w:r w:rsidR="00EC3C95" w:rsidRPr="00523C9B">
              <w:rPr>
                <w:rFonts w:ascii="Arial" w:eastAsia="Batang" w:hAnsi="Arial"/>
                <w:b/>
              </w:rPr>
              <w:t>86.</w:t>
            </w:r>
            <w:r w:rsidR="003F11D1" w:rsidRPr="00DA53C4">
              <w:rPr>
                <w:rFonts w:ascii="Arial" w:eastAsia="Batang" w:hAnsi="Arial"/>
                <w:b/>
              </w:rPr>
              <w:t>5</w:t>
            </w:r>
            <w:r w:rsidRPr="00523C9B">
              <w:rPr>
                <w:rFonts w:ascii="Arial" w:eastAsia="Batang" w:hAnsi="Arial"/>
                <w:b/>
              </w:rPr>
              <w:t>)</w:t>
            </w:r>
          </w:p>
        </w:tc>
        <w:tc>
          <w:tcPr>
            <w:tcW w:w="709" w:type="pct"/>
            <w:tcBorders>
              <w:top w:val="nil"/>
              <w:left w:val="nil"/>
              <w:bottom w:val="single" w:sz="4" w:space="0" w:color="auto"/>
              <w:right w:val="nil"/>
            </w:tcBorders>
            <w:vAlign w:val="center"/>
          </w:tcPr>
          <w:p w14:paraId="3B7C3D5A" w14:textId="01AF5FAF"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(91.8)</w:t>
            </w:r>
          </w:p>
        </w:tc>
        <w:tc>
          <w:tcPr>
            <w:tcW w:w="589" w:type="pct"/>
            <w:tcBorders>
              <w:top w:val="nil"/>
              <w:left w:val="nil"/>
              <w:bottom w:val="single" w:sz="4" w:space="0" w:color="auto"/>
              <w:right w:val="nil"/>
            </w:tcBorders>
            <w:vAlign w:val="center"/>
          </w:tcPr>
          <w:p w14:paraId="5E10DD12" w14:textId="2B1C8CE1" w:rsidR="00B01C3F" w:rsidRPr="00011176" w:rsidRDefault="003330B2" w:rsidP="00B01C3F">
            <w:pPr>
              <w:pStyle w:val="TableColumnHeadingIMS"/>
              <w:spacing w:line="276" w:lineRule="auto"/>
              <w:jc w:val="right"/>
              <w:rPr>
                <w:rFonts w:ascii="Arial" w:hAnsi="Arial" w:cs="Arial"/>
                <w:b w:val="0"/>
                <w:sz w:val="20"/>
                <w:lang w:val="en-GB"/>
              </w:rPr>
            </w:pPr>
            <w:r w:rsidRPr="00011176">
              <w:rPr>
                <w:rFonts w:ascii="Arial" w:hAnsi="Arial" w:cs="Arial"/>
                <w:b w:val="0"/>
                <w:sz w:val="20"/>
                <w:lang w:val="en-GB"/>
              </w:rPr>
              <w:t>(6)</w:t>
            </w:r>
          </w:p>
        </w:tc>
      </w:tr>
      <w:tr w:rsidR="00B01C3F" w:rsidRPr="00A44138" w14:paraId="458BFC6C" w14:textId="77777777" w:rsidTr="002458EE">
        <w:tc>
          <w:tcPr>
            <w:tcW w:w="2785" w:type="pct"/>
            <w:tcBorders>
              <w:top w:val="single" w:sz="4" w:space="0" w:color="auto"/>
              <w:left w:val="nil"/>
              <w:bottom w:val="nil"/>
              <w:right w:val="nil"/>
            </w:tcBorders>
            <w:vAlign w:val="center"/>
            <w:hideMark/>
          </w:tcPr>
          <w:p w14:paraId="723FE144"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Operating profit</w:t>
            </w:r>
          </w:p>
        </w:tc>
        <w:tc>
          <w:tcPr>
            <w:tcW w:w="917" w:type="pct"/>
            <w:gridSpan w:val="2"/>
            <w:tcBorders>
              <w:top w:val="single" w:sz="4" w:space="0" w:color="auto"/>
              <w:left w:val="nil"/>
              <w:bottom w:val="nil"/>
              <w:right w:val="nil"/>
            </w:tcBorders>
            <w:vAlign w:val="center"/>
          </w:tcPr>
          <w:p w14:paraId="17B1E883" w14:textId="04CC479A" w:rsidR="00B01C3F" w:rsidRPr="00523C9B" w:rsidRDefault="003D299C" w:rsidP="00B01C3F">
            <w:pPr>
              <w:pStyle w:val="TableColumnIMS"/>
              <w:spacing w:line="276" w:lineRule="auto"/>
              <w:rPr>
                <w:rFonts w:ascii="Arial" w:eastAsia="Batang" w:hAnsi="Arial"/>
                <w:b/>
              </w:rPr>
            </w:pPr>
            <w:r w:rsidRPr="00523C9B">
              <w:rPr>
                <w:rFonts w:ascii="Arial" w:eastAsia="Batang" w:hAnsi="Arial"/>
                <w:b/>
              </w:rPr>
              <w:t>61.</w:t>
            </w:r>
            <w:r w:rsidR="003F11D1" w:rsidRPr="00DA53C4">
              <w:rPr>
                <w:rFonts w:ascii="Arial" w:eastAsia="Batang" w:hAnsi="Arial"/>
                <w:b/>
              </w:rPr>
              <w:t>2</w:t>
            </w:r>
          </w:p>
        </w:tc>
        <w:tc>
          <w:tcPr>
            <w:tcW w:w="709" w:type="pct"/>
            <w:tcBorders>
              <w:top w:val="single" w:sz="4" w:space="0" w:color="auto"/>
              <w:left w:val="nil"/>
              <w:bottom w:val="nil"/>
              <w:right w:val="nil"/>
            </w:tcBorders>
            <w:vAlign w:val="center"/>
          </w:tcPr>
          <w:p w14:paraId="4C1A074E" w14:textId="69C5B075"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60.4</w:t>
            </w:r>
          </w:p>
        </w:tc>
        <w:tc>
          <w:tcPr>
            <w:tcW w:w="589" w:type="pct"/>
            <w:tcBorders>
              <w:top w:val="single" w:sz="4" w:space="0" w:color="auto"/>
              <w:left w:val="nil"/>
              <w:bottom w:val="nil"/>
              <w:right w:val="nil"/>
            </w:tcBorders>
            <w:vAlign w:val="center"/>
          </w:tcPr>
          <w:p w14:paraId="5179B7C6" w14:textId="2BE38AEE" w:rsidR="00B01C3F" w:rsidRPr="00011176" w:rsidRDefault="001F0886" w:rsidP="00B01C3F">
            <w:pPr>
              <w:pStyle w:val="TableColumnHeadingIMS"/>
              <w:spacing w:line="276" w:lineRule="auto"/>
              <w:jc w:val="right"/>
              <w:rPr>
                <w:rFonts w:ascii="Arial" w:hAnsi="Arial" w:cs="Arial"/>
                <w:b w:val="0"/>
                <w:sz w:val="20"/>
                <w:lang w:val="en-GB"/>
              </w:rPr>
            </w:pPr>
            <w:r w:rsidRPr="00DA53C4">
              <w:rPr>
                <w:rFonts w:ascii="Arial" w:hAnsi="Arial" w:cs="Arial"/>
                <w:b w:val="0"/>
                <w:sz w:val="20"/>
                <w:lang w:val="en-GB"/>
              </w:rPr>
              <w:t>1</w:t>
            </w:r>
          </w:p>
        </w:tc>
      </w:tr>
      <w:tr w:rsidR="00B01C3F" w:rsidRPr="00A44138" w14:paraId="34442ED0" w14:textId="77777777" w:rsidTr="002458EE">
        <w:tc>
          <w:tcPr>
            <w:tcW w:w="2785" w:type="pct"/>
            <w:tcBorders>
              <w:top w:val="nil"/>
              <w:left w:val="nil"/>
              <w:bottom w:val="nil"/>
              <w:right w:val="nil"/>
            </w:tcBorders>
            <w:vAlign w:val="center"/>
          </w:tcPr>
          <w:p w14:paraId="265F9EBE"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Amortisation and depreciation</w:t>
            </w:r>
          </w:p>
        </w:tc>
        <w:tc>
          <w:tcPr>
            <w:tcW w:w="917" w:type="pct"/>
            <w:gridSpan w:val="2"/>
            <w:tcBorders>
              <w:top w:val="nil"/>
              <w:left w:val="nil"/>
              <w:bottom w:val="nil"/>
              <w:right w:val="nil"/>
            </w:tcBorders>
            <w:vAlign w:val="center"/>
          </w:tcPr>
          <w:p w14:paraId="3D599AE4" w14:textId="15AEE29B" w:rsidR="00B01C3F" w:rsidRPr="00523C9B" w:rsidRDefault="009123E4" w:rsidP="00B01C3F">
            <w:pPr>
              <w:pStyle w:val="TableColumnIMS"/>
              <w:spacing w:line="276" w:lineRule="auto"/>
              <w:rPr>
                <w:rFonts w:ascii="Arial" w:eastAsia="Batang" w:hAnsi="Arial"/>
                <w:b/>
              </w:rPr>
            </w:pPr>
            <w:r w:rsidRPr="00523C9B">
              <w:rPr>
                <w:rFonts w:ascii="Arial" w:eastAsia="Batang" w:hAnsi="Arial"/>
                <w:b/>
              </w:rPr>
              <w:t>11.</w:t>
            </w:r>
            <w:r w:rsidR="003F11D1" w:rsidRPr="00DA53C4">
              <w:rPr>
                <w:rFonts w:ascii="Arial" w:eastAsia="Batang" w:hAnsi="Arial"/>
                <w:b/>
              </w:rPr>
              <w:t>7</w:t>
            </w:r>
          </w:p>
        </w:tc>
        <w:tc>
          <w:tcPr>
            <w:tcW w:w="709" w:type="pct"/>
            <w:tcBorders>
              <w:top w:val="nil"/>
              <w:left w:val="nil"/>
              <w:bottom w:val="nil"/>
              <w:right w:val="nil"/>
            </w:tcBorders>
            <w:vAlign w:val="center"/>
          </w:tcPr>
          <w:p w14:paraId="4825703E" w14:textId="4C011026"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12.6</w:t>
            </w:r>
          </w:p>
        </w:tc>
        <w:tc>
          <w:tcPr>
            <w:tcW w:w="589" w:type="pct"/>
            <w:tcBorders>
              <w:top w:val="nil"/>
              <w:left w:val="nil"/>
              <w:bottom w:val="nil"/>
              <w:right w:val="nil"/>
            </w:tcBorders>
            <w:vAlign w:val="center"/>
          </w:tcPr>
          <w:p w14:paraId="2E9F6721" w14:textId="7138236E" w:rsidR="00B01C3F" w:rsidRPr="00011176" w:rsidRDefault="001940F4" w:rsidP="00B01C3F">
            <w:pPr>
              <w:pStyle w:val="TableColumnHeadingIMS"/>
              <w:spacing w:line="276" w:lineRule="auto"/>
              <w:jc w:val="right"/>
              <w:rPr>
                <w:rFonts w:ascii="Arial" w:hAnsi="Arial" w:cs="Arial"/>
                <w:b w:val="0"/>
                <w:sz w:val="20"/>
                <w:lang w:val="en-GB"/>
              </w:rPr>
            </w:pPr>
            <w:r w:rsidRPr="00011176">
              <w:rPr>
                <w:rFonts w:ascii="Arial" w:hAnsi="Arial" w:cs="Arial"/>
                <w:b w:val="0"/>
                <w:sz w:val="20"/>
                <w:lang w:val="en-GB"/>
              </w:rPr>
              <w:t>(</w:t>
            </w:r>
            <w:r w:rsidR="001F0886" w:rsidRPr="00DA53C4">
              <w:rPr>
                <w:rFonts w:ascii="Arial" w:hAnsi="Arial" w:cs="Arial"/>
                <w:b w:val="0"/>
                <w:sz w:val="20"/>
                <w:lang w:val="en-GB"/>
              </w:rPr>
              <w:t>7</w:t>
            </w:r>
            <w:r w:rsidR="00975EF9" w:rsidRPr="00011176">
              <w:rPr>
                <w:rFonts w:ascii="Arial" w:hAnsi="Arial" w:cs="Arial"/>
                <w:b w:val="0"/>
                <w:sz w:val="20"/>
                <w:lang w:val="en-GB"/>
              </w:rPr>
              <w:t>)</w:t>
            </w:r>
          </w:p>
        </w:tc>
      </w:tr>
      <w:tr w:rsidR="00B01C3F" w:rsidRPr="00A44138" w14:paraId="2E207048" w14:textId="77777777" w:rsidTr="002458EE">
        <w:tc>
          <w:tcPr>
            <w:tcW w:w="2785" w:type="pct"/>
            <w:tcBorders>
              <w:top w:val="single" w:sz="4" w:space="0" w:color="auto"/>
              <w:left w:val="nil"/>
              <w:bottom w:val="single" w:sz="4" w:space="0" w:color="auto"/>
              <w:right w:val="nil"/>
            </w:tcBorders>
            <w:vAlign w:val="center"/>
          </w:tcPr>
          <w:p w14:paraId="36C4A287" w14:textId="53DE57F0" w:rsidR="00B01C3F" w:rsidRPr="00A44138" w:rsidRDefault="00B01C3F" w:rsidP="00B01C3F">
            <w:pPr>
              <w:pStyle w:val="TableStubIMS"/>
              <w:spacing w:line="276" w:lineRule="auto"/>
              <w:ind w:left="173" w:hanging="173"/>
              <w:rPr>
                <w:rFonts w:ascii="Arial" w:hAnsi="Arial"/>
                <w:b/>
                <w:lang w:val="en-GB"/>
              </w:rPr>
            </w:pPr>
            <w:r w:rsidRPr="00A44138">
              <w:rPr>
                <w:rFonts w:ascii="Arial" w:hAnsi="Arial" w:cs="Arial"/>
                <w:b/>
                <w:bCs/>
                <w:lang w:val="en-GB"/>
              </w:rPr>
              <w:t>EBITDA</w:t>
            </w:r>
          </w:p>
        </w:tc>
        <w:tc>
          <w:tcPr>
            <w:tcW w:w="917" w:type="pct"/>
            <w:gridSpan w:val="2"/>
            <w:tcBorders>
              <w:top w:val="single" w:sz="4" w:space="0" w:color="auto"/>
              <w:left w:val="nil"/>
              <w:bottom w:val="single" w:sz="4" w:space="0" w:color="auto"/>
              <w:right w:val="nil"/>
            </w:tcBorders>
            <w:vAlign w:val="center"/>
          </w:tcPr>
          <w:p w14:paraId="309BDB07" w14:textId="4BF161D8" w:rsidR="00B01C3F" w:rsidRPr="00523C9B" w:rsidRDefault="00873802" w:rsidP="00B01C3F">
            <w:pPr>
              <w:pStyle w:val="TableColumnIMS"/>
              <w:spacing w:line="276" w:lineRule="auto"/>
              <w:rPr>
                <w:rFonts w:ascii="Arial" w:eastAsia="Batang" w:hAnsi="Arial"/>
                <w:b/>
              </w:rPr>
            </w:pPr>
            <w:r w:rsidRPr="00523C9B">
              <w:rPr>
                <w:rFonts w:ascii="Arial" w:eastAsia="Batang" w:hAnsi="Arial"/>
                <w:b/>
              </w:rPr>
              <w:t>7</w:t>
            </w:r>
            <w:r w:rsidR="003F11D1" w:rsidRPr="00DA53C4">
              <w:rPr>
                <w:rFonts w:ascii="Arial" w:eastAsia="Batang" w:hAnsi="Arial"/>
                <w:b/>
              </w:rPr>
              <w:t>2</w:t>
            </w:r>
            <w:r w:rsidRPr="00523C9B">
              <w:rPr>
                <w:rFonts w:ascii="Arial" w:eastAsia="Batang" w:hAnsi="Arial"/>
                <w:b/>
              </w:rPr>
              <w:t>.</w:t>
            </w:r>
            <w:r w:rsidR="003F11D1" w:rsidRPr="00DA53C4">
              <w:rPr>
                <w:rFonts w:ascii="Arial" w:eastAsia="Batang" w:hAnsi="Arial"/>
                <w:b/>
              </w:rPr>
              <w:t>9</w:t>
            </w:r>
          </w:p>
        </w:tc>
        <w:tc>
          <w:tcPr>
            <w:tcW w:w="709" w:type="pct"/>
            <w:tcBorders>
              <w:top w:val="single" w:sz="4" w:space="0" w:color="auto"/>
              <w:left w:val="nil"/>
              <w:bottom w:val="single" w:sz="4" w:space="0" w:color="auto"/>
              <w:right w:val="nil"/>
            </w:tcBorders>
            <w:vAlign w:val="center"/>
          </w:tcPr>
          <w:p w14:paraId="168CAEB3" w14:textId="1A76B498" w:rsidR="00B01C3F" w:rsidRPr="005E7A81" w:rsidRDefault="00B01C3F" w:rsidP="00B01C3F">
            <w:pPr>
              <w:pStyle w:val="TableColumnIMS"/>
              <w:spacing w:line="276" w:lineRule="auto"/>
              <w:rPr>
                <w:rFonts w:ascii="Arial" w:eastAsia="Batang" w:hAnsi="Arial"/>
                <w:bCs/>
              </w:rPr>
            </w:pPr>
            <w:r w:rsidRPr="005E7A81">
              <w:rPr>
                <w:rFonts w:ascii="Arial" w:eastAsia="Batang" w:hAnsi="Arial"/>
                <w:bCs/>
              </w:rPr>
              <w:t>73.0</w:t>
            </w:r>
          </w:p>
        </w:tc>
        <w:tc>
          <w:tcPr>
            <w:tcW w:w="589" w:type="pct"/>
            <w:tcBorders>
              <w:top w:val="single" w:sz="4" w:space="0" w:color="auto"/>
              <w:left w:val="nil"/>
              <w:bottom w:val="single" w:sz="4" w:space="0" w:color="auto"/>
              <w:right w:val="nil"/>
            </w:tcBorders>
            <w:vAlign w:val="center"/>
          </w:tcPr>
          <w:p w14:paraId="1D5A594C" w14:textId="47070FCF" w:rsidR="00B01C3F" w:rsidRPr="00011176" w:rsidRDefault="00685EBD" w:rsidP="00B01C3F">
            <w:pPr>
              <w:pStyle w:val="TableColumnHeadingIMS"/>
              <w:spacing w:line="276" w:lineRule="auto"/>
              <w:jc w:val="right"/>
              <w:rPr>
                <w:rFonts w:ascii="Arial" w:hAnsi="Arial" w:cs="Arial"/>
                <w:b w:val="0"/>
                <w:sz w:val="20"/>
                <w:lang w:val="en-GB"/>
              </w:rPr>
            </w:pPr>
            <w:r>
              <w:rPr>
                <w:rFonts w:ascii="Arial" w:hAnsi="Arial" w:cs="Arial"/>
                <w:b w:val="0"/>
                <w:sz w:val="20"/>
                <w:lang w:val="en-GB"/>
              </w:rPr>
              <w:t>(</w:t>
            </w:r>
            <w:r w:rsidR="00453312" w:rsidRPr="00011176">
              <w:rPr>
                <w:rFonts w:ascii="Arial" w:hAnsi="Arial" w:cs="Arial"/>
                <w:b w:val="0"/>
                <w:sz w:val="20"/>
                <w:lang w:val="en-GB"/>
              </w:rPr>
              <w:t>0</w:t>
            </w:r>
            <w:r>
              <w:rPr>
                <w:rFonts w:ascii="Arial" w:hAnsi="Arial" w:cs="Arial"/>
                <w:b w:val="0"/>
                <w:sz w:val="20"/>
                <w:lang w:val="en-GB"/>
              </w:rPr>
              <w:t>)</w:t>
            </w:r>
          </w:p>
        </w:tc>
      </w:tr>
      <w:tr w:rsidR="002458EE" w:rsidRPr="009E16FE" w14:paraId="72CFAD34" w14:textId="77777777" w:rsidTr="002458EE">
        <w:tc>
          <w:tcPr>
            <w:tcW w:w="2785" w:type="pct"/>
            <w:tcBorders>
              <w:top w:val="single" w:sz="4" w:space="0" w:color="auto"/>
              <w:left w:val="nil"/>
              <w:bottom w:val="single" w:sz="4" w:space="0" w:color="auto"/>
              <w:right w:val="nil"/>
            </w:tcBorders>
          </w:tcPr>
          <w:p w14:paraId="5376182B" w14:textId="77777777" w:rsidR="002458EE" w:rsidRDefault="002458EE">
            <w:pPr>
              <w:pStyle w:val="TableStubIMS"/>
              <w:spacing w:line="276" w:lineRule="auto"/>
              <w:ind w:left="173" w:hanging="173"/>
              <w:rPr>
                <w:rFonts w:ascii="Arial" w:hAnsi="Arial" w:cs="Arial"/>
                <w:b/>
                <w:bCs/>
                <w:highlight w:val="green"/>
              </w:rPr>
            </w:pPr>
            <w:bookmarkStart w:id="15" w:name="_Hlk45115357"/>
          </w:p>
          <w:p w14:paraId="748A093A" w14:textId="77777777" w:rsidR="002458EE" w:rsidRPr="009E16FE" w:rsidRDefault="002458EE">
            <w:pPr>
              <w:pStyle w:val="TableStubIMS"/>
              <w:spacing w:line="276" w:lineRule="auto"/>
              <w:ind w:left="173" w:hanging="173"/>
              <w:rPr>
                <w:rFonts w:ascii="Arial" w:hAnsi="Arial" w:cs="Arial"/>
                <w:b/>
                <w:bCs/>
                <w:highlight w:val="green"/>
                <w:lang w:val="en-GB"/>
              </w:rPr>
            </w:pPr>
            <w:r w:rsidRPr="004608F2">
              <w:rPr>
                <w:rFonts w:ascii="Arial" w:hAnsi="Arial" w:cs="Arial"/>
                <w:b/>
                <w:bCs/>
              </w:rPr>
              <w:t>Reconciliation to Adjusted EBITDA:</w:t>
            </w:r>
          </w:p>
        </w:tc>
        <w:tc>
          <w:tcPr>
            <w:tcW w:w="917" w:type="pct"/>
            <w:gridSpan w:val="2"/>
            <w:tcBorders>
              <w:top w:val="single" w:sz="4" w:space="0" w:color="auto"/>
              <w:left w:val="nil"/>
              <w:bottom w:val="single" w:sz="4" w:space="0" w:color="auto"/>
              <w:right w:val="nil"/>
            </w:tcBorders>
            <w:vAlign w:val="center"/>
          </w:tcPr>
          <w:p w14:paraId="6E90ED94" w14:textId="77777777" w:rsidR="002458EE" w:rsidRPr="00523C9B" w:rsidRDefault="002458EE">
            <w:pPr>
              <w:pStyle w:val="TableColumnIMS"/>
              <w:spacing w:line="276" w:lineRule="auto"/>
              <w:rPr>
                <w:rFonts w:ascii="Arial" w:eastAsia="Batang" w:hAnsi="Arial" w:cs="Arial"/>
                <w:b/>
              </w:rPr>
            </w:pPr>
          </w:p>
        </w:tc>
        <w:tc>
          <w:tcPr>
            <w:tcW w:w="709" w:type="pct"/>
            <w:tcBorders>
              <w:top w:val="single" w:sz="4" w:space="0" w:color="auto"/>
              <w:left w:val="nil"/>
              <w:bottom w:val="single" w:sz="4" w:space="0" w:color="auto"/>
              <w:right w:val="nil"/>
            </w:tcBorders>
            <w:vAlign w:val="center"/>
          </w:tcPr>
          <w:p w14:paraId="48F73C2E" w14:textId="77777777" w:rsidR="002458EE" w:rsidRPr="00E80956" w:rsidRDefault="002458EE">
            <w:pPr>
              <w:pStyle w:val="TableColumnIMS"/>
              <w:spacing w:line="276" w:lineRule="auto"/>
              <w:rPr>
                <w:rFonts w:ascii="Arial" w:eastAsia="Batang" w:hAnsi="Arial" w:cs="Arial"/>
              </w:rPr>
            </w:pPr>
          </w:p>
        </w:tc>
        <w:tc>
          <w:tcPr>
            <w:tcW w:w="589" w:type="pct"/>
            <w:tcBorders>
              <w:top w:val="single" w:sz="4" w:space="0" w:color="auto"/>
              <w:left w:val="nil"/>
              <w:bottom w:val="single" w:sz="4" w:space="0" w:color="auto"/>
              <w:right w:val="nil"/>
            </w:tcBorders>
            <w:vAlign w:val="center"/>
          </w:tcPr>
          <w:p w14:paraId="4FCC7C76" w14:textId="77777777" w:rsidR="002458EE" w:rsidRPr="00011176" w:rsidRDefault="002458EE">
            <w:pPr>
              <w:pStyle w:val="TableColumnHeadingIMS"/>
              <w:spacing w:line="276" w:lineRule="auto"/>
              <w:jc w:val="right"/>
              <w:rPr>
                <w:rFonts w:ascii="Arial" w:hAnsi="Arial" w:cs="Arial"/>
                <w:b w:val="0"/>
                <w:sz w:val="20"/>
                <w:lang w:val="en-GB"/>
              </w:rPr>
            </w:pPr>
          </w:p>
        </w:tc>
      </w:tr>
      <w:tr w:rsidR="002458EE" w:rsidRPr="009E16FE" w14:paraId="1EAF532F" w14:textId="77777777" w:rsidTr="002458EE">
        <w:tc>
          <w:tcPr>
            <w:tcW w:w="2785" w:type="pct"/>
            <w:tcBorders>
              <w:top w:val="single" w:sz="4" w:space="0" w:color="auto"/>
              <w:left w:val="nil"/>
              <w:bottom w:val="single" w:sz="4" w:space="0" w:color="auto"/>
              <w:right w:val="nil"/>
            </w:tcBorders>
          </w:tcPr>
          <w:p w14:paraId="2434AB23" w14:textId="77777777" w:rsidR="002458EE" w:rsidRPr="00F013B8" w:rsidRDefault="002458EE" w:rsidP="002458EE">
            <w:pPr>
              <w:pStyle w:val="TableStubIMS"/>
              <w:spacing w:line="276" w:lineRule="auto"/>
              <w:ind w:left="173" w:hanging="173"/>
              <w:rPr>
                <w:rFonts w:ascii="Arial" w:hAnsi="Arial" w:cs="Arial"/>
                <w:b/>
                <w:bCs/>
                <w:lang w:val="en-GB"/>
              </w:rPr>
            </w:pPr>
            <w:r w:rsidRPr="00F013B8">
              <w:rPr>
                <w:rFonts w:ascii="Arial" w:hAnsi="Arial" w:cs="Arial"/>
              </w:rPr>
              <w:t>EBITDA</w:t>
            </w:r>
          </w:p>
        </w:tc>
        <w:tc>
          <w:tcPr>
            <w:tcW w:w="917" w:type="pct"/>
            <w:gridSpan w:val="2"/>
            <w:tcBorders>
              <w:top w:val="single" w:sz="4" w:space="0" w:color="auto"/>
              <w:left w:val="nil"/>
              <w:bottom w:val="single" w:sz="4" w:space="0" w:color="auto"/>
              <w:right w:val="nil"/>
            </w:tcBorders>
            <w:vAlign w:val="center"/>
          </w:tcPr>
          <w:p w14:paraId="13963250" w14:textId="0DB63D64" w:rsidR="002458EE" w:rsidRPr="00523C9B" w:rsidRDefault="00873802" w:rsidP="002458EE">
            <w:pPr>
              <w:pStyle w:val="TableColumnIMS"/>
              <w:spacing w:line="276" w:lineRule="auto"/>
              <w:rPr>
                <w:rFonts w:ascii="Arial" w:eastAsia="Batang" w:hAnsi="Arial" w:cs="Arial"/>
                <w:b/>
              </w:rPr>
            </w:pPr>
            <w:r w:rsidRPr="00523C9B">
              <w:rPr>
                <w:rFonts w:ascii="Arial" w:eastAsia="Batang" w:hAnsi="Arial" w:cs="Arial"/>
                <w:b/>
              </w:rPr>
              <w:t>7</w:t>
            </w:r>
            <w:r w:rsidR="00D171EC" w:rsidRPr="00DA53C4">
              <w:rPr>
                <w:rFonts w:ascii="Arial" w:eastAsia="Batang" w:hAnsi="Arial" w:cs="Arial"/>
                <w:b/>
              </w:rPr>
              <w:t>2</w:t>
            </w:r>
            <w:r w:rsidRPr="00523C9B">
              <w:rPr>
                <w:rFonts w:ascii="Arial" w:eastAsia="Batang" w:hAnsi="Arial" w:cs="Arial"/>
                <w:b/>
              </w:rPr>
              <w:t>.</w:t>
            </w:r>
            <w:r w:rsidR="00D171EC" w:rsidRPr="00DA53C4">
              <w:rPr>
                <w:rFonts w:ascii="Arial" w:eastAsia="Batang" w:hAnsi="Arial" w:cs="Arial"/>
                <w:b/>
              </w:rPr>
              <w:t>9</w:t>
            </w:r>
          </w:p>
        </w:tc>
        <w:tc>
          <w:tcPr>
            <w:tcW w:w="709" w:type="pct"/>
            <w:tcBorders>
              <w:top w:val="single" w:sz="4" w:space="0" w:color="auto"/>
              <w:left w:val="nil"/>
              <w:bottom w:val="single" w:sz="4" w:space="0" w:color="auto"/>
              <w:right w:val="nil"/>
            </w:tcBorders>
            <w:vAlign w:val="center"/>
          </w:tcPr>
          <w:p w14:paraId="0414DD51" w14:textId="1FE1AD79" w:rsidR="002458EE" w:rsidRPr="005E7A81" w:rsidRDefault="002458EE" w:rsidP="002458EE">
            <w:pPr>
              <w:pStyle w:val="TableColumnIMS"/>
              <w:spacing w:line="276" w:lineRule="auto"/>
              <w:ind w:right="106"/>
              <w:rPr>
                <w:rFonts w:ascii="Arial" w:hAnsi="Arial" w:cs="Arial"/>
                <w:bCs/>
              </w:rPr>
            </w:pPr>
            <w:r w:rsidRPr="005E7A81">
              <w:rPr>
                <w:rFonts w:ascii="Arial" w:hAnsi="Arial" w:cs="Arial"/>
                <w:bCs/>
              </w:rPr>
              <w:t>73.0</w:t>
            </w:r>
          </w:p>
        </w:tc>
        <w:tc>
          <w:tcPr>
            <w:tcW w:w="589" w:type="pct"/>
            <w:tcBorders>
              <w:top w:val="single" w:sz="4" w:space="0" w:color="auto"/>
              <w:left w:val="nil"/>
              <w:bottom w:val="single" w:sz="4" w:space="0" w:color="auto"/>
              <w:right w:val="nil"/>
            </w:tcBorders>
            <w:vAlign w:val="center"/>
          </w:tcPr>
          <w:p w14:paraId="2F7B0D05" w14:textId="48F55898" w:rsidR="002458EE" w:rsidRPr="00011176" w:rsidRDefault="00685EBD" w:rsidP="002458EE">
            <w:pPr>
              <w:pStyle w:val="TableColumnHeadingIMS"/>
              <w:spacing w:line="276" w:lineRule="auto"/>
              <w:jc w:val="right"/>
              <w:rPr>
                <w:rFonts w:ascii="Arial" w:hAnsi="Arial" w:cs="Arial"/>
                <w:b w:val="0"/>
                <w:sz w:val="20"/>
                <w:lang w:val="en-GB"/>
              </w:rPr>
            </w:pPr>
            <w:r>
              <w:rPr>
                <w:rFonts w:ascii="Arial" w:hAnsi="Arial" w:cs="Arial"/>
                <w:b w:val="0"/>
                <w:sz w:val="20"/>
                <w:lang w:val="en-GB"/>
              </w:rPr>
              <w:t>(</w:t>
            </w:r>
            <w:r w:rsidR="00453312" w:rsidRPr="00011176">
              <w:rPr>
                <w:rFonts w:ascii="Arial" w:hAnsi="Arial" w:cs="Arial"/>
                <w:b w:val="0"/>
                <w:sz w:val="20"/>
                <w:lang w:val="en-GB"/>
              </w:rPr>
              <w:t>0</w:t>
            </w:r>
            <w:r>
              <w:rPr>
                <w:rFonts w:ascii="Arial" w:hAnsi="Arial" w:cs="Arial"/>
                <w:b w:val="0"/>
                <w:sz w:val="20"/>
                <w:lang w:val="en-GB"/>
              </w:rPr>
              <w:t>)</w:t>
            </w:r>
          </w:p>
        </w:tc>
      </w:tr>
      <w:tr w:rsidR="002458EE" w:rsidRPr="00BC6423" w14:paraId="575AAF08" w14:textId="77777777" w:rsidTr="002458EE">
        <w:tc>
          <w:tcPr>
            <w:tcW w:w="2785" w:type="pct"/>
            <w:tcBorders>
              <w:top w:val="single" w:sz="4" w:space="0" w:color="auto"/>
              <w:left w:val="nil"/>
              <w:bottom w:val="single" w:sz="4" w:space="0" w:color="auto"/>
              <w:right w:val="nil"/>
            </w:tcBorders>
          </w:tcPr>
          <w:p w14:paraId="4716E7CC" w14:textId="77777777" w:rsidR="002458EE" w:rsidRPr="00887AD5" w:rsidRDefault="002458EE" w:rsidP="002458EE">
            <w:pPr>
              <w:pStyle w:val="TableStubIMS"/>
              <w:spacing w:line="276" w:lineRule="auto"/>
              <w:ind w:left="173" w:hanging="173"/>
              <w:rPr>
                <w:rFonts w:ascii="Arial" w:hAnsi="Arial" w:cs="Arial"/>
              </w:rPr>
            </w:pPr>
            <w:r w:rsidRPr="00F013B8">
              <w:rPr>
                <w:rFonts w:ascii="Arial" w:hAnsi="Arial" w:cs="Arial"/>
              </w:rPr>
              <w:t xml:space="preserve">Irrecoverable VAT </w:t>
            </w:r>
            <w:r>
              <w:rPr>
                <w:rFonts w:ascii="Arial" w:hAnsi="Arial" w:cs="Arial"/>
              </w:rPr>
              <w:t>provision</w:t>
            </w:r>
            <w:r w:rsidRPr="00F013B8">
              <w:rPr>
                <w:rFonts w:ascii="Arial" w:hAnsi="Arial" w:cs="Arial"/>
              </w:rPr>
              <w:t xml:space="preserve"> and </w:t>
            </w:r>
            <w:r>
              <w:rPr>
                <w:rFonts w:ascii="Arial" w:hAnsi="Arial" w:cs="Arial"/>
              </w:rPr>
              <w:t>rela</w:t>
            </w:r>
            <w:r w:rsidRPr="00F013B8">
              <w:rPr>
                <w:rFonts w:ascii="Arial" w:hAnsi="Arial" w:cs="Arial"/>
              </w:rPr>
              <w:t>ted costs</w:t>
            </w:r>
          </w:p>
        </w:tc>
        <w:tc>
          <w:tcPr>
            <w:tcW w:w="917" w:type="pct"/>
            <w:gridSpan w:val="2"/>
            <w:tcBorders>
              <w:top w:val="single" w:sz="4" w:space="0" w:color="auto"/>
              <w:left w:val="nil"/>
              <w:bottom w:val="single" w:sz="4" w:space="0" w:color="auto"/>
              <w:right w:val="nil"/>
            </w:tcBorders>
            <w:vAlign w:val="center"/>
          </w:tcPr>
          <w:p w14:paraId="54C76004" w14:textId="63BD5836" w:rsidR="002458EE" w:rsidRPr="00523C9B" w:rsidRDefault="009D1F9D" w:rsidP="002458EE">
            <w:pPr>
              <w:pStyle w:val="TableColumnIMS"/>
              <w:spacing w:line="276" w:lineRule="auto"/>
              <w:rPr>
                <w:rFonts w:ascii="Arial" w:eastAsia="Batang" w:hAnsi="Arial" w:cs="Arial"/>
                <w:b/>
              </w:rPr>
            </w:pPr>
            <w:r w:rsidRPr="00523C9B">
              <w:rPr>
                <w:rFonts w:ascii="Arial" w:eastAsia="Batang" w:hAnsi="Arial" w:cs="Arial"/>
                <w:b/>
              </w:rPr>
              <w:t>2.2</w:t>
            </w:r>
          </w:p>
        </w:tc>
        <w:tc>
          <w:tcPr>
            <w:tcW w:w="709" w:type="pct"/>
            <w:tcBorders>
              <w:top w:val="single" w:sz="4" w:space="0" w:color="auto"/>
              <w:left w:val="nil"/>
              <w:bottom w:val="single" w:sz="4" w:space="0" w:color="auto"/>
              <w:right w:val="nil"/>
            </w:tcBorders>
            <w:vAlign w:val="center"/>
          </w:tcPr>
          <w:p w14:paraId="7FBB4A4C" w14:textId="41F81D10" w:rsidR="002458EE" w:rsidRPr="00166F11" w:rsidRDefault="002458EE" w:rsidP="002458EE">
            <w:pPr>
              <w:pStyle w:val="TableColumnIMS"/>
              <w:spacing w:line="276" w:lineRule="auto"/>
              <w:ind w:right="106"/>
              <w:rPr>
                <w:rFonts w:ascii="Arial" w:hAnsi="Arial" w:cs="Arial"/>
              </w:rPr>
            </w:pPr>
            <w:r w:rsidRPr="00166F11">
              <w:rPr>
                <w:rFonts w:ascii="Arial" w:eastAsia="Batang" w:hAnsi="Arial" w:cs="Arial"/>
              </w:rPr>
              <w:t>1.0</w:t>
            </w:r>
          </w:p>
        </w:tc>
        <w:tc>
          <w:tcPr>
            <w:tcW w:w="589" w:type="pct"/>
            <w:tcBorders>
              <w:top w:val="single" w:sz="4" w:space="0" w:color="auto"/>
              <w:left w:val="nil"/>
              <w:bottom w:val="single" w:sz="4" w:space="0" w:color="auto"/>
              <w:right w:val="nil"/>
            </w:tcBorders>
            <w:vAlign w:val="center"/>
          </w:tcPr>
          <w:p w14:paraId="4F1E4570" w14:textId="71EDFAD6" w:rsidR="002458EE" w:rsidRPr="00011176" w:rsidRDefault="00C35193" w:rsidP="002458EE">
            <w:pPr>
              <w:pStyle w:val="TableColumnHeadingIMS"/>
              <w:spacing w:line="276" w:lineRule="auto"/>
              <w:jc w:val="right"/>
              <w:rPr>
                <w:rFonts w:ascii="Arial" w:hAnsi="Arial" w:cs="Arial"/>
                <w:b w:val="0"/>
                <w:sz w:val="20"/>
                <w:lang w:val="en-GB"/>
              </w:rPr>
            </w:pPr>
            <w:r w:rsidRPr="00AE25B4">
              <w:rPr>
                <w:rFonts w:ascii="Arial" w:hAnsi="Arial" w:cs="Arial"/>
                <w:b w:val="0"/>
                <w:sz w:val="20"/>
                <w:lang w:val="en-GB"/>
              </w:rPr>
              <w:t>125</w:t>
            </w:r>
          </w:p>
        </w:tc>
      </w:tr>
      <w:tr w:rsidR="002458EE" w:rsidRPr="00BC6423" w14:paraId="2CF59EAD" w14:textId="77777777" w:rsidTr="002458EE">
        <w:tc>
          <w:tcPr>
            <w:tcW w:w="2785" w:type="pct"/>
            <w:tcBorders>
              <w:top w:val="single" w:sz="4" w:space="0" w:color="auto"/>
              <w:left w:val="nil"/>
              <w:bottom w:val="single" w:sz="4" w:space="0" w:color="auto"/>
              <w:right w:val="nil"/>
            </w:tcBorders>
          </w:tcPr>
          <w:p w14:paraId="4CF99B79" w14:textId="77777777" w:rsidR="002458EE" w:rsidRPr="00F013B8" w:rsidRDefault="002458EE" w:rsidP="002458EE">
            <w:pPr>
              <w:pStyle w:val="TableStubIMS"/>
              <w:spacing w:line="276" w:lineRule="auto"/>
              <w:ind w:left="173" w:hanging="173"/>
              <w:rPr>
                <w:rFonts w:ascii="Arial" w:hAnsi="Arial" w:cs="Arial"/>
                <w:b/>
                <w:bCs/>
                <w:lang w:val="en-GB"/>
              </w:rPr>
            </w:pPr>
            <w:r w:rsidRPr="00F013B8">
              <w:rPr>
                <w:rFonts w:ascii="Arial" w:hAnsi="Arial" w:cs="Arial"/>
                <w:b/>
                <w:bCs/>
              </w:rPr>
              <w:t>Adjusted EBITDA</w:t>
            </w:r>
            <w:r>
              <w:rPr>
                <w:rFonts w:ascii="Arial" w:hAnsi="Arial" w:cs="Arial"/>
                <w:b/>
                <w:bCs/>
              </w:rPr>
              <w:t>**</w:t>
            </w:r>
          </w:p>
        </w:tc>
        <w:tc>
          <w:tcPr>
            <w:tcW w:w="917" w:type="pct"/>
            <w:gridSpan w:val="2"/>
            <w:tcBorders>
              <w:top w:val="single" w:sz="4" w:space="0" w:color="auto"/>
              <w:left w:val="nil"/>
              <w:bottom w:val="single" w:sz="4" w:space="0" w:color="auto"/>
              <w:right w:val="nil"/>
            </w:tcBorders>
            <w:vAlign w:val="center"/>
          </w:tcPr>
          <w:p w14:paraId="1ECE5B6F" w14:textId="51BCE12C" w:rsidR="002458EE" w:rsidRPr="00523C9B" w:rsidRDefault="00D171EC" w:rsidP="002458EE">
            <w:pPr>
              <w:pStyle w:val="TableColumnIMS"/>
              <w:spacing w:line="276" w:lineRule="auto"/>
              <w:rPr>
                <w:rFonts w:ascii="Arial" w:eastAsia="Batang" w:hAnsi="Arial" w:cs="Arial"/>
                <w:b/>
              </w:rPr>
            </w:pPr>
            <w:r w:rsidRPr="00DA53C4">
              <w:rPr>
                <w:rFonts w:ascii="Arial" w:eastAsia="Batang" w:hAnsi="Arial" w:cs="Arial"/>
                <w:b/>
              </w:rPr>
              <w:t>75.1</w:t>
            </w:r>
          </w:p>
        </w:tc>
        <w:tc>
          <w:tcPr>
            <w:tcW w:w="709" w:type="pct"/>
            <w:tcBorders>
              <w:top w:val="single" w:sz="4" w:space="0" w:color="auto"/>
              <w:left w:val="nil"/>
              <w:bottom w:val="single" w:sz="4" w:space="0" w:color="auto"/>
              <w:right w:val="nil"/>
            </w:tcBorders>
            <w:vAlign w:val="center"/>
          </w:tcPr>
          <w:p w14:paraId="6D966912" w14:textId="07A77CDE" w:rsidR="002458EE" w:rsidRPr="006B4517" w:rsidRDefault="002458EE" w:rsidP="002458EE">
            <w:pPr>
              <w:pStyle w:val="TableColumnIMS"/>
              <w:spacing w:line="276" w:lineRule="auto"/>
              <w:ind w:right="106"/>
              <w:rPr>
                <w:rFonts w:ascii="Arial" w:hAnsi="Arial" w:cs="Arial"/>
              </w:rPr>
            </w:pPr>
            <w:r w:rsidRPr="006B4517">
              <w:rPr>
                <w:rFonts w:ascii="Arial" w:hAnsi="Arial" w:cs="Arial"/>
              </w:rPr>
              <w:t>74.0</w:t>
            </w:r>
          </w:p>
        </w:tc>
        <w:tc>
          <w:tcPr>
            <w:tcW w:w="589" w:type="pct"/>
            <w:tcBorders>
              <w:top w:val="single" w:sz="4" w:space="0" w:color="auto"/>
              <w:left w:val="nil"/>
              <w:bottom w:val="single" w:sz="4" w:space="0" w:color="auto"/>
              <w:right w:val="nil"/>
            </w:tcBorders>
            <w:vAlign w:val="center"/>
          </w:tcPr>
          <w:p w14:paraId="3E49B6C6" w14:textId="4B52E8A7" w:rsidR="002458EE" w:rsidRPr="00011176" w:rsidRDefault="009A5836" w:rsidP="002458EE">
            <w:pPr>
              <w:pStyle w:val="TableColumnHeadingIMS"/>
              <w:spacing w:line="276" w:lineRule="auto"/>
              <w:jc w:val="right"/>
              <w:rPr>
                <w:rFonts w:ascii="Arial" w:hAnsi="Arial" w:cs="Arial"/>
                <w:b w:val="0"/>
                <w:sz w:val="20"/>
                <w:lang w:val="en-GB"/>
              </w:rPr>
            </w:pPr>
            <w:r w:rsidRPr="00011176">
              <w:rPr>
                <w:rFonts w:ascii="Arial" w:hAnsi="Arial" w:cs="Arial"/>
                <w:b w:val="0"/>
                <w:sz w:val="20"/>
                <w:lang w:val="en-GB"/>
              </w:rPr>
              <w:t>2</w:t>
            </w:r>
          </w:p>
        </w:tc>
      </w:tr>
      <w:tr w:rsidR="002458EE" w:rsidRPr="00BC6423" w14:paraId="04B8EBDB" w14:textId="77777777" w:rsidTr="002458EE">
        <w:tc>
          <w:tcPr>
            <w:tcW w:w="2785" w:type="pct"/>
            <w:tcBorders>
              <w:top w:val="single" w:sz="4" w:space="0" w:color="auto"/>
              <w:left w:val="nil"/>
              <w:right w:val="nil"/>
            </w:tcBorders>
            <w:vAlign w:val="center"/>
          </w:tcPr>
          <w:p w14:paraId="65D51708" w14:textId="77777777" w:rsidR="002458EE" w:rsidRPr="00F013B8" w:rsidRDefault="002458EE">
            <w:pPr>
              <w:pStyle w:val="TableStubIMS"/>
              <w:spacing w:line="276" w:lineRule="auto"/>
              <w:ind w:left="173" w:hanging="173"/>
              <w:rPr>
                <w:rFonts w:ascii="Arial" w:hAnsi="Arial" w:cs="Arial"/>
              </w:rPr>
            </w:pPr>
            <w:r w:rsidRPr="00F013B8">
              <w:rPr>
                <w:rFonts w:ascii="Arial" w:hAnsi="Arial" w:cs="Arial"/>
              </w:rPr>
              <w:t>Adjusted earnings per share*:</w:t>
            </w:r>
          </w:p>
        </w:tc>
        <w:tc>
          <w:tcPr>
            <w:tcW w:w="143" w:type="pct"/>
            <w:tcBorders>
              <w:top w:val="single" w:sz="4" w:space="0" w:color="auto"/>
              <w:left w:val="nil"/>
              <w:right w:val="nil"/>
            </w:tcBorders>
            <w:vAlign w:val="bottom"/>
          </w:tcPr>
          <w:p w14:paraId="3AE172FC" w14:textId="77777777" w:rsidR="002458EE" w:rsidRPr="00BC6423" w:rsidRDefault="002458EE">
            <w:pPr>
              <w:pStyle w:val="TableColumnIMS"/>
              <w:spacing w:line="276" w:lineRule="auto"/>
              <w:jc w:val="center"/>
              <w:rPr>
                <w:rFonts w:ascii="Arial" w:hAnsi="Arial" w:cs="Arial"/>
                <w:lang w:val="en-GB"/>
              </w:rPr>
            </w:pPr>
          </w:p>
        </w:tc>
        <w:tc>
          <w:tcPr>
            <w:tcW w:w="774" w:type="pct"/>
            <w:tcBorders>
              <w:top w:val="single" w:sz="4" w:space="0" w:color="auto"/>
              <w:left w:val="nil"/>
              <w:right w:val="nil"/>
            </w:tcBorders>
            <w:vAlign w:val="center"/>
          </w:tcPr>
          <w:p w14:paraId="760508A8" w14:textId="77777777" w:rsidR="002458EE" w:rsidRPr="002458EE" w:rsidRDefault="002458EE">
            <w:pPr>
              <w:pStyle w:val="TableColumnIMS"/>
              <w:spacing w:line="276" w:lineRule="auto"/>
              <w:rPr>
                <w:rFonts w:ascii="Arial" w:hAnsi="Arial" w:cs="Arial"/>
                <w:b/>
                <w:bCs/>
                <w:highlight w:val="yellow"/>
              </w:rPr>
            </w:pPr>
          </w:p>
        </w:tc>
        <w:tc>
          <w:tcPr>
            <w:tcW w:w="709" w:type="pct"/>
            <w:tcBorders>
              <w:top w:val="single" w:sz="4" w:space="0" w:color="auto"/>
              <w:left w:val="nil"/>
              <w:right w:val="nil"/>
            </w:tcBorders>
            <w:vAlign w:val="center"/>
          </w:tcPr>
          <w:p w14:paraId="3A2A1070" w14:textId="77777777" w:rsidR="002458EE" w:rsidRPr="00E80956" w:rsidRDefault="002458EE">
            <w:pPr>
              <w:pStyle w:val="TableColumnIMS"/>
              <w:spacing w:line="276" w:lineRule="auto"/>
              <w:ind w:right="106"/>
              <w:rPr>
                <w:rFonts w:ascii="Arial" w:hAnsi="Arial" w:cs="Arial"/>
                <w:bCs/>
              </w:rPr>
            </w:pPr>
          </w:p>
        </w:tc>
        <w:tc>
          <w:tcPr>
            <w:tcW w:w="589" w:type="pct"/>
            <w:tcBorders>
              <w:top w:val="single" w:sz="4" w:space="0" w:color="auto"/>
              <w:left w:val="nil"/>
              <w:right w:val="nil"/>
            </w:tcBorders>
            <w:vAlign w:val="center"/>
          </w:tcPr>
          <w:p w14:paraId="7AC578D1" w14:textId="77777777" w:rsidR="002458EE" w:rsidRPr="002458EE" w:rsidRDefault="002458EE">
            <w:pPr>
              <w:pStyle w:val="TableColumnIMS"/>
              <w:spacing w:line="276" w:lineRule="auto"/>
              <w:ind w:right="66"/>
              <w:rPr>
                <w:rFonts w:ascii="Arial" w:eastAsia="Batang" w:hAnsi="Arial" w:cs="Arial"/>
                <w:bCs/>
                <w:highlight w:val="yellow"/>
              </w:rPr>
            </w:pPr>
          </w:p>
        </w:tc>
      </w:tr>
      <w:tr w:rsidR="002458EE" w:rsidRPr="00BC6423" w14:paraId="6EEB7EE8" w14:textId="77777777" w:rsidTr="002458EE">
        <w:tc>
          <w:tcPr>
            <w:tcW w:w="2785" w:type="pct"/>
            <w:tcBorders>
              <w:left w:val="nil"/>
              <w:right w:val="nil"/>
            </w:tcBorders>
            <w:vAlign w:val="center"/>
          </w:tcPr>
          <w:p w14:paraId="453CE2D6" w14:textId="77777777" w:rsidR="002458EE" w:rsidRPr="00F013B8" w:rsidRDefault="002458EE" w:rsidP="002458EE">
            <w:pPr>
              <w:pStyle w:val="TableStubIMS"/>
              <w:spacing w:line="276" w:lineRule="auto"/>
              <w:ind w:left="173" w:hanging="173"/>
              <w:rPr>
                <w:rFonts w:ascii="Arial" w:hAnsi="Arial" w:cs="Arial"/>
              </w:rPr>
            </w:pPr>
            <w:r w:rsidRPr="00F013B8">
              <w:rPr>
                <w:rFonts w:ascii="Arial" w:hAnsi="Arial" w:cs="Arial"/>
              </w:rPr>
              <w:t>– basic (p)</w:t>
            </w:r>
          </w:p>
        </w:tc>
        <w:tc>
          <w:tcPr>
            <w:tcW w:w="143" w:type="pct"/>
            <w:tcBorders>
              <w:left w:val="nil"/>
              <w:right w:val="nil"/>
            </w:tcBorders>
            <w:vAlign w:val="bottom"/>
          </w:tcPr>
          <w:p w14:paraId="4BD70103" w14:textId="77777777" w:rsidR="002458EE" w:rsidRPr="00BC6423" w:rsidRDefault="002458EE" w:rsidP="002458EE">
            <w:pPr>
              <w:pStyle w:val="TableColumnIMS"/>
              <w:spacing w:line="276" w:lineRule="auto"/>
              <w:jc w:val="center"/>
              <w:rPr>
                <w:rFonts w:ascii="Arial" w:hAnsi="Arial" w:cs="Arial"/>
                <w:lang w:val="en-GB"/>
              </w:rPr>
            </w:pPr>
          </w:p>
        </w:tc>
        <w:tc>
          <w:tcPr>
            <w:tcW w:w="774" w:type="pct"/>
            <w:tcBorders>
              <w:left w:val="nil"/>
              <w:right w:val="nil"/>
            </w:tcBorders>
            <w:vAlign w:val="center"/>
          </w:tcPr>
          <w:p w14:paraId="124E9EB1" w14:textId="56173185" w:rsidR="002458EE" w:rsidRPr="00DA53C4" w:rsidRDefault="003C40A6" w:rsidP="002458EE">
            <w:pPr>
              <w:pStyle w:val="TableColumnIMS"/>
              <w:spacing w:line="276" w:lineRule="auto"/>
              <w:rPr>
                <w:rFonts w:ascii="Arial" w:hAnsi="Arial" w:cs="Arial"/>
                <w:b/>
              </w:rPr>
            </w:pPr>
            <w:r w:rsidRPr="00DA53C4">
              <w:rPr>
                <w:rFonts w:ascii="Arial" w:hAnsi="Arial" w:cs="Arial"/>
                <w:b/>
              </w:rPr>
              <w:t>9.3</w:t>
            </w:r>
          </w:p>
        </w:tc>
        <w:tc>
          <w:tcPr>
            <w:tcW w:w="709" w:type="pct"/>
            <w:tcBorders>
              <w:left w:val="nil"/>
              <w:right w:val="nil"/>
            </w:tcBorders>
            <w:vAlign w:val="center"/>
          </w:tcPr>
          <w:p w14:paraId="6D2AB487" w14:textId="08115F21" w:rsidR="002458EE" w:rsidRPr="005C13FE" w:rsidRDefault="00CD250B" w:rsidP="002458EE">
            <w:pPr>
              <w:pStyle w:val="TableColumnIMS"/>
              <w:spacing w:line="276" w:lineRule="auto"/>
              <w:ind w:right="106"/>
              <w:rPr>
                <w:rFonts w:ascii="Arial" w:hAnsi="Arial" w:cs="Arial"/>
              </w:rPr>
            </w:pPr>
            <w:r w:rsidRPr="005C13FE">
              <w:rPr>
                <w:rFonts w:ascii="Arial" w:hAnsi="Arial" w:cs="Arial"/>
              </w:rPr>
              <w:t>8.9</w:t>
            </w:r>
          </w:p>
        </w:tc>
        <w:tc>
          <w:tcPr>
            <w:tcW w:w="589" w:type="pct"/>
            <w:tcBorders>
              <w:left w:val="nil"/>
              <w:right w:val="nil"/>
            </w:tcBorders>
            <w:vAlign w:val="center"/>
          </w:tcPr>
          <w:p w14:paraId="1A5CA325" w14:textId="52D3A1AB" w:rsidR="002458EE" w:rsidRPr="00DA53C4" w:rsidRDefault="00184B21" w:rsidP="002458EE">
            <w:pPr>
              <w:pStyle w:val="TableColumnIMS"/>
              <w:spacing w:line="276" w:lineRule="auto"/>
              <w:ind w:right="66"/>
              <w:rPr>
                <w:rFonts w:ascii="Arial" w:eastAsia="Batang" w:hAnsi="Arial" w:cs="Arial"/>
              </w:rPr>
            </w:pPr>
            <w:r>
              <w:rPr>
                <w:rFonts w:ascii="Arial" w:eastAsia="Batang" w:hAnsi="Arial" w:cs="Arial"/>
              </w:rPr>
              <w:t>4</w:t>
            </w:r>
          </w:p>
        </w:tc>
      </w:tr>
      <w:tr w:rsidR="002458EE" w:rsidRPr="00BC6423" w14:paraId="16B33D78" w14:textId="77777777" w:rsidTr="002458EE">
        <w:tc>
          <w:tcPr>
            <w:tcW w:w="2785" w:type="pct"/>
            <w:tcBorders>
              <w:left w:val="nil"/>
              <w:bottom w:val="single" w:sz="12" w:space="0" w:color="auto"/>
              <w:right w:val="nil"/>
            </w:tcBorders>
            <w:vAlign w:val="center"/>
          </w:tcPr>
          <w:p w14:paraId="5B707A86" w14:textId="77777777" w:rsidR="002458EE" w:rsidRPr="00F013B8" w:rsidRDefault="002458EE" w:rsidP="002458EE">
            <w:pPr>
              <w:pStyle w:val="TableStubIMS"/>
              <w:spacing w:line="276" w:lineRule="auto"/>
              <w:ind w:left="173" w:hanging="173"/>
              <w:rPr>
                <w:rFonts w:ascii="Arial" w:hAnsi="Arial" w:cs="Arial"/>
              </w:rPr>
            </w:pPr>
            <w:r w:rsidRPr="00F013B8">
              <w:rPr>
                <w:rFonts w:ascii="Arial" w:hAnsi="Arial" w:cs="Arial"/>
              </w:rPr>
              <w:t>– diluted (p)</w:t>
            </w:r>
          </w:p>
        </w:tc>
        <w:tc>
          <w:tcPr>
            <w:tcW w:w="143" w:type="pct"/>
            <w:tcBorders>
              <w:left w:val="nil"/>
              <w:bottom w:val="single" w:sz="12" w:space="0" w:color="auto"/>
              <w:right w:val="nil"/>
            </w:tcBorders>
            <w:vAlign w:val="bottom"/>
          </w:tcPr>
          <w:p w14:paraId="0519446B" w14:textId="77777777" w:rsidR="002458EE" w:rsidRPr="00BC6423" w:rsidRDefault="002458EE" w:rsidP="002458EE">
            <w:pPr>
              <w:pStyle w:val="TableColumnIMS"/>
              <w:spacing w:line="276" w:lineRule="auto"/>
              <w:jc w:val="center"/>
              <w:rPr>
                <w:rFonts w:ascii="Arial" w:hAnsi="Arial" w:cs="Arial"/>
                <w:lang w:val="en-GB"/>
              </w:rPr>
            </w:pPr>
          </w:p>
        </w:tc>
        <w:tc>
          <w:tcPr>
            <w:tcW w:w="774" w:type="pct"/>
            <w:tcBorders>
              <w:left w:val="nil"/>
              <w:bottom w:val="single" w:sz="12" w:space="0" w:color="auto"/>
              <w:right w:val="nil"/>
            </w:tcBorders>
            <w:vAlign w:val="center"/>
          </w:tcPr>
          <w:p w14:paraId="35627944" w14:textId="1D7B2432" w:rsidR="002458EE" w:rsidRPr="00DA53C4" w:rsidRDefault="003C40A6" w:rsidP="002458EE">
            <w:pPr>
              <w:pStyle w:val="TableColumnIMS"/>
              <w:spacing w:line="276" w:lineRule="auto"/>
              <w:rPr>
                <w:rFonts w:ascii="Arial" w:hAnsi="Arial" w:cs="Arial"/>
                <w:b/>
              </w:rPr>
            </w:pPr>
            <w:r w:rsidRPr="00DA53C4">
              <w:rPr>
                <w:rFonts w:ascii="Arial" w:hAnsi="Arial" w:cs="Arial"/>
                <w:b/>
              </w:rPr>
              <w:t>9.</w:t>
            </w:r>
            <w:r w:rsidR="00A70ADA">
              <w:rPr>
                <w:rFonts w:ascii="Arial" w:hAnsi="Arial" w:cs="Arial"/>
                <w:b/>
              </w:rPr>
              <w:t>2</w:t>
            </w:r>
          </w:p>
        </w:tc>
        <w:tc>
          <w:tcPr>
            <w:tcW w:w="709" w:type="pct"/>
            <w:tcBorders>
              <w:left w:val="nil"/>
              <w:bottom w:val="single" w:sz="12" w:space="0" w:color="auto"/>
              <w:right w:val="nil"/>
            </w:tcBorders>
            <w:vAlign w:val="center"/>
          </w:tcPr>
          <w:p w14:paraId="1DD2E89E" w14:textId="6B3D68AB" w:rsidR="002458EE" w:rsidRPr="005C13FE" w:rsidRDefault="00997357" w:rsidP="002458EE">
            <w:pPr>
              <w:pStyle w:val="TableColumnIMS"/>
              <w:spacing w:line="276" w:lineRule="auto"/>
              <w:ind w:right="106"/>
              <w:rPr>
                <w:rFonts w:ascii="Arial" w:hAnsi="Arial" w:cs="Arial"/>
              </w:rPr>
            </w:pPr>
            <w:r w:rsidRPr="005C13FE">
              <w:rPr>
                <w:rFonts w:ascii="Arial" w:hAnsi="Arial" w:cs="Arial"/>
              </w:rPr>
              <w:t>8.9</w:t>
            </w:r>
          </w:p>
        </w:tc>
        <w:tc>
          <w:tcPr>
            <w:tcW w:w="589" w:type="pct"/>
            <w:tcBorders>
              <w:left w:val="nil"/>
              <w:bottom w:val="single" w:sz="12" w:space="0" w:color="auto"/>
              <w:right w:val="nil"/>
            </w:tcBorders>
            <w:vAlign w:val="center"/>
          </w:tcPr>
          <w:p w14:paraId="3F32B0BE" w14:textId="13DA4506" w:rsidR="002458EE" w:rsidRPr="00DA53C4" w:rsidRDefault="00C90BD5" w:rsidP="002458EE">
            <w:pPr>
              <w:pStyle w:val="TableColumnIMS"/>
              <w:spacing w:line="276" w:lineRule="auto"/>
              <w:ind w:right="66"/>
              <w:rPr>
                <w:rFonts w:ascii="Arial" w:eastAsia="Batang" w:hAnsi="Arial" w:cs="Arial"/>
              </w:rPr>
            </w:pPr>
            <w:r w:rsidRPr="00DA53C4">
              <w:rPr>
                <w:rFonts w:ascii="Arial" w:eastAsia="Batang" w:hAnsi="Arial" w:cs="Arial"/>
                <w:bCs/>
              </w:rPr>
              <w:t>4</w:t>
            </w:r>
          </w:p>
        </w:tc>
      </w:tr>
    </w:tbl>
    <w:p w14:paraId="181BB1FC" w14:textId="77777777" w:rsidR="002458EE" w:rsidRPr="005E7A81" w:rsidRDefault="002458EE" w:rsidP="002458EE">
      <w:pPr>
        <w:pStyle w:val="ParaIMS"/>
        <w:rPr>
          <w:rFonts w:ascii="Arial" w:eastAsiaTheme="minorHAnsi" w:hAnsi="Arial" w:cs="Arial"/>
          <w:sz w:val="16"/>
          <w:szCs w:val="16"/>
          <w:lang w:val="en-GB" w:eastAsia="en-GB"/>
        </w:rPr>
      </w:pPr>
      <w:r w:rsidRPr="005E7A81">
        <w:rPr>
          <w:rFonts w:ascii="Arial" w:eastAsiaTheme="minorHAnsi" w:hAnsi="Arial" w:cs="Arial"/>
          <w:sz w:val="16"/>
          <w:szCs w:val="16"/>
          <w:lang w:val="en-GB" w:eastAsia="en-GB"/>
        </w:rPr>
        <w:t>* A reconciliation to adjusted EPS is included within note 5.</w:t>
      </w:r>
    </w:p>
    <w:p w14:paraId="7987C332" w14:textId="77777777" w:rsidR="002458EE" w:rsidRPr="005E7A81" w:rsidRDefault="002458EE" w:rsidP="002458EE">
      <w:pPr>
        <w:spacing w:before="240"/>
        <w:rPr>
          <w:rFonts w:ascii="Arial" w:hAnsi="Arial" w:cs="Arial"/>
          <w:b/>
          <w:sz w:val="20"/>
        </w:rPr>
      </w:pPr>
      <w:r w:rsidRPr="005E7A81">
        <w:rPr>
          <w:rFonts w:ascii="Arial" w:hAnsi="Arial" w:cs="Arial"/>
          <w:sz w:val="16"/>
          <w:szCs w:val="16"/>
          <w:lang w:eastAsia="en-GB"/>
        </w:rPr>
        <w:t>** As explained above the table the comparative adjusted EBITDA has been updated to reflect irrecoverable VAT and associated costs of £1.0m as adjusting items.</w:t>
      </w:r>
    </w:p>
    <w:p w14:paraId="70271004" w14:textId="77777777" w:rsidR="001430CC" w:rsidRDefault="001430CC" w:rsidP="00294FD1">
      <w:pPr>
        <w:spacing w:before="240"/>
        <w:rPr>
          <w:rFonts w:ascii="Arial" w:hAnsi="Arial"/>
          <w:b/>
          <w:sz w:val="20"/>
        </w:rPr>
      </w:pPr>
    </w:p>
    <w:p w14:paraId="5657BB34" w14:textId="619D71E4" w:rsidR="00294FD1" w:rsidRPr="00A44138" w:rsidRDefault="00294FD1" w:rsidP="00294FD1">
      <w:pPr>
        <w:spacing w:before="240"/>
        <w:rPr>
          <w:rFonts w:ascii="Arial" w:hAnsi="Arial" w:cs="Arial"/>
          <w:b/>
        </w:rPr>
      </w:pPr>
      <w:r w:rsidRPr="00A44138">
        <w:rPr>
          <w:rFonts w:ascii="Arial" w:hAnsi="Arial"/>
          <w:b/>
          <w:sz w:val="20"/>
        </w:rPr>
        <w:lastRenderedPageBreak/>
        <w:t xml:space="preserve">Alternative performance measures </w:t>
      </w:r>
      <w:bookmarkStart w:id="16" w:name="_Hlk45115314"/>
    </w:p>
    <w:p w14:paraId="7EB5A3FC" w14:textId="5349225E" w:rsidR="00294FD1" w:rsidRPr="005E7A8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lang w:eastAsia="ko-KR"/>
        </w:rPr>
      </w:pPr>
      <w:r w:rsidRPr="005E7A81">
        <w:rPr>
          <w:rFonts w:ascii="Arial" w:eastAsia="Batang" w:hAnsi="Arial" w:cs="Times New Roman"/>
          <w:sz w:val="20"/>
          <w:szCs w:val="20"/>
          <w:lang w:eastAsia="ko-KR"/>
        </w:rPr>
        <w:t xml:space="preserve">We use a number of alternative (non-Generally Accepted Accounting Practice (“non-GAAP”)) financial measures which are not defined within IFRS. The Board reviews </w:t>
      </w:r>
      <w:r w:rsidR="00463D2D">
        <w:rPr>
          <w:rFonts w:ascii="Arial" w:eastAsia="Batang" w:hAnsi="Arial" w:cs="Times New Roman"/>
          <w:sz w:val="20"/>
          <w:szCs w:val="20"/>
          <w:lang w:eastAsia="ko-KR"/>
        </w:rPr>
        <w:t xml:space="preserve">Adjusted </w:t>
      </w:r>
      <w:r w:rsidRPr="005E7A81">
        <w:rPr>
          <w:rFonts w:ascii="Arial" w:eastAsia="Batang" w:hAnsi="Arial" w:cs="Times New Roman"/>
          <w:sz w:val="20"/>
          <w:szCs w:val="20"/>
          <w:lang w:eastAsia="ko-KR"/>
        </w:rPr>
        <w:t xml:space="preserve">EBITDA and </w:t>
      </w:r>
      <w:r w:rsidR="00335735">
        <w:rPr>
          <w:rFonts w:ascii="Arial" w:eastAsia="Batang" w:hAnsi="Arial" w:cs="Times New Roman"/>
          <w:sz w:val="20"/>
          <w:szCs w:val="20"/>
          <w:lang w:eastAsia="ko-KR"/>
        </w:rPr>
        <w:t>A</w:t>
      </w:r>
      <w:r w:rsidRPr="005E7A81">
        <w:rPr>
          <w:rFonts w:ascii="Arial" w:eastAsia="Batang" w:hAnsi="Arial" w:cs="Times New Roman"/>
          <w:sz w:val="20"/>
          <w:szCs w:val="20"/>
          <w:lang w:eastAsia="ko-KR"/>
        </w:rPr>
        <w:t xml:space="preserve">djusted EPS alongside GAAP measures when reviewing the performance of the Group. </w:t>
      </w:r>
      <w:bookmarkEnd w:id="16"/>
      <w:r w:rsidRPr="005E7A81">
        <w:rPr>
          <w:rFonts w:ascii="Arial" w:eastAsia="Batang" w:hAnsi="Arial" w:cs="Times New Roman"/>
          <w:sz w:val="20"/>
          <w:szCs w:val="20"/>
          <w:lang w:eastAsia="ko-KR"/>
        </w:rPr>
        <w:t xml:space="preserve">Executive management bonus targets include an </w:t>
      </w:r>
      <w:r w:rsidR="0040294A">
        <w:rPr>
          <w:rFonts w:ascii="Arial" w:eastAsia="Batang" w:hAnsi="Arial" w:cs="Times New Roman"/>
          <w:sz w:val="20"/>
          <w:szCs w:val="20"/>
          <w:lang w:eastAsia="ko-KR"/>
        </w:rPr>
        <w:t xml:space="preserve">Adjusted </w:t>
      </w:r>
      <w:r w:rsidRPr="005E7A81">
        <w:rPr>
          <w:rFonts w:ascii="Arial" w:eastAsia="Batang" w:hAnsi="Arial" w:cs="Times New Roman"/>
          <w:sz w:val="20"/>
          <w:szCs w:val="20"/>
          <w:lang w:eastAsia="ko-KR"/>
        </w:rPr>
        <w:t xml:space="preserve">EBITDA measure and the long-term incentive plans include an </w:t>
      </w:r>
      <w:r w:rsidR="00335735">
        <w:rPr>
          <w:rFonts w:ascii="Arial" w:eastAsia="Batang" w:hAnsi="Arial" w:cs="Times New Roman"/>
          <w:sz w:val="20"/>
          <w:szCs w:val="20"/>
          <w:lang w:eastAsia="ko-KR"/>
        </w:rPr>
        <w:t>A</w:t>
      </w:r>
      <w:r w:rsidRPr="005E7A81">
        <w:rPr>
          <w:rFonts w:ascii="Arial" w:eastAsia="Batang" w:hAnsi="Arial" w:cs="Times New Roman"/>
          <w:sz w:val="20"/>
          <w:szCs w:val="20"/>
          <w:lang w:eastAsia="ko-KR"/>
        </w:rPr>
        <w:t xml:space="preserve">djusted </w:t>
      </w:r>
      <w:r w:rsidR="00335735">
        <w:rPr>
          <w:rFonts w:ascii="Arial" w:eastAsia="Batang" w:hAnsi="Arial" w:cs="Times New Roman"/>
          <w:sz w:val="20"/>
          <w:szCs w:val="20"/>
          <w:lang w:eastAsia="ko-KR"/>
        </w:rPr>
        <w:t>B</w:t>
      </w:r>
      <w:r w:rsidRPr="005E7A81">
        <w:rPr>
          <w:rFonts w:ascii="Arial" w:eastAsia="Batang" w:hAnsi="Arial" w:cs="Times New Roman"/>
          <w:sz w:val="20"/>
          <w:szCs w:val="20"/>
          <w:lang w:eastAsia="ko-KR"/>
        </w:rPr>
        <w:t>asic EPS measure.</w:t>
      </w:r>
    </w:p>
    <w:p w14:paraId="1961028B" w14:textId="77777777" w:rsidR="00294FD1" w:rsidRPr="005E7A8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sz w:val="20"/>
          <w:szCs w:val="20"/>
          <w:lang w:eastAsia="ko-KR"/>
        </w:rPr>
      </w:pPr>
    </w:p>
    <w:p w14:paraId="39AB5C0C"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sz w:val="20"/>
          <w:szCs w:val="20"/>
          <w:lang w:eastAsia="ko-KR"/>
        </w:rPr>
      </w:pPr>
      <w:r w:rsidRPr="005E7A81">
        <w:rPr>
          <w:rFonts w:ascii="Arial" w:eastAsia="Batang" w:hAnsi="Arial" w:cs="Times New Roman"/>
          <w:sz w:val="20"/>
          <w:szCs w:val="20"/>
          <w:lang w:eastAsia="ko-KR"/>
        </w:rPr>
        <w:t>The adjustments are separately disclosed and are usually items that are non-underlying to trading activities and that are significant in size. Alternative performance measures used within these statements are accompanied with a reference to the relevant GAAP measure and the adjustments made. These measures should be considered alongside the IFRS measures.</w:t>
      </w:r>
    </w:p>
    <w:bookmarkEnd w:id="15"/>
    <w:p w14:paraId="7DF7121F" w14:textId="77777777" w:rsidR="00294FD1" w:rsidRPr="00A44138" w:rsidRDefault="00294FD1" w:rsidP="00294FD1">
      <w:pPr>
        <w:spacing w:before="120" w:after="0"/>
        <w:rPr>
          <w:rFonts w:ascii="Arial" w:hAnsi="Arial"/>
          <w:b/>
          <w:color w:val="FF0000"/>
          <w:sz w:val="20"/>
        </w:rPr>
      </w:pPr>
    </w:p>
    <w:p w14:paraId="5BC85697" w14:textId="77777777" w:rsidR="00294FD1" w:rsidRPr="00A44138" w:rsidRDefault="00294FD1" w:rsidP="00294FD1">
      <w:pPr>
        <w:tabs>
          <w:tab w:val="left" w:pos="5276"/>
        </w:tabs>
        <w:spacing w:before="120" w:after="0"/>
        <w:rPr>
          <w:rFonts w:ascii="Arial" w:hAnsi="Arial"/>
          <w:b/>
        </w:rPr>
      </w:pPr>
      <w:r w:rsidRPr="00A44138">
        <w:rPr>
          <w:rFonts w:ascii="Arial" w:hAnsi="Arial"/>
          <w:b/>
          <w:sz w:val="20"/>
        </w:rPr>
        <w:t>Revenue</w:t>
      </w:r>
      <w:r w:rsidRPr="00A44138">
        <w:rPr>
          <w:rFonts w:ascii="Arial" w:hAnsi="Arial"/>
          <w:b/>
          <w:sz w:val="20"/>
        </w:rPr>
        <w:tab/>
      </w:r>
    </w:p>
    <w:p w14:paraId="2FAEBE64" w14:textId="7E9B454B" w:rsidR="00294FD1" w:rsidRPr="005E7A8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i/>
          <w:sz w:val="20"/>
          <w:szCs w:val="20"/>
          <w:lang w:eastAsia="ko-KR"/>
        </w:rPr>
      </w:pPr>
      <w:r w:rsidRPr="005E7A81">
        <w:rPr>
          <w:rFonts w:ascii="Arial" w:eastAsia="Batang" w:hAnsi="Arial" w:cs="Times New Roman"/>
          <w:i/>
          <w:sz w:val="20"/>
          <w:szCs w:val="20"/>
          <w:lang w:eastAsia="ko-KR"/>
        </w:rPr>
        <w:t>for the six months ended 30 June</w:t>
      </w:r>
      <w:r w:rsidR="00190ADD" w:rsidRPr="005E7A81">
        <w:rPr>
          <w:rFonts w:ascii="Arial" w:eastAsia="Batang" w:hAnsi="Arial" w:cs="Times New Roman"/>
          <w:i/>
          <w:sz w:val="20"/>
          <w:szCs w:val="20"/>
          <w:lang w:eastAsia="ko-KR"/>
        </w:rPr>
        <w:t xml:space="preserve"> 202</w:t>
      </w:r>
      <w:r w:rsidR="00B01C3F" w:rsidRPr="005E7A81">
        <w:rPr>
          <w:rFonts w:ascii="Arial" w:eastAsia="Batang" w:hAnsi="Arial" w:cs="Times New Roman"/>
          <w:i/>
          <w:sz w:val="20"/>
          <w:szCs w:val="20"/>
          <w:lang w:eastAsia="ko-KR"/>
        </w:rPr>
        <w:t>5</w:t>
      </w:r>
      <w:r w:rsidR="00190ADD" w:rsidRPr="005E7A81">
        <w:rPr>
          <w:rFonts w:ascii="Arial" w:eastAsia="Batang" w:hAnsi="Arial" w:cs="Times New Roman"/>
          <w:i/>
          <w:sz w:val="20"/>
          <w:szCs w:val="20"/>
          <w:lang w:eastAsia="ko-KR"/>
        </w:rPr>
        <w:t xml:space="preserve"> and 30 June 202</w:t>
      </w:r>
      <w:r w:rsidR="00B01C3F" w:rsidRPr="005E7A81">
        <w:rPr>
          <w:rFonts w:ascii="Arial" w:eastAsia="Batang" w:hAnsi="Arial" w:cs="Times New Roman"/>
          <w:i/>
          <w:sz w:val="20"/>
          <w:szCs w:val="20"/>
          <w:lang w:eastAsia="ko-KR"/>
        </w:rPr>
        <w:t>4</w:t>
      </w:r>
    </w:p>
    <w:tbl>
      <w:tblPr>
        <w:tblW w:w="4998" w:type="pct"/>
        <w:tblCellMar>
          <w:left w:w="0" w:type="dxa"/>
          <w:right w:w="0" w:type="dxa"/>
        </w:tblCellMar>
        <w:tblLook w:val="04A0" w:firstRow="1" w:lastRow="0" w:firstColumn="1" w:lastColumn="0" w:noHBand="0" w:noVBand="1"/>
      </w:tblPr>
      <w:tblGrid>
        <w:gridCol w:w="4996"/>
        <w:gridCol w:w="618"/>
        <w:gridCol w:w="1224"/>
        <w:gridCol w:w="1126"/>
        <w:gridCol w:w="1104"/>
      </w:tblGrid>
      <w:tr w:rsidR="00294FD1" w:rsidRPr="00A44138" w14:paraId="2096BD85" w14:textId="77777777" w:rsidTr="006B4517">
        <w:trPr>
          <w:trHeight w:val="88"/>
        </w:trPr>
        <w:tc>
          <w:tcPr>
            <w:tcW w:w="2754" w:type="pct"/>
            <w:tcBorders>
              <w:left w:val="nil"/>
              <w:right w:val="nil"/>
            </w:tcBorders>
            <w:vAlign w:val="center"/>
          </w:tcPr>
          <w:p w14:paraId="5DCACC81" w14:textId="77777777" w:rsidR="00294FD1" w:rsidRPr="00A44138" w:rsidRDefault="00294FD1" w:rsidP="00294FD1">
            <w:pPr>
              <w:pStyle w:val="TableStubIMS"/>
              <w:spacing w:line="276" w:lineRule="auto"/>
              <w:rPr>
                <w:rFonts w:ascii="Arial" w:hAnsi="Arial"/>
                <w:b/>
                <w:color w:val="FF0000"/>
                <w:lang w:val="en-GB"/>
              </w:rPr>
            </w:pPr>
            <w:bookmarkStart w:id="17" w:name="_Hlk29822988"/>
          </w:p>
        </w:tc>
        <w:tc>
          <w:tcPr>
            <w:tcW w:w="341" w:type="pct"/>
            <w:tcBorders>
              <w:left w:val="nil"/>
              <w:right w:val="nil"/>
            </w:tcBorders>
            <w:vAlign w:val="bottom"/>
          </w:tcPr>
          <w:p w14:paraId="48146A52" w14:textId="77777777" w:rsidR="00294FD1" w:rsidRPr="00A44138" w:rsidRDefault="00294FD1" w:rsidP="00294FD1">
            <w:pPr>
              <w:pStyle w:val="TableColumnIMS"/>
              <w:spacing w:line="276" w:lineRule="auto"/>
              <w:jc w:val="center"/>
              <w:rPr>
                <w:rFonts w:ascii="Arial" w:hAnsi="Arial"/>
                <w:color w:val="FF0000"/>
                <w:lang w:val="en-GB"/>
              </w:rPr>
            </w:pPr>
          </w:p>
        </w:tc>
        <w:tc>
          <w:tcPr>
            <w:tcW w:w="675" w:type="pct"/>
            <w:tcBorders>
              <w:left w:val="nil"/>
              <w:right w:val="nil"/>
            </w:tcBorders>
            <w:vAlign w:val="center"/>
          </w:tcPr>
          <w:p w14:paraId="523FB67C" w14:textId="4C53B323" w:rsidR="00294FD1" w:rsidRPr="00AF15D4" w:rsidRDefault="00294FD1" w:rsidP="00294FD1">
            <w:pPr>
              <w:pStyle w:val="TableColumnIMS"/>
              <w:spacing w:line="276" w:lineRule="auto"/>
              <w:rPr>
                <w:rFonts w:ascii="Arial" w:eastAsia="Batang" w:hAnsi="Arial" w:cs="Arial"/>
                <w:b/>
                <w:lang w:val="en-GB" w:eastAsia="ko-KR"/>
              </w:rPr>
            </w:pPr>
            <w:r w:rsidRPr="00AF15D4">
              <w:rPr>
                <w:rFonts w:ascii="Arial" w:eastAsia="Batang" w:hAnsi="Arial" w:cs="Arial"/>
                <w:b/>
                <w:lang w:val="en-GB" w:eastAsia="ko-KR"/>
              </w:rPr>
              <w:t>202</w:t>
            </w:r>
            <w:r w:rsidR="00B01C3F" w:rsidRPr="00AF15D4">
              <w:rPr>
                <w:rFonts w:ascii="Arial" w:eastAsia="Batang" w:hAnsi="Arial" w:cs="Arial"/>
                <w:b/>
                <w:lang w:val="en-GB" w:eastAsia="ko-KR"/>
              </w:rPr>
              <w:t>5</w:t>
            </w:r>
          </w:p>
        </w:tc>
        <w:tc>
          <w:tcPr>
            <w:tcW w:w="621" w:type="pct"/>
            <w:tcBorders>
              <w:left w:val="nil"/>
              <w:right w:val="nil"/>
            </w:tcBorders>
            <w:vAlign w:val="center"/>
          </w:tcPr>
          <w:p w14:paraId="12B5724A" w14:textId="32D6E4A9" w:rsidR="00294FD1" w:rsidRPr="00AF15D4" w:rsidRDefault="00294FD1" w:rsidP="00294FD1">
            <w:pPr>
              <w:pStyle w:val="TableColumnIMS"/>
              <w:spacing w:line="276" w:lineRule="auto"/>
              <w:rPr>
                <w:rFonts w:ascii="Arial" w:eastAsia="Batang" w:hAnsi="Arial" w:cs="Arial"/>
                <w:b/>
                <w:lang w:val="en-GB" w:eastAsia="ko-KR"/>
              </w:rPr>
            </w:pPr>
            <w:r w:rsidRPr="00AF15D4">
              <w:rPr>
                <w:rFonts w:ascii="Arial" w:eastAsia="Batang" w:hAnsi="Arial" w:cs="Arial"/>
                <w:b/>
                <w:lang w:val="en-GB" w:eastAsia="ko-KR"/>
              </w:rPr>
              <w:t>202</w:t>
            </w:r>
            <w:r w:rsidR="00B01C3F" w:rsidRPr="00AF15D4">
              <w:rPr>
                <w:rFonts w:ascii="Arial" w:eastAsia="Batang" w:hAnsi="Arial" w:cs="Arial"/>
                <w:b/>
                <w:lang w:val="en-GB" w:eastAsia="ko-KR"/>
              </w:rPr>
              <w:t>4</w:t>
            </w:r>
          </w:p>
        </w:tc>
        <w:tc>
          <w:tcPr>
            <w:tcW w:w="610" w:type="pct"/>
            <w:tcBorders>
              <w:left w:val="nil"/>
              <w:right w:val="nil"/>
            </w:tcBorders>
            <w:vAlign w:val="center"/>
          </w:tcPr>
          <w:p w14:paraId="0B1786B0" w14:textId="77777777" w:rsidR="00294FD1" w:rsidRPr="00AF15D4" w:rsidRDefault="00294FD1" w:rsidP="00294FD1">
            <w:pPr>
              <w:pStyle w:val="TableColumnIMS"/>
              <w:spacing w:line="276" w:lineRule="auto"/>
              <w:rPr>
                <w:rFonts w:ascii="Arial" w:eastAsia="Batang" w:hAnsi="Arial" w:cs="Arial"/>
                <w:b/>
                <w:lang w:val="en-GB" w:eastAsia="ko-KR"/>
              </w:rPr>
            </w:pPr>
            <w:r w:rsidRPr="00AF15D4">
              <w:rPr>
                <w:rFonts w:ascii="Arial" w:eastAsia="Batang" w:hAnsi="Arial" w:cs="Arial"/>
                <w:b/>
                <w:lang w:val="en-GB" w:eastAsia="ko-KR"/>
              </w:rPr>
              <w:t>Growth</w:t>
            </w:r>
          </w:p>
        </w:tc>
      </w:tr>
      <w:tr w:rsidR="00294FD1" w:rsidRPr="00A44138" w14:paraId="4B8FE370" w14:textId="77777777" w:rsidTr="006B4517">
        <w:tc>
          <w:tcPr>
            <w:tcW w:w="2754" w:type="pct"/>
            <w:tcBorders>
              <w:left w:val="nil"/>
              <w:bottom w:val="single" w:sz="4" w:space="0" w:color="auto"/>
              <w:right w:val="nil"/>
            </w:tcBorders>
            <w:vAlign w:val="center"/>
          </w:tcPr>
          <w:p w14:paraId="51F157E7" w14:textId="77777777" w:rsidR="00294FD1" w:rsidRPr="00A44138" w:rsidRDefault="00294FD1" w:rsidP="00294FD1">
            <w:pPr>
              <w:pStyle w:val="TableStubIMS"/>
              <w:spacing w:line="276" w:lineRule="auto"/>
              <w:ind w:left="173" w:hanging="173"/>
              <w:rPr>
                <w:rFonts w:ascii="Arial" w:hAnsi="Arial"/>
                <w:b/>
                <w:color w:val="FF0000"/>
                <w:lang w:val="en-GB"/>
              </w:rPr>
            </w:pPr>
          </w:p>
        </w:tc>
        <w:tc>
          <w:tcPr>
            <w:tcW w:w="341" w:type="pct"/>
            <w:tcBorders>
              <w:left w:val="nil"/>
              <w:bottom w:val="single" w:sz="4" w:space="0" w:color="auto"/>
              <w:right w:val="nil"/>
            </w:tcBorders>
            <w:vAlign w:val="bottom"/>
          </w:tcPr>
          <w:p w14:paraId="32C628C9" w14:textId="77777777" w:rsidR="00294FD1" w:rsidRPr="00A44138" w:rsidRDefault="00294FD1" w:rsidP="00294FD1">
            <w:pPr>
              <w:pStyle w:val="TableColumnIMS"/>
              <w:spacing w:line="276" w:lineRule="auto"/>
              <w:jc w:val="center"/>
              <w:rPr>
                <w:rFonts w:ascii="Arial" w:hAnsi="Arial"/>
                <w:color w:val="FF0000"/>
                <w:lang w:val="en-GB"/>
              </w:rPr>
            </w:pPr>
          </w:p>
        </w:tc>
        <w:tc>
          <w:tcPr>
            <w:tcW w:w="675" w:type="pct"/>
            <w:tcBorders>
              <w:left w:val="nil"/>
              <w:bottom w:val="single" w:sz="4" w:space="0" w:color="auto"/>
              <w:right w:val="nil"/>
            </w:tcBorders>
            <w:vAlign w:val="center"/>
          </w:tcPr>
          <w:p w14:paraId="77178820" w14:textId="77777777" w:rsidR="00294FD1" w:rsidRPr="00AF15D4" w:rsidRDefault="00294FD1" w:rsidP="00294FD1">
            <w:pPr>
              <w:pStyle w:val="TableColumnIMS"/>
              <w:spacing w:line="276" w:lineRule="auto"/>
              <w:rPr>
                <w:rFonts w:ascii="Arial" w:eastAsia="Batang" w:hAnsi="Arial" w:cs="Arial"/>
                <w:b/>
                <w:lang w:val="en-GB" w:eastAsia="ko-KR"/>
              </w:rPr>
            </w:pPr>
            <w:r w:rsidRPr="00AF15D4">
              <w:rPr>
                <w:rFonts w:ascii="Arial" w:eastAsia="Batang" w:hAnsi="Arial" w:cs="Arial"/>
                <w:b/>
                <w:lang w:val="en-GB" w:eastAsia="ko-KR"/>
              </w:rPr>
              <w:t>£m</w:t>
            </w:r>
          </w:p>
        </w:tc>
        <w:tc>
          <w:tcPr>
            <w:tcW w:w="621" w:type="pct"/>
            <w:tcBorders>
              <w:left w:val="nil"/>
              <w:bottom w:val="single" w:sz="4" w:space="0" w:color="auto"/>
              <w:right w:val="nil"/>
            </w:tcBorders>
            <w:vAlign w:val="center"/>
          </w:tcPr>
          <w:p w14:paraId="2CE8AFC7" w14:textId="0C6ABB69" w:rsidR="00294FD1" w:rsidRPr="00AF15D4" w:rsidRDefault="00294FD1" w:rsidP="00294FD1">
            <w:pPr>
              <w:pStyle w:val="TableColumnIMS"/>
              <w:spacing w:line="276" w:lineRule="auto"/>
              <w:rPr>
                <w:rFonts w:ascii="Arial" w:eastAsia="Batang" w:hAnsi="Arial" w:cs="Arial"/>
                <w:b/>
                <w:lang w:val="en-GB" w:eastAsia="ko-KR"/>
              </w:rPr>
            </w:pPr>
            <w:r w:rsidRPr="00AF15D4">
              <w:rPr>
                <w:rFonts w:ascii="Arial" w:eastAsia="Batang" w:hAnsi="Arial" w:cs="Arial"/>
                <w:b/>
                <w:lang w:val="en-GB" w:eastAsia="ko-KR"/>
              </w:rPr>
              <w:t>£m</w:t>
            </w:r>
          </w:p>
        </w:tc>
        <w:tc>
          <w:tcPr>
            <w:tcW w:w="610" w:type="pct"/>
            <w:tcBorders>
              <w:left w:val="nil"/>
              <w:bottom w:val="single" w:sz="4" w:space="0" w:color="auto"/>
              <w:right w:val="nil"/>
            </w:tcBorders>
            <w:vAlign w:val="center"/>
          </w:tcPr>
          <w:p w14:paraId="6A3D4513" w14:textId="50809059" w:rsidR="00294FD1" w:rsidRPr="00AF15D4" w:rsidRDefault="004A2811" w:rsidP="00294FD1">
            <w:pPr>
              <w:pStyle w:val="TableColumnIMS"/>
              <w:spacing w:line="276" w:lineRule="auto"/>
              <w:rPr>
                <w:rFonts w:ascii="Arial" w:eastAsia="Batang" w:hAnsi="Arial" w:cs="Arial"/>
                <w:b/>
                <w:lang w:val="en-GB" w:eastAsia="ko-KR"/>
              </w:rPr>
            </w:pPr>
            <w:r>
              <w:rPr>
                <w:rFonts w:ascii="Arial" w:eastAsia="Batang" w:hAnsi="Arial" w:cs="Arial"/>
                <w:b/>
                <w:lang w:val="en-GB" w:eastAsia="ko-KR"/>
              </w:rPr>
              <w:t>%</w:t>
            </w:r>
          </w:p>
        </w:tc>
      </w:tr>
      <w:tr w:rsidR="00B01C3F" w:rsidRPr="00A44138" w14:paraId="54E70722" w14:textId="77777777" w:rsidTr="006B4517">
        <w:tc>
          <w:tcPr>
            <w:tcW w:w="2754" w:type="pct"/>
            <w:tcBorders>
              <w:top w:val="single" w:sz="4" w:space="0" w:color="auto"/>
              <w:left w:val="nil"/>
              <w:right w:val="nil"/>
            </w:tcBorders>
            <w:vAlign w:val="center"/>
          </w:tcPr>
          <w:p w14:paraId="6A150AFD"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Insurance</w:t>
            </w:r>
          </w:p>
        </w:tc>
        <w:tc>
          <w:tcPr>
            <w:tcW w:w="341" w:type="pct"/>
            <w:tcBorders>
              <w:top w:val="single" w:sz="4" w:space="0" w:color="auto"/>
              <w:left w:val="nil"/>
              <w:right w:val="nil"/>
            </w:tcBorders>
            <w:vAlign w:val="bottom"/>
          </w:tcPr>
          <w:p w14:paraId="44537ACE"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Borders>
              <w:top w:val="single" w:sz="4" w:space="0" w:color="auto"/>
              <w:left w:val="nil"/>
              <w:right w:val="nil"/>
            </w:tcBorders>
            <w:vAlign w:val="center"/>
          </w:tcPr>
          <w:p w14:paraId="519B0415" w14:textId="30AC106A" w:rsidR="00B01C3F" w:rsidRPr="00AF15D4" w:rsidRDefault="006D1B78" w:rsidP="00B01C3F">
            <w:pPr>
              <w:pStyle w:val="TableColumnIMS"/>
              <w:spacing w:line="276" w:lineRule="auto"/>
              <w:rPr>
                <w:rFonts w:ascii="Arial" w:hAnsi="Arial" w:cs="Arial"/>
                <w:b/>
                <w:lang w:val="en-GB"/>
              </w:rPr>
            </w:pPr>
            <w:r w:rsidRPr="00AF15D4">
              <w:rPr>
                <w:rFonts w:ascii="Arial" w:hAnsi="Arial" w:cs="Arial"/>
                <w:b/>
                <w:lang w:val="en-GB"/>
              </w:rPr>
              <w:t>117.</w:t>
            </w:r>
            <w:r w:rsidR="00084011" w:rsidRPr="00AF15D4">
              <w:rPr>
                <w:rFonts w:ascii="Arial" w:hAnsi="Arial" w:cs="Arial"/>
                <w:b/>
                <w:lang w:val="en-GB"/>
              </w:rPr>
              <w:t>7</w:t>
            </w:r>
          </w:p>
        </w:tc>
        <w:tc>
          <w:tcPr>
            <w:tcW w:w="621" w:type="pct"/>
            <w:tcBorders>
              <w:top w:val="single" w:sz="4" w:space="0" w:color="auto"/>
              <w:left w:val="nil"/>
              <w:right w:val="nil"/>
            </w:tcBorders>
            <w:vAlign w:val="center"/>
          </w:tcPr>
          <w:p w14:paraId="6B1BB73D" w14:textId="36BE7847"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119.9</w:t>
            </w:r>
          </w:p>
        </w:tc>
        <w:tc>
          <w:tcPr>
            <w:tcW w:w="610" w:type="pct"/>
            <w:tcBorders>
              <w:top w:val="single" w:sz="4" w:space="0" w:color="auto"/>
              <w:left w:val="nil"/>
              <w:right w:val="nil"/>
            </w:tcBorders>
          </w:tcPr>
          <w:p w14:paraId="4F504154" w14:textId="72DB33C8" w:rsidR="00B01C3F" w:rsidRPr="00AF15D4" w:rsidRDefault="00E2234D" w:rsidP="00B01C3F">
            <w:pPr>
              <w:pStyle w:val="TableColumnIMS"/>
              <w:spacing w:line="276" w:lineRule="auto"/>
              <w:rPr>
                <w:rFonts w:ascii="Arial" w:hAnsi="Arial" w:cs="Arial"/>
                <w:lang w:val="en-GB"/>
              </w:rPr>
            </w:pPr>
            <w:r w:rsidRPr="00AF15D4">
              <w:rPr>
                <w:rFonts w:ascii="Arial" w:hAnsi="Arial" w:cs="Arial"/>
                <w:lang w:val="en-GB"/>
              </w:rPr>
              <w:t>(2)</w:t>
            </w:r>
          </w:p>
        </w:tc>
      </w:tr>
      <w:tr w:rsidR="00B01C3F" w:rsidRPr="00A44138" w14:paraId="3DC9F950" w14:textId="77777777" w:rsidTr="006B4517">
        <w:tc>
          <w:tcPr>
            <w:tcW w:w="2754" w:type="pct"/>
            <w:tcBorders>
              <w:left w:val="nil"/>
              <w:right w:val="nil"/>
            </w:tcBorders>
            <w:vAlign w:val="center"/>
          </w:tcPr>
          <w:p w14:paraId="3E099877"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Money</w:t>
            </w:r>
          </w:p>
        </w:tc>
        <w:tc>
          <w:tcPr>
            <w:tcW w:w="341" w:type="pct"/>
            <w:tcBorders>
              <w:left w:val="nil"/>
              <w:right w:val="nil"/>
            </w:tcBorders>
            <w:vAlign w:val="bottom"/>
          </w:tcPr>
          <w:p w14:paraId="112AE367"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Borders>
              <w:left w:val="nil"/>
              <w:right w:val="nil"/>
            </w:tcBorders>
          </w:tcPr>
          <w:p w14:paraId="3562958D" w14:textId="638C8FD8" w:rsidR="00B01C3F" w:rsidRPr="00AF15D4" w:rsidRDefault="00FC28C3" w:rsidP="00B01C3F">
            <w:pPr>
              <w:pStyle w:val="TableColumnIMS"/>
              <w:spacing w:line="276" w:lineRule="auto"/>
              <w:rPr>
                <w:rFonts w:ascii="Arial" w:hAnsi="Arial" w:cs="Arial"/>
                <w:b/>
                <w:lang w:val="en-GB"/>
              </w:rPr>
            </w:pPr>
            <w:r w:rsidRPr="00AF15D4">
              <w:rPr>
                <w:rFonts w:ascii="Arial" w:hAnsi="Arial" w:cs="Arial"/>
                <w:b/>
                <w:lang w:val="en-GB"/>
              </w:rPr>
              <w:t>52.8</w:t>
            </w:r>
          </w:p>
        </w:tc>
        <w:tc>
          <w:tcPr>
            <w:tcW w:w="621" w:type="pct"/>
            <w:tcBorders>
              <w:left w:val="nil"/>
              <w:right w:val="nil"/>
            </w:tcBorders>
          </w:tcPr>
          <w:p w14:paraId="50592731" w14:textId="110C5D47"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50.9</w:t>
            </w:r>
          </w:p>
        </w:tc>
        <w:tc>
          <w:tcPr>
            <w:tcW w:w="610" w:type="pct"/>
            <w:tcBorders>
              <w:left w:val="nil"/>
              <w:right w:val="nil"/>
            </w:tcBorders>
          </w:tcPr>
          <w:p w14:paraId="5AC47504" w14:textId="5E008D43" w:rsidR="00B01C3F" w:rsidRPr="00AF15D4" w:rsidRDefault="00E2234D" w:rsidP="00B01C3F">
            <w:pPr>
              <w:pStyle w:val="TableColumnIMS"/>
              <w:spacing w:line="276" w:lineRule="auto"/>
              <w:rPr>
                <w:rFonts w:ascii="Arial" w:hAnsi="Arial" w:cs="Arial"/>
                <w:lang w:val="en-GB"/>
              </w:rPr>
            </w:pPr>
            <w:r w:rsidRPr="00AF15D4">
              <w:rPr>
                <w:rFonts w:ascii="Arial" w:hAnsi="Arial" w:cs="Arial"/>
                <w:lang w:val="en-GB"/>
              </w:rPr>
              <w:t>4</w:t>
            </w:r>
          </w:p>
        </w:tc>
      </w:tr>
      <w:tr w:rsidR="00B01C3F" w:rsidRPr="00A44138" w14:paraId="306E1DEB" w14:textId="77777777" w:rsidTr="006B4517">
        <w:trPr>
          <w:cantSplit/>
        </w:trPr>
        <w:tc>
          <w:tcPr>
            <w:tcW w:w="2754" w:type="pct"/>
            <w:vAlign w:val="center"/>
            <w:hideMark/>
          </w:tcPr>
          <w:p w14:paraId="086E4A42"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Home Services</w:t>
            </w:r>
          </w:p>
        </w:tc>
        <w:tc>
          <w:tcPr>
            <w:tcW w:w="341" w:type="pct"/>
            <w:vAlign w:val="bottom"/>
          </w:tcPr>
          <w:p w14:paraId="0A237170"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Pr>
          <w:p w14:paraId="0CC396A7" w14:textId="663F8044" w:rsidR="00B01C3F" w:rsidRPr="00AF15D4" w:rsidRDefault="008E25CF" w:rsidP="00B01C3F">
            <w:pPr>
              <w:pStyle w:val="TableColumnIMS"/>
              <w:spacing w:line="276" w:lineRule="auto"/>
              <w:rPr>
                <w:rFonts w:ascii="Arial" w:hAnsi="Arial" w:cs="Arial"/>
                <w:b/>
                <w:lang w:val="en-GB"/>
              </w:rPr>
            </w:pPr>
            <w:r w:rsidRPr="00AF15D4">
              <w:rPr>
                <w:rFonts w:ascii="Arial" w:hAnsi="Arial" w:cs="Arial"/>
                <w:b/>
                <w:lang w:val="en-GB"/>
              </w:rPr>
              <w:t>21.</w:t>
            </w:r>
            <w:r w:rsidR="00947B63" w:rsidRPr="00AF15D4">
              <w:rPr>
                <w:rFonts w:ascii="Arial" w:hAnsi="Arial" w:cs="Arial"/>
                <w:b/>
                <w:lang w:val="en-GB"/>
              </w:rPr>
              <w:t>6</w:t>
            </w:r>
          </w:p>
        </w:tc>
        <w:tc>
          <w:tcPr>
            <w:tcW w:w="621" w:type="pct"/>
          </w:tcPr>
          <w:p w14:paraId="714F73F7" w14:textId="507221E2"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16.7</w:t>
            </w:r>
          </w:p>
        </w:tc>
        <w:tc>
          <w:tcPr>
            <w:tcW w:w="610" w:type="pct"/>
          </w:tcPr>
          <w:p w14:paraId="6977B52B" w14:textId="2D28A61E" w:rsidR="00B01C3F" w:rsidRPr="00AF15D4" w:rsidRDefault="001F43B4" w:rsidP="00B01C3F">
            <w:pPr>
              <w:pStyle w:val="TableColumnIMS"/>
              <w:spacing w:line="276" w:lineRule="auto"/>
              <w:rPr>
                <w:rFonts w:ascii="Arial" w:hAnsi="Arial" w:cs="Arial"/>
                <w:lang w:val="en-GB"/>
              </w:rPr>
            </w:pPr>
            <w:r w:rsidRPr="00DA53C4">
              <w:rPr>
                <w:rFonts w:ascii="Arial" w:hAnsi="Arial" w:cs="Arial"/>
                <w:lang w:val="en-GB"/>
              </w:rPr>
              <w:t>29</w:t>
            </w:r>
          </w:p>
        </w:tc>
      </w:tr>
      <w:tr w:rsidR="00B01C3F" w:rsidRPr="00A44138" w14:paraId="57E303C2" w14:textId="77777777" w:rsidTr="006B4517">
        <w:trPr>
          <w:cantSplit/>
        </w:trPr>
        <w:tc>
          <w:tcPr>
            <w:tcW w:w="2754" w:type="pct"/>
            <w:vAlign w:val="center"/>
          </w:tcPr>
          <w:p w14:paraId="0B7E9E69"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Travel</w:t>
            </w:r>
          </w:p>
        </w:tc>
        <w:tc>
          <w:tcPr>
            <w:tcW w:w="341" w:type="pct"/>
            <w:vAlign w:val="bottom"/>
          </w:tcPr>
          <w:p w14:paraId="138FD40D"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Pr>
          <w:p w14:paraId="0FC6A927" w14:textId="52DF2AC6" w:rsidR="00B01C3F" w:rsidRPr="00AF15D4" w:rsidRDefault="003F29FB" w:rsidP="00B01C3F">
            <w:pPr>
              <w:pStyle w:val="TableColumnIMS"/>
              <w:spacing w:line="276" w:lineRule="auto"/>
              <w:rPr>
                <w:rFonts w:ascii="Arial" w:hAnsi="Arial" w:cs="Arial"/>
                <w:b/>
                <w:lang w:val="en-GB"/>
              </w:rPr>
            </w:pPr>
            <w:r w:rsidRPr="00AF15D4">
              <w:rPr>
                <w:rFonts w:ascii="Arial" w:hAnsi="Arial" w:cs="Arial"/>
                <w:b/>
                <w:lang w:val="en-GB"/>
              </w:rPr>
              <w:t>11.4</w:t>
            </w:r>
          </w:p>
        </w:tc>
        <w:tc>
          <w:tcPr>
            <w:tcW w:w="621" w:type="pct"/>
          </w:tcPr>
          <w:p w14:paraId="50BD968B" w14:textId="76FE5FB1"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11.7</w:t>
            </w:r>
          </w:p>
        </w:tc>
        <w:tc>
          <w:tcPr>
            <w:tcW w:w="610" w:type="pct"/>
          </w:tcPr>
          <w:p w14:paraId="57AB0B72" w14:textId="5678D2EF" w:rsidR="00B01C3F" w:rsidRPr="00AF15D4" w:rsidRDefault="00E2234D" w:rsidP="00B01C3F">
            <w:pPr>
              <w:pStyle w:val="TableColumnIMS"/>
              <w:spacing w:line="276" w:lineRule="auto"/>
              <w:rPr>
                <w:rFonts w:ascii="Arial" w:hAnsi="Arial" w:cs="Arial"/>
                <w:lang w:val="en-GB"/>
              </w:rPr>
            </w:pPr>
            <w:r w:rsidRPr="00AF15D4">
              <w:rPr>
                <w:rFonts w:ascii="Arial" w:hAnsi="Arial" w:cs="Arial"/>
                <w:lang w:val="en-GB"/>
              </w:rPr>
              <w:t>(</w:t>
            </w:r>
            <w:r w:rsidR="005A0BBD" w:rsidRPr="00DA53C4">
              <w:rPr>
                <w:rFonts w:ascii="Arial" w:hAnsi="Arial" w:cs="Arial"/>
                <w:lang w:val="en-GB"/>
              </w:rPr>
              <w:t>2</w:t>
            </w:r>
            <w:r w:rsidRPr="00AF15D4">
              <w:rPr>
                <w:rFonts w:ascii="Arial" w:hAnsi="Arial" w:cs="Arial"/>
                <w:lang w:val="en-GB"/>
              </w:rPr>
              <w:t>)</w:t>
            </w:r>
          </w:p>
        </w:tc>
      </w:tr>
      <w:tr w:rsidR="00B01C3F" w:rsidRPr="00A44138" w14:paraId="329F48AA" w14:textId="77777777" w:rsidTr="006B4517">
        <w:trPr>
          <w:cantSplit/>
        </w:trPr>
        <w:tc>
          <w:tcPr>
            <w:tcW w:w="2754" w:type="pct"/>
            <w:vAlign w:val="center"/>
          </w:tcPr>
          <w:p w14:paraId="3B14002B"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Cashback</w:t>
            </w:r>
          </w:p>
        </w:tc>
        <w:tc>
          <w:tcPr>
            <w:tcW w:w="341" w:type="pct"/>
            <w:vAlign w:val="bottom"/>
          </w:tcPr>
          <w:p w14:paraId="09575188"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Pr>
          <w:p w14:paraId="75DF9510" w14:textId="7A1C7941" w:rsidR="00B01C3F" w:rsidRPr="00AF15D4" w:rsidRDefault="00105051" w:rsidP="00B01C3F">
            <w:pPr>
              <w:pStyle w:val="TableColumnIMS"/>
              <w:spacing w:line="276" w:lineRule="auto"/>
              <w:rPr>
                <w:rFonts w:ascii="Arial" w:hAnsi="Arial" w:cs="Arial"/>
                <w:b/>
                <w:lang w:val="en-GB"/>
              </w:rPr>
            </w:pPr>
            <w:r w:rsidRPr="00AF15D4">
              <w:rPr>
                <w:rFonts w:ascii="Arial" w:hAnsi="Arial" w:cs="Arial"/>
                <w:b/>
                <w:lang w:val="en-GB"/>
              </w:rPr>
              <w:t>27.2</w:t>
            </w:r>
          </w:p>
        </w:tc>
        <w:tc>
          <w:tcPr>
            <w:tcW w:w="621" w:type="pct"/>
          </w:tcPr>
          <w:p w14:paraId="3FFBABCC" w14:textId="6FE55AEC"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29.8</w:t>
            </w:r>
          </w:p>
        </w:tc>
        <w:tc>
          <w:tcPr>
            <w:tcW w:w="610" w:type="pct"/>
          </w:tcPr>
          <w:p w14:paraId="7D3D457A" w14:textId="039FBC2E" w:rsidR="00B01C3F" w:rsidRPr="00AF15D4" w:rsidRDefault="00256F49" w:rsidP="00B01C3F">
            <w:pPr>
              <w:pStyle w:val="TableColumnIMS"/>
              <w:spacing w:line="276" w:lineRule="auto"/>
              <w:rPr>
                <w:rFonts w:ascii="Arial" w:hAnsi="Arial" w:cs="Arial"/>
                <w:lang w:val="en-GB"/>
              </w:rPr>
            </w:pPr>
            <w:r w:rsidRPr="00AF15D4">
              <w:rPr>
                <w:rFonts w:ascii="Arial" w:hAnsi="Arial" w:cs="Arial"/>
                <w:lang w:val="en-GB"/>
              </w:rPr>
              <w:t>(9)</w:t>
            </w:r>
          </w:p>
        </w:tc>
      </w:tr>
      <w:tr w:rsidR="00B01C3F" w:rsidRPr="00A44138" w14:paraId="444D4964" w14:textId="77777777" w:rsidTr="006B4517">
        <w:trPr>
          <w:cantSplit/>
        </w:trPr>
        <w:tc>
          <w:tcPr>
            <w:tcW w:w="2754" w:type="pct"/>
            <w:vAlign w:val="center"/>
          </w:tcPr>
          <w:p w14:paraId="23B3789A" w14:textId="49866AFF"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Inter-vertical eliminations</w:t>
            </w:r>
          </w:p>
        </w:tc>
        <w:tc>
          <w:tcPr>
            <w:tcW w:w="341" w:type="pct"/>
            <w:vAlign w:val="bottom"/>
          </w:tcPr>
          <w:p w14:paraId="3726736E"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Pr>
          <w:p w14:paraId="59270160" w14:textId="6ADC3718" w:rsidR="00B01C3F" w:rsidRPr="00AF15D4" w:rsidRDefault="00105051" w:rsidP="00B01C3F">
            <w:pPr>
              <w:pStyle w:val="TableColumnIMS"/>
              <w:spacing w:line="276" w:lineRule="auto"/>
              <w:rPr>
                <w:rFonts w:ascii="Arial" w:hAnsi="Arial" w:cs="Arial"/>
                <w:b/>
                <w:lang w:val="en-GB"/>
              </w:rPr>
            </w:pPr>
            <w:r w:rsidRPr="00AF15D4">
              <w:rPr>
                <w:rFonts w:ascii="Arial" w:hAnsi="Arial" w:cs="Arial"/>
                <w:b/>
                <w:lang w:val="en-GB"/>
              </w:rPr>
              <w:t>(5.</w:t>
            </w:r>
            <w:r w:rsidR="009C06D7" w:rsidRPr="00AF15D4">
              <w:rPr>
                <w:rFonts w:ascii="Arial" w:hAnsi="Arial" w:cs="Arial"/>
                <w:b/>
                <w:lang w:val="en-GB"/>
              </w:rPr>
              <w:t>4</w:t>
            </w:r>
            <w:r w:rsidRPr="00AF15D4">
              <w:rPr>
                <w:rFonts w:ascii="Arial" w:hAnsi="Arial" w:cs="Arial"/>
                <w:b/>
                <w:lang w:val="en-GB"/>
              </w:rPr>
              <w:t>)</w:t>
            </w:r>
          </w:p>
        </w:tc>
        <w:tc>
          <w:tcPr>
            <w:tcW w:w="621" w:type="pct"/>
          </w:tcPr>
          <w:p w14:paraId="0B9A337A" w14:textId="7CC5EB23"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(5.5)</w:t>
            </w:r>
          </w:p>
        </w:tc>
        <w:tc>
          <w:tcPr>
            <w:tcW w:w="610" w:type="pct"/>
          </w:tcPr>
          <w:p w14:paraId="0B151EDA" w14:textId="37B844D1" w:rsidR="00B01C3F" w:rsidRPr="00AF15D4" w:rsidRDefault="00816163" w:rsidP="00B01C3F">
            <w:pPr>
              <w:pStyle w:val="TableColumnIMS"/>
              <w:spacing w:line="276" w:lineRule="auto"/>
              <w:rPr>
                <w:rFonts w:ascii="Arial" w:hAnsi="Arial" w:cs="Arial"/>
                <w:lang w:val="en-GB"/>
              </w:rPr>
            </w:pPr>
            <w:r>
              <w:rPr>
                <w:rFonts w:ascii="Arial" w:hAnsi="Arial" w:cs="Arial"/>
                <w:lang w:val="en-GB"/>
              </w:rPr>
              <w:t>2</w:t>
            </w:r>
          </w:p>
        </w:tc>
      </w:tr>
      <w:tr w:rsidR="00B01C3F" w:rsidRPr="00A44138" w14:paraId="26A1DDC7" w14:textId="77777777" w:rsidTr="006B4517">
        <w:trPr>
          <w:cantSplit/>
        </w:trPr>
        <w:tc>
          <w:tcPr>
            <w:tcW w:w="2754" w:type="pct"/>
            <w:tcBorders>
              <w:top w:val="single" w:sz="4" w:space="0" w:color="auto"/>
              <w:bottom w:val="single" w:sz="4" w:space="0" w:color="auto"/>
            </w:tcBorders>
            <w:vAlign w:val="center"/>
          </w:tcPr>
          <w:p w14:paraId="64056402"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Total</w:t>
            </w:r>
          </w:p>
        </w:tc>
        <w:tc>
          <w:tcPr>
            <w:tcW w:w="341" w:type="pct"/>
            <w:tcBorders>
              <w:top w:val="single" w:sz="4" w:space="0" w:color="auto"/>
              <w:bottom w:val="single" w:sz="4" w:space="0" w:color="auto"/>
            </w:tcBorders>
            <w:vAlign w:val="bottom"/>
          </w:tcPr>
          <w:p w14:paraId="3DDA8308" w14:textId="77777777" w:rsidR="00B01C3F" w:rsidRPr="00A44138" w:rsidRDefault="00B01C3F" w:rsidP="00B01C3F">
            <w:pPr>
              <w:pStyle w:val="TableColumnIMS"/>
              <w:spacing w:line="276" w:lineRule="auto"/>
              <w:jc w:val="center"/>
              <w:rPr>
                <w:rFonts w:ascii="Arial" w:hAnsi="Arial" w:cs="Arial"/>
                <w:bCs/>
                <w:color w:val="FF0000"/>
                <w:lang w:val="en-GB"/>
              </w:rPr>
            </w:pPr>
          </w:p>
        </w:tc>
        <w:tc>
          <w:tcPr>
            <w:tcW w:w="675" w:type="pct"/>
            <w:tcBorders>
              <w:top w:val="single" w:sz="4" w:space="0" w:color="auto"/>
              <w:bottom w:val="single" w:sz="4" w:space="0" w:color="auto"/>
            </w:tcBorders>
          </w:tcPr>
          <w:p w14:paraId="02E1AFBD" w14:textId="4E98C4B6" w:rsidR="00B01C3F" w:rsidRPr="00AF15D4" w:rsidRDefault="002858BA" w:rsidP="00B01C3F">
            <w:pPr>
              <w:pStyle w:val="TableColumnIMS"/>
              <w:spacing w:line="276" w:lineRule="auto"/>
              <w:rPr>
                <w:rFonts w:ascii="Arial" w:hAnsi="Arial" w:cs="Arial"/>
                <w:b/>
                <w:lang w:val="en-GB"/>
              </w:rPr>
            </w:pPr>
            <w:r w:rsidRPr="00AF15D4">
              <w:rPr>
                <w:rFonts w:ascii="Arial" w:hAnsi="Arial" w:cs="Arial"/>
                <w:b/>
                <w:lang w:val="en-GB"/>
              </w:rPr>
              <w:t>225.</w:t>
            </w:r>
            <w:r w:rsidR="009C06D7" w:rsidRPr="00AF15D4">
              <w:rPr>
                <w:rFonts w:ascii="Arial" w:hAnsi="Arial" w:cs="Arial"/>
                <w:b/>
                <w:lang w:val="en-GB"/>
              </w:rPr>
              <w:t>3</w:t>
            </w:r>
          </w:p>
        </w:tc>
        <w:tc>
          <w:tcPr>
            <w:tcW w:w="621" w:type="pct"/>
            <w:tcBorders>
              <w:top w:val="single" w:sz="4" w:space="0" w:color="auto"/>
              <w:bottom w:val="single" w:sz="4" w:space="0" w:color="auto"/>
            </w:tcBorders>
          </w:tcPr>
          <w:p w14:paraId="110E2AC6" w14:textId="10733780" w:rsidR="00B01C3F" w:rsidRPr="00AF15D4" w:rsidRDefault="00B01C3F" w:rsidP="00B01C3F">
            <w:pPr>
              <w:pStyle w:val="TableColumnIMS"/>
              <w:spacing w:line="276" w:lineRule="auto"/>
              <w:rPr>
                <w:rFonts w:ascii="Arial" w:hAnsi="Arial" w:cs="Arial"/>
                <w:bCs/>
                <w:lang w:val="en-GB"/>
              </w:rPr>
            </w:pPr>
            <w:r w:rsidRPr="00AF15D4">
              <w:rPr>
                <w:rFonts w:ascii="Arial" w:hAnsi="Arial" w:cs="Arial"/>
                <w:bCs/>
                <w:lang w:val="en-GB"/>
              </w:rPr>
              <w:t>223.5</w:t>
            </w:r>
          </w:p>
        </w:tc>
        <w:tc>
          <w:tcPr>
            <w:tcW w:w="610" w:type="pct"/>
            <w:tcBorders>
              <w:top w:val="single" w:sz="4" w:space="0" w:color="auto"/>
              <w:bottom w:val="single" w:sz="4" w:space="0" w:color="auto"/>
            </w:tcBorders>
          </w:tcPr>
          <w:p w14:paraId="01654F5A" w14:textId="4C9EA33B" w:rsidR="00B01C3F" w:rsidRPr="00AF15D4" w:rsidRDefault="00FC689F" w:rsidP="00B01C3F">
            <w:pPr>
              <w:pStyle w:val="TableColumnIMS"/>
              <w:spacing w:line="276" w:lineRule="auto"/>
              <w:rPr>
                <w:rFonts w:ascii="Arial" w:hAnsi="Arial" w:cs="Arial"/>
                <w:lang w:val="en-GB"/>
              </w:rPr>
            </w:pPr>
            <w:r w:rsidRPr="00AF15D4">
              <w:rPr>
                <w:rFonts w:ascii="Arial" w:hAnsi="Arial" w:cs="Arial"/>
                <w:lang w:val="en-GB"/>
              </w:rPr>
              <w:t>1</w:t>
            </w:r>
          </w:p>
        </w:tc>
      </w:tr>
    </w:tbl>
    <w:p w14:paraId="2F8DD5F6" w14:textId="77777777" w:rsidR="00913EEA" w:rsidRDefault="00913E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color w:val="FF0000"/>
          <w:sz w:val="18"/>
          <w:szCs w:val="18"/>
          <w:lang w:eastAsia="ko-KR"/>
        </w:rPr>
      </w:pPr>
    </w:p>
    <w:p w14:paraId="071358AB" w14:textId="77777777" w:rsidR="00913EEA" w:rsidRDefault="00913E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color w:val="FF0000"/>
          <w:sz w:val="18"/>
          <w:szCs w:val="18"/>
          <w:lang w:eastAsia="ko-KR"/>
        </w:rPr>
      </w:pPr>
    </w:p>
    <w:p w14:paraId="74AE52A4" w14:textId="5A260072" w:rsidR="00913EEA" w:rsidRPr="00A44138" w:rsidRDefault="00913EEA" w:rsidP="00913EEA">
      <w:pPr>
        <w:spacing w:before="240"/>
        <w:rPr>
          <w:rFonts w:ascii="Arial" w:hAnsi="Arial" w:cs="Arial"/>
          <w:b/>
        </w:rPr>
      </w:pPr>
      <w:r>
        <w:rPr>
          <w:rFonts w:ascii="Arial" w:hAnsi="Arial"/>
          <w:b/>
          <w:sz w:val="20"/>
        </w:rPr>
        <w:t>Gross profit</w:t>
      </w:r>
    </w:p>
    <w:p w14:paraId="5EA5607A" w14:textId="2F63E418" w:rsidR="00913EEA" w:rsidRPr="005E7A81" w:rsidRDefault="006D256F" w:rsidP="00913EEA">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lang w:eastAsia="ko-KR"/>
        </w:rPr>
      </w:pPr>
      <w:r>
        <w:rPr>
          <w:rFonts w:ascii="Arial" w:eastAsia="Batang" w:hAnsi="Arial" w:cs="Times New Roman"/>
          <w:sz w:val="20"/>
          <w:szCs w:val="20"/>
          <w:lang w:eastAsia="ko-KR"/>
        </w:rPr>
        <w:t>Gross profit was down 3% to £</w:t>
      </w:r>
      <w:r w:rsidR="008246BD">
        <w:rPr>
          <w:rFonts w:ascii="Arial" w:eastAsia="Batang" w:hAnsi="Arial" w:cs="Times New Roman"/>
          <w:sz w:val="20"/>
          <w:szCs w:val="20"/>
          <w:lang w:eastAsia="ko-KR"/>
        </w:rPr>
        <w:t>147.7m</w:t>
      </w:r>
      <w:r w:rsidR="003F26CE">
        <w:rPr>
          <w:rFonts w:ascii="Arial" w:eastAsia="Batang" w:hAnsi="Arial" w:cs="Times New Roman"/>
          <w:sz w:val="20"/>
          <w:szCs w:val="20"/>
          <w:lang w:eastAsia="ko-KR"/>
        </w:rPr>
        <w:t xml:space="preserve">, while gross margin decreased to </w:t>
      </w:r>
      <w:r w:rsidR="003869F6">
        <w:rPr>
          <w:rFonts w:ascii="Arial" w:eastAsia="Batang" w:hAnsi="Arial" w:cs="Times New Roman"/>
          <w:sz w:val="20"/>
          <w:szCs w:val="20"/>
          <w:lang w:eastAsia="ko-KR"/>
        </w:rPr>
        <w:t>66%</w:t>
      </w:r>
      <w:r w:rsidR="006A40AD">
        <w:rPr>
          <w:rFonts w:ascii="Arial" w:eastAsia="Batang" w:hAnsi="Arial" w:cs="Times New Roman"/>
          <w:sz w:val="20"/>
          <w:szCs w:val="20"/>
          <w:lang w:eastAsia="ko-KR"/>
        </w:rPr>
        <w:t xml:space="preserve"> (2024: 68%)</w:t>
      </w:r>
      <w:r w:rsidR="007F60C6">
        <w:rPr>
          <w:rFonts w:ascii="Arial" w:eastAsia="Batang" w:hAnsi="Arial" w:cs="Times New Roman"/>
          <w:sz w:val="20"/>
          <w:szCs w:val="20"/>
          <w:lang w:eastAsia="ko-KR"/>
        </w:rPr>
        <w:t>.</w:t>
      </w:r>
      <w:r w:rsidR="007F60C6" w:rsidDel="002E39A7">
        <w:rPr>
          <w:rFonts w:ascii="Arial" w:eastAsia="Batang" w:hAnsi="Arial" w:cs="Times New Roman"/>
          <w:sz w:val="20"/>
          <w:szCs w:val="20"/>
          <w:lang w:eastAsia="ko-KR"/>
        </w:rPr>
        <w:t xml:space="preserve"> </w:t>
      </w:r>
      <w:r w:rsidR="007F60C6">
        <w:rPr>
          <w:rFonts w:ascii="Arial" w:eastAsia="Batang" w:hAnsi="Arial" w:cs="Times New Roman"/>
          <w:sz w:val="20"/>
          <w:szCs w:val="20"/>
          <w:lang w:eastAsia="ko-KR"/>
        </w:rPr>
        <w:t xml:space="preserve">Both measures were impacted by the </w:t>
      </w:r>
      <w:r w:rsidR="002E70B2">
        <w:rPr>
          <w:rFonts w:ascii="Arial" w:eastAsia="Batang" w:hAnsi="Arial" w:cs="Times New Roman"/>
          <w:sz w:val="20"/>
          <w:szCs w:val="20"/>
          <w:lang w:eastAsia="ko-KR"/>
        </w:rPr>
        <w:t>expected contraction in the car market</w:t>
      </w:r>
      <w:r w:rsidR="00761ACB">
        <w:rPr>
          <w:rFonts w:ascii="Arial" w:eastAsia="Batang" w:hAnsi="Arial" w:cs="Times New Roman"/>
          <w:sz w:val="20"/>
          <w:szCs w:val="20"/>
          <w:lang w:eastAsia="ko-KR"/>
        </w:rPr>
        <w:t xml:space="preserve"> following </w:t>
      </w:r>
      <w:r w:rsidR="004F4033">
        <w:rPr>
          <w:rFonts w:ascii="Arial" w:eastAsia="Batang" w:hAnsi="Arial" w:cs="Times New Roman"/>
          <w:sz w:val="20"/>
          <w:szCs w:val="20"/>
          <w:lang w:eastAsia="ko-KR"/>
        </w:rPr>
        <w:t xml:space="preserve">strong </w:t>
      </w:r>
      <w:r w:rsidR="00761ACB">
        <w:rPr>
          <w:rFonts w:ascii="Arial" w:eastAsia="Batang" w:hAnsi="Arial" w:cs="Times New Roman"/>
          <w:sz w:val="20"/>
          <w:szCs w:val="20"/>
          <w:lang w:eastAsia="ko-KR"/>
        </w:rPr>
        <w:t>performance last year</w:t>
      </w:r>
      <w:r w:rsidR="0071284C">
        <w:rPr>
          <w:rFonts w:ascii="Arial" w:eastAsia="Batang" w:hAnsi="Arial" w:cs="Times New Roman"/>
          <w:sz w:val="20"/>
          <w:szCs w:val="20"/>
          <w:lang w:eastAsia="ko-KR"/>
        </w:rPr>
        <w:t>. The margin also saw impact from</w:t>
      </w:r>
      <w:r w:rsidR="00EE4815">
        <w:rPr>
          <w:rFonts w:ascii="Arial" w:eastAsia="Batang" w:hAnsi="Arial" w:cs="Times New Roman"/>
          <w:sz w:val="20"/>
          <w:szCs w:val="20"/>
          <w:lang w:eastAsia="ko-KR"/>
        </w:rPr>
        <w:t xml:space="preserve"> the growth of B2B which has structurally lower margins</w:t>
      </w:r>
      <w:r w:rsidR="007915F3">
        <w:rPr>
          <w:rFonts w:ascii="Arial" w:eastAsia="Batang" w:hAnsi="Arial" w:cs="Times New Roman"/>
          <w:sz w:val="20"/>
          <w:szCs w:val="20"/>
          <w:lang w:eastAsia="ko-KR"/>
        </w:rPr>
        <w:t xml:space="preserve">, as well as </w:t>
      </w:r>
      <w:r w:rsidR="005903DA">
        <w:rPr>
          <w:rFonts w:ascii="Arial" w:eastAsia="Batang" w:hAnsi="Arial" w:cs="Times New Roman"/>
          <w:sz w:val="20"/>
          <w:szCs w:val="20"/>
          <w:lang w:eastAsia="ko-KR"/>
        </w:rPr>
        <w:t xml:space="preserve">higher PPC costs and </w:t>
      </w:r>
      <w:r w:rsidR="007915F3">
        <w:rPr>
          <w:rFonts w:ascii="Arial" w:eastAsia="Batang" w:hAnsi="Arial" w:cs="Times New Roman"/>
          <w:sz w:val="20"/>
          <w:szCs w:val="20"/>
          <w:lang w:eastAsia="ko-KR"/>
        </w:rPr>
        <w:t xml:space="preserve">the launch of </w:t>
      </w:r>
      <w:r w:rsidR="00BC43F9">
        <w:rPr>
          <w:rFonts w:ascii="Arial" w:eastAsia="Batang" w:hAnsi="Arial" w:cs="Times New Roman"/>
          <w:sz w:val="20"/>
          <w:szCs w:val="20"/>
          <w:lang w:eastAsia="ko-KR"/>
        </w:rPr>
        <w:t>first purchase rewards within SuperSaveClub</w:t>
      </w:r>
      <w:r w:rsidR="00761ACB">
        <w:rPr>
          <w:rFonts w:ascii="Arial" w:eastAsia="Batang" w:hAnsi="Arial" w:cs="Times New Roman"/>
          <w:sz w:val="20"/>
          <w:szCs w:val="20"/>
          <w:lang w:eastAsia="ko-KR"/>
        </w:rPr>
        <w:t>.</w:t>
      </w:r>
    </w:p>
    <w:p w14:paraId="42310394" w14:textId="6684D3A4"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000000" w:themeColor="text1"/>
          <w:sz w:val="20"/>
          <w:szCs w:val="20"/>
          <w:lang w:eastAsia="ko-KR"/>
        </w:rPr>
      </w:pPr>
      <w:bookmarkStart w:id="18" w:name="_Hlk32482482"/>
      <w:bookmarkEnd w:id="17"/>
    </w:p>
    <w:p w14:paraId="6D63226C" w14:textId="77777777" w:rsidR="00294FD1" w:rsidRPr="00A44138" w:rsidRDefault="00294FD1" w:rsidP="00294FD1">
      <w:pPr>
        <w:spacing w:before="240" w:after="0"/>
        <w:rPr>
          <w:rFonts w:ascii="Arial" w:hAnsi="Arial"/>
          <w:b/>
        </w:rPr>
      </w:pPr>
      <w:r w:rsidRPr="00A44138">
        <w:rPr>
          <w:rFonts w:ascii="Arial" w:hAnsi="Arial"/>
          <w:b/>
          <w:sz w:val="20"/>
        </w:rPr>
        <w:t>Operating costs</w:t>
      </w:r>
    </w:p>
    <w:p w14:paraId="0F2C8B63" w14:textId="7BCC54BA" w:rsidR="00294FD1" w:rsidRPr="005E7A8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i/>
          <w:lang w:eastAsia="ko-KR"/>
        </w:rPr>
      </w:pPr>
      <w:r w:rsidRPr="005E7A81">
        <w:rPr>
          <w:rFonts w:ascii="Arial" w:hAnsi="Arial"/>
          <w:i/>
          <w:sz w:val="20"/>
        </w:rPr>
        <w:t>for the six months ended 30 June</w:t>
      </w:r>
      <w:r w:rsidR="00190ADD" w:rsidRPr="005E7A81">
        <w:rPr>
          <w:rFonts w:ascii="Arial" w:hAnsi="Arial"/>
          <w:i/>
          <w:sz w:val="20"/>
        </w:rPr>
        <w:t xml:space="preserve"> 202</w:t>
      </w:r>
      <w:r w:rsidR="00B01C3F" w:rsidRPr="005E7A81">
        <w:rPr>
          <w:rFonts w:ascii="Arial" w:hAnsi="Arial"/>
          <w:i/>
          <w:sz w:val="20"/>
        </w:rPr>
        <w:t>5</w:t>
      </w:r>
      <w:r w:rsidR="00190ADD" w:rsidRPr="005E7A81">
        <w:rPr>
          <w:rFonts w:ascii="Arial" w:hAnsi="Arial"/>
          <w:i/>
          <w:sz w:val="20"/>
        </w:rPr>
        <w:t xml:space="preserve"> and 30 June 202</w:t>
      </w:r>
      <w:r w:rsidR="00B01C3F" w:rsidRPr="005E7A81">
        <w:rPr>
          <w:rFonts w:ascii="Arial" w:hAnsi="Arial"/>
          <w:i/>
          <w:sz w:val="20"/>
        </w:rPr>
        <w:t>4</w:t>
      </w:r>
    </w:p>
    <w:tbl>
      <w:tblPr>
        <w:tblW w:w="4911" w:type="pct"/>
        <w:tblCellMar>
          <w:left w:w="0" w:type="dxa"/>
          <w:right w:w="0" w:type="dxa"/>
        </w:tblCellMar>
        <w:tblLook w:val="04A0" w:firstRow="1" w:lastRow="0" w:firstColumn="1" w:lastColumn="0" w:noHBand="0" w:noVBand="1"/>
      </w:tblPr>
      <w:tblGrid>
        <w:gridCol w:w="4924"/>
        <w:gridCol w:w="627"/>
        <w:gridCol w:w="1125"/>
        <w:gridCol w:w="1125"/>
        <w:gridCol w:w="1110"/>
      </w:tblGrid>
      <w:tr w:rsidR="00EF7B79" w:rsidRPr="00EF7B79" w14:paraId="46893B1B" w14:textId="77777777" w:rsidTr="00B01C3F">
        <w:trPr>
          <w:trHeight w:val="88"/>
        </w:trPr>
        <w:tc>
          <w:tcPr>
            <w:tcW w:w="2763" w:type="pct"/>
            <w:tcBorders>
              <w:left w:val="nil"/>
              <w:right w:val="nil"/>
            </w:tcBorders>
            <w:vAlign w:val="center"/>
          </w:tcPr>
          <w:p w14:paraId="3AEC1C13" w14:textId="77777777" w:rsidR="00294FD1" w:rsidRPr="005E7A81" w:rsidRDefault="00294FD1" w:rsidP="00294FD1">
            <w:pPr>
              <w:pStyle w:val="TableStubIMS"/>
              <w:spacing w:line="276" w:lineRule="auto"/>
              <w:rPr>
                <w:rFonts w:ascii="Arial" w:hAnsi="Arial"/>
                <w:b/>
                <w:lang w:val="en-GB"/>
              </w:rPr>
            </w:pPr>
          </w:p>
        </w:tc>
        <w:tc>
          <w:tcPr>
            <w:tcW w:w="352" w:type="pct"/>
            <w:tcBorders>
              <w:left w:val="nil"/>
              <w:right w:val="nil"/>
            </w:tcBorders>
            <w:vAlign w:val="bottom"/>
          </w:tcPr>
          <w:p w14:paraId="0EFDC6D8" w14:textId="77777777" w:rsidR="00294FD1" w:rsidRPr="005E7A81" w:rsidRDefault="00294FD1" w:rsidP="00294FD1">
            <w:pPr>
              <w:pStyle w:val="TableColumnIMS"/>
              <w:spacing w:line="276" w:lineRule="auto"/>
              <w:jc w:val="center"/>
              <w:rPr>
                <w:rFonts w:ascii="Arial" w:hAnsi="Arial"/>
                <w:lang w:val="en-GB"/>
              </w:rPr>
            </w:pPr>
          </w:p>
        </w:tc>
        <w:tc>
          <w:tcPr>
            <w:tcW w:w="631" w:type="pct"/>
            <w:tcBorders>
              <w:left w:val="nil"/>
              <w:right w:val="nil"/>
            </w:tcBorders>
            <w:vAlign w:val="center"/>
          </w:tcPr>
          <w:p w14:paraId="38C1F9F3" w14:textId="1BB1EC5A" w:rsidR="00294FD1" w:rsidRPr="00EF7B79" w:rsidRDefault="00294FD1" w:rsidP="00294FD1">
            <w:pPr>
              <w:pStyle w:val="TableColumnIMS"/>
              <w:spacing w:line="276" w:lineRule="auto"/>
              <w:rPr>
                <w:rFonts w:ascii="Arial" w:eastAsia="Batang" w:hAnsi="Arial"/>
                <w:b/>
                <w:lang w:val="en-GB"/>
              </w:rPr>
            </w:pPr>
            <w:r w:rsidRPr="00EF7B79">
              <w:rPr>
                <w:rFonts w:ascii="Arial" w:eastAsia="Batang" w:hAnsi="Arial"/>
                <w:b/>
                <w:lang w:val="en-GB"/>
              </w:rPr>
              <w:t>202</w:t>
            </w:r>
            <w:r w:rsidR="00B01C3F" w:rsidRPr="00EF7B79">
              <w:rPr>
                <w:rFonts w:ascii="Arial" w:eastAsia="Batang" w:hAnsi="Arial"/>
                <w:b/>
                <w:lang w:val="en-GB"/>
              </w:rPr>
              <w:t>5</w:t>
            </w:r>
          </w:p>
        </w:tc>
        <w:tc>
          <w:tcPr>
            <w:tcW w:w="631" w:type="pct"/>
            <w:tcBorders>
              <w:left w:val="nil"/>
              <w:right w:val="nil"/>
            </w:tcBorders>
            <w:vAlign w:val="center"/>
          </w:tcPr>
          <w:p w14:paraId="5A97FFBE" w14:textId="39EE5607" w:rsidR="00294FD1" w:rsidRPr="005E7A81" w:rsidRDefault="00294FD1" w:rsidP="00294FD1">
            <w:pPr>
              <w:pStyle w:val="TableColumnIMS"/>
              <w:spacing w:line="276" w:lineRule="auto"/>
              <w:rPr>
                <w:rFonts w:ascii="Arial" w:eastAsia="Batang" w:hAnsi="Arial"/>
                <w:b/>
                <w:lang w:val="en-GB"/>
              </w:rPr>
            </w:pPr>
            <w:r w:rsidRPr="005E7A81">
              <w:rPr>
                <w:rFonts w:ascii="Arial" w:eastAsia="Batang" w:hAnsi="Arial"/>
                <w:b/>
                <w:lang w:val="en-GB"/>
              </w:rPr>
              <w:t>202</w:t>
            </w:r>
            <w:r w:rsidR="00B01C3F" w:rsidRPr="005E7A81">
              <w:rPr>
                <w:rFonts w:ascii="Arial" w:eastAsia="Batang" w:hAnsi="Arial"/>
                <w:b/>
                <w:lang w:val="en-GB"/>
              </w:rPr>
              <w:t>4</w:t>
            </w:r>
          </w:p>
        </w:tc>
        <w:tc>
          <w:tcPr>
            <w:tcW w:w="623" w:type="pct"/>
            <w:tcBorders>
              <w:left w:val="nil"/>
              <w:right w:val="nil"/>
            </w:tcBorders>
            <w:vAlign w:val="center"/>
          </w:tcPr>
          <w:p w14:paraId="59A914A1" w14:textId="77777777" w:rsidR="00294FD1" w:rsidRPr="00EF7B79" w:rsidRDefault="00294FD1" w:rsidP="00294FD1">
            <w:pPr>
              <w:pStyle w:val="TableColumnIMS"/>
              <w:spacing w:line="276" w:lineRule="auto"/>
              <w:rPr>
                <w:rFonts w:ascii="Arial" w:eastAsia="Batang" w:hAnsi="Arial"/>
                <w:b/>
                <w:lang w:val="en-GB"/>
              </w:rPr>
            </w:pPr>
            <w:r w:rsidRPr="00EF7B79">
              <w:rPr>
                <w:rFonts w:ascii="Arial" w:eastAsia="Batang" w:hAnsi="Arial"/>
                <w:b/>
                <w:lang w:val="en-GB"/>
              </w:rPr>
              <w:t>Growth</w:t>
            </w:r>
          </w:p>
        </w:tc>
      </w:tr>
      <w:tr w:rsidR="00294FD1" w:rsidRPr="00A44138" w14:paraId="370617CF" w14:textId="77777777" w:rsidTr="00B01C3F">
        <w:tc>
          <w:tcPr>
            <w:tcW w:w="2763" w:type="pct"/>
            <w:tcBorders>
              <w:left w:val="nil"/>
              <w:bottom w:val="single" w:sz="4" w:space="0" w:color="auto"/>
              <w:right w:val="nil"/>
            </w:tcBorders>
            <w:vAlign w:val="center"/>
          </w:tcPr>
          <w:p w14:paraId="19AD53C0" w14:textId="77777777" w:rsidR="00294FD1" w:rsidRPr="00A44138" w:rsidRDefault="00294FD1" w:rsidP="00294FD1">
            <w:pPr>
              <w:pStyle w:val="TableStubIMS"/>
              <w:spacing w:line="276" w:lineRule="auto"/>
              <w:ind w:left="173" w:hanging="173"/>
              <w:rPr>
                <w:rFonts w:ascii="Arial" w:hAnsi="Arial"/>
                <w:b/>
                <w:color w:val="FF0000"/>
                <w:lang w:val="en-GB"/>
              </w:rPr>
            </w:pPr>
          </w:p>
        </w:tc>
        <w:tc>
          <w:tcPr>
            <w:tcW w:w="352" w:type="pct"/>
            <w:tcBorders>
              <w:left w:val="nil"/>
              <w:bottom w:val="single" w:sz="4" w:space="0" w:color="auto"/>
              <w:right w:val="nil"/>
            </w:tcBorders>
            <w:vAlign w:val="bottom"/>
          </w:tcPr>
          <w:p w14:paraId="2972B788" w14:textId="77777777" w:rsidR="00294FD1" w:rsidRPr="00A44138" w:rsidRDefault="00294FD1" w:rsidP="00294FD1">
            <w:pPr>
              <w:pStyle w:val="TableColumnIMS"/>
              <w:spacing w:line="276" w:lineRule="auto"/>
              <w:jc w:val="center"/>
              <w:rPr>
                <w:rFonts w:ascii="Arial" w:hAnsi="Arial"/>
                <w:color w:val="FF0000"/>
                <w:lang w:val="en-GB"/>
              </w:rPr>
            </w:pPr>
          </w:p>
        </w:tc>
        <w:tc>
          <w:tcPr>
            <w:tcW w:w="631" w:type="pct"/>
            <w:tcBorders>
              <w:left w:val="nil"/>
              <w:bottom w:val="single" w:sz="4" w:space="0" w:color="auto"/>
              <w:right w:val="nil"/>
            </w:tcBorders>
            <w:vAlign w:val="center"/>
          </w:tcPr>
          <w:p w14:paraId="30F79A86" w14:textId="77777777" w:rsidR="00294FD1" w:rsidRPr="00A44138" w:rsidRDefault="00294FD1" w:rsidP="00294FD1">
            <w:pPr>
              <w:pStyle w:val="TableColumnIMS"/>
              <w:spacing w:line="276" w:lineRule="auto"/>
              <w:rPr>
                <w:rFonts w:ascii="Arial" w:eastAsia="Batang" w:hAnsi="Arial"/>
                <w:b/>
                <w:lang w:val="en-GB"/>
              </w:rPr>
            </w:pPr>
            <w:r w:rsidRPr="00A44138">
              <w:rPr>
                <w:rFonts w:ascii="Arial" w:eastAsia="Batang" w:hAnsi="Arial"/>
                <w:b/>
                <w:lang w:val="en-GB"/>
              </w:rPr>
              <w:t>£m</w:t>
            </w:r>
          </w:p>
        </w:tc>
        <w:tc>
          <w:tcPr>
            <w:tcW w:w="631" w:type="pct"/>
            <w:tcBorders>
              <w:left w:val="nil"/>
              <w:bottom w:val="single" w:sz="4" w:space="0" w:color="auto"/>
              <w:right w:val="nil"/>
            </w:tcBorders>
            <w:vAlign w:val="center"/>
          </w:tcPr>
          <w:p w14:paraId="35196F68" w14:textId="148ECC98" w:rsidR="00294FD1" w:rsidRPr="005E7A81" w:rsidRDefault="00294FD1" w:rsidP="00294FD1">
            <w:pPr>
              <w:pStyle w:val="TableColumnIMS"/>
              <w:spacing w:line="276" w:lineRule="auto"/>
              <w:rPr>
                <w:rFonts w:ascii="Arial" w:eastAsia="Batang" w:hAnsi="Arial"/>
                <w:b/>
                <w:lang w:val="en-GB"/>
              </w:rPr>
            </w:pPr>
            <w:r w:rsidRPr="005E7A81">
              <w:rPr>
                <w:rFonts w:ascii="Arial" w:eastAsia="Batang" w:hAnsi="Arial"/>
                <w:b/>
                <w:lang w:val="en-GB"/>
              </w:rPr>
              <w:t>£m</w:t>
            </w:r>
          </w:p>
        </w:tc>
        <w:tc>
          <w:tcPr>
            <w:tcW w:w="623" w:type="pct"/>
            <w:tcBorders>
              <w:left w:val="nil"/>
              <w:bottom w:val="single" w:sz="4" w:space="0" w:color="auto"/>
              <w:right w:val="nil"/>
            </w:tcBorders>
            <w:vAlign w:val="center"/>
          </w:tcPr>
          <w:p w14:paraId="7C1B1BCA" w14:textId="72EFA051" w:rsidR="00294FD1" w:rsidRPr="00A44138" w:rsidRDefault="004A2811" w:rsidP="00294FD1">
            <w:pPr>
              <w:pStyle w:val="TableColumnIMS"/>
              <w:spacing w:line="276" w:lineRule="auto"/>
              <w:rPr>
                <w:rFonts w:ascii="Arial" w:eastAsia="Batang" w:hAnsi="Arial"/>
                <w:b/>
                <w:lang w:val="en-GB"/>
              </w:rPr>
            </w:pPr>
            <w:r>
              <w:rPr>
                <w:rFonts w:ascii="Arial" w:eastAsia="Batang" w:hAnsi="Arial"/>
                <w:b/>
                <w:lang w:val="en-GB"/>
              </w:rPr>
              <w:t>%</w:t>
            </w:r>
          </w:p>
        </w:tc>
      </w:tr>
      <w:tr w:rsidR="00B01C3F" w:rsidRPr="00A44138" w14:paraId="79F457C0" w14:textId="77777777" w:rsidTr="00B01C3F">
        <w:tc>
          <w:tcPr>
            <w:tcW w:w="2763" w:type="pct"/>
            <w:tcBorders>
              <w:top w:val="single" w:sz="4" w:space="0" w:color="auto"/>
              <w:left w:val="nil"/>
              <w:right w:val="nil"/>
            </w:tcBorders>
            <w:vAlign w:val="center"/>
          </w:tcPr>
          <w:p w14:paraId="7FCC2AC0"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Distribution expenses</w:t>
            </w:r>
          </w:p>
        </w:tc>
        <w:tc>
          <w:tcPr>
            <w:tcW w:w="352" w:type="pct"/>
            <w:tcBorders>
              <w:top w:val="single" w:sz="4" w:space="0" w:color="auto"/>
              <w:left w:val="nil"/>
              <w:right w:val="nil"/>
            </w:tcBorders>
            <w:vAlign w:val="bottom"/>
          </w:tcPr>
          <w:p w14:paraId="5690FDB0"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top w:val="single" w:sz="4" w:space="0" w:color="auto"/>
              <w:left w:val="nil"/>
              <w:right w:val="nil"/>
            </w:tcBorders>
            <w:vAlign w:val="center"/>
          </w:tcPr>
          <w:p w14:paraId="13611F2F" w14:textId="41187DF3" w:rsidR="00B01C3F" w:rsidRPr="00E66BAA" w:rsidRDefault="00F7527D" w:rsidP="00B01C3F">
            <w:pPr>
              <w:pStyle w:val="TableColumnIMS"/>
              <w:spacing w:line="276" w:lineRule="auto"/>
              <w:rPr>
                <w:rFonts w:ascii="Arial" w:eastAsia="Batang" w:hAnsi="Arial"/>
                <w:b/>
                <w:lang w:val="en-GB"/>
              </w:rPr>
            </w:pPr>
            <w:r w:rsidRPr="00E66BAA">
              <w:rPr>
                <w:rFonts w:ascii="Arial" w:eastAsia="Batang" w:hAnsi="Arial"/>
                <w:b/>
                <w:lang w:val="en-GB"/>
              </w:rPr>
              <w:t>18.</w:t>
            </w:r>
            <w:r w:rsidR="00207724">
              <w:rPr>
                <w:rFonts w:ascii="Arial" w:eastAsia="Batang" w:hAnsi="Arial"/>
                <w:b/>
                <w:lang w:val="en-GB"/>
              </w:rPr>
              <w:t>6</w:t>
            </w:r>
          </w:p>
        </w:tc>
        <w:tc>
          <w:tcPr>
            <w:tcW w:w="631" w:type="pct"/>
            <w:tcBorders>
              <w:top w:val="single" w:sz="4" w:space="0" w:color="auto"/>
              <w:left w:val="nil"/>
              <w:right w:val="nil"/>
            </w:tcBorders>
            <w:vAlign w:val="center"/>
          </w:tcPr>
          <w:p w14:paraId="74237359" w14:textId="40920061"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18.9</w:t>
            </w:r>
          </w:p>
        </w:tc>
        <w:tc>
          <w:tcPr>
            <w:tcW w:w="623" w:type="pct"/>
            <w:tcBorders>
              <w:top w:val="single" w:sz="4" w:space="0" w:color="auto"/>
              <w:left w:val="nil"/>
              <w:right w:val="nil"/>
            </w:tcBorders>
          </w:tcPr>
          <w:p w14:paraId="6C0AEB5E" w14:textId="3CE99929" w:rsidR="00B01C3F" w:rsidRPr="006B4517" w:rsidRDefault="00366F19" w:rsidP="00B01C3F">
            <w:pPr>
              <w:pStyle w:val="TableColumnIMS"/>
              <w:spacing w:line="276" w:lineRule="auto"/>
              <w:rPr>
                <w:rFonts w:ascii="Arial" w:eastAsia="Batang" w:hAnsi="Arial"/>
                <w:lang w:val="en-GB"/>
              </w:rPr>
            </w:pPr>
            <w:r>
              <w:rPr>
                <w:rFonts w:ascii="Arial" w:eastAsia="Batang" w:hAnsi="Arial"/>
                <w:lang w:val="en-GB"/>
              </w:rPr>
              <w:t>(1)</w:t>
            </w:r>
          </w:p>
        </w:tc>
      </w:tr>
      <w:tr w:rsidR="00B01C3F" w:rsidRPr="00A44138" w14:paraId="0169F866" w14:textId="77777777" w:rsidTr="00B01C3F">
        <w:trPr>
          <w:cantSplit/>
        </w:trPr>
        <w:tc>
          <w:tcPr>
            <w:tcW w:w="2763" w:type="pct"/>
            <w:tcBorders>
              <w:bottom w:val="single" w:sz="4" w:space="0" w:color="auto"/>
            </w:tcBorders>
            <w:vAlign w:val="center"/>
            <w:hideMark/>
          </w:tcPr>
          <w:p w14:paraId="2DD76274"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Administrative expenses</w:t>
            </w:r>
          </w:p>
        </w:tc>
        <w:tc>
          <w:tcPr>
            <w:tcW w:w="352" w:type="pct"/>
            <w:tcBorders>
              <w:bottom w:val="single" w:sz="4" w:space="0" w:color="auto"/>
            </w:tcBorders>
            <w:vAlign w:val="bottom"/>
          </w:tcPr>
          <w:p w14:paraId="3AE8BFCD"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bottom w:val="single" w:sz="4" w:space="0" w:color="auto"/>
            </w:tcBorders>
          </w:tcPr>
          <w:p w14:paraId="0E12F624" w14:textId="051620A1" w:rsidR="00B01C3F" w:rsidRPr="00E66BAA" w:rsidRDefault="005C293A" w:rsidP="00B01C3F">
            <w:pPr>
              <w:pStyle w:val="TableColumnIMS"/>
              <w:spacing w:line="276" w:lineRule="auto"/>
              <w:rPr>
                <w:rFonts w:ascii="Arial" w:eastAsia="Batang" w:hAnsi="Arial"/>
                <w:b/>
                <w:lang w:val="en-GB"/>
              </w:rPr>
            </w:pPr>
            <w:r w:rsidRPr="00E66BAA">
              <w:rPr>
                <w:rFonts w:ascii="Arial" w:eastAsia="Batang" w:hAnsi="Arial"/>
                <w:b/>
                <w:lang w:val="en-GB"/>
              </w:rPr>
              <w:t>6</w:t>
            </w:r>
            <w:r w:rsidR="00207724">
              <w:rPr>
                <w:rFonts w:ascii="Arial" w:eastAsia="Batang" w:hAnsi="Arial"/>
                <w:b/>
                <w:lang w:val="en-GB"/>
              </w:rPr>
              <w:t>7.9</w:t>
            </w:r>
          </w:p>
        </w:tc>
        <w:tc>
          <w:tcPr>
            <w:tcW w:w="631" w:type="pct"/>
            <w:tcBorders>
              <w:bottom w:val="single" w:sz="4" w:space="0" w:color="auto"/>
            </w:tcBorders>
          </w:tcPr>
          <w:p w14:paraId="0281018F" w14:textId="006B128C"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72.9</w:t>
            </w:r>
          </w:p>
        </w:tc>
        <w:tc>
          <w:tcPr>
            <w:tcW w:w="623" w:type="pct"/>
            <w:tcBorders>
              <w:bottom w:val="single" w:sz="4" w:space="0" w:color="auto"/>
            </w:tcBorders>
          </w:tcPr>
          <w:p w14:paraId="3589C57C" w14:textId="38D691CD" w:rsidR="00B01C3F" w:rsidRPr="006B4517" w:rsidRDefault="00366F19" w:rsidP="00B01C3F">
            <w:pPr>
              <w:pStyle w:val="TableColumnIMS"/>
              <w:spacing w:line="276" w:lineRule="auto"/>
              <w:rPr>
                <w:rFonts w:ascii="Arial" w:eastAsia="Batang" w:hAnsi="Arial"/>
                <w:lang w:val="en-GB"/>
              </w:rPr>
            </w:pPr>
            <w:r>
              <w:rPr>
                <w:rFonts w:ascii="Arial" w:eastAsia="Batang" w:hAnsi="Arial"/>
                <w:lang w:val="en-GB"/>
              </w:rPr>
              <w:t>(7)</w:t>
            </w:r>
          </w:p>
        </w:tc>
      </w:tr>
      <w:tr w:rsidR="00B01C3F" w:rsidRPr="00A44138" w14:paraId="16CE9EC1" w14:textId="77777777" w:rsidTr="00B01C3F">
        <w:trPr>
          <w:cantSplit/>
        </w:trPr>
        <w:tc>
          <w:tcPr>
            <w:tcW w:w="2763" w:type="pct"/>
            <w:tcBorders>
              <w:top w:val="single" w:sz="4" w:space="0" w:color="auto"/>
              <w:bottom w:val="single" w:sz="4" w:space="0" w:color="auto"/>
            </w:tcBorders>
            <w:vAlign w:val="center"/>
          </w:tcPr>
          <w:p w14:paraId="596B0611" w14:textId="77777777" w:rsidR="00B01C3F" w:rsidRPr="00A44138" w:rsidRDefault="00B01C3F" w:rsidP="00B01C3F">
            <w:pPr>
              <w:pStyle w:val="TableStubIMS"/>
              <w:spacing w:line="276" w:lineRule="auto"/>
              <w:ind w:left="173" w:hanging="173"/>
              <w:rPr>
                <w:rFonts w:ascii="Arial" w:hAnsi="Arial" w:cs="Arial"/>
                <w:lang w:val="en-GB"/>
              </w:rPr>
            </w:pPr>
            <w:r w:rsidRPr="00A44138">
              <w:rPr>
                <w:rFonts w:ascii="Arial" w:hAnsi="Arial" w:cs="Arial"/>
                <w:lang w:val="en-GB"/>
              </w:rPr>
              <w:t>Operating costs</w:t>
            </w:r>
          </w:p>
        </w:tc>
        <w:tc>
          <w:tcPr>
            <w:tcW w:w="352" w:type="pct"/>
            <w:tcBorders>
              <w:top w:val="single" w:sz="4" w:space="0" w:color="auto"/>
              <w:bottom w:val="single" w:sz="4" w:space="0" w:color="auto"/>
            </w:tcBorders>
            <w:vAlign w:val="bottom"/>
          </w:tcPr>
          <w:p w14:paraId="79D4B009"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top w:val="single" w:sz="4" w:space="0" w:color="auto"/>
              <w:bottom w:val="single" w:sz="4" w:space="0" w:color="auto"/>
            </w:tcBorders>
          </w:tcPr>
          <w:p w14:paraId="6F724A38" w14:textId="04CFEDC9" w:rsidR="00B01C3F" w:rsidRPr="00E66BAA" w:rsidRDefault="000C5BB8" w:rsidP="00B01C3F">
            <w:pPr>
              <w:pStyle w:val="TableColumnIMS"/>
              <w:spacing w:line="276" w:lineRule="auto"/>
              <w:rPr>
                <w:rFonts w:ascii="Arial" w:eastAsia="Batang" w:hAnsi="Arial"/>
                <w:b/>
                <w:lang w:val="en-GB"/>
              </w:rPr>
            </w:pPr>
            <w:r w:rsidRPr="00E66BAA">
              <w:rPr>
                <w:rFonts w:ascii="Arial" w:eastAsia="Batang" w:hAnsi="Arial"/>
                <w:b/>
                <w:lang w:val="en-GB"/>
              </w:rPr>
              <w:t>86.</w:t>
            </w:r>
            <w:r w:rsidR="00366F19">
              <w:rPr>
                <w:rFonts w:ascii="Arial" w:eastAsia="Batang" w:hAnsi="Arial"/>
                <w:b/>
                <w:lang w:val="en-GB"/>
              </w:rPr>
              <w:t>5</w:t>
            </w:r>
          </w:p>
        </w:tc>
        <w:tc>
          <w:tcPr>
            <w:tcW w:w="631" w:type="pct"/>
            <w:tcBorders>
              <w:top w:val="single" w:sz="4" w:space="0" w:color="auto"/>
              <w:bottom w:val="single" w:sz="4" w:space="0" w:color="auto"/>
            </w:tcBorders>
          </w:tcPr>
          <w:p w14:paraId="7B281080" w14:textId="435A1A5D"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91.8</w:t>
            </w:r>
          </w:p>
        </w:tc>
        <w:tc>
          <w:tcPr>
            <w:tcW w:w="623" w:type="pct"/>
            <w:tcBorders>
              <w:top w:val="single" w:sz="4" w:space="0" w:color="auto"/>
              <w:bottom w:val="single" w:sz="4" w:space="0" w:color="auto"/>
            </w:tcBorders>
          </w:tcPr>
          <w:p w14:paraId="33D894BB" w14:textId="39386D46" w:rsidR="00B01C3F" w:rsidRPr="006B4517" w:rsidRDefault="00366F19" w:rsidP="00B01C3F">
            <w:pPr>
              <w:pStyle w:val="TableColumnIMS"/>
              <w:spacing w:line="276" w:lineRule="auto"/>
              <w:rPr>
                <w:rFonts w:ascii="Arial" w:eastAsia="Batang" w:hAnsi="Arial"/>
                <w:lang w:val="en-GB"/>
              </w:rPr>
            </w:pPr>
            <w:r>
              <w:rPr>
                <w:rFonts w:ascii="Arial" w:eastAsia="Batang" w:hAnsi="Arial"/>
                <w:lang w:val="en-GB"/>
              </w:rPr>
              <w:t>(6)</w:t>
            </w:r>
          </w:p>
        </w:tc>
      </w:tr>
      <w:tr w:rsidR="00B01C3F" w:rsidRPr="00A44138" w14:paraId="60C8061F" w14:textId="77777777" w:rsidTr="00B01C3F">
        <w:trPr>
          <w:cantSplit/>
        </w:trPr>
        <w:tc>
          <w:tcPr>
            <w:tcW w:w="2763" w:type="pct"/>
            <w:tcBorders>
              <w:top w:val="single" w:sz="4" w:space="0" w:color="auto"/>
            </w:tcBorders>
            <w:vAlign w:val="center"/>
          </w:tcPr>
          <w:p w14:paraId="0FAD1D45" w14:textId="77777777" w:rsidR="00B01C3F" w:rsidRPr="00A44138" w:rsidRDefault="00B01C3F" w:rsidP="00B01C3F">
            <w:pPr>
              <w:pStyle w:val="TableStubIMS"/>
              <w:spacing w:line="276" w:lineRule="auto"/>
              <w:ind w:left="173" w:hanging="173"/>
              <w:rPr>
                <w:rFonts w:ascii="Arial" w:hAnsi="Arial" w:cs="Arial"/>
                <w:lang w:val="en-GB"/>
              </w:rPr>
            </w:pPr>
          </w:p>
        </w:tc>
        <w:tc>
          <w:tcPr>
            <w:tcW w:w="352" w:type="pct"/>
            <w:tcBorders>
              <w:top w:val="single" w:sz="4" w:space="0" w:color="auto"/>
            </w:tcBorders>
            <w:vAlign w:val="bottom"/>
          </w:tcPr>
          <w:p w14:paraId="7F489AA8"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top w:val="single" w:sz="4" w:space="0" w:color="auto"/>
            </w:tcBorders>
          </w:tcPr>
          <w:p w14:paraId="1F6220E2" w14:textId="77777777" w:rsidR="00B01C3F" w:rsidRPr="006B4517" w:rsidRDefault="00B01C3F" w:rsidP="00B01C3F">
            <w:pPr>
              <w:pStyle w:val="TableColumnIMS"/>
              <w:spacing w:line="276" w:lineRule="auto"/>
              <w:rPr>
                <w:rFonts w:ascii="Arial" w:eastAsia="Batang" w:hAnsi="Arial"/>
                <w:b/>
                <w:lang w:val="en-GB"/>
              </w:rPr>
            </w:pPr>
          </w:p>
        </w:tc>
        <w:tc>
          <w:tcPr>
            <w:tcW w:w="631" w:type="pct"/>
            <w:tcBorders>
              <w:top w:val="single" w:sz="4" w:space="0" w:color="auto"/>
            </w:tcBorders>
          </w:tcPr>
          <w:p w14:paraId="74837F07" w14:textId="77777777" w:rsidR="00B01C3F" w:rsidRPr="005E7A81" w:rsidRDefault="00B01C3F" w:rsidP="00B01C3F">
            <w:pPr>
              <w:pStyle w:val="TableColumnIMS"/>
              <w:spacing w:line="276" w:lineRule="auto"/>
              <w:rPr>
                <w:rFonts w:ascii="Arial" w:eastAsia="Batang" w:hAnsi="Arial"/>
                <w:bCs/>
                <w:lang w:val="en-GB"/>
              </w:rPr>
            </w:pPr>
          </w:p>
        </w:tc>
        <w:tc>
          <w:tcPr>
            <w:tcW w:w="623" w:type="pct"/>
            <w:tcBorders>
              <w:top w:val="single" w:sz="4" w:space="0" w:color="auto"/>
            </w:tcBorders>
          </w:tcPr>
          <w:p w14:paraId="5EC25872" w14:textId="77777777" w:rsidR="00B01C3F" w:rsidRPr="006B4517" w:rsidRDefault="00B01C3F" w:rsidP="00B01C3F">
            <w:pPr>
              <w:pStyle w:val="TableColumnIMS"/>
              <w:spacing w:line="276" w:lineRule="auto"/>
              <w:rPr>
                <w:rFonts w:ascii="Arial" w:eastAsia="Batang" w:hAnsi="Arial"/>
                <w:color w:val="FF0000"/>
                <w:lang w:val="en-GB"/>
              </w:rPr>
            </w:pPr>
          </w:p>
        </w:tc>
      </w:tr>
      <w:tr w:rsidR="00B01C3F" w:rsidRPr="00A44138" w14:paraId="14B3FD6F" w14:textId="77777777" w:rsidTr="00B01C3F">
        <w:trPr>
          <w:cantSplit/>
        </w:trPr>
        <w:tc>
          <w:tcPr>
            <w:tcW w:w="2763" w:type="pct"/>
            <w:vAlign w:val="center"/>
          </w:tcPr>
          <w:p w14:paraId="749FC500" w14:textId="644BC2B9"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Within administration expenses:</w:t>
            </w:r>
          </w:p>
        </w:tc>
        <w:tc>
          <w:tcPr>
            <w:tcW w:w="352" w:type="pct"/>
            <w:vAlign w:val="bottom"/>
          </w:tcPr>
          <w:p w14:paraId="305586DD"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Pr>
          <w:p w14:paraId="5C239B7C" w14:textId="77777777" w:rsidR="00B01C3F" w:rsidRPr="006B4517" w:rsidRDefault="00B01C3F" w:rsidP="00B01C3F">
            <w:pPr>
              <w:pStyle w:val="TableColumnIMS"/>
              <w:spacing w:line="276" w:lineRule="auto"/>
              <w:rPr>
                <w:rFonts w:ascii="Arial" w:eastAsia="Batang" w:hAnsi="Arial"/>
                <w:b/>
                <w:lang w:val="en-GB"/>
              </w:rPr>
            </w:pPr>
          </w:p>
        </w:tc>
        <w:tc>
          <w:tcPr>
            <w:tcW w:w="631" w:type="pct"/>
          </w:tcPr>
          <w:p w14:paraId="56CE1B8B" w14:textId="77777777" w:rsidR="00B01C3F" w:rsidRPr="005E7A81" w:rsidRDefault="00B01C3F" w:rsidP="00B01C3F">
            <w:pPr>
              <w:pStyle w:val="TableColumnIMS"/>
              <w:spacing w:line="276" w:lineRule="auto"/>
              <w:rPr>
                <w:rFonts w:ascii="Arial" w:eastAsia="Batang" w:hAnsi="Arial"/>
                <w:bCs/>
                <w:lang w:val="en-GB"/>
              </w:rPr>
            </w:pPr>
          </w:p>
        </w:tc>
        <w:tc>
          <w:tcPr>
            <w:tcW w:w="623" w:type="pct"/>
          </w:tcPr>
          <w:p w14:paraId="6648DF86" w14:textId="77777777" w:rsidR="00B01C3F" w:rsidRPr="006B4517" w:rsidRDefault="00B01C3F" w:rsidP="00B01C3F">
            <w:pPr>
              <w:pStyle w:val="TableColumnIMS"/>
              <w:spacing w:line="276" w:lineRule="auto"/>
              <w:rPr>
                <w:rFonts w:ascii="Arial" w:eastAsia="Batang" w:hAnsi="Arial"/>
                <w:color w:val="FF0000"/>
                <w:lang w:val="en-GB"/>
              </w:rPr>
            </w:pPr>
          </w:p>
        </w:tc>
      </w:tr>
      <w:tr w:rsidR="00B01C3F" w:rsidRPr="00A44138" w14:paraId="4D9E06DE" w14:textId="77777777" w:rsidTr="00B01C3F">
        <w:trPr>
          <w:cantSplit/>
        </w:trPr>
        <w:tc>
          <w:tcPr>
            <w:tcW w:w="2763" w:type="pct"/>
            <w:vAlign w:val="center"/>
          </w:tcPr>
          <w:p w14:paraId="580E586D"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Amortisation of technology related intangible assets</w:t>
            </w:r>
          </w:p>
        </w:tc>
        <w:tc>
          <w:tcPr>
            <w:tcW w:w="352" w:type="pct"/>
            <w:vAlign w:val="bottom"/>
          </w:tcPr>
          <w:p w14:paraId="396323EA"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Pr>
          <w:p w14:paraId="2B65AB70" w14:textId="735BBE8D" w:rsidR="00B01C3F" w:rsidRPr="00E66BAA" w:rsidRDefault="00D415A2" w:rsidP="00B01C3F">
            <w:pPr>
              <w:pStyle w:val="TableColumnIMS"/>
              <w:spacing w:line="276" w:lineRule="auto"/>
              <w:rPr>
                <w:rFonts w:ascii="Arial" w:eastAsia="Batang" w:hAnsi="Arial"/>
                <w:b/>
                <w:lang w:val="en-GB"/>
              </w:rPr>
            </w:pPr>
            <w:r w:rsidRPr="00E66BAA">
              <w:rPr>
                <w:rFonts w:ascii="Arial" w:eastAsia="Batang" w:hAnsi="Arial"/>
                <w:b/>
                <w:lang w:val="en-GB"/>
              </w:rPr>
              <w:t>5.7</w:t>
            </w:r>
          </w:p>
        </w:tc>
        <w:tc>
          <w:tcPr>
            <w:tcW w:w="631" w:type="pct"/>
          </w:tcPr>
          <w:p w14:paraId="6DD21391" w14:textId="3D4B2C61"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4.9</w:t>
            </w:r>
          </w:p>
        </w:tc>
        <w:tc>
          <w:tcPr>
            <w:tcW w:w="623" w:type="pct"/>
          </w:tcPr>
          <w:p w14:paraId="1239C743" w14:textId="21AA2E65" w:rsidR="00B01C3F" w:rsidRPr="006B4517" w:rsidRDefault="00BF0C12" w:rsidP="00B01C3F">
            <w:pPr>
              <w:pStyle w:val="TableColumnIMS"/>
              <w:spacing w:line="276" w:lineRule="auto"/>
              <w:rPr>
                <w:rFonts w:ascii="Arial" w:eastAsia="Batang" w:hAnsi="Arial"/>
                <w:lang w:val="en-GB"/>
              </w:rPr>
            </w:pPr>
            <w:r>
              <w:rPr>
                <w:rFonts w:ascii="Arial" w:eastAsia="Batang" w:hAnsi="Arial"/>
                <w:lang w:val="en-GB"/>
              </w:rPr>
              <w:t>1</w:t>
            </w:r>
            <w:r w:rsidR="00BF53D2">
              <w:rPr>
                <w:rFonts w:ascii="Arial" w:eastAsia="Batang" w:hAnsi="Arial"/>
                <w:lang w:val="en-GB"/>
              </w:rPr>
              <w:t>5</w:t>
            </w:r>
          </w:p>
        </w:tc>
      </w:tr>
      <w:tr w:rsidR="00B01C3F" w:rsidRPr="00A44138" w14:paraId="47E530A4" w14:textId="77777777" w:rsidTr="00B01C3F">
        <w:trPr>
          <w:cantSplit/>
        </w:trPr>
        <w:tc>
          <w:tcPr>
            <w:tcW w:w="2763" w:type="pct"/>
            <w:vAlign w:val="center"/>
          </w:tcPr>
          <w:p w14:paraId="427A4EF6"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Amortisation of acquisition related intangible assets</w:t>
            </w:r>
          </w:p>
        </w:tc>
        <w:tc>
          <w:tcPr>
            <w:tcW w:w="352" w:type="pct"/>
            <w:vAlign w:val="bottom"/>
          </w:tcPr>
          <w:p w14:paraId="693404D0"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Pr>
          <w:p w14:paraId="0BA98A6A" w14:textId="7E707249" w:rsidR="00B01C3F" w:rsidRPr="00E66BAA" w:rsidRDefault="00AE2DCE" w:rsidP="00B01C3F">
            <w:pPr>
              <w:pStyle w:val="TableColumnIMS"/>
              <w:spacing w:line="276" w:lineRule="auto"/>
              <w:rPr>
                <w:rFonts w:ascii="Arial" w:eastAsia="Batang" w:hAnsi="Arial"/>
                <w:b/>
                <w:lang w:val="en-GB"/>
              </w:rPr>
            </w:pPr>
            <w:r w:rsidRPr="00E66BAA">
              <w:rPr>
                <w:rFonts w:ascii="Arial" w:eastAsia="Batang" w:hAnsi="Arial"/>
                <w:b/>
                <w:lang w:val="en-GB"/>
              </w:rPr>
              <w:t>4.1</w:t>
            </w:r>
          </w:p>
        </w:tc>
        <w:tc>
          <w:tcPr>
            <w:tcW w:w="631" w:type="pct"/>
          </w:tcPr>
          <w:p w14:paraId="19E4EE94" w14:textId="76F4626B"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5.4</w:t>
            </w:r>
          </w:p>
        </w:tc>
        <w:tc>
          <w:tcPr>
            <w:tcW w:w="623" w:type="pct"/>
          </w:tcPr>
          <w:p w14:paraId="7BCECEEC" w14:textId="7118CCD7" w:rsidR="00B01C3F" w:rsidRPr="006B4517" w:rsidRDefault="00BF0C12" w:rsidP="00B01C3F">
            <w:pPr>
              <w:pStyle w:val="TableColumnIMS"/>
              <w:spacing w:line="276" w:lineRule="auto"/>
              <w:rPr>
                <w:rFonts w:ascii="Arial" w:eastAsia="Batang" w:hAnsi="Arial"/>
                <w:lang w:val="en-GB"/>
              </w:rPr>
            </w:pPr>
            <w:r>
              <w:rPr>
                <w:rFonts w:ascii="Arial" w:eastAsia="Batang" w:hAnsi="Arial"/>
                <w:lang w:val="en-GB"/>
              </w:rPr>
              <w:t>(24)</w:t>
            </w:r>
          </w:p>
        </w:tc>
      </w:tr>
      <w:tr w:rsidR="00B01C3F" w:rsidRPr="00A44138" w14:paraId="406FBA0E" w14:textId="77777777" w:rsidTr="00B01C3F">
        <w:trPr>
          <w:cantSplit/>
        </w:trPr>
        <w:tc>
          <w:tcPr>
            <w:tcW w:w="2763" w:type="pct"/>
            <w:tcBorders>
              <w:bottom w:val="single" w:sz="4" w:space="0" w:color="auto"/>
            </w:tcBorders>
            <w:vAlign w:val="center"/>
          </w:tcPr>
          <w:p w14:paraId="3E87EC8E"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Depreciation</w:t>
            </w:r>
          </w:p>
        </w:tc>
        <w:tc>
          <w:tcPr>
            <w:tcW w:w="352" w:type="pct"/>
            <w:tcBorders>
              <w:bottom w:val="single" w:sz="4" w:space="0" w:color="auto"/>
            </w:tcBorders>
            <w:vAlign w:val="bottom"/>
          </w:tcPr>
          <w:p w14:paraId="7F8AC96A"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bottom w:val="single" w:sz="4" w:space="0" w:color="auto"/>
            </w:tcBorders>
          </w:tcPr>
          <w:p w14:paraId="0A5DF2CE" w14:textId="56A99714" w:rsidR="00B01C3F" w:rsidRPr="00E66BAA" w:rsidRDefault="001D5B52" w:rsidP="00B01C3F">
            <w:pPr>
              <w:pStyle w:val="TableColumnIMS"/>
              <w:spacing w:line="276" w:lineRule="auto"/>
              <w:rPr>
                <w:rFonts w:ascii="Arial" w:eastAsia="Batang" w:hAnsi="Arial"/>
                <w:b/>
                <w:lang w:val="en-GB"/>
              </w:rPr>
            </w:pPr>
            <w:r w:rsidRPr="00E66BAA">
              <w:rPr>
                <w:rFonts w:ascii="Arial" w:eastAsia="Batang" w:hAnsi="Arial"/>
                <w:b/>
                <w:lang w:val="en-GB"/>
              </w:rPr>
              <w:t>1.</w:t>
            </w:r>
            <w:r w:rsidR="00345B3A">
              <w:rPr>
                <w:rFonts w:ascii="Arial" w:eastAsia="Batang" w:hAnsi="Arial"/>
                <w:b/>
                <w:lang w:val="en-GB"/>
              </w:rPr>
              <w:t>9</w:t>
            </w:r>
          </w:p>
        </w:tc>
        <w:tc>
          <w:tcPr>
            <w:tcW w:w="631" w:type="pct"/>
            <w:tcBorders>
              <w:bottom w:val="single" w:sz="4" w:space="0" w:color="auto"/>
            </w:tcBorders>
          </w:tcPr>
          <w:p w14:paraId="11517808" w14:textId="3449A05B"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2.3</w:t>
            </w:r>
          </w:p>
        </w:tc>
        <w:tc>
          <w:tcPr>
            <w:tcW w:w="623" w:type="pct"/>
            <w:tcBorders>
              <w:bottom w:val="single" w:sz="4" w:space="0" w:color="auto"/>
            </w:tcBorders>
          </w:tcPr>
          <w:p w14:paraId="7D22F075" w14:textId="1E9624E4" w:rsidR="00B01C3F" w:rsidRPr="006B4517" w:rsidRDefault="00011176" w:rsidP="00B01C3F">
            <w:pPr>
              <w:pStyle w:val="TableColumnIMS"/>
              <w:spacing w:line="276" w:lineRule="auto"/>
              <w:rPr>
                <w:rFonts w:ascii="Arial" w:eastAsia="Batang" w:hAnsi="Arial"/>
                <w:lang w:val="en-GB"/>
              </w:rPr>
            </w:pPr>
            <w:r>
              <w:rPr>
                <w:rFonts w:ascii="Arial" w:eastAsia="Batang" w:hAnsi="Arial"/>
                <w:lang w:val="en-GB"/>
              </w:rPr>
              <w:t>(18)</w:t>
            </w:r>
          </w:p>
        </w:tc>
      </w:tr>
      <w:tr w:rsidR="00B01C3F" w:rsidRPr="00A44138" w14:paraId="62265FE7" w14:textId="77777777" w:rsidTr="00B01C3F">
        <w:trPr>
          <w:cantSplit/>
        </w:trPr>
        <w:tc>
          <w:tcPr>
            <w:tcW w:w="2763" w:type="pct"/>
            <w:tcBorders>
              <w:top w:val="single" w:sz="4" w:space="0" w:color="auto"/>
              <w:bottom w:val="single" w:sz="4" w:space="0" w:color="auto"/>
            </w:tcBorders>
            <w:vAlign w:val="center"/>
          </w:tcPr>
          <w:p w14:paraId="1941872D" w14:textId="77777777" w:rsidR="00B01C3F" w:rsidRPr="00A44138" w:rsidRDefault="00B01C3F" w:rsidP="00B01C3F">
            <w:pPr>
              <w:pStyle w:val="TableStubIMS"/>
              <w:spacing w:line="276" w:lineRule="auto"/>
              <w:ind w:left="173" w:hanging="173"/>
              <w:rPr>
                <w:rFonts w:ascii="Arial" w:hAnsi="Arial" w:cs="Arial"/>
                <w:bCs/>
                <w:lang w:val="en-GB"/>
              </w:rPr>
            </w:pPr>
            <w:r w:rsidRPr="00A44138">
              <w:rPr>
                <w:rFonts w:ascii="Arial" w:hAnsi="Arial" w:cs="Arial"/>
                <w:bCs/>
                <w:lang w:val="en-GB"/>
              </w:rPr>
              <w:t xml:space="preserve">Amortisation and depreciation </w:t>
            </w:r>
          </w:p>
        </w:tc>
        <w:tc>
          <w:tcPr>
            <w:tcW w:w="352" w:type="pct"/>
            <w:tcBorders>
              <w:top w:val="single" w:sz="4" w:space="0" w:color="auto"/>
              <w:bottom w:val="single" w:sz="4" w:space="0" w:color="auto"/>
            </w:tcBorders>
            <w:vAlign w:val="bottom"/>
          </w:tcPr>
          <w:p w14:paraId="01EB85E5" w14:textId="77777777" w:rsidR="00B01C3F" w:rsidRPr="00A44138" w:rsidRDefault="00B01C3F" w:rsidP="00B01C3F">
            <w:pPr>
              <w:pStyle w:val="TableColumnIMS"/>
              <w:spacing w:line="276" w:lineRule="auto"/>
              <w:jc w:val="center"/>
              <w:rPr>
                <w:rFonts w:ascii="Arial" w:hAnsi="Arial"/>
                <w:color w:val="FF0000"/>
                <w:lang w:val="en-GB"/>
              </w:rPr>
            </w:pPr>
          </w:p>
        </w:tc>
        <w:tc>
          <w:tcPr>
            <w:tcW w:w="631" w:type="pct"/>
            <w:tcBorders>
              <w:top w:val="single" w:sz="4" w:space="0" w:color="auto"/>
              <w:bottom w:val="single" w:sz="4" w:space="0" w:color="auto"/>
            </w:tcBorders>
          </w:tcPr>
          <w:p w14:paraId="437C4CAD" w14:textId="128E2E67" w:rsidR="00B01C3F" w:rsidRPr="00E66BAA" w:rsidRDefault="007E1641" w:rsidP="00B01C3F">
            <w:pPr>
              <w:pStyle w:val="TableColumnIMS"/>
              <w:spacing w:line="276" w:lineRule="auto"/>
              <w:rPr>
                <w:rFonts w:ascii="Arial" w:eastAsia="Batang" w:hAnsi="Arial"/>
                <w:b/>
                <w:lang w:val="en-GB"/>
              </w:rPr>
            </w:pPr>
            <w:r w:rsidRPr="00E66BAA">
              <w:rPr>
                <w:rFonts w:ascii="Arial" w:eastAsia="Batang" w:hAnsi="Arial"/>
                <w:b/>
                <w:lang w:val="en-GB"/>
              </w:rPr>
              <w:t>11.</w:t>
            </w:r>
            <w:r w:rsidR="00CC27BB">
              <w:rPr>
                <w:rFonts w:ascii="Arial" w:eastAsia="Batang" w:hAnsi="Arial"/>
                <w:b/>
                <w:lang w:val="en-GB"/>
              </w:rPr>
              <w:t>7</w:t>
            </w:r>
          </w:p>
        </w:tc>
        <w:tc>
          <w:tcPr>
            <w:tcW w:w="631" w:type="pct"/>
            <w:tcBorders>
              <w:top w:val="single" w:sz="4" w:space="0" w:color="auto"/>
              <w:bottom w:val="single" w:sz="4" w:space="0" w:color="auto"/>
            </w:tcBorders>
          </w:tcPr>
          <w:p w14:paraId="4670C08C" w14:textId="2BB1CEE4"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12.6</w:t>
            </w:r>
          </w:p>
        </w:tc>
        <w:tc>
          <w:tcPr>
            <w:tcW w:w="623" w:type="pct"/>
            <w:tcBorders>
              <w:top w:val="single" w:sz="4" w:space="0" w:color="auto"/>
              <w:bottom w:val="single" w:sz="4" w:space="0" w:color="auto"/>
            </w:tcBorders>
          </w:tcPr>
          <w:p w14:paraId="2E468343" w14:textId="719BFA84" w:rsidR="00B01C3F" w:rsidRPr="006B4517" w:rsidRDefault="00011176" w:rsidP="00B01C3F">
            <w:pPr>
              <w:pStyle w:val="TableColumnIMS"/>
              <w:spacing w:line="276" w:lineRule="auto"/>
              <w:rPr>
                <w:rFonts w:ascii="Arial" w:eastAsia="Batang" w:hAnsi="Arial"/>
                <w:lang w:val="en-GB"/>
              </w:rPr>
            </w:pPr>
            <w:r>
              <w:rPr>
                <w:rFonts w:ascii="Arial" w:eastAsia="Batang" w:hAnsi="Arial"/>
                <w:lang w:val="en-GB"/>
              </w:rPr>
              <w:t>(7)</w:t>
            </w:r>
          </w:p>
        </w:tc>
      </w:tr>
    </w:tbl>
    <w:p w14:paraId="40C9524D" w14:textId="77777777" w:rsidR="00CE03FB" w:rsidRPr="003246C0" w:rsidRDefault="00CE03FB" w:rsidP="009667BA">
      <w:pPr>
        <w:rPr>
          <w:rFonts w:ascii="Arial" w:eastAsia="Calibri" w:hAnsi="Arial" w:cs="Arial"/>
          <w:color w:val="000000" w:themeColor="text1"/>
          <w:sz w:val="20"/>
          <w:szCs w:val="20"/>
        </w:rPr>
      </w:pPr>
    </w:p>
    <w:p w14:paraId="10DD2B24" w14:textId="7D4AD804" w:rsidR="0085442A" w:rsidRPr="003246C0" w:rsidRDefault="00294FD1" w:rsidP="005D6A15">
      <w:pPr>
        <w:pStyle w:val="ParaIMS"/>
        <w:spacing w:before="0"/>
        <w:jc w:val="both"/>
        <w:rPr>
          <w:rFonts w:ascii="Arial" w:eastAsia="Calibri" w:hAnsi="Arial" w:cs="Arial"/>
          <w:color w:val="000000" w:themeColor="text1"/>
          <w:lang w:val="en-GB"/>
        </w:rPr>
      </w:pPr>
      <w:r w:rsidRPr="003246C0">
        <w:rPr>
          <w:rFonts w:ascii="Arial" w:eastAsia="Calibri" w:hAnsi="Arial" w:cs="Arial"/>
          <w:color w:val="000000" w:themeColor="text1"/>
          <w:lang w:val="en-GB"/>
        </w:rPr>
        <w:lastRenderedPageBreak/>
        <w:t xml:space="preserve">Operating costs </w:t>
      </w:r>
      <w:r w:rsidR="009D5F0A" w:rsidRPr="003246C0">
        <w:rPr>
          <w:rFonts w:ascii="Arial" w:eastAsia="Calibri" w:hAnsi="Arial" w:cs="Arial"/>
          <w:color w:val="000000" w:themeColor="text1"/>
          <w:lang w:val="en-GB"/>
        </w:rPr>
        <w:t>reduced by</w:t>
      </w:r>
      <w:r w:rsidRPr="003246C0">
        <w:rPr>
          <w:rFonts w:ascii="Arial" w:eastAsia="Calibri" w:hAnsi="Arial" w:cs="Arial"/>
          <w:color w:val="000000" w:themeColor="text1"/>
          <w:lang w:val="en-GB"/>
        </w:rPr>
        <w:t xml:space="preserve"> </w:t>
      </w:r>
      <w:r w:rsidR="00447C59" w:rsidRPr="00672809">
        <w:rPr>
          <w:rFonts w:ascii="Arial" w:eastAsia="Calibri" w:hAnsi="Arial" w:cs="Arial"/>
          <w:color w:val="000000" w:themeColor="text1"/>
          <w:lang w:val="en-GB"/>
        </w:rPr>
        <w:t>6</w:t>
      </w:r>
      <w:r w:rsidRPr="00672809">
        <w:rPr>
          <w:rFonts w:ascii="Arial" w:eastAsia="Calibri" w:hAnsi="Arial" w:cs="Arial"/>
          <w:color w:val="000000" w:themeColor="text1"/>
          <w:lang w:val="en-GB"/>
        </w:rPr>
        <w:t>%</w:t>
      </w:r>
      <w:r w:rsidR="003246C0" w:rsidRPr="003246C0">
        <w:rPr>
          <w:rFonts w:ascii="Arial" w:eastAsia="Calibri" w:hAnsi="Arial" w:cs="Arial"/>
          <w:color w:val="000000" w:themeColor="text1"/>
          <w:lang w:val="en-GB"/>
        </w:rPr>
        <w:t>,</w:t>
      </w:r>
      <w:r w:rsidRPr="003246C0">
        <w:rPr>
          <w:rFonts w:ascii="Arial" w:eastAsia="Calibri" w:hAnsi="Arial" w:cs="Arial"/>
          <w:color w:val="000000" w:themeColor="text1"/>
          <w:lang w:val="en-GB"/>
        </w:rPr>
        <w:t xml:space="preserve"> </w:t>
      </w:r>
      <w:r w:rsidR="006A32B9" w:rsidRPr="003246C0">
        <w:rPr>
          <w:rFonts w:ascii="Arial" w:eastAsia="Calibri" w:hAnsi="Arial" w:cs="Arial"/>
          <w:color w:val="000000" w:themeColor="text1"/>
          <w:lang w:val="en-GB"/>
        </w:rPr>
        <w:t>achieved by our proactive focus on cost control and automation during the year</w:t>
      </w:r>
      <w:r w:rsidR="001322EC" w:rsidRPr="003246C0">
        <w:rPr>
          <w:rFonts w:ascii="Arial" w:eastAsia="Calibri" w:hAnsi="Arial" w:cs="Arial"/>
          <w:color w:val="000000" w:themeColor="text1"/>
          <w:lang w:val="en-GB"/>
        </w:rPr>
        <w:t xml:space="preserve">. </w:t>
      </w:r>
    </w:p>
    <w:bookmarkEnd w:id="18"/>
    <w:p w14:paraId="2CB68D84" w14:textId="77777777" w:rsidR="003246C0" w:rsidRPr="005E7A81" w:rsidRDefault="003246C0" w:rsidP="005D6A15">
      <w:pPr>
        <w:pStyle w:val="ParaIMS"/>
        <w:spacing w:before="0"/>
        <w:jc w:val="both"/>
        <w:rPr>
          <w:rFonts w:ascii="Arial" w:eastAsia="Batang" w:hAnsi="Arial" w:cs="Arial"/>
          <w:color w:val="C00000"/>
          <w:highlight w:val="yellow"/>
          <w:lang w:val="en-GB" w:eastAsia="ko-KR"/>
        </w:rPr>
      </w:pPr>
    </w:p>
    <w:p w14:paraId="2D416AB0" w14:textId="6A286E2B" w:rsidR="00C45E82" w:rsidRPr="00C45E82" w:rsidRDefault="00C45E82" w:rsidP="00C45E82">
      <w:pPr>
        <w:spacing w:after="0" w:line="240" w:lineRule="auto"/>
        <w:rPr>
          <w:rFonts w:ascii="Arial" w:eastAsia="Calibri" w:hAnsi="Arial" w:cs="Arial"/>
          <w:color w:val="000000" w:themeColor="text1"/>
          <w:sz w:val="20"/>
          <w:szCs w:val="20"/>
        </w:rPr>
      </w:pPr>
      <w:r w:rsidRPr="00C45E82">
        <w:rPr>
          <w:rFonts w:ascii="Arial" w:eastAsia="Calibri" w:hAnsi="Arial" w:cs="Arial"/>
          <w:color w:val="000000" w:themeColor="text1"/>
          <w:sz w:val="20"/>
          <w:szCs w:val="20"/>
        </w:rPr>
        <w:t xml:space="preserve">Distribution (marketing) expenses were </w:t>
      </w:r>
      <w:r w:rsidRPr="003C2D27">
        <w:rPr>
          <w:rFonts w:ascii="Arial" w:eastAsia="Calibri" w:hAnsi="Arial" w:cs="Arial"/>
          <w:color w:val="000000" w:themeColor="text1"/>
          <w:sz w:val="20"/>
          <w:szCs w:val="20"/>
        </w:rPr>
        <w:t>1%</w:t>
      </w:r>
      <w:r w:rsidRPr="00C45E82">
        <w:rPr>
          <w:rFonts w:ascii="Arial" w:eastAsia="Calibri" w:hAnsi="Arial" w:cs="Arial"/>
          <w:color w:val="000000" w:themeColor="text1"/>
          <w:sz w:val="20"/>
          <w:szCs w:val="20"/>
        </w:rPr>
        <w:t xml:space="preserve"> lower than last year. We </w:t>
      </w:r>
      <w:r w:rsidR="00E96130">
        <w:rPr>
          <w:rFonts w:ascii="Arial" w:eastAsia="Calibri" w:hAnsi="Arial" w:cs="Arial"/>
          <w:color w:val="000000" w:themeColor="text1"/>
          <w:sz w:val="20"/>
          <w:szCs w:val="20"/>
        </w:rPr>
        <w:t xml:space="preserve">focused on </w:t>
      </w:r>
      <w:r w:rsidR="00004C90">
        <w:rPr>
          <w:rFonts w:ascii="Arial" w:eastAsia="Calibri" w:hAnsi="Arial" w:cs="Arial"/>
          <w:color w:val="000000" w:themeColor="text1"/>
          <w:sz w:val="20"/>
          <w:szCs w:val="20"/>
        </w:rPr>
        <w:t>improving acquisition efficiency</w:t>
      </w:r>
      <w:r w:rsidR="00C73356">
        <w:rPr>
          <w:rFonts w:ascii="Arial" w:eastAsia="Calibri" w:hAnsi="Arial" w:cs="Arial"/>
          <w:color w:val="000000" w:themeColor="text1"/>
          <w:sz w:val="20"/>
          <w:szCs w:val="20"/>
        </w:rPr>
        <w:t xml:space="preserve">, </w:t>
      </w:r>
      <w:r w:rsidR="007F6536">
        <w:rPr>
          <w:rFonts w:ascii="Arial" w:eastAsia="Calibri" w:hAnsi="Arial" w:cs="Arial"/>
          <w:color w:val="000000" w:themeColor="text1"/>
          <w:sz w:val="20"/>
          <w:szCs w:val="20"/>
        </w:rPr>
        <w:t>target</w:t>
      </w:r>
      <w:r w:rsidR="00C73356">
        <w:rPr>
          <w:rFonts w:ascii="Arial" w:eastAsia="Calibri" w:hAnsi="Arial" w:cs="Arial"/>
          <w:color w:val="000000" w:themeColor="text1"/>
          <w:sz w:val="20"/>
          <w:szCs w:val="20"/>
        </w:rPr>
        <w:t>ing</w:t>
      </w:r>
      <w:r w:rsidRPr="00C45E82">
        <w:rPr>
          <w:rFonts w:ascii="Arial" w:eastAsia="Calibri" w:hAnsi="Arial" w:cs="Arial"/>
          <w:color w:val="000000" w:themeColor="text1"/>
          <w:sz w:val="20"/>
          <w:szCs w:val="20"/>
        </w:rPr>
        <w:t xml:space="preserve"> higher-ROI channels. We also phased more of our brand marketing investment into H2</w:t>
      </w:r>
      <w:r w:rsidR="002E5576">
        <w:rPr>
          <w:rFonts w:ascii="Arial" w:eastAsia="Calibri" w:hAnsi="Arial" w:cs="Arial"/>
          <w:color w:val="000000" w:themeColor="text1"/>
          <w:sz w:val="20"/>
          <w:szCs w:val="20"/>
        </w:rPr>
        <w:t xml:space="preserve"> </w:t>
      </w:r>
      <w:r w:rsidRPr="00C45E82">
        <w:rPr>
          <w:rFonts w:ascii="Arial" w:eastAsia="Calibri" w:hAnsi="Arial" w:cs="Arial"/>
          <w:color w:val="000000" w:themeColor="text1"/>
          <w:sz w:val="20"/>
          <w:szCs w:val="20"/>
        </w:rPr>
        <w:t>which</w:t>
      </w:r>
      <w:r w:rsidR="002E5576">
        <w:rPr>
          <w:rFonts w:ascii="Arial" w:eastAsia="Calibri" w:hAnsi="Arial" w:cs="Arial"/>
          <w:color w:val="000000" w:themeColor="text1"/>
          <w:sz w:val="20"/>
          <w:szCs w:val="20"/>
        </w:rPr>
        <w:t xml:space="preserve"> we expect will support </w:t>
      </w:r>
      <w:r w:rsidRPr="00C45E82">
        <w:rPr>
          <w:rFonts w:ascii="Arial" w:eastAsia="Calibri" w:hAnsi="Arial" w:cs="Arial"/>
          <w:color w:val="000000" w:themeColor="text1"/>
          <w:sz w:val="20"/>
          <w:szCs w:val="20"/>
        </w:rPr>
        <w:t>continued momentum</w:t>
      </w:r>
      <w:r w:rsidR="00723344">
        <w:rPr>
          <w:rFonts w:ascii="Arial" w:eastAsia="Calibri" w:hAnsi="Arial" w:cs="Arial"/>
          <w:color w:val="000000" w:themeColor="text1"/>
          <w:sz w:val="20"/>
          <w:szCs w:val="20"/>
        </w:rPr>
        <w:t>.</w:t>
      </w:r>
    </w:p>
    <w:p w14:paraId="66E30F29" w14:textId="77777777" w:rsidR="0085442A" w:rsidRPr="005E7A81" w:rsidRDefault="0085442A" w:rsidP="005D6A15">
      <w:pPr>
        <w:pStyle w:val="ParaIMS"/>
        <w:spacing w:before="0"/>
        <w:jc w:val="both"/>
        <w:rPr>
          <w:rFonts w:ascii="Arial" w:eastAsia="Batang" w:hAnsi="Arial" w:cs="Arial"/>
          <w:color w:val="C00000"/>
          <w:highlight w:val="yellow"/>
          <w:lang w:val="en-GB" w:eastAsia="ko-KR"/>
        </w:rPr>
      </w:pPr>
    </w:p>
    <w:p w14:paraId="0208F9CB" w14:textId="44F6DE4A" w:rsidR="003E256C" w:rsidRPr="008725EE" w:rsidRDefault="008725EE" w:rsidP="008725EE">
      <w:pPr>
        <w:spacing w:after="0" w:line="240" w:lineRule="auto"/>
        <w:rPr>
          <w:rFonts w:ascii="Arial" w:hAnsi="Arial" w:cs="Arial"/>
          <w:sz w:val="20"/>
          <w:szCs w:val="20"/>
        </w:rPr>
      </w:pPr>
      <w:r>
        <w:rPr>
          <w:rFonts w:ascii="Arial" w:hAnsi="Arial" w:cs="Arial"/>
          <w:sz w:val="20"/>
          <w:szCs w:val="20"/>
        </w:rPr>
        <w:t>A</w:t>
      </w:r>
      <w:r w:rsidR="003E256C" w:rsidRPr="008725EE">
        <w:rPr>
          <w:rFonts w:ascii="Arial" w:hAnsi="Arial" w:cs="Arial"/>
          <w:sz w:val="20"/>
          <w:szCs w:val="20"/>
        </w:rPr>
        <w:t xml:space="preserve">dministrative expenses decreased by </w:t>
      </w:r>
      <w:r w:rsidR="003E256C" w:rsidRPr="00730971">
        <w:rPr>
          <w:rFonts w:ascii="Arial" w:hAnsi="Arial" w:cs="Arial"/>
          <w:sz w:val="20"/>
          <w:szCs w:val="20"/>
        </w:rPr>
        <w:t>7</w:t>
      </w:r>
      <w:r w:rsidR="003E256C" w:rsidRPr="008725EE">
        <w:rPr>
          <w:rFonts w:ascii="Arial" w:hAnsi="Arial" w:cs="Arial"/>
          <w:sz w:val="20"/>
          <w:szCs w:val="20"/>
        </w:rPr>
        <w:t xml:space="preserve">%, as we delivered further efficiency gains. At the </w:t>
      </w:r>
      <w:r w:rsidR="00613C0C">
        <w:rPr>
          <w:rFonts w:ascii="Arial" w:hAnsi="Arial" w:cs="Arial"/>
          <w:sz w:val="20"/>
          <w:szCs w:val="20"/>
        </w:rPr>
        <w:t xml:space="preserve">end of the </w:t>
      </w:r>
      <w:r w:rsidR="003E256C" w:rsidRPr="008725EE">
        <w:rPr>
          <w:rFonts w:ascii="Arial" w:hAnsi="Arial" w:cs="Arial"/>
          <w:sz w:val="20"/>
          <w:szCs w:val="20"/>
        </w:rPr>
        <w:t xml:space="preserve">half, headcount was down </w:t>
      </w:r>
      <w:r w:rsidR="00711B8D" w:rsidRPr="005C13FE">
        <w:rPr>
          <w:rFonts w:ascii="Arial" w:hAnsi="Arial" w:cs="Arial"/>
          <w:sz w:val="20"/>
          <w:szCs w:val="20"/>
        </w:rPr>
        <w:t>10</w:t>
      </w:r>
      <w:r w:rsidR="003E256C" w:rsidRPr="001F3FFD">
        <w:rPr>
          <w:rFonts w:ascii="Arial" w:hAnsi="Arial" w:cs="Arial"/>
          <w:sz w:val="20"/>
          <w:szCs w:val="20"/>
        </w:rPr>
        <w:t>%</w:t>
      </w:r>
      <w:r w:rsidR="003E256C" w:rsidRPr="008725EE">
        <w:rPr>
          <w:rFonts w:ascii="Arial" w:hAnsi="Arial" w:cs="Arial"/>
          <w:sz w:val="20"/>
          <w:szCs w:val="20"/>
        </w:rPr>
        <w:t xml:space="preserve"> on the prior year, resulting in a</w:t>
      </w:r>
      <w:r w:rsidR="003E256C" w:rsidRPr="008725EE" w:rsidDel="004801BD">
        <w:rPr>
          <w:rFonts w:ascii="Arial" w:hAnsi="Arial" w:cs="Arial"/>
          <w:sz w:val="20"/>
          <w:szCs w:val="20"/>
        </w:rPr>
        <w:t xml:space="preserve"> </w:t>
      </w:r>
      <w:r w:rsidR="003E256C" w:rsidRPr="008725EE">
        <w:rPr>
          <w:rFonts w:ascii="Arial" w:hAnsi="Arial" w:cs="Arial"/>
          <w:sz w:val="20"/>
          <w:szCs w:val="20"/>
        </w:rPr>
        <w:t>15% reduction in people costs</w:t>
      </w:r>
      <w:r w:rsidR="00D87785">
        <w:rPr>
          <w:rFonts w:ascii="Arial" w:hAnsi="Arial" w:cs="Arial"/>
          <w:sz w:val="20"/>
          <w:szCs w:val="20"/>
        </w:rPr>
        <w:t xml:space="preserve"> in the half year</w:t>
      </w:r>
      <w:r w:rsidR="003E256C" w:rsidRPr="008725EE">
        <w:rPr>
          <w:rFonts w:ascii="Arial" w:hAnsi="Arial" w:cs="Arial"/>
          <w:sz w:val="20"/>
          <w:szCs w:val="20"/>
        </w:rPr>
        <w:t>. These savings are largely from productivity improvements</w:t>
      </w:r>
      <w:r w:rsidR="00447C59">
        <w:rPr>
          <w:rFonts w:ascii="Arial" w:hAnsi="Arial" w:cs="Arial"/>
          <w:sz w:val="20"/>
          <w:szCs w:val="20"/>
        </w:rPr>
        <w:t>,</w:t>
      </w:r>
      <w:r w:rsidR="003E256C" w:rsidRPr="008725EE">
        <w:rPr>
          <w:rFonts w:ascii="Arial" w:hAnsi="Arial" w:cs="Arial"/>
          <w:sz w:val="20"/>
          <w:szCs w:val="20"/>
        </w:rPr>
        <w:t xml:space="preserve"> for instance leveraging technology to automate tasks and eliminate duplicative work</w:t>
      </w:r>
      <w:r w:rsidR="00447C59">
        <w:rPr>
          <w:rFonts w:ascii="Arial" w:hAnsi="Arial" w:cs="Arial"/>
          <w:sz w:val="20"/>
          <w:szCs w:val="20"/>
        </w:rPr>
        <w:t>.</w:t>
      </w:r>
      <w:r w:rsidR="001D4613">
        <w:rPr>
          <w:rFonts w:ascii="Arial" w:hAnsi="Arial" w:cs="Arial"/>
          <w:sz w:val="20"/>
          <w:szCs w:val="20"/>
        </w:rPr>
        <w:t xml:space="preserve"> </w:t>
      </w:r>
      <w:r w:rsidR="00F33513" w:rsidRPr="00F33513">
        <w:rPr>
          <w:rFonts w:ascii="Arial" w:hAnsi="Arial" w:cs="Arial"/>
          <w:sz w:val="20"/>
          <w:szCs w:val="20"/>
        </w:rPr>
        <w:t>Amortisation of technology related intangible assets increased by 15% reflecting the phasing of projects going live during the period and last year.</w:t>
      </w:r>
    </w:p>
    <w:p w14:paraId="1D5F06D0" w14:textId="5F557F11" w:rsidR="00294FD1" w:rsidRPr="00A44138" w:rsidRDefault="00294FD1" w:rsidP="00294FD1">
      <w:pPr>
        <w:spacing w:before="240" w:after="0"/>
        <w:rPr>
          <w:rFonts w:ascii="Arial" w:hAnsi="Arial" w:cs="Arial"/>
          <w:b/>
        </w:rPr>
      </w:pPr>
      <w:r w:rsidRPr="00A44138">
        <w:rPr>
          <w:rFonts w:ascii="Arial" w:hAnsi="Arial"/>
          <w:b/>
          <w:sz w:val="20"/>
        </w:rPr>
        <w:t>Adjusting items*</w:t>
      </w:r>
    </w:p>
    <w:p w14:paraId="61950E89" w14:textId="16BCA447" w:rsidR="00294FD1" w:rsidRPr="00A44138" w:rsidRDefault="00294FD1" w:rsidP="00294FD1">
      <w:pPr>
        <w:pStyle w:val="ParaIMS"/>
        <w:spacing w:before="0"/>
        <w:rPr>
          <w:rFonts w:ascii="Arial" w:eastAsia="Batang" w:hAnsi="Arial"/>
          <w:i/>
          <w:lang w:val="en-GB" w:eastAsia="ko-KR"/>
        </w:rPr>
      </w:pPr>
      <w:r w:rsidRPr="00A44138">
        <w:rPr>
          <w:rFonts w:ascii="Arial" w:eastAsia="Batang" w:hAnsi="Arial"/>
          <w:i/>
          <w:lang w:val="en-GB" w:eastAsia="ko-KR"/>
        </w:rPr>
        <w:t>for the six months ended 30 June</w:t>
      </w:r>
      <w:r w:rsidR="00190ADD" w:rsidRPr="00A44138">
        <w:rPr>
          <w:rFonts w:ascii="Arial" w:eastAsia="Batang" w:hAnsi="Arial"/>
          <w:i/>
          <w:lang w:val="en-GB" w:eastAsia="ko-KR"/>
        </w:rPr>
        <w:t xml:space="preserve"> 202</w:t>
      </w:r>
      <w:r w:rsidR="00B01C3F">
        <w:rPr>
          <w:rFonts w:ascii="Arial" w:eastAsia="Batang" w:hAnsi="Arial"/>
          <w:i/>
          <w:lang w:val="en-GB" w:eastAsia="ko-KR"/>
        </w:rPr>
        <w:t>5</w:t>
      </w:r>
      <w:r w:rsidR="00190ADD" w:rsidRPr="00A44138">
        <w:rPr>
          <w:rFonts w:ascii="Arial" w:eastAsia="Batang" w:hAnsi="Arial"/>
          <w:i/>
          <w:lang w:val="en-GB" w:eastAsia="ko-KR"/>
        </w:rPr>
        <w:t xml:space="preserve"> and 30 June 202</w:t>
      </w:r>
      <w:r w:rsidR="00B01C3F">
        <w:rPr>
          <w:rFonts w:ascii="Arial" w:eastAsia="Batang" w:hAnsi="Arial"/>
          <w:i/>
          <w:lang w:val="en-GB" w:eastAsia="ko-KR"/>
        </w:rPr>
        <w:t>4</w:t>
      </w:r>
    </w:p>
    <w:tbl>
      <w:tblPr>
        <w:tblW w:w="4866" w:type="pct"/>
        <w:tblCellMar>
          <w:left w:w="0" w:type="dxa"/>
          <w:right w:w="0" w:type="dxa"/>
        </w:tblCellMar>
        <w:tblLook w:val="04A0" w:firstRow="1" w:lastRow="0" w:firstColumn="1" w:lastColumn="0" w:noHBand="0" w:noVBand="1"/>
      </w:tblPr>
      <w:tblGrid>
        <w:gridCol w:w="4880"/>
        <w:gridCol w:w="620"/>
        <w:gridCol w:w="1111"/>
        <w:gridCol w:w="1111"/>
        <w:gridCol w:w="1107"/>
      </w:tblGrid>
      <w:tr w:rsidR="00B01C3F" w:rsidRPr="00A44138" w14:paraId="29CA7150" w14:textId="77777777" w:rsidTr="002458EE">
        <w:trPr>
          <w:trHeight w:val="88"/>
        </w:trPr>
        <w:tc>
          <w:tcPr>
            <w:tcW w:w="2764" w:type="pct"/>
            <w:tcBorders>
              <w:left w:val="nil"/>
              <w:right w:val="nil"/>
            </w:tcBorders>
            <w:vAlign w:val="center"/>
          </w:tcPr>
          <w:p w14:paraId="2E5B87B8" w14:textId="77777777" w:rsidR="00B01C3F" w:rsidRPr="00A44138" w:rsidRDefault="00B01C3F" w:rsidP="00B01C3F">
            <w:pPr>
              <w:pStyle w:val="TableStubIMS"/>
              <w:spacing w:line="276" w:lineRule="auto"/>
              <w:rPr>
                <w:rFonts w:ascii="Arial" w:hAnsi="Arial"/>
                <w:b/>
                <w:color w:val="FF0000"/>
                <w:lang w:val="en-GB"/>
              </w:rPr>
            </w:pPr>
          </w:p>
        </w:tc>
        <w:tc>
          <w:tcPr>
            <w:tcW w:w="351" w:type="pct"/>
            <w:tcBorders>
              <w:left w:val="nil"/>
              <w:right w:val="nil"/>
            </w:tcBorders>
            <w:vAlign w:val="center"/>
          </w:tcPr>
          <w:p w14:paraId="0872718B" w14:textId="77777777" w:rsidR="00B01C3F" w:rsidRPr="00A44138" w:rsidRDefault="00B01C3F" w:rsidP="00B01C3F">
            <w:pPr>
              <w:pStyle w:val="TableColumnIMS"/>
              <w:spacing w:line="276" w:lineRule="auto"/>
              <w:jc w:val="left"/>
              <w:rPr>
                <w:rFonts w:ascii="Arial" w:hAnsi="Arial"/>
                <w:color w:val="FF0000"/>
                <w:lang w:val="en-GB"/>
              </w:rPr>
            </w:pPr>
          </w:p>
        </w:tc>
        <w:tc>
          <w:tcPr>
            <w:tcW w:w="629" w:type="pct"/>
            <w:tcBorders>
              <w:left w:val="nil"/>
              <w:right w:val="nil"/>
            </w:tcBorders>
            <w:vAlign w:val="center"/>
          </w:tcPr>
          <w:p w14:paraId="297A90DA" w14:textId="0A0C7D5D" w:rsidR="00B01C3F" w:rsidRPr="00A44138" w:rsidRDefault="00B01C3F" w:rsidP="00B01C3F">
            <w:pPr>
              <w:pStyle w:val="TableColumnIMS"/>
              <w:spacing w:line="276" w:lineRule="auto"/>
              <w:rPr>
                <w:rFonts w:ascii="Arial" w:eastAsia="Batang" w:hAnsi="Arial"/>
                <w:b/>
                <w:lang w:val="en-GB"/>
              </w:rPr>
            </w:pPr>
            <w:r w:rsidRPr="00A44138">
              <w:rPr>
                <w:rFonts w:ascii="Arial" w:eastAsia="Batang" w:hAnsi="Arial"/>
                <w:b/>
                <w:lang w:val="en-GB"/>
              </w:rPr>
              <w:t>202</w:t>
            </w:r>
            <w:r>
              <w:rPr>
                <w:rFonts w:ascii="Arial" w:eastAsia="Batang" w:hAnsi="Arial"/>
                <w:b/>
                <w:lang w:val="en-GB"/>
              </w:rPr>
              <w:t>5</w:t>
            </w:r>
          </w:p>
        </w:tc>
        <w:tc>
          <w:tcPr>
            <w:tcW w:w="629" w:type="pct"/>
            <w:tcBorders>
              <w:left w:val="nil"/>
              <w:right w:val="nil"/>
            </w:tcBorders>
            <w:vAlign w:val="center"/>
          </w:tcPr>
          <w:p w14:paraId="6D545DAA" w14:textId="4425DEF9"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2024</w:t>
            </w:r>
          </w:p>
        </w:tc>
        <w:tc>
          <w:tcPr>
            <w:tcW w:w="627" w:type="pct"/>
            <w:tcBorders>
              <w:left w:val="nil"/>
              <w:right w:val="nil"/>
            </w:tcBorders>
            <w:vAlign w:val="center"/>
          </w:tcPr>
          <w:p w14:paraId="38B59964" w14:textId="77777777" w:rsidR="00B01C3F" w:rsidRPr="00A44138" w:rsidRDefault="00B01C3F" w:rsidP="00B01C3F">
            <w:pPr>
              <w:pStyle w:val="TableColumnIMS"/>
              <w:spacing w:line="276" w:lineRule="auto"/>
              <w:rPr>
                <w:rFonts w:ascii="Arial" w:eastAsia="Batang" w:hAnsi="Arial"/>
                <w:b/>
                <w:lang w:val="en-GB"/>
              </w:rPr>
            </w:pPr>
            <w:r w:rsidRPr="00A44138">
              <w:rPr>
                <w:rFonts w:ascii="Arial" w:eastAsia="Batang" w:hAnsi="Arial"/>
                <w:b/>
                <w:lang w:val="en-GB"/>
              </w:rPr>
              <w:t>Growth</w:t>
            </w:r>
          </w:p>
        </w:tc>
      </w:tr>
      <w:tr w:rsidR="00B01C3F" w:rsidRPr="00A44138" w14:paraId="15A6FC1D" w14:textId="77777777" w:rsidTr="002458EE">
        <w:tc>
          <w:tcPr>
            <w:tcW w:w="2764" w:type="pct"/>
            <w:tcBorders>
              <w:left w:val="nil"/>
              <w:bottom w:val="single" w:sz="4" w:space="0" w:color="auto"/>
              <w:right w:val="nil"/>
            </w:tcBorders>
            <w:vAlign w:val="center"/>
          </w:tcPr>
          <w:p w14:paraId="5669D7B0" w14:textId="77777777" w:rsidR="00B01C3F" w:rsidRPr="00A44138" w:rsidRDefault="00B01C3F" w:rsidP="00B01C3F">
            <w:pPr>
              <w:pStyle w:val="TableStubIMS"/>
              <w:spacing w:line="276" w:lineRule="auto"/>
              <w:ind w:left="173" w:hanging="173"/>
              <w:rPr>
                <w:rFonts w:ascii="Arial" w:hAnsi="Arial"/>
                <w:b/>
                <w:lang w:val="en-GB"/>
              </w:rPr>
            </w:pPr>
          </w:p>
        </w:tc>
        <w:tc>
          <w:tcPr>
            <w:tcW w:w="351" w:type="pct"/>
            <w:tcBorders>
              <w:left w:val="nil"/>
              <w:bottom w:val="single" w:sz="4" w:space="0" w:color="auto"/>
              <w:right w:val="nil"/>
            </w:tcBorders>
            <w:vAlign w:val="center"/>
          </w:tcPr>
          <w:p w14:paraId="35845BAC" w14:textId="77777777" w:rsidR="00B01C3F" w:rsidRPr="00A44138" w:rsidRDefault="00B01C3F" w:rsidP="00B01C3F">
            <w:pPr>
              <w:pStyle w:val="TableColumnIMS"/>
              <w:spacing w:line="276" w:lineRule="auto"/>
              <w:jc w:val="left"/>
              <w:rPr>
                <w:rFonts w:ascii="Arial" w:hAnsi="Arial"/>
                <w:color w:val="FF0000"/>
                <w:lang w:val="en-GB"/>
              </w:rPr>
            </w:pPr>
          </w:p>
        </w:tc>
        <w:tc>
          <w:tcPr>
            <w:tcW w:w="629" w:type="pct"/>
            <w:tcBorders>
              <w:left w:val="nil"/>
              <w:bottom w:val="single" w:sz="4" w:space="0" w:color="auto"/>
              <w:right w:val="nil"/>
            </w:tcBorders>
            <w:vAlign w:val="center"/>
          </w:tcPr>
          <w:p w14:paraId="31BD9C11" w14:textId="77777777" w:rsidR="00B01C3F" w:rsidRPr="00A44138" w:rsidRDefault="00B01C3F" w:rsidP="00B01C3F">
            <w:pPr>
              <w:pStyle w:val="TableColumnIMS"/>
              <w:spacing w:line="276" w:lineRule="auto"/>
              <w:rPr>
                <w:rFonts w:ascii="Arial" w:eastAsia="Batang" w:hAnsi="Arial"/>
                <w:b/>
                <w:lang w:val="en-GB"/>
              </w:rPr>
            </w:pPr>
            <w:r w:rsidRPr="00A44138">
              <w:rPr>
                <w:rFonts w:ascii="Arial" w:eastAsia="Batang" w:hAnsi="Arial"/>
                <w:b/>
                <w:lang w:val="en-GB"/>
              </w:rPr>
              <w:t>£m</w:t>
            </w:r>
          </w:p>
        </w:tc>
        <w:tc>
          <w:tcPr>
            <w:tcW w:w="629" w:type="pct"/>
            <w:tcBorders>
              <w:left w:val="nil"/>
              <w:bottom w:val="single" w:sz="4" w:space="0" w:color="auto"/>
              <w:right w:val="nil"/>
            </w:tcBorders>
            <w:vAlign w:val="center"/>
          </w:tcPr>
          <w:p w14:paraId="306F500B" w14:textId="7BE7D4A3"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£m</w:t>
            </w:r>
          </w:p>
        </w:tc>
        <w:tc>
          <w:tcPr>
            <w:tcW w:w="627" w:type="pct"/>
            <w:tcBorders>
              <w:left w:val="nil"/>
              <w:bottom w:val="single" w:sz="4" w:space="0" w:color="auto"/>
              <w:right w:val="nil"/>
            </w:tcBorders>
            <w:vAlign w:val="center"/>
          </w:tcPr>
          <w:p w14:paraId="27702E25" w14:textId="3D9E795B" w:rsidR="00B01C3F" w:rsidRPr="00A44138" w:rsidRDefault="004A2811" w:rsidP="00B01C3F">
            <w:pPr>
              <w:pStyle w:val="TableColumnIMS"/>
              <w:spacing w:line="276" w:lineRule="auto"/>
              <w:rPr>
                <w:rFonts w:ascii="Arial" w:eastAsia="Batang" w:hAnsi="Arial"/>
                <w:b/>
                <w:lang w:val="en-GB"/>
              </w:rPr>
            </w:pPr>
            <w:r>
              <w:rPr>
                <w:rFonts w:ascii="Arial" w:eastAsia="Batang" w:hAnsi="Arial"/>
                <w:b/>
                <w:lang w:val="en-GB"/>
              </w:rPr>
              <w:t>%</w:t>
            </w:r>
          </w:p>
        </w:tc>
      </w:tr>
      <w:tr w:rsidR="00B01C3F" w:rsidRPr="00A44138" w14:paraId="19FEF206" w14:textId="77777777" w:rsidTr="002458EE">
        <w:tc>
          <w:tcPr>
            <w:tcW w:w="2764" w:type="pct"/>
            <w:tcBorders>
              <w:top w:val="single" w:sz="4" w:space="0" w:color="auto"/>
              <w:bottom w:val="single" w:sz="4" w:space="0" w:color="auto"/>
            </w:tcBorders>
            <w:vAlign w:val="center"/>
          </w:tcPr>
          <w:p w14:paraId="4222A0A1" w14:textId="77777777" w:rsidR="00B01C3F" w:rsidRPr="00A44138" w:rsidRDefault="00B01C3F" w:rsidP="00B01C3F">
            <w:pPr>
              <w:pStyle w:val="TableStubIMS"/>
              <w:spacing w:line="276" w:lineRule="auto"/>
              <w:ind w:left="173" w:hanging="173"/>
              <w:rPr>
                <w:rFonts w:ascii="Arial" w:hAnsi="Arial"/>
                <w:lang w:val="en-GB"/>
              </w:rPr>
            </w:pPr>
            <w:r w:rsidRPr="00A44138">
              <w:rPr>
                <w:rFonts w:ascii="Arial" w:hAnsi="Arial"/>
                <w:lang w:val="en-GB"/>
              </w:rPr>
              <w:t>Amortisation of acquisition related intangible assets</w:t>
            </w:r>
          </w:p>
        </w:tc>
        <w:tc>
          <w:tcPr>
            <w:tcW w:w="351" w:type="pct"/>
            <w:tcBorders>
              <w:top w:val="single" w:sz="4" w:space="0" w:color="auto"/>
              <w:bottom w:val="single" w:sz="4" w:space="0" w:color="auto"/>
            </w:tcBorders>
            <w:vAlign w:val="center"/>
          </w:tcPr>
          <w:p w14:paraId="45790DE4" w14:textId="77777777" w:rsidR="00B01C3F" w:rsidRPr="00A44138" w:rsidRDefault="00B01C3F" w:rsidP="00B01C3F">
            <w:pPr>
              <w:pStyle w:val="TableColumnIMS"/>
              <w:spacing w:line="276" w:lineRule="auto"/>
              <w:jc w:val="left"/>
              <w:rPr>
                <w:rFonts w:ascii="Arial" w:hAnsi="Arial"/>
                <w:color w:val="FF0000"/>
                <w:lang w:val="en-GB"/>
              </w:rPr>
            </w:pPr>
          </w:p>
        </w:tc>
        <w:tc>
          <w:tcPr>
            <w:tcW w:w="629" w:type="pct"/>
            <w:tcBorders>
              <w:top w:val="single" w:sz="4" w:space="0" w:color="auto"/>
              <w:bottom w:val="single" w:sz="4" w:space="0" w:color="auto"/>
            </w:tcBorders>
          </w:tcPr>
          <w:p w14:paraId="5016AFA8" w14:textId="2CC47BBD" w:rsidR="00B01C3F" w:rsidRPr="00F12FC3" w:rsidRDefault="006F02C6" w:rsidP="00B01C3F">
            <w:pPr>
              <w:pStyle w:val="TableColumnIMS"/>
              <w:spacing w:line="276" w:lineRule="auto"/>
              <w:rPr>
                <w:rFonts w:ascii="Arial" w:eastAsia="Batang" w:hAnsi="Arial"/>
                <w:b/>
                <w:lang w:val="en-GB"/>
              </w:rPr>
            </w:pPr>
            <w:r w:rsidRPr="00F12FC3">
              <w:rPr>
                <w:rFonts w:ascii="Arial" w:eastAsia="Batang" w:hAnsi="Arial"/>
                <w:b/>
                <w:lang w:val="en-GB"/>
              </w:rPr>
              <w:t>4.1</w:t>
            </w:r>
          </w:p>
        </w:tc>
        <w:tc>
          <w:tcPr>
            <w:tcW w:w="629" w:type="pct"/>
            <w:tcBorders>
              <w:top w:val="single" w:sz="4" w:space="0" w:color="auto"/>
              <w:bottom w:val="single" w:sz="4" w:space="0" w:color="auto"/>
            </w:tcBorders>
          </w:tcPr>
          <w:p w14:paraId="7C02F370" w14:textId="07D57DC9" w:rsidR="00B01C3F" w:rsidRPr="005E7A81" w:rsidRDefault="00B01C3F" w:rsidP="00B01C3F">
            <w:pPr>
              <w:pStyle w:val="TableColumnIMS"/>
              <w:spacing w:line="276" w:lineRule="auto"/>
              <w:rPr>
                <w:rFonts w:ascii="Arial" w:eastAsia="Batang" w:hAnsi="Arial"/>
                <w:bCs/>
                <w:lang w:val="en-GB"/>
              </w:rPr>
            </w:pPr>
            <w:r w:rsidRPr="005E7A81">
              <w:rPr>
                <w:rFonts w:ascii="Arial" w:eastAsia="Batang" w:hAnsi="Arial"/>
                <w:bCs/>
                <w:lang w:val="en-GB"/>
              </w:rPr>
              <w:t>5.4</w:t>
            </w:r>
          </w:p>
        </w:tc>
        <w:tc>
          <w:tcPr>
            <w:tcW w:w="627" w:type="pct"/>
            <w:tcBorders>
              <w:top w:val="single" w:sz="4" w:space="0" w:color="auto"/>
              <w:bottom w:val="single" w:sz="4" w:space="0" w:color="auto"/>
            </w:tcBorders>
            <w:vAlign w:val="center"/>
          </w:tcPr>
          <w:p w14:paraId="4DDC5D95" w14:textId="0F851EB5" w:rsidR="00B01C3F" w:rsidRPr="00DA53C4" w:rsidRDefault="003127FA" w:rsidP="00B01C3F">
            <w:pPr>
              <w:pStyle w:val="TableColumnIMS"/>
              <w:spacing w:line="276" w:lineRule="auto"/>
              <w:rPr>
                <w:rFonts w:ascii="Arial" w:eastAsia="Batang" w:hAnsi="Arial"/>
                <w:lang w:val="en-GB"/>
              </w:rPr>
            </w:pPr>
            <w:r w:rsidRPr="00DA53C4">
              <w:rPr>
                <w:rFonts w:ascii="Arial" w:eastAsia="Batang" w:hAnsi="Arial"/>
                <w:lang w:val="en-GB"/>
              </w:rPr>
              <w:t>(24)</w:t>
            </w:r>
          </w:p>
        </w:tc>
      </w:tr>
      <w:tr w:rsidR="002458EE" w:rsidRPr="00A44138" w14:paraId="69E358FC" w14:textId="77777777" w:rsidTr="002458EE">
        <w:tc>
          <w:tcPr>
            <w:tcW w:w="2764" w:type="pct"/>
            <w:tcBorders>
              <w:top w:val="single" w:sz="4" w:space="0" w:color="auto"/>
              <w:bottom w:val="single" w:sz="4" w:space="0" w:color="auto"/>
            </w:tcBorders>
            <w:vAlign w:val="center"/>
          </w:tcPr>
          <w:p w14:paraId="0E8D8B88" w14:textId="18E3E474" w:rsidR="002458EE" w:rsidRPr="00A44138" w:rsidRDefault="002458EE" w:rsidP="002458EE">
            <w:pPr>
              <w:pStyle w:val="TableStubIMS"/>
              <w:spacing w:line="276" w:lineRule="auto"/>
              <w:ind w:left="173" w:hanging="173"/>
              <w:rPr>
                <w:rFonts w:ascii="Arial" w:hAnsi="Arial"/>
                <w:b/>
                <w:bCs/>
                <w:lang w:val="en-GB"/>
              </w:rPr>
            </w:pPr>
            <w:r w:rsidRPr="00FB2E0E">
              <w:rPr>
                <w:rFonts w:ascii="Arial" w:hAnsi="Arial" w:cs="Arial"/>
                <w:lang w:val="en-GB"/>
              </w:rPr>
              <w:t xml:space="preserve">Irrecoverable VAT </w:t>
            </w:r>
            <w:r>
              <w:rPr>
                <w:rFonts w:ascii="Arial" w:hAnsi="Arial" w:cs="Arial"/>
                <w:lang w:val="en-GB"/>
              </w:rPr>
              <w:t>provision</w:t>
            </w:r>
            <w:r w:rsidRPr="00FB2E0E">
              <w:rPr>
                <w:rFonts w:ascii="Arial" w:hAnsi="Arial" w:cs="Arial"/>
                <w:lang w:val="en-GB"/>
              </w:rPr>
              <w:t xml:space="preserve"> and related costs</w:t>
            </w:r>
            <w:r>
              <w:rPr>
                <w:rFonts w:ascii="Arial" w:hAnsi="Arial" w:cs="Arial"/>
                <w:lang w:val="en-GB"/>
              </w:rPr>
              <w:t>*</w:t>
            </w:r>
          </w:p>
        </w:tc>
        <w:tc>
          <w:tcPr>
            <w:tcW w:w="351" w:type="pct"/>
            <w:tcBorders>
              <w:top w:val="single" w:sz="4" w:space="0" w:color="auto"/>
              <w:bottom w:val="single" w:sz="4" w:space="0" w:color="auto"/>
            </w:tcBorders>
            <w:vAlign w:val="center"/>
          </w:tcPr>
          <w:p w14:paraId="672EA005" w14:textId="77777777" w:rsidR="002458EE" w:rsidRPr="00A44138" w:rsidRDefault="002458EE" w:rsidP="002458EE">
            <w:pPr>
              <w:pStyle w:val="TableColumnIMS"/>
              <w:spacing w:line="276" w:lineRule="auto"/>
              <w:jc w:val="left"/>
              <w:rPr>
                <w:rFonts w:ascii="Arial" w:hAnsi="Arial"/>
                <w:color w:val="FF0000"/>
                <w:lang w:val="en-GB"/>
              </w:rPr>
            </w:pPr>
          </w:p>
        </w:tc>
        <w:tc>
          <w:tcPr>
            <w:tcW w:w="629" w:type="pct"/>
            <w:tcBorders>
              <w:top w:val="single" w:sz="4" w:space="0" w:color="auto"/>
              <w:bottom w:val="single" w:sz="4" w:space="0" w:color="auto"/>
            </w:tcBorders>
          </w:tcPr>
          <w:p w14:paraId="02BDC1D4" w14:textId="0ADC86C9" w:rsidR="002458EE" w:rsidRPr="00F12FC3" w:rsidRDefault="00421011" w:rsidP="002458EE">
            <w:pPr>
              <w:pStyle w:val="TableColumnIMS"/>
              <w:spacing w:line="276" w:lineRule="auto"/>
              <w:rPr>
                <w:rFonts w:ascii="Arial" w:eastAsia="Batang" w:hAnsi="Arial"/>
                <w:b/>
                <w:lang w:val="en-GB"/>
              </w:rPr>
            </w:pPr>
            <w:r w:rsidRPr="00F12FC3">
              <w:rPr>
                <w:rFonts w:ascii="Arial" w:eastAsia="Batang" w:hAnsi="Arial"/>
                <w:b/>
                <w:lang w:val="en-GB"/>
              </w:rPr>
              <w:t>2.2</w:t>
            </w:r>
          </w:p>
        </w:tc>
        <w:tc>
          <w:tcPr>
            <w:tcW w:w="629" w:type="pct"/>
            <w:tcBorders>
              <w:top w:val="single" w:sz="4" w:space="0" w:color="auto"/>
              <w:bottom w:val="single" w:sz="4" w:space="0" w:color="auto"/>
            </w:tcBorders>
          </w:tcPr>
          <w:p w14:paraId="36A26F72" w14:textId="0AA769A9" w:rsidR="002458EE" w:rsidRPr="005C13FE" w:rsidRDefault="002458EE" w:rsidP="002458EE">
            <w:pPr>
              <w:pStyle w:val="TableColumnIMS"/>
              <w:spacing w:line="276" w:lineRule="auto"/>
              <w:rPr>
                <w:rFonts w:ascii="Arial" w:eastAsia="Batang" w:hAnsi="Arial"/>
                <w:lang w:val="en-GB"/>
              </w:rPr>
            </w:pPr>
            <w:r w:rsidRPr="005C13FE">
              <w:rPr>
                <w:rFonts w:ascii="Arial" w:eastAsia="Batang" w:hAnsi="Arial"/>
                <w:lang w:val="en-GB"/>
              </w:rPr>
              <w:t>1.0</w:t>
            </w:r>
          </w:p>
        </w:tc>
        <w:tc>
          <w:tcPr>
            <w:tcW w:w="627" w:type="pct"/>
            <w:tcBorders>
              <w:top w:val="single" w:sz="4" w:space="0" w:color="auto"/>
              <w:bottom w:val="single" w:sz="4" w:space="0" w:color="auto"/>
            </w:tcBorders>
          </w:tcPr>
          <w:p w14:paraId="4F2F6FDD" w14:textId="7FCE9AE8" w:rsidR="002458EE" w:rsidRPr="00DA53C4" w:rsidRDefault="003127FA" w:rsidP="002458EE">
            <w:pPr>
              <w:pStyle w:val="TableColumnIMS"/>
              <w:spacing w:line="276" w:lineRule="auto"/>
              <w:rPr>
                <w:rFonts w:ascii="Arial" w:eastAsia="Batang" w:hAnsi="Arial"/>
                <w:lang w:val="en-GB"/>
              </w:rPr>
            </w:pPr>
            <w:r w:rsidRPr="00AE25B4">
              <w:rPr>
                <w:rFonts w:ascii="Arial" w:eastAsia="Batang" w:hAnsi="Arial"/>
                <w:lang w:val="en-GB"/>
              </w:rPr>
              <w:t>125</w:t>
            </w:r>
          </w:p>
        </w:tc>
      </w:tr>
      <w:tr w:rsidR="002458EE" w:rsidRPr="00A44138" w14:paraId="5FFEB4EF" w14:textId="77777777" w:rsidTr="002458EE">
        <w:tc>
          <w:tcPr>
            <w:tcW w:w="2764" w:type="pct"/>
            <w:tcBorders>
              <w:top w:val="single" w:sz="4" w:space="0" w:color="auto"/>
              <w:bottom w:val="single" w:sz="4" w:space="0" w:color="auto"/>
            </w:tcBorders>
            <w:vAlign w:val="center"/>
          </w:tcPr>
          <w:p w14:paraId="42D05DDD" w14:textId="49701435" w:rsidR="002458EE" w:rsidRPr="00FB2E0E" w:rsidRDefault="002458EE" w:rsidP="002458EE">
            <w:pPr>
              <w:pStyle w:val="TableStubIMS"/>
              <w:spacing w:line="276" w:lineRule="auto"/>
              <w:ind w:left="173" w:hanging="173"/>
              <w:rPr>
                <w:rFonts w:ascii="Arial" w:hAnsi="Arial" w:cs="Arial"/>
                <w:lang w:val="en-GB"/>
              </w:rPr>
            </w:pPr>
            <w:r w:rsidRPr="00065BD7">
              <w:rPr>
                <w:rFonts w:ascii="Arial" w:hAnsi="Arial"/>
                <w:b/>
                <w:bCs/>
                <w:lang w:val="en-GB"/>
              </w:rPr>
              <w:t xml:space="preserve">Adjusting items included in </w:t>
            </w:r>
            <w:r w:rsidRPr="00065BD7">
              <w:rPr>
                <w:rFonts w:ascii="Arial" w:hAnsi="Arial" w:cs="Arial"/>
                <w:b/>
                <w:bCs/>
                <w:lang w:val="en-GB"/>
              </w:rPr>
              <w:t>operating profit</w:t>
            </w:r>
            <w:r>
              <w:rPr>
                <w:rFonts w:ascii="Arial" w:hAnsi="Arial" w:cs="Arial"/>
                <w:b/>
                <w:bCs/>
                <w:lang w:val="en-GB"/>
              </w:rPr>
              <w:t>**</w:t>
            </w:r>
          </w:p>
        </w:tc>
        <w:tc>
          <w:tcPr>
            <w:tcW w:w="351" w:type="pct"/>
            <w:tcBorders>
              <w:top w:val="single" w:sz="4" w:space="0" w:color="auto"/>
              <w:bottom w:val="single" w:sz="4" w:space="0" w:color="auto"/>
            </w:tcBorders>
            <w:vAlign w:val="center"/>
          </w:tcPr>
          <w:p w14:paraId="4EADBB0E" w14:textId="77777777" w:rsidR="002458EE" w:rsidRPr="00A44138" w:rsidRDefault="002458EE" w:rsidP="002458EE">
            <w:pPr>
              <w:pStyle w:val="TableColumnIMS"/>
              <w:spacing w:line="276" w:lineRule="auto"/>
              <w:jc w:val="left"/>
              <w:rPr>
                <w:rFonts w:ascii="Arial" w:hAnsi="Arial"/>
                <w:color w:val="FF0000"/>
                <w:lang w:val="en-GB"/>
              </w:rPr>
            </w:pPr>
          </w:p>
        </w:tc>
        <w:tc>
          <w:tcPr>
            <w:tcW w:w="629" w:type="pct"/>
            <w:tcBorders>
              <w:top w:val="single" w:sz="4" w:space="0" w:color="auto"/>
              <w:bottom w:val="single" w:sz="4" w:space="0" w:color="auto"/>
            </w:tcBorders>
          </w:tcPr>
          <w:p w14:paraId="79EDE4C5" w14:textId="25F5CDEA" w:rsidR="002458EE" w:rsidRPr="00F12FC3" w:rsidRDefault="00421011" w:rsidP="002458EE">
            <w:pPr>
              <w:pStyle w:val="TableColumnIMS"/>
              <w:spacing w:line="276" w:lineRule="auto"/>
              <w:rPr>
                <w:rFonts w:ascii="Arial" w:eastAsia="Batang" w:hAnsi="Arial"/>
                <w:b/>
                <w:lang w:val="en-GB"/>
              </w:rPr>
            </w:pPr>
            <w:r w:rsidRPr="00F12FC3">
              <w:rPr>
                <w:rFonts w:ascii="Arial" w:eastAsia="Batang" w:hAnsi="Arial"/>
                <w:b/>
                <w:lang w:val="en-GB"/>
              </w:rPr>
              <w:t>6.3</w:t>
            </w:r>
          </w:p>
        </w:tc>
        <w:tc>
          <w:tcPr>
            <w:tcW w:w="629" w:type="pct"/>
            <w:tcBorders>
              <w:top w:val="single" w:sz="4" w:space="0" w:color="auto"/>
              <w:bottom w:val="single" w:sz="4" w:space="0" w:color="auto"/>
            </w:tcBorders>
          </w:tcPr>
          <w:p w14:paraId="366E4DDB" w14:textId="46AAE683" w:rsidR="002458EE" w:rsidRPr="005E7A81" w:rsidRDefault="002458EE" w:rsidP="002458EE">
            <w:pPr>
              <w:pStyle w:val="TableColumnIMS"/>
              <w:spacing w:line="276" w:lineRule="auto"/>
              <w:rPr>
                <w:rFonts w:ascii="Arial" w:eastAsia="Batang" w:hAnsi="Arial"/>
                <w:bCs/>
                <w:lang w:val="en-GB"/>
              </w:rPr>
            </w:pPr>
            <w:r w:rsidRPr="005E7A81">
              <w:rPr>
                <w:rFonts w:ascii="Arial" w:eastAsia="Batang" w:hAnsi="Arial"/>
                <w:bCs/>
                <w:lang w:val="en-GB"/>
              </w:rPr>
              <w:t>6.4</w:t>
            </w:r>
          </w:p>
        </w:tc>
        <w:tc>
          <w:tcPr>
            <w:tcW w:w="627" w:type="pct"/>
            <w:tcBorders>
              <w:top w:val="single" w:sz="4" w:space="0" w:color="auto"/>
              <w:bottom w:val="single" w:sz="4" w:space="0" w:color="auto"/>
            </w:tcBorders>
          </w:tcPr>
          <w:p w14:paraId="40ADA0CD" w14:textId="352A99DC" w:rsidR="002458EE" w:rsidRPr="00DA53C4" w:rsidRDefault="0094759A" w:rsidP="002458EE">
            <w:pPr>
              <w:pStyle w:val="TableColumnIMS"/>
              <w:spacing w:line="276" w:lineRule="auto"/>
              <w:rPr>
                <w:rFonts w:ascii="Arial" w:eastAsia="Batang" w:hAnsi="Arial"/>
                <w:lang w:val="en-GB"/>
              </w:rPr>
            </w:pPr>
            <w:r w:rsidRPr="00DA53C4">
              <w:rPr>
                <w:rFonts w:ascii="Arial" w:eastAsia="Batang" w:hAnsi="Arial"/>
                <w:lang w:val="en-GB"/>
              </w:rPr>
              <w:t>(</w:t>
            </w:r>
            <w:r w:rsidR="007D633A">
              <w:rPr>
                <w:rFonts w:ascii="Arial" w:eastAsia="Batang" w:hAnsi="Arial"/>
                <w:lang w:val="en-GB"/>
              </w:rPr>
              <w:t>2</w:t>
            </w:r>
            <w:r w:rsidRPr="00DA53C4">
              <w:rPr>
                <w:rFonts w:ascii="Arial" w:eastAsia="Batang" w:hAnsi="Arial"/>
                <w:lang w:val="en-GB"/>
              </w:rPr>
              <w:t>)</w:t>
            </w:r>
          </w:p>
        </w:tc>
      </w:tr>
    </w:tbl>
    <w:p w14:paraId="1F8BE577" w14:textId="77777777" w:rsidR="00024985" w:rsidRDefault="00024985" w:rsidP="002458EE">
      <w:pPr>
        <w:spacing w:after="0" w:line="240" w:lineRule="auto"/>
        <w:jc w:val="both"/>
        <w:rPr>
          <w:rFonts w:ascii="Arial" w:hAnsi="Arial" w:cs="Arial"/>
          <w:i/>
          <w:iCs/>
          <w:sz w:val="16"/>
          <w:szCs w:val="16"/>
        </w:rPr>
      </w:pPr>
    </w:p>
    <w:p w14:paraId="4AA90B5F" w14:textId="1E589246" w:rsidR="002458EE" w:rsidRPr="005E7A81" w:rsidRDefault="002458EE" w:rsidP="002458EE">
      <w:pPr>
        <w:spacing w:after="0" w:line="240" w:lineRule="auto"/>
        <w:jc w:val="both"/>
        <w:rPr>
          <w:rFonts w:ascii="Arial" w:eastAsia="MS Mincho" w:hAnsi="Arial" w:cs="Arial"/>
          <w:bCs/>
          <w:i/>
          <w:iCs/>
          <w:sz w:val="16"/>
          <w:szCs w:val="16"/>
          <w:lang w:eastAsia="ja-JP"/>
        </w:rPr>
      </w:pPr>
      <w:r w:rsidRPr="00024985">
        <w:rPr>
          <w:rFonts w:ascii="Arial" w:hAnsi="Arial" w:cs="Arial"/>
          <w:i/>
          <w:iCs/>
          <w:sz w:val="16"/>
          <w:szCs w:val="16"/>
        </w:rPr>
        <w:t xml:space="preserve">* </w:t>
      </w:r>
      <w:r w:rsidRPr="005E7A81">
        <w:rPr>
          <w:rFonts w:ascii="Arial" w:eastAsia="MS Mincho" w:hAnsi="Arial" w:cs="Arial"/>
          <w:bCs/>
          <w:i/>
          <w:iCs/>
          <w:sz w:val="16"/>
          <w:szCs w:val="16"/>
          <w:lang w:eastAsia="ja-JP"/>
        </w:rPr>
        <w:t>For comparability and consistency purposes, adjusting items for the six months ended 30 June 2024 have been updated to include £1m of irrecoverable VAT and related costs. This amount was recognised within EBITDA last year but was not presented as an adjusting item because it was not material.</w:t>
      </w:r>
    </w:p>
    <w:p w14:paraId="522614D3" w14:textId="77777777" w:rsidR="002458EE" w:rsidRPr="005E7A81" w:rsidRDefault="002458EE" w:rsidP="002458EE">
      <w:pPr>
        <w:pStyle w:val="ParaIMS"/>
        <w:jc w:val="both"/>
        <w:rPr>
          <w:rFonts w:ascii="Arial" w:hAnsi="Arial" w:cs="Arial"/>
          <w:i/>
          <w:iCs/>
          <w:sz w:val="16"/>
          <w:szCs w:val="16"/>
        </w:rPr>
      </w:pPr>
      <w:r w:rsidRPr="005E7A81">
        <w:rPr>
          <w:rFonts w:ascii="Arial" w:hAnsi="Arial" w:cs="Arial"/>
          <w:i/>
          <w:iCs/>
          <w:sz w:val="16"/>
          <w:szCs w:val="14"/>
          <w:lang w:val="en-GB"/>
        </w:rPr>
        <w:t>**</w:t>
      </w:r>
      <w:r w:rsidRPr="005E7A81">
        <w:rPr>
          <w:rFonts w:ascii="Arial" w:hAnsi="Arial" w:cs="Arial"/>
          <w:i/>
          <w:iCs/>
          <w:sz w:val="16"/>
          <w:szCs w:val="16"/>
        </w:rPr>
        <w:t xml:space="preserve"> Amortisation of acquisition related intangible assets is not included in EBITDA and therefore is only an adjusting item in the adjusted EPS calculation. Irrecoverable VAT and related costs are adjusting items in both the adjusted EBITDA and adjusted EPS calculations.</w:t>
      </w:r>
    </w:p>
    <w:p w14:paraId="283A40D0" w14:textId="77777777" w:rsidR="00294FD1" w:rsidRPr="00A44138" w:rsidRDefault="00294FD1" w:rsidP="008E7485">
      <w:pPr>
        <w:pStyle w:val="ParaIMS"/>
        <w:spacing w:before="0"/>
        <w:rPr>
          <w:rFonts w:ascii="Arial" w:hAnsi="Arial" w:cs="Arial"/>
          <w:i/>
          <w:iCs/>
          <w:sz w:val="16"/>
          <w:szCs w:val="14"/>
          <w:lang w:val="en-GB"/>
        </w:rPr>
      </w:pPr>
    </w:p>
    <w:p w14:paraId="617B8C59" w14:textId="27EB4DF2" w:rsidR="002458EE" w:rsidRPr="00F12FC3" w:rsidRDefault="000A33F2" w:rsidP="008E7485">
      <w:pPr>
        <w:spacing w:line="240" w:lineRule="auto"/>
        <w:jc w:val="both"/>
        <w:rPr>
          <w:rFonts w:ascii="Arial" w:hAnsi="Arial" w:cs="Arial"/>
          <w:sz w:val="20"/>
          <w:szCs w:val="20"/>
        </w:rPr>
      </w:pPr>
      <w:r w:rsidRPr="000A33F2">
        <w:rPr>
          <w:rFonts w:ascii="Arial" w:hAnsi="Arial" w:cs="Arial"/>
          <w:bCs/>
          <w:sz w:val="20"/>
          <w:szCs w:val="20"/>
        </w:rPr>
        <w:t xml:space="preserve">Amortisation of acquisition related intangible assets relates to technology, brands and member relationships arising on the acquisitions of Quidco and Podium, as well as the combination of </w:t>
      </w:r>
      <w:proofErr w:type="spellStart"/>
      <w:r w:rsidRPr="000A33F2">
        <w:rPr>
          <w:rFonts w:ascii="Arial" w:hAnsi="Arial" w:cs="Arial"/>
          <w:bCs/>
          <w:sz w:val="20"/>
          <w:szCs w:val="20"/>
        </w:rPr>
        <w:t>TravelSupermarket</w:t>
      </w:r>
      <w:proofErr w:type="spellEnd"/>
      <w:r w:rsidRPr="000A33F2">
        <w:rPr>
          <w:rFonts w:ascii="Arial" w:hAnsi="Arial" w:cs="Arial"/>
          <w:bCs/>
          <w:sz w:val="20"/>
          <w:szCs w:val="20"/>
        </w:rPr>
        <w:t xml:space="preserve"> and icelolly.com, in prior years</w:t>
      </w:r>
      <w:r w:rsidR="002458EE" w:rsidRPr="00F12FC3">
        <w:rPr>
          <w:rFonts w:ascii="Arial" w:hAnsi="Arial" w:cs="Arial"/>
          <w:sz w:val="20"/>
          <w:szCs w:val="20"/>
        </w:rPr>
        <w:t xml:space="preserve">. </w:t>
      </w:r>
      <w:r w:rsidR="00107292">
        <w:rPr>
          <w:rFonts w:ascii="Arial" w:hAnsi="Arial" w:cs="Arial"/>
          <w:sz w:val="20"/>
          <w:szCs w:val="20"/>
        </w:rPr>
        <w:t xml:space="preserve">The charge is lower this year </w:t>
      </w:r>
      <w:r w:rsidR="00A43F9C">
        <w:rPr>
          <w:rFonts w:ascii="Arial" w:hAnsi="Arial" w:cs="Arial"/>
          <w:sz w:val="20"/>
          <w:szCs w:val="20"/>
        </w:rPr>
        <w:t xml:space="preserve">due to some of the acquired intangibles </w:t>
      </w:r>
      <w:r w:rsidR="00870595">
        <w:rPr>
          <w:rFonts w:ascii="Arial" w:hAnsi="Arial" w:cs="Arial"/>
          <w:sz w:val="20"/>
          <w:szCs w:val="20"/>
        </w:rPr>
        <w:t>becoming fully amortised.</w:t>
      </w:r>
    </w:p>
    <w:p w14:paraId="5BC41A68" w14:textId="77777777" w:rsidR="002458EE" w:rsidRPr="003246C0" w:rsidRDefault="002458EE" w:rsidP="008E7485">
      <w:pPr>
        <w:spacing w:line="240" w:lineRule="auto"/>
        <w:jc w:val="both"/>
        <w:rPr>
          <w:rFonts w:ascii="Arial" w:hAnsi="Arial" w:cs="Arial"/>
          <w:sz w:val="20"/>
          <w:szCs w:val="20"/>
        </w:rPr>
      </w:pPr>
      <w:r w:rsidRPr="003246C0">
        <w:rPr>
          <w:rFonts w:ascii="Arial" w:hAnsi="Arial" w:cs="Arial"/>
          <w:sz w:val="20"/>
          <w:szCs w:val="20"/>
        </w:rPr>
        <w:t xml:space="preserve">The Group is in discussions with HMRC regarding its partial exemption special method (PESM) which it uses to recover VAT on expenditure. Provisions for irrecoverable VAT and related legal and professional fees incurred during the year have been presented as adjusting items in order to enable like-for-like comparison of the Group’s financial performance between reporting periods. </w:t>
      </w:r>
    </w:p>
    <w:p w14:paraId="0D35ED16" w14:textId="5AE9D302" w:rsidR="002458EE" w:rsidRPr="003246C0" w:rsidRDefault="005A092B" w:rsidP="008E7485">
      <w:pPr>
        <w:spacing w:line="240" w:lineRule="auto"/>
        <w:jc w:val="both"/>
        <w:rPr>
          <w:rFonts w:ascii="Arial" w:hAnsi="Arial" w:cs="Arial"/>
          <w:sz w:val="20"/>
          <w:szCs w:val="20"/>
        </w:rPr>
      </w:pPr>
      <w:r w:rsidRPr="00DA53C4">
        <w:rPr>
          <w:rFonts w:ascii="Arial" w:hAnsi="Arial" w:cs="Arial"/>
          <w:sz w:val="20"/>
          <w:szCs w:val="20"/>
        </w:rPr>
        <w:t xml:space="preserve">Since 2016 </w:t>
      </w:r>
      <w:r w:rsidR="0047068A">
        <w:rPr>
          <w:rFonts w:ascii="Arial" w:hAnsi="Arial" w:cs="Arial"/>
          <w:sz w:val="20"/>
          <w:szCs w:val="20"/>
        </w:rPr>
        <w:t xml:space="preserve">work has been ongoing </w:t>
      </w:r>
      <w:r w:rsidR="00481ED3">
        <w:rPr>
          <w:rFonts w:ascii="Arial" w:hAnsi="Arial" w:cs="Arial"/>
          <w:sz w:val="20"/>
          <w:szCs w:val="20"/>
        </w:rPr>
        <w:t>with HMRC on</w:t>
      </w:r>
      <w:r w:rsidRPr="00DA53C4">
        <w:rPr>
          <w:rFonts w:ascii="Arial" w:hAnsi="Arial" w:cs="Arial"/>
          <w:sz w:val="20"/>
          <w:szCs w:val="20"/>
        </w:rPr>
        <w:t xml:space="preserve"> an update to the PESM which was originally agreed in 2012. Last year, HMRC concluded that it no longer agreed with the principles of the PESM that it approved in 2012 and it subsequently issued a Special Method Override Notice. Consequently, the Group no longer has an agreed basis for operation of a PESM with HMRC.</w:t>
      </w:r>
      <w:r w:rsidR="002458EE" w:rsidRPr="003246C0">
        <w:rPr>
          <w:rFonts w:ascii="Arial" w:hAnsi="Arial" w:cs="Arial"/>
          <w:sz w:val="20"/>
          <w:szCs w:val="20"/>
        </w:rPr>
        <w:t xml:space="preserve"> </w:t>
      </w:r>
    </w:p>
    <w:p w14:paraId="0A8C4027" w14:textId="17CD7BDA" w:rsidR="003F11B2" w:rsidRPr="00DA53C4" w:rsidRDefault="003F11B2" w:rsidP="008E7485">
      <w:pPr>
        <w:spacing w:line="240" w:lineRule="auto"/>
        <w:jc w:val="both"/>
        <w:rPr>
          <w:rFonts w:ascii="Arial" w:hAnsi="Arial" w:cs="Arial"/>
          <w:sz w:val="20"/>
          <w:szCs w:val="20"/>
        </w:rPr>
      </w:pPr>
      <w:r w:rsidRPr="00DA53C4">
        <w:rPr>
          <w:rFonts w:ascii="Arial" w:hAnsi="Arial" w:cs="Arial"/>
          <w:sz w:val="20"/>
          <w:szCs w:val="20"/>
        </w:rPr>
        <w:t xml:space="preserve">We disagree with HMRC’s position and we are progressing multiple paths to remediation. The Group is expecting an assessment from HMRC following the completion of the 2024-5 tax year and in accordance with accounting standards the Group is obliged to recognise a provision in respect of this. Although we do not view HMRC’s position as appropriate and we are aiming to reach a resolution promptly, this process is expected to continue throughout 2025. While </w:t>
      </w:r>
      <w:r w:rsidR="002002D4">
        <w:rPr>
          <w:rFonts w:ascii="Arial" w:hAnsi="Arial" w:cs="Arial"/>
          <w:sz w:val="20"/>
          <w:szCs w:val="20"/>
        </w:rPr>
        <w:t>dialogue</w:t>
      </w:r>
      <w:r w:rsidRPr="00DA53C4">
        <w:rPr>
          <w:rFonts w:ascii="Arial" w:hAnsi="Arial" w:cs="Arial"/>
          <w:sz w:val="20"/>
          <w:szCs w:val="20"/>
        </w:rPr>
        <w:t xml:space="preserve"> with HMRC </w:t>
      </w:r>
      <w:r w:rsidR="003508E9">
        <w:rPr>
          <w:rFonts w:ascii="Arial" w:hAnsi="Arial" w:cs="Arial"/>
          <w:sz w:val="20"/>
          <w:szCs w:val="20"/>
        </w:rPr>
        <w:t>is</w:t>
      </w:r>
      <w:r w:rsidRPr="00DA53C4">
        <w:rPr>
          <w:rFonts w:ascii="Arial" w:hAnsi="Arial" w:cs="Arial"/>
          <w:sz w:val="20"/>
          <w:szCs w:val="20"/>
        </w:rPr>
        <w:t xml:space="preserve"> ongoing, the amounts recognised remain estimates of uncertain timing and amount. Until the outcome of this matter is determined and while the amounts recognised remain uncertain, we are presenting the charges as adjusting items.  </w:t>
      </w:r>
    </w:p>
    <w:p w14:paraId="55F778C6"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s="Arial"/>
          <w:b/>
          <w:color w:val="FF0000"/>
          <w:sz w:val="20"/>
          <w:szCs w:val="20"/>
        </w:rPr>
      </w:pPr>
      <w:r w:rsidRPr="00A44138">
        <w:rPr>
          <w:rFonts w:ascii="Arial" w:eastAsia="Batang" w:hAnsi="Arial" w:cs="Arial"/>
          <w:b/>
          <w:sz w:val="20"/>
          <w:szCs w:val="20"/>
          <w:lang w:eastAsia="ko-KR"/>
        </w:rPr>
        <w:t>Dividends</w:t>
      </w:r>
    </w:p>
    <w:p w14:paraId="11E11C46"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olor w:val="FF0000"/>
        </w:rPr>
      </w:pPr>
    </w:p>
    <w:p w14:paraId="2430E35F" w14:textId="36FD2B54" w:rsidR="00E3118F" w:rsidRPr="00DA53C4" w:rsidRDefault="00CE6697"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DA53C4">
        <w:rPr>
          <w:rFonts w:ascii="Arial" w:eastAsia="Batang" w:hAnsi="Arial" w:cs="Arial"/>
          <w:sz w:val="20"/>
          <w:szCs w:val="20"/>
          <w:lang w:eastAsia="ko-KR"/>
        </w:rPr>
        <w:t>The Group maintains a progressive dividend growth policy and</w:t>
      </w:r>
      <w:r w:rsidR="002E4E6C" w:rsidRPr="00DA53C4">
        <w:rPr>
          <w:rFonts w:ascii="Arial" w:eastAsia="Batang" w:hAnsi="Arial" w:cs="Arial"/>
          <w:sz w:val="20"/>
          <w:szCs w:val="20"/>
          <w:lang w:eastAsia="ko-KR"/>
        </w:rPr>
        <w:t xml:space="preserve"> </w:t>
      </w:r>
      <w:r w:rsidR="00E3118F" w:rsidRPr="00DA53C4">
        <w:rPr>
          <w:rFonts w:ascii="Arial" w:eastAsia="Batang" w:hAnsi="Arial" w:cs="Arial"/>
          <w:sz w:val="20"/>
          <w:szCs w:val="20"/>
          <w:lang w:eastAsia="ko-KR"/>
        </w:rPr>
        <w:t>the Board has decla</w:t>
      </w:r>
      <w:r w:rsidR="00430D5B">
        <w:rPr>
          <w:rFonts w:ascii="Arial" w:eastAsia="Batang" w:hAnsi="Arial" w:cs="Arial"/>
          <w:sz w:val="20"/>
          <w:szCs w:val="20"/>
          <w:lang w:eastAsia="ko-KR"/>
        </w:rPr>
        <w:t>r</w:t>
      </w:r>
      <w:r w:rsidR="00E3118F" w:rsidRPr="00DA53C4">
        <w:rPr>
          <w:rFonts w:ascii="Arial" w:eastAsia="Batang" w:hAnsi="Arial" w:cs="Arial"/>
          <w:sz w:val="20"/>
          <w:szCs w:val="20"/>
          <w:lang w:eastAsia="ko-KR"/>
        </w:rPr>
        <w:t xml:space="preserve">ed an interim dividend of </w:t>
      </w:r>
      <w:r w:rsidR="00D81901" w:rsidRPr="00DA53C4">
        <w:rPr>
          <w:rFonts w:ascii="Arial" w:eastAsia="Batang" w:hAnsi="Arial" w:cs="Arial"/>
          <w:sz w:val="20"/>
          <w:szCs w:val="20"/>
          <w:lang w:eastAsia="ko-KR"/>
        </w:rPr>
        <w:t>3.3 pence, representing growth of +1%</w:t>
      </w:r>
      <w:r w:rsidR="00794AB0" w:rsidRPr="00DA53C4">
        <w:rPr>
          <w:rFonts w:ascii="Arial" w:eastAsia="Batang" w:hAnsi="Arial" w:cs="Arial"/>
          <w:sz w:val="20"/>
          <w:szCs w:val="20"/>
          <w:lang w:eastAsia="ko-KR"/>
        </w:rPr>
        <w:t>. This reflects the ongoing good cash conversion of the Group, strong balance sheet and the Board’s confidence in the future prospects of the Group.</w:t>
      </w:r>
      <w:r w:rsidR="00D81901" w:rsidRPr="00DA53C4">
        <w:rPr>
          <w:rFonts w:ascii="Arial" w:eastAsia="Batang" w:hAnsi="Arial" w:cs="Arial"/>
          <w:sz w:val="20"/>
          <w:szCs w:val="20"/>
          <w:lang w:eastAsia="ko-KR"/>
        </w:rPr>
        <w:t xml:space="preserve"> </w:t>
      </w:r>
    </w:p>
    <w:p w14:paraId="040A17BE"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4DB259AA" w14:textId="5455A01A" w:rsidR="00E02EC4" w:rsidRPr="00A44138" w:rsidRDefault="00E02EC4"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lastRenderedPageBreak/>
        <w:t>The interim dividend will be paid on</w:t>
      </w:r>
      <w:r w:rsidR="00521F77">
        <w:rPr>
          <w:rFonts w:ascii="Arial" w:eastAsia="Batang" w:hAnsi="Arial" w:cs="Arial"/>
          <w:sz w:val="20"/>
          <w:szCs w:val="20"/>
          <w:lang w:eastAsia="ko-KR"/>
        </w:rPr>
        <w:t xml:space="preserve"> 8 September 2025</w:t>
      </w:r>
      <w:r w:rsidRPr="00A44138" w:rsidDel="00521F77">
        <w:rPr>
          <w:rFonts w:ascii="Arial" w:eastAsia="Batang" w:hAnsi="Arial" w:cs="Arial"/>
          <w:sz w:val="20"/>
          <w:szCs w:val="20"/>
          <w:lang w:eastAsia="ko-KR"/>
        </w:rPr>
        <w:t xml:space="preserve"> </w:t>
      </w:r>
      <w:r w:rsidRPr="00A44138">
        <w:rPr>
          <w:rFonts w:ascii="Arial" w:eastAsia="Batang" w:hAnsi="Arial" w:cs="Arial"/>
          <w:sz w:val="20"/>
          <w:szCs w:val="20"/>
          <w:lang w:eastAsia="ko-KR"/>
        </w:rPr>
        <w:t xml:space="preserve">to shareholders on the register at the close of business on </w:t>
      </w:r>
      <w:r w:rsidR="00B64405">
        <w:rPr>
          <w:rFonts w:ascii="Arial" w:eastAsia="Batang" w:hAnsi="Arial" w:cs="Arial"/>
          <w:sz w:val="20"/>
          <w:szCs w:val="20"/>
          <w:lang w:eastAsia="ko-KR"/>
        </w:rPr>
        <w:t xml:space="preserve">1 August </w:t>
      </w:r>
      <w:r w:rsidR="00B64405" w:rsidRPr="00B64405">
        <w:rPr>
          <w:rFonts w:ascii="Arial" w:eastAsia="Batang" w:hAnsi="Arial" w:cs="Arial"/>
          <w:sz w:val="20"/>
          <w:szCs w:val="20"/>
          <w:lang w:eastAsia="ko-KR"/>
        </w:rPr>
        <w:t>2025</w:t>
      </w:r>
      <w:r w:rsidR="00F8492C" w:rsidRPr="005C13FE">
        <w:rPr>
          <w:rFonts w:ascii="Arial" w:eastAsia="Batang" w:hAnsi="Arial" w:cs="Arial"/>
          <w:sz w:val="20"/>
          <w:szCs w:val="20"/>
          <w:lang w:eastAsia="ko-KR"/>
        </w:rPr>
        <w:t>.</w:t>
      </w:r>
    </w:p>
    <w:p w14:paraId="5423080F" w14:textId="77777777" w:rsidR="00F8492C" w:rsidRDefault="00F8492C"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b/>
          <w:sz w:val="20"/>
          <w:szCs w:val="20"/>
          <w:lang w:eastAsia="ko-KR"/>
        </w:rPr>
      </w:pPr>
    </w:p>
    <w:p w14:paraId="5589F641" w14:textId="1BE8FC48"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s="Arial"/>
          <w:b/>
          <w:sz w:val="20"/>
          <w:szCs w:val="20"/>
        </w:rPr>
      </w:pPr>
      <w:r w:rsidRPr="00A44138">
        <w:rPr>
          <w:rFonts w:ascii="Arial" w:eastAsia="Batang" w:hAnsi="Arial" w:cs="Arial"/>
          <w:b/>
          <w:sz w:val="20"/>
          <w:szCs w:val="20"/>
          <w:lang w:eastAsia="ko-KR"/>
        </w:rPr>
        <w:t>Tax</w:t>
      </w:r>
    </w:p>
    <w:p w14:paraId="28B8FD65"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rPr>
      </w:pPr>
    </w:p>
    <w:p w14:paraId="2821F3E8" w14:textId="77777777" w:rsidR="00C522C4" w:rsidRPr="00A44138" w:rsidRDefault="00317A09" w:rsidP="00C522C4">
      <w:pPr>
        <w:spacing w:line="240" w:lineRule="auto"/>
        <w:jc w:val="both"/>
        <w:rPr>
          <w:rFonts w:ascii="Arial" w:hAnsi="Arial"/>
          <w:bCs/>
          <w:sz w:val="20"/>
        </w:rPr>
      </w:pPr>
      <w:r w:rsidRPr="00A44138">
        <w:rPr>
          <w:rFonts w:ascii="Arial" w:hAnsi="Arial"/>
          <w:bCs/>
          <w:sz w:val="20"/>
        </w:rPr>
        <w:t xml:space="preserve">The effective tax rate of </w:t>
      </w:r>
      <w:r w:rsidR="00C522C4" w:rsidRPr="00B70862">
        <w:rPr>
          <w:rFonts w:ascii="Arial" w:hAnsi="Arial"/>
          <w:bCs/>
          <w:sz w:val="20"/>
        </w:rPr>
        <w:t>23.</w:t>
      </w:r>
      <w:r w:rsidR="00C522C4" w:rsidRPr="00E60E9B">
        <w:rPr>
          <w:rFonts w:ascii="Arial" w:hAnsi="Arial"/>
          <w:bCs/>
          <w:sz w:val="20"/>
        </w:rPr>
        <w:t>7</w:t>
      </w:r>
      <w:r w:rsidR="00C522C4" w:rsidRPr="00B70862">
        <w:rPr>
          <w:rFonts w:ascii="Arial" w:hAnsi="Arial"/>
          <w:sz w:val="20"/>
        </w:rPr>
        <w:t>%</w:t>
      </w:r>
      <w:r w:rsidRPr="00A44138">
        <w:rPr>
          <w:rFonts w:ascii="Arial" w:hAnsi="Arial"/>
          <w:bCs/>
          <w:sz w:val="20"/>
        </w:rPr>
        <w:t xml:space="preserve"> </w:t>
      </w:r>
      <w:r w:rsidR="00365AFF">
        <w:rPr>
          <w:rFonts w:ascii="Arial" w:hAnsi="Arial"/>
          <w:bCs/>
          <w:sz w:val="20"/>
        </w:rPr>
        <w:t>(2024: 24.0%)</w:t>
      </w:r>
      <w:r w:rsidRPr="00F12FC3">
        <w:rPr>
          <w:rFonts w:ascii="Arial" w:hAnsi="Arial"/>
          <w:bCs/>
          <w:sz w:val="20"/>
        </w:rPr>
        <w:t xml:space="preserve"> </w:t>
      </w:r>
      <w:r w:rsidRPr="00A44138">
        <w:rPr>
          <w:rFonts w:ascii="Arial" w:hAnsi="Arial"/>
          <w:bCs/>
          <w:sz w:val="20"/>
        </w:rPr>
        <w:t>is</w:t>
      </w:r>
      <w:r w:rsidRPr="00A44138" w:rsidDel="00931D57">
        <w:rPr>
          <w:rFonts w:ascii="Arial" w:hAnsi="Arial"/>
          <w:bCs/>
          <w:sz w:val="20"/>
        </w:rPr>
        <w:t xml:space="preserve"> </w:t>
      </w:r>
      <w:r w:rsidRPr="00A44138">
        <w:rPr>
          <w:rFonts w:ascii="Arial" w:hAnsi="Arial"/>
          <w:bCs/>
          <w:sz w:val="20"/>
        </w:rPr>
        <w:t>below the UK standard rate of 25.0%</w:t>
      </w:r>
      <w:r w:rsidR="00FE545F" w:rsidRPr="00A44138">
        <w:rPr>
          <w:rFonts w:ascii="Arial" w:hAnsi="Arial"/>
          <w:bCs/>
          <w:sz w:val="20"/>
        </w:rPr>
        <w:t xml:space="preserve"> </w:t>
      </w:r>
      <w:r w:rsidR="00C522C4" w:rsidRPr="00B70862">
        <w:rPr>
          <w:rFonts w:ascii="Arial" w:hAnsi="Arial"/>
          <w:sz w:val="20"/>
        </w:rPr>
        <w:t xml:space="preserve">due to the </w:t>
      </w:r>
      <w:r w:rsidR="00C522C4">
        <w:rPr>
          <w:rFonts w:ascii="Arial" w:hAnsi="Arial"/>
          <w:bCs/>
          <w:sz w:val="20"/>
        </w:rPr>
        <w:t>reversal of temporary differences relating to the amortisation of acquired intangible assets.</w:t>
      </w:r>
      <w:r w:rsidR="00C522C4" w:rsidRPr="00A44138">
        <w:rPr>
          <w:rFonts w:ascii="Arial" w:hAnsi="Arial"/>
          <w:bCs/>
          <w:sz w:val="20"/>
        </w:rPr>
        <w:t xml:space="preserve"> </w:t>
      </w:r>
    </w:p>
    <w:p w14:paraId="3DC1DC5C" w14:textId="38196C36"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s="Arial"/>
          <w:b/>
          <w:sz w:val="20"/>
          <w:szCs w:val="20"/>
        </w:rPr>
      </w:pPr>
      <w:r w:rsidRPr="00A44138">
        <w:rPr>
          <w:rFonts w:ascii="Arial" w:eastAsia="Batang" w:hAnsi="Arial" w:cs="Arial"/>
          <w:b/>
          <w:sz w:val="20"/>
          <w:szCs w:val="20"/>
          <w:lang w:eastAsia="ko-KR"/>
        </w:rPr>
        <w:t>Earnings per share</w:t>
      </w:r>
    </w:p>
    <w:p w14:paraId="512F8BAA"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olor w:val="FF0000"/>
        </w:rPr>
      </w:pPr>
    </w:p>
    <w:p w14:paraId="280DD539" w14:textId="095C4E36"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Basic earnings per share for the six months ended 30 June 202</w:t>
      </w:r>
      <w:r w:rsidR="00F8492C">
        <w:rPr>
          <w:rFonts w:ascii="Arial" w:eastAsia="Batang" w:hAnsi="Arial" w:cs="Arial"/>
          <w:sz w:val="20"/>
          <w:szCs w:val="20"/>
          <w:lang w:eastAsia="ko-KR"/>
        </w:rPr>
        <w:t>5</w:t>
      </w:r>
      <w:r w:rsidRPr="00A44138">
        <w:rPr>
          <w:rFonts w:ascii="Arial" w:eastAsia="Batang" w:hAnsi="Arial" w:cs="Arial"/>
          <w:sz w:val="20"/>
          <w:szCs w:val="20"/>
          <w:lang w:eastAsia="ko-KR"/>
        </w:rPr>
        <w:t xml:space="preserve"> was </w:t>
      </w:r>
      <w:r w:rsidR="001268BD" w:rsidRPr="00DA53C4">
        <w:rPr>
          <w:rFonts w:ascii="Arial" w:hAnsi="Arial"/>
          <w:sz w:val="20"/>
          <w:szCs w:val="20"/>
        </w:rPr>
        <w:t>8.6</w:t>
      </w:r>
      <w:r w:rsidRPr="00A44138">
        <w:rPr>
          <w:rFonts w:ascii="Arial" w:hAnsi="Arial"/>
          <w:sz w:val="20"/>
          <w:szCs w:val="20"/>
        </w:rPr>
        <w:t>p</w:t>
      </w:r>
      <w:r w:rsidRPr="00A44138">
        <w:rPr>
          <w:rFonts w:ascii="Arial" w:eastAsia="Batang" w:hAnsi="Arial" w:cs="Arial"/>
          <w:sz w:val="20"/>
          <w:szCs w:val="20"/>
          <w:lang w:eastAsia="ko-KR"/>
        </w:rPr>
        <w:t xml:space="preserve"> (</w:t>
      </w:r>
      <w:r w:rsidRPr="005E7A81">
        <w:rPr>
          <w:rFonts w:ascii="Arial" w:eastAsia="Batang" w:hAnsi="Arial" w:cs="Arial"/>
          <w:sz w:val="20"/>
          <w:szCs w:val="20"/>
          <w:lang w:eastAsia="ko-KR"/>
        </w:rPr>
        <w:t>202</w:t>
      </w:r>
      <w:r w:rsidR="00F8492C" w:rsidRPr="005E7A81">
        <w:rPr>
          <w:rFonts w:ascii="Arial" w:eastAsia="Batang" w:hAnsi="Arial" w:cs="Arial"/>
          <w:sz w:val="20"/>
          <w:szCs w:val="20"/>
          <w:lang w:eastAsia="ko-KR"/>
        </w:rPr>
        <w:t>4</w:t>
      </w:r>
      <w:r w:rsidRPr="005E7A81">
        <w:rPr>
          <w:rFonts w:ascii="Arial" w:eastAsia="Batang" w:hAnsi="Arial" w:cs="Arial"/>
          <w:sz w:val="20"/>
          <w:szCs w:val="20"/>
          <w:lang w:eastAsia="ko-KR"/>
        </w:rPr>
        <w:t xml:space="preserve">: </w:t>
      </w:r>
      <w:r w:rsidR="00F8492C" w:rsidRPr="005E7A81">
        <w:rPr>
          <w:rFonts w:ascii="Arial" w:hAnsi="Arial"/>
          <w:sz w:val="20"/>
          <w:szCs w:val="20"/>
        </w:rPr>
        <w:t>8.3</w:t>
      </w:r>
      <w:r w:rsidR="007C1CBF" w:rsidRPr="005E7A81">
        <w:rPr>
          <w:rFonts w:ascii="Arial" w:hAnsi="Arial"/>
          <w:sz w:val="20"/>
          <w:szCs w:val="20"/>
        </w:rPr>
        <w:t>p</w:t>
      </w:r>
      <w:r w:rsidRPr="00A44138">
        <w:rPr>
          <w:rFonts w:ascii="Arial" w:eastAsia="Batang" w:hAnsi="Arial" w:cs="Arial"/>
          <w:sz w:val="20"/>
          <w:szCs w:val="20"/>
          <w:lang w:eastAsia="ko-KR"/>
        </w:rPr>
        <w:t xml:space="preserve">). </w:t>
      </w:r>
      <w:r w:rsidRPr="007D2D88">
        <w:rPr>
          <w:rFonts w:ascii="Arial" w:eastAsia="Batang" w:hAnsi="Arial" w:cs="Arial"/>
          <w:sz w:val="20"/>
          <w:szCs w:val="20"/>
          <w:lang w:eastAsia="ko-KR"/>
        </w:rPr>
        <w:t>The increase from last year is</w:t>
      </w:r>
      <w:r w:rsidRPr="007D2D88" w:rsidDel="005D025D">
        <w:rPr>
          <w:rFonts w:ascii="Arial" w:eastAsia="Batang" w:hAnsi="Arial" w:cs="Arial"/>
          <w:sz w:val="20"/>
          <w:szCs w:val="20"/>
          <w:lang w:eastAsia="ko-KR"/>
        </w:rPr>
        <w:t xml:space="preserve"> </w:t>
      </w:r>
      <w:r w:rsidR="00C4497A" w:rsidRPr="007D2D88">
        <w:rPr>
          <w:rFonts w:ascii="Arial" w:eastAsia="Batang" w:hAnsi="Arial" w:cs="Arial"/>
          <w:sz w:val="20"/>
          <w:szCs w:val="20"/>
          <w:lang w:eastAsia="ko-KR"/>
        </w:rPr>
        <w:t>driven by</w:t>
      </w:r>
      <w:r w:rsidRPr="007D2D88">
        <w:rPr>
          <w:rFonts w:ascii="Arial" w:eastAsia="Batang" w:hAnsi="Arial" w:cs="Arial"/>
          <w:sz w:val="20"/>
          <w:szCs w:val="20"/>
          <w:lang w:eastAsia="ko-KR"/>
        </w:rPr>
        <w:t xml:space="preserve"> the increase in </w:t>
      </w:r>
      <w:r w:rsidR="00732092">
        <w:rPr>
          <w:rFonts w:ascii="Arial" w:eastAsia="Batang" w:hAnsi="Arial" w:cs="Arial"/>
          <w:sz w:val="20"/>
          <w:szCs w:val="20"/>
          <w:lang w:eastAsia="ko-KR"/>
        </w:rPr>
        <w:t xml:space="preserve">adjusted </w:t>
      </w:r>
      <w:r w:rsidRPr="007D2D88">
        <w:rPr>
          <w:rFonts w:ascii="Arial" w:eastAsia="Batang" w:hAnsi="Arial" w:cs="Arial"/>
          <w:sz w:val="20"/>
          <w:szCs w:val="20"/>
          <w:lang w:eastAsia="ko-KR"/>
        </w:rPr>
        <w:t>EBITDA</w:t>
      </w:r>
      <w:r w:rsidR="00E11D66" w:rsidRPr="00DA53C4">
        <w:rPr>
          <w:rFonts w:ascii="Arial" w:eastAsia="Batang" w:hAnsi="Arial" w:cs="Arial"/>
          <w:sz w:val="20"/>
          <w:szCs w:val="20"/>
          <w:lang w:eastAsia="ko-KR"/>
        </w:rPr>
        <w:t xml:space="preserve"> and reduction in </w:t>
      </w:r>
      <w:r w:rsidR="00643C26" w:rsidRPr="00DA53C4">
        <w:rPr>
          <w:rFonts w:ascii="Arial" w:eastAsia="Batang" w:hAnsi="Arial" w:cs="Arial"/>
          <w:sz w:val="20"/>
          <w:szCs w:val="20"/>
          <w:lang w:eastAsia="ko-KR"/>
        </w:rPr>
        <w:t>net finance expense</w:t>
      </w:r>
      <w:r w:rsidR="007D2D88" w:rsidRPr="00DA53C4">
        <w:rPr>
          <w:rFonts w:ascii="Arial" w:eastAsia="Batang" w:hAnsi="Arial" w:cs="Arial"/>
          <w:sz w:val="20"/>
          <w:szCs w:val="20"/>
          <w:lang w:eastAsia="ko-KR"/>
        </w:rPr>
        <w:t>.</w:t>
      </w:r>
    </w:p>
    <w:p w14:paraId="35B9A4BA"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2DF1562D" w14:textId="489FDF05" w:rsidR="00294FD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 xml:space="preserve">Adjusted earnings per share is based on profit before tax before the adjusting items detailed above. A tax rate of </w:t>
      </w:r>
      <w:r w:rsidR="00C3070A" w:rsidRPr="00DA53C4">
        <w:rPr>
          <w:rFonts w:ascii="Arial" w:eastAsia="Batang" w:hAnsi="Arial" w:cs="Arial"/>
          <w:sz w:val="20"/>
          <w:szCs w:val="20"/>
          <w:lang w:eastAsia="ko-KR"/>
        </w:rPr>
        <w:t>25</w:t>
      </w:r>
      <w:r w:rsidRPr="00A84637">
        <w:rPr>
          <w:rFonts w:ascii="Arial" w:eastAsia="Batang" w:hAnsi="Arial" w:cs="Arial"/>
          <w:sz w:val="20"/>
          <w:szCs w:val="20"/>
          <w:lang w:eastAsia="ko-KR"/>
        </w:rPr>
        <w:t>%</w:t>
      </w:r>
      <w:r w:rsidRPr="00A44138">
        <w:rPr>
          <w:rFonts w:ascii="Arial" w:eastAsia="Batang" w:hAnsi="Arial" w:cs="Arial"/>
          <w:sz w:val="20"/>
          <w:szCs w:val="20"/>
          <w:lang w:eastAsia="ko-KR"/>
        </w:rPr>
        <w:t xml:space="preserve"> (</w:t>
      </w:r>
      <w:r w:rsidRPr="005E7A81">
        <w:rPr>
          <w:rFonts w:ascii="Arial" w:eastAsia="Batang" w:hAnsi="Arial" w:cs="Arial"/>
          <w:sz w:val="20"/>
          <w:szCs w:val="20"/>
          <w:lang w:eastAsia="ko-KR"/>
        </w:rPr>
        <w:t>202</w:t>
      </w:r>
      <w:r w:rsidR="00A44BF6" w:rsidRPr="005E7A81">
        <w:rPr>
          <w:rFonts w:ascii="Arial" w:eastAsia="Batang" w:hAnsi="Arial" w:cs="Arial"/>
          <w:sz w:val="20"/>
          <w:szCs w:val="20"/>
          <w:lang w:eastAsia="ko-KR"/>
        </w:rPr>
        <w:t>4</w:t>
      </w:r>
      <w:r w:rsidRPr="005E7A81">
        <w:rPr>
          <w:rFonts w:ascii="Arial" w:eastAsia="Batang" w:hAnsi="Arial" w:cs="Arial"/>
          <w:sz w:val="20"/>
          <w:szCs w:val="20"/>
          <w:lang w:eastAsia="ko-KR"/>
        </w:rPr>
        <w:t xml:space="preserve">: </w:t>
      </w:r>
      <w:r w:rsidR="003B4464" w:rsidRPr="005E7A81">
        <w:rPr>
          <w:rFonts w:ascii="Arial" w:eastAsia="Batang" w:hAnsi="Arial" w:cs="Arial"/>
          <w:sz w:val="20"/>
          <w:szCs w:val="20"/>
          <w:lang w:eastAsia="ko-KR"/>
        </w:rPr>
        <w:t>2</w:t>
      </w:r>
      <w:r w:rsidR="00A44BF6" w:rsidRPr="005E7A81">
        <w:rPr>
          <w:rFonts w:ascii="Arial" w:eastAsia="Batang" w:hAnsi="Arial" w:cs="Arial"/>
          <w:sz w:val="20"/>
          <w:szCs w:val="20"/>
          <w:lang w:eastAsia="ko-KR"/>
        </w:rPr>
        <w:t>5</w:t>
      </w:r>
      <w:r w:rsidRPr="005E7A81">
        <w:rPr>
          <w:rFonts w:ascii="Arial" w:eastAsia="Batang" w:hAnsi="Arial" w:cs="Arial"/>
          <w:sz w:val="20"/>
          <w:szCs w:val="20"/>
          <w:lang w:eastAsia="ko-KR"/>
        </w:rPr>
        <w:t>%</w:t>
      </w:r>
      <w:r w:rsidRPr="00767E06">
        <w:rPr>
          <w:rFonts w:ascii="Arial" w:eastAsia="Batang" w:hAnsi="Arial" w:cs="Arial"/>
          <w:sz w:val="20"/>
          <w:szCs w:val="20"/>
          <w:lang w:eastAsia="ko-KR"/>
        </w:rPr>
        <w:t xml:space="preserve">) </w:t>
      </w:r>
      <w:r w:rsidRPr="00A44138">
        <w:rPr>
          <w:rFonts w:ascii="Arial" w:eastAsia="Batang" w:hAnsi="Arial" w:cs="Arial"/>
          <w:sz w:val="20"/>
          <w:szCs w:val="20"/>
          <w:lang w:eastAsia="ko-KR"/>
        </w:rPr>
        <w:t>is applied to calculate adjusted profit after tax</w:t>
      </w:r>
      <w:r w:rsidR="00D27264" w:rsidRPr="00A44138">
        <w:rPr>
          <w:rFonts w:ascii="Arial" w:eastAsia="Batang" w:hAnsi="Arial" w:cs="Arial"/>
          <w:sz w:val="20"/>
          <w:szCs w:val="20"/>
          <w:lang w:eastAsia="ko-KR"/>
        </w:rPr>
        <w:t xml:space="preserve"> which is different to the effective rate used to calculate </w:t>
      </w:r>
      <w:r w:rsidR="005923A7" w:rsidRPr="00A44138">
        <w:rPr>
          <w:rFonts w:ascii="Arial" w:eastAsia="Batang" w:hAnsi="Arial" w:cs="Arial"/>
          <w:sz w:val="20"/>
          <w:szCs w:val="20"/>
          <w:lang w:eastAsia="ko-KR"/>
        </w:rPr>
        <w:t>basic earnings per share</w:t>
      </w:r>
      <w:r w:rsidRPr="00A44138">
        <w:rPr>
          <w:rFonts w:ascii="Arial" w:eastAsia="Batang" w:hAnsi="Arial" w:cs="Arial"/>
          <w:sz w:val="20"/>
          <w:szCs w:val="20"/>
          <w:lang w:eastAsia="ko-KR"/>
        </w:rPr>
        <w:t xml:space="preserve">. </w:t>
      </w:r>
      <w:r w:rsidRPr="004079F4">
        <w:rPr>
          <w:rFonts w:ascii="Arial" w:eastAsia="Batang" w:hAnsi="Arial" w:cs="Arial"/>
          <w:sz w:val="20"/>
          <w:szCs w:val="20"/>
          <w:lang w:eastAsia="ko-KR"/>
        </w:rPr>
        <w:t xml:space="preserve">Adjusted basic earnings per share </w:t>
      </w:r>
      <w:r w:rsidRPr="004079F4">
        <w:rPr>
          <w:rFonts w:ascii="Arial" w:hAnsi="Arial"/>
          <w:sz w:val="20"/>
          <w:szCs w:val="20"/>
        </w:rPr>
        <w:t xml:space="preserve">increased by </w:t>
      </w:r>
      <w:r w:rsidR="00892A40">
        <w:rPr>
          <w:rFonts w:ascii="Arial" w:hAnsi="Arial"/>
          <w:sz w:val="20"/>
          <w:szCs w:val="20"/>
        </w:rPr>
        <w:t>4</w:t>
      </w:r>
      <w:r w:rsidRPr="0010415C">
        <w:rPr>
          <w:rFonts w:ascii="Arial" w:hAnsi="Arial"/>
          <w:sz w:val="20"/>
          <w:szCs w:val="20"/>
        </w:rPr>
        <w:t>%</w:t>
      </w:r>
      <w:r w:rsidRPr="00F12FC3">
        <w:rPr>
          <w:rFonts w:ascii="Arial" w:hAnsi="Arial"/>
          <w:sz w:val="20"/>
          <w:szCs w:val="20"/>
        </w:rPr>
        <w:t xml:space="preserve"> to </w:t>
      </w:r>
      <w:r w:rsidR="00515393" w:rsidRPr="00DA53C4">
        <w:rPr>
          <w:rFonts w:ascii="Arial" w:hAnsi="Arial"/>
          <w:sz w:val="20"/>
          <w:szCs w:val="20"/>
        </w:rPr>
        <w:t>9.3</w:t>
      </w:r>
      <w:r w:rsidRPr="00F12FC3">
        <w:rPr>
          <w:rFonts w:ascii="Arial" w:hAnsi="Arial"/>
          <w:sz w:val="20"/>
          <w:szCs w:val="20"/>
        </w:rPr>
        <w:t>p</w:t>
      </w:r>
      <w:r w:rsidRPr="005E7A81">
        <w:rPr>
          <w:rFonts w:ascii="Arial" w:eastAsia="Batang" w:hAnsi="Arial" w:cs="Arial"/>
          <w:sz w:val="20"/>
          <w:szCs w:val="20"/>
          <w:lang w:eastAsia="ko-KR"/>
        </w:rPr>
        <w:t xml:space="preserve"> (</w:t>
      </w:r>
      <w:r w:rsidRPr="00F12FC3">
        <w:rPr>
          <w:rFonts w:ascii="Arial" w:eastAsia="Batang" w:hAnsi="Arial" w:cs="Arial"/>
          <w:sz w:val="20"/>
          <w:szCs w:val="20"/>
          <w:lang w:eastAsia="ko-KR"/>
        </w:rPr>
        <w:t>202</w:t>
      </w:r>
      <w:r w:rsidR="00A44BF6" w:rsidRPr="00F12FC3">
        <w:rPr>
          <w:rFonts w:ascii="Arial" w:eastAsia="Batang" w:hAnsi="Arial" w:cs="Arial"/>
          <w:sz w:val="20"/>
          <w:szCs w:val="20"/>
          <w:lang w:eastAsia="ko-KR"/>
        </w:rPr>
        <w:t>4</w:t>
      </w:r>
      <w:r w:rsidRPr="00F12FC3">
        <w:rPr>
          <w:rFonts w:ascii="Arial" w:eastAsia="Batang" w:hAnsi="Arial" w:cs="Arial"/>
          <w:sz w:val="20"/>
          <w:szCs w:val="20"/>
          <w:lang w:eastAsia="ko-KR"/>
        </w:rPr>
        <w:t xml:space="preserve">: </w:t>
      </w:r>
      <w:r w:rsidR="00DB59B0">
        <w:rPr>
          <w:rFonts w:ascii="Arial" w:eastAsia="Batang" w:hAnsi="Arial" w:cs="Arial"/>
          <w:sz w:val="20"/>
          <w:szCs w:val="20"/>
          <w:lang w:eastAsia="ko-KR"/>
        </w:rPr>
        <w:t>8.9</w:t>
      </w:r>
      <w:r w:rsidRPr="00F12FC3">
        <w:rPr>
          <w:rFonts w:ascii="Arial" w:eastAsia="Batang" w:hAnsi="Arial" w:cs="Arial"/>
          <w:sz w:val="20"/>
          <w:szCs w:val="20"/>
          <w:lang w:eastAsia="ko-KR"/>
        </w:rPr>
        <w:t>p)</w:t>
      </w:r>
      <w:r w:rsidRPr="00A44138">
        <w:rPr>
          <w:rFonts w:ascii="Arial" w:eastAsia="Batang" w:hAnsi="Arial" w:cs="Arial"/>
          <w:sz w:val="20"/>
          <w:szCs w:val="20"/>
          <w:lang w:eastAsia="ko-KR"/>
        </w:rPr>
        <w:t xml:space="preserve"> </w:t>
      </w:r>
      <w:r w:rsidRPr="00DA53C4">
        <w:rPr>
          <w:rFonts w:ascii="Arial" w:eastAsia="Batang" w:hAnsi="Arial" w:cs="Arial"/>
          <w:sz w:val="20"/>
          <w:szCs w:val="20"/>
          <w:lang w:eastAsia="ko-KR"/>
        </w:rPr>
        <w:t xml:space="preserve">which is driven by the increase in </w:t>
      </w:r>
      <w:r w:rsidR="000120A0">
        <w:rPr>
          <w:rFonts w:ascii="Arial" w:eastAsia="Batang" w:hAnsi="Arial" w:cs="Arial"/>
          <w:sz w:val="20"/>
          <w:szCs w:val="20"/>
          <w:lang w:eastAsia="ko-KR"/>
        </w:rPr>
        <w:t xml:space="preserve">adjusted </w:t>
      </w:r>
      <w:r w:rsidRPr="00DA53C4">
        <w:rPr>
          <w:rFonts w:ascii="Arial" w:eastAsia="Batang" w:hAnsi="Arial" w:cs="Arial"/>
          <w:sz w:val="20"/>
          <w:szCs w:val="20"/>
          <w:lang w:eastAsia="ko-KR"/>
        </w:rPr>
        <w:t>EBITDA</w:t>
      </w:r>
      <w:r w:rsidR="00703EBF" w:rsidRPr="00DA53C4">
        <w:rPr>
          <w:rFonts w:ascii="Arial" w:eastAsia="Batang" w:hAnsi="Arial" w:cs="Arial"/>
          <w:sz w:val="20"/>
          <w:szCs w:val="20"/>
          <w:lang w:eastAsia="ko-KR"/>
        </w:rPr>
        <w:t xml:space="preserve"> </w:t>
      </w:r>
      <w:r w:rsidR="00C041AC" w:rsidRPr="00DA53C4">
        <w:rPr>
          <w:rFonts w:ascii="Arial" w:eastAsia="Batang" w:hAnsi="Arial" w:cs="Arial"/>
          <w:sz w:val="20"/>
          <w:szCs w:val="20"/>
          <w:lang w:eastAsia="ko-KR"/>
        </w:rPr>
        <w:t xml:space="preserve">and reduction in </w:t>
      </w:r>
      <w:r w:rsidR="00A77A11" w:rsidRPr="00DA53C4">
        <w:rPr>
          <w:rFonts w:ascii="Arial" w:eastAsia="Batang" w:hAnsi="Arial" w:cs="Arial"/>
          <w:sz w:val="20"/>
          <w:szCs w:val="20"/>
          <w:lang w:eastAsia="ko-KR"/>
        </w:rPr>
        <w:t xml:space="preserve">net finance </w:t>
      </w:r>
      <w:r w:rsidR="0093013A" w:rsidRPr="00DA53C4">
        <w:rPr>
          <w:rFonts w:ascii="Arial" w:eastAsia="Batang" w:hAnsi="Arial" w:cs="Arial"/>
          <w:sz w:val="20"/>
          <w:szCs w:val="20"/>
          <w:lang w:eastAsia="ko-KR"/>
        </w:rPr>
        <w:t>expense.</w:t>
      </w:r>
    </w:p>
    <w:p w14:paraId="7D66928A" w14:textId="77777777" w:rsidR="00A44BF6" w:rsidRDefault="00A44BF6"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1E83D7B0" w14:textId="522C9A73" w:rsidR="00294FD1" w:rsidRPr="00A44138" w:rsidRDefault="00A44BF6" w:rsidP="00A44BF6">
      <w:pPr>
        <w:jc w:val="both"/>
        <w:rPr>
          <w:rFonts w:ascii="Arial" w:eastAsia="Batang" w:hAnsi="Arial" w:cs="Arial"/>
          <w:color w:val="FF0000"/>
          <w:sz w:val="20"/>
          <w:szCs w:val="20"/>
          <w:lang w:eastAsia="ko-KR"/>
        </w:rPr>
      </w:pPr>
      <w:r w:rsidRPr="00FC10DA">
        <w:rPr>
          <w:rFonts w:ascii="Arial" w:hAnsi="Arial" w:cs="Arial"/>
          <w:sz w:val="20"/>
          <w:szCs w:val="20"/>
        </w:rPr>
        <w:t xml:space="preserve">Adjusted </w:t>
      </w:r>
      <w:r w:rsidR="007017E5">
        <w:rPr>
          <w:rFonts w:ascii="Arial" w:hAnsi="Arial" w:cs="Arial"/>
          <w:sz w:val="20"/>
          <w:szCs w:val="20"/>
        </w:rPr>
        <w:t>e</w:t>
      </w:r>
      <w:r w:rsidRPr="00FC10DA">
        <w:rPr>
          <w:rFonts w:ascii="Arial" w:hAnsi="Arial" w:cs="Arial"/>
          <w:sz w:val="20"/>
          <w:szCs w:val="20"/>
        </w:rPr>
        <w:t xml:space="preserve">arnings </w:t>
      </w:r>
      <w:r w:rsidR="007017E5">
        <w:rPr>
          <w:rFonts w:ascii="Arial" w:hAnsi="Arial" w:cs="Arial"/>
          <w:sz w:val="20"/>
          <w:szCs w:val="20"/>
        </w:rPr>
        <w:t>p</w:t>
      </w:r>
      <w:r w:rsidRPr="00FC10DA">
        <w:rPr>
          <w:rFonts w:ascii="Arial" w:hAnsi="Arial" w:cs="Arial"/>
          <w:sz w:val="20"/>
          <w:szCs w:val="20"/>
        </w:rPr>
        <w:t xml:space="preserve">er </w:t>
      </w:r>
      <w:r w:rsidR="007017E5">
        <w:rPr>
          <w:rFonts w:ascii="Arial" w:hAnsi="Arial" w:cs="Arial"/>
          <w:sz w:val="20"/>
          <w:szCs w:val="20"/>
        </w:rPr>
        <w:t>s</w:t>
      </w:r>
      <w:r w:rsidRPr="00FC10DA">
        <w:rPr>
          <w:rFonts w:ascii="Arial" w:hAnsi="Arial" w:cs="Arial"/>
          <w:sz w:val="20"/>
          <w:szCs w:val="20"/>
        </w:rPr>
        <w:t>hare for last year has been updated to reflect the reclassification of irrecoverable VAT provisions and related costs to adjusting items.</w:t>
      </w:r>
    </w:p>
    <w:p w14:paraId="42F63E86" w14:textId="416125FB"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s="Arial"/>
          <w:b/>
          <w:sz w:val="20"/>
          <w:szCs w:val="20"/>
        </w:rPr>
      </w:pPr>
      <w:bookmarkStart w:id="19" w:name="_Hlk32235066"/>
      <w:r w:rsidRPr="00A44138">
        <w:rPr>
          <w:rFonts w:ascii="Arial" w:eastAsia="Batang" w:hAnsi="Arial" w:cs="Arial"/>
          <w:b/>
          <w:sz w:val="20"/>
          <w:szCs w:val="20"/>
          <w:lang w:eastAsia="ko-KR"/>
        </w:rPr>
        <w:t>Cashflow and balance sheet</w:t>
      </w:r>
    </w:p>
    <w:p w14:paraId="7BC96E5F"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olor w:val="FF0000"/>
        </w:rPr>
      </w:pPr>
    </w:p>
    <w:p w14:paraId="5F85E4BC" w14:textId="3B23E238" w:rsidR="00587C61" w:rsidRPr="00A44138" w:rsidRDefault="003A37F4"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 xml:space="preserve">Operating cashflows </w:t>
      </w:r>
      <w:r w:rsidR="00294C8E">
        <w:rPr>
          <w:rFonts w:ascii="Arial" w:eastAsia="Batang" w:hAnsi="Arial" w:cs="Arial"/>
          <w:sz w:val="20"/>
          <w:szCs w:val="20"/>
          <w:lang w:eastAsia="ko-KR"/>
        </w:rPr>
        <w:t>de</w:t>
      </w:r>
      <w:r w:rsidRPr="00F12FC3">
        <w:rPr>
          <w:rFonts w:ascii="Arial" w:eastAsia="Batang" w:hAnsi="Arial" w:cs="Arial"/>
          <w:sz w:val="20"/>
          <w:szCs w:val="20"/>
          <w:lang w:eastAsia="ko-KR"/>
        </w:rPr>
        <w:t>creased</w:t>
      </w:r>
      <w:r w:rsidRPr="00A44138">
        <w:rPr>
          <w:rFonts w:ascii="Arial" w:eastAsia="Batang" w:hAnsi="Arial" w:cs="Arial"/>
          <w:sz w:val="20"/>
          <w:szCs w:val="20"/>
          <w:lang w:eastAsia="ko-KR"/>
        </w:rPr>
        <w:t xml:space="preserve"> by </w:t>
      </w:r>
      <w:r w:rsidR="00871586" w:rsidRPr="00DA53C4">
        <w:rPr>
          <w:rFonts w:ascii="Arial" w:eastAsia="Batang" w:hAnsi="Arial" w:cs="Arial"/>
          <w:sz w:val="20"/>
          <w:szCs w:val="20"/>
          <w:lang w:eastAsia="ko-KR"/>
        </w:rPr>
        <w:t>16</w:t>
      </w:r>
      <w:r w:rsidR="00394421" w:rsidRPr="004F4F55">
        <w:rPr>
          <w:rFonts w:ascii="Arial" w:eastAsia="Batang" w:hAnsi="Arial" w:cs="Arial"/>
          <w:sz w:val="20"/>
          <w:szCs w:val="20"/>
          <w:lang w:eastAsia="ko-KR"/>
        </w:rPr>
        <w:t>%</w:t>
      </w:r>
      <w:r w:rsidR="00394421" w:rsidRPr="00F12FC3">
        <w:rPr>
          <w:rFonts w:ascii="Arial" w:eastAsia="Batang" w:hAnsi="Arial" w:cs="Arial"/>
          <w:sz w:val="20"/>
          <w:szCs w:val="20"/>
          <w:lang w:eastAsia="ko-KR"/>
        </w:rPr>
        <w:t xml:space="preserve"> </w:t>
      </w:r>
      <w:r w:rsidR="00394421" w:rsidRPr="00A44138">
        <w:rPr>
          <w:rFonts w:ascii="Arial" w:eastAsia="Batang" w:hAnsi="Arial" w:cs="Arial"/>
          <w:sz w:val="20"/>
          <w:szCs w:val="20"/>
          <w:lang w:eastAsia="ko-KR"/>
        </w:rPr>
        <w:t xml:space="preserve">to </w:t>
      </w:r>
      <w:r w:rsidR="00394421" w:rsidRPr="004F4F55">
        <w:rPr>
          <w:rFonts w:ascii="Arial" w:eastAsia="Batang" w:hAnsi="Arial" w:cs="Arial"/>
          <w:sz w:val="20"/>
          <w:szCs w:val="20"/>
          <w:lang w:eastAsia="ko-KR"/>
        </w:rPr>
        <w:t>£</w:t>
      </w:r>
      <w:r w:rsidR="004A4F94" w:rsidRPr="00DA53C4">
        <w:rPr>
          <w:rFonts w:ascii="Arial" w:eastAsia="Batang" w:hAnsi="Arial" w:cs="Arial"/>
          <w:sz w:val="20"/>
          <w:szCs w:val="20"/>
          <w:lang w:eastAsia="ko-KR"/>
        </w:rPr>
        <w:t>4</w:t>
      </w:r>
      <w:r w:rsidR="004F4F55" w:rsidRPr="00DA53C4">
        <w:rPr>
          <w:rFonts w:ascii="Arial" w:eastAsia="Batang" w:hAnsi="Arial" w:cs="Arial"/>
          <w:sz w:val="20"/>
          <w:szCs w:val="20"/>
          <w:lang w:eastAsia="ko-KR"/>
        </w:rPr>
        <w:t>3.7</w:t>
      </w:r>
      <w:r w:rsidR="004013D5" w:rsidRPr="004F4F55">
        <w:rPr>
          <w:rFonts w:ascii="Arial" w:eastAsia="Batang" w:hAnsi="Arial" w:cs="Arial"/>
          <w:sz w:val="20"/>
          <w:szCs w:val="20"/>
          <w:lang w:eastAsia="ko-KR"/>
        </w:rPr>
        <w:t>m</w:t>
      </w:r>
      <w:r w:rsidR="004013D5" w:rsidRPr="00A44138">
        <w:rPr>
          <w:rFonts w:ascii="Arial" w:eastAsia="Batang" w:hAnsi="Arial" w:cs="Arial"/>
          <w:sz w:val="20"/>
          <w:szCs w:val="20"/>
          <w:lang w:eastAsia="ko-KR"/>
        </w:rPr>
        <w:t xml:space="preserve"> (</w:t>
      </w:r>
      <w:r w:rsidR="000023AB" w:rsidRPr="005E7A81">
        <w:rPr>
          <w:rFonts w:ascii="Arial" w:eastAsia="Batang" w:hAnsi="Arial" w:cs="Arial"/>
          <w:sz w:val="20"/>
          <w:szCs w:val="20"/>
          <w:lang w:eastAsia="ko-KR"/>
        </w:rPr>
        <w:t>202</w:t>
      </w:r>
      <w:r w:rsidR="00A44BF6" w:rsidRPr="005E7A81">
        <w:rPr>
          <w:rFonts w:ascii="Arial" w:eastAsia="Batang" w:hAnsi="Arial" w:cs="Arial"/>
          <w:sz w:val="20"/>
          <w:szCs w:val="20"/>
          <w:lang w:eastAsia="ko-KR"/>
        </w:rPr>
        <w:t>4</w:t>
      </w:r>
      <w:r w:rsidR="000023AB" w:rsidRPr="005E7A81">
        <w:rPr>
          <w:rFonts w:ascii="Arial" w:eastAsia="Batang" w:hAnsi="Arial" w:cs="Arial"/>
          <w:sz w:val="20"/>
          <w:szCs w:val="20"/>
          <w:lang w:eastAsia="ko-KR"/>
        </w:rPr>
        <w:t>: £</w:t>
      </w:r>
      <w:r w:rsidR="00A44BF6" w:rsidRPr="005E7A81">
        <w:rPr>
          <w:rFonts w:ascii="Arial" w:eastAsia="Batang" w:hAnsi="Arial" w:cs="Arial"/>
          <w:sz w:val="20"/>
          <w:szCs w:val="20"/>
          <w:lang w:eastAsia="ko-KR"/>
        </w:rPr>
        <w:t>51.8</w:t>
      </w:r>
      <w:r w:rsidR="00A62BC8" w:rsidRPr="005E7A81">
        <w:rPr>
          <w:rFonts w:ascii="Arial" w:eastAsia="Batang" w:hAnsi="Arial" w:cs="Arial"/>
          <w:sz w:val="20"/>
          <w:szCs w:val="20"/>
          <w:lang w:eastAsia="ko-KR"/>
        </w:rPr>
        <w:t>m</w:t>
      </w:r>
      <w:r w:rsidR="00A62BC8" w:rsidRPr="004D61FD">
        <w:rPr>
          <w:rFonts w:ascii="Arial" w:eastAsia="Batang" w:hAnsi="Arial" w:cs="Arial"/>
          <w:sz w:val="20"/>
          <w:szCs w:val="20"/>
          <w:lang w:eastAsia="ko-KR"/>
        </w:rPr>
        <w:t>)</w:t>
      </w:r>
      <w:r w:rsidR="00DE776F" w:rsidRPr="004D61FD">
        <w:rPr>
          <w:rFonts w:ascii="Arial" w:eastAsia="Batang" w:hAnsi="Arial" w:cs="Arial"/>
          <w:sz w:val="20"/>
          <w:szCs w:val="20"/>
          <w:lang w:eastAsia="ko-KR"/>
        </w:rPr>
        <w:t xml:space="preserve"> </w:t>
      </w:r>
      <w:r w:rsidR="00880CB6" w:rsidRPr="00A44138">
        <w:rPr>
          <w:rFonts w:ascii="Arial" w:eastAsia="Batang" w:hAnsi="Arial" w:cs="Arial"/>
          <w:sz w:val="20"/>
          <w:szCs w:val="20"/>
          <w:lang w:eastAsia="ko-KR"/>
        </w:rPr>
        <w:t xml:space="preserve">with </w:t>
      </w:r>
      <w:r w:rsidR="00612C44" w:rsidRPr="00A44138">
        <w:rPr>
          <w:rFonts w:ascii="Arial" w:eastAsia="Batang" w:hAnsi="Arial" w:cs="Arial"/>
          <w:sz w:val="20"/>
          <w:szCs w:val="20"/>
          <w:lang w:eastAsia="ko-KR"/>
        </w:rPr>
        <w:t xml:space="preserve">a working capital outflow of </w:t>
      </w:r>
      <w:r w:rsidR="00612C44" w:rsidRPr="004F4F55">
        <w:rPr>
          <w:rFonts w:ascii="Arial" w:eastAsia="Batang" w:hAnsi="Arial" w:cs="Arial"/>
          <w:sz w:val="20"/>
          <w:szCs w:val="20"/>
          <w:lang w:eastAsia="ko-KR"/>
        </w:rPr>
        <w:t>£</w:t>
      </w:r>
      <w:r w:rsidR="003D3FAC" w:rsidRPr="00DA53C4">
        <w:rPr>
          <w:rFonts w:ascii="Arial" w:eastAsia="Batang" w:hAnsi="Arial" w:cs="Arial"/>
          <w:sz w:val="20"/>
          <w:szCs w:val="20"/>
          <w:lang w:eastAsia="ko-KR"/>
        </w:rPr>
        <w:t>17.</w:t>
      </w:r>
      <w:r w:rsidR="00ED4E0D">
        <w:rPr>
          <w:rFonts w:ascii="Arial" w:eastAsia="Batang" w:hAnsi="Arial" w:cs="Arial"/>
          <w:sz w:val="20"/>
          <w:szCs w:val="20"/>
          <w:lang w:eastAsia="ko-KR"/>
        </w:rPr>
        <w:t>1</w:t>
      </w:r>
      <w:r w:rsidR="005C5123" w:rsidRPr="004F4F55">
        <w:rPr>
          <w:rFonts w:ascii="Arial" w:eastAsia="Batang" w:hAnsi="Arial" w:cs="Arial"/>
          <w:sz w:val="20"/>
          <w:szCs w:val="20"/>
          <w:lang w:eastAsia="ko-KR"/>
        </w:rPr>
        <w:t>m</w:t>
      </w:r>
      <w:r w:rsidR="005C5123" w:rsidRPr="00A44138">
        <w:rPr>
          <w:rFonts w:ascii="Arial" w:eastAsia="Batang" w:hAnsi="Arial" w:cs="Arial"/>
          <w:sz w:val="20"/>
          <w:szCs w:val="20"/>
          <w:lang w:eastAsia="ko-KR"/>
        </w:rPr>
        <w:t xml:space="preserve"> (</w:t>
      </w:r>
      <w:r w:rsidR="005C5123" w:rsidRPr="005E7A81">
        <w:rPr>
          <w:rFonts w:ascii="Arial" w:eastAsia="Batang" w:hAnsi="Arial" w:cs="Arial"/>
          <w:sz w:val="20"/>
          <w:szCs w:val="20"/>
          <w:lang w:eastAsia="ko-KR"/>
        </w:rPr>
        <w:t>202</w:t>
      </w:r>
      <w:r w:rsidR="00A44BF6" w:rsidRPr="005E7A81">
        <w:rPr>
          <w:rFonts w:ascii="Arial" w:eastAsia="Batang" w:hAnsi="Arial" w:cs="Arial"/>
          <w:sz w:val="20"/>
          <w:szCs w:val="20"/>
          <w:lang w:eastAsia="ko-KR"/>
        </w:rPr>
        <w:t>4</w:t>
      </w:r>
      <w:r w:rsidR="005C5123" w:rsidRPr="005E7A81">
        <w:rPr>
          <w:rFonts w:ascii="Arial" w:eastAsia="Batang" w:hAnsi="Arial" w:cs="Arial"/>
          <w:sz w:val="20"/>
          <w:szCs w:val="20"/>
          <w:lang w:eastAsia="ko-KR"/>
        </w:rPr>
        <w:t>: £</w:t>
      </w:r>
      <w:r w:rsidR="00A44BF6" w:rsidRPr="005E7A81">
        <w:rPr>
          <w:rFonts w:ascii="Arial" w:eastAsia="Batang" w:hAnsi="Arial" w:cs="Arial"/>
          <w:sz w:val="20"/>
          <w:szCs w:val="20"/>
          <w:lang w:eastAsia="ko-KR"/>
        </w:rPr>
        <w:t>6.0</w:t>
      </w:r>
      <w:r w:rsidR="00284F16" w:rsidRPr="005E7A81">
        <w:rPr>
          <w:rFonts w:ascii="Arial" w:eastAsia="Batang" w:hAnsi="Arial" w:cs="Arial"/>
          <w:sz w:val="20"/>
          <w:szCs w:val="20"/>
          <w:lang w:eastAsia="ko-KR"/>
        </w:rPr>
        <w:t>m</w:t>
      </w:r>
      <w:r w:rsidR="00284F16" w:rsidRPr="00A44138">
        <w:rPr>
          <w:rFonts w:ascii="Arial" w:eastAsia="Batang" w:hAnsi="Arial" w:cs="Arial"/>
          <w:sz w:val="20"/>
          <w:szCs w:val="20"/>
          <w:lang w:eastAsia="ko-KR"/>
        </w:rPr>
        <w:t>)</w:t>
      </w:r>
      <w:r w:rsidR="00D605BA" w:rsidRPr="00A44138">
        <w:rPr>
          <w:rFonts w:ascii="Arial" w:eastAsia="Batang" w:hAnsi="Arial" w:cs="Arial"/>
          <w:sz w:val="20"/>
          <w:szCs w:val="20"/>
          <w:lang w:eastAsia="ko-KR"/>
        </w:rPr>
        <w:t xml:space="preserve"> </w:t>
      </w:r>
      <w:r w:rsidR="0000298D">
        <w:rPr>
          <w:rFonts w:ascii="Arial" w:eastAsia="Batang" w:hAnsi="Arial" w:cs="Arial"/>
          <w:sz w:val="20"/>
          <w:szCs w:val="20"/>
          <w:lang w:eastAsia="ko-KR"/>
        </w:rPr>
        <w:t xml:space="preserve">driven by </w:t>
      </w:r>
      <w:r w:rsidR="00335D81">
        <w:rPr>
          <w:rFonts w:ascii="Arial" w:eastAsia="Batang" w:hAnsi="Arial" w:cs="Arial"/>
          <w:sz w:val="20"/>
          <w:szCs w:val="20"/>
          <w:lang w:eastAsia="ko-KR"/>
        </w:rPr>
        <w:t xml:space="preserve">the impact of </w:t>
      </w:r>
      <w:r w:rsidR="00AF7EC5">
        <w:rPr>
          <w:rFonts w:ascii="Arial" w:eastAsia="Batang" w:hAnsi="Arial" w:cs="Arial"/>
          <w:sz w:val="20"/>
          <w:szCs w:val="20"/>
          <w:lang w:eastAsia="ko-KR"/>
        </w:rPr>
        <w:t>s</w:t>
      </w:r>
      <w:r w:rsidR="004D0A63">
        <w:rPr>
          <w:rFonts w:ascii="Arial" w:eastAsia="Batang" w:hAnsi="Arial" w:cs="Arial"/>
          <w:sz w:val="20"/>
          <w:szCs w:val="20"/>
          <w:lang w:eastAsia="ko-KR"/>
        </w:rPr>
        <w:t>easonally high cash inflows in December</w:t>
      </w:r>
      <w:r w:rsidR="003C63BB">
        <w:rPr>
          <w:rFonts w:ascii="Arial" w:eastAsia="Batang" w:hAnsi="Arial" w:cs="Arial"/>
          <w:sz w:val="20"/>
          <w:szCs w:val="20"/>
          <w:lang w:eastAsia="ko-KR"/>
        </w:rPr>
        <w:t xml:space="preserve">, an </w:t>
      </w:r>
      <w:r w:rsidR="000621DA" w:rsidRPr="0035457A">
        <w:rPr>
          <w:rFonts w:ascii="Arial" w:eastAsia="Batang" w:hAnsi="Arial" w:cs="Arial"/>
          <w:sz w:val="20"/>
          <w:szCs w:val="20"/>
          <w:lang w:eastAsia="ko-KR"/>
        </w:rPr>
        <w:t>uplift in trade since the year end</w:t>
      </w:r>
      <w:r w:rsidR="00B13CA4">
        <w:rPr>
          <w:rFonts w:ascii="Arial" w:eastAsia="Batang" w:hAnsi="Arial" w:cs="Arial"/>
          <w:sz w:val="20"/>
          <w:szCs w:val="20"/>
          <w:lang w:eastAsia="ko-KR"/>
        </w:rPr>
        <w:t xml:space="preserve"> and </w:t>
      </w:r>
      <w:r w:rsidR="00EF5B20">
        <w:rPr>
          <w:rFonts w:ascii="Arial" w:eastAsia="Batang" w:hAnsi="Arial" w:cs="Arial"/>
          <w:sz w:val="20"/>
          <w:szCs w:val="20"/>
          <w:lang w:eastAsia="ko-KR"/>
        </w:rPr>
        <w:t>a change</w:t>
      </w:r>
      <w:r w:rsidR="0076484C">
        <w:rPr>
          <w:rFonts w:ascii="Arial" w:eastAsia="Batang" w:hAnsi="Arial" w:cs="Arial"/>
          <w:sz w:val="20"/>
          <w:szCs w:val="20"/>
          <w:lang w:eastAsia="ko-KR"/>
        </w:rPr>
        <w:t xml:space="preserve"> in revenue mix</w:t>
      </w:r>
      <w:r w:rsidR="00C927A2" w:rsidRPr="0035457A">
        <w:rPr>
          <w:rFonts w:ascii="Arial" w:eastAsia="Batang" w:hAnsi="Arial" w:cs="Arial"/>
          <w:sz w:val="20"/>
          <w:szCs w:val="20"/>
          <w:lang w:eastAsia="ko-KR"/>
        </w:rPr>
        <w:t>.</w:t>
      </w:r>
      <w:r w:rsidR="00475972" w:rsidRPr="0035457A">
        <w:rPr>
          <w:rFonts w:ascii="Arial" w:eastAsia="Batang" w:hAnsi="Arial" w:cs="Arial"/>
          <w:sz w:val="20"/>
          <w:szCs w:val="20"/>
          <w:lang w:eastAsia="ko-KR"/>
        </w:rPr>
        <w:t xml:space="preserve"> The </w:t>
      </w:r>
      <w:r w:rsidR="00D63FEC" w:rsidRPr="0035457A">
        <w:rPr>
          <w:rFonts w:ascii="Arial" w:eastAsia="Batang" w:hAnsi="Arial" w:cs="Arial"/>
          <w:sz w:val="20"/>
          <w:szCs w:val="20"/>
          <w:lang w:eastAsia="ko-KR"/>
        </w:rPr>
        <w:t xml:space="preserve">higher receivables </w:t>
      </w:r>
      <w:r w:rsidR="00FD57FF" w:rsidRPr="0035457A">
        <w:rPr>
          <w:rFonts w:ascii="Arial" w:eastAsia="Batang" w:hAnsi="Arial" w:cs="Arial"/>
          <w:sz w:val="20"/>
          <w:szCs w:val="20"/>
          <w:lang w:eastAsia="ko-KR"/>
        </w:rPr>
        <w:t xml:space="preserve">compared to last half year is due to the mix into energy and life insurance which have longer </w:t>
      </w:r>
      <w:r w:rsidR="00B50917" w:rsidRPr="0035457A">
        <w:rPr>
          <w:rFonts w:ascii="Arial" w:eastAsia="Batang" w:hAnsi="Arial" w:cs="Arial"/>
          <w:sz w:val="20"/>
          <w:szCs w:val="20"/>
          <w:lang w:eastAsia="ko-KR"/>
        </w:rPr>
        <w:t>click to cash collection periods</w:t>
      </w:r>
      <w:r w:rsidR="002E663F" w:rsidRPr="0035457A">
        <w:rPr>
          <w:rFonts w:ascii="Arial" w:eastAsia="Batang" w:hAnsi="Arial" w:cs="Arial"/>
          <w:sz w:val="20"/>
          <w:szCs w:val="20"/>
          <w:lang w:eastAsia="ko-KR"/>
        </w:rPr>
        <w:t xml:space="preserve">. </w:t>
      </w:r>
      <w:r w:rsidR="00DB3A79" w:rsidRPr="0035457A">
        <w:rPr>
          <w:rFonts w:ascii="Arial" w:eastAsia="Batang" w:hAnsi="Arial" w:cs="Arial"/>
          <w:sz w:val="20"/>
          <w:szCs w:val="20"/>
          <w:lang w:eastAsia="ko-KR"/>
        </w:rPr>
        <w:t xml:space="preserve">Last half year the revenue growth was </w:t>
      </w:r>
      <w:r w:rsidR="001A1CD0" w:rsidRPr="0035457A">
        <w:rPr>
          <w:rFonts w:ascii="Arial" w:eastAsia="Batang" w:hAnsi="Arial" w:cs="Arial"/>
          <w:sz w:val="20"/>
          <w:szCs w:val="20"/>
          <w:lang w:eastAsia="ko-KR"/>
        </w:rPr>
        <w:t>primarily in car insurance which has a shorter cash collection period.</w:t>
      </w:r>
    </w:p>
    <w:p w14:paraId="08ACBBB9" w14:textId="77777777" w:rsidR="00587C61" w:rsidRPr="00A44138" w:rsidRDefault="00587C6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11882E2C" w14:textId="0BBEEBED" w:rsidR="00766328" w:rsidRPr="00A44138" w:rsidRDefault="00766328" w:rsidP="00766328">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 xml:space="preserve">Cash outflows on investing activities include </w:t>
      </w:r>
      <w:r w:rsidRPr="00C611C6">
        <w:rPr>
          <w:rFonts w:ascii="Arial" w:eastAsia="Batang" w:hAnsi="Arial" w:cs="Arial"/>
          <w:sz w:val="20"/>
          <w:szCs w:val="20"/>
          <w:lang w:eastAsia="ko-KR"/>
        </w:rPr>
        <w:t>£</w:t>
      </w:r>
      <w:r w:rsidR="00C611C6" w:rsidRPr="00DA53C4">
        <w:rPr>
          <w:rFonts w:ascii="Arial" w:eastAsia="Batang" w:hAnsi="Arial" w:cs="Arial"/>
          <w:sz w:val="20"/>
          <w:szCs w:val="20"/>
          <w:lang w:eastAsia="ko-KR"/>
        </w:rPr>
        <w:t>5.1</w:t>
      </w:r>
      <w:r w:rsidRPr="00C611C6">
        <w:rPr>
          <w:rFonts w:ascii="Arial" w:eastAsia="Batang" w:hAnsi="Arial" w:cs="Arial"/>
          <w:sz w:val="20"/>
          <w:szCs w:val="20"/>
          <w:lang w:eastAsia="ko-KR"/>
        </w:rPr>
        <w:t>m</w:t>
      </w:r>
      <w:r w:rsidRPr="00A44138">
        <w:rPr>
          <w:rFonts w:ascii="Arial" w:eastAsia="Batang" w:hAnsi="Arial" w:cs="Arial"/>
          <w:sz w:val="20"/>
          <w:szCs w:val="20"/>
          <w:lang w:eastAsia="ko-KR"/>
        </w:rPr>
        <w:t xml:space="preserve"> </w:t>
      </w:r>
      <w:r w:rsidR="00F46FCC" w:rsidRPr="00A44138">
        <w:rPr>
          <w:rFonts w:ascii="Arial" w:eastAsia="Batang" w:hAnsi="Arial" w:cs="Arial"/>
          <w:sz w:val="20"/>
          <w:szCs w:val="20"/>
          <w:lang w:eastAsia="ko-KR"/>
        </w:rPr>
        <w:t>(</w:t>
      </w:r>
      <w:r w:rsidR="00ED4A05" w:rsidRPr="005E7A81">
        <w:rPr>
          <w:rFonts w:ascii="Arial" w:eastAsia="Batang" w:hAnsi="Arial" w:cs="Arial"/>
          <w:sz w:val="20"/>
          <w:szCs w:val="20"/>
          <w:lang w:eastAsia="ko-KR"/>
        </w:rPr>
        <w:t>202</w:t>
      </w:r>
      <w:r w:rsidR="00A44BF6" w:rsidRPr="005E7A81">
        <w:rPr>
          <w:rFonts w:ascii="Arial" w:eastAsia="Batang" w:hAnsi="Arial" w:cs="Arial"/>
          <w:sz w:val="20"/>
          <w:szCs w:val="20"/>
          <w:lang w:eastAsia="ko-KR"/>
        </w:rPr>
        <w:t>4</w:t>
      </w:r>
      <w:r w:rsidR="00ED4A05" w:rsidRPr="005E7A81">
        <w:rPr>
          <w:rFonts w:ascii="Arial" w:eastAsia="Batang" w:hAnsi="Arial" w:cs="Arial"/>
          <w:sz w:val="20"/>
          <w:szCs w:val="20"/>
          <w:lang w:eastAsia="ko-KR"/>
        </w:rPr>
        <w:t>: £</w:t>
      </w:r>
      <w:r w:rsidR="00A44BF6" w:rsidRPr="005E7A81">
        <w:rPr>
          <w:rFonts w:ascii="Arial" w:eastAsia="Batang" w:hAnsi="Arial" w:cs="Arial"/>
          <w:sz w:val="20"/>
          <w:szCs w:val="20"/>
          <w:lang w:eastAsia="ko-KR"/>
        </w:rPr>
        <w:t>5.1</w:t>
      </w:r>
      <w:r w:rsidR="00450372" w:rsidRPr="005E7A81">
        <w:rPr>
          <w:rFonts w:ascii="Arial" w:eastAsia="Batang" w:hAnsi="Arial" w:cs="Arial"/>
          <w:sz w:val="20"/>
          <w:szCs w:val="20"/>
          <w:lang w:eastAsia="ko-KR"/>
        </w:rPr>
        <w:t>m</w:t>
      </w:r>
      <w:r w:rsidR="00450372" w:rsidRPr="00A44138">
        <w:rPr>
          <w:rFonts w:ascii="Arial" w:eastAsia="Batang" w:hAnsi="Arial" w:cs="Arial"/>
          <w:sz w:val="20"/>
          <w:szCs w:val="20"/>
          <w:lang w:eastAsia="ko-KR"/>
        </w:rPr>
        <w:t xml:space="preserve">) </w:t>
      </w:r>
      <w:r w:rsidRPr="00DA53C4">
        <w:rPr>
          <w:rFonts w:ascii="Arial" w:eastAsia="Batang" w:hAnsi="Arial" w:cs="Arial"/>
          <w:sz w:val="20"/>
          <w:szCs w:val="20"/>
          <w:lang w:eastAsia="ko-KR"/>
        </w:rPr>
        <w:t xml:space="preserve">of capital </w:t>
      </w:r>
      <w:r w:rsidR="005C00C3" w:rsidRPr="00DA53C4">
        <w:rPr>
          <w:rFonts w:ascii="Arial" w:eastAsia="Batang" w:hAnsi="Arial" w:cs="Arial"/>
          <w:sz w:val="20"/>
          <w:szCs w:val="20"/>
          <w:lang w:eastAsia="ko-KR"/>
        </w:rPr>
        <w:t>spend</w:t>
      </w:r>
      <w:r w:rsidRPr="00DA53C4">
        <w:rPr>
          <w:rFonts w:ascii="Arial" w:eastAsia="Batang" w:hAnsi="Arial" w:cs="Arial"/>
          <w:sz w:val="20"/>
          <w:szCs w:val="20"/>
          <w:lang w:eastAsia="ko-KR"/>
        </w:rPr>
        <w:t xml:space="preserve"> and cash outflows on financing </w:t>
      </w:r>
      <w:r w:rsidR="006F22C9" w:rsidRPr="00DA53C4">
        <w:rPr>
          <w:rFonts w:ascii="Arial" w:eastAsia="Batang" w:hAnsi="Arial" w:cs="Arial"/>
          <w:sz w:val="20"/>
          <w:szCs w:val="20"/>
          <w:lang w:eastAsia="ko-KR"/>
        </w:rPr>
        <w:t xml:space="preserve">activities </w:t>
      </w:r>
      <w:r w:rsidRPr="00DA53C4">
        <w:rPr>
          <w:rFonts w:ascii="Arial" w:eastAsia="Batang" w:hAnsi="Arial" w:cs="Arial"/>
          <w:sz w:val="20"/>
          <w:szCs w:val="20"/>
          <w:lang w:eastAsia="ko-KR"/>
        </w:rPr>
        <w:t xml:space="preserve">include </w:t>
      </w:r>
      <w:r w:rsidR="007C4BBA" w:rsidRPr="00DA53C4">
        <w:rPr>
          <w:rFonts w:ascii="Arial" w:eastAsia="Batang" w:hAnsi="Arial" w:cs="Arial"/>
          <w:sz w:val="20"/>
          <w:szCs w:val="20"/>
          <w:lang w:eastAsia="ko-KR"/>
        </w:rPr>
        <w:t>£13.3m (</w:t>
      </w:r>
      <w:r w:rsidR="00EF7F47" w:rsidRPr="00DA53C4">
        <w:rPr>
          <w:rFonts w:ascii="Arial" w:eastAsia="Batang" w:hAnsi="Arial" w:cs="Arial"/>
          <w:sz w:val="20"/>
          <w:szCs w:val="20"/>
          <w:lang w:eastAsia="ko-KR"/>
        </w:rPr>
        <w:t xml:space="preserve">2024: £nil) in respect of </w:t>
      </w:r>
      <w:r w:rsidR="00545E06" w:rsidRPr="00DA53C4">
        <w:rPr>
          <w:rFonts w:ascii="Arial" w:eastAsia="Batang" w:hAnsi="Arial" w:cs="Arial"/>
          <w:sz w:val="20"/>
          <w:szCs w:val="20"/>
          <w:lang w:eastAsia="ko-KR"/>
        </w:rPr>
        <w:t>our share buyback</w:t>
      </w:r>
      <w:r w:rsidR="00BA748D" w:rsidRPr="00DA53C4">
        <w:rPr>
          <w:rFonts w:ascii="Arial" w:eastAsia="Batang" w:hAnsi="Arial" w:cs="Arial"/>
          <w:sz w:val="20"/>
          <w:szCs w:val="20"/>
          <w:lang w:eastAsia="ko-KR"/>
        </w:rPr>
        <w:t>.</w:t>
      </w:r>
    </w:p>
    <w:p w14:paraId="47FA9373" w14:textId="77777777" w:rsidR="009462B3" w:rsidRPr="00A44138" w:rsidRDefault="009462B3" w:rsidP="00766328">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FF0000"/>
          <w:sz w:val="20"/>
          <w:szCs w:val="20"/>
          <w:lang w:eastAsia="ko-KR"/>
        </w:rPr>
      </w:pPr>
    </w:p>
    <w:p w14:paraId="7D6A4651" w14:textId="55D9FCB7" w:rsidR="00B9375B" w:rsidRPr="00A44138" w:rsidRDefault="009462B3"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 xml:space="preserve">Net </w:t>
      </w:r>
      <w:r w:rsidR="005174E3">
        <w:rPr>
          <w:rFonts w:ascii="Arial" w:eastAsia="Batang" w:hAnsi="Arial" w:cs="Arial"/>
          <w:sz w:val="20"/>
          <w:szCs w:val="20"/>
          <w:lang w:eastAsia="ko-KR"/>
        </w:rPr>
        <w:t>debt</w:t>
      </w:r>
      <w:r w:rsidR="005174E3" w:rsidRPr="00A44138">
        <w:rPr>
          <w:rFonts w:ascii="Arial" w:eastAsia="Batang" w:hAnsi="Arial" w:cs="Arial"/>
          <w:sz w:val="20"/>
          <w:szCs w:val="20"/>
          <w:lang w:eastAsia="ko-KR"/>
        </w:rPr>
        <w:t xml:space="preserve"> </w:t>
      </w:r>
      <w:r w:rsidR="00F714D8">
        <w:rPr>
          <w:rFonts w:ascii="Arial" w:eastAsia="Batang" w:hAnsi="Arial" w:cs="Arial"/>
          <w:sz w:val="20"/>
          <w:szCs w:val="20"/>
          <w:lang w:eastAsia="ko-KR"/>
        </w:rPr>
        <w:t>of</w:t>
      </w:r>
      <w:r w:rsidRPr="00A44138">
        <w:rPr>
          <w:rFonts w:ascii="Arial" w:eastAsia="Batang" w:hAnsi="Arial" w:cs="Arial"/>
          <w:sz w:val="20"/>
          <w:szCs w:val="20"/>
          <w:lang w:eastAsia="ko-KR"/>
        </w:rPr>
        <w:t xml:space="preserve"> </w:t>
      </w:r>
      <w:r w:rsidRPr="00BA748D">
        <w:rPr>
          <w:rFonts w:ascii="Arial" w:eastAsia="Batang" w:hAnsi="Arial" w:cs="Arial"/>
          <w:sz w:val="20"/>
          <w:szCs w:val="20"/>
          <w:lang w:eastAsia="ko-KR"/>
        </w:rPr>
        <w:t>£</w:t>
      </w:r>
      <w:r w:rsidR="00E17461" w:rsidRPr="00DA53C4">
        <w:rPr>
          <w:rFonts w:ascii="Arial" w:eastAsia="Batang" w:hAnsi="Arial" w:cs="Arial"/>
          <w:sz w:val="20"/>
          <w:szCs w:val="20"/>
          <w:lang w:eastAsia="ko-KR"/>
        </w:rPr>
        <w:t>18.4</w:t>
      </w:r>
      <w:r w:rsidRPr="00BA748D">
        <w:rPr>
          <w:rFonts w:ascii="Arial" w:eastAsia="Batang" w:hAnsi="Arial" w:cs="Arial"/>
          <w:sz w:val="20"/>
          <w:szCs w:val="20"/>
          <w:lang w:eastAsia="ko-KR"/>
        </w:rPr>
        <w:t>m</w:t>
      </w:r>
      <w:r w:rsidRPr="00A44138">
        <w:rPr>
          <w:rFonts w:ascii="Arial" w:eastAsia="Batang" w:hAnsi="Arial" w:cs="Arial"/>
          <w:sz w:val="20"/>
          <w:szCs w:val="20"/>
          <w:lang w:eastAsia="ko-KR"/>
        </w:rPr>
        <w:t xml:space="preserve"> (</w:t>
      </w:r>
      <w:r w:rsidR="003114D9" w:rsidRPr="005E7A81">
        <w:rPr>
          <w:rFonts w:ascii="Arial" w:eastAsia="Batang" w:hAnsi="Arial" w:cs="Arial"/>
          <w:sz w:val="20"/>
          <w:szCs w:val="20"/>
          <w:lang w:eastAsia="ko-KR"/>
        </w:rPr>
        <w:t>31 December</w:t>
      </w:r>
      <w:r w:rsidRPr="005E7A81">
        <w:rPr>
          <w:rFonts w:ascii="Arial" w:eastAsia="Batang" w:hAnsi="Arial" w:cs="Arial"/>
          <w:sz w:val="20"/>
          <w:szCs w:val="20"/>
          <w:lang w:eastAsia="ko-KR"/>
        </w:rPr>
        <w:t xml:space="preserve"> 202</w:t>
      </w:r>
      <w:r w:rsidR="00A44BF6" w:rsidRPr="005E7A81">
        <w:rPr>
          <w:rFonts w:ascii="Arial" w:eastAsia="Batang" w:hAnsi="Arial" w:cs="Arial"/>
          <w:sz w:val="20"/>
          <w:szCs w:val="20"/>
          <w:lang w:eastAsia="ko-KR"/>
        </w:rPr>
        <w:t>4</w:t>
      </w:r>
      <w:r w:rsidRPr="005E7A81">
        <w:rPr>
          <w:rFonts w:ascii="Arial" w:eastAsia="Batang" w:hAnsi="Arial" w:cs="Arial"/>
          <w:sz w:val="20"/>
          <w:szCs w:val="20"/>
          <w:lang w:eastAsia="ko-KR"/>
        </w:rPr>
        <w:t xml:space="preserve">: </w:t>
      </w:r>
      <w:r w:rsidR="00A77B04">
        <w:rPr>
          <w:rFonts w:ascii="Arial" w:eastAsia="Batang" w:hAnsi="Arial" w:cs="Arial"/>
          <w:sz w:val="20"/>
          <w:szCs w:val="20"/>
          <w:lang w:eastAsia="ko-KR"/>
        </w:rPr>
        <w:t xml:space="preserve">net </w:t>
      </w:r>
      <w:r w:rsidR="005B7758">
        <w:rPr>
          <w:rFonts w:ascii="Arial" w:eastAsia="Batang" w:hAnsi="Arial" w:cs="Arial"/>
          <w:sz w:val="20"/>
          <w:szCs w:val="20"/>
          <w:lang w:eastAsia="ko-KR"/>
        </w:rPr>
        <w:t xml:space="preserve">cash of </w:t>
      </w:r>
      <w:r w:rsidRPr="005E7A81">
        <w:rPr>
          <w:rFonts w:ascii="Arial" w:eastAsia="Batang" w:hAnsi="Arial" w:cs="Arial"/>
          <w:sz w:val="20"/>
          <w:szCs w:val="20"/>
          <w:lang w:eastAsia="ko-KR"/>
        </w:rPr>
        <w:t>£</w:t>
      </w:r>
      <w:r w:rsidR="00FE6836" w:rsidRPr="005E7A81">
        <w:rPr>
          <w:rFonts w:ascii="Arial" w:eastAsia="Batang" w:hAnsi="Arial" w:cs="Arial"/>
          <w:sz w:val="20"/>
          <w:szCs w:val="20"/>
          <w:lang w:eastAsia="ko-KR"/>
        </w:rPr>
        <w:t>8.4m</w:t>
      </w:r>
      <w:r w:rsidRPr="00FE6836">
        <w:rPr>
          <w:rFonts w:ascii="Arial" w:eastAsia="Batang" w:hAnsi="Arial" w:cs="Arial"/>
          <w:sz w:val="20"/>
          <w:szCs w:val="20"/>
          <w:lang w:eastAsia="ko-KR"/>
        </w:rPr>
        <w:t>)</w:t>
      </w:r>
      <w:r w:rsidR="00F714D8">
        <w:rPr>
          <w:rFonts w:ascii="Arial" w:eastAsia="Batang" w:hAnsi="Arial" w:cs="Arial"/>
          <w:sz w:val="20"/>
          <w:szCs w:val="20"/>
          <w:lang w:eastAsia="ko-KR"/>
        </w:rPr>
        <w:t xml:space="preserve"> comprises</w:t>
      </w:r>
      <w:r w:rsidR="00F714D8" w:rsidRPr="00F714D8">
        <w:rPr>
          <w:rFonts w:ascii="Arial" w:eastAsia="Batang" w:hAnsi="Arial" w:cs="Arial"/>
          <w:sz w:val="20"/>
          <w:szCs w:val="20"/>
          <w:lang w:eastAsia="ko-KR"/>
        </w:rPr>
        <w:t xml:space="preserve"> cash and cash equivalents of </w:t>
      </w:r>
      <w:r w:rsidR="00F714D8" w:rsidRPr="00F12FC3">
        <w:rPr>
          <w:rFonts w:ascii="Arial" w:eastAsia="Batang" w:hAnsi="Arial" w:cs="Arial"/>
          <w:sz w:val="20"/>
          <w:szCs w:val="20"/>
          <w:lang w:eastAsia="ko-KR"/>
        </w:rPr>
        <w:t>£</w:t>
      </w:r>
      <w:r w:rsidR="00AE73B8">
        <w:rPr>
          <w:rFonts w:ascii="Arial" w:eastAsia="Batang" w:hAnsi="Arial" w:cs="Arial"/>
          <w:sz w:val="20"/>
          <w:szCs w:val="20"/>
          <w:lang w:eastAsia="ko-KR"/>
        </w:rPr>
        <w:t>28.7</w:t>
      </w:r>
      <w:r w:rsidR="00F714D8" w:rsidRPr="00F12FC3">
        <w:rPr>
          <w:rFonts w:ascii="Arial" w:eastAsia="Batang" w:hAnsi="Arial" w:cs="Arial"/>
          <w:sz w:val="20"/>
          <w:szCs w:val="20"/>
          <w:lang w:eastAsia="ko-KR"/>
        </w:rPr>
        <w:t>m</w:t>
      </w:r>
      <w:r w:rsidR="00F714D8" w:rsidRPr="00F714D8">
        <w:rPr>
          <w:rFonts w:ascii="Arial" w:eastAsia="Batang" w:hAnsi="Arial" w:cs="Arial"/>
          <w:sz w:val="20"/>
          <w:szCs w:val="20"/>
          <w:lang w:eastAsia="ko-KR"/>
        </w:rPr>
        <w:t xml:space="preserve"> (</w:t>
      </w:r>
      <w:r w:rsidR="00F714D8">
        <w:rPr>
          <w:rFonts w:ascii="Arial" w:eastAsia="Batang" w:hAnsi="Arial" w:cs="Arial"/>
          <w:sz w:val="20"/>
          <w:szCs w:val="20"/>
          <w:lang w:eastAsia="ko-KR"/>
        </w:rPr>
        <w:t xml:space="preserve">31 December </w:t>
      </w:r>
      <w:r w:rsidR="00F714D8" w:rsidRPr="00F714D8">
        <w:rPr>
          <w:rFonts w:ascii="Arial" w:eastAsia="Batang" w:hAnsi="Arial" w:cs="Arial"/>
          <w:sz w:val="20"/>
          <w:szCs w:val="20"/>
          <w:lang w:eastAsia="ko-KR"/>
        </w:rPr>
        <w:t>202</w:t>
      </w:r>
      <w:r w:rsidR="00F714D8">
        <w:rPr>
          <w:rFonts w:ascii="Arial" w:eastAsia="Batang" w:hAnsi="Arial" w:cs="Arial"/>
          <w:sz w:val="20"/>
          <w:szCs w:val="20"/>
          <w:lang w:eastAsia="ko-KR"/>
        </w:rPr>
        <w:t>4</w:t>
      </w:r>
      <w:r w:rsidR="00F714D8" w:rsidRPr="00F714D8">
        <w:rPr>
          <w:rFonts w:ascii="Arial" w:eastAsia="Batang" w:hAnsi="Arial" w:cs="Arial"/>
          <w:sz w:val="20"/>
          <w:szCs w:val="20"/>
          <w:lang w:eastAsia="ko-KR"/>
        </w:rPr>
        <w:t>: £</w:t>
      </w:r>
      <w:r w:rsidR="00F714D8">
        <w:rPr>
          <w:rFonts w:ascii="Arial" w:eastAsia="Batang" w:hAnsi="Arial" w:cs="Arial"/>
          <w:sz w:val="20"/>
          <w:szCs w:val="20"/>
          <w:lang w:eastAsia="ko-KR"/>
        </w:rPr>
        <w:t>22.</w:t>
      </w:r>
      <w:r w:rsidR="00E12A93">
        <w:rPr>
          <w:rFonts w:ascii="Arial" w:eastAsia="Batang" w:hAnsi="Arial" w:cs="Arial"/>
          <w:sz w:val="20"/>
          <w:szCs w:val="20"/>
          <w:lang w:eastAsia="ko-KR"/>
        </w:rPr>
        <w:t>4</w:t>
      </w:r>
      <w:r w:rsidR="00E12A93" w:rsidRPr="00F12FC3">
        <w:rPr>
          <w:rFonts w:ascii="Arial" w:eastAsia="Batang" w:hAnsi="Arial" w:cs="Arial"/>
          <w:sz w:val="20"/>
          <w:szCs w:val="20"/>
          <w:lang w:eastAsia="ko-KR"/>
        </w:rPr>
        <w:t>m</w:t>
      </w:r>
      <w:r w:rsidR="00F714D8" w:rsidRPr="00F714D8">
        <w:rPr>
          <w:rFonts w:ascii="Arial" w:eastAsia="Batang" w:hAnsi="Arial" w:cs="Arial"/>
          <w:sz w:val="20"/>
          <w:szCs w:val="20"/>
          <w:lang w:eastAsia="ko-KR"/>
        </w:rPr>
        <w:t xml:space="preserve">) less borrowings of </w:t>
      </w:r>
      <w:r w:rsidR="00F714D8" w:rsidRPr="00F12FC3">
        <w:rPr>
          <w:rFonts w:ascii="Arial" w:eastAsia="Batang" w:hAnsi="Arial" w:cs="Arial"/>
          <w:sz w:val="20"/>
          <w:szCs w:val="20"/>
          <w:lang w:eastAsia="ko-KR"/>
        </w:rPr>
        <w:t>£</w:t>
      </w:r>
      <w:r w:rsidR="00311FCE">
        <w:rPr>
          <w:rFonts w:ascii="Arial" w:eastAsia="Batang" w:hAnsi="Arial" w:cs="Arial"/>
          <w:sz w:val="20"/>
          <w:szCs w:val="20"/>
          <w:lang w:eastAsia="ko-KR"/>
        </w:rPr>
        <w:t>45</w:t>
      </w:r>
      <w:r w:rsidR="00BB207D">
        <w:rPr>
          <w:rFonts w:ascii="Arial" w:eastAsia="Batang" w:hAnsi="Arial" w:cs="Arial"/>
          <w:sz w:val="20"/>
          <w:szCs w:val="20"/>
          <w:lang w:eastAsia="ko-KR"/>
        </w:rPr>
        <w:t>.0</w:t>
      </w:r>
      <w:r w:rsidR="00F714D8" w:rsidRPr="00F12FC3">
        <w:rPr>
          <w:rFonts w:ascii="Arial" w:eastAsia="Batang" w:hAnsi="Arial" w:cs="Arial"/>
          <w:sz w:val="20"/>
          <w:szCs w:val="20"/>
          <w:lang w:eastAsia="ko-KR"/>
        </w:rPr>
        <w:t>m</w:t>
      </w:r>
      <w:r w:rsidR="00F714D8" w:rsidRPr="00F714D8">
        <w:rPr>
          <w:rFonts w:ascii="Arial" w:eastAsia="Batang" w:hAnsi="Arial" w:cs="Arial"/>
          <w:sz w:val="20"/>
          <w:szCs w:val="20"/>
          <w:lang w:eastAsia="ko-KR"/>
        </w:rPr>
        <w:t xml:space="preserve"> (</w:t>
      </w:r>
      <w:r w:rsidR="00F714D8">
        <w:rPr>
          <w:rFonts w:ascii="Arial" w:eastAsia="Batang" w:hAnsi="Arial" w:cs="Arial"/>
          <w:sz w:val="20"/>
          <w:szCs w:val="20"/>
          <w:lang w:eastAsia="ko-KR"/>
        </w:rPr>
        <w:t xml:space="preserve">31 December </w:t>
      </w:r>
      <w:r w:rsidR="00F714D8" w:rsidRPr="00F714D8">
        <w:rPr>
          <w:rFonts w:ascii="Arial" w:eastAsia="Batang" w:hAnsi="Arial" w:cs="Arial"/>
          <w:sz w:val="20"/>
          <w:szCs w:val="20"/>
          <w:lang w:eastAsia="ko-KR"/>
        </w:rPr>
        <w:t>202</w:t>
      </w:r>
      <w:r w:rsidR="00F714D8">
        <w:rPr>
          <w:rFonts w:ascii="Arial" w:eastAsia="Batang" w:hAnsi="Arial" w:cs="Arial"/>
          <w:sz w:val="20"/>
          <w:szCs w:val="20"/>
          <w:lang w:eastAsia="ko-KR"/>
        </w:rPr>
        <w:t>4</w:t>
      </w:r>
      <w:r w:rsidR="00F714D8" w:rsidRPr="00F714D8">
        <w:rPr>
          <w:rFonts w:ascii="Arial" w:eastAsia="Batang" w:hAnsi="Arial" w:cs="Arial"/>
          <w:sz w:val="20"/>
          <w:szCs w:val="20"/>
          <w:lang w:eastAsia="ko-KR"/>
        </w:rPr>
        <w:t>: £</w:t>
      </w:r>
      <w:r w:rsidR="00F714D8">
        <w:rPr>
          <w:rFonts w:ascii="Arial" w:eastAsia="Batang" w:hAnsi="Arial" w:cs="Arial"/>
          <w:sz w:val="20"/>
          <w:szCs w:val="20"/>
          <w:lang w:eastAsia="ko-KR"/>
        </w:rPr>
        <w:t>12.0</w:t>
      </w:r>
      <w:r w:rsidR="00F714D8" w:rsidRPr="00F714D8">
        <w:rPr>
          <w:rFonts w:ascii="Arial" w:eastAsia="Batang" w:hAnsi="Arial" w:cs="Arial"/>
          <w:sz w:val="20"/>
          <w:szCs w:val="20"/>
          <w:lang w:eastAsia="ko-KR"/>
        </w:rPr>
        <w:t xml:space="preserve">m) and loan notes payable to Podium’s non-controlling interest of </w:t>
      </w:r>
      <w:r w:rsidR="00F714D8" w:rsidRPr="00F12FC3">
        <w:rPr>
          <w:rFonts w:ascii="Arial" w:eastAsia="Batang" w:hAnsi="Arial" w:cs="Arial"/>
          <w:sz w:val="20"/>
          <w:szCs w:val="20"/>
          <w:lang w:eastAsia="ko-KR"/>
        </w:rPr>
        <w:t>£</w:t>
      </w:r>
      <w:r w:rsidR="00376456">
        <w:rPr>
          <w:rFonts w:ascii="Arial" w:eastAsia="Batang" w:hAnsi="Arial" w:cs="Arial"/>
          <w:sz w:val="20"/>
          <w:szCs w:val="20"/>
          <w:lang w:eastAsia="ko-KR"/>
        </w:rPr>
        <w:t>2.1</w:t>
      </w:r>
      <w:r w:rsidR="00F714D8" w:rsidRPr="00F12FC3">
        <w:rPr>
          <w:rFonts w:ascii="Arial" w:eastAsia="Batang" w:hAnsi="Arial" w:cs="Arial"/>
          <w:sz w:val="20"/>
          <w:szCs w:val="20"/>
          <w:lang w:eastAsia="ko-KR"/>
        </w:rPr>
        <w:t>m</w:t>
      </w:r>
      <w:r w:rsidR="00F714D8" w:rsidRPr="00F714D8">
        <w:rPr>
          <w:rFonts w:ascii="Arial" w:eastAsia="Batang" w:hAnsi="Arial" w:cs="Arial"/>
          <w:sz w:val="20"/>
          <w:szCs w:val="20"/>
          <w:lang w:eastAsia="ko-KR"/>
        </w:rPr>
        <w:t xml:space="preserve"> (</w:t>
      </w:r>
      <w:r w:rsidR="00F714D8">
        <w:rPr>
          <w:rFonts w:ascii="Arial" w:eastAsia="Batang" w:hAnsi="Arial" w:cs="Arial"/>
          <w:sz w:val="20"/>
          <w:szCs w:val="20"/>
          <w:lang w:eastAsia="ko-KR"/>
        </w:rPr>
        <w:t xml:space="preserve">31 December </w:t>
      </w:r>
      <w:r w:rsidR="00F714D8" w:rsidRPr="00F714D8">
        <w:rPr>
          <w:rFonts w:ascii="Arial" w:eastAsia="Batang" w:hAnsi="Arial" w:cs="Arial"/>
          <w:sz w:val="20"/>
          <w:szCs w:val="20"/>
          <w:lang w:eastAsia="ko-KR"/>
        </w:rPr>
        <w:t>202</w:t>
      </w:r>
      <w:r w:rsidR="00F714D8">
        <w:rPr>
          <w:rFonts w:ascii="Arial" w:eastAsia="Batang" w:hAnsi="Arial" w:cs="Arial"/>
          <w:sz w:val="20"/>
          <w:szCs w:val="20"/>
          <w:lang w:eastAsia="ko-KR"/>
        </w:rPr>
        <w:t>4</w:t>
      </w:r>
      <w:r w:rsidR="00F714D8" w:rsidRPr="00F714D8">
        <w:rPr>
          <w:rFonts w:ascii="Arial" w:eastAsia="Batang" w:hAnsi="Arial" w:cs="Arial"/>
          <w:sz w:val="20"/>
          <w:szCs w:val="20"/>
          <w:lang w:eastAsia="ko-KR"/>
        </w:rPr>
        <w:t>: £</w:t>
      </w:r>
      <w:r w:rsidR="00F714D8">
        <w:rPr>
          <w:rFonts w:ascii="Arial" w:eastAsia="Batang" w:hAnsi="Arial" w:cs="Arial"/>
          <w:sz w:val="20"/>
          <w:szCs w:val="20"/>
          <w:lang w:eastAsia="ko-KR"/>
        </w:rPr>
        <w:t>2.0</w:t>
      </w:r>
      <w:r w:rsidR="00F714D8" w:rsidRPr="00F714D8">
        <w:rPr>
          <w:rFonts w:ascii="Arial" w:eastAsia="Batang" w:hAnsi="Arial" w:cs="Arial"/>
          <w:sz w:val="20"/>
          <w:szCs w:val="20"/>
          <w:lang w:eastAsia="ko-KR"/>
        </w:rPr>
        <w:t>m).</w:t>
      </w:r>
    </w:p>
    <w:p w14:paraId="54F011D2" w14:textId="77777777" w:rsidR="003A2657" w:rsidRPr="00A44138" w:rsidRDefault="003A2657"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Times New Roman"/>
          <w:color w:val="FF0000"/>
          <w:sz w:val="20"/>
          <w:szCs w:val="20"/>
          <w:lang w:eastAsia="ko-KR"/>
        </w:rPr>
      </w:pPr>
    </w:p>
    <w:p w14:paraId="7D0AB200"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cs="Arial"/>
          <w:b/>
          <w:sz w:val="20"/>
          <w:szCs w:val="20"/>
        </w:rPr>
      </w:pPr>
      <w:bookmarkStart w:id="20" w:name="_Hlk45201954"/>
      <w:r w:rsidRPr="00A44138">
        <w:rPr>
          <w:rFonts w:ascii="Arial" w:eastAsia="Batang" w:hAnsi="Arial" w:cs="Arial"/>
          <w:b/>
          <w:sz w:val="20"/>
          <w:szCs w:val="20"/>
          <w:lang w:eastAsia="ko-KR"/>
        </w:rPr>
        <w:t xml:space="preserve">Capital expenditure </w:t>
      </w:r>
    </w:p>
    <w:p w14:paraId="1E5BADF3"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hAnsi="Arial"/>
        </w:rPr>
      </w:pPr>
    </w:p>
    <w:bookmarkEnd w:id="19"/>
    <w:p w14:paraId="3E2D182C" w14:textId="25C84872" w:rsidR="00294FD1" w:rsidRPr="00A44138" w:rsidRDefault="009F3939"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C00000"/>
          <w:sz w:val="20"/>
          <w:szCs w:val="20"/>
          <w:lang w:eastAsia="ko-KR"/>
        </w:rPr>
      </w:pPr>
      <w:r w:rsidRPr="00A44138">
        <w:rPr>
          <w:rFonts w:ascii="Arial" w:eastAsia="Batang" w:hAnsi="Arial" w:cs="Arial"/>
          <w:sz w:val="20"/>
          <w:szCs w:val="20"/>
          <w:lang w:eastAsia="ko-KR"/>
        </w:rPr>
        <w:t>Technology</w:t>
      </w:r>
      <w:r w:rsidR="004E09C4" w:rsidRPr="00A44138">
        <w:rPr>
          <w:rFonts w:ascii="Arial" w:eastAsia="Batang" w:hAnsi="Arial" w:cs="Arial"/>
          <w:sz w:val="20"/>
          <w:szCs w:val="20"/>
          <w:lang w:eastAsia="ko-KR"/>
        </w:rPr>
        <w:t xml:space="preserve"> additions</w:t>
      </w:r>
      <w:r w:rsidR="00294FD1" w:rsidRPr="00A44138">
        <w:rPr>
          <w:rFonts w:ascii="Arial" w:eastAsia="Batang" w:hAnsi="Arial" w:cs="Arial"/>
          <w:sz w:val="20"/>
          <w:szCs w:val="20"/>
          <w:lang w:eastAsia="ko-KR"/>
        </w:rPr>
        <w:t xml:space="preserve"> </w:t>
      </w:r>
      <w:r w:rsidR="00444E84" w:rsidRPr="00A44138">
        <w:rPr>
          <w:rFonts w:ascii="Arial" w:eastAsia="Batang" w:hAnsi="Arial" w:cs="Arial"/>
          <w:sz w:val="20"/>
          <w:szCs w:val="20"/>
          <w:lang w:eastAsia="ko-KR"/>
        </w:rPr>
        <w:t>on</w:t>
      </w:r>
      <w:r w:rsidR="00DA5E04" w:rsidRPr="00A44138">
        <w:rPr>
          <w:rFonts w:ascii="Arial" w:eastAsia="Batang" w:hAnsi="Arial" w:cs="Arial"/>
          <w:sz w:val="20"/>
          <w:szCs w:val="20"/>
          <w:lang w:eastAsia="ko-KR"/>
        </w:rPr>
        <w:t xml:space="preserve"> </w:t>
      </w:r>
      <w:r w:rsidR="00E401F9" w:rsidRPr="00A44138">
        <w:rPr>
          <w:rFonts w:ascii="Arial" w:eastAsia="Batang" w:hAnsi="Arial" w:cs="Arial"/>
          <w:sz w:val="20"/>
          <w:szCs w:val="20"/>
          <w:lang w:eastAsia="ko-KR"/>
        </w:rPr>
        <w:t xml:space="preserve">the balance sheet </w:t>
      </w:r>
      <w:r w:rsidR="00294FD1" w:rsidRPr="00A44138">
        <w:rPr>
          <w:rFonts w:ascii="Arial" w:eastAsia="Batang" w:hAnsi="Arial" w:cs="Arial"/>
          <w:sz w:val="20"/>
          <w:szCs w:val="20"/>
          <w:lang w:eastAsia="ko-KR"/>
        </w:rPr>
        <w:t>w</w:t>
      </w:r>
      <w:r w:rsidR="006D6F20" w:rsidRPr="00A44138">
        <w:rPr>
          <w:rFonts w:ascii="Arial" w:eastAsia="Batang" w:hAnsi="Arial" w:cs="Arial"/>
          <w:sz w:val="20"/>
          <w:szCs w:val="20"/>
          <w:lang w:eastAsia="ko-KR"/>
        </w:rPr>
        <w:t>ere</w:t>
      </w:r>
      <w:r w:rsidR="00294FD1" w:rsidRPr="00A44138">
        <w:rPr>
          <w:rFonts w:ascii="Arial" w:eastAsia="Batang" w:hAnsi="Arial" w:cs="Arial"/>
          <w:sz w:val="20"/>
          <w:szCs w:val="20"/>
          <w:lang w:eastAsia="ko-KR"/>
        </w:rPr>
        <w:t xml:space="preserve"> </w:t>
      </w:r>
      <w:r w:rsidR="00294FD1" w:rsidRPr="00CC4273">
        <w:rPr>
          <w:rFonts w:ascii="Arial" w:eastAsia="Batang" w:hAnsi="Arial" w:cs="Arial"/>
          <w:sz w:val="20"/>
          <w:szCs w:val="20"/>
          <w:lang w:eastAsia="ko-KR"/>
        </w:rPr>
        <w:t>£</w:t>
      </w:r>
      <w:r w:rsidR="00BD156B" w:rsidRPr="00DA53C4">
        <w:rPr>
          <w:rFonts w:ascii="Arial" w:eastAsia="Batang" w:hAnsi="Arial" w:cs="Arial"/>
          <w:sz w:val="20"/>
          <w:szCs w:val="20"/>
          <w:lang w:eastAsia="ko-KR"/>
        </w:rPr>
        <w:t>4.0</w:t>
      </w:r>
      <w:r w:rsidR="00E85A57" w:rsidRPr="00DA53C4">
        <w:rPr>
          <w:rFonts w:ascii="Arial" w:eastAsia="Batang" w:hAnsi="Arial" w:cs="Arial"/>
          <w:sz w:val="20"/>
          <w:szCs w:val="20"/>
          <w:lang w:eastAsia="ko-KR"/>
        </w:rPr>
        <w:t>m</w:t>
      </w:r>
      <w:r w:rsidR="00294FD1" w:rsidRPr="00F12FC3">
        <w:rPr>
          <w:rFonts w:ascii="Arial" w:eastAsia="Batang" w:hAnsi="Arial" w:cs="Arial"/>
          <w:sz w:val="20"/>
          <w:szCs w:val="20"/>
          <w:lang w:eastAsia="ko-KR"/>
        </w:rPr>
        <w:t xml:space="preserve"> </w:t>
      </w:r>
      <w:r w:rsidR="00294FD1" w:rsidRPr="00A44138">
        <w:rPr>
          <w:rFonts w:ascii="Arial" w:eastAsia="Batang" w:hAnsi="Arial" w:cs="Arial"/>
          <w:sz w:val="20"/>
          <w:szCs w:val="20"/>
          <w:lang w:eastAsia="ko-KR"/>
        </w:rPr>
        <w:t>(</w:t>
      </w:r>
      <w:r w:rsidR="004E09C4" w:rsidRPr="005E7A81">
        <w:rPr>
          <w:rFonts w:ascii="Arial" w:eastAsia="Batang" w:hAnsi="Arial" w:cs="Arial"/>
          <w:sz w:val="20"/>
          <w:szCs w:val="20"/>
          <w:lang w:eastAsia="ko-KR"/>
        </w:rPr>
        <w:t>30 June 202</w:t>
      </w:r>
      <w:r w:rsidR="00A44BF6" w:rsidRPr="005E7A81">
        <w:rPr>
          <w:rFonts w:ascii="Arial" w:eastAsia="Batang" w:hAnsi="Arial" w:cs="Arial"/>
          <w:sz w:val="20"/>
          <w:szCs w:val="20"/>
          <w:lang w:eastAsia="ko-KR"/>
        </w:rPr>
        <w:t>4</w:t>
      </w:r>
      <w:r w:rsidR="00294FD1" w:rsidRPr="005E7A81">
        <w:rPr>
          <w:rFonts w:ascii="Arial" w:eastAsia="Batang" w:hAnsi="Arial" w:cs="Arial"/>
          <w:sz w:val="20"/>
          <w:szCs w:val="20"/>
          <w:lang w:eastAsia="ko-KR"/>
        </w:rPr>
        <w:t>: £</w:t>
      </w:r>
      <w:r w:rsidR="00752918" w:rsidRPr="005E7A81">
        <w:rPr>
          <w:rFonts w:ascii="Arial" w:eastAsia="Batang" w:hAnsi="Arial" w:cs="Arial"/>
          <w:sz w:val="20"/>
          <w:szCs w:val="20"/>
          <w:lang w:eastAsia="ko-KR"/>
        </w:rPr>
        <w:t>5.</w:t>
      </w:r>
      <w:r w:rsidR="00A44BF6" w:rsidRPr="005E7A81">
        <w:rPr>
          <w:rFonts w:ascii="Arial" w:eastAsia="Batang" w:hAnsi="Arial" w:cs="Arial"/>
          <w:sz w:val="20"/>
          <w:szCs w:val="20"/>
          <w:lang w:eastAsia="ko-KR"/>
        </w:rPr>
        <w:t>4</w:t>
      </w:r>
      <w:r w:rsidR="00294FD1" w:rsidRPr="005E7A81">
        <w:rPr>
          <w:rFonts w:ascii="Arial" w:eastAsia="Batang" w:hAnsi="Arial" w:cs="Arial"/>
          <w:sz w:val="20"/>
          <w:szCs w:val="20"/>
          <w:lang w:eastAsia="ko-KR"/>
        </w:rPr>
        <w:t>m</w:t>
      </w:r>
      <w:r w:rsidR="00294FD1" w:rsidRPr="00A44138">
        <w:rPr>
          <w:rFonts w:ascii="Arial" w:eastAsia="Batang" w:hAnsi="Arial" w:cs="Arial"/>
          <w:sz w:val="20"/>
          <w:szCs w:val="20"/>
          <w:lang w:eastAsia="ko-KR"/>
        </w:rPr>
        <w:t xml:space="preserve">). </w:t>
      </w:r>
    </w:p>
    <w:p w14:paraId="6305221B"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56FA42A5" w14:textId="1715BBAD" w:rsidR="00294FD1"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 xml:space="preserve">We expect the technology amortisation charge for the year to be in the region of </w:t>
      </w:r>
      <w:r w:rsidRPr="0058727F">
        <w:rPr>
          <w:rFonts w:ascii="Arial" w:eastAsia="Batang" w:hAnsi="Arial" w:cs="Arial"/>
          <w:sz w:val="20"/>
          <w:szCs w:val="20"/>
          <w:lang w:eastAsia="ko-KR"/>
        </w:rPr>
        <w:t>£</w:t>
      </w:r>
      <w:r w:rsidR="002546E8">
        <w:rPr>
          <w:rFonts w:ascii="Arial" w:eastAsia="Batang" w:hAnsi="Arial" w:cs="Arial"/>
          <w:sz w:val="20"/>
          <w:szCs w:val="20"/>
          <w:lang w:eastAsia="ko-KR"/>
        </w:rPr>
        <w:t>12</w:t>
      </w:r>
      <w:r w:rsidR="009062B1" w:rsidRPr="00A44138">
        <w:rPr>
          <w:rFonts w:ascii="Arial" w:eastAsia="Batang" w:hAnsi="Arial" w:cs="Arial"/>
          <w:sz w:val="20"/>
          <w:szCs w:val="20"/>
          <w:lang w:eastAsia="ko-KR"/>
        </w:rPr>
        <w:t>m</w:t>
      </w:r>
      <w:r w:rsidRPr="00A44138">
        <w:rPr>
          <w:rFonts w:ascii="Arial" w:eastAsia="Batang" w:hAnsi="Arial" w:cs="Arial"/>
          <w:sz w:val="20"/>
          <w:szCs w:val="20"/>
          <w:lang w:eastAsia="ko-KR"/>
        </w:rPr>
        <w:t>, excluding acquired intangibles.</w:t>
      </w:r>
      <w:bookmarkEnd w:id="20"/>
    </w:p>
    <w:p w14:paraId="666AF0FE" w14:textId="77777777" w:rsidR="001469EA" w:rsidRDefault="001469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6B62975A" w14:textId="77777777" w:rsidR="001469EA" w:rsidRPr="005E7A81" w:rsidRDefault="001469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b/>
          <w:bCs/>
          <w:sz w:val="20"/>
          <w:szCs w:val="20"/>
          <w:lang w:eastAsia="ko-KR"/>
        </w:rPr>
      </w:pPr>
      <w:r w:rsidRPr="005E7A81">
        <w:rPr>
          <w:rFonts w:ascii="Arial" w:eastAsia="Batang" w:hAnsi="Arial" w:cs="Arial"/>
          <w:b/>
          <w:bCs/>
          <w:sz w:val="20"/>
          <w:szCs w:val="20"/>
          <w:lang w:eastAsia="ko-KR"/>
        </w:rPr>
        <w:t xml:space="preserve">Capital allocation  </w:t>
      </w:r>
    </w:p>
    <w:p w14:paraId="3EF1934A" w14:textId="77777777" w:rsidR="001469EA" w:rsidRDefault="001469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p>
    <w:p w14:paraId="7A5EAFFA" w14:textId="77777777" w:rsidR="00FA6E57" w:rsidRPr="00B15251" w:rsidRDefault="001469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B15251">
        <w:rPr>
          <w:rFonts w:ascii="Arial" w:eastAsia="Batang" w:hAnsi="Arial" w:cs="Arial"/>
          <w:sz w:val="20"/>
          <w:szCs w:val="20"/>
          <w:lang w:eastAsia="ko-KR"/>
        </w:rPr>
        <w:t xml:space="preserve">MONY Group has an established and disciplined capital allocation policy, focused on the creation of long-term sustainable shareholder value, through organic and inorganic growth and shareholder returns. </w:t>
      </w:r>
    </w:p>
    <w:p w14:paraId="544E59D7" w14:textId="77777777" w:rsidR="00FA6E57" w:rsidRPr="00F12FC3" w:rsidRDefault="00FA6E57"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C00000"/>
          <w:sz w:val="20"/>
          <w:szCs w:val="20"/>
          <w:lang w:eastAsia="ko-KR"/>
        </w:rPr>
      </w:pPr>
    </w:p>
    <w:p w14:paraId="5B91E1E5" w14:textId="027FD189" w:rsidR="000D63D3" w:rsidRPr="000D63D3" w:rsidRDefault="000D63D3" w:rsidP="000D63D3">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0D63D3">
        <w:rPr>
          <w:rFonts w:ascii="Arial" w:eastAsia="Batang" w:hAnsi="Arial" w:cs="Arial"/>
          <w:sz w:val="20"/>
          <w:szCs w:val="20"/>
          <w:lang w:eastAsia="ko-KR"/>
        </w:rPr>
        <w:t>In line with this policy</w:t>
      </w:r>
      <w:r w:rsidR="00BF5A1E" w:rsidRPr="000D63D3">
        <w:rPr>
          <w:rFonts w:ascii="Arial" w:eastAsia="Batang" w:hAnsi="Arial" w:cs="Arial"/>
          <w:sz w:val="20"/>
          <w:szCs w:val="20"/>
          <w:lang w:eastAsia="ko-KR"/>
        </w:rPr>
        <w:t>,</w:t>
      </w:r>
      <w:r w:rsidRPr="000D63D3">
        <w:rPr>
          <w:rFonts w:ascii="Arial" w:eastAsia="Batang" w:hAnsi="Arial" w:cs="Arial"/>
          <w:sz w:val="20"/>
          <w:szCs w:val="20"/>
          <w:lang w:eastAsia="ko-KR"/>
        </w:rPr>
        <w:t xml:space="preserve"> we launched our £30m share buyback in February</w:t>
      </w:r>
      <w:r>
        <w:rPr>
          <w:rFonts w:ascii="Arial" w:eastAsia="Batang" w:hAnsi="Arial" w:cs="Arial"/>
          <w:sz w:val="20"/>
          <w:szCs w:val="20"/>
          <w:lang w:eastAsia="ko-KR"/>
        </w:rPr>
        <w:t xml:space="preserve"> 2025</w:t>
      </w:r>
      <w:r w:rsidRPr="000D63D3">
        <w:rPr>
          <w:rFonts w:ascii="Arial" w:eastAsia="Batang" w:hAnsi="Arial" w:cs="Arial"/>
          <w:sz w:val="20"/>
          <w:szCs w:val="20"/>
          <w:lang w:eastAsia="ko-KR"/>
        </w:rPr>
        <w:t xml:space="preserve">, which continues to progress well with </w:t>
      </w:r>
      <w:r w:rsidR="001B0682">
        <w:rPr>
          <w:rFonts w:ascii="Arial" w:eastAsia="Batang" w:hAnsi="Arial" w:cs="Arial"/>
          <w:sz w:val="20"/>
          <w:szCs w:val="20"/>
          <w:lang w:eastAsia="ko-KR"/>
        </w:rPr>
        <w:t>over</w:t>
      </w:r>
      <w:r w:rsidRPr="000D63D3">
        <w:rPr>
          <w:rFonts w:ascii="Arial" w:eastAsia="Batang" w:hAnsi="Arial" w:cs="Arial"/>
          <w:sz w:val="20"/>
          <w:szCs w:val="20"/>
          <w:lang w:eastAsia="ko-KR"/>
        </w:rPr>
        <w:t xml:space="preserve"> </w:t>
      </w:r>
      <w:r w:rsidRPr="00286794">
        <w:rPr>
          <w:rFonts w:ascii="Arial" w:eastAsia="Batang" w:hAnsi="Arial" w:cs="Arial"/>
          <w:sz w:val="20"/>
          <w:szCs w:val="20"/>
          <w:lang w:eastAsia="ko-KR"/>
        </w:rPr>
        <w:t>£</w:t>
      </w:r>
      <w:r w:rsidR="00286794" w:rsidRPr="00DA53C4">
        <w:rPr>
          <w:rFonts w:ascii="Arial" w:eastAsia="Batang" w:hAnsi="Arial" w:cs="Arial"/>
          <w:sz w:val="20"/>
          <w:szCs w:val="20"/>
          <w:lang w:eastAsia="ko-KR"/>
        </w:rPr>
        <w:t>1</w:t>
      </w:r>
      <w:r w:rsidR="00A62014">
        <w:rPr>
          <w:rFonts w:ascii="Arial" w:eastAsia="Batang" w:hAnsi="Arial" w:cs="Arial"/>
          <w:sz w:val="20"/>
          <w:szCs w:val="20"/>
          <w:lang w:eastAsia="ko-KR"/>
        </w:rPr>
        <w:t>5</w:t>
      </w:r>
      <w:r w:rsidRPr="00286794">
        <w:rPr>
          <w:rFonts w:ascii="Arial" w:eastAsia="Batang" w:hAnsi="Arial" w:cs="Arial"/>
          <w:sz w:val="20"/>
          <w:szCs w:val="20"/>
          <w:lang w:eastAsia="ko-KR"/>
        </w:rPr>
        <w:t>m</w:t>
      </w:r>
      <w:r w:rsidRPr="000D63D3">
        <w:rPr>
          <w:rFonts w:ascii="Arial" w:eastAsia="Batang" w:hAnsi="Arial" w:cs="Arial"/>
          <w:sz w:val="20"/>
          <w:szCs w:val="20"/>
          <w:lang w:eastAsia="ko-KR"/>
        </w:rPr>
        <w:t xml:space="preserve"> repurchased to date. Our robust balance sheet provides us with the capacity to pursue value accretive opportunities, alongside our ongoing share buyback.</w:t>
      </w:r>
    </w:p>
    <w:p w14:paraId="73504B8A" w14:textId="2DA626CC" w:rsidR="000D63D3" w:rsidRPr="000D63D3" w:rsidRDefault="000D63D3" w:rsidP="000D63D3">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0D63D3">
        <w:rPr>
          <w:rFonts w:ascii="Arial" w:eastAsia="Batang" w:hAnsi="Arial" w:cs="Arial"/>
          <w:sz w:val="20"/>
          <w:szCs w:val="20"/>
          <w:lang w:eastAsia="ko-KR"/>
        </w:rPr>
        <w:t>In 2025 we’ll deliver a package of shareholder returns equating to £</w:t>
      </w:r>
      <w:r w:rsidR="00690AA0">
        <w:rPr>
          <w:rFonts w:ascii="Arial" w:eastAsia="Batang" w:hAnsi="Arial" w:cs="Arial"/>
          <w:sz w:val="20"/>
          <w:szCs w:val="20"/>
          <w:lang w:eastAsia="ko-KR"/>
        </w:rPr>
        <w:t>96</w:t>
      </w:r>
      <w:r w:rsidRPr="000D63D3">
        <w:rPr>
          <w:rFonts w:ascii="Arial" w:eastAsia="Batang" w:hAnsi="Arial" w:cs="Arial"/>
          <w:sz w:val="20"/>
          <w:szCs w:val="20"/>
          <w:lang w:eastAsia="ko-KR"/>
        </w:rPr>
        <w:t xml:space="preserve">m through the share buyback combined with our progressive dividend policy, which will increase the interim dividend by 1% - building on the </w:t>
      </w:r>
      <w:r w:rsidR="00844590">
        <w:rPr>
          <w:rFonts w:ascii="Arial" w:eastAsia="Batang" w:hAnsi="Arial" w:cs="Arial"/>
          <w:sz w:val="20"/>
          <w:szCs w:val="20"/>
          <w:lang w:eastAsia="ko-KR"/>
        </w:rPr>
        <w:t>4</w:t>
      </w:r>
      <w:r w:rsidRPr="00DC2840">
        <w:rPr>
          <w:rFonts w:ascii="Arial" w:eastAsia="Batang" w:hAnsi="Arial" w:cs="Arial"/>
          <w:sz w:val="20"/>
          <w:szCs w:val="20"/>
          <w:lang w:eastAsia="ko-KR"/>
        </w:rPr>
        <w:t>%</w:t>
      </w:r>
      <w:r w:rsidRPr="000D63D3">
        <w:rPr>
          <w:rFonts w:ascii="Arial" w:eastAsia="Batang" w:hAnsi="Arial" w:cs="Arial"/>
          <w:sz w:val="20"/>
          <w:szCs w:val="20"/>
          <w:lang w:eastAsia="ko-KR"/>
        </w:rPr>
        <w:t xml:space="preserve"> </w:t>
      </w:r>
      <w:r w:rsidR="00844590">
        <w:rPr>
          <w:rFonts w:ascii="Arial" w:eastAsia="Batang" w:hAnsi="Arial" w:cs="Arial"/>
          <w:sz w:val="20"/>
          <w:szCs w:val="20"/>
          <w:lang w:eastAsia="ko-KR"/>
        </w:rPr>
        <w:t>Adjusted</w:t>
      </w:r>
      <w:r w:rsidRPr="000D63D3">
        <w:rPr>
          <w:rFonts w:ascii="Arial" w:eastAsia="Batang" w:hAnsi="Arial" w:cs="Arial"/>
          <w:sz w:val="20"/>
          <w:szCs w:val="20"/>
          <w:lang w:eastAsia="ko-KR"/>
        </w:rPr>
        <w:t xml:space="preserve"> EPS growth we have already delivered</w:t>
      </w:r>
      <w:r>
        <w:rPr>
          <w:rFonts w:ascii="Arial" w:eastAsia="Batang" w:hAnsi="Arial" w:cs="Arial"/>
          <w:sz w:val="20"/>
          <w:szCs w:val="20"/>
          <w:lang w:eastAsia="ko-KR"/>
        </w:rPr>
        <w:t>.</w:t>
      </w:r>
    </w:p>
    <w:p w14:paraId="07DE6F2D" w14:textId="77777777" w:rsidR="000D63D3" w:rsidRPr="00F12FC3" w:rsidRDefault="000D63D3"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C00000"/>
          <w:sz w:val="20"/>
          <w:szCs w:val="20"/>
          <w:lang w:eastAsia="ko-KR"/>
        </w:rPr>
      </w:pPr>
    </w:p>
    <w:p w14:paraId="36597837" w14:textId="639235FC" w:rsidR="001469EA" w:rsidRPr="00670313" w:rsidRDefault="001469EA"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eastAsia="ko-KR"/>
        </w:rPr>
      </w:pPr>
      <w:r w:rsidRPr="00670313">
        <w:rPr>
          <w:rFonts w:ascii="Arial" w:eastAsia="Batang" w:hAnsi="Arial" w:cs="Arial"/>
          <w:sz w:val="20"/>
          <w:szCs w:val="20"/>
          <w:lang w:eastAsia="ko-KR"/>
        </w:rPr>
        <w:lastRenderedPageBreak/>
        <w:t>Th</w:t>
      </w:r>
      <w:r w:rsidR="00670313" w:rsidRPr="00670313">
        <w:rPr>
          <w:rFonts w:ascii="Arial" w:eastAsia="Batang" w:hAnsi="Arial" w:cs="Arial"/>
          <w:sz w:val="20"/>
          <w:szCs w:val="20"/>
          <w:lang w:eastAsia="ko-KR"/>
        </w:rPr>
        <w:t xml:space="preserve">e package of returns we are delivering </w:t>
      </w:r>
      <w:r w:rsidRPr="00670313">
        <w:rPr>
          <w:rFonts w:ascii="Arial" w:eastAsia="Batang" w:hAnsi="Arial" w:cs="Arial"/>
          <w:sz w:val="20"/>
          <w:szCs w:val="20"/>
          <w:lang w:eastAsia="ko-KR"/>
        </w:rPr>
        <w:t>reflects our ongoing commitment to sustainable shareholder returns, in addition to investment in organic and acquisitive growth, as a path to creating long-term, sustainable shareholder value.</w:t>
      </w:r>
      <w:r w:rsidR="00670313" w:rsidRPr="00670313">
        <w:rPr>
          <w:rFonts w:ascii="Arial" w:eastAsia="Batang" w:hAnsi="Arial" w:cs="Arial"/>
          <w:sz w:val="20"/>
          <w:szCs w:val="20"/>
          <w:lang w:eastAsia="ko-KR"/>
        </w:rPr>
        <w:t xml:space="preserve"> </w:t>
      </w:r>
    </w:p>
    <w:p w14:paraId="59DB8FCD"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FF0000"/>
          <w:sz w:val="20"/>
          <w:szCs w:val="20"/>
          <w:lang w:eastAsia="ko-KR"/>
        </w:rPr>
      </w:pPr>
    </w:p>
    <w:p w14:paraId="57289FD6" w14:textId="77777777" w:rsidR="00294FD1" w:rsidRPr="00A44138" w:rsidRDefault="00294FD1" w:rsidP="00D57597">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b/>
          <w:sz w:val="20"/>
          <w:szCs w:val="20"/>
          <w:lang w:eastAsia="ko-KR"/>
        </w:rPr>
      </w:pPr>
      <w:r w:rsidRPr="00A44138">
        <w:rPr>
          <w:rFonts w:ascii="Arial" w:eastAsia="Batang" w:hAnsi="Arial" w:cs="Arial"/>
          <w:b/>
          <w:sz w:val="20"/>
          <w:szCs w:val="20"/>
          <w:lang w:eastAsia="ko-KR"/>
        </w:rPr>
        <w:t>Directors’ responsibility statement in respect of the half-yearly financial report</w:t>
      </w:r>
    </w:p>
    <w:p w14:paraId="16121685" w14:textId="77777777" w:rsidR="00294FD1" w:rsidRPr="00A44138" w:rsidRDefault="00294FD1" w:rsidP="00294FD1">
      <w:pPr>
        <w:pStyle w:val="ParaIMS"/>
        <w:jc w:val="both"/>
        <w:rPr>
          <w:rFonts w:ascii="Arial" w:hAnsi="Arial" w:cs="Arial"/>
        </w:rPr>
      </w:pPr>
      <w:r w:rsidRPr="00A44138">
        <w:rPr>
          <w:rFonts w:ascii="Arial" w:hAnsi="Arial" w:cs="Arial"/>
        </w:rPr>
        <w:t xml:space="preserve">Each of the directors, whose names and functions are listed below, confirms that, to the best of his or her knowledge: </w:t>
      </w:r>
    </w:p>
    <w:p w14:paraId="331FB5FB" w14:textId="77777777" w:rsidR="00294FD1" w:rsidRPr="00A44138" w:rsidRDefault="00294FD1" w:rsidP="003C4F46">
      <w:pPr>
        <w:pStyle w:val="ParaIMS"/>
        <w:numPr>
          <w:ilvl w:val="0"/>
          <w:numId w:val="4"/>
        </w:numPr>
        <w:jc w:val="both"/>
        <w:rPr>
          <w:rFonts w:ascii="Arial" w:hAnsi="Arial" w:cs="Arial"/>
        </w:rPr>
      </w:pPr>
      <w:r w:rsidRPr="00A44138">
        <w:rPr>
          <w:rFonts w:ascii="Arial" w:hAnsi="Arial" w:cs="Arial"/>
        </w:rPr>
        <w:t>the condensed set of financial statements has been prepared in accordance with IAS 34 Interim Financial Reporting as adopted for use in the UK;</w:t>
      </w:r>
    </w:p>
    <w:p w14:paraId="62953DF1" w14:textId="77777777" w:rsidR="00294FD1" w:rsidRPr="00A44138" w:rsidRDefault="00294FD1" w:rsidP="003C4F46">
      <w:pPr>
        <w:pStyle w:val="ParaIMS"/>
        <w:numPr>
          <w:ilvl w:val="0"/>
          <w:numId w:val="4"/>
        </w:numPr>
        <w:jc w:val="both"/>
        <w:rPr>
          <w:rFonts w:ascii="Arial" w:hAnsi="Arial" w:cs="Arial"/>
        </w:rPr>
      </w:pPr>
      <w:r w:rsidRPr="00A44138">
        <w:rPr>
          <w:rFonts w:ascii="Arial" w:hAnsi="Arial" w:cs="Arial"/>
        </w:rPr>
        <w:t>the interim management report includes a fair review of the information required by:</w:t>
      </w:r>
    </w:p>
    <w:p w14:paraId="127625A3" w14:textId="77777777" w:rsidR="00294FD1" w:rsidRPr="00A44138" w:rsidRDefault="00294FD1" w:rsidP="00294FD1">
      <w:pPr>
        <w:pStyle w:val="ParaIMS"/>
        <w:ind w:left="720"/>
        <w:jc w:val="both"/>
        <w:rPr>
          <w:rFonts w:ascii="Arial" w:hAnsi="Arial" w:cs="Arial"/>
        </w:rPr>
      </w:pPr>
      <w:r w:rsidRPr="00A44138">
        <w:rPr>
          <w:rFonts w:ascii="Arial" w:hAnsi="Arial" w:cs="Arial"/>
        </w:rPr>
        <w:t>(a) DTR 4.2.7R of the Disclosure Guidance and Transparency Rules, being an indication of important events that have occurred during the first six months of the financial year and their impact on the condensed set of financial statements; and a description of the principal risks and uncertainties for the remaining six months of the year; and</w:t>
      </w:r>
    </w:p>
    <w:p w14:paraId="4EF6B5AC" w14:textId="77777777" w:rsidR="00294FD1" w:rsidRPr="00A44138" w:rsidRDefault="00294FD1" w:rsidP="00294FD1">
      <w:pPr>
        <w:pStyle w:val="ParaIMS"/>
        <w:ind w:left="720"/>
        <w:jc w:val="both"/>
        <w:rPr>
          <w:rFonts w:ascii="Arial" w:hAnsi="Arial" w:cs="Arial"/>
        </w:rPr>
      </w:pPr>
      <w:r w:rsidRPr="00A44138">
        <w:rPr>
          <w:rFonts w:ascii="Arial" w:hAnsi="Arial" w:cs="Arial"/>
        </w:rPr>
        <w:t>(b) DTR 4.2.8R of the Disclosure Guidance and Transparency Rules, being related party transactions that have taken place in the first six months of the current financial year and that have materially affected the financial position or performance of the Group during that period; and any changes in the related party transactions described in the last annual report that could do so.</w:t>
      </w:r>
    </w:p>
    <w:p w14:paraId="505AC3BC" w14:textId="77777777" w:rsidR="00294FD1" w:rsidRPr="00A44138" w:rsidRDefault="00294FD1" w:rsidP="00294FD1">
      <w:pPr>
        <w:pStyle w:val="ParaIMS"/>
        <w:rPr>
          <w:rFonts w:ascii="Arial" w:hAnsi="Arial" w:cs="Arial"/>
        </w:rPr>
      </w:pPr>
    </w:p>
    <w:tbl>
      <w:tblPr>
        <w:tblStyle w:val="TableGrid"/>
        <w:tblW w:w="8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90"/>
        <w:gridCol w:w="5861"/>
      </w:tblGrid>
      <w:tr w:rsidR="00FF39B7" w:rsidRPr="00A44138" w14:paraId="686FAD08" w14:textId="77777777" w:rsidTr="00DE3335">
        <w:trPr>
          <w:trHeight w:val="21"/>
        </w:trPr>
        <w:tc>
          <w:tcPr>
            <w:tcW w:w="0" w:type="auto"/>
            <w:vAlign w:val="center"/>
          </w:tcPr>
          <w:p w14:paraId="4513EBBF" w14:textId="77777777" w:rsidR="00294FD1" w:rsidRPr="00A44138" w:rsidRDefault="00294FD1">
            <w:pPr>
              <w:pStyle w:val="ParaIMS"/>
              <w:spacing w:before="0"/>
              <w:rPr>
                <w:rFonts w:ascii="Arial" w:hAnsi="Arial" w:cs="Arial"/>
                <w:b/>
              </w:rPr>
            </w:pPr>
            <w:r w:rsidRPr="00A44138">
              <w:rPr>
                <w:rFonts w:ascii="Arial" w:hAnsi="Arial" w:cs="Arial"/>
                <w:b/>
              </w:rPr>
              <w:t>Name</w:t>
            </w:r>
          </w:p>
        </w:tc>
        <w:tc>
          <w:tcPr>
            <w:tcW w:w="0" w:type="auto"/>
            <w:vAlign w:val="center"/>
          </w:tcPr>
          <w:p w14:paraId="2847E02B" w14:textId="77777777" w:rsidR="00294FD1" w:rsidRPr="00A44138" w:rsidRDefault="00294FD1">
            <w:pPr>
              <w:pStyle w:val="ParaIMS"/>
              <w:spacing w:before="0"/>
              <w:rPr>
                <w:rFonts w:ascii="Arial" w:hAnsi="Arial" w:cs="Arial"/>
                <w:b/>
              </w:rPr>
            </w:pPr>
            <w:r w:rsidRPr="00A44138">
              <w:rPr>
                <w:rFonts w:ascii="Arial" w:hAnsi="Arial" w:cs="Arial"/>
                <w:b/>
              </w:rPr>
              <w:t>Function</w:t>
            </w:r>
          </w:p>
        </w:tc>
      </w:tr>
      <w:tr w:rsidR="00FF39B7" w:rsidRPr="00A44138" w14:paraId="3DD4592A" w14:textId="77777777" w:rsidTr="00DE3335">
        <w:trPr>
          <w:trHeight w:val="21"/>
        </w:trPr>
        <w:tc>
          <w:tcPr>
            <w:tcW w:w="0" w:type="auto"/>
            <w:vAlign w:val="center"/>
          </w:tcPr>
          <w:p w14:paraId="1F4DFCD3" w14:textId="764D4578" w:rsidR="00294FD1" w:rsidRPr="00A44138" w:rsidRDefault="00C7415A">
            <w:pPr>
              <w:pStyle w:val="ParaIMS"/>
              <w:spacing w:before="0"/>
              <w:rPr>
                <w:rFonts w:ascii="Arial" w:hAnsi="Arial" w:cs="Arial"/>
                <w:b/>
              </w:rPr>
            </w:pPr>
            <w:r>
              <w:rPr>
                <w:rFonts w:ascii="Arial" w:hAnsi="Arial" w:cs="Arial"/>
              </w:rPr>
              <w:t>Jonathan Bewes</w:t>
            </w:r>
          </w:p>
        </w:tc>
        <w:tc>
          <w:tcPr>
            <w:tcW w:w="0" w:type="auto"/>
            <w:vAlign w:val="center"/>
          </w:tcPr>
          <w:p w14:paraId="0DE8FA3B" w14:textId="77777777" w:rsidR="00294FD1" w:rsidRPr="00A44138" w:rsidRDefault="00294FD1">
            <w:pPr>
              <w:pStyle w:val="ParaIMS"/>
              <w:spacing w:before="0"/>
              <w:rPr>
                <w:rFonts w:ascii="Arial" w:hAnsi="Arial" w:cs="Arial"/>
              </w:rPr>
            </w:pPr>
            <w:r w:rsidRPr="00A44138">
              <w:rPr>
                <w:rFonts w:ascii="Arial" w:hAnsi="Arial" w:cs="Arial"/>
              </w:rPr>
              <w:t>Chair</w:t>
            </w:r>
          </w:p>
        </w:tc>
      </w:tr>
      <w:tr w:rsidR="00FF39B7" w:rsidRPr="00A44138" w14:paraId="4F0C6A03" w14:textId="77777777" w:rsidTr="00DE3335">
        <w:trPr>
          <w:trHeight w:val="21"/>
        </w:trPr>
        <w:tc>
          <w:tcPr>
            <w:tcW w:w="0" w:type="auto"/>
            <w:vAlign w:val="center"/>
          </w:tcPr>
          <w:p w14:paraId="166D6EC9" w14:textId="77777777" w:rsidR="00294FD1" w:rsidRPr="00A44138" w:rsidRDefault="00294FD1">
            <w:pPr>
              <w:pStyle w:val="ParaIMS"/>
              <w:spacing w:before="0"/>
              <w:rPr>
                <w:rFonts w:ascii="Arial" w:hAnsi="Arial" w:cs="Arial"/>
              </w:rPr>
            </w:pPr>
            <w:r w:rsidRPr="00A44138">
              <w:rPr>
                <w:rFonts w:ascii="Arial" w:hAnsi="Arial" w:cs="Arial"/>
              </w:rPr>
              <w:t>Peter Duffy</w:t>
            </w:r>
          </w:p>
        </w:tc>
        <w:tc>
          <w:tcPr>
            <w:tcW w:w="0" w:type="auto"/>
            <w:vAlign w:val="center"/>
          </w:tcPr>
          <w:p w14:paraId="7F3FD647" w14:textId="77777777" w:rsidR="00294FD1" w:rsidRPr="00A44138" w:rsidRDefault="00294FD1">
            <w:pPr>
              <w:pStyle w:val="ParaIMS"/>
              <w:spacing w:before="0"/>
              <w:rPr>
                <w:rFonts w:ascii="Arial" w:hAnsi="Arial" w:cs="Arial"/>
              </w:rPr>
            </w:pPr>
            <w:r w:rsidRPr="00A44138">
              <w:rPr>
                <w:rFonts w:ascii="Arial" w:hAnsi="Arial" w:cs="Arial"/>
              </w:rPr>
              <w:t>Chief Executive Officer</w:t>
            </w:r>
          </w:p>
        </w:tc>
      </w:tr>
      <w:tr w:rsidR="00FF39B7" w:rsidRPr="00A44138" w14:paraId="0499B710" w14:textId="77777777" w:rsidTr="00DE3335">
        <w:trPr>
          <w:trHeight w:val="21"/>
        </w:trPr>
        <w:tc>
          <w:tcPr>
            <w:tcW w:w="0" w:type="auto"/>
            <w:vAlign w:val="center"/>
          </w:tcPr>
          <w:p w14:paraId="2A4BD79F" w14:textId="77777777" w:rsidR="00294FD1" w:rsidRPr="00A44138" w:rsidRDefault="00294FD1">
            <w:pPr>
              <w:pStyle w:val="ParaIMS"/>
              <w:spacing w:before="0"/>
              <w:rPr>
                <w:rFonts w:ascii="Arial" w:hAnsi="Arial" w:cs="Arial"/>
              </w:rPr>
            </w:pPr>
            <w:r w:rsidRPr="00A44138">
              <w:rPr>
                <w:rFonts w:ascii="Arial" w:hAnsi="Arial" w:cs="Arial"/>
              </w:rPr>
              <w:t>Niall McBride</w:t>
            </w:r>
          </w:p>
        </w:tc>
        <w:tc>
          <w:tcPr>
            <w:tcW w:w="0" w:type="auto"/>
            <w:vAlign w:val="center"/>
          </w:tcPr>
          <w:p w14:paraId="3A9BC322" w14:textId="77777777" w:rsidR="00294FD1" w:rsidRPr="00A44138" w:rsidRDefault="00294FD1">
            <w:pPr>
              <w:pStyle w:val="ParaIMS"/>
              <w:spacing w:before="0"/>
              <w:rPr>
                <w:rFonts w:ascii="Arial" w:hAnsi="Arial" w:cs="Arial"/>
              </w:rPr>
            </w:pPr>
            <w:r w:rsidRPr="00A44138">
              <w:rPr>
                <w:rFonts w:ascii="Arial" w:hAnsi="Arial" w:cs="Arial"/>
              </w:rPr>
              <w:t>Chief Financial Officer</w:t>
            </w:r>
          </w:p>
        </w:tc>
      </w:tr>
      <w:tr w:rsidR="00FF39B7" w:rsidRPr="00A44138" w14:paraId="139BA07E" w14:textId="77777777" w:rsidTr="00DE3335">
        <w:trPr>
          <w:trHeight w:val="21"/>
        </w:trPr>
        <w:tc>
          <w:tcPr>
            <w:tcW w:w="0" w:type="auto"/>
            <w:vAlign w:val="center"/>
          </w:tcPr>
          <w:p w14:paraId="18108DC6" w14:textId="77777777" w:rsidR="00294FD1" w:rsidRPr="00A44138" w:rsidRDefault="00294FD1">
            <w:pPr>
              <w:pStyle w:val="ParaIMS"/>
              <w:spacing w:before="0"/>
              <w:rPr>
                <w:rFonts w:ascii="Arial" w:hAnsi="Arial" w:cs="Arial"/>
              </w:rPr>
            </w:pPr>
            <w:r w:rsidRPr="00A44138">
              <w:rPr>
                <w:rFonts w:ascii="Arial" w:hAnsi="Arial" w:cs="Arial"/>
              </w:rPr>
              <w:t>Caroline Britton</w:t>
            </w:r>
          </w:p>
        </w:tc>
        <w:tc>
          <w:tcPr>
            <w:tcW w:w="0" w:type="auto"/>
            <w:vAlign w:val="center"/>
          </w:tcPr>
          <w:p w14:paraId="4E1B97CE" w14:textId="77777777" w:rsidR="00294FD1" w:rsidRPr="00A44138" w:rsidRDefault="00294FD1">
            <w:pPr>
              <w:pStyle w:val="ParaIMS"/>
              <w:spacing w:before="0"/>
              <w:rPr>
                <w:rFonts w:ascii="Arial" w:hAnsi="Arial" w:cs="Arial"/>
              </w:rPr>
            </w:pPr>
            <w:r w:rsidRPr="00A44138">
              <w:rPr>
                <w:rFonts w:ascii="Arial" w:hAnsi="Arial" w:cs="Arial"/>
              </w:rPr>
              <w:t>Senior Independent Non-Executive Director</w:t>
            </w:r>
          </w:p>
        </w:tc>
      </w:tr>
      <w:tr w:rsidR="00FF39B7" w:rsidRPr="00A44138" w14:paraId="4B26D8A7" w14:textId="77777777" w:rsidTr="00DE3335">
        <w:trPr>
          <w:trHeight w:val="92"/>
        </w:trPr>
        <w:tc>
          <w:tcPr>
            <w:tcW w:w="0" w:type="auto"/>
            <w:vAlign w:val="center"/>
          </w:tcPr>
          <w:p w14:paraId="5468AF67" w14:textId="77777777" w:rsidR="00294FD1" w:rsidRPr="00A44138" w:rsidRDefault="00294FD1">
            <w:pPr>
              <w:pStyle w:val="ParaIMS"/>
              <w:spacing w:before="0"/>
              <w:rPr>
                <w:rFonts w:ascii="Arial" w:hAnsi="Arial" w:cs="Arial"/>
              </w:rPr>
            </w:pPr>
            <w:r w:rsidRPr="00A44138">
              <w:rPr>
                <w:rFonts w:ascii="Arial" w:hAnsi="Arial" w:cs="Arial"/>
              </w:rPr>
              <w:t>Sarah Warby</w:t>
            </w:r>
          </w:p>
        </w:tc>
        <w:tc>
          <w:tcPr>
            <w:tcW w:w="0" w:type="auto"/>
            <w:vAlign w:val="center"/>
          </w:tcPr>
          <w:p w14:paraId="4F1DF402" w14:textId="77777777" w:rsidR="00294FD1" w:rsidRPr="00A44138" w:rsidRDefault="00294FD1">
            <w:pPr>
              <w:pStyle w:val="ParaIMS"/>
              <w:spacing w:before="0"/>
              <w:rPr>
                <w:rFonts w:ascii="Arial" w:hAnsi="Arial" w:cs="Arial"/>
              </w:rPr>
            </w:pPr>
            <w:r w:rsidRPr="00A44138">
              <w:rPr>
                <w:rFonts w:ascii="Arial" w:hAnsi="Arial" w:cs="Arial"/>
              </w:rPr>
              <w:t>Independent Non-Executive Director</w:t>
            </w:r>
          </w:p>
        </w:tc>
      </w:tr>
      <w:tr w:rsidR="00FF39B7" w:rsidRPr="00A44138" w14:paraId="49BE5E8D" w14:textId="77777777" w:rsidTr="00DE3335">
        <w:trPr>
          <w:trHeight w:val="92"/>
        </w:trPr>
        <w:tc>
          <w:tcPr>
            <w:tcW w:w="0" w:type="auto"/>
            <w:vAlign w:val="center"/>
          </w:tcPr>
          <w:p w14:paraId="2C525609" w14:textId="77777777" w:rsidR="00294FD1" w:rsidRPr="00A44138" w:rsidRDefault="00294FD1">
            <w:pPr>
              <w:pStyle w:val="ParaIMS"/>
              <w:spacing w:before="0"/>
              <w:rPr>
                <w:rFonts w:ascii="Arial" w:hAnsi="Arial" w:cs="Arial"/>
              </w:rPr>
            </w:pPr>
            <w:r w:rsidRPr="00A44138">
              <w:rPr>
                <w:rFonts w:ascii="Arial" w:hAnsi="Arial" w:cs="Arial"/>
              </w:rPr>
              <w:t>Lesley Jones</w:t>
            </w:r>
          </w:p>
        </w:tc>
        <w:tc>
          <w:tcPr>
            <w:tcW w:w="0" w:type="auto"/>
            <w:vAlign w:val="center"/>
          </w:tcPr>
          <w:p w14:paraId="6DBB692A" w14:textId="77777777" w:rsidR="00294FD1" w:rsidRPr="00A44138" w:rsidRDefault="00294FD1">
            <w:pPr>
              <w:pStyle w:val="ParaIMS"/>
              <w:spacing w:before="0"/>
              <w:rPr>
                <w:rFonts w:ascii="Arial" w:hAnsi="Arial" w:cs="Arial"/>
              </w:rPr>
            </w:pPr>
            <w:r w:rsidRPr="00A44138">
              <w:rPr>
                <w:rFonts w:ascii="Arial" w:hAnsi="Arial" w:cs="Arial"/>
              </w:rPr>
              <w:t>Independent Non-Executive Director</w:t>
            </w:r>
          </w:p>
        </w:tc>
      </w:tr>
      <w:tr w:rsidR="00FF39B7" w:rsidRPr="00A44138" w14:paraId="33C4BD72" w14:textId="77777777" w:rsidTr="00DE3335">
        <w:trPr>
          <w:trHeight w:val="92"/>
        </w:trPr>
        <w:tc>
          <w:tcPr>
            <w:tcW w:w="0" w:type="auto"/>
            <w:vAlign w:val="center"/>
          </w:tcPr>
          <w:p w14:paraId="273E2F73" w14:textId="77777777" w:rsidR="00294FD1" w:rsidRPr="00A44138" w:rsidRDefault="00294FD1">
            <w:pPr>
              <w:pStyle w:val="ParaIMS"/>
              <w:spacing w:before="0"/>
              <w:rPr>
                <w:rFonts w:ascii="Arial" w:hAnsi="Arial" w:cs="Arial"/>
              </w:rPr>
            </w:pPr>
            <w:r w:rsidRPr="00A44138">
              <w:rPr>
                <w:rFonts w:ascii="Arial" w:hAnsi="Arial" w:cs="Arial"/>
              </w:rPr>
              <w:t>Rakesh Sharma</w:t>
            </w:r>
          </w:p>
        </w:tc>
        <w:tc>
          <w:tcPr>
            <w:tcW w:w="0" w:type="auto"/>
            <w:vAlign w:val="center"/>
          </w:tcPr>
          <w:p w14:paraId="17AF1BA8" w14:textId="77777777" w:rsidR="00294FD1" w:rsidRPr="00A44138" w:rsidRDefault="00294FD1">
            <w:pPr>
              <w:pStyle w:val="ParaIMS"/>
              <w:spacing w:before="0"/>
              <w:rPr>
                <w:rFonts w:ascii="Arial" w:hAnsi="Arial" w:cs="Arial"/>
              </w:rPr>
            </w:pPr>
            <w:r w:rsidRPr="00A44138">
              <w:rPr>
                <w:rFonts w:ascii="Arial" w:hAnsi="Arial" w:cs="Arial"/>
              </w:rPr>
              <w:t>Independent Non-Executive Director</w:t>
            </w:r>
          </w:p>
        </w:tc>
      </w:tr>
      <w:tr w:rsidR="00FF39B7" w:rsidRPr="00A44138" w14:paraId="27BA7EDB" w14:textId="77777777" w:rsidTr="00DE3335">
        <w:trPr>
          <w:trHeight w:val="92"/>
        </w:trPr>
        <w:tc>
          <w:tcPr>
            <w:tcW w:w="0" w:type="auto"/>
            <w:vAlign w:val="center"/>
          </w:tcPr>
          <w:p w14:paraId="1DA487D9" w14:textId="77777777" w:rsidR="00294FD1" w:rsidRPr="00A44138" w:rsidRDefault="00294FD1">
            <w:pPr>
              <w:pStyle w:val="ParaIMS"/>
              <w:spacing w:before="0"/>
              <w:rPr>
                <w:rFonts w:ascii="Arial" w:hAnsi="Arial" w:cs="Arial"/>
              </w:rPr>
            </w:pPr>
            <w:r w:rsidRPr="00A44138">
              <w:rPr>
                <w:rFonts w:ascii="Arial" w:hAnsi="Arial" w:cs="Arial"/>
              </w:rPr>
              <w:t>Mary Beth Christie</w:t>
            </w:r>
          </w:p>
        </w:tc>
        <w:tc>
          <w:tcPr>
            <w:tcW w:w="0" w:type="auto"/>
            <w:vAlign w:val="center"/>
          </w:tcPr>
          <w:p w14:paraId="4BFC439B" w14:textId="3AAFCC60" w:rsidR="00294FD1" w:rsidRPr="00A44138" w:rsidRDefault="00294FD1">
            <w:pPr>
              <w:pStyle w:val="ParaIMS"/>
              <w:spacing w:before="0"/>
              <w:rPr>
                <w:rFonts w:ascii="Arial" w:hAnsi="Arial" w:cs="Arial"/>
              </w:rPr>
            </w:pPr>
            <w:r w:rsidRPr="00A44138">
              <w:rPr>
                <w:rFonts w:ascii="Arial" w:hAnsi="Arial" w:cs="Arial"/>
              </w:rPr>
              <w:t>Independent Non-Executive Director</w:t>
            </w:r>
          </w:p>
        </w:tc>
      </w:tr>
    </w:tbl>
    <w:p w14:paraId="38A16077"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rPr>
          <w:rFonts w:ascii="Arial" w:eastAsia="Batang" w:hAnsi="Arial" w:cs="Arial"/>
          <w:sz w:val="20"/>
          <w:szCs w:val="20"/>
          <w:lang w:eastAsia="ko-KR"/>
        </w:rPr>
      </w:pPr>
      <w:r w:rsidRPr="00A44138">
        <w:rPr>
          <w:rFonts w:ascii="Arial" w:eastAsia="Batang" w:hAnsi="Arial" w:cs="Arial"/>
          <w:b/>
          <w:sz w:val="26"/>
          <w:szCs w:val="20"/>
        </w:rPr>
        <w:br w:type="page"/>
      </w:r>
    </w:p>
    <w:p w14:paraId="21FE84F5" w14:textId="77777777" w:rsidR="00294FD1" w:rsidRPr="00A44138" w:rsidRDefault="00294FD1" w:rsidP="00294FD1">
      <w:pPr>
        <w:spacing w:after="0" w:line="240" w:lineRule="auto"/>
        <w:rPr>
          <w:rFonts w:ascii="Arial" w:eastAsia="Batang" w:hAnsi="Arial" w:cs="Arial"/>
          <w:b/>
          <w:sz w:val="26"/>
          <w:szCs w:val="20"/>
        </w:rPr>
      </w:pPr>
      <w:r w:rsidRPr="00A44138">
        <w:rPr>
          <w:rFonts w:ascii="Arial" w:eastAsia="Batang" w:hAnsi="Arial" w:cs="Arial"/>
          <w:b/>
          <w:sz w:val="26"/>
          <w:szCs w:val="20"/>
        </w:rPr>
        <w:lastRenderedPageBreak/>
        <w:t>Consolidated statement of comprehensive income</w:t>
      </w:r>
    </w:p>
    <w:p w14:paraId="3C3F68AC" w14:textId="6AC0EDD0" w:rsidR="00294FD1" w:rsidRPr="00A44138" w:rsidRDefault="00294FD1" w:rsidP="00294FD1">
      <w:pPr>
        <w:widowControl w:val="0"/>
        <w:suppressAutoHyphens/>
        <w:overflowPunct w:val="0"/>
        <w:autoSpaceDE w:val="0"/>
        <w:autoSpaceDN w:val="0"/>
        <w:adjustRightInd w:val="0"/>
        <w:textAlignment w:val="baseline"/>
        <w:rPr>
          <w:rFonts w:ascii="Arial" w:eastAsia="Batang" w:hAnsi="Arial" w:cs="Arial"/>
          <w:i/>
          <w:sz w:val="20"/>
          <w:szCs w:val="20"/>
          <w:lang w:val="en-US"/>
        </w:rPr>
      </w:pPr>
      <w:r w:rsidRPr="00A44138">
        <w:rPr>
          <w:rFonts w:ascii="Arial" w:eastAsia="Batang" w:hAnsi="Arial" w:cs="Arial"/>
          <w:i/>
          <w:sz w:val="20"/>
          <w:szCs w:val="20"/>
          <w:lang w:val="en-US"/>
        </w:rPr>
        <w:t xml:space="preserve">for </w:t>
      </w:r>
      <w:r w:rsidRPr="00A44138">
        <w:rPr>
          <w:rFonts w:ascii="Arial" w:eastAsia="Batang" w:hAnsi="Arial" w:cs="Arial"/>
          <w:i/>
          <w:sz w:val="20"/>
          <w:szCs w:val="20"/>
        </w:rPr>
        <w:t>the six months ended 30 June 202</w:t>
      </w:r>
      <w:r w:rsidR="00A44BF6">
        <w:rPr>
          <w:rFonts w:ascii="Arial" w:eastAsia="Batang" w:hAnsi="Arial" w:cs="Arial"/>
          <w:i/>
          <w:sz w:val="20"/>
          <w:szCs w:val="20"/>
        </w:rPr>
        <w:t>5</w:t>
      </w:r>
      <w:r w:rsidRPr="00A44138">
        <w:rPr>
          <w:rFonts w:ascii="Arial" w:eastAsia="Batang" w:hAnsi="Arial" w:cs="Arial"/>
          <w:i/>
          <w:sz w:val="20"/>
          <w:szCs w:val="20"/>
        </w:rPr>
        <w:t xml:space="preserve"> and 30 June 202</w:t>
      </w:r>
      <w:r w:rsidR="00A44BF6">
        <w:rPr>
          <w:rFonts w:ascii="Arial" w:eastAsia="Batang" w:hAnsi="Arial" w:cs="Arial"/>
          <w:i/>
          <w:sz w:val="20"/>
          <w:szCs w:val="20"/>
        </w:rPr>
        <w:t>4</w:t>
      </w:r>
    </w:p>
    <w:tbl>
      <w:tblPr>
        <w:tblW w:w="9359" w:type="dxa"/>
        <w:tblLayout w:type="fixed"/>
        <w:tblCellMar>
          <w:left w:w="0" w:type="dxa"/>
        </w:tblCellMar>
        <w:tblLook w:val="0000" w:firstRow="0" w:lastRow="0" w:firstColumn="0" w:lastColumn="0" w:noHBand="0" w:noVBand="0"/>
      </w:tblPr>
      <w:tblGrid>
        <w:gridCol w:w="4045"/>
        <w:gridCol w:w="633"/>
        <w:gridCol w:w="868"/>
        <w:gridCol w:w="266"/>
        <w:gridCol w:w="284"/>
        <w:gridCol w:w="283"/>
        <w:gridCol w:w="142"/>
        <w:gridCol w:w="1276"/>
        <w:gridCol w:w="195"/>
        <w:gridCol w:w="1367"/>
      </w:tblGrid>
      <w:tr w:rsidR="00294FD1" w:rsidRPr="00A44138" w14:paraId="2A1EC00A" w14:textId="77777777" w:rsidTr="00DE3335">
        <w:tc>
          <w:tcPr>
            <w:tcW w:w="4045" w:type="dxa"/>
          </w:tcPr>
          <w:p w14:paraId="679F54C4"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1501" w:type="dxa"/>
            <w:gridSpan w:val="2"/>
          </w:tcPr>
          <w:p w14:paraId="6683CB94"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right="142"/>
              <w:jc w:val="right"/>
              <w:rPr>
                <w:rFonts w:ascii="Arial" w:hAnsi="Arial"/>
                <w:i/>
                <w:sz w:val="18"/>
              </w:rPr>
            </w:pPr>
          </w:p>
        </w:tc>
        <w:tc>
          <w:tcPr>
            <w:tcW w:w="266" w:type="dxa"/>
          </w:tcPr>
          <w:p w14:paraId="6925C794"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hAnsi="Arial"/>
                <w:b/>
                <w:sz w:val="18"/>
              </w:rPr>
            </w:pPr>
          </w:p>
        </w:tc>
        <w:tc>
          <w:tcPr>
            <w:tcW w:w="709" w:type="dxa"/>
            <w:gridSpan w:val="3"/>
          </w:tcPr>
          <w:p w14:paraId="6966584C"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ind w:left="-284"/>
              <w:rPr>
                <w:rFonts w:ascii="Arial" w:hAnsi="Arial"/>
                <w:b/>
                <w:sz w:val="18"/>
              </w:rPr>
            </w:pPr>
          </w:p>
        </w:tc>
        <w:tc>
          <w:tcPr>
            <w:tcW w:w="1471" w:type="dxa"/>
            <w:gridSpan w:val="2"/>
          </w:tcPr>
          <w:p w14:paraId="16564C28"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rPr>
                <w:rFonts w:ascii="Arial" w:hAnsi="Arial"/>
                <w:b/>
                <w:sz w:val="18"/>
              </w:rPr>
            </w:pPr>
          </w:p>
        </w:tc>
        <w:tc>
          <w:tcPr>
            <w:tcW w:w="1367" w:type="dxa"/>
          </w:tcPr>
          <w:p w14:paraId="07B44744"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center"/>
              <w:rPr>
                <w:rFonts w:ascii="Arial" w:hAnsi="Arial"/>
                <w:sz w:val="18"/>
              </w:rPr>
            </w:pPr>
          </w:p>
        </w:tc>
      </w:tr>
      <w:tr w:rsidR="00294FD1" w:rsidRPr="00A44138" w14:paraId="418F487D" w14:textId="77777777" w:rsidTr="00DE3335">
        <w:tc>
          <w:tcPr>
            <w:tcW w:w="4045" w:type="dxa"/>
          </w:tcPr>
          <w:p w14:paraId="78BA0C48"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1501" w:type="dxa"/>
            <w:gridSpan w:val="2"/>
          </w:tcPr>
          <w:p w14:paraId="14761F65"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right="142"/>
              <w:jc w:val="right"/>
              <w:rPr>
                <w:rFonts w:ascii="Arial" w:hAnsi="Arial"/>
                <w:i/>
                <w:sz w:val="18"/>
              </w:rPr>
            </w:pPr>
          </w:p>
        </w:tc>
        <w:tc>
          <w:tcPr>
            <w:tcW w:w="266" w:type="dxa"/>
          </w:tcPr>
          <w:p w14:paraId="129F1546"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hAnsi="Arial"/>
                <w:b/>
                <w:sz w:val="18"/>
              </w:rPr>
            </w:pPr>
          </w:p>
        </w:tc>
        <w:tc>
          <w:tcPr>
            <w:tcW w:w="567" w:type="dxa"/>
            <w:gridSpan w:val="2"/>
          </w:tcPr>
          <w:p w14:paraId="7BFFDF04" w14:textId="77777777" w:rsidR="00294FD1" w:rsidRPr="00A44138" w:rsidRDefault="00294FD1">
            <w:pPr>
              <w:tabs>
                <w:tab w:val="left" w:pos="709"/>
                <w:tab w:val="decimal" w:pos="851"/>
                <w:tab w:val="left" w:pos="1559"/>
                <w:tab w:val="left" w:pos="2268"/>
                <w:tab w:val="left" w:pos="2977"/>
                <w:tab w:val="left" w:pos="3686"/>
                <w:tab w:val="left" w:pos="4394"/>
                <w:tab w:val="right" w:pos="8789"/>
              </w:tabs>
              <w:spacing w:after="0" w:line="260" w:lineRule="atLeast"/>
              <w:ind w:left="-284"/>
              <w:rPr>
                <w:rFonts w:ascii="Arial" w:hAnsi="Arial"/>
                <w:b/>
                <w:sz w:val="18"/>
              </w:rPr>
            </w:pPr>
          </w:p>
        </w:tc>
        <w:tc>
          <w:tcPr>
            <w:tcW w:w="1418" w:type="dxa"/>
            <w:gridSpan w:val="2"/>
          </w:tcPr>
          <w:p w14:paraId="221B8C53"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b/>
                <w:sz w:val="18"/>
              </w:rPr>
            </w:pPr>
          </w:p>
        </w:tc>
        <w:tc>
          <w:tcPr>
            <w:tcW w:w="1562" w:type="dxa"/>
            <w:gridSpan w:val="2"/>
          </w:tcPr>
          <w:p w14:paraId="15E306F9"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sz w:val="18"/>
              </w:rPr>
            </w:pPr>
          </w:p>
        </w:tc>
      </w:tr>
      <w:tr w:rsidR="00A44BF6" w:rsidRPr="00A44138" w14:paraId="6B065903" w14:textId="77777777" w:rsidTr="00DE3335">
        <w:tc>
          <w:tcPr>
            <w:tcW w:w="4678" w:type="dxa"/>
            <w:gridSpan w:val="2"/>
          </w:tcPr>
          <w:p w14:paraId="30DCA89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1C3BB59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Note</w:t>
            </w:r>
          </w:p>
        </w:tc>
        <w:tc>
          <w:tcPr>
            <w:tcW w:w="550" w:type="dxa"/>
            <w:gridSpan w:val="2"/>
          </w:tcPr>
          <w:p w14:paraId="39B33A4D" w14:textId="77777777" w:rsidR="00A44BF6" w:rsidRPr="00A44138" w:rsidRDefault="00A44BF6" w:rsidP="00A44BF6">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hAnsi="Arial"/>
                <w:b/>
                <w:sz w:val="18"/>
              </w:rPr>
            </w:pPr>
          </w:p>
        </w:tc>
        <w:tc>
          <w:tcPr>
            <w:tcW w:w="283" w:type="dxa"/>
          </w:tcPr>
          <w:p w14:paraId="2BD075E3" w14:textId="77777777" w:rsidR="00A44BF6" w:rsidRPr="00A44138" w:rsidRDefault="00A44BF6" w:rsidP="00A44BF6">
            <w:pPr>
              <w:tabs>
                <w:tab w:val="left" w:pos="709"/>
                <w:tab w:val="decimal" w:pos="1015"/>
                <w:tab w:val="left" w:pos="1559"/>
                <w:tab w:val="left" w:pos="2268"/>
                <w:tab w:val="left" w:pos="2977"/>
                <w:tab w:val="left" w:pos="3686"/>
                <w:tab w:val="left" w:pos="4394"/>
                <w:tab w:val="right" w:pos="8789"/>
              </w:tabs>
              <w:spacing w:after="0" w:line="260" w:lineRule="atLeast"/>
              <w:rPr>
                <w:rFonts w:ascii="Arial" w:hAnsi="Arial"/>
                <w:i/>
                <w:sz w:val="18"/>
              </w:rPr>
            </w:pPr>
          </w:p>
        </w:tc>
        <w:tc>
          <w:tcPr>
            <w:tcW w:w="1418" w:type="dxa"/>
            <w:gridSpan w:val="2"/>
            <w:vAlign w:val="center"/>
          </w:tcPr>
          <w:p w14:paraId="77475E1A" w14:textId="48660601" w:rsidR="00A44BF6" w:rsidRPr="00A44138" w:rsidRDefault="00A44BF6" w:rsidP="00A44BF6">
            <w:pPr>
              <w:tabs>
                <w:tab w:val="decimal" w:pos="1015"/>
                <w:tab w:val="left" w:pos="1559"/>
                <w:tab w:val="left" w:pos="2268"/>
                <w:tab w:val="left" w:pos="2977"/>
                <w:tab w:val="left" w:pos="3686"/>
                <w:tab w:val="left" w:pos="4394"/>
                <w:tab w:val="right" w:pos="8789"/>
              </w:tabs>
              <w:spacing w:after="0" w:line="260" w:lineRule="atLeast"/>
              <w:ind w:left="-1"/>
              <w:jc w:val="right"/>
              <w:rPr>
                <w:rFonts w:ascii="Arial" w:eastAsia="Batang" w:hAnsi="Arial" w:cs="Arial"/>
                <w:b/>
                <w:sz w:val="18"/>
                <w:szCs w:val="18"/>
                <w:lang w:eastAsia="ko-KR"/>
              </w:rPr>
            </w:pPr>
            <w:r w:rsidRPr="00A44138">
              <w:rPr>
                <w:rFonts w:ascii="Arial" w:eastAsia="Batang" w:hAnsi="Arial" w:cs="Arial"/>
                <w:b/>
                <w:sz w:val="18"/>
                <w:szCs w:val="18"/>
                <w:lang w:eastAsia="ko-KR"/>
              </w:rPr>
              <w:t>202</w:t>
            </w:r>
            <w:r>
              <w:rPr>
                <w:rFonts w:ascii="Arial" w:eastAsia="Batang" w:hAnsi="Arial" w:cs="Arial"/>
                <w:b/>
                <w:sz w:val="18"/>
                <w:szCs w:val="18"/>
                <w:lang w:eastAsia="ko-KR"/>
              </w:rPr>
              <w:t>5</w:t>
            </w:r>
          </w:p>
        </w:tc>
        <w:tc>
          <w:tcPr>
            <w:tcW w:w="1562" w:type="dxa"/>
            <w:gridSpan w:val="2"/>
            <w:vAlign w:val="center"/>
          </w:tcPr>
          <w:p w14:paraId="07F20715" w14:textId="46AD180A" w:rsidR="00A44BF6" w:rsidRPr="005E7A81" w:rsidRDefault="00A44BF6" w:rsidP="00A44BF6">
            <w:pPr>
              <w:tabs>
                <w:tab w:val="decimal" w:pos="1015"/>
                <w:tab w:val="left" w:pos="1559"/>
                <w:tab w:val="left" w:pos="2268"/>
                <w:tab w:val="left" w:pos="2977"/>
                <w:tab w:val="left" w:pos="3686"/>
                <w:tab w:val="left" w:pos="4394"/>
                <w:tab w:val="right" w:pos="8789"/>
              </w:tabs>
              <w:spacing w:after="0" w:line="260" w:lineRule="atLeast"/>
              <w:jc w:val="right"/>
              <w:rPr>
                <w:rFonts w:ascii="Arial" w:eastAsia="Batang" w:hAnsi="Arial" w:cs="Arial"/>
                <w:b/>
                <w:sz w:val="18"/>
                <w:szCs w:val="18"/>
                <w:lang w:eastAsia="ko-KR"/>
              </w:rPr>
            </w:pPr>
            <w:r w:rsidRPr="005E7A81">
              <w:rPr>
                <w:rFonts w:ascii="Arial" w:eastAsia="Batang" w:hAnsi="Arial" w:cs="Arial"/>
                <w:b/>
                <w:sz w:val="18"/>
                <w:szCs w:val="18"/>
                <w:lang w:eastAsia="ko-KR"/>
              </w:rPr>
              <w:t>2024</w:t>
            </w:r>
          </w:p>
        </w:tc>
      </w:tr>
      <w:tr w:rsidR="00A44BF6" w:rsidRPr="00A44138" w14:paraId="2D381D2F" w14:textId="77777777" w:rsidTr="00DE3335">
        <w:tc>
          <w:tcPr>
            <w:tcW w:w="4678" w:type="dxa"/>
            <w:gridSpan w:val="2"/>
            <w:vAlign w:val="center"/>
          </w:tcPr>
          <w:p w14:paraId="6D91C49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0C30DD6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sz w:val="18"/>
              </w:rPr>
            </w:pPr>
          </w:p>
        </w:tc>
        <w:tc>
          <w:tcPr>
            <w:tcW w:w="550" w:type="dxa"/>
            <w:gridSpan w:val="2"/>
          </w:tcPr>
          <w:p w14:paraId="49AAA9EF" w14:textId="77777777" w:rsidR="00A44BF6" w:rsidRPr="00A44138" w:rsidRDefault="00A44BF6" w:rsidP="00A44BF6">
            <w:pPr>
              <w:tabs>
                <w:tab w:val="decimal" w:pos="1015"/>
              </w:tabs>
              <w:overflowPunct w:val="0"/>
              <w:autoSpaceDE w:val="0"/>
              <w:autoSpaceDN w:val="0"/>
              <w:adjustRightInd w:val="0"/>
              <w:spacing w:after="0" w:line="240" w:lineRule="auto"/>
              <w:jc w:val="both"/>
              <w:textAlignment w:val="baseline"/>
              <w:rPr>
                <w:rFonts w:ascii="Arial" w:hAnsi="Arial"/>
                <w:b/>
                <w:sz w:val="18"/>
              </w:rPr>
            </w:pPr>
          </w:p>
        </w:tc>
        <w:tc>
          <w:tcPr>
            <w:tcW w:w="283" w:type="dxa"/>
          </w:tcPr>
          <w:p w14:paraId="334616C8" w14:textId="77777777" w:rsidR="00A44BF6" w:rsidRPr="00A44138" w:rsidRDefault="00A44BF6" w:rsidP="00A44BF6">
            <w:pPr>
              <w:tabs>
                <w:tab w:val="decimal" w:pos="1015"/>
              </w:tabs>
              <w:overflowPunct w:val="0"/>
              <w:autoSpaceDE w:val="0"/>
              <w:autoSpaceDN w:val="0"/>
              <w:adjustRightInd w:val="0"/>
              <w:spacing w:after="0" w:line="240" w:lineRule="auto"/>
              <w:ind w:left="-284"/>
              <w:jc w:val="both"/>
              <w:textAlignment w:val="baseline"/>
              <w:rPr>
                <w:rFonts w:ascii="Arial" w:hAnsi="Arial"/>
                <w:b/>
                <w:sz w:val="18"/>
              </w:rPr>
            </w:pPr>
          </w:p>
        </w:tc>
        <w:tc>
          <w:tcPr>
            <w:tcW w:w="1418" w:type="dxa"/>
            <w:gridSpan w:val="2"/>
            <w:vAlign w:val="center"/>
          </w:tcPr>
          <w:p w14:paraId="22E4D225" w14:textId="77777777" w:rsidR="00A44BF6" w:rsidRPr="00A44138" w:rsidRDefault="00A44BF6" w:rsidP="00A44BF6">
            <w:pPr>
              <w:tabs>
                <w:tab w:val="decimal" w:pos="1015"/>
                <w:tab w:val="left" w:pos="1559"/>
                <w:tab w:val="left" w:pos="2268"/>
                <w:tab w:val="left" w:pos="2977"/>
                <w:tab w:val="left" w:pos="3686"/>
                <w:tab w:val="left" w:pos="4394"/>
                <w:tab w:val="right" w:pos="8789"/>
              </w:tabs>
              <w:spacing w:after="0" w:line="260" w:lineRule="atLeast"/>
              <w:ind w:left="-1"/>
              <w:jc w:val="right"/>
              <w:rPr>
                <w:rFonts w:ascii="Arial" w:eastAsia="Batang" w:hAnsi="Arial" w:cs="Arial"/>
                <w:b/>
                <w:sz w:val="18"/>
                <w:szCs w:val="18"/>
                <w:lang w:eastAsia="ko-KR"/>
              </w:rPr>
            </w:pPr>
            <w:r w:rsidRPr="00A44138">
              <w:rPr>
                <w:rFonts w:ascii="Arial" w:eastAsia="Batang" w:hAnsi="Arial" w:cs="Arial"/>
                <w:b/>
                <w:sz w:val="18"/>
                <w:szCs w:val="18"/>
                <w:lang w:eastAsia="ko-KR"/>
              </w:rPr>
              <w:t>£m</w:t>
            </w:r>
          </w:p>
        </w:tc>
        <w:tc>
          <w:tcPr>
            <w:tcW w:w="1562" w:type="dxa"/>
            <w:gridSpan w:val="2"/>
            <w:vAlign w:val="center"/>
          </w:tcPr>
          <w:p w14:paraId="3F5EA6F7" w14:textId="406D692A" w:rsidR="00A44BF6" w:rsidRPr="005E7A81" w:rsidRDefault="00A44BF6" w:rsidP="00A44BF6">
            <w:pPr>
              <w:tabs>
                <w:tab w:val="decimal" w:pos="1015"/>
                <w:tab w:val="left" w:pos="1559"/>
                <w:tab w:val="left" w:pos="2268"/>
                <w:tab w:val="left" w:pos="2977"/>
                <w:tab w:val="left" w:pos="3686"/>
                <w:tab w:val="left" w:pos="4394"/>
                <w:tab w:val="right" w:pos="8789"/>
              </w:tabs>
              <w:spacing w:after="0" w:line="260" w:lineRule="atLeast"/>
              <w:jc w:val="right"/>
              <w:rPr>
                <w:rFonts w:ascii="Arial" w:eastAsia="Batang" w:hAnsi="Arial" w:cs="Arial"/>
                <w:b/>
                <w:sz w:val="18"/>
                <w:szCs w:val="18"/>
                <w:lang w:eastAsia="ko-KR"/>
              </w:rPr>
            </w:pPr>
            <w:r w:rsidRPr="005E7A81">
              <w:rPr>
                <w:rFonts w:ascii="Arial" w:eastAsia="Batang" w:hAnsi="Arial" w:cs="Arial"/>
                <w:b/>
                <w:sz w:val="18"/>
                <w:szCs w:val="18"/>
                <w:lang w:eastAsia="ko-KR"/>
              </w:rPr>
              <w:t>£m</w:t>
            </w:r>
          </w:p>
        </w:tc>
      </w:tr>
      <w:tr w:rsidR="00A44BF6" w:rsidRPr="00A44138" w14:paraId="443C1D26" w14:textId="77777777" w:rsidTr="00DE3335">
        <w:tc>
          <w:tcPr>
            <w:tcW w:w="4678" w:type="dxa"/>
            <w:gridSpan w:val="2"/>
            <w:vAlign w:val="center"/>
          </w:tcPr>
          <w:p w14:paraId="5CC46A8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color w:val="FF0000"/>
                <w:sz w:val="18"/>
              </w:rPr>
            </w:pPr>
          </w:p>
        </w:tc>
        <w:tc>
          <w:tcPr>
            <w:tcW w:w="868" w:type="dxa"/>
            <w:vAlign w:val="center"/>
          </w:tcPr>
          <w:p w14:paraId="7638217F"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550" w:type="dxa"/>
            <w:gridSpan w:val="2"/>
            <w:vAlign w:val="center"/>
          </w:tcPr>
          <w:p w14:paraId="6269FE85"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1756180C"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5CE55521" w14:textId="77777777" w:rsidR="00A44BF6" w:rsidRPr="00A44138"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hAnsi="Arial"/>
                <w:b/>
                <w:color w:val="FF0000"/>
                <w:sz w:val="18"/>
              </w:rPr>
            </w:pPr>
          </w:p>
        </w:tc>
        <w:tc>
          <w:tcPr>
            <w:tcW w:w="1562" w:type="dxa"/>
            <w:gridSpan w:val="2"/>
            <w:vAlign w:val="center"/>
          </w:tcPr>
          <w:p w14:paraId="64FFCBD8" w14:textId="77777777" w:rsidR="00A44BF6" w:rsidRPr="005E7A81"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hAnsi="Arial"/>
                <w:bCs/>
                <w:sz w:val="18"/>
              </w:rPr>
            </w:pPr>
          </w:p>
        </w:tc>
      </w:tr>
      <w:tr w:rsidR="00A44BF6" w:rsidRPr="00A44138" w14:paraId="54990D0C" w14:textId="77777777" w:rsidTr="00DE3335">
        <w:tc>
          <w:tcPr>
            <w:tcW w:w="4678" w:type="dxa"/>
            <w:gridSpan w:val="2"/>
            <w:vAlign w:val="center"/>
          </w:tcPr>
          <w:p w14:paraId="5137021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b/>
                <w:sz w:val="18"/>
                <w:szCs w:val="18"/>
                <w:lang w:eastAsia="ko-KR"/>
              </w:rPr>
              <w:t>Revenue</w:t>
            </w:r>
          </w:p>
        </w:tc>
        <w:tc>
          <w:tcPr>
            <w:tcW w:w="868" w:type="dxa"/>
            <w:vAlign w:val="center"/>
          </w:tcPr>
          <w:p w14:paraId="4656EFB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2</w:t>
            </w:r>
          </w:p>
        </w:tc>
        <w:tc>
          <w:tcPr>
            <w:tcW w:w="550" w:type="dxa"/>
            <w:gridSpan w:val="2"/>
            <w:vAlign w:val="center"/>
          </w:tcPr>
          <w:p w14:paraId="1035FE8B"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0272D88A"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0AE9E8E6" w14:textId="20CBE289" w:rsidR="00A44BF6" w:rsidRPr="00A44BF6" w:rsidRDefault="002139FC"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highlight w:val="yellow"/>
              </w:rPr>
            </w:pPr>
            <w:r w:rsidRPr="00DA53C4">
              <w:rPr>
                <w:rFonts w:ascii="Arial" w:eastAsia="Batang" w:hAnsi="Arial" w:cs="Arial"/>
                <w:b/>
                <w:sz w:val="18"/>
                <w:szCs w:val="18"/>
              </w:rPr>
              <w:t>225.3</w:t>
            </w:r>
          </w:p>
        </w:tc>
        <w:tc>
          <w:tcPr>
            <w:tcW w:w="1562" w:type="dxa"/>
            <w:gridSpan w:val="2"/>
            <w:vAlign w:val="center"/>
          </w:tcPr>
          <w:p w14:paraId="4A986CF7" w14:textId="7C626D94" w:rsidR="00A44BF6" w:rsidRPr="005E7A81"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hAnsi="Arial"/>
                <w:bCs/>
                <w:sz w:val="18"/>
              </w:rPr>
            </w:pPr>
            <w:r w:rsidRPr="005E7A81">
              <w:rPr>
                <w:rFonts w:ascii="Arial" w:eastAsia="Batang" w:hAnsi="Arial" w:cs="Arial"/>
                <w:bCs/>
                <w:sz w:val="18"/>
                <w:szCs w:val="18"/>
              </w:rPr>
              <w:t>223.5</w:t>
            </w:r>
          </w:p>
        </w:tc>
      </w:tr>
      <w:tr w:rsidR="00A44BF6" w:rsidRPr="00A44138" w14:paraId="559FC88D" w14:textId="77777777" w:rsidTr="00DE3335">
        <w:tc>
          <w:tcPr>
            <w:tcW w:w="4678" w:type="dxa"/>
            <w:gridSpan w:val="2"/>
            <w:vAlign w:val="center"/>
          </w:tcPr>
          <w:p w14:paraId="0E96614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Cost of sales</w:t>
            </w:r>
          </w:p>
        </w:tc>
        <w:tc>
          <w:tcPr>
            <w:tcW w:w="868" w:type="dxa"/>
            <w:vAlign w:val="center"/>
          </w:tcPr>
          <w:p w14:paraId="3A1F759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63EE87DA"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50DEB546"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bottom w:val="single" w:sz="4" w:space="0" w:color="auto"/>
            </w:tcBorders>
            <w:vAlign w:val="center"/>
          </w:tcPr>
          <w:p w14:paraId="0ADD1AAC" w14:textId="40486DA8" w:rsidR="00A44BF6" w:rsidRPr="00DA53C4" w:rsidRDefault="0022510A"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(77.6)</w:t>
            </w:r>
          </w:p>
        </w:tc>
        <w:tc>
          <w:tcPr>
            <w:tcW w:w="1562" w:type="dxa"/>
            <w:gridSpan w:val="2"/>
            <w:tcBorders>
              <w:bottom w:val="single" w:sz="4" w:space="0" w:color="auto"/>
            </w:tcBorders>
            <w:vAlign w:val="center"/>
          </w:tcPr>
          <w:p w14:paraId="5F54DC99" w14:textId="54A1BE46"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hAnsi="Arial"/>
                <w:bCs/>
                <w:sz w:val="18"/>
              </w:rPr>
            </w:pPr>
            <w:r w:rsidRPr="005E7A81">
              <w:rPr>
                <w:rFonts w:ascii="Arial" w:eastAsia="Batang" w:hAnsi="Arial" w:cs="Arial"/>
                <w:bCs/>
                <w:sz w:val="18"/>
                <w:szCs w:val="18"/>
              </w:rPr>
              <w:t>(71.3)</w:t>
            </w:r>
          </w:p>
        </w:tc>
      </w:tr>
      <w:tr w:rsidR="00A44BF6" w:rsidRPr="00A44138" w14:paraId="6399DD3A" w14:textId="77777777" w:rsidTr="00DE3335">
        <w:tc>
          <w:tcPr>
            <w:tcW w:w="4678" w:type="dxa"/>
            <w:gridSpan w:val="2"/>
            <w:vAlign w:val="center"/>
          </w:tcPr>
          <w:p w14:paraId="6DDDA36F"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left="172" w:hanging="172"/>
              <w:rPr>
                <w:rFonts w:ascii="Arial" w:hAnsi="Arial"/>
                <w:sz w:val="18"/>
              </w:rPr>
            </w:pPr>
          </w:p>
        </w:tc>
        <w:tc>
          <w:tcPr>
            <w:tcW w:w="868" w:type="dxa"/>
            <w:vAlign w:val="center"/>
          </w:tcPr>
          <w:p w14:paraId="6AD3CDD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5A8C75F7"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color w:val="FF0000"/>
                <w:sz w:val="18"/>
              </w:rPr>
            </w:pPr>
          </w:p>
        </w:tc>
        <w:tc>
          <w:tcPr>
            <w:tcW w:w="283" w:type="dxa"/>
            <w:vAlign w:val="center"/>
          </w:tcPr>
          <w:p w14:paraId="59965BDF"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color w:val="FF0000"/>
                <w:sz w:val="18"/>
                <w:u w:val="single"/>
              </w:rPr>
            </w:pPr>
          </w:p>
        </w:tc>
        <w:tc>
          <w:tcPr>
            <w:tcW w:w="1418" w:type="dxa"/>
            <w:gridSpan w:val="2"/>
            <w:tcBorders>
              <w:top w:val="single" w:sz="4" w:space="0" w:color="auto"/>
            </w:tcBorders>
            <w:vAlign w:val="center"/>
          </w:tcPr>
          <w:p w14:paraId="784F5D5D" w14:textId="77777777" w:rsidR="00A44BF6" w:rsidRPr="00DA53C4"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single" w:sz="4" w:space="0" w:color="auto"/>
            </w:tcBorders>
            <w:vAlign w:val="center"/>
          </w:tcPr>
          <w:p w14:paraId="17BDB372" w14:textId="77777777" w:rsidR="00A44BF6" w:rsidRPr="005E7A81" w:rsidRDefault="00A44BF6" w:rsidP="00A44BF6">
            <w:pPr>
              <w:tabs>
                <w:tab w:val="decimal" w:pos="1015"/>
              </w:tabs>
              <w:overflowPunct w:val="0"/>
              <w:autoSpaceDE w:val="0"/>
              <w:autoSpaceDN w:val="0"/>
              <w:adjustRightInd w:val="0"/>
              <w:spacing w:after="130" w:line="240" w:lineRule="auto"/>
              <w:jc w:val="right"/>
              <w:textAlignment w:val="baseline"/>
              <w:rPr>
                <w:rFonts w:ascii="Arial" w:hAnsi="Arial"/>
                <w:bCs/>
                <w:sz w:val="18"/>
                <w:u w:val="single"/>
              </w:rPr>
            </w:pPr>
          </w:p>
        </w:tc>
      </w:tr>
      <w:tr w:rsidR="00A44BF6" w:rsidRPr="00A44138" w14:paraId="239BD36C" w14:textId="77777777" w:rsidTr="00DE3335">
        <w:tc>
          <w:tcPr>
            <w:tcW w:w="4678" w:type="dxa"/>
            <w:gridSpan w:val="2"/>
            <w:vAlign w:val="center"/>
          </w:tcPr>
          <w:p w14:paraId="20C8D87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r w:rsidRPr="00A44138">
              <w:rPr>
                <w:rFonts w:ascii="Arial" w:eastAsia="Batang" w:hAnsi="Arial" w:cs="Arial"/>
                <w:b/>
                <w:sz w:val="18"/>
                <w:szCs w:val="18"/>
                <w:lang w:eastAsia="ko-KR"/>
              </w:rPr>
              <w:t>Gross profit</w:t>
            </w:r>
          </w:p>
        </w:tc>
        <w:tc>
          <w:tcPr>
            <w:tcW w:w="868" w:type="dxa"/>
            <w:vAlign w:val="center"/>
          </w:tcPr>
          <w:p w14:paraId="5425BB6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6942F25"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DE18385"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0F7F606F" w14:textId="25D0C286" w:rsidR="00A44BF6" w:rsidRPr="00DA53C4" w:rsidRDefault="00600411"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147.</w:t>
            </w:r>
            <w:r w:rsidR="006A2273" w:rsidRPr="00DA53C4">
              <w:rPr>
                <w:rFonts w:ascii="Arial" w:eastAsia="Batang" w:hAnsi="Arial" w:cs="Arial"/>
                <w:b/>
                <w:sz w:val="18"/>
                <w:szCs w:val="18"/>
              </w:rPr>
              <w:t>7</w:t>
            </w:r>
          </w:p>
        </w:tc>
        <w:tc>
          <w:tcPr>
            <w:tcW w:w="1562" w:type="dxa"/>
            <w:gridSpan w:val="2"/>
            <w:vAlign w:val="center"/>
          </w:tcPr>
          <w:p w14:paraId="24A33102" w14:textId="0891C84D"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152.2</w:t>
            </w:r>
          </w:p>
        </w:tc>
      </w:tr>
      <w:tr w:rsidR="00A44BF6" w:rsidRPr="00A44138" w14:paraId="1E201F4B" w14:textId="77777777" w:rsidTr="00DE3335">
        <w:tc>
          <w:tcPr>
            <w:tcW w:w="4678" w:type="dxa"/>
            <w:gridSpan w:val="2"/>
            <w:vAlign w:val="center"/>
          </w:tcPr>
          <w:p w14:paraId="2C0AAAD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304863A1"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6422DE72"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8BC95C8"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65CACF61" w14:textId="77777777" w:rsidR="00A44BF6" w:rsidRPr="00DA53C4"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vAlign w:val="center"/>
          </w:tcPr>
          <w:p w14:paraId="30829F25" w14:textId="77777777"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p>
        </w:tc>
      </w:tr>
      <w:tr w:rsidR="00A44BF6" w:rsidRPr="00A44138" w14:paraId="3BAE6448" w14:textId="77777777" w:rsidTr="00DE3335">
        <w:tc>
          <w:tcPr>
            <w:tcW w:w="4678" w:type="dxa"/>
            <w:gridSpan w:val="2"/>
            <w:vAlign w:val="center"/>
          </w:tcPr>
          <w:p w14:paraId="515D335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Distribution expenses</w:t>
            </w:r>
          </w:p>
        </w:tc>
        <w:tc>
          <w:tcPr>
            <w:tcW w:w="868" w:type="dxa"/>
            <w:vAlign w:val="center"/>
          </w:tcPr>
          <w:p w14:paraId="7F87B28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3D8ACAD"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A653532"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17B6C2E4" w14:textId="3A892747" w:rsidR="00A44BF6" w:rsidRPr="00DA53C4" w:rsidRDefault="00343EEF"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(18.6)</w:t>
            </w:r>
          </w:p>
        </w:tc>
        <w:tc>
          <w:tcPr>
            <w:tcW w:w="1562" w:type="dxa"/>
            <w:gridSpan w:val="2"/>
            <w:vAlign w:val="center"/>
          </w:tcPr>
          <w:p w14:paraId="595F64E4" w14:textId="1FEFD4C1"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(18.9)</w:t>
            </w:r>
          </w:p>
        </w:tc>
      </w:tr>
      <w:tr w:rsidR="00A44BF6" w:rsidRPr="00A44138" w14:paraId="379ACB63" w14:textId="77777777" w:rsidTr="00DE3335">
        <w:tc>
          <w:tcPr>
            <w:tcW w:w="4678" w:type="dxa"/>
            <w:gridSpan w:val="2"/>
            <w:vAlign w:val="center"/>
          </w:tcPr>
          <w:p w14:paraId="2C49F5C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Administrative expenses</w:t>
            </w:r>
          </w:p>
        </w:tc>
        <w:tc>
          <w:tcPr>
            <w:tcW w:w="868" w:type="dxa"/>
            <w:vAlign w:val="center"/>
          </w:tcPr>
          <w:p w14:paraId="2C658731"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E001E5E"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599E57F"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2C0621D0" w14:textId="2CFA1F51" w:rsidR="00A44BF6" w:rsidRPr="00DA53C4" w:rsidRDefault="00343EEF"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(67.9)</w:t>
            </w:r>
          </w:p>
        </w:tc>
        <w:tc>
          <w:tcPr>
            <w:tcW w:w="1562" w:type="dxa"/>
            <w:gridSpan w:val="2"/>
            <w:vAlign w:val="center"/>
          </w:tcPr>
          <w:p w14:paraId="024BF8F7" w14:textId="75490E0D"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(72.9)</w:t>
            </w:r>
          </w:p>
        </w:tc>
      </w:tr>
      <w:tr w:rsidR="00A44BF6" w:rsidRPr="00A44138" w14:paraId="13DDBAD9" w14:textId="77777777" w:rsidTr="00DE3335">
        <w:trPr>
          <w:trHeight w:val="80"/>
        </w:trPr>
        <w:tc>
          <w:tcPr>
            <w:tcW w:w="4678" w:type="dxa"/>
            <w:gridSpan w:val="2"/>
            <w:vAlign w:val="center"/>
          </w:tcPr>
          <w:p w14:paraId="48795C8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72DF5D1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7E022D96"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49BE095"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u w:val="single"/>
              </w:rPr>
            </w:pPr>
          </w:p>
        </w:tc>
        <w:tc>
          <w:tcPr>
            <w:tcW w:w="1418" w:type="dxa"/>
            <w:gridSpan w:val="2"/>
            <w:tcBorders>
              <w:top w:val="single" w:sz="4" w:space="0" w:color="auto"/>
            </w:tcBorders>
            <w:vAlign w:val="center"/>
          </w:tcPr>
          <w:p w14:paraId="5B038F2A" w14:textId="77777777" w:rsidR="00A44BF6" w:rsidRPr="00DA53C4"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single" w:sz="4" w:space="0" w:color="auto"/>
            </w:tcBorders>
            <w:vAlign w:val="center"/>
          </w:tcPr>
          <w:p w14:paraId="329832B3" w14:textId="77777777" w:rsidR="00A44BF6" w:rsidRPr="005E7A81" w:rsidRDefault="00A44BF6" w:rsidP="00A44BF6">
            <w:pPr>
              <w:tabs>
                <w:tab w:val="decimal" w:pos="1015"/>
              </w:tabs>
              <w:overflowPunct w:val="0"/>
              <w:autoSpaceDE w:val="0"/>
              <w:autoSpaceDN w:val="0"/>
              <w:adjustRightInd w:val="0"/>
              <w:spacing w:after="130" w:line="240" w:lineRule="auto"/>
              <w:jc w:val="right"/>
              <w:textAlignment w:val="baseline"/>
              <w:rPr>
                <w:rFonts w:ascii="Arial" w:hAnsi="Arial"/>
                <w:bCs/>
                <w:sz w:val="18"/>
                <w:u w:val="single"/>
              </w:rPr>
            </w:pPr>
          </w:p>
        </w:tc>
      </w:tr>
      <w:tr w:rsidR="00A44BF6" w:rsidRPr="00A44138" w14:paraId="448AAE60" w14:textId="77777777" w:rsidTr="00DE3335">
        <w:tc>
          <w:tcPr>
            <w:tcW w:w="4678" w:type="dxa"/>
            <w:gridSpan w:val="2"/>
            <w:vAlign w:val="center"/>
          </w:tcPr>
          <w:p w14:paraId="3C55C4B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b/>
                <w:sz w:val="18"/>
                <w:szCs w:val="18"/>
                <w:lang w:eastAsia="ko-KR"/>
              </w:rPr>
              <w:t>Operating profit</w:t>
            </w:r>
          </w:p>
        </w:tc>
        <w:tc>
          <w:tcPr>
            <w:tcW w:w="868" w:type="dxa"/>
            <w:vAlign w:val="center"/>
          </w:tcPr>
          <w:p w14:paraId="4167741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38DCB21A"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05A967F1"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4F052985" w14:textId="1F6F114E" w:rsidR="00A44BF6" w:rsidRPr="00DA53C4" w:rsidRDefault="00343EEF"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61.2</w:t>
            </w:r>
          </w:p>
        </w:tc>
        <w:tc>
          <w:tcPr>
            <w:tcW w:w="1562" w:type="dxa"/>
            <w:gridSpan w:val="2"/>
            <w:vAlign w:val="center"/>
          </w:tcPr>
          <w:p w14:paraId="1416AA29" w14:textId="1DC96E9B" w:rsidR="00A44BF6" w:rsidRPr="005E7A81" w:rsidRDefault="00A44BF6" w:rsidP="00A44BF6">
            <w:pPr>
              <w:tabs>
                <w:tab w:val="decimal" w:pos="1015"/>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60.4</w:t>
            </w:r>
          </w:p>
        </w:tc>
      </w:tr>
      <w:tr w:rsidR="00A44BF6" w:rsidRPr="00A44138" w14:paraId="6ECB82AA" w14:textId="77777777" w:rsidTr="00DE3335">
        <w:tc>
          <w:tcPr>
            <w:tcW w:w="4678" w:type="dxa"/>
            <w:gridSpan w:val="2"/>
            <w:vAlign w:val="center"/>
          </w:tcPr>
          <w:p w14:paraId="17507DA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05F1554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6611D99"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6B92EC8"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29446AFA" w14:textId="77777777" w:rsidR="00A44BF6" w:rsidRPr="00DA53C4"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vAlign w:val="center"/>
          </w:tcPr>
          <w:p w14:paraId="40C8B4C3" w14:textId="77777777" w:rsidR="00A44BF6" w:rsidRPr="005E7A81" w:rsidRDefault="00A44BF6" w:rsidP="00A44BF6">
            <w:pPr>
              <w:tabs>
                <w:tab w:val="decimal" w:pos="1015"/>
              </w:tabs>
              <w:overflowPunct w:val="0"/>
              <w:autoSpaceDE w:val="0"/>
              <w:autoSpaceDN w:val="0"/>
              <w:adjustRightInd w:val="0"/>
              <w:spacing w:after="0" w:line="240" w:lineRule="auto"/>
              <w:jc w:val="right"/>
              <w:textAlignment w:val="baseline"/>
              <w:rPr>
                <w:rFonts w:ascii="Arial" w:hAnsi="Arial"/>
                <w:bCs/>
                <w:sz w:val="18"/>
              </w:rPr>
            </w:pPr>
          </w:p>
        </w:tc>
      </w:tr>
      <w:tr w:rsidR="00A44BF6" w:rsidRPr="00A44138" w14:paraId="58227F06" w14:textId="77777777" w:rsidTr="00DE3335">
        <w:trPr>
          <w:trHeight w:val="300"/>
        </w:trPr>
        <w:tc>
          <w:tcPr>
            <w:tcW w:w="4678" w:type="dxa"/>
            <w:gridSpan w:val="2"/>
            <w:vAlign w:val="center"/>
          </w:tcPr>
          <w:p w14:paraId="1060AE32" w14:textId="5113A241"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Net finance expense</w:t>
            </w:r>
          </w:p>
        </w:tc>
        <w:tc>
          <w:tcPr>
            <w:tcW w:w="868" w:type="dxa"/>
            <w:vAlign w:val="center"/>
          </w:tcPr>
          <w:p w14:paraId="68076025"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3</w:t>
            </w:r>
          </w:p>
        </w:tc>
        <w:tc>
          <w:tcPr>
            <w:tcW w:w="550" w:type="dxa"/>
            <w:gridSpan w:val="2"/>
            <w:vAlign w:val="center"/>
          </w:tcPr>
          <w:p w14:paraId="7E005D2E"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6F03A392" w14:textId="77777777" w:rsidR="00A44BF6" w:rsidRPr="00A44138" w:rsidDel="00865164"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Pr>
          <w:p w14:paraId="79A70D99" w14:textId="0AE1226C" w:rsidR="00A44BF6" w:rsidRPr="00DA53C4" w:rsidRDefault="006E2B9F"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color w:val="FF0000"/>
                <w:sz w:val="18"/>
                <w:szCs w:val="18"/>
              </w:rPr>
            </w:pPr>
            <w:r w:rsidRPr="00DA53C4">
              <w:rPr>
                <w:rFonts w:ascii="Arial" w:eastAsia="Batang" w:hAnsi="Arial" w:cs="Arial"/>
                <w:b/>
                <w:sz w:val="18"/>
                <w:szCs w:val="18"/>
              </w:rPr>
              <w:t>(1.4)</w:t>
            </w:r>
          </w:p>
        </w:tc>
        <w:tc>
          <w:tcPr>
            <w:tcW w:w="1562" w:type="dxa"/>
            <w:gridSpan w:val="2"/>
          </w:tcPr>
          <w:p w14:paraId="18C1A6A3" w14:textId="78F6F9DA" w:rsidR="00A44BF6" w:rsidRPr="005E7A81" w:rsidRDefault="00A44BF6" w:rsidP="00A44BF6">
            <w:pPr>
              <w:tabs>
                <w:tab w:val="decimal" w:pos="1015"/>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(2.3)</w:t>
            </w:r>
          </w:p>
        </w:tc>
      </w:tr>
      <w:tr w:rsidR="00A44BF6" w:rsidRPr="00A44138" w14:paraId="51C52229" w14:textId="77777777" w:rsidTr="00DE3335">
        <w:tc>
          <w:tcPr>
            <w:tcW w:w="4678" w:type="dxa"/>
            <w:gridSpan w:val="2"/>
            <w:vAlign w:val="center"/>
          </w:tcPr>
          <w:p w14:paraId="3E6FF1C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679B4F0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C32F943" w14:textId="77777777" w:rsidR="00A44BF6" w:rsidRPr="00A44138" w:rsidRDefault="00A44BF6" w:rsidP="00A44BF6">
            <w:pPr>
              <w:tabs>
                <w:tab w:val="decimal" w:pos="1015"/>
              </w:tabs>
              <w:overflowPunct w:val="0"/>
              <w:autoSpaceDE w:val="0"/>
              <w:autoSpaceDN w:val="0"/>
              <w:adjustRightInd w:val="0"/>
              <w:spacing w:after="130" w:line="240" w:lineRule="auto"/>
              <w:textAlignment w:val="baseline"/>
              <w:rPr>
                <w:rFonts w:ascii="Arial" w:hAnsi="Arial"/>
                <w:color w:val="FF0000"/>
                <w:sz w:val="18"/>
                <w:u w:val="single"/>
              </w:rPr>
            </w:pPr>
          </w:p>
        </w:tc>
        <w:tc>
          <w:tcPr>
            <w:tcW w:w="283" w:type="dxa"/>
            <w:vAlign w:val="center"/>
          </w:tcPr>
          <w:p w14:paraId="5A914AA4" w14:textId="77777777" w:rsidR="00A44BF6" w:rsidRPr="00A44138" w:rsidRDefault="00A44BF6" w:rsidP="00A44BF6">
            <w:pPr>
              <w:tabs>
                <w:tab w:val="decimal" w:pos="1015"/>
              </w:tabs>
              <w:overflowPunct w:val="0"/>
              <w:autoSpaceDE w:val="0"/>
              <w:autoSpaceDN w:val="0"/>
              <w:adjustRightInd w:val="0"/>
              <w:spacing w:after="130" w:line="240" w:lineRule="auto"/>
              <w:ind w:left="-284"/>
              <w:textAlignment w:val="baseline"/>
              <w:rPr>
                <w:rFonts w:ascii="Arial" w:hAnsi="Arial"/>
                <w:color w:val="FF0000"/>
                <w:sz w:val="18"/>
                <w:u w:val="single"/>
              </w:rPr>
            </w:pPr>
          </w:p>
        </w:tc>
        <w:tc>
          <w:tcPr>
            <w:tcW w:w="1418" w:type="dxa"/>
            <w:gridSpan w:val="2"/>
            <w:tcBorders>
              <w:top w:val="single" w:sz="4" w:space="0" w:color="auto"/>
            </w:tcBorders>
            <w:vAlign w:val="center"/>
          </w:tcPr>
          <w:p w14:paraId="12E9647A" w14:textId="77777777" w:rsidR="00A44BF6" w:rsidRPr="00DA53C4"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bCs/>
                <w:color w:val="FF0000"/>
                <w:sz w:val="18"/>
                <w:szCs w:val="18"/>
              </w:rPr>
            </w:pPr>
          </w:p>
        </w:tc>
        <w:tc>
          <w:tcPr>
            <w:tcW w:w="1562" w:type="dxa"/>
            <w:gridSpan w:val="2"/>
            <w:tcBorders>
              <w:top w:val="single" w:sz="4" w:space="0" w:color="auto"/>
            </w:tcBorders>
            <w:vAlign w:val="center"/>
          </w:tcPr>
          <w:p w14:paraId="1EC04934" w14:textId="77777777" w:rsidR="00A44BF6" w:rsidRPr="005E7A81" w:rsidRDefault="00A44BF6" w:rsidP="00A44BF6">
            <w:pPr>
              <w:tabs>
                <w:tab w:val="decimal" w:pos="1015"/>
              </w:tabs>
              <w:overflowPunct w:val="0"/>
              <w:autoSpaceDE w:val="0"/>
              <w:autoSpaceDN w:val="0"/>
              <w:adjustRightInd w:val="0"/>
              <w:spacing w:after="130" w:line="240" w:lineRule="auto"/>
              <w:jc w:val="right"/>
              <w:textAlignment w:val="baseline"/>
              <w:rPr>
                <w:rFonts w:ascii="Arial" w:hAnsi="Arial"/>
                <w:bCs/>
                <w:sz w:val="18"/>
              </w:rPr>
            </w:pPr>
          </w:p>
        </w:tc>
      </w:tr>
      <w:tr w:rsidR="00A44BF6" w:rsidRPr="00A44138" w14:paraId="1A4E1584" w14:textId="77777777" w:rsidTr="00DE3335">
        <w:tc>
          <w:tcPr>
            <w:tcW w:w="4678" w:type="dxa"/>
            <w:gridSpan w:val="2"/>
            <w:vAlign w:val="center"/>
          </w:tcPr>
          <w:p w14:paraId="12BC69A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left="172" w:hanging="172"/>
              <w:rPr>
                <w:rFonts w:ascii="Arial" w:hAnsi="Arial"/>
                <w:sz w:val="18"/>
              </w:rPr>
            </w:pPr>
            <w:r w:rsidRPr="00A44138">
              <w:rPr>
                <w:rFonts w:ascii="Arial" w:eastAsia="Batang" w:hAnsi="Arial" w:cs="Arial"/>
                <w:b/>
                <w:sz w:val="18"/>
                <w:szCs w:val="18"/>
                <w:lang w:eastAsia="ko-KR"/>
              </w:rPr>
              <w:t>Profit before taxation</w:t>
            </w:r>
          </w:p>
        </w:tc>
        <w:tc>
          <w:tcPr>
            <w:tcW w:w="868" w:type="dxa"/>
            <w:vAlign w:val="center"/>
          </w:tcPr>
          <w:p w14:paraId="612E98B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53A67FC6"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580A519"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234A8594" w14:textId="70F645B0" w:rsidR="00A44BF6" w:rsidRPr="00DA53C4" w:rsidRDefault="009B4949"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59.8</w:t>
            </w:r>
          </w:p>
        </w:tc>
        <w:tc>
          <w:tcPr>
            <w:tcW w:w="1562" w:type="dxa"/>
            <w:gridSpan w:val="2"/>
            <w:vAlign w:val="center"/>
          </w:tcPr>
          <w:p w14:paraId="7CF33BE7" w14:textId="55EB3C39"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58.1</w:t>
            </w:r>
          </w:p>
        </w:tc>
      </w:tr>
      <w:tr w:rsidR="00A44BF6" w:rsidRPr="00A44138" w14:paraId="70D4397D" w14:textId="77777777" w:rsidTr="00DE3335">
        <w:tc>
          <w:tcPr>
            <w:tcW w:w="4678" w:type="dxa"/>
            <w:gridSpan w:val="2"/>
            <w:vAlign w:val="center"/>
          </w:tcPr>
          <w:p w14:paraId="409C218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left="172" w:hanging="172"/>
              <w:rPr>
                <w:rFonts w:ascii="Arial" w:eastAsia="Batang" w:hAnsi="Arial" w:cs="Arial"/>
                <w:b/>
                <w:sz w:val="18"/>
                <w:szCs w:val="18"/>
                <w:lang w:eastAsia="ko-KR"/>
              </w:rPr>
            </w:pPr>
          </w:p>
        </w:tc>
        <w:tc>
          <w:tcPr>
            <w:tcW w:w="868" w:type="dxa"/>
            <w:vAlign w:val="center"/>
          </w:tcPr>
          <w:p w14:paraId="40BEF0D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782A35CE"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065F078A"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06B0FB99" w14:textId="77777777" w:rsidR="00A44BF6" w:rsidRPr="00A44BF6" w:rsidDel="00782B5D"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bCs/>
                <w:color w:val="FF0000"/>
                <w:sz w:val="18"/>
                <w:szCs w:val="18"/>
                <w:highlight w:val="yellow"/>
              </w:rPr>
            </w:pPr>
          </w:p>
        </w:tc>
        <w:tc>
          <w:tcPr>
            <w:tcW w:w="1562" w:type="dxa"/>
            <w:gridSpan w:val="2"/>
            <w:vAlign w:val="center"/>
          </w:tcPr>
          <w:p w14:paraId="4EB0D47A" w14:textId="77777777"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p>
        </w:tc>
      </w:tr>
      <w:tr w:rsidR="00A44BF6" w:rsidRPr="00A44138" w14:paraId="534C262C" w14:textId="77777777" w:rsidTr="00DE3335">
        <w:tc>
          <w:tcPr>
            <w:tcW w:w="4678" w:type="dxa"/>
            <w:gridSpan w:val="2"/>
            <w:vAlign w:val="center"/>
          </w:tcPr>
          <w:p w14:paraId="18AE633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Taxation</w:t>
            </w:r>
          </w:p>
        </w:tc>
        <w:tc>
          <w:tcPr>
            <w:tcW w:w="868" w:type="dxa"/>
            <w:vAlign w:val="center"/>
          </w:tcPr>
          <w:p w14:paraId="75207FD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4</w:t>
            </w:r>
          </w:p>
        </w:tc>
        <w:tc>
          <w:tcPr>
            <w:tcW w:w="550" w:type="dxa"/>
            <w:gridSpan w:val="2"/>
            <w:vAlign w:val="center"/>
          </w:tcPr>
          <w:p w14:paraId="7AD5D6B6"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89B0285"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bottom w:val="single" w:sz="4" w:space="0" w:color="auto"/>
            </w:tcBorders>
            <w:vAlign w:val="center"/>
          </w:tcPr>
          <w:p w14:paraId="6DBC92A3" w14:textId="39BB18A1" w:rsidR="00A44BF6" w:rsidRPr="00DA53C4" w:rsidRDefault="009F50A3"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w:t>
            </w:r>
            <w:r w:rsidR="002C2BEE" w:rsidRPr="00DA53C4">
              <w:rPr>
                <w:rFonts w:ascii="Arial" w:eastAsia="Batang" w:hAnsi="Arial" w:cs="Arial"/>
                <w:b/>
                <w:sz w:val="18"/>
                <w:szCs w:val="18"/>
              </w:rPr>
              <w:t>1</w:t>
            </w:r>
            <w:r w:rsidR="00236042" w:rsidRPr="00DA53C4">
              <w:rPr>
                <w:rFonts w:ascii="Arial" w:eastAsia="Batang" w:hAnsi="Arial" w:cs="Arial"/>
                <w:b/>
                <w:sz w:val="18"/>
                <w:szCs w:val="18"/>
              </w:rPr>
              <w:t>4</w:t>
            </w:r>
            <w:r w:rsidR="002C2BEE" w:rsidRPr="00DA53C4">
              <w:rPr>
                <w:rFonts w:ascii="Arial" w:eastAsia="Batang" w:hAnsi="Arial" w:cs="Arial"/>
                <w:b/>
                <w:sz w:val="18"/>
                <w:szCs w:val="18"/>
              </w:rPr>
              <w:t>.</w:t>
            </w:r>
            <w:r w:rsidR="00236042" w:rsidRPr="00DA53C4">
              <w:rPr>
                <w:rFonts w:ascii="Arial" w:eastAsia="Batang" w:hAnsi="Arial" w:cs="Arial"/>
                <w:b/>
                <w:sz w:val="18"/>
                <w:szCs w:val="18"/>
              </w:rPr>
              <w:t>2</w:t>
            </w:r>
            <w:r w:rsidR="00EB30B2" w:rsidRPr="00DA53C4">
              <w:rPr>
                <w:rFonts w:ascii="Arial" w:eastAsia="Batang" w:hAnsi="Arial" w:cs="Arial"/>
                <w:b/>
                <w:sz w:val="18"/>
                <w:szCs w:val="18"/>
              </w:rPr>
              <w:t>)</w:t>
            </w:r>
          </w:p>
        </w:tc>
        <w:tc>
          <w:tcPr>
            <w:tcW w:w="1562" w:type="dxa"/>
            <w:gridSpan w:val="2"/>
            <w:tcBorders>
              <w:bottom w:val="single" w:sz="4" w:space="0" w:color="auto"/>
            </w:tcBorders>
            <w:vAlign w:val="center"/>
          </w:tcPr>
          <w:p w14:paraId="76526DD3" w14:textId="02A66914" w:rsidR="00A44BF6" w:rsidRPr="005E7A81" w:rsidRDefault="00A44BF6" w:rsidP="00A44BF6">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(14.0)</w:t>
            </w:r>
          </w:p>
        </w:tc>
      </w:tr>
      <w:tr w:rsidR="00A44BF6" w:rsidRPr="00A44138" w14:paraId="7D8EADAB" w14:textId="77777777" w:rsidTr="00DE3335">
        <w:tc>
          <w:tcPr>
            <w:tcW w:w="4678" w:type="dxa"/>
            <w:gridSpan w:val="2"/>
            <w:vAlign w:val="center"/>
          </w:tcPr>
          <w:p w14:paraId="2B613CD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868" w:type="dxa"/>
            <w:vAlign w:val="center"/>
          </w:tcPr>
          <w:p w14:paraId="4C67587F"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33BAE4EB"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3ECCA9D" w14:textId="77777777" w:rsidR="00A44BF6" w:rsidRPr="00A44138" w:rsidRDefault="00A44BF6" w:rsidP="00A44BF6">
            <w:pPr>
              <w:tabs>
                <w:tab w:val="decimal" w:pos="1015"/>
              </w:tabs>
              <w:overflowPunct w:val="0"/>
              <w:autoSpaceDE w:val="0"/>
              <w:autoSpaceDN w:val="0"/>
              <w:adjustRightInd w:val="0"/>
              <w:spacing w:after="0" w:line="240" w:lineRule="auto"/>
              <w:ind w:left="-284"/>
              <w:textAlignment w:val="baseline"/>
              <w:rPr>
                <w:rFonts w:ascii="Arial" w:hAnsi="Arial"/>
                <w:b/>
                <w:color w:val="FF0000"/>
                <w:sz w:val="18"/>
                <w:u w:val="single"/>
              </w:rPr>
            </w:pPr>
          </w:p>
        </w:tc>
        <w:tc>
          <w:tcPr>
            <w:tcW w:w="1418" w:type="dxa"/>
            <w:gridSpan w:val="2"/>
            <w:tcBorders>
              <w:top w:val="single" w:sz="4" w:space="0" w:color="auto"/>
            </w:tcBorders>
            <w:vAlign w:val="center"/>
          </w:tcPr>
          <w:p w14:paraId="4E25A833" w14:textId="77777777" w:rsidR="00A44BF6" w:rsidRPr="00DA53C4"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single" w:sz="4" w:space="0" w:color="auto"/>
            </w:tcBorders>
            <w:vAlign w:val="center"/>
          </w:tcPr>
          <w:p w14:paraId="15B28B17" w14:textId="77777777" w:rsidR="00A44BF6" w:rsidRPr="005E7A81" w:rsidRDefault="00A44BF6" w:rsidP="00A44BF6">
            <w:pPr>
              <w:tabs>
                <w:tab w:val="decimal" w:pos="1015"/>
              </w:tabs>
              <w:overflowPunct w:val="0"/>
              <w:autoSpaceDE w:val="0"/>
              <w:autoSpaceDN w:val="0"/>
              <w:adjustRightInd w:val="0"/>
              <w:spacing w:after="130" w:line="240" w:lineRule="auto"/>
              <w:jc w:val="right"/>
              <w:textAlignment w:val="baseline"/>
              <w:rPr>
                <w:rFonts w:ascii="Arial" w:hAnsi="Arial"/>
                <w:bCs/>
                <w:sz w:val="18"/>
              </w:rPr>
            </w:pPr>
          </w:p>
        </w:tc>
      </w:tr>
      <w:tr w:rsidR="00A44BF6" w:rsidRPr="00A44138" w14:paraId="4C3B22CE" w14:textId="77777777" w:rsidTr="00DE3335">
        <w:tc>
          <w:tcPr>
            <w:tcW w:w="4678" w:type="dxa"/>
            <w:gridSpan w:val="2"/>
            <w:vAlign w:val="center"/>
          </w:tcPr>
          <w:p w14:paraId="65A981C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r w:rsidRPr="00A44138">
              <w:rPr>
                <w:rFonts w:ascii="Arial" w:eastAsia="Batang" w:hAnsi="Arial" w:cs="Arial"/>
                <w:b/>
                <w:sz w:val="18"/>
                <w:szCs w:val="18"/>
                <w:lang w:eastAsia="ko-KR"/>
              </w:rPr>
              <w:t>Profit for the period</w:t>
            </w:r>
          </w:p>
        </w:tc>
        <w:tc>
          <w:tcPr>
            <w:tcW w:w="868" w:type="dxa"/>
            <w:vAlign w:val="center"/>
          </w:tcPr>
          <w:p w14:paraId="32E5083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778D3B1"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115DD923"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585FD128" w14:textId="51483BB3" w:rsidR="00A44BF6" w:rsidRPr="00DA53C4" w:rsidRDefault="009F50A3"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4</w:t>
            </w:r>
            <w:r w:rsidR="00DF2284" w:rsidRPr="00DA53C4">
              <w:rPr>
                <w:rFonts w:ascii="Arial" w:eastAsia="Batang" w:hAnsi="Arial" w:cs="Arial"/>
                <w:b/>
                <w:sz w:val="18"/>
                <w:szCs w:val="18"/>
              </w:rPr>
              <w:t>5</w:t>
            </w:r>
            <w:r w:rsidRPr="00DA53C4">
              <w:rPr>
                <w:rFonts w:ascii="Arial" w:eastAsia="Batang" w:hAnsi="Arial" w:cs="Arial"/>
                <w:b/>
                <w:sz w:val="18"/>
                <w:szCs w:val="18"/>
              </w:rPr>
              <w:t>.</w:t>
            </w:r>
            <w:r w:rsidR="00DF2284" w:rsidRPr="00DA53C4">
              <w:rPr>
                <w:rFonts w:ascii="Arial" w:eastAsia="Batang" w:hAnsi="Arial" w:cs="Arial"/>
                <w:b/>
                <w:sz w:val="18"/>
                <w:szCs w:val="18"/>
              </w:rPr>
              <w:t>6</w:t>
            </w:r>
          </w:p>
        </w:tc>
        <w:tc>
          <w:tcPr>
            <w:tcW w:w="1562" w:type="dxa"/>
            <w:gridSpan w:val="2"/>
            <w:vAlign w:val="center"/>
          </w:tcPr>
          <w:p w14:paraId="6EE7C345" w14:textId="0DCF2AAC"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44.1</w:t>
            </w:r>
          </w:p>
        </w:tc>
      </w:tr>
      <w:tr w:rsidR="00A44BF6" w:rsidRPr="00A44138" w14:paraId="275D6B24" w14:textId="77777777" w:rsidTr="00DE3335">
        <w:tc>
          <w:tcPr>
            <w:tcW w:w="4678" w:type="dxa"/>
            <w:gridSpan w:val="2"/>
            <w:vAlign w:val="center"/>
          </w:tcPr>
          <w:p w14:paraId="13B312A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68" w:type="dxa"/>
            <w:vAlign w:val="center"/>
          </w:tcPr>
          <w:p w14:paraId="57E04885"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524AEFB4"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1FDAC0FB"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262A28F0" w14:textId="77777777" w:rsidR="00A44BF6" w:rsidRPr="00A44BF6" w:rsidDel="00782B5D"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highlight w:val="yellow"/>
              </w:rPr>
            </w:pPr>
          </w:p>
        </w:tc>
        <w:tc>
          <w:tcPr>
            <w:tcW w:w="1562" w:type="dxa"/>
            <w:gridSpan w:val="2"/>
            <w:vAlign w:val="center"/>
          </w:tcPr>
          <w:p w14:paraId="3A714B2A" w14:textId="77777777"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A44BF6" w:rsidRPr="00A44138" w14:paraId="7205031E" w14:textId="77777777" w:rsidTr="00DE3335">
        <w:tc>
          <w:tcPr>
            <w:tcW w:w="4678" w:type="dxa"/>
            <w:gridSpan w:val="2"/>
            <w:vAlign w:val="center"/>
          </w:tcPr>
          <w:p w14:paraId="45E4189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Other comprehensive income</w:t>
            </w:r>
          </w:p>
        </w:tc>
        <w:tc>
          <w:tcPr>
            <w:tcW w:w="868" w:type="dxa"/>
            <w:vAlign w:val="center"/>
          </w:tcPr>
          <w:p w14:paraId="5A907B3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73D42B25"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D882ACC"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5BDE8D6E" w14:textId="4C811999" w:rsidR="00A44BF6" w:rsidRPr="00DA53C4" w:rsidRDefault="00DC7E41"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w:t>
            </w:r>
          </w:p>
        </w:tc>
        <w:tc>
          <w:tcPr>
            <w:tcW w:w="1562" w:type="dxa"/>
            <w:gridSpan w:val="2"/>
            <w:vAlign w:val="center"/>
          </w:tcPr>
          <w:p w14:paraId="03E48D15" w14:textId="4E94D4FC"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0.2</w:t>
            </w:r>
          </w:p>
        </w:tc>
      </w:tr>
      <w:tr w:rsidR="00A44BF6" w:rsidRPr="00A44138" w14:paraId="18970C39" w14:textId="77777777" w:rsidTr="00DE3335">
        <w:tc>
          <w:tcPr>
            <w:tcW w:w="4678" w:type="dxa"/>
            <w:gridSpan w:val="2"/>
            <w:vAlign w:val="center"/>
          </w:tcPr>
          <w:p w14:paraId="4555815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868" w:type="dxa"/>
            <w:vAlign w:val="center"/>
          </w:tcPr>
          <w:p w14:paraId="7C4FF91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2313C551"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488585DF"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bottom w:val="single" w:sz="4" w:space="0" w:color="auto"/>
            </w:tcBorders>
            <w:vAlign w:val="center"/>
          </w:tcPr>
          <w:p w14:paraId="456DA6DC" w14:textId="77777777" w:rsidR="00A44BF6" w:rsidRPr="00DA53C4" w:rsidDel="00782B5D" w:rsidRDefault="00A44BF6" w:rsidP="00A44BF6">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bottom w:val="single" w:sz="4" w:space="0" w:color="auto"/>
            </w:tcBorders>
            <w:vAlign w:val="center"/>
          </w:tcPr>
          <w:p w14:paraId="1AA72083" w14:textId="77777777"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A44BF6" w:rsidRPr="00A44138" w14:paraId="5C9FEEC7" w14:textId="77777777" w:rsidTr="00DE3335">
        <w:tc>
          <w:tcPr>
            <w:tcW w:w="4678" w:type="dxa"/>
            <w:gridSpan w:val="2"/>
            <w:vAlign w:val="center"/>
          </w:tcPr>
          <w:p w14:paraId="75BC96E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b/>
                <w:sz w:val="18"/>
                <w:szCs w:val="18"/>
                <w:lang w:eastAsia="ko-KR"/>
              </w:rPr>
              <w:t>Total comprehensive income for the period</w:t>
            </w:r>
          </w:p>
        </w:tc>
        <w:tc>
          <w:tcPr>
            <w:tcW w:w="868" w:type="dxa"/>
            <w:vAlign w:val="center"/>
          </w:tcPr>
          <w:p w14:paraId="5EF5546F"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04B51BBE"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2F5ED57"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single" w:sz="4" w:space="0" w:color="auto"/>
              <w:bottom w:val="double" w:sz="4" w:space="0" w:color="auto"/>
            </w:tcBorders>
            <w:vAlign w:val="center"/>
          </w:tcPr>
          <w:p w14:paraId="1F9EE79E" w14:textId="38469A45" w:rsidR="00A44BF6" w:rsidRPr="00DA53C4" w:rsidRDefault="000F1D41"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45.6</w:t>
            </w:r>
          </w:p>
        </w:tc>
        <w:tc>
          <w:tcPr>
            <w:tcW w:w="1562" w:type="dxa"/>
            <w:gridSpan w:val="2"/>
            <w:tcBorders>
              <w:top w:val="single" w:sz="4" w:space="0" w:color="auto"/>
              <w:bottom w:val="double" w:sz="4" w:space="0" w:color="auto"/>
            </w:tcBorders>
            <w:vAlign w:val="center"/>
          </w:tcPr>
          <w:p w14:paraId="2E28570A" w14:textId="41DD0599"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44.3</w:t>
            </w:r>
          </w:p>
        </w:tc>
      </w:tr>
      <w:tr w:rsidR="00A44BF6" w:rsidRPr="00A44138" w14:paraId="2AFA138C" w14:textId="77777777" w:rsidTr="00DE3335">
        <w:tc>
          <w:tcPr>
            <w:tcW w:w="4678" w:type="dxa"/>
            <w:gridSpan w:val="2"/>
            <w:vAlign w:val="center"/>
          </w:tcPr>
          <w:p w14:paraId="7E98217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68" w:type="dxa"/>
            <w:vAlign w:val="center"/>
          </w:tcPr>
          <w:p w14:paraId="2D48653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D5EBAA1"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462A844F"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double" w:sz="4" w:space="0" w:color="auto"/>
            </w:tcBorders>
            <w:vAlign w:val="center"/>
          </w:tcPr>
          <w:p w14:paraId="6822B206" w14:textId="77777777" w:rsidR="00A44BF6" w:rsidRPr="00DA53C4" w:rsidDel="00782B5D"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double" w:sz="4" w:space="0" w:color="auto"/>
            </w:tcBorders>
            <w:vAlign w:val="center"/>
          </w:tcPr>
          <w:p w14:paraId="16147C87" w14:textId="77777777"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A44BF6" w:rsidRPr="00A44138" w14:paraId="70FDAB64" w14:textId="77777777" w:rsidTr="00DE3335">
        <w:tc>
          <w:tcPr>
            <w:tcW w:w="4678" w:type="dxa"/>
            <w:gridSpan w:val="2"/>
            <w:vAlign w:val="center"/>
          </w:tcPr>
          <w:p w14:paraId="56CCA6CB" w14:textId="38D60D2A"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Cs/>
                <w:sz w:val="18"/>
                <w:szCs w:val="18"/>
                <w:lang w:eastAsia="ko-KR"/>
              </w:rPr>
            </w:pPr>
            <w:r w:rsidRPr="00A44138">
              <w:rPr>
                <w:rFonts w:ascii="Arial" w:eastAsia="Batang" w:hAnsi="Arial" w:cs="Arial"/>
                <w:bCs/>
                <w:sz w:val="18"/>
                <w:szCs w:val="18"/>
                <w:lang w:eastAsia="ko-KR"/>
              </w:rPr>
              <w:t>Profit/(Loss) attributable to:</w:t>
            </w:r>
          </w:p>
        </w:tc>
        <w:tc>
          <w:tcPr>
            <w:tcW w:w="868" w:type="dxa"/>
            <w:vAlign w:val="center"/>
          </w:tcPr>
          <w:p w14:paraId="042797C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7DF6ABEB"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B2E5585"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3B93D8F6" w14:textId="77777777" w:rsidR="00A44BF6" w:rsidRPr="00DA53C4" w:rsidDel="00782B5D"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vAlign w:val="center"/>
          </w:tcPr>
          <w:p w14:paraId="31F722C5" w14:textId="77777777"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A44BF6" w:rsidRPr="00A44138" w14:paraId="3AEA6D39" w14:textId="77777777" w:rsidTr="00DE3335">
        <w:tc>
          <w:tcPr>
            <w:tcW w:w="4678" w:type="dxa"/>
            <w:gridSpan w:val="2"/>
            <w:vAlign w:val="center"/>
          </w:tcPr>
          <w:p w14:paraId="4EA514A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Cs/>
                <w:sz w:val="18"/>
                <w:szCs w:val="18"/>
                <w:lang w:eastAsia="ko-KR"/>
              </w:rPr>
            </w:pPr>
            <w:r w:rsidRPr="00A44138">
              <w:rPr>
                <w:rFonts w:ascii="Arial" w:eastAsia="Batang" w:hAnsi="Arial" w:cs="Arial"/>
                <w:bCs/>
                <w:sz w:val="18"/>
                <w:szCs w:val="18"/>
                <w:lang w:eastAsia="ko-KR"/>
              </w:rPr>
              <w:t>Owners of the Company</w:t>
            </w:r>
          </w:p>
        </w:tc>
        <w:tc>
          <w:tcPr>
            <w:tcW w:w="868" w:type="dxa"/>
            <w:vAlign w:val="center"/>
          </w:tcPr>
          <w:p w14:paraId="2E158E0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0BF76497"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CDA9C7E"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59B26AFC" w14:textId="3A383148" w:rsidR="00A44BF6" w:rsidRPr="00DA53C4" w:rsidDel="00782B5D" w:rsidRDefault="005936E1"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45.</w:t>
            </w:r>
            <w:r w:rsidR="00E74B01">
              <w:rPr>
                <w:rFonts w:ascii="Arial" w:eastAsia="Batang" w:hAnsi="Arial" w:cs="Arial"/>
                <w:b/>
                <w:sz w:val="18"/>
                <w:szCs w:val="18"/>
              </w:rPr>
              <w:t>9</w:t>
            </w:r>
          </w:p>
        </w:tc>
        <w:tc>
          <w:tcPr>
            <w:tcW w:w="1562" w:type="dxa"/>
            <w:gridSpan w:val="2"/>
            <w:vAlign w:val="center"/>
          </w:tcPr>
          <w:p w14:paraId="2CBF1DE4" w14:textId="6610EB32"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44.2</w:t>
            </w:r>
          </w:p>
        </w:tc>
      </w:tr>
      <w:tr w:rsidR="00A44BF6" w:rsidRPr="00A44138" w14:paraId="3071C962" w14:textId="77777777" w:rsidTr="00DE3335">
        <w:tc>
          <w:tcPr>
            <w:tcW w:w="4678" w:type="dxa"/>
            <w:gridSpan w:val="2"/>
            <w:vAlign w:val="center"/>
          </w:tcPr>
          <w:p w14:paraId="4E6D02C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Cs/>
                <w:sz w:val="18"/>
                <w:szCs w:val="18"/>
                <w:lang w:eastAsia="ko-KR"/>
              </w:rPr>
            </w:pPr>
            <w:r w:rsidRPr="00A44138">
              <w:rPr>
                <w:rFonts w:ascii="Arial" w:eastAsia="Batang" w:hAnsi="Arial" w:cs="Arial"/>
                <w:bCs/>
                <w:sz w:val="18"/>
                <w:szCs w:val="18"/>
                <w:lang w:eastAsia="ko-KR"/>
              </w:rPr>
              <w:t>Non-controlling interest</w:t>
            </w:r>
          </w:p>
        </w:tc>
        <w:tc>
          <w:tcPr>
            <w:tcW w:w="868" w:type="dxa"/>
            <w:vAlign w:val="center"/>
          </w:tcPr>
          <w:p w14:paraId="4710EC7A" w14:textId="23E04FE0"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11</w:t>
            </w:r>
          </w:p>
        </w:tc>
        <w:tc>
          <w:tcPr>
            <w:tcW w:w="550" w:type="dxa"/>
            <w:gridSpan w:val="2"/>
            <w:vAlign w:val="center"/>
          </w:tcPr>
          <w:p w14:paraId="6F4CF024"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5A57D86"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bottom w:val="single" w:sz="4" w:space="0" w:color="auto"/>
            </w:tcBorders>
            <w:vAlign w:val="center"/>
          </w:tcPr>
          <w:p w14:paraId="68CD85F9" w14:textId="18C75CC4" w:rsidR="00A44BF6" w:rsidRPr="00DA53C4" w:rsidDel="00782B5D" w:rsidRDefault="00667972"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(0.</w:t>
            </w:r>
            <w:r w:rsidR="00E74B01">
              <w:rPr>
                <w:rFonts w:ascii="Arial" w:eastAsia="Batang" w:hAnsi="Arial" w:cs="Arial"/>
                <w:b/>
                <w:sz w:val="18"/>
                <w:szCs w:val="18"/>
              </w:rPr>
              <w:t>3</w:t>
            </w:r>
            <w:r w:rsidRPr="00DA53C4">
              <w:rPr>
                <w:rFonts w:ascii="Arial" w:eastAsia="Batang" w:hAnsi="Arial" w:cs="Arial"/>
                <w:b/>
                <w:sz w:val="18"/>
                <w:szCs w:val="18"/>
              </w:rPr>
              <w:t>)</w:t>
            </w:r>
          </w:p>
        </w:tc>
        <w:tc>
          <w:tcPr>
            <w:tcW w:w="1562" w:type="dxa"/>
            <w:gridSpan w:val="2"/>
            <w:tcBorders>
              <w:bottom w:val="single" w:sz="4" w:space="0" w:color="auto"/>
            </w:tcBorders>
            <w:vAlign w:val="center"/>
          </w:tcPr>
          <w:p w14:paraId="2F998AE2" w14:textId="6FBDCB33"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(0.1)</w:t>
            </w:r>
          </w:p>
        </w:tc>
      </w:tr>
      <w:tr w:rsidR="00A44BF6" w:rsidRPr="00A44138" w14:paraId="3A80252C" w14:textId="77777777" w:rsidTr="00DE3335">
        <w:tc>
          <w:tcPr>
            <w:tcW w:w="4678" w:type="dxa"/>
            <w:gridSpan w:val="2"/>
            <w:vAlign w:val="center"/>
          </w:tcPr>
          <w:p w14:paraId="184780C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Profit for the period</w:t>
            </w:r>
          </w:p>
        </w:tc>
        <w:tc>
          <w:tcPr>
            <w:tcW w:w="868" w:type="dxa"/>
            <w:vAlign w:val="center"/>
          </w:tcPr>
          <w:p w14:paraId="0A252E4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F6C887F" w14:textId="77777777" w:rsidR="00A44BF6" w:rsidRPr="00A44138" w:rsidRDefault="00A44BF6" w:rsidP="00A44BF6">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11BD46E8" w14:textId="77777777" w:rsidR="00A44BF6" w:rsidRPr="00A44138" w:rsidRDefault="00A44BF6" w:rsidP="00A44BF6">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single" w:sz="4" w:space="0" w:color="auto"/>
              <w:bottom w:val="double" w:sz="4" w:space="0" w:color="auto"/>
            </w:tcBorders>
            <w:vAlign w:val="center"/>
          </w:tcPr>
          <w:p w14:paraId="2555F2CC" w14:textId="504D70BD" w:rsidR="00A44BF6" w:rsidRPr="00DA53C4" w:rsidDel="00782B5D" w:rsidRDefault="005936E1"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45.6</w:t>
            </w:r>
          </w:p>
        </w:tc>
        <w:tc>
          <w:tcPr>
            <w:tcW w:w="1562" w:type="dxa"/>
            <w:gridSpan w:val="2"/>
            <w:tcBorders>
              <w:top w:val="single" w:sz="4" w:space="0" w:color="auto"/>
              <w:bottom w:val="double" w:sz="4" w:space="0" w:color="auto"/>
            </w:tcBorders>
            <w:vAlign w:val="center"/>
          </w:tcPr>
          <w:p w14:paraId="6D503EA5" w14:textId="51541525" w:rsidR="00A44BF6" w:rsidRPr="005E7A81" w:rsidRDefault="00A44BF6" w:rsidP="00A44BF6">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44.1</w:t>
            </w:r>
          </w:p>
        </w:tc>
      </w:tr>
      <w:tr w:rsidR="00F77FFA" w:rsidRPr="00A44138" w14:paraId="2A16BF7C" w14:textId="77777777" w:rsidTr="00DE3335">
        <w:tc>
          <w:tcPr>
            <w:tcW w:w="4678" w:type="dxa"/>
            <w:gridSpan w:val="2"/>
            <w:vAlign w:val="center"/>
          </w:tcPr>
          <w:p w14:paraId="611ECBBE"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68" w:type="dxa"/>
            <w:vAlign w:val="center"/>
          </w:tcPr>
          <w:p w14:paraId="757B3227"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2400538" w14:textId="77777777" w:rsidR="00F77FFA" w:rsidRPr="00A44138" w:rsidRDefault="00F77FFA" w:rsidP="00F77FFA">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D150358" w14:textId="77777777" w:rsidR="00F77FFA" w:rsidRPr="00A44138" w:rsidRDefault="00F77FFA" w:rsidP="00F77FFA">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double" w:sz="4" w:space="0" w:color="auto"/>
            </w:tcBorders>
            <w:vAlign w:val="center"/>
          </w:tcPr>
          <w:p w14:paraId="6A2E242D" w14:textId="77777777" w:rsidR="00F77FFA" w:rsidRPr="005525AE" w:rsidDel="00782B5D" w:rsidRDefault="00F77FFA" w:rsidP="00F77FFA">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double" w:sz="4" w:space="0" w:color="auto"/>
            </w:tcBorders>
            <w:vAlign w:val="center"/>
          </w:tcPr>
          <w:p w14:paraId="072ED10E" w14:textId="77777777" w:rsidR="00F77FFA" w:rsidRPr="00D97473" w:rsidRDefault="00F77FFA" w:rsidP="00F77FFA">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F77FFA" w:rsidRPr="00A44138" w14:paraId="56338358" w14:textId="77777777" w:rsidTr="00DE3335">
        <w:tc>
          <w:tcPr>
            <w:tcW w:w="4678" w:type="dxa"/>
            <w:gridSpan w:val="2"/>
            <w:vAlign w:val="center"/>
          </w:tcPr>
          <w:p w14:paraId="45BCB0C4"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Total comprehensive income attributable to:</w:t>
            </w:r>
          </w:p>
        </w:tc>
        <w:tc>
          <w:tcPr>
            <w:tcW w:w="868" w:type="dxa"/>
            <w:vAlign w:val="center"/>
          </w:tcPr>
          <w:p w14:paraId="72D63C4C"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FD41B6F" w14:textId="77777777" w:rsidR="00F77FFA" w:rsidRPr="00A44138" w:rsidRDefault="00F77FFA" w:rsidP="00F77FFA">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272D337D" w14:textId="77777777" w:rsidR="00F77FFA" w:rsidRPr="00A44138" w:rsidRDefault="00F77FFA" w:rsidP="00F77FFA">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0C1D04CD" w14:textId="77777777" w:rsidR="00F77FFA" w:rsidRPr="005525AE" w:rsidRDefault="00F77FFA" w:rsidP="00F77FFA">
            <w:pPr>
              <w:tabs>
                <w:tab w:val="decimal" w:pos="1021"/>
              </w:tabs>
              <w:overflowPunct w:val="0"/>
              <w:autoSpaceDE w:val="0"/>
              <w:autoSpaceDN w:val="0"/>
              <w:adjustRightInd w:val="0"/>
              <w:spacing w:after="0" w:line="240" w:lineRule="auto"/>
              <w:jc w:val="right"/>
              <w:textAlignment w:val="baseline"/>
              <w:rPr>
                <w:rFonts w:ascii="Arial" w:hAnsi="Arial"/>
                <w:b/>
                <w:sz w:val="18"/>
              </w:rPr>
            </w:pPr>
          </w:p>
        </w:tc>
        <w:tc>
          <w:tcPr>
            <w:tcW w:w="1562" w:type="dxa"/>
            <w:gridSpan w:val="2"/>
            <w:vAlign w:val="center"/>
          </w:tcPr>
          <w:p w14:paraId="504DDD66" w14:textId="77777777" w:rsidR="00F77FFA" w:rsidRPr="00D97473" w:rsidRDefault="00F77FFA" w:rsidP="00F77FFA">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BE4F61" w:rsidRPr="00A44138" w14:paraId="301E1F46" w14:textId="77777777" w:rsidTr="00DE3335">
        <w:tc>
          <w:tcPr>
            <w:tcW w:w="4678" w:type="dxa"/>
            <w:gridSpan w:val="2"/>
            <w:vAlign w:val="center"/>
          </w:tcPr>
          <w:p w14:paraId="1142B963"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Owners of the company</w:t>
            </w:r>
          </w:p>
        </w:tc>
        <w:tc>
          <w:tcPr>
            <w:tcW w:w="868" w:type="dxa"/>
            <w:vAlign w:val="center"/>
          </w:tcPr>
          <w:p w14:paraId="47CECC74"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63864E89"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27FDA27"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6DE0D1B9" w14:textId="333E9B3A" w:rsidR="00BE4F61" w:rsidRPr="00DA53C4" w:rsidRDefault="00BE4F61" w:rsidP="00BE4F61">
            <w:pPr>
              <w:tabs>
                <w:tab w:val="decimal" w:pos="1021"/>
              </w:tabs>
              <w:overflowPunct w:val="0"/>
              <w:autoSpaceDE w:val="0"/>
              <w:autoSpaceDN w:val="0"/>
              <w:adjustRightInd w:val="0"/>
              <w:spacing w:after="0" w:line="240" w:lineRule="auto"/>
              <w:jc w:val="right"/>
              <w:textAlignment w:val="baseline"/>
              <w:rPr>
                <w:rFonts w:ascii="Arial" w:hAnsi="Arial"/>
                <w:b/>
                <w:sz w:val="18"/>
              </w:rPr>
            </w:pPr>
            <w:r w:rsidRPr="00DA53C4">
              <w:rPr>
                <w:rFonts w:ascii="Arial" w:eastAsia="Batang" w:hAnsi="Arial" w:cs="Arial"/>
                <w:b/>
                <w:sz w:val="18"/>
                <w:szCs w:val="18"/>
              </w:rPr>
              <w:t>45.</w:t>
            </w:r>
            <w:r w:rsidR="00E74B01">
              <w:rPr>
                <w:rFonts w:ascii="Arial" w:eastAsia="Batang" w:hAnsi="Arial" w:cs="Arial"/>
                <w:b/>
                <w:sz w:val="18"/>
                <w:szCs w:val="18"/>
              </w:rPr>
              <w:t>9</w:t>
            </w:r>
          </w:p>
        </w:tc>
        <w:tc>
          <w:tcPr>
            <w:tcW w:w="1562" w:type="dxa"/>
            <w:gridSpan w:val="2"/>
            <w:vAlign w:val="center"/>
          </w:tcPr>
          <w:p w14:paraId="64DA91F4" w14:textId="168FCC04" w:rsidR="00BE4F61" w:rsidRPr="005E7A81" w:rsidRDefault="00BE4F61" w:rsidP="00BE4F61">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hAnsi="Arial"/>
                <w:bCs/>
                <w:sz w:val="18"/>
              </w:rPr>
              <w:t>44.4</w:t>
            </w:r>
          </w:p>
        </w:tc>
      </w:tr>
      <w:tr w:rsidR="00BE4F61" w:rsidRPr="00A44138" w14:paraId="04854F81" w14:textId="77777777" w:rsidTr="00DE3335">
        <w:tc>
          <w:tcPr>
            <w:tcW w:w="4678" w:type="dxa"/>
            <w:gridSpan w:val="2"/>
            <w:vAlign w:val="center"/>
          </w:tcPr>
          <w:p w14:paraId="0EA28DE9"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Non-controlling interest</w:t>
            </w:r>
          </w:p>
        </w:tc>
        <w:tc>
          <w:tcPr>
            <w:tcW w:w="868" w:type="dxa"/>
            <w:vAlign w:val="center"/>
          </w:tcPr>
          <w:p w14:paraId="0D2AD015" w14:textId="6EC5C272"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11</w:t>
            </w:r>
          </w:p>
        </w:tc>
        <w:tc>
          <w:tcPr>
            <w:tcW w:w="550" w:type="dxa"/>
            <w:gridSpan w:val="2"/>
            <w:vAlign w:val="center"/>
          </w:tcPr>
          <w:p w14:paraId="3E7D5E17"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6A8F757D"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bottom w:val="single" w:sz="4" w:space="0" w:color="auto"/>
            </w:tcBorders>
            <w:vAlign w:val="center"/>
          </w:tcPr>
          <w:p w14:paraId="1C9B3426" w14:textId="03D5D99D" w:rsidR="00BE4F61" w:rsidRPr="00DA53C4"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(0.</w:t>
            </w:r>
            <w:r w:rsidR="00E74B01">
              <w:rPr>
                <w:rFonts w:ascii="Arial" w:eastAsia="Batang" w:hAnsi="Arial" w:cs="Arial"/>
                <w:b/>
                <w:sz w:val="18"/>
                <w:szCs w:val="18"/>
              </w:rPr>
              <w:t>3</w:t>
            </w:r>
            <w:r w:rsidRPr="00DA53C4">
              <w:rPr>
                <w:rFonts w:ascii="Arial" w:eastAsia="Batang" w:hAnsi="Arial" w:cs="Arial"/>
                <w:b/>
                <w:sz w:val="18"/>
                <w:szCs w:val="18"/>
              </w:rPr>
              <w:t>)</w:t>
            </w:r>
          </w:p>
        </w:tc>
        <w:tc>
          <w:tcPr>
            <w:tcW w:w="1562" w:type="dxa"/>
            <w:gridSpan w:val="2"/>
            <w:tcBorders>
              <w:bottom w:val="single" w:sz="4" w:space="0" w:color="auto"/>
            </w:tcBorders>
            <w:vAlign w:val="center"/>
          </w:tcPr>
          <w:p w14:paraId="092C5353" w14:textId="7D8B1BB9" w:rsidR="00BE4F61" w:rsidRPr="005E7A81"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(0.1)</w:t>
            </w:r>
          </w:p>
        </w:tc>
      </w:tr>
      <w:tr w:rsidR="00BE4F61" w:rsidRPr="00A44138" w14:paraId="0361E3C5" w14:textId="77777777" w:rsidTr="00DE3335">
        <w:tc>
          <w:tcPr>
            <w:tcW w:w="4678" w:type="dxa"/>
            <w:gridSpan w:val="2"/>
            <w:vAlign w:val="center"/>
          </w:tcPr>
          <w:p w14:paraId="0947ABC2"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r w:rsidRPr="00A44138">
              <w:rPr>
                <w:rFonts w:ascii="Arial" w:eastAsia="Batang" w:hAnsi="Arial" w:cs="Arial"/>
                <w:b/>
                <w:sz w:val="18"/>
                <w:szCs w:val="18"/>
                <w:lang w:eastAsia="ko-KR"/>
              </w:rPr>
              <w:t>Total comprehensive income for the period</w:t>
            </w:r>
          </w:p>
        </w:tc>
        <w:tc>
          <w:tcPr>
            <w:tcW w:w="868" w:type="dxa"/>
            <w:vAlign w:val="center"/>
          </w:tcPr>
          <w:p w14:paraId="1D94E52E"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7428D5EC"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5DA3B21F"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single" w:sz="4" w:space="0" w:color="auto"/>
              <w:bottom w:val="double" w:sz="4" w:space="0" w:color="auto"/>
            </w:tcBorders>
            <w:vAlign w:val="center"/>
          </w:tcPr>
          <w:p w14:paraId="6BF544F9" w14:textId="70E623ED" w:rsidR="00BE4F61" w:rsidRPr="00DA53C4"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45.6</w:t>
            </w:r>
          </w:p>
        </w:tc>
        <w:tc>
          <w:tcPr>
            <w:tcW w:w="1562" w:type="dxa"/>
            <w:gridSpan w:val="2"/>
            <w:tcBorders>
              <w:top w:val="single" w:sz="4" w:space="0" w:color="auto"/>
              <w:bottom w:val="double" w:sz="4" w:space="0" w:color="auto"/>
            </w:tcBorders>
            <w:vAlign w:val="center"/>
          </w:tcPr>
          <w:p w14:paraId="3B63EC02" w14:textId="6E8D9593" w:rsidR="00BE4F61" w:rsidRPr="005E7A81"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eastAsia="Batang" w:hAnsi="Arial" w:cs="Arial"/>
                <w:bCs/>
                <w:sz w:val="18"/>
                <w:szCs w:val="18"/>
              </w:rPr>
              <w:t>44.3</w:t>
            </w:r>
          </w:p>
        </w:tc>
      </w:tr>
      <w:tr w:rsidR="00BE4F61" w:rsidRPr="00A44138" w14:paraId="085D5113" w14:textId="77777777" w:rsidTr="00DE3335">
        <w:tc>
          <w:tcPr>
            <w:tcW w:w="4678" w:type="dxa"/>
            <w:gridSpan w:val="2"/>
            <w:vAlign w:val="center"/>
          </w:tcPr>
          <w:p w14:paraId="5D6BA447"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68" w:type="dxa"/>
            <w:vAlign w:val="center"/>
          </w:tcPr>
          <w:p w14:paraId="058A1BFA"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E5FF3AE"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621413FB"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tcBorders>
              <w:top w:val="double" w:sz="4" w:space="0" w:color="auto"/>
            </w:tcBorders>
            <w:vAlign w:val="center"/>
          </w:tcPr>
          <w:p w14:paraId="374F5FBF" w14:textId="77777777" w:rsidR="00BE4F61" w:rsidRPr="00A44138"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p>
        </w:tc>
        <w:tc>
          <w:tcPr>
            <w:tcW w:w="1562" w:type="dxa"/>
            <w:gridSpan w:val="2"/>
            <w:tcBorders>
              <w:top w:val="double" w:sz="4" w:space="0" w:color="auto"/>
            </w:tcBorders>
            <w:vAlign w:val="center"/>
          </w:tcPr>
          <w:p w14:paraId="7B18FAE0" w14:textId="77777777" w:rsidR="00BE4F61" w:rsidRPr="00A44138"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BE4F61" w:rsidRPr="00A44138" w14:paraId="7A75DB46" w14:textId="77777777" w:rsidTr="00DE3335">
        <w:tc>
          <w:tcPr>
            <w:tcW w:w="4678" w:type="dxa"/>
            <w:gridSpan w:val="2"/>
            <w:vAlign w:val="center"/>
          </w:tcPr>
          <w:p w14:paraId="7EFBF661"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68" w:type="dxa"/>
            <w:vAlign w:val="center"/>
          </w:tcPr>
          <w:p w14:paraId="2327D516"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4A266B8F"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3EF91A20"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756C1AE8" w14:textId="77777777" w:rsidR="00BE4F61" w:rsidRPr="00A44138"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bCs/>
                <w:color w:val="FF0000"/>
                <w:sz w:val="18"/>
                <w:szCs w:val="18"/>
              </w:rPr>
            </w:pPr>
          </w:p>
        </w:tc>
        <w:tc>
          <w:tcPr>
            <w:tcW w:w="1562" w:type="dxa"/>
            <w:gridSpan w:val="2"/>
            <w:vAlign w:val="center"/>
          </w:tcPr>
          <w:p w14:paraId="4F513BF4" w14:textId="77777777" w:rsidR="00BE4F61" w:rsidRPr="00A44138"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p>
        </w:tc>
      </w:tr>
      <w:tr w:rsidR="00BE4F61" w:rsidRPr="00A44138" w14:paraId="551B159C" w14:textId="77777777" w:rsidTr="00DE3335">
        <w:tc>
          <w:tcPr>
            <w:tcW w:w="4678" w:type="dxa"/>
            <w:gridSpan w:val="2"/>
            <w:vAlign w:val="center"/>
          </w:tcPr>
          <w:p w14:paraId="166A1241"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r w:rsidRPr="00A44138">
              <w:rPr>
                <w:rFonts w:ascii="Arial" w:eastAsia="Batang" w:hAnsi="Arial" w:cs="Arial"/>
                <w:b/>
                <w:sz w:val="18"/>
                <w:szCs w:val="18"/>
                <w:lang w:eastAsia="ko-KR"/>
              </w:rPr>
              <w:t>Earnings per share:</w:t>
            </w:r>
          </w:p>
        </w:tc>
        <w:tc>
          <w:tcPr>
            <w:tcW w:w="868" w:type="dxa"/>
            <w:vAlign w:val="center"/>
          </w:tcPr>
          <w:p w14:paraId="7E4B0AF8"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550" w:type="dxa"/>
            <w:gridSpan w:val="2"/>
            <w:vAlign w:val="center"/>
          </w:tcPr>
          <w:p w14:paraId="1FF0D79D"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58C5DE6"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b/>
                <w:color w:val="FF0000"/>
                <w:sz w:val="18"/>
              </w:rPr>
            </w:pPr>
          </w:p>
        </w:tc>
        <w:tc>
          <w:tcPr>
            <w:tcW w:w="1418" w:type="dxa"/>
            <w:gridSpan w:val="2"/>
            <w:vAlign w:val="center"/>
          </w:tcPr>
          <w:p w14:paraId="24FB45C7" w14:textId="77777777" w:rsidR="00BE4F61" w:rsidRPr="00A44138" w:rsidRDefault="00BE4F61" w:rsidP="00BE4F61">
            <w:pPr>
              <w:tabs>
                <w:tab w:val="decimal" w:pos="1021"/>
              </w:tabs>
              <w:overflowPunct w:val="0"/>
              <w:autoSpaceDE w:val="0"/>
              <w:autoSpaceDN w:val="0"/>
              <w:adjustRightInd w:val="0"/>
              <w:spacing w:after="0" w:line="240" w:lineRule="auto"/>
              <w:jc w:val="right"/>
              <w:textAlignment w:val="baseline"/>
              <w:rPr>
                <w:rFonts w:ascii="Arial" w:hAnsi="Arial"/>
                <w:b/>
                <w:color w:val="FF0000"/>
                <w:sz w:val="18"/>
              </w:rPr>
            </w:pPr>
          </w:p>
        </w:tc>
        <w:tc>
          <w:tcPr>
            <w:tcW w:w="1562" w:type="dxa"/>
            <w:gridSpan w:val="2"/>
            <w:vAlign w:val="center"/>
          </w:tcPr>
          <w:p w14:paraId="56B0BBA2" w14:textId="77777777" w:rsidR="00BE4F61" w:rsidRPr="00A44138" w:rsidRDefault="00BE4F61" w:rsidP="00BE4F61">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BE4F61" w:rsidRPr="00A44138" w14:paraId="0A5952CD" w14:textId="77777777" w:rsidTr="00DE3335">
        <w:tc>
          <w:tcPr>
            <w:tcW w:w="4678" w:type="dxa"/>
            <w:gridSpan w:val="2"/>
            <w:vAlign w:val="center"/>
          </w:tcPr>
          <w:p w14:paraId="0B18E0C2"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Basic earnings per ordinary share (pence)</w:t>
            </w:r>
          </w:p>
        </w:tc>
        <w:tc>
          <w:tcPr>
            <w:tcW w:w="868" w:type="dxa"/>
            <w:vAlign w:val="center"/>
          </w:tcPr>
          <w:p w14:paraId="54733935"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5</w:t>
            </w:r>
          </w:p>
        </w:tc>
        <w:tc>
          <w:tcPr>
            <w:tcW w:w="550" w:type="dxa"/>
            <w:gridSpan w:val="2"/>
            <w:vAlign w:val="center"/>
          </w:tcPr>
          <w:p w14:paraId="63669213"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b/>
                <w:color w:val="FF0000"/>
                <w:sz w:val="18"/>
              </w:rPr>
            </w:pPr>
          </w:p>
        </w:tc>
        <w:tc>
          <w:tcPr>
            <w:tcW w:w="283" w:type="dxa"/>
            <w:vAlign w:val="center"/>
          </w:tcPr>
          <w:p w14:paraId="70FECB5A" w14:textId="77777777" w:rsidR="00BE4F61" w:rsidRPr="00A44138" w:rsidRDefault="00BE4F61" w:rsidP="00BE4F61">
            <w:pPr>
              <w:tabs>
                <w:tab w:val="decimal" w:pos="984"/>
              </w:tabs>
              <w:overflowPunct w:val="0"/>
              <w:autoSpaceDE w:val="0"/>
              <w:autoSpaceDN w:val="0"/>
              <w:adjustRightInd w:val="0"/>
              <w:spacing w:after="0" w:line="240" w:lineRule="auto"/>
              <w:ind w:left="-284"/>
              <w:textAlignment w:val="baseline"/>
              <w:rPr>
                <w:rFonts w:ascii="Arial" w:hAnsi="Arial"/>
                <w:color w:val="FF0000"/>
                <w:sz w:val="18"/>
              </w:rPr>
            </w:pPr>
          </w:p>
        </w:tc>
        <w:tc>
          <w:tcPr>
            <w:tcW w:w="1418" w:type="dxa"/>
            <w:gridSpan w:val="2"/>
            <w:vAlign w:val="center"/>
          </w:tcPr>
          <w:p w14:paraId="79CC1D79" w14:textId="3E0A11D6" w:rsidR="00BE4F61" w:rsidRPr="00DA53C4" w:rsidRDefault="00F7017C"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8.6</w:t>
            </w:r>
          </w:p>
        </w:tc>
        <w:tc>
          <w:tcPr>
            <w:tcW w:w="1562" w:type="dxa"/>
            <w:gridSpan w:val="2"/>
            <w:vAlign w:val="center"/>
          </w:tcPr>
          <w:p w14:paraId="2693ACCF" w14:textId="45DCFAD6" w:rsidR="00BE4F61" w:rsidRPr="005E7A81" w:rsidRDefault="00BE4F61" w:rsidP="00BE4F61">
            <w:pPr>
              <w:tabs>
                <w:tab w:val="decimal" w:pos="1021"/>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hAnsi="Arial"/>
                <w:bCs/>
                <w:sz w:val="18"/>
              </w:rPr>
              <w:t>8.3</w:t>
            </w:r>
          </w:p>
        </w:tc>
      </w:tr>
      <w:tr w:rsidR="00BE4F61" w:rsidRPr="00A44138" w14:paraId="12E6D794" w14:textId="77777777" w:rsidTr="00DE3335">
        <w:tc>
          <w:tcPr>
            <w:tcW w:w="4678" w:type="dxa"/>
            <w:gridSpan w:val="2"/>
            <w:vAlign w:val="center"/>
          </w:tcPr>
          <w:p w14:paraId="1FCA2E88"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sz w:val="18"/>
                <w:szCs w:val="18"/>
                <w:lang w:eastAsia="ko-KR"/>
              </w:rPr>
              <w:t>Diluted earnings per ordinary share (pence)</w:t>
            </w:r>
          </w:p>
        </w:tc>
        <w:tc>
          <w:tcPr>
            <w:tcW w:w="868" w:type="dxa"/>
            <w:vAlign w:val="center"/>
          </w:tcPr>
          <w:p w14:paraId="2A67E9C1" w14:textId="77777777" w:rsidR="00BE4F61" w:rsidRPr="00A44138" w:rsidRDefault="00BE4F61" w:rsidP="00BE4F61">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5</w:t>
            </w:r>
          </w:p>
        </w:tc>
        <w:tc>
          <w:tcPr>
            <w:tcW w:w="550" w:type="dxa"/>
            <w:gridSpan w:val="2"/>
            <w:vAlign w:val="center"/>
          </w:tcPr>
          <w:p w14:paraId="6F7F5C7D" w14:textId="77777777" w:rsidR="00BE4F61" w:rsidRPr="00A44138" w:rsidRDefault="00BE4F61" w:rsidP="00BE4F61">
            <w:pPr>
              <w:tabs>
                <w:tab w:val="decimal" w:pos="1015"/>
              </w:tabs>
              <w:overflowPunct w:val="0"/>
              <w:autoSpaceDE w:val="0"/>
              <w:autoSpaceDN w:val="0"/>
              <w:adjustRightInd w:val="0"/>
              <w:spacing w:after="0" w:line="240" w:lineRule="auto"/>
              <w:textAlignment w:val="baseline"/>
              <w:rPr>
                <w:rFonts w:ascii="Arial" w:hAnsi="Arial"/>
                <w:color w:val="FF0000"/>
                <w:sz w:val="18"/>
              </w:rPr>
            </w:pPr>
          </w:p>
        </w:tc>
        <w:tc>
          <w:tcPr>
            <w:tcW w:w="283" w:type="dxa"/>
            <w:vAlign w:val="center"/>
          </w:tcPr>
          <w:p w14:paraId="040C1D47" w14:textId="77777777" w:rsidR="00BE4F61" w:rsidRPr="00A44138" w:rsidDel="00865164" w:rsidRDefault="00BE4F61" w:rsidP="00BE4F61">
            <w:pPr>
              <w:tabs>
                <w:tab w:val="decimal" w:pos="1015"/>
              </w:tabs>
              <w:overflowPunct w:val="0"/>
              <w:autoSpaceDE w:val="0"/>
              <w:autoSpaceDN w:val="0"/>
              <w:adjustRightInd w:val="0"/>
              <w:spacing w:after="0" w:line="240" w:lineRule="auto"/>
              <w:ind w:left="-284"/>
              <w:textAlignment w:val="baseline"/>
              <w:rPr>
                <w:rFonts w:ascii="Arial" w:hAnsi="Arial"/>
                <w:color w:val="FF0000"/>
                <w:sz w:val="18"/>
                <w:u w:val="single"/>
              </w:rPr>
            </w:pPr>
          </w:p>
        </w:tc>
        <w:tc>
          <w:tcPr>
            <w:tcW w:w="1418" w:type="dxa"/>
            <w:gridSpan w:val="2"/>
            <w:vAlign w:val="center"/>
          </w:tcPr>
          <w:p w14:paraId="5FCBD5A1" w14:textId="5A2B26D7" w:rsidR="00BE4F61" w:rsidRPr="00DA53C4" w:rsidRDefault="00F7017C" w:rsidP="00BE4F61">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
                <w:sz w:val="18"/>
                <w:szCs w:val="18"/>
              </w:rPr>
            </w:pPr>
            <w:r w:rsidRPr="00DA53C4">
              <w:rPr>
                <w:rFonts w:ascii="Arial" w:eastAsia="Batang" w:hAnsi="Arial" w:cs="Arial"/>
                <w:b/>
                <w:sz w:val="18"/>
                <w:szCs w:val="18"/>
              </w:rPr>
              <w:t>8.</w:t>
            </w:r>
            <w:r w:rsidR="003E1A8C">
              <w:rPr>
                <w:rFonts w:ascii="Arial" w:eastAsia="Batang" w:hAnsi="Arial" w:cs="Arial"/>
                <w:b/>
                <w:sz w:val="18"/>
                <w:szCs w:val="18"/>
              </w:rPr>
              <w:t>5</w:t>
            </w:r>
          </w:p>
        </w:tc>
        <w:tc>
          <w:tcPr>
            <w:tcW w:w="1562" w:type="dxa"/>
            <w:gridSpan w:val="2"/>
            <w:vAlign w:val="center"/>
          </w:tcPr>
          <w:p w14:paraId="29CF5B1B" w14:textId="25C5FEDC" w:rsidR="00BE4F61" w:rsidRPr="005E7A81" w:rsidRDefault="00BE4F61" w:rsidP="00BE4F61">
            <w:pPr>
              <w:tabs>
                <w:tab w:val="decimal" w:pos="1015"/>
              </w:tabs>
              <w:overflowPunct w:val="0"/>
              <w:autoSpaceDE w:val="0"/>
              <w:autoSpaceDN w:val="0"/>
              <w:adjustRightInd w:val="0"/>
              <w:spacing w:after="0" w:line="240" w:lineRule="auto"/>
              <w:ind w:left="-1"/>
              <w:jc w:val="right"/>
              <w:textAlignment w:val="baseline"/>
              <w:rPr>
                <w:rFonts w:ascii="Arial" w:eastAsia="Batang" w:hAnsi="Arial" w:cs="Arial"/>
                <w:bCs/>
                <w:sz w:val="18"/>
                <w:szCs w:val="18"/>
              </w:rPr>
            </w:pPr>
            <w:r w:rsidRPr="005E7A81">
              <w:rPr>
                <w:rFonts w:ascii="Arial" w:hAnsi="Arial"/>
                <w:bCs/>
                <w:sz w:val="18"/>
              </w:rPr>
              <w:t>8.2</w:t>
            </w:r>
          </w:p>
        </w:tc>
      </w:tr>
    </w:tbl>
    <w:p w14:paraId="3CE90828" w14:textId="77777777" w:rsidR="00294FD1" w:rsidRPr="00A44138" w:rsidRDefault="00294FD1" w:rsidP="00294FD1">
      <w:pPr>
        <w:tabs>
          <w:tab w:val="left" w:pos="567"/>
          <w:tab w:val="left" w:pos="1559"/>
          <w:tab w:val="left" w:pos="2268"/>
          <w:tab w:val="left" w:pos="2977"/>
          <w:tab w:val="left" w:pos="3686"/>
          <w:tab w:val="left" w:pos="4394"/>
          <w:tab w:val="right" w:pos="8789"/>
        </w:tabs>
        <w:spacing w:after="0" w:line="240" w:lineRule="auto"/>
        <w:ind w:left="567"/>
        <w:jc w:val="both"/>
        <w:rPr>
          <w:rFonts w:ascii="Arial" w:hAnsi="Arial"/>
          <w:color w:val="FF0000"/>
          <w:sz w:val="20"/>
        </w:rPr>
      </w:pPr>
    </w:p>
    <w:p w14:paraId="52EAB3A2" w14:textId="77777777" w:rsidR="00294FD1" w:rsidRPr="00A44138" w:rsidRDefault="00294FD1" w:rsidP="00294FD1">
      <w:pPr>
        <w:pageBreakBefore/>
        <w:overflowPunct w:val="0"/>
        <w:autoSpaceDE w:val="0"/>
        <w:autoSpaceDN w:val="0"/>
        <w:adjustRightInd w:val="0"/>
        <w:spacing w:after="0" w:line="240" w:lineRule="auto"/>
        <w:jc w:val="both"/>
        <w:textAlignment w:val="baseline"/>
        <w:rPr>
          <w:rFonts w:ascii="Arial" w:eastAsia="Batang" w:hAnsi="Arial" w:cs="Arial"/>
          <w:b/>
          <w:sz w:val="26"/>
          <w:szCs w:val="20"/>
        </w:rPr>
      </w:pPr>
      <w:r w:rsidRPr="00A44138">
        <w:rPr>
          <w:rFonts w:ascii="Arial" w:eastAsia="Batang" w:hAnsi="Arial" w:cs="Arial"/>
          <w:b/>
          <w:sz w:val="26"/>
          <w:szCs w:val="20"/>
        </w:rPr>
        <w:lastRenderedPageBreak/>
        <w:t>Consolidated statement of financial position</w:t>
      </w:r>
    </w:p>
    <w:p w14:paraId="10FA242C" w14:textId="10D4CC3B"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eastAsia="Batang" w:hAnsi="Arial" w:cs="Arial"/>
          <w:i/>
          <w:sz w:val="20"/>
          <w:szCs w:val="20"/>
        </w:rPr>
      </w:pPr>
      <w:r w:rsidRPr="00A44138">
        <w:rPr>
          <w:rFonts w:ascii="Arial" w:eastAsia="Batang" w:hAnsi="Arial" w:cs="Arial"/>
          <w:i/>
          <w:sz w:val="20"/>
          <w:szCs w:val="20"/>
        </w:rPr>
        <w:t>as at 30 June 202</w:t>
      </w:r>
      <w:r w:rsidR="00A44BF6">
        <w:rPr>
          <w:rFonts w:ascii="Arial" w:eastAsia="Batang" w:hAnsi="Arial" w:cs="Arial"/>
          <w:i/>
          <w:sz w:val="20"/>
          <w:szCs w:val="20"/>
        </w:rPr>
        <w:t>5</w:t>
      </w:r>
      <w:r w:rsidRPr="00A44138">
        <w:rPr>
          <w:rFonts w:ascii="Arial" w:eastAsia="Batang" w:hAnsi="Arial" w:cs="Arial"/>
          <w:i/>
          <w:sz w:val="20"/>
          <w:szCs w:val="20"/>
        </w:rPr>
        <w:t>, 31 December 202</w:t>
      </w:r>
      <w:r w:rsidR="00A44BF6">
        <w:rPr>
          <w:rFonts w:ascii="Arial" w:eastAsia="Batang" w:hAnsi="Arial" w:cs="Arial"/>
          <w:i/>
          <w:sz w:val="20"/>
          <w:szCs w:val="20"/>
        </w:rPr>
        <w:t>4</w:t>
      </w:r>
      <w:r w:rsidRPr="00A44138">
        <w:rPr>
          <w:rFonts w:ascii="Arial" w:eastAsia="Batang" w:hAnsi="Arial" w:cs="Arial"/>
          <w:i/>
          <w:sz w:val="20"/>
          <w:szCs w:val="20"/>
        </w:rPr>
        <w:t xml:space="preserve"> and 30 June 202</w:t>
      </w:r>
      <w:r w:rsidR="00A44BF6">
        <w:rPr>
          <w:rFonts w:ascii="Arial" w:eastAsia="Batang" w:hAnsi="Arial" w:cs="Arial"/>
          <w:i/>
          <w:sz w:val="20"/>
          <w:szCs w:val="20"/>
        </w:rPr>
        <w:t>4</w:t>
      </w:r>
    </w:p>
    <w:tbl>
      <w:tblPr>
        <w:tblW w:w="9809" w:type="dxa"/>
        <w:tblLayout w:type="fixed"/>
        <w:tblCellMar>
          <w:left w:w="0" w:type="dxa"/>
        </w:tblCellMar>
        <w:tblLook w:val="0000" w:firstRow="0" w:lastRow="0" w:firstColumn="0" w:lastColumn="0" w:noHBand="0" w:noVBand="0"/>
      </w:tblPr>
      <w:tblGrid>
        <w:gridCol w:w="4536"/>
        <w:gridCol w:w="851"/>
        <w:gridCol w:w="1474"/>
        <w:gridCol w:w="1503"/>
        <w:gridCol w:w="1445"/>
      </w:tblGrid>
      <w:tr w:rsidR="00294FD1" w:rsidRPr="00A44138" w14:paraId="26A68847" w14:textId="77777777" w:rsidTr="00DE3335">
        <w:trPr>
          <w:trHeight w:val="280"/>
        </w:trPr>
        <w:tc>
          <w:tcPr>
            <w:tcW w:w="4536" w:type="dxa"/>
          </w:tcPr>
          <w:p w14:paraId="674A690D"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olor w:val="FF0000"/>
                <w:sz w:val="18"/>
              </w:rPr>
            </w:pPr>
          </w:p>
        </w:tc>
        <w:tc>
          <w:tcPr>
            <w:tcW w:w="851" w:type="dxa"/>
          </w:tcPr>
          <w:p w14:paraId="2CACF2FD"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right="142"/>
              <w:jc w:val="right"/>
              <w:rPr>
                <w:rFonts w:ascii="Arial" w:hAnsi="Arial"/>
                <w:i/>
                <w:color w:val="FF0000"/>
                <w:sz w:val="18"/>
              </w:rPr>
            </w:pPr>
          </w:p>
        </w:tc>
        <w:tc>
          <w:tcPr>
            <w:tcW w:w="1474" w:type="dxa"/>
          </w:tcPr>
          <w:p w14:paraId="01F29088" w14:textId="77777777" w:rsidR="00294FD1" w:rsidRPr="00A44138" w:rsidRDefault="00294FD1">
            <w:pPr>
              <w:tabs>
                <w:tab w:val="decimal" w:pos="990"/>
                <w:tab w:val="left" w:pos="1530"/>
                <w:tab w:val="left" w:pos="2268"/>
                <w:tab w:val="left" w:pos="2977"/>
                <w:tab w:val="left" w:pos="3686"/>
                <w:tab w:val="left" w:pos="4394"/>
                <w:tab w:val="right" w:pos="8789"/>
              </w:tabs>
              <w:spacing w:after="0" w:line="260" w:lineRule="atLeast"/>
              <w:ind w:right="141"/>
              <w:jc w:val="right"/>
              <w:rPr>
                <w:rFonts w:ascii="Arial" w:hAnsi="Arial"/>
                <w:b/>
                <w:color w:val="FF0000"/>
                <w:sz w:val="18"/>
              </w:rPr>
            </w:pPr>
          </w:p>
        </w:tc>
        <w:tc>
          <w:tcPr>
            <w:tcW w:w="1503" w:type="dxa"/>
          </w:tcPr>
          <w:p w14:paraId="519F62DC" w14:textId="77777777" w:rsidR="00294FD1" w:rsidRPr="00A44138" w:rsidRDefault="00294FD1">
            <w:pPr>
              <w:tabs>
                <w:tab w:val="decimal" w:pos="990"/>
                <w:tab w:val="left" w:pos="1530"/>
                <w:tab w:val="left" w:pos="2268"/>
                <w:tab w:val="left" w:pos="2977"/>
                <w:tab w:val="left" w:pos="3686"/>
                <w:tab w:val="left" w:pos="4394"/>
                <w:tab w:val="right" w:pos="8789"/>
              </w:tabs>
              <w:spacing w:after="0" w:line="260" w:lineRule="atLeast"/>
              <w:ind w:right="141"/>
              <w:jc w:val="right"/>
              <w:rPr>
                <w:rFonts w:ascii="Arial" w:hAnsi="Arial"/>
                <w:b/>
                <w:color w:val="FF0000"/>
                <w:sz w:val="18"/>
              </w:rPr>
            </w:pPr>
          </w:p>
        </w:tc>
        <w:tc>
          <w:tcPr>
            <w:tcW w:w="1445" w:type="dxa"/>
          </w:tcPr>
          <w:p w14:paraId="6AA06744" w14:textId="77777777" w:rsidR="00294FD1" w:rsidRPr="00A44138" w:rsidRDefault="00294FD1">
            <w:pPr>
              <w:tabs>
                <w:tab w:val="decimal" w:pos="990"/>
                <w:tab w:val="left" w:pos="1530"/>
                <w:tab w:val="left" w:pos="2268"/>
                <w:tab w:val="left" w:pos="2977"/>
                <w:tab w:val="left" w:pos="3686"/>
                <w:tab w:val="left" w:pos="4394"/>
                <w:tab w:val="right" w:pos="8789"/>
              </w:tabs>
              <w:spacing w:after="0" w:line="260" w:lineRule="atLeast"/>
              <w:ind w:right="141"/>
              <w:jc w:val="right"/>
              <w:rPr>
                <w:rFonts w:ascii="Arial" w:hAnsi="Arial"/>
                <w:color w:val="FF0000"/>
                <w:sz w:val="18"/>
              </w:rPr>
            </w:pPr>
          </w:p>
        </w:tc>
      </w:tr>
      <w:tr w:rsidR="00F77FFA" w:rsidRPr="00A44138" w14:paraId="100EF067" w14:textId="77777777" w:rsidTr="00DE3335">
        <w:trPr>
          <w:trHeight w:val="296"/>
        </w:trPr>
        <w:tc>
          <w:tcPr>
            <w:tcW w:w="4536" w:type="dxa"/>
          </w:tcPr>
          <w:p w14:paraId="5DC6C6D6"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hAnsi="Arial"/>
                <w:color w:val="FF0000"/>
                <w:sz w:val="18"/>
              </w:rPr>
            </w:pPr>
          </w:p>
        </w:tc>
        <w:tc>
          <w:tcPr>
            <w:tcW w:w="851" w:type="dxa"/>
            <w:vAlign w:val="center"/>
          </w:tcPr>
          <w:p w14:paraId="2DC6DEAE"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Note</w:t>
            </w:r>
          </w:p>
        </w:tc>
        <w:tc>
          <w:tcPr>
            <w:tcW w:w="1474" w:type="dxa"/>
            <w:vAlign w:val="center"/>
          </w:tcPr>
          <w:p w14:paraId="41597202" w14:textId="77777777"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A44138">
              <w:rPr>
                <w:rFonts w:ascii="Arial" w:hAnsi="Arial"/>
                <w:b/>
                <w:sz w:val="18"/>
              </w:rPr>
              <w:t xml:space="preserve">30 June </w:t>
            </w:r>
          </w:p>
          <w:p w14:paraId="1F77846E" w14:textId="28A81BE8"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A44138">
              <w:rPr>
                <w:rFonts w:ascii="Arial" w:hAnsi="Arial"/>
                <w:b/>
                <w:sz w:val="18"/>
              </w:rPr>
              <w:t>202</w:t>
            </w:r>
            <w:r w:rsidR="00A44BF6">
              <w:rPr>
                <w:rFonts w:ascii="Arial" w:hAnsi="Arial"/>
                <w:b/>
                <w:sz w:val="18"/>
              </w:rPr>
              <w:t>5</w:t>
            </w:r>
          </w:p>
        </w:tc>
        <w:tc>
          <w:tcPr>
            <w:tcW w:w="1503" w:type="dxa"/>
            <w:vAlign w:val="center"/>
          </w:tcPr>
          <w:p w14:paraId="4720314C"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31 December</w:t>
            </w:r>
          </w:p>
          <w:p w14:paraId="3910196F" w14:textId="6847D4A6"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202</w:t>
            </w:r>
            <w:r w:rsidR="00A44BF6" w:rsidRPr="005E7A81">
              <w:rPr>
                <w:rFonts w:ascii="Arial" w:hAnsi="Arial"/>
                <w:b/>
                <w:sz w:val="18"/>
              </w:rPr>
              <w:t>4</w:t>
            </w:r>
          </w:p>
        </w:tc>
        <w:tc>
          <w:tcPr>
            <w:tcW w:w="1445" w:type="dxa"/>
            <w:vAlign w:val="center"/>
          </w:tcPr>
          <w:p w14:paraId="67FE8AE8"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 xml:space="preserve">30 June </w:t>
            </w:r>
          </w:p>
          <w:p w14:paraId="2CF3624D" w14:textId="6E199DB5"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202</w:t>
            </w:r>
            <w:r w:rsidR="00A44BF6" w:rsidRPr="005E7A81">
              <w:rPr>
                <w:rFonts w:ascii="Arial" w:hAnsi="Arial"/>
                <w:b/>
                <w:sz w:val="18"/>
              </w:rPr>
              <w:t>4</w:t>
            </w:r>
          </w:p>
        </w:tc>
      </w:tr>
      <w:tr w:rsidR="00F77FFA" w:rsidRPr="00A44138" w14:paraId="7910815F" w14:textId="77777777" w:rsidTr="00DE3335">
        <w:trPr>
          <w:trHeight w:val="280"/>
        </w:trPr>
        <w:tc>
          <w:tcPr>
            <w:tcW w:w="4536" w:type="dxa"/>
          </w:tcPr>
          <w:p w14:paraId="28295D63"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hAnsi="Arial"/>
                <w:b/>
                <w:color w:val="FF0000"/>
                <w:sz w:val="18"/>
              </w:rPr>
            </w:pPr>
          </w:p>
        </w:tc>
        <w:tc>
          <w:tcPr>
            <w:tcW w:w="851" w:type="dxa"/>
            <w:vAlign w:val="center"/>
          </w:tcPr>
          <w:p w14:paraId="55F05AC2"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sz w:val="18"/>
              </w:rPr>
            </w:pPr>
          </w:p>
        </w:tc>
        <w:tc>
          <w:tcPr>
            <w:tcW w:w="1474" w:type="dxa"/>
            <w:vAlign w:val="center"/>
          </w:tcPr>
          <w:p w14:paraId="1DAF2199" w14:textId="77777777" w:rsidR="00F77FFA"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A44138">
              <w:rPr>
                <w:rFonts w:ascii="Arial" w:hAnsi="Arial"/>
                <w:b/>
                <w:sz w:val="18"/>
              </w:rPr>
              <w:t>£m</w:t>
            </w:r>
          </w:p>
          <w:p w14:paraId="00D69C5F" w14:textId="77777777"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vAlign w:val="center"/>
          </w:tcPr>
          <w:p w14:paraId="7A19E5A9" w14:textId="77777777" w:rsidR="00F77FFA"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£m</w:t>
            </w:r>
          </w:p>
          <w:p w14:paraId="44399E76" w14:textId="67550A68" w:rsidR="00F77FFA" w:rsidRPr="00872F4D" w:rsidRDefault="00BC559D"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i/>
                <w:sz w:val="18"/>
              </w:rPr>
            </w:pPr>
            <w:r w:rsidRPr="00872F4D">
              <w:rPr>
                <w:rFonts w:ascii="Arial" w:hAnsi="Arial"/>
                <w:bCs/>
                <w:i/>
                <w:iCs/>
                <w:sz w:val="18"/>
              </w:rPr>
              <w:t>Restated</w:t>
            </w:r>
            <w:r w:rsidRPr="00872F4D">
              <w:rPr>
                <w:rStyle w:val="FootnoteReference"/>
                <w:rFonts w:ascii="Arial" w:hAnsi="Arial"/>
                <w:bCs/>
                <w:i/>
                <w:iCs/>
                <w:sz w:val="18"/>
              </w:rPr>
              <w:footnoteReference w:id="4"/>
            </w:r>
          </w:p>
        </w:tc>
        <w:tc>
          <w:tcPr>
            <w:tcW w:w="1445" w:type="dxa"/>
            <w:vAlign w:val="center"/>
          </w:tcPr>
          <w:p w14:paraId="7E3F6384" w14:textId="77777777" w:rsidR="00F77FFA"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5E7A81">
              <w:rPr>
                <w:rFonts w:ascii="Arial" w:hAnsi="Arial"/>
                <w:b/>
                <w:sz w:val="18"/>
              </w:rPr>
              <w:t>£m</w:t>
            </w:r>
          </w:p>
          <w:p w14:paraId="7180E650" w14:textId="2EB6F98D" w:rsidR="00F77FFA" w:rsidRPr="005E7A81" w:rsidRDefault="00A70328"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r w:rsidRPr="00872F4D">
              <w:rPr>
                <w:rFonts w:ascii="Arial" w:hAnsi="Arial"/>
                <w:bCs/>
                <w:i/>
                <w:iCs/>
                <w:sz w:val="18"/>
              </w:rPr>
              <w:t>Restated</w:t>
            </w:r>
            <w:r>
              <w:rPr>
                <w:rStyle w:val="FootnoteReference"/>
                <w:rFonts w:ascii="Arial" w:hAnsi="Arial"/>
                <w:bCs/>
                <w:i/>
                <w:iCs/>
                <w:sz w:val="18"/>
              </w:rPr>
              <w:t>3</w:t>
            </w:r>
          </w:p>
        </w:tc>
      </w:tr>
      <w:tr w:rsidR="00F77FFA" w:rsidRPr="00A44138" w14:paraId="2ECCBB8E" w14:textId="77777777" w:rsidTr="00DE3335">
        <w:trPr>
          <w:trHeight w:val="280"/>
        </w:trPr>
        <w:tc>
          <w:tcPr>
            <w:tcW w:w="4536" w:type="dxa"/>
            <w:vAlign w:val="center"/>
          </w:tcPr>
          <w:p w14:paraId="09401286"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color w:val="FF0000"/>
                <w:sz w:val="18"/>
                <w:szCs w:val="18"/>
                <w:lang w:eastAsia="ko-KR"/>
              </w:rPr>
            </w:pPr>
          </w:p>
        </w:tc>
        <w:tc>
          <w:tcPr>
            <w:tcW w:w="851" w:type="dxa"/>
            <w:vAlign w:val="center"/>
          </w:tcPr>
          <w:p w14:paraId="7A135FA4"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vAlign w:val="center"/>
          </w:tcPr>
          <w:p w14:paraId="544902EC" w14:textId="77777777"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color w:val="FF0000"/>
                <w:sz w:val="18"/>
              </w:rPr>
            </w:pPr>
          </w:p>
        </w:tc>
        <w:tc>
          <w:tcPr>
            <w:tcW w:w="1503" w:type="dxa"/>
            <w:vAlign w:val="center"/>
          </w:tcPr>
          <w:p w14:paraId="10020AC1"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39633A9F"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r>
      <w:tr w:rsidR="00F77FFA" w:rsidRPr="00A44138" w14:paraId="57B3100A" w14:textId="77777777" w:rsidTr="00DE3335">
        <w:trPr>
          <w:trHeight w:val="280"/>
        </w:trPr>
        <w:tc>
          <w:tcPr>
            <w:tcW w:w="4536" w:type="dxa"/>
            <w:vAlign w:val="center"/>
          </w:tcPr>
          <w:p w14:paraId="7F440F99"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Assets</w:t>
            </w:r>
          </w:p>
        </w:tc>
        <w:tc>
          <w:tcPr>
            <w:tcW w:w="851" w:type="dxa"/>
            <w:vAlign w:val="center"/>
          </w:tcPr>
          <w:p w14:paraId="711758B0"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color w:val="FF0000"/>
                <w:sz w:val="18"/>
              </w:rPr>
            </w:pPr>
          </w:p>
        </w:tc>
        <w:tc>
          <w:tcPr>
            <w:tcW w:w="1474" w:type="dxa"/>
            <w:vAlign w:val="center"/>
          </w:tcPr>
          <w:p w14:paraId="27B25EBC" w14:textId="77777777"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color w:val="FF0000"/>
                <w:sz w:val="18"/>
              </w:rPr>
            </w:pPr>
          </w:p>
        </w:tc>
        <w:tc>
          <w:tcPr>
            <w:tcW w:w="1503" w:type="dxa"/>
            <w:vAlign w:val="center"/>
          </w:tcPr>
          <w:p w14:paraId="00E92373"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0B019B64"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r>
      <w:tr w:rsidR="00F77FFA" w:rsidRPr="00A44138" w14:paraId="2F00A058" w14:textId="77777777" w:rsidTr="00DE3335">
        <w:trPr>
          <w:trHeight w:val="296"/>
        </w:trPr>
        <w:tc>
          <w:tcPr>
            <w:tcW w:w="4536" w:type="dxa"/>
            <w:vAlign w:val="center"/>
          </w:tcPr>
          <w:p w14:paraId="0B7B2445"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Non-current assets</w:t>
            </w:r>
          </w:p>
        </w:tc>
        <w:tc>
          <w:tcPr>
            <w:tcW w:w="851" w:type="dxa"/>
            <w:vAlign w:val="center"/>
          </w:tcPr>
          <w:p w14:paraId="0E2B1195" w14:textId="77777777" w:rsidR="00F77FFA" w:rsidRPr="00A44138" w:rsidRDefault="00F77FFA" w:rsidP="00F77FFA">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color w:val="FF0000"/>
                <w:sz w:val="18"/>
              </w:rPr>
            </w:pPr>
          </w:p>
        </w:tc>
        <w:tc>
          <w:tcPr>
            <w:tcW w:w="1474" w:type="dxa"/>
            <w:vAlign w:val="center"/>
          </w:tcPr>
          <w:p w14:paraId="254E428B" w14:textId="77777777" w:rsidR="00F77FFA" w:rsidRPr="00A44138"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color w:val="FF0000"/>
                <w:sz w:val="18"/>
              </w:rPr>
            </w:pPr>
          </w:p>
        </w:tc>
        <w:tc>
          <w:tcPr>
            <w:tcW w:w="1503" w:type="dxa"/>
            <w:vAlign w:val="center"/>
          </w:tcPr>
          <w:p w14:paraId="465B97ED"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42E0393D" w14:textId="77777777" w:rsidR="00F77FFA" w:rsidRPr="005E7A81" w:rsidRDefault="00F77FFA" w:rsidP="00F77FFA">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r>
      <w:tr w:rsidR="00A44BF6" w:rsidRPr="00A44138" w14:paraId="1C259CCA" w14:textId="77777777" w:rsidTr="00DE3335">
        <w:trPr>
          <w:trHeight w:val="280"/>
        </w:trPr>
        <w:tc>
          <w:tcPr>
            <w:tcW w:w="4536" w:type="dxa"/>
            <w:vAlign w:val="center"/>
          </w:tcPr>
          <w:p w14:paraId="461418E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Property, plant and equipment</w:t>
            </w:r>
          </w:p>
        </w:tc>
        <w:tc>
          <w:tcPr>
            <w:tcW w:w="851" w:type="dxa"/>
            <w:vAlign w:val="center"/>
          </w:tcPr>
          <w:p w14:paraId="0C0B191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sz w:val="18"/>
              </w:rPr>
            </w:pPr>
          </w:p>
        </w:tc>
        <w:tc>
          <w:tcPr>
            <w:tcW w:w="1474" w:type="dxa"/>
            <w:vAlign w:val="center"/>
          </w:tcPr>
          <w:p w14:paraId="20CEB81D" w14:textId="61022634" w:rsidR="00A44BF6" w:rsidRPr="00DA53C4" w:rsidRDefault="0032267F"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26.8</w:t>
            </w:r>
          </w:p>
        </w:tc>
        <w:tc>
          <w:tcPr>
            <w:tcW w:w="1503" w:type="dxa"/>
            <w:vAlign w:val="center"/>
          </w:tcPr>
          <w:p w14:paraId="3579F6D2" w14:textId="180897FD"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28.3</w:t>
            </w:r>
          </w:p>
        </w:tc>
        <w:tc>
          <w:tcPr>
            <w:tcW w:w="1445" w:type="dxa"/>
            <w:vAlign w:val="center"/>
          </w:tcPr>
          <w:p w14:paraId="22FE984E" w14:textId="3924A5B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29.5</w:t>
            </w:r>
          </w:p>
        </w:tc>
      </w:tr>
      <w:tr w:rsidR="00A44BF6" w:rsidRPr="00A44138" w14:paraId="6D3601A3" w14:textId="77777777" w:rsidTr="00DE3335">
        <w:trPr>
          <w:trHeight w:val="280"/>
        </w:trPr>
        <w:tc>
          <w:tcPr>
            <w:tcW w:w="4536" w:type="dxa"/>
            <w:vAlign w:val="center"/>
          </w:tcPr>
          <w:p w14:paraId="69FCAA8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Intangible assets and goodwill</w:t>
            </w:r>
          </w:p>
        </w:tc>
        <w:tc>
          <w:tcPr>
            <w:tcW w:w="851" w:type="dxa"/>
            <w:vAlign w:val="center"/>
          </w:tcPr>
          <w:p w14:paraId="1D27D3C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r w:rsidRPr="00A44138">
              <w:rPr>
                <w:rFonts w:ascii="Arial" w:hAnsi="Arial"/>
                <w:i/>
                <w:sz w:val="18"/>
              </w:rPr>
              <w:t>7</w:t>
            </w:r>
          </w:p>
        </w:tc>
        <w:tc>
          <w:tcPr>
            <w:tcW w:w="1474" w:type="dxa"/>
          </w:tcPr>
          <w:p w14:paraId="1BF3D94D" w14:textId="2DF6D534" w:rsidR="00A44BF6" w:rsidRPr="00DA53C4" w:rsidRDefault="00465F97"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246.8</w:t>
            </w:r>
          </w:p>
        </w:tc>
        <w:tc>
          <w:tcPr>
            <w:tcW w:w="1503" w:type="dxa"/>
            <w:vAlign w:val="center"/>
          </w:tcPr>
          <w:p w14:paraId="74E4234E" w14:textId="62FFD1DB"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252.5</w:t>
            </w:r>
          </w:p>
        </w:tc>
        <w:tc>
          <w:tcPr>
            <w:tcW w:w="1445" w:type="dxa"/>
          </w:tcPr>
          <w:p w14:paraId="6F2B5A59" w14:textId="0C2AC1D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255.4</w:t>
            </w:r>
          </w:p>
        </w:tc>
      </w:tr>
      <w:tr w:rsidR="00A44BF6" w:rsidRPr="00A44138" w14:paraId="506A6287" w14:textId="77777777" w:rsidTr="00DE3335">
        <w:trPr>
          <w:trHeight w:val="296"/>
        </w:trPr>
        <w:tc>
          <w:tcPr>
            <w:tcW w:w="4536" w:type="dxa"/>
            <w:vAlign w:val="center"/>
          </w:tcPr>
          <w:p w14:paraId="7B5A05C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Other investments</w:t>
            </w:r>
          </w:p>
        </w:tc>
        <w:tc>
          <w:tcPr>
            <w:tcW w:w="851" w:type="dxa"/>
            <w:vAlign w:val="center"/>
          </w:tcPr>
          <w:p w14:paraId="479C926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1474" w:type="dxa"/>
            <w:tcBorders>
              <w:bottom w:val="single" w:sz="4" w:space="0" w:color="auto"/>
            </w:tcBorders>
          </w:tcPr>
          <w:p w14:paraId="5CA9AE5E" w14:textId="4192D3C5" w:rsidR="00A44BF6" w:rsidRPr="00DA53C4" w:rsidRDefault="009C2FE3"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6.</w:t>
            </w:r>
            <w:r w:rsidR="007904A4" w:rsidRPr="00DA53C4">
              <w:rPr>
                <w:rFonts w:ascii="Arial" w:eastAsia="Batang" w:hAnsi="Arial" w:cs="Arial"/>
                <w:b/>
                <w:sz w:val="18"/>
                <w:szCs w:val="18"/>
                <w:lang w:eastAsia="ko-KR"/>
              </w:rPr>
              <w:t>8</w:t>
            </w:r>
          </w:p>
        </w:tc>
        <w:tc>
          <w:tcPr>
            <w:tcW w:w="1503" w:type="dxa"/>
            <w:tcBorders>
              <w:bottom w:val="single" w:sz="4" w:space="0" w:color="auto"/>
            </w:tcBorders>
            <w:vAlign w:val="center"/>
          </w:tcPr>
          <w:p w14:paraId="74933F63" w14:textId="4903D550"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6.8</w:t>
            </w:r>
          </w:p>
        </w:tc>
        <w:tc>
          <w:tcPr>
            <w:tcW w:w="1445" w:type="dxa"/>
          </w:tcPr>
          <w:p w14:paraId="4FF3A0BD" w14:textId="55DD6D8C"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5.6</w:t>
            </w:r>
          </w:p>
        </w:tc>
      </w:tr>
      <w:tr w:rsidR="00A44BF6" w:rsidRPr="00A44138" w14:paraId="7CB12E27" w14:textId="77777777" w:rsidTr="00DE3335">
        <w:trPr>
          <w:trHeight w:val="280"/>
        </w:trPr>
        <w:tc>
          <w:tcPr>
            <w:tcW w:w="4536" w:type="dxa"/>
            <w:vAlign w:val="center"/>
          </w:tcPr>
          <w:p w14:paraId="1C52B62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non-current assets</w:t>
            </w:r>
          </w:p>
        </w:tc>
        <w:tc>
          <w:tcPr>
            <w:tcW w:w="851" w:type="dxa"/>
            <w:vAlign w:val="center"/>
          </w:tcPr>
          <w:p w14:paraId="2C22B93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sz w:val="18"/>
              </w:rPr>
            </w:pPr>
          </w:p>
        </w:tc>
        <w:tc>
          <w:tcPr>
            <w:tcW w:w="1474" w:type="dxa"/>
            <w:tcBorders>
              <w:top w:val="single" w:sz="4" w:space="0" w:color="auto"/>
              <w:bottom w:val="single" w:sz="4" w:space="0" w:color="auto"/>
            </w:tcBorders>
          </w:tcPr>
          <w:p w14:paraId="4B28D5B7" w14:textId="505AAFA3" w:rsidR="00A44BF6" w:rsidRPr="00DA53C4" w:rsidRDefault="00BF3A77"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280.4</w:t>
            </w:r>
          </w:p>
        </w:tc>
        <w:tc>
          <w:tcPr>
            <w:tcW w:w="1503" w:type="dxa"/>
            <w:tcBorders>
              <w:top w:val="single" w:sz="4" w:space="0" w:color="auto"/>
              <w:bottom w:val="single" w:sz="4" w:space="0" w:color="auto"/>
            </w:tcBorders>
            <w:vAlign w:val="center"/>
          </w:tcPr>
          <w:p w14:paraId="789B99AE" w14:textId="3705A18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287.6</w:t>
            </w:r>
          </w:p>
        </w:tc>
        <w:tc>
          <w:tcPr>
            <w:tcW w:w="1445" w:type="dxa"/>
            <w:tcBorders>
              <w:top w:val="single" w:sz="4" w:space="0" w:color="auto"/>
              <w:bottom w:val="single" w:sz="4" w:space="0" w:color="auto"/>
            </w:tcBorders>
          </w:tcPr>
          <w:p w14:paraId="04639E01" w14:textId="375F0E1C"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290.5</w:t>
            </w:r>
          </w:p>
        </w:tc>
      </w:tr>
      <w:tr w:rsidR="00A44BF6" w:rsidRPr="00A44138" w14:paraId="71D47E86" w14:textId="77777777" w:rsidTr="00DE3335">
        <w:trPr>
          <w:trHeight w:val="186"/>
        </w:trPr>
        <w:tc>
          <w:tcPr>
            <w:tcW w:w="4536" w:type="dxa"/>
            <w:vAlign w:val="center"/>
          </w:tcPr>
          <w:p w14:paraId="34448B4D" w14:textId="77777777" w:rsidR="00A44BF6" w:rsidRPr="00A44138" w:rsidDel="004F6CE0"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851" w:type="dxa"/>
            <w:vAlign w:val="center"/>
          </w:tcPr>
          <w:p w14:paraId="44A0C9A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tcBorders>
            <w:vAlign w:val="center"/>
          </w:tcPr>
          <w:p w14:paraId="676442B0"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color w:val="FF0000"/>
                <w:sz w:val="18"/>
              </w:rPr>
            </w:pPr>
          </w:p>
        </w:tc>
        <w:tc>
          <w:tcPr>
            <w:tcW w:w="1503" w:type="dxa"/>
            <w:tcBorders>
              <w:top w:val="single" w:sz="4" w:space="0" w:color="auto"/>
            </w:tcBorders>
            <w:vAlign w:val="center"/>
          </w:tcPr>
          <w:p w14:paraId="0C5F36ED"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tcBorders>
              <w:top w:val="single" w:sz="4" w:space="0" w:color="auto"/>
            </w:tcBorders>
            <w:vAlign w:val="center"/>
          </w:tcPr>
          <w:p w14:paraId="3BCAE589"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1557E6ED" w14:textId="77777777" w:rsidTr="00DE3335">
        <w:trPr>
          <w:trHeight w:val="249"/>
        </w:trPr>
        <w:tc>
          <w:tcPr>
            <w:tcW w:w="4536" w:type="dxa"/>
            <w:vAlign w:val="center"/>
          </w:tcPr>
          <w:p w14:paraId="0006DF0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Current assets</w:t>
            </w:r>
          </w:p>
        </w:tc>
        <w:tc>
          <w:tcPr>
            <w:tcW w:w="851" w:type="dxa"/>
            <w:vAlign w:val="center"/>
          </w:tcPr>
          <w:p w14:paraId="22A5FAD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vAlign w:val="center"/>
          </w:tcPr>
          <w:p w14:paraId="5493C20C"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color w:val="FF0000"/>
                <w:sz w:val="18"/>
              </w:rPr>
            </w:pPr>
          </w:p>
        </w:tc>
        <w:tc>
          <w:tcPr>
            <w:tcW w:w="1503" w:type="dxa"/>
            <w:vAlign w:val="center"/>
          </w:tcPr>
          <w:p w14:paraId="43882E96"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5A6FFD5E"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663C458D" w14:textId="77777777" w:rsidTr="00DE3335">
        <w:trPr>
          <w:trHeight w:val="280"/>
        </w:trPr>
        <w:tc>
          <w:tcPr>
            <w:tcW w:w="4536" w:type="dxa"/>
            <w:vAlign w:val="center"/>
          </w:tcPr>
          <w:p w14:paraId="6842DB8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Trade and other receivables</w:t>
            </w:r>
          </w:p>
        </w:tc>
        <w:tc>
          <w:tcPr>
            <w:tcW w:w="851" w:type="dxa"/>
            <w:vAlign w:val="center"/>
          </w:tcPr>
          <w:p w14:paraId="67ECA42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jc w:val="center"/>
              <w:rPr>
                <w:rFonts w:ascii="Arial" w:hAnsi="Arial"/>
                <w:i/>
                <w:iCs/>
                <w:color w:val="FF0000"/>
                <w:sz w:val="18"/>
              </w:rPr>
            </w:pPr>
          </w:p>
        </w:tc>
        <w:tc>
          <w:tcPr>
            <w:tcW w:w="1474" w:type="dxa"/>
          </w:tcPr>
          <w:p w14:paraId="7C636641" w14:textId="3BB49772" w:rsidR="00A44BF6" w:rsidRPr="00DA53C4" w:rsidRDefault="008A1A45"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Pr>
                <w:rFonts w:ascii="Arial" w:eastAsia="Batang" w:hAnsi="Arial" w:cs="Arial"/>
                <w:b/>
                <w:sz w:val="18"/>
                <w:szCs w:val="18"/>
                <w:lang w:eastAsia="ko-KR"/>
              </w:rPr>
              <w:t>98.8</w:t>
            </w:r>
          </w:p>
        </w:tc>
        <w:tc>
          <w:tcPr>
            <w:tcW w:w="1503" w:type="dxa"/>
            <w:vAlign w:val="center"/>
          </w:tcPr>
          <w:p w14:paraId="0C56BAE3" w14:textId="67A4B94E"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82.6</w:t>
            </w:r>
          </w:p>
        </w:tc>
        <w:tc>
          <w:tcPr>
            <w:tcW w:w="1445" w:type="dxa"/>
          </w:tcPr>
          <w:p w14:paraId="764C3FE6" w14:textId="0DDF82B8"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82.7</w:t>
            </w:r>
          </w:p>
        </w:tc>
      </w:tr>
      <w:tr w:rsidR="00A44BF6" w:rsidRPr="00A44138" w14:paraId="604F198E" w14:textId="77777777" w:rsidTr="00DE3335">
        <w:trPr>
          <w:trHeight w:val="296"/>
        </w:trPr>
        <w:tc>
          <w:tcPr>
            <w:tcW w:w="4536" w:type="dxa"/>
            <w:vAlign w:val="center"/>
          </w:tcPr>
          <w:p w14:paraId="31451AC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Prepayments</w:t>
            </w:r>
          </w:p>
        </w:tc>
        <w:tc>
          <w:tcPr>
            <w:tcW w:w="851" w:type="dxa"/>
            <w:vAlign w:val="center"/>
          </w:tcPr>
          <w:p w14:paraId="431FFA2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color w:val="FF0000"/>
                <w:sz w:val="18"/>
              </w:rPr>
            </w:pPr>
          </w:p>
        </w:tc>
        <w:tc>
          <w:tcPr>
            <w:tcW w:w="1474" w:type="dxa"/>
          </w:tcPr>
          <w:p w14:paraId="3CCBE802" w14:textId="29FEC020" w:rsidR="00A44BF6" w:rsidRPr="00DA53C4" w:rsidRDefault="002B151C"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11.6</w:t>
            </w:r>
          </w:p>
        </w:tc>
        <w:tc>
          <w:tcPr>
            <w:tcW w:w="1503" w:type="dxa"/>
            <w:vAlign w:val="center"/>
          </w:tcPr>
          <w:p w14:paraId="75905FA7" w14:textId="1C9A650E"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9.2</w:t>
            </w:r>
          </w:p>
        </w:tc>
        <w:tc>
          <w:tcPr>
            <w:tcW w:w="1445" w:type="dxa"/>
          </w:tcPr>
          <w:p w14:paraId="3EB27C15" w14:textId="57BB254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11.9</w:t>
            </w:r>
          </w:p>
        </w:tc>
      </w:tr>
      <w:tr w:rsidR="00A44BF6" w:rsidRPr="00A44138" w14:paraId="4574A3DF" w14:textId="77777777" w:rsidTr="00DE3335">
        <w:trPr>
          <w:trHeight w:val="280"/>
        </w:trPr>
        <w:tc>
          <w:tcPr>
            <w:tcW w:w="4536" w:type="dxa"/>
            <w:vAlign w:val="center"/>
          </w:tcPr>
          <w:p w14:paraId="559433F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Current tax assets</w:t>
            </w:r>
          </w:p>
        </w:tc>
        <w:tc>
          <w:tcPr>
            <w:tcW w:w="851" w:type="dxa"/>
            <w:vAlign w:val="center"/>
          </w:tcPr>
          <w:p w14:paraId="3199E98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color w:val="FF0000"/>
                <w:sz w:val="18"/>
              </w:rPr>
            </w:pPr>
          </w:p>
        </w:tc>
        <w:tc>
          <w:tcPr>
            <w:tcW w:w="1474" w:type="dxa"/>
          </w:tcPr>
          <w:p w14:paraId="78A11B10" w14:textId="1A22C22A" w:rsidR="00A44BF6" w:rsidRPr="00DA53C4" w:rsidDel="00F31857" w:rsidRDefault="00184B21"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Pr>
                <w:rFonts w:ascii="Arial" w:eastAsia="Batang" w:hAnsi="Arial" w:cs="Arial"/>
                <w:b/>
                <w:bCs/>
                <w:sz w:val="18"/>
                <w:szCs w:val="18"/>
                <w:lang w:eastAsia="ko-KR"/>
              </w:rPr>
              <w:t>0.5</w:t>
            </w:r>
          </w:p>
        </w:tc>
        <w:tc>
          <w:tcPr>
            <w:tcW w:w="1503" w:type="dxa"/>
            <w:vAlign w:val="center"/>
          </w:tcPr>
          <w:p w14:paraId="57981D09" w14:textId="70CDF560"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0.5</w:t>
            </w:r>
          </w:p>
        </w:tc>
        <w:tc>
          <w:tcPr>
            <w:tcW w:w="1445" w:type="dxa"/>
          </w:tcPr>
          <w:p w14:paraId="019ED597" w14:textId="289BFDCB"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2.8</w:t>
            </w:r>
          </w:p>
        </w:tc>
      </w:tr>
      <w:tr w:rsidR="00A44BF6" w:rsidRPr="00A44138" w14:paraId="28F4A12A" w14:textId="77777777" w:rsidTr="00DE3335">
        <w:trPr>
          <w:trHeight w:val="280"/>
        </w:trPr>
        <w:tc>
          <w:tcPr>
            <w:tcW w:w="4536" w:type="dxa"/>
            <w:vAlign w:val="center"/>
          </w:tcPr>
          <w:p w14:paraId="26BF8DB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Cash and cash equivalents</w:t>
            </w:r>
          </w:p>
        </w:tc>
        <w:tc>
          <w:tcPr>
            <w:tcW w:w="851" w:type="dxa"/>
            <w:vAlign w:val="center"/>
          </w:tcPr>
          <w:p w14:paraId="1DAB588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color w:val="FF0000"/>
                <w:sz w:val="18"/>
              </w:rPr>
            </w:pPr>
          </w:p>
        </w:tc>
        <w:tc>
          <w:tcPr>
            <w:tcW w:w="1474" w:type="dxa"/>
            <w:tcBorders>
              <w:bottom w:val="single" w:sz="4" w:space="0" w:color="auto"/>
            </w:tcBorders>
          </w:tcPr>
          <w:p w14:paraId="5170FB3A" w14:textId="77045509" w:rsidR="00A44BF6" w:rsidRPr="00DA53C4" w:rsidRDefault="001746A0"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28.7</w:t>
            </w:r>
          </w:p>
        </w:tc>
        <w:tc>
          <w:tcPr>
            <w:tcW w:w="1503" w:type="dxa"/>
            <w:vAlign w:val="center"/>
          </w:tcPr>
          <w:p w14:paraId="7662D063" w14:textId="6DAD37A2"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22.4</w:t>
            </w:r>
          </w:p>
        </w:tc>
        <w:tc>
          <w:tcPr>
            <w:tcW w:w="1445" w:type="dxa"/>
          </w:tcPr>
          <w:p w14:paraId="47E14A85" w14:textId="331D1C08"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24.9</w:t>
            </w:r>
          </w:p>
        </w:tc>
      </w:tr>
      <w:tr w:rsidR="00A44BF6" w:rsidRPr="00A44138" w14:paraId="0B0613C5" w14:textId="77777777" w:rsidTr="00DE3335">
        <w:trPr>
          <w:trHeight w:val="280"/>
        </w:trPr>
        <w:tc>
          <w:tcPr>
            <w:tcW w:w="4536" w:type="dxa"/>
            <w:vAlign w:val="center"/>
          </w:tcPr>
          <w:p w14:paraId="4BD7A1B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current assets</w:t>
            </w:r>
          </w:p>
        </w:tc>
        <w:tc>
          <w:tcPr>
            <w:tcW w:w="851" w:type="dxa"/>
            <w:vAlign w:val="center"/>
          </w:tcPr>
          <w:p w14:paraId="2A640B6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single" w:sz="4" w:space="0" w:color="auto"/>
            </w:tcBorders>
          </w:tcPr>
          <w:p w14:paraId="5B16360C" w14:textId="4ECE943F" w:rsidR="00A44BF6" w:rsidRPr="00DA53C4" w:rsidRDefault="00AC3E9A"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139.6</w:t>
            </w:r>
          </w:p>
        </w:tc>
        <w:tc>
          <w:tcPr>
            <w:tcW w:w="1503" w:type="dxa"/>
            <w:tcBorders>
              <w:top w:val="single" w:sz="4" w:space="0" w:color="auto"/>
              <w:bottom w:val="single" w:sz="4" w:space="0" w:color="auto"/>
            </w:tcBorders>
            <w:vAlign w:val="center"/>
          </w:tcPr>
          <w:p w14:paraId="7E245D12" w14:textId="05AB1CD6"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114.7</w:t>
            </w:r>
          </w:p>
        </w:tc>
        <w:tc>
          <w:tcPr>
            <w:tcW w:w="1445" w:type="dxa"/>
            <w:tcBorders>
              <w:top w:val="single" w:sz="4" w:space="0" w:color="auto"/>
            </w:tcBorders>
          </w:tcPr>
          <w:p w14:paraId="54137F43" w14:textId="058AABFB"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122.3</w:t>
            </w:r>
          </w:p>
        </w:tc>
      </w:tr>
      <w:tr w:rsidR="00A44BF6" w:rsidRPr="00A44138" w14:paraId="0C39F1DD" w14:textId="77777777" w:rsidTr="00DE3335">
        <w:trPr>
          <w:trHeight w:val="280"/>
        </w:trPr>
        <w:tc>
          <w:tcPr>
            <w:tcW w:w="4536" w:type="dxa"/>
            <w:vAlign w:val="center"/>
          </w:tcPr>
          <w:p w14:paraId="03312BA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assets</w:t>
            </w:r>
          </w:p>
        </w:tc>
        <w:tc>
          <w:tcPr>
            <w:tcW w:w="851" w:type="dxa"/>
            <w:vAlign w:val="center"/>
          </w:tcPr>
          <w:p w14:paraId="1064A3A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double" w:sz="4" w:space="0" w:color="auto"/>
            </w:tcBorders>
          </w:tcPr>
          <w:p w14:paraId="7FE5F190" w14:textId="43B36560" w:rsidR="00A44BF6" w:rsidRPr="00DA53C4" w:rsidRDefault="00BF3A77"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420.</w:t>
            </w:r>
            <w:r w:rsidR="00AC3E9A" w:rsidRPr="00DA53C4">
              <w:rPr>
                <w:rFonts w:ascii="Arial" w:eastAsia="Batang" w:hAnsi="Arial" w:cs="Arial"/>
                <w:b/>
                <w:sz w:val="18"/>
                <w:szCs w:val="18"/>
                <w:lang w:eastAsia="ko-KR"/>
              </w:rPr>
              <w:t>0</w:t>
            </w:r>
          </w:p>
        </w:tc>
        <w:tc>
          <w:tcPr>
            <w:tcW w:w="1503" w:type="dxa"/>
            <w:tcBorders>
              <w:top w:val="single" w:sz="4" w:space="0" w:color="auto"/>
              <w:bottom w:val="double" w:sz="4" w:space="0" w:color="auto"/>
            </w:tcBorders>
            <w:vAlign w:val="center"/>
          </w:tcPr>
          <w:p w14:paraId="33711A3F" w14:textId="4BE65425"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402.3</w:t>
            </w:r>
          </w:p>
        </w:tc>
        <w:tc>
          <w:tcPr>
            <w:tcW w:w="1445" w:type="dxa"/>
            <w:tcBorders>
              <w:top w:val="single" w:sz="4" w:space="0" w:color="auto"/>
              <w:bottom w:val="double" w:sz="4" w:space="0" w:color="auto"/>
            </w:tcBorders>
          </w:tcPr>
          <w:p w14:paraId="1508C353" w14:textId="4360F895"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412.8</w:t>
            </w:r>
          </w:p>
        </w:tc>
      </w:tr>
      <w:tr w:rsidR="00A44BF6" w:rsidRPr="00A44138" w14:paraId="2891C9A9" w14:textId="77777777" w:rsidTr="00DE3335">
        <w:trPr>
          <w:trHeight w:val="124"/>
        </w:trPr>
        <w:tc>
          <w:tcPr>
            <w:tcW w:w="4536" w:type="dxa"/>
            <w:vAlign w:val="center"/>
          </w:tcPr>
          <w:p w14:paraId="2600734B" w14:textId="77777777" w:rsidR="00A44BF6" w:rsidRPr="00A44138" w:rsidRDefault="00A44BF6" w:rsidP="00A44BF6">
            <w:pPr>
              <w:overflowPunct w:val="0"/>
              <w:autoSpaceDE w:val="0"/>
              <w:autoSpaceDN w:val="0"/>
              <w:adjustRightInd w:val="0"/>
              <w:spacing w:after="0" w:line="240" w:lineRule="auto"/>
              <w:textAlignment w:val="baseline"/>
              <w:rPr>
                <w:rFonts w:ascii="Arial" w:hAnsi="Arial"/>
                <w:b/>
                <w:sz w:val="18"/>
              </w:rPr>
            </w:pPr>
          </w:p>
        </w:tc>
        <w:tc>
          <w:tcPr>
            <w:tcW w:w="851" w:type="dxa"/>
            <w:vAlign w:val="center"/>
          </w:tcPr>
          <w:p w14:paraId="7A53CD13" w14:textId="77777777" w:rsidR="00A44BF6" w:rsidRPr="00A44138" w:rsidRDefault="00A44BF6" w:rsidP="00A44BF6">
            <w:pPr>
              <w:tabs>
                <w:tab w:val="decimal" w:pos="1015"/>
              </w:tabs>
              <w:overflowPunct w:val="0"/>
              <w:autoSpaceDE w:val="0"/>
              <w:autoSpaceDN w:val="0"/>
              <w:adjustRightInd w:val="0"/>
              <w:spacing w:after="0" w:line="240" w:lineRule="auto"/>
              <w:ind w:right="142"/>
              <w:jc w:val="center"/>
              <w:textAlignment w:val="baseline"/>
              <w:rPr>
                <w:rFonts w:ascii="Arial" w:hAnsi="Arial"/>
                <w:i/>
                <w:color w:val="FF0000"/>
                <w:sz w:val="18"/>
              </w:rPr>
            </w:pPr>
          </w:p>
        </w:tc>
        <w:tc>
          <w:tcPr>
            <w:tcW w:w="1474" w:type="dxa"/>
            <w:tcBorders>
              <w:top w:val="double" w:sz="4" w:space="0" w:color="auto"/>
            </w:tcBorders>
            <w:vAlign w:val="center"/>
          </w:tcPr>
          <w:p w14:paraId="7BEF4105" w14:textId="77777777" w:rsidR="00A44BF6" w:rsidRPr="00DA53C4"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b/>
                <w:sz w:val="18"/>
              </w:rPr>
            </w:pPr>
          </w:p>
        </w:tc>
        <w:tc>
          <w:tcPr>
            <w:tcW w:w="1503" w:type="dxa"/>
            <w:tcBorders>
              <w:top w:val="single" w:sz="4" w:space="0" w:color="auto"/>
            </w:tcBorders>
            <w:vAlign w:val="center"/>
          </w:tcPr>
          <w:p w14:paraId="249E450B" w14:textId="77777777" w:rsidR="00A44BF6" w:rsidRPr="005E7A81"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bCs/>
                <w:sz w:val="18"/>
              </w:rPr>
            </w:pPr>
          </w:p>
        </w:tc>
        <w:tc>
          <w:tcPr>
            <w:tcW w:w="1445" w:type="dxa"/>
            <w:tcBorders>
              <w:top w:val="single" w:sz="4" w:space="0" w:color="auto"/>
            </w:tcBorders>
            <w:vAlign w:val="center"/>
          </w:tcPr>
          <w:p w14:paraId="66CB83F2" w14:textId="77777777" w:rsidR="00A44BF6" w:rsidRPr="005E7A81"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cs="Arial"/>
                <w:bCs/>
                <w:sz w:val="18"/>
                <w:szCs w:val="18"/>
              </w:rPr>
            </w:pPr>
          </w:p>
        </w:tc>
      </w:tr>
      <w:tr w:rsidR="00A44BF6" w:rsidRPr="00A44138" w14:paraId="5CCCEA2F" w14:textId="77777777" w:rsidTr="00DE3335">
        <w:trPr>
          <w:trHeight w:val="124"/>
        </w:trPr>
        <w:tc>
          <w:tcPr>
            <w:tcW w:w="4536" w:type="dxa"/>
            <w:vAlign w:val="center"/>
          </w:tcPr>
          <w:p w14:paraId="7BF21DB3" w14:textId="77777777" w:rsidR="00A44BF6" w:rsidRPr="00A44138" w:rsidRDefault="00A44BF6" w:rsidP="00A44BF6">
            <w:pPr>
              <w:overflowPunct w:val="0"/>
              <w:autoSpaceDE w:val="0"/>
              <w:autoSpaceDN w:val="0"/>
              <w:adjustRightInd w:val="0"/>
              <w:spacing w:after="0" w:line="240" w:lineRule="auto"/>
              <w:textAlignment w:val="baseline"/>
              <w:rPr>
                <w:rFonts w:ascii="Arial" w:hAnsi="Arial"/>
                <w:b/>
                <w:sz w:val="18"/>
              </w:rPr>
            </w:pPr>
            <w:r w:rsidRPr="00A44138">
              <w:rPr>
                <w:rFonts w:ascii="Arial" w:eastAsia="Batang" w:hAnsi="Arial" w:cs="Arial"/>
                <w:b/>
                <w:sz w:val="18"/>
                <w:szCs w:val="18"/>
              </w:rPr>
              <w:t>Liabilities</w:t>
            </w:r>
          </w:p>
        </w:tc>
        <w:tc>
          <w:tcPr>
            <w:tcW w:w="851" w:type="dxa"/>
            <w:vAlign w:val="center"/>
          </w:tcPr>
          <w:p w14:paraId="126A5CE8" w14:textId="77777777" w:rsidR="00A44BF6" w:rsidRPr="00A44138" w:rsidRDefault="00A44BF6" w:rsidP="00A44BF6">
            <w:pPr>
              <w:tabs>
                <w:tab w:val="decimal" w:pos="1015"/>
              </w:tabs>
              <w:overflowPunct w:val="0"/>
              <w:autoSpaceDE w:val="0"/>
              <w:autoSpaceDN w:val="0"/>
              <w:adjustRightInd w:val="0"/>
              <w:spacing w:after="0" w:line="240" w:lineRule="auto"/>
              <w:ind w:right="142"/>
              <w:jc w:val="center"/>
              <w:textAlignment w:val="baseline"/>
              <w:rPr>
                <w:rFonts w:ascii="Arial" w:hAnsi="Arial"/>
                <w:i/>
                <w:color w:val="FF0000"/>
                <w:sz w:val="18"/>
              </w:rPr>
            </w:pPr>
          </w:p>
        </w:tc>
        <w:tc>
          <w:tcPr>
            <w:tcW w:w="1474" w:type="dxa"/>
            <w:vAlign w:val="center"/>
          </w:tcPr>
          <w:p w14:paraId="157AF3F2" w14:textId="77777777" w:rsidR="00A44BF6" w:rsidRPr="00DA53C4"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b/>
                <w:sz w:val="18"/>
              </w:rPr>
            </w:pPr>
          </w:p>
        </w:tc>
        <w:tc>
          <w:tcPr>
            <w:tcW w:w="1503" w:type="dxa"/>
            <w:vAlign w:val="center"/>
          </w:tcPr>
          <w:p w14:paraId="28ED3F37" w14:textId="77777777" w:rsidR="00A44BF6" w:rsidRPr="005E7A81"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bCs/>
                <w:sz w:val="18"/>
              </w:rPr>
            </w:pPr>
          </w:p>
        </w:tc>
        <w:tc>
          <w:tcPr>
            <w:tcW w:w="1445" w:type="dxa"/>
            <w:vAlign w:val="center"/>
          </w:tcPr>
          <w:p w14:paraId="309EF294" w14:textId="77777777" w:rsidR="00A44BF6" w:rsidRPr="005E7A81" w:rsidRDefault="00A44BF6" w:rsidP="00A44BF6">
            <w:pPr>
              <w:tabs>
                <w:tab w:val="decimal" w:pos="990"/>
                <w:tab w:val="left" w:pos="1530"/>
              </w:tabs>
              <w:overflowPunct w:val="0"/>
              <w:autoSpaceDE w:val="0"/>
              <w:autoSpaceDN w:val="0"/>
              <w:adjustRightInd w:val="0"/>
              <w:spacing w:after="0" w:line="240" w:lineRule="auto"/>
              <w:ind w:right="144"/>
              <w:jc w:val="right"/>
              <w:textAlignment w:val="baseline"/>
              <w:rPr>
                <w:rFonts w:ascii="Arial" w:hAnsi="Arial" w:cs="Arial"/>
                <w:bCs/>
                <w:sz w:val="18"/>
                <w:szCs w:val="18"/>
              </w:rPr>
            </w:pPr>
          </w:p>
        </w:tc>
      </w:tr>
      <w:tr w:rsidR="00A44BF6" w:rsidRPr="00A44138" w14:paraId="30A54118" w14:textId="77777777" w:rsidTr="00DE3335">
        <w:trPr>
          <w:trHeight w:val="280"/>
        </w:trPr>
        <w:tc>
          <w:tcPr>
            <w:tcW w:w="4536" w:type="dxa"/>
            <w:vAlign w:val="center"/>
          </w:tcPr>
          <w:p w14:paraId="3C4105C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Non-current liabilities</w:t>
            </w:r>
          </w:p>
        </w:tc>
        <w:tc>
          <w:tcPr>
            <w:tcW w:w="851" w:type="dxa"/>
            <w:vAlign w:val="center"/>
          </w:tcPr>
          <w:p w14:paraId="2587BB66"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b/>
                <w:i/>
                <w:color w:val="FF0000"/>
                <w:sz w:val="18"/>
              </w:rPr>
            </w:pPr>
          </w:p>
        </w:tc>
        <w:tc>
          <w:tcPr>
            <w:tcW w:w="1474" w:type="dxa"/>
            <w:vAlign w:val="center"/>
          </w:tcPr>
          <w:p w14:paraId="632D078D"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vAlign w:val="center"/>
          </w:tcPr>
          <w:p w14:paraId="5187A1B6"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5B5395C3"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33E53" w:rsidRPr="00A44138" w14:paraId="7B646542" w14:textId="77777777" w:rsidTr="00DE3335">
        <w:trPr>
          <w:trHeight w:val="280"/>
        </w:trPr>
        <w:tc>
          <w:tcPr>
            <w:tcW w:w="4536" w:type="dxa"/>
            <w:vAlign w:val="center"/>
          </w:tcPr>
          <w:p w14:paraId="449DF955" w14:textId="7DE989B4" w:rsidR="00A33E53" w:rsidRPr="00A44138" w:rsidRDefault="00A33E53" w:rsidP="00A33E53">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bCs/>
                <w:sz w:val="18"/>
                <w:szCs w:val="18"/>
                <w:lang w:eastAsia="ko-KR"/>
              </w:rPr>
              <w:t>Borrowings</w:t>
            </w:r>
          </w:p>
        </w:tc>
        <w:tc>
          <w:tcPr>
            <w:tcW w:w="851" w:type="dxa"/>
            <w:vAlign w:val="center"/>
          </w:tcPr>
          <w:p w14:paraId="7B72FB28" w14:textId="0C5FB2B8" w:rsidR="00A33E53" w:rsidRPr="00A44138" w:rsidRDefault="00A33E53" w:rsidP="00A33E53">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r>
              <w:rPr>
                <w:rFonts w:ascii="Arial" w:hAnsi="Arial"/>
                <w:i/>
                <w:sz w:val="18"/>
              </w:rPr>
              <w:t>8</w:t>
            </w:r>
          </w:p>
        </w:tc>
        <w:tc>
          <w:tcPr>
            <w:tcW w:w="1474" w:type="dxa"/>
          </w:tcPr>
          <w:p w14:paraId="051A201A" w14:textId="4B27BC46" w:rsidR="00A33E53" w:rsidRPr="00DA53C4" w:rsidRDefault="001E698E"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45.0</w:t>
            </w:r>
          </w:p>
        </w:tc>
        <w:tc>
          <w:tcPr>
            <w:tcW w:w="1503" w:type="dxa"/>
            <w:vAlign w:val="center"/>
          </w:tcPr>
          <w:p w14:paraId="564E2E94" w14:textId="620A2274" w:rsidR="00A33E53" w:rsidRPr="005E7A81" w:rsidRDefault="00A33E53"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12.0</w:t>
            </w:r>
          </w:p>
        </w:tc>
        <w:tc>
          <w:tcPr>
            <w:tcW w:w="1445" w:type="dxa"/>
          </w:tcPr>
          <w:p w14:paraId="105DD942" w14:textId="5E060604" w:rsidR="00A33E53" w:rsidRPr="005E7A81" w:rsidRDefault="003B10A2"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hAnsi="Arial"/>
                <w:bCs/>
                <w:sz w:val="18"/>
              </w:rPr>
              <w:t>33</w:t>
            </w:r>
            <w:r w:rsidR="00A33E53" w:rsidRPr="005E7A81">
              <w:rPr>
                <w:rFonts w:ascii="Arial" w:hAnsi="Arial"/>
                <w:bCs/>
                <w:sz w:val="18"/>
              </w:rPr>
              <w:t>.0</w:t>
            </w:r>
          </w:p>
        </w:tc>
      </w:tr>
      <w:tr w:rsidR="00A44BF6" w:rsidRPr="00A44138" w14:paraId="7A21F253" w14:textId="77777777" w:rsidTr="00DE3335">
        <w:trPr>
          <w:trHeight w:val="280"/>
        </w:trPr>
        <w:tc>
          <w:tcPr>
            <w:tcW w:w="4536" w:type="dxa"/>
            <w:vAlign w:val="center"/>
          </w:tcPr>
          <w:p w14:paraId="036605E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Other payables</w:t>
            </w:r>
          </w:p>
        </w:tc>
        <w:tc>
          <w:tcPr>
            <w:tcW w:w="851" w:type="dxa"/>
            <w:vAlign w:val="center"/>
          </w:tcPr>
          <w:p w14:paraId="7BFDC2A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Pr>
          <w:p w14:paraId="5121D9BC" w14:textId="6FB611B5" w:rsidR="00A44BF6" w:rsidRPr="00DA53C4" w:rsidRDefault="001E698E"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20.</w:t>
            </w:r>
            <w:r w:rsidR="001276E2" w:rsidRPr="00DA53C4">
              <w:rPr>
                <w:rFonts w:ascii="Arial" w:eastAsia="Batang" w:hAnsi="Arial" w:cs="Arial"/>
                <w:b/>
                <w:sz w:val="18"/>
                <w:szCs w:val="18"/>
                <w:lang w:eastAsia="ko-KR"/>
              </w:rPr>
              <w:t>8</w:t>
            </w:r>
          </w:p>
        </w:tc>
        <w:tc>
          <w:tcPr>
            <w:tcW w:w="1503" w:type="dxa"/>
            <w:vAlign w:val="center"/>
          </w:tcPr>
          <w:p w14:paraId="1AAAE361" w14:textId="7986B902"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22.2</w:t>
            </w:r>
          </w:p>
        </w:tc>
        <w:tc>
          <w:tcPr>
            <w:tcW w:w="1445" w:type="dxa"/>
          </w:tcPr>
          <w:p w14:paraId="28E1D12A" w14:textId="38493117"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23.7</w:t>
            </w:r>
          </w:p>
        </w:tc>
      </w:tr>
      <w:tr w:rsidR="00A44BF6" w:rsidRPr="00A44138" w14:paraId="09619C08" w14:textId="77777777" w:rsidTr="00DE3335">
        <w:trPr>
          <w:trHeight w:val="296"/>
        </w:trPr>
        <w:tc>
          <w:tcPr>
            <w:tcW w:w="4536" w:type="dxa"/>
            <w:vAlign w:val="center"/>
          </w:tcPr>
          <w:p w14:paraId="4B7AD80A" w14:textId="394FCC85"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Provisions</w:t>
            </w:r>
          </w:p>
        </w:tc>
        <w:tc>
          <w:tcPr>
            <w:tcW w:w="851" w:type="dxa"/>
            <w:vAlign w:val="center"/>
          </w:tcPr>
          <w:p w14:paraId="42BED405" w14:textId="1C7AC4AF" w:rsidR="00A44BF6" w:rsidRPr="00A44138" w:rsidRDefault="00A33E53"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r>
              <w:rPr>
                <w:rFonts w:ascii="Arial" w:hAnsi="Arial"/>
                <w:i/>
                <w:sz w:val="18"/>
              </w:rPr>
              <w:t>9</w:t>
            </w:r>
          </w:p>
        </w:tc>
        <w:tc>
          <w:tcPr>
            <w:tcW w:w="1474" w:type="dxa"/>
          </w:tcPr>
          <w:p w14:paraId="2DD89C3C" w14:textId="70503D88" w:rsidR="00A44BF6" w:rsidRPr="00DA53C4" w:rsidRDefault="0057077F"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7.2</w:t>
            </w:r>
          </w:p>
        </w:tc>
        <w:tc>
          <w:tcPr>
            <w:tcW w:w="1503" w:type="dxa"/>
            <w:vAlign w:val="center"/>
          </w:tcPr>
          <w:p w14:paraId="69EE6A28" w14:textId="5119743D"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5.5</w:t>
            </w:r>
          </w:p>
        </w:tc>
        <w:tc>
          <w:tcPr>
            <w:tcW w:w="1445" w:type="dxa"/>
          </w:tcPr>
          <w:p w14:paraId="7A6B81DB" w14:textId="44B98951"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1.9</w:t>
            </w:r>
          </w:p>
        </w:tc>
      </w:tr>
      <w:tr w:rsidR="00A44BF6" w:rsidRPr="00A44138" w14:paraId="4DBE69CE" w14:textId="77777777" w:rsidTr="00DE3335">
        <w:trPr>
          <w:trHeight w:val="296"/>
        </w:trPr>
        <w:tc>
          <w:tcPr>
            <w:tcW w:w="4536" w:type="dxa"/>
            <w:vAlign w:val="center"/>
          </w:tcPr>
          <w:p w14:paraId="035A519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Deferred tax liabilities</w:t>
            </w:r>
          </w:p>
        </w:tc>
        <w:tc>
          <w:tcPr>
            <w:tcW w:w="851" w:type="dxa"/>
            <w:vAlign w:val="center"/>
          </w:tcPr>
          <w:p w14:paraId="3AF8D60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bottom w:val="single" w:sz="4" w:space="0" w:color="auto"/>
            </w:tcBorders>
          </w:tcPr>
          <w:p w14:paraId="773707DB" w14:textId="1CD9CBE9" w:rsidR="00A44BF6" w:rsidRPr="00DA53C4" w:rsidRDefault="00391C5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12.0</w:t>
            </w:r>
          </w:p>
        </w:tc>
        <w:tc>
          <w:tcPr>
            <w:tcW w:w="1503" w:type="dxa"/>
            <w:tcBorders>
              <w:bottom w:val="single" w:sz="4" w:space="0" w:color="auto"/>
            </w:tcBorders>
            <w:vAlign w:val="center"/>
          </w:tcPr>
          <w:p w14:paraId="15354370" w14:textId="3A4CC0F0"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13.1</w:t>
            </w:r>
          </w:p>
        </w:tc>
        <w:tc>
          <w:tcPr>
            <w:tcW w:w="1445" w:type="dxa"/>
            <w:tcBorders>
              <w:bottom w:val="single" w:sz="4" w:space="0" w:color="auto"/>
            </w:tcBorders>
          </w:tcPr>
          <w:p w14:paraId="3768E24D" w14:textId="51F1A0B3"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14.5</w:t>
            </w:r>
          </w:p>
        </w:tc>
      </w:tr>
      <w:tr w:rsidR="00A44BF6" w:rsidRPr="00A44138" w14:paraId="36585236" w14:textId="77777777" w:rsidTr="00DE3335">
        <w:trPr>
          <w:trHeight w:val="280"/>
        </w:trPr>
        <w:tc>
          <w:tcPr>
            <w:tcW w:w="4536" w:type="dxa"/>
            <w:vAlign w:val="center"/>
          </w:tcPr>
          <w:p w14:paraId="1CEDE8C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non-current liabilities</w:t>
            </w:r>
          </w:p>
        </w:tc>
        <w:tc>
          <w:tcPr>
            <w:tcW w:w="851" w:type="dxa"/>
            <w:vAlign w:val="center"/>
          </w:tcPr>
          <w:p w14:paraId="6E077460"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single" w:sz="4" w:space="0" w:color="auto"/>
            </w:tcBorders>
          </w:tcPr>
          <w:p w14:paraId="2F088A86" w14:textId="7E23B13B" w:rsidR="00A44BF6" w:rsidRPr="00DA53C4" w:rsidRDefault="00AD0472"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85.</w:t>
            </w:r>
            <w:r w:rsidR="008629A5" w:rsidRPr="00DA53C4">
              <w:rPr>
                <w:rFonts w:ascii="Arial" w:eastAsia="Batang" w:hAnsi="Arial" w:cs="Arial"/>
                <w:b/>
                <w:sz w:val="18"/>
                <w:szCs w:val="18"/>
                <w:lang w:eastAsia="ko-KR"/>
              </w:rPr>
              <w:t>0</w:t>
            </w:r>
          </w:p>
        </w:tc>
        <w:tc>
          <w:tcPr>
            <w:tcW w:w="1503" w:type="dxa"/>
            <w:tcBorders>
              <w:top w:val="single" w:sz="4" w:space="0" w:color="auto"/>
              <w:bottom w:val="single" w:sz="4" w:space="0" w:color="auto"/>
            </w:tcBorders>
            <w:vAlign w:val="center"/>
          </w:tcPr>
          <w:p w14:paraId="75B7160F" w14:textId="7CEAF884" w:rsidR="00A44BF6" w:rsidRPr="005E7A81" w:rsidRDefault="003C44E7"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eastAsia="Batang" w:hAnsi="Arial" w:cs="Arial"/>
                <w:bCs/>
                <w:sz w:val="18"/>
                <w:szCs w:val="18"/>
                <w:lang w:eastAsia="ko-KR"/>
              </w:rPr>
              <w:t>52</w:t>
            </w:r>
            <w:r w:rsidR="00A44BF6" w:rsidRPr="005E7A81">
              <w:rPr>
                <w:rFonts w:ascii="Arial" w:eastAsia="Batang" w:hAnsi="Arial" w:cs="Arial"/>
                <w:bCs/>
                <w:sz w:val="18"/>
                <w:szCs w:val="18"/>
                <w:lang w:eastAsia="ko-KR"/>
              </w:rPr>
              <w:t>.8</w:t>
            </w:r>
          </w:p>
        </w:tc>
        <w:tc>
          <w:tcPr>
            <w:tcW w:w="1445" w:type="dxa"/>
            <w:tcBorders>
              <w:top w:val="single" w:sz="4" w:space="0" w:color="auto"/>
              <w:bottom w:val="single" w:sz="4" w:space="0" w:color="auto"/>
            </w:tcBorders>
          </w:tcPr>
          <w:p w14:paraId="0BD6466C" w14:textId="69D2D7AD" w:rsidR="00A44BF6" w:rsidRPr="005E7A81" w:rsidRDefault="0004381F"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eastAsia="Batang" w:hAnsi="Arial" w:cs="Arial"/>
                <w:bCs/>
                <w:sz w:val="18"/>
                <w:szCs w:val="18"/>
                <w:lang w:eastAsia="ko-KR"/>
              </w:rPr>
              <w:t>73</w:t>
            </w:r>
            <w:r w:rsidR="00A44BF6" w:rsidRPr="005E7A81">
              <w:rPr>
                <w:rFonts w:ascii="Arial" w:eastAsia="Batang" w:hAnsi="Arial" w:cs="Arial"/>
                <w:bCs/>
                <w:sz w:val="18"/>
                <w:szCs w:val="18"/>
                <w:lang w:eastAsia="ko-KR"/>
              </w:rPr>
              <w:t>.1</w:t>
            </w:r>
          </w:p>
        </w:tc>
      </w:tr>
      <w:tr w:rsidR="00A44BF6" w:rsidRPr="00A44138" w14:paraId="53801D4F" w14:textId="77777777" w:rsidTr="00DE3335">
        <w:trPr>
          <w:trHeight w:val="280"/>
        </w:trPr>
        <w:tc>
          <w:tcPr>
            <w:tcW w:w="4536" w:type="dxa"/>
            <w:vAlign w:val="center"/>
          </w:tcPr>
          <w:p w14:paraId="7556A53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p>
        </w:tc>
        <w:tc>
          <w:tcPr>
            <w:tcW w:w="851" w:type="dxa"/>
            <w:vAlign w:val="center"/>
          </w:tcPr>
          <w:p w14:paraId="180C8F9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tcBorders>
            <w:vAlign w:val="center"/>
          </w:tcPr>
          <w:p w14:paraId="34ED4349"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tcBorders>
              <w:top w:val="single" w:sz="4" w:space="0" w:color="auto"/>
            </w:tcBorders>
            <w:vAlign w:val="center"/>
          </w:tcPr>
          <w:p w14:paraId="0D3B208A"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tcBorders>
              <w:top w:val="single" w:sz="4" w:space="0" w:color="auto"/>
            </w:tcBorders>
            <w:vAlign w:val="center"/>
          </w:tcPr>
          <w:p w14:paraId="305BF985"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55643F3F" w14:textId="77777777" w:rsidTr="00DE3335">
        <w:trPr>
          <w:trHeight w:val="280"/>
        </w:trPr>
        <w:tc>
          <w:tcPr>
            <w:tcW w:w="4536" w:type="dxa"/>
            <w:vAlign w:val="center"/>
          </w:tcPr>
          <w:p w14:paraId="74F1502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r w:rsidRPr="00A44138">
              <w:rPr>
                <w:rFonts w:ascii="Arial" w:eastAsia="Batang" w:hAnsi="Arial" w:cs="Arial"/>
                <w:b/>
                <w:sz w:val="18"/>
                <w:szCs w:val="18"/>
                <w:lang w:eastAsia="ko-KR"/>
              </w:rPr>
              <w:t>Current liabilities</w:t>
            </w:r>
          </w:p>
        </w:tc>
        <w:tc>
          <w:tcPr>
            <w:tcW w:w="851" w:type="dxa"/>
            <w:vAlign w:val="center"/>
          </w:tcPr>
          <w:p w14:paraId="689D4DBF"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vAlign w:val="center"/>
          </w:tcPr>
          <w:p w14:paraId="75BC8734"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vAlign w:val="center"/>
          </w:tcPr>
          <w:p w14:paraId="5C9BC888"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5F68DFF2"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19EA8665" w14:textId="77777777" w:rsidTr="00DE3335">
        <w:trPr>
          <w:trHeight w:val="278"/>
        </w:trPr>
        <w:tc>
          <w:tcPr>
            <w:tcW w:w="4536" w:type="dxa"/>
            <w:vAlign w:val="center"/>
          </w:tcPr>
          <w:p w14:paraId="01DB492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Trade and other payables</w:t>
            </w:r>
          </w:p>
        </w:tc>
        <w:tc>
          <w:tcPr>
            <w:tcW w:w="851" w:type="dxa"/>
            <w:vAlign w:val="center"/>
          </w:tcPr>
          <w:p w14:paraId="54921AE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i/>
                <w:iCs/>
                <w:color w:val="FF0000"/>
                <w:sz w:val="18"/>
                <w:szCs w:val="18"/>
                <w:lang w:eastAsia="ko-KR"/>
              </w:rPr>
            </w:pPr>
            <w:r w:rsidRPr="00A44138">
              <w:rPr>
                <w:rFonts w:ascii="Arial" w:eastAsia="Batang" w:hAnsi="Arial" w:cs="Arial"/>
                <w:i/>
                <w:iCs/>
                <w:color w:val="FF0000"/>
                <w:sz w:val="18"/>
                <w:szCs w:val="18"/>
                <w:lang w:eastAsia="ko-KR"/>
              </w:rPr>
              <w:t xml:space="preserve">    </w:t>
            </w:r>
          </w:p>
        </w:tc>
        <w:tc>
          <w:tcPr>
            <w:tcW w:w="1474" w:type="dxa"/>
          </w:tcPr>
          <w:p w14:paraId="041F29E7" w14:textId="427F7F41" w:rsidR="00A44BF6" w:rsidRPr="00DA53C4" w:rsidRDefault="00696122"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105.</w:t>
            </w:r>
            <w:r w:rsidR="00B73E57" w:rsidRPr="00DA53C4">
              <w:rPr>
                <w:rFonts w:ascii="Arial" w:eastAsia="Batang" w:hAnsi="Arial" w:cs="Arial"/>
                <w:b/>
                <w:sz w:val="18"/>
                <w:szCs w:val="18"/>
                <w:lang w:eastAsia="ko-KR"/>
              </w:rPr>
              <w:t>6</w:t>
            </w:r>
          </w:p>
        </w:tc>
        <w:tc>
          <w:tcPr>
            <w:tcW w:w="1503" w:type="dxa"/>
            <w:vAlign w:val="center"/>
          </w:tcPr>
          <w:p w14:paraId="3A973173" w14:textId="12242064"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104.6</w:t>
            </w:r>
          </w:p>
        </w:tc>
        <w:tc>
          <w:tcPr>
            <w:tcW w:w="1445" w:type="dxa"/>
          </w:tcPr>
          <w:p w14:paraId="5550DAE6" w14:textId="5D9EAC02"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101.0</w:t>
            </w:r>
          </w:p>
        </w:tc>
      </w:tr>
      <w:tr w:rsidR="000375F5" w:rsidRPr="00A44138" w14:paraId="5561DA27" w14:textId="77777777" w:rsidTr="00DE3335">
        <w:trPr>
          <w:trHeight w:val="278"/>
        </w:trPr>
        <w:tc>
          <w:tcPr>
            <w:tcW w:w="4536" w:type="dxa"/>
            <w:vAlign w:val="center"/>
          </w:tcPr>
          <w:p w14:paraId="1B887976" w14:textId="7C7A0535" w:rsidR="000375F5" w:rsidRPr="00A44138" w:rsidRDefault="00CA44CE" w:rsidP="00A33E53">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Pr>
                <w:rFonts w:ascii="Arial" w:eastAsia="Batang" w:hAnsi="Arial" w:cs="Arial"/>
                <w:sz w:val="18"/>
                <w:szCs w:val="18"/>
                <w:lang w:eastAsia="ko-KR"/>
              </w:rPr>
              <w:t xml:space="preserve">Borrowings </w:t>
            </w:r>
          </w:p>
        </w:tc>
        <w:tc>
          <w:tcPr>
            <w:tcW w:w="851" w:type="dxa"/>
            <w:vAlign w:val="center"/>
          </w:tcPr>
          <w:p w14:paraId="5DA87071" w14:textId="7026C35A" w:rsidR="000375F5" w:rsidRPr="00A44138" w:rsidRDefault="00CA44CE" w:rsidP="00CA44CE">
            <w:pPr>
              <w:tabs>
                <w:tab w:val="left" w:pos="709"/>
                <w:tab w:val="left" w:pos="1559"/>
                <w:tab w:val="left" w:pos="2268"/>
                <w:tab w:val="left" w:pos="2977"/>
                <w:tab w:val="left" w:pos="3686"/>
                <w:tab w:val="left" w:pos="4394"/>
                <w:tab w:val="right" w:pos="8789"/>
              </w:tabs>
              <w:spacing w:after="0" w:line="260" w:lineRule="atLeast"/>
              <w:jc w:val="center"/>
              <w:rPr>
                <w:rFonts w:ascii="Arial" w:eastAsia="Batang" w:hAnsi="Arial" w:cs="Arial"/>
                <w:i/>
                <w:iCs/>
                <w:color w:val="FF0000"/>
                <w:sz w:val="18"/>
                <w:szCs w:val="18"/>
                <w:lang w:eastAsia="ko-KR"/>
              </w:rPr>
            </w:pPr>
            <w:r w:rsidRPr="00CA44CE">
              <w:rPr>
                <w:rFonts w:ascii="Arial" w:eastAsia="Batang" w:hAnsi="Arial" w:cs="Arial"/>
                <w:i/>
                <w:iCs/>
                <w:sz w:val="18"/>
                <w:szCs w:val="18"/>
                <w:lang w:eastAsia="ko-KR"/>
              </w:rPr>
              <w:t>8</w:t>
            </w:r>
          </w:p>
        </w:tc>
        <w:tc>
          <w:tcPr>
            <w:tcW w:w="1474" w:type="dxa"/>
          </w:tcPr>
          <w:p w14:paraId="21EE9152" w14:textId="4D0901D2" w:rsidR="000375F5" w:rsidRPr="00DA53C4" w:rsidRDefault="006468BA"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w:t>
            </w:r>
          </w:p>
        </w:tc>
        <w:tc>
          <w:tcPr>
            <w:tcW w:w="1503" w:type="dxa"/>
            <w:vAlign w:val="center"/>
          </w:tcPr>
          <w:p w14:paraId="5849AA57" w14:textId="7E0B68AF" w:rsidR="000375F5" w:rsidRPr="005E7A81" w:rsidRDefault="00794395"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eastAsia="Batang" w:hAnsi="Arial" w:cs="Arial"/>
                <w:bCs/>
                <w:sz w:val="18"/>
                <w:szCs w:val="18"/>
                <w:lang w:eastAsia="ko-KR"/>
              </w:rPr>
              <w:t>-</w:t>
            </w:r>
          </w:p>
        </w:tc>
        <w:tc>
          <w:tcPr>
            <w:tcW w:w="1445" w:type="dxa"/>
          </w:tcPr>
          <w:p w14:paraId="1D18A440" w14:textId="1D57AB72" w:rsidR="000375F5" w:rsidRPr="005E7A81" w:rsidRDefault="004A051D" w:rsidP="00A33E53">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eastAsia="Batang" w:hAnsi="Arial" w:cs="Arial"/>
                <w:bCs/>
                <w:sz w:val="18"/>
                <w:szCs w:val="18"/>
                <w:lang w:eastAsia="ko-KR"/>
              </w:rPr>
              <w:t>15.0</w:t>
            </w:r>
          </w:p>
        </w:tc>
      </w:tr>
      <w:tr w:rsidR="00A44BF6" w:rsidRPr="00A44138" w14:paraId="29E4D8D1" w14:textId="77777777" w:rsidTr="00DE3335">
        <w:trPr>
          <w:trHeight w:val="280"/>
        </w:trPr>
        <w:tc>
          <w:tcPr>
            <w:tcW w:w="4536" w:type="dxa"/>
            <w:vAlign w:val="center"/>
          </w:tcPr>
          <w:p w14:paraId="1800192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current liabilities</w:t>
            </w:r>
          </w:p>
        </w:tc>
        <w:tc>
          <w:tcPr>
            <w:tcW w:w="851" w:type="dxa"/>
            <w:vAlign w:val="center"/>
          </w:tcPr>
          <w:p w14:paraId="56D243F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single" w:sz="4" w:space="0" w:color="auto"/>
            </w:tcBorders>
          </w:tcPr>
          <w:p w14:paraId="5B8711AE" w14:textId="3041AAB8" w:rsidR="00A44BF6" w:rsidRPr="00DA53C4" w:rsidRDefault="008629A5"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105.</w:t>
            </w:r>
            <w:r w:rsidR="00B73E57" w:rsidRPr="00DA53C4">
              <w:rPr>
                <w:rFonts w:ascii="Arial" w:eastAsia="Batang" w:hAnsi="Arial" w:cs="Arial"/>
                <w:b/>
                <w:sz w:val="18"/>
                <w:szCs w:val="18"/>
                <w:lang w:eastAsia="ko-KR"/>
              </w:rPr>
              <w:t>6</w:t>
            </w:r>
          </w:p>
        </w:tc>
        <w:tc>
          <w:tcPr>
            <w:tcW w:w="1503" w:type="dxa"/>
            <w:tcBorders>
              <w:top w:val="single" w:sz="4" w:space="0" w:color="auto"/>
              <w:bottom w:val="single" w:sz="4" w:space="0" w:color="auto"/>
            </w:tcBorders>
            <w:vAlign w:val="center"/>
          </w:tcPr>
          <w:p w14:paraId="67BE3911" w14:textId="0DD852B1" w:rsidR="00A44BF6" w:rsidRPr="005E7A81" w:rsidRDefault="00A33E53"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w:t>
            </w:r>
            <w:r w:rsidR="0004381F">
              <w:rPr>
                <w:rFonts w:ascii="Arial" w:eastAsia="Batang" w:hAnsi="Arial" w:cs="Arial"/>
                <w:bCs/>
                <w:sz w:val="18"/>
                <w:szCs w:val="18"/>
                <w:lang w:eastAsia="ko-KR"/>
              </w:rPr>
              <w:t>04</w:t>
            </w:r>
            <w:r w:rsidR="00A44BF6" w:rsidRPr="005E7A81">
              <w:rPr>
                <w:rFonts w:ascii="Arial" w:eastAsia="Batang" w:hAnsi="Arial" w:cs="Arial"/>
                <w:bCs/>
                <w:sz w:val="18"/>
                <w:szCs w:val="18"/>
                <w:lang w:eastAsia="ko-KR"/>
              </w:rPr>
              <w:t>.6</w:t>
            </w:r>
          </w:p>
        </w:tc>
        <w:tc>
          <w:tcPr>
            <w:tcW w:w="1445" w:type="dxa"/>
            <w:tcBorders>
              <w:top w:val="single" w:sz="4" w:space="0" w:color="auto"/>
              <w:bottom w:val="single" w:sz="4" w:space="0" w:color="auto"/>
            </w:tcBorders>
          </w:tcPr>
          <w:p w14:paraId="07A040DB" w14:textId="21DD7864" w:rsidR="00A44BF6" w:rsidRPr="005E7A81" w:rsidRDefault="0004381F"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Pr>
                <w:rFonts w:ascii="Arial" w:eastAsia="Batang" w:hAnsi="Arial" w:cs="Arial"/>
                <w:bCs/>
                <w:sz w:val="18"/>
                <w:szCs w:val="18"/>
                <w:lang w:eastAsia="ko-KR"/>
              </w:rPr>
              <w:t>116</w:t>
            </w:r>
            <w:r w:rsidR="00A44BF6" w:rsidRPr="005E7A81">
              <w:rPr>
                <w:rFonts w:ascii="Arial" w:eastAsia="Batang" w:hAnsi="Arial" w:cs="Arial"/>
                <w:bCs/>
                <w:sz w:val="18"/>
                <w:szCs w:val="18"/>
                <w:lang w:eastAsia="ko-KR"/>
              </w:rPr>
              <w:t>.0</w:t>
            </w:r>
          </w:p>
        </w:tc>
      </w:tr>
      <w:tr w:rsidR="00A44BF6" w:rsidRPr="00A44138" w14:paraId="1A54BEE7" w14:textId="77777777" w:rsidTr="00DE3335">
        <w:trPr>
          <w:trHeight w:val="280"/>
        </w:trPr>
        <w:tc>
          <w:tcPr>
            <w:tcW w:w="4536" w:type="dxa"/>
            <w:vAlign w:val="center"/>
          </w:tcPr>
          <w:p w14:paraId="4B5E99C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liabilities</w:t>
            </w:r>
          </w:p>
        </w:tc>
        <w:tc>
          <w:tcPr>
            <w:tcW w:w="851" w:type="dxa"/>
            <w:vAlign w:val="center"/>
          </w:tcPr>
          <w:p w14:paraId="073F191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single" w:sz="4" w:space="0" w:color="auto"/>
            </w:tcBorders>
          </w:tcPr>
          <w:p w14:paraId="1AB1D24F" w14:textId="623F20F8" w:rsidR="00A44BF6" w:rsidRPr="00DA53C4" w:rsidRDefault="00AD0472"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19</w:t>
            </w:r>
            <w:r w:rsidR="00E91F70" w:rsidRPr="00DA53C4">
              <w:rPr>
                <w:rFonts w:ascii="Arial" w:eastAsia="Batang" w:hAnsi="Arial" w:cs="Arial"/>
                <w:b/>
                <w:sz w:val="18"/>
                <w:szCs w:val="18"/>
                <w:lang w:eastAsia="ko-KR"/>
              </w:rPr>
              <w:t>0</w:t>
            </w:r>
            <w:r w:rsidRPr="00DA53C4">
              <w:rPr>
                <w:rFonts w:ascii="Arial" w:eastAsia="Batang" w:hAnsi="Arial" w:cs="Arial"/>
                <w:b/>
                <w:sz w:val="18"/>
                <w:szCs w:val="18"/>
                <w:lang w:eastAsia="ko-KR"/>
              </w:rPr>
              <w:t>.</w:t>
            </w:r>
            <w:r w:rsidR="00B73E57" w:rsidRPr="00DA53C4">
              <w:rPr>
                <w:rFonts w:ascii="Arial" w:eastAsia="Batang" w:hAnsi="Arial" w:cs="Arial"/>
                <w:b/>
                <w:sz w:val="18"/>
                <w:szCs w:val="18"/>
                <w:lang w:eastAsia="ko-KR"/>
              </w:rPr>
              <w:t>6</w:t>
            </w:r>
          </w:p>
        </w:tc>
        <w:tc>
          <w:tcPr>
            <w:tcW w:w="1503" w:type="dxa"/>
            <w:tcBorders>
              <w:top w:val="single" w:sz="4" w:space="0" w:color="auto"/>
              <w:bottom w:val="single" w:sz="4" w:space="0" w:color="auto"/>
            </w:tcBorders>
            <w:vAlign w:val="center"/>
          </w:tcPr>
          <w:p w14:paraId="32DDE376" w14:textId="29493ADE"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157.4</w:t>
            </w:r>
          </w:p>
        </w:tc>
        <w:tc>
          <w:tcPr>
            <w:tcW w:w="1445" w:type="dxa"/>
            <w:tcBorders>
              <w:top w:val="single" w:sz="4" w:space="0" w:color="auto"/>
              <w:bottom w:val="single" w:sz="4" w:space="0" w:color="auto"/>
            </w:tcBorders>
          </w:tcPr>
          <w:p w14:paraId="056BF9A4" w14:textId="695BA4AF"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189.1</w:t>
            </w:r>
          </w:p>
        </w:tc>
      </w:tr>
      <w:tr w:rsidR="00A44BF6" w:rsidRPr="00A44138" w14:paraId="373F4B7C" w14:textId="77777777" w:rsidTr="00DE3335">
        <w:trPr>
          <w:trHeight w:val="280"/>
        </w:trPr>
        <w:tc>
          <w:tcPr>
            <w:tcW w:w="4536" w:type="dxa"/>
            <w:vAlign w:val="center"/>
          </w:tcPr>
          <w:p w14:paraId="402C71D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b/>
                <w:sz w:val="18"/>
              </w:rPr>
            </w:pPr>
          </w:p>
        </w:tc>
        <w:tc>
          <w:tcPr>
            <w:tcW w:w="851" w:type="dxa"/>
            <w:vAlign w:val="center"/>
          </w:tcPr>
          <w:p w14:paraId="041841B7"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tcBorders>
            <w:vAlign w:val="center"/>
          </w:tcPr>
          <w:p w14:paraId="319DBF94"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tcBorders>
              <w:top w:val="single" w:sz="4" w:space="0" w:color="auto"/>
            </w:tcBorders>
            <w:vAlign w:val="center"/>
          </w:tcPr>
          <w:p w14:paraId="0BCB7027"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tcBorders>
              <w:top w:val="single" w:sz="4" w:space="0" w:color="auto"/>
            </w:tcBorders>
            <w:vAlign w:val="center"/>
          </w:tcPr>
          <w:p w14:paraId="169A446A"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5AA904F1" w14:textId="77777777" w:rsidTr="00DE3335">
        <w:trPr>
          <w:trHeight w:val="296"/>
        </w:trPr>
        <w:tc>
          <w:tcPr>
            <w:tcW w:w="4536" w:type="dxa"/>
            <w:vAlign w:val="center"/>
          </w:tcPr>
          <w:p w14:paraId="123F97A3"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r w:rsidRPr="00A44138">
              <w:rPr>
                <w:rFonts w:ascii="Arial" w:eastAsia="Batang" w:hAnsi="Arial" w:cs="Arial"/>
                <w:b/>
                <w:sz w:val="18"/>
                <w:szCs w:val="18"/>
                <w:lang w:eastAsia="ko-KR"/>
              </w:rPr>
              <w:t>Equity</w:t>
            </w:r>
          </w:p>
        </w:tc>
        <w:tc>
          <w:tcPr>
            <w:tcW w:w="851" w:type="dxa"/>
            <w:vAlign w:val="center"/>
          </w:tcPr>
          <w:p w14:paraId="2CA8F58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vAlign w:val="center"/>
          </w:tcPr>
          <w:p w14:paraId="68E0D193" w14:textId="77777777" w:rsidR="00A44BF6" w:rsidRPr="00DA53C4"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
                <w:sz w:val="18"/>
              </w:rPr>
            </w:pPr>
          </w:p>
        </w:tc>
        <w:tc>
          <w:tcPr>
            <w:tcW w:w="1503" w:type="dxa"/>
            <w:vAlign w:val="center"/>
          </w:tcPr>
          <w:p w14:paraId="13D4ECD1"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bCs/>
                <w:sz w:val="18"/>
              </w:rPr>
            </w:pPr>
          </w:p>
        </w:tc>
        <w:tc>
          <w:tcPr>
            <w:tcW w:w="1445" w:type="dxa"/>
            <w:vAlign w:val="center"/>
          </w:tcPr>
          <w:p w14:paraId="6A8DBD6E" w14:textId="77777777" w:rsidR="00A44BF6" w:rsidRPr="005E7A81" w:rsidRDefault="00A44BF6" w:rsidP="00A44BF6">
            <w:pPr>
              <w:tabs>
                <w:tab w:val="decimal" w:pos="990"/>
                <w:tab w:val="left" w:pos="1530"/>
                <w:tab w:val="left" w:pos="2268"/>
                <w:tab w:val="left" w:pos="2977"/>
                <w:tab w:val="left" w:pos="3686"/>
                <w:tab w:val="left" w:pos="4394"/>
                <w:tab w:val="right" w:pos="8789"/>
              </w:tabs>
              <w:spacing w:after="0" w:line="260" w:lineRule="atLeast"/>
              <w:ind w:right="144"/>
              <w:jc w:val="right"/>
              <w:rPr>
                <w:rFonts w:ascii="Arial" w:hAnsi="Arial" w:cs="Arial"/>
                <w:bCs/>
                <w:sz w:val="18"/>
                <w:szCs w:val="18"/>
              </w:rPr>
            </w:pPr>
          </w:p>
        </w:tc>
      </w:tr>
      <w:tr w:rsidR="00A44BF6" w:rsidRPr="00A44138" w14:paraId="7E8106ED" w14:textId="77777777" w:rsidTr="00DE3335">
        <w:trPr>
          <w:trHeight w:val="280"/>
        </w:trPr>
        <w:tc>
          <w:tcPr>
            <w:tcW w:w="4536" w:type="dxa"/>
            <w:vAlign w:val="center"/>
          </w:tcPr>
          <w:p w14:paraId="212F858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Share capital</w:t>
            </w:r>
          </w:p>
        </w:tc>
        <w:tc>
          <w:tcPr>
            <w:tcW w:w="851" w:type="dxa"/>
            <w:vAlign w:val="center"/>
          </w:tcPr>
          <w:p w14:paraId="3722DFD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Pr>
          <w:p w14:paraId="4FF30E3B" w14:textId="42CC4790" w:rsidR="00A44BF6" w:rsidRPr="00DA53C4" w:rsidRDefault="000B7ABC"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0.1</w:t>
            </w:r>
          </w:p>
        </w:tc>
        <w:tc>
          <w:tcPr>
            <w:tcW w:w="1503" w:type="dxa"/>
            <w:vAlign w:val="center"/>
          </w:tcPr>
          <w:p w14:paraId="3A75CB52" w14:textId="0E46FAE7"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0.1</w:t>
            </w:r>
          </w:p>
        </w:tc>
        <w:tc>
          <w:tcPr>
            <w:tcW w:w="1445" w:type="dxa"/>
          </w:tcPr>
          <w:p w14:paraId="5405D31E" w14:textId="0444C6DF"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0.1</w:t>
            </w:r>
          </w:p>
        </w:tc>
      </w:tr>
      <w:tr w:rsidR="00A44BF6" w:rsidRPr="00A44138" w14:paraId="04732F25" w14:textId="77777777" w:rsidTr="00DE3335">
        <w:trPr>
          <w:trHeight w:val="280"/>
        </w:trPr>
        <w:tc>
          <w:tcPr>
            <w:tcW w:w="4536" w:type="dxa"/>
            <w:vAlign w:val="center"/>
          </w:tcPr>
          <w:p w14:paraId="36F3BAE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Share premium</w:t>
            </w:r>
          </w:p>
        </w:tc>
        <w:tc>
          <w:tcPr>
            <w:tcW w:w="851" w:type="dxa"/>
            <w:vAlign w:val="center"/>
          </w:tcPr>
          <w:p w14:paraId="3F5696E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Pr>
          <w:p w14:paraId="77E8B57F" w14:textId="2AE0B8EA" w:rsidR="00A44BF6" w:rsidRPr="00DA53C4" w:rsidRDefault="00D5032D"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381FEC">
              <w:rPr>
                <w:rFonts w:ascii="Arial" w:eastAsia="Batang" w:hAnsi="Arial" w:cs="Arial"/>
                <w:b/>
                <w:sz w:val="18"/>
                <w:szCs w:val="18"/>
                <w:lang w:eastAsia="ko-KR"/>
              </w:rPr>
              <w:t>207.9</w:t>
            </w:r>
          </w:p>
        </w:tc>
        <w:tc>
          <w:tcPr>
            <w:tcW w:w="1503" w:type="dxa"/>
            <w:vAlign w:val="center"/>
          </w:tcPr>
          <w:p w14:paraId="3587BA34" w14:textId="258D151F"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205.6</w:t>
            </w:r>
          </w:p>
        </w:tc>
        <w:tc>
          <w:tcPr>
            <w:tcW w:w="1445" w:type="dxa"/>
          </w:tcPr>
          <w:p w14:paraId="32FF3A7A" w14:textId="2C56F689"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205.5</w:t>
            </w:r>
          </w:p>
        </w:tc>
      </w:tr>
      <w:tr w:rsidR="00A44BF6" w:rsidRPr="00A44138" w14:paraId="445325E7" w14:textId="77777777" w:rsidTr="00DE3335">
        <w:trPr>
          <w:trHeight w:val="296"/>
        </w:trPr>
        <w:tc>
          <w:tcPr>
            <w:tcW w:w="4536" w:type="dxa"/>
            <w:vAlign w:val="center"/>
          </w:tcPr>
          <w:p w14:paraId="51E4433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Reserve for own shares</w:t>
            </w:r>
          </w:p>
        </w:tc>
        <w:tc>
          <w:tcPr>
            <w:tcW w:w="851" w:type="dxa"/>
            <w:vAlign w:val="center"/>
          </w:tcPr>
          <w:p w14:paraId="3CF40F6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Pr>
          <w:p w14:paraId="79FF4AD0" w14:textId="0A22B54A" w:rsidR="00A44BF6" w:rsidRPr="00DA53C4" w:rsidRDefault="00D5032D"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(1.7)</w:t>
            </w:r>
          </w:p>
        </w:tc>
        <w:tc>
          <w:tcPr>
            <w:tcW w:w="1503" w:type="dxa"/>
            <w:vAlign w:val="center"/>
          </w:tcPr>
          <w:p w14:paraId="51E60572" w14:textId="55BDB773"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(1.7)</w:t>
            </w:r>
          </w:p>
        </w:tc>
        <w:tc>
          <w:tcPr>
            <w:tcW w:w="1445" w:type="dxa"/>
          </w:tcPr>
          <w:p w14:paraId="006BD83C" w14:textId="73BB8CF3"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(1.9)</w:t>
            </w:r>
          </w:p>
        </w:tc>
      </w:tr>
      <w:tr w:rsidR="00A44BF6" w:rsidRPr="00A44138" w14:paraId="7653E0BC" w14:textId="77777777" w:rsidTr="00DE3335">
        <w:trPr>
          <w:trHeight w:val="280"/>
        </w:trPr>
        <w:tc>
          <w:tcPr>
            <w:tcW w:w="4536" w:type="dxa"/>
            <w:vAlign w:val="center"/>
          </w:tcPr>
          <w:p w14:paraId="44E1D9E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Retained earnings</w:t>
            </w:r>
          </w:p>
        </w:tc>
        <w:tc>
          <w:tcPr>
            <w:tcW w:w="851" w:type="dxa"/>
            <w:vAlign w:val="center"/>
          </w:tcPr>
          <w:p w14:paraId="27721139"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vAlign w:val="center"/>
          </w:tcPr>
          <w:p w14:paraId="5E0B6D0E" w14:textId="20FADD24"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w:t>
            </w:r>
            <w:r w:rsidR="00753EA1" w:rsidRPr="00DA53C4">
              <w:rPr>
                <w:rFonts w:ascii="Arial" w:eastAsia="Batang" w:hAnsi="Arial" w:cs="Arial"/>
                <w:b/>
                <w:sz w:val="18"/>
                <w:szCs w:val="18"/>
                <w:lang w:eastAsia="ko-KR"/>
              </w:rPr>
              <w:t>6.8</w:t>
            </w:r>
            <w:r w:rsidRPr="00DA53C4">
              <w:rPr>
                <w:rFonts w:ascii="Arial" w:eastAsia="Batang" w:hAnsi="Arial" w:cs="Arial"/>
                <w:b/>
                <w:sz w:val="18"/>
                <w:szCs w:val="18"/>
                <w:lang w:eastAsia="ko-KR"/>
              </w:rPr>
              <w:t>)</w:t>
            </w:r>
          </w:p>
        </w:tc>
        <w:tc>
          <w:tcPr>
            <w:tcW w:w="1503" w:type="dxa"/>
            <w:vAlign w:val="center"/>
          </w:tcPr>
          <w:p w14:paraId="77639883" w14:textId="5659D96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(29.3)</w:t>
            </w:r>
          </w:p>
        </w:tc>
        <w:tc>
          <w:tcPr>
            <w:tcW w:w="1445" w:type="dxa"/>
            <w:vAlign w:val="center"/>
          </w:tcPr>
          <w:p w14:paraId="42DEBF0B" w14:textId="1B742289"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(49.3)</w:t>
            </w:r>
          </w:p>
        </w:tc>
      </w:tr>
      <w:tr w:rsidR="00A44BF6" w:rsidRPr="00A44138" w14:paraId="5A7CB98E" w14:textId="77777777" w:rsidTr="00DE3335">
        <w:trPr>
          <w:trHeight w:val="280"/>
        </w:trPr>
        <w:tc>
          <w:tcPr>
            <w:tcW w:w="4536" w:type="dxa"/>
            <w:vAlign w:val="center"/>
          </w:tcPr>
          <w:p w14:paraId="0AE1810A"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Other reserves</w:t>
            </w:r>
          </w:p>
        </w:tc>
        <w:tc>
          <w:tcPr>
            <w:tcW w:w="851" w:type="dxa"/>
            <w:vAlign w:val="center"/>
          </w:tcPr>
          <w:p w14:paraId="0820101D"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bottom w:val="single" w:sz="4" w:space="0" w:color="auto"/>
            </w:tcBorders>
          </w:tcPr>
          <w:p w14:paraId="5116D3D8" w14:textId="53026B12"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65.</w:t>
            </w:r>
            <w:r w:rsidR="00547FF5" w:rsidRPr="00DA53C4">
              <w:rPr>
                <w:rFonts w:ascii="Arial" w:eastAsia="Batang" w:hAnsi="Arial" w:cs="Arial"/>
                <w:b/>
                <w:sz w:val="18"/>
                <w:szCs w:val="18"/>
                <w:lang w:eastAsia="ko-KR"/>
              </w:rPr>
              <w:t>0</w:t>
            </w:r>
          </w:p>
        </w:tc>
        <w:tc>
          <w:tcPr>
            <w:tcW w:w="1503" w:type="dxa"/>
            <w:tcBorders>
              <w:bottom w:val="single" w:sz="4" w:space="0" w:color="auto"/>
            </w:tcBorders>
            <w:vAlign w:val="center"/>
          </w:tcPr>
          <w:p w14:paraId="73C9DEDB" w14:textId="448B6E77"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65.0</w:t>
            </w:r>
          </w:p>
        </w:tc>
        <w:tc>
          <w:tcPr>
            <w:tcW w:w="1445" w:type="dxa"/>
            <w:tcBorders>
              <w:bottom w:val="single" w:sz="4" w:space="0" w:color="auto"/>
            </w:tcBorders>
          </w:tcPr>
          <w:p w14:paraId="22776C26" w14:textId="0FDCD06C"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63.8</w:t>
            </w:r>
          </w:p>
        </w:tc>
      </w:tr>
      <w:tr w:rsidR="00A44BF6" w:rsidRPr="00A44138" w14:paraId="3900CA86" w14:textId="77777777" w:rsidTr="00DE3335">
        <w:trPr>
          <w:trHeight w:val="280"/>
        </w:trPr>
        <w:tc>
          <w:tcPr>
            <w:tcW w:w="4536" w:type="dxa"/>
            <w:vAlign w:val="center"/>
          </w:tcPr>
          <w:p w14:paraId="7DE76EEC"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bCs/>
                <w:sz w:val="18"/>
                <w:szCs w:val="18"/>
                <w:lang w:eastAsia="ko-KR"/>
              </w:rPr>
            </w:pPr>
            <w:r w:rsidRPr="00A44138">
              <w:rPr>
                <w:rFonts w:ascii="Arial" w:eastAsia="Batang" w:hAnsi="Arial" w:cs="Arial"/>
                <w:b/>
                <w:bCs/>
                <w:sz w:val="18"/>
                <w:szCs w:val="18"/>
                <w:lang w:eastAsia="ko-KR"/>
              </w:rPr>
              <w:t xml:space="preserve">Equity attributable to the owners of the Company </w:t>
            </w:r>
          </w:p>
        </w:tc>
        <w:tc>
          <w:tcPr>
            <w:tcW w:w="851" w:type="dxa"/>
            <w:vAlign w:val="center"/>
          </w:tcPr>
          <w:p w14:paraId="32975AFB"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tcBorders>
          </w:tcPr>
          <w:p w14:paraId="738A23C6" w14:textId="1ED265D6"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224.</w:t>
            </w:r>
            <w:r w:rsidR="00547FF5" w:rsidRPr="00DA53C4">
              <w:rPr>
                <w:rFonts w:ascii="Arial" w:eastAsia="Batang" w:hAnsi="Arial" w:cs="Arial"/>
                <w:b/>
                <w:sz w:val="18"/>
                <w:szCs w:val="18"/>
                <w:lang w:eastAsia="ko-KR"/>
              </w:rPr>
              <w:t>5</w:t>
            </w:r>
          </w:p>
        </w:tc>
        <w:tc>
          <w:tcPr>
            <w:tcW w:w="1503" w:type="dxa"/>
            <w:vAlign w:val="center"/>
          </w:tcPr>
          <w:p w14:paraId="158B65E8" w14:textId="56BBF6C3"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239.7</w:t>
            </w:r>
          </w:p>
        </w:tc>
        <w:tc>
          <w:tcPr>
            <w:tcW w:w="1445" w:type="dxa"/>
          </w:tcPr>
          <w:p w14:paraId="1FD13C3E" w14:textId="68A5BBD6"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218.2</w:t>
            </w:r>
          </w:p>
        </w:tc>
      </w:tr>
      <w:tr w:rsidR="00A44BF6" w:rsidRPr="00A44138" w14:paraId="30980354" w14:textId="77777777" w:rsidTr="00DE3335">
        <w:trPr>
          <w:trHeight w:val="280"/>
        </w:trPr>
        <w:tc>
          <w:tcPr>
            <w:tcW w:w="4536" w:type="dxa"/>
            <w:vAlign w:val="center"/>
          </w:tcPr>
          <w:p w14:paraId="6E6652C4"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Non-controlling interest</w:t>
            </w:r>
          </w:p>
        </w:tc>
        <w:tc>
          <w:tcPr>
            <w:tcW w:w="851" w:type="dxa"/>
            <w:vAlign w:val="center"/>
          </w:tcPr>
          <w:p w14:paraId="66820C1B" w14:textId="4C84EDEC"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r w:rsidRPr="00A44138">
              <w:rPr>
                <w:rFonts w:ascii="Arial" w:hAnsi="Arial"/>
                <w:i/>
                <w:sz w:val="18"/>
              </w:rPr>
              <w:t>11</w:t>
            </w:r>
          </w:p>
        </w:tc>
        <w:tc>
          <w:tcPr>
            <w:tcW w:w="1474" w:type="dxa"/>
            <w:tcBorders>
              <w:bottom w:val="single" w:sz="4" w:space="0" w:color="auto"/>
            </w:tcBorders>
          </w:tcPr>
          <w:p w14:paraId="26175F05" w14:textId="227F14A3"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4.9</w:t>
            </w:r>
          </w:p>
        </w:tc>
        <w:tc>
          <w:tcPr>
            <w:tcW w:w="1503" w:type="dxa"/>
            <w:tcBorders>
              <w:bottom w:val="single" w:sz="4" w:space="0" w:color="auto"/>
            </w:tcBorders>
            <w:vAlign w:val="center"/>
          </w:tcPr>
          <w:p w14:paraId="69A51C47" w14:textId="21E5C285"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5.2</w:t>
            </w:r>
          </w:p>
        </w:tc>
        <w:tc>
          <w:tcPr>
            <w:tcW w:w="1445" w:type="dxa"/>
            <w:tcBorders>
              <w:bottom w:val="single" w:sz="4" w:space="0" w:color="auto"/>
            </w:tcBorders>
          </w:tcPr>
          <w:p w14:paraId="7E3ACB59" w14:textId="358A127C"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5.5</w:t>
            </w:r>
          </w:p>
        </w:tc>
      </w:tr>
      <w:tr w:rsidR="00A44BF6" w:rsidRPr="00A44138" w14:paraId="03A70D19" w14:textId="77777777" w:rsidTr="00DE3335">
        <w:trPr>
          <w:trHeight w:val="280"/>
        </w:trPr>
        <w:tc>
          <w:tcPr>
            <w:tcW w:w="4536" w:type="dxa"/>
            <w:vAlign w:val="center"/>
          </w:tcPr>
          <w:p w14:paraId="52C479DE"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equity</w:t>
            </w:r>
          </w:p>
        </w:tc>
        <w:tc>
          <w:tcPr>
            <w:tcW w:w="851" w:type="dxa"/>
            <w:vAlign w:val="center"/>
          </w:tcPr>
          <w:p w14:paraId="5684170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i/>
                <w:color w:val="FF0000"/>
                <w:sz w:val="18"/>
              </w:rPr>
            </w:pPr>
          </w:p>
        </w:tc>
        <w:tc>
          <w:tcPr>
            <w:tcW w:w="1474" w:type="dxa"/>
            <w:tcBorders>
              <w:top w:val="single" w:sz="4" w:space="0" w:color="auto"/>
              <w:bottom w:val="single" w:sz="4" w:space="0" w:color="auto"/>
            </w:tcBorders>
          </w:tcPr>
          <w:p w14:paraId="24738E01" w14:textId="0899837C"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229.</w:t>
            </w:r>
            <w:r w:rsidR="00E74B01" w:rsidRPr="00DA53C4">
              <w:rPr>
                <w:rFonts w:ascii="Arial" w:eastAsia="Batang" w:hAnsi="Arial" w:cs="Arial"/>
                <w:b/>
                <w:sz w:val="18"/>
                <w:szCs w:val="18"/>
                <w:lang w:eastAsia="ko-KR"/>
              </w:rPr>
              <w:t>4</w:t>
            </w:r>
          </w:p>
        </w:tc>
        <w:tc>
          <w:tcPr>
            <w:tcW w:w="1503" w:type="dxa"/>
            <w:tcBorders>
              <w:top w:val="single" w:sz="4" w:space="0" w:color="auto"/>
              <w:bottom w:val="single" w:sz="4" w:space="0" w:color="auto"/>
            </w:tcBorders>
            <w:vAlign w:val="center"/>
          </w:tcPr>
          <w:p w14:paraId="001B93E2" w14:textId="4DC3DBCA"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244.9</w:t>
            </w:r>
          </w:p>
        </w:tc>
        <w:tc>
          <w:tcPr>
            <w:tcW w:w="1445" w:type="dxa"/>
            <w:tcBorders>
              <w:top w:val="single" w:sz="4" w:space="0" w:color="auto"/>
              <w:bottom w:val="single" w:sz="4" w:space="0" w:color="auto"/>
            </w:tcBorders>
          </w:tcPr>
          <w:p w14:paraId="3D04FE92" w14:textId="033BD532"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223.7</w:t>
            </w:r>
          </w:p>
        </w:tc>
      </w:tr>
      <w:tr w:rsidR="00A44BF6" w:rsidRPr="00A44138" w14:paraId="23AC352D" w14:textId="77777777" w:rsidTr="00DE3335">
        <w:trPr>
          <w:trHeight w:val="280"/>
        </w:trPr>
        <w:tc>
          <w:tcPr>
            <w:tcW w:w="4536" w:type="dxa"/>
            <w:vAlign w:val="center"/>
          </w:tcPr>
          <w:p w14:paraId="3AAE22B8"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Total equity and liabilities</w:t>
            </w:r>
          </w:p>
        </w:tc>
        <w:tc>
          <w:tcPr>
            <w:tcW w:w="851" w:type="dxa"/>
            <w:vAlign w:val="center"/>
          </w:tcPr>
          <w:p w14:paraId="4576ADE2" w14:textId="77777777" w:rsidR="00A44BF6" w:rsidRPr="00A44138" w:rsidRDefault="00A44BF6" w:rsidP="00A44BF6">
            <w:pPr>
              <w:tabs>
                <w:tab w:val="left" w:pos="709"/>
                <w:tab w:val="left" w:pos="1559"/>
                <w:tab w:val="left" w:pos="2268"/>
                <w:tab w:val="left" w:pos="2977"/>
                <w:tab w:val="left" w:pos="3686"/>
                <w:tab w:val="left" w:pos="4394"/>
                <w:tab w:val="right" w:pos="8789"/>
              </w:tabs>
              <w:spacing w:after="0" w:line="260" w:lineRule="atLeast"/>
              <w:ind w:right="142"/>
              <w:jc w:val="center"/>
              <w:rPr>
                <w:rFonts w:ascii="Arial" w:hAnsi="Arial"/>
                <w:b/>
                <w:color w:val="FF0000"/>
                <w:sz w:val="18"/>
              </w:rPr>
            </w:pPr>
          </w:p>
        </w:tc>
        <w:tc>
          <w:tcPr>
            <w:tcW w:w="1474" w:type="dxa"/>
            <w:tcBorders>
              <w:top w:val="single" w:sz="4" w:space="0" w:color="auto"/>
              <w:bottom w:val="double" w:sz="4" w:space="0" w:color="auto"/>
            </w:tcBorders>
          </w:tcPr>
          <w:p w14:paraId="74F9840D" w14:textId="0455DD21" w:rsidR="00A44BF6" w:rsidRPr="00DA53C4" w:rsidRDefault="004D492B"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42</w:t>
            </w:r>
            <w:r w:rsidR="00F44870" w:rsidRPr="00DA53C4">
              <w:rPr>
                <w:rFonts w:ascii="Arial" w:eastAsia="Batang" w:hAnsi="Arial" w:cs="Arial"/>
                <w:b/>
                <w:sz w:val="18"/>
                <w:szCs w:val="18"/>
                <w:lang w:eastAsia="ko-KR"/>
              </w:rPr>
              <w:t>0</w:t>
            </w:r>
            <w:r w:rsidRPr="00DA53C4">
              <w:rPr>
                <w:rFonts w:ascii="Arial" w:eastAsia="Batang" w:hAnsi="Arial" w:cs="Arial"/>
                <w:b/>
                <w:sz w:val="18"/>
                <w:szCs w:val="18"/>
                <w:lang w:eastAsia="ko-KR"/>
              </w:rPr>
              <w:t>.</w:t>
            </w:r>
            <w:r w:rsidR="004156A3" w:rsidRPr="00DA53C4">
              <w:rPr>
                <w:rFonts w:ascii="Arial" w:eastAsia="Batang" w:hAnsi="Arial" w:cs="Arial"/>
                <w:b/>
                <w:sz w:val="18"/>
                <w:szCs w:val="18"/>
                <w:lang w:eastAsia="ko-KR"/>
              </w:rPr>
              <w:t>0</w:t>
            </w:r>
          </w:p>
        </w:tc>
        <w:tc>
          <w:tcPr>
            <w:tcW w:w="1503" w:type="dxa"/>
            <w:tcBorders>
              <w:top w:val="single" w:sz="4" w:space="0" w:color="auto"/>
              <w:bottom w:val="double" w:sz="4" w:space="0" w:color="auto"/>
            </w:tcBorders>
            <w:vAlign w:val="center"/>
          </w:tcPr>
          <w:p w14:paraId="234BD578" w14:textId="703F2ACD"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402.3</w:t>
            </w:r>
          </w:p>
        </w:tc>
        <w:tc>
          <w:tcPr>
            <w:tcW w:w="1445" w:type="dxa"/>
            <w:tcBorders>
              <w:top w:val="single" w:sz="4" w:space="0" w:color="auto"/>
              <w:bottom w:val="double" w:sz="4" w:space="0" w:color="auto"/>
            </w:tcBorders>
          </w:tcPr>
          <w:p w14:paraId="2F49220E" w14:textId="1474D2CE" w:rsidR="00A44BF6" w:rsidRPr="005E7A81" w:rsidRDefault="00A44BF6" w:rsidP="00A44BF6">
            <w:pPr>
              <w:tabs>
                <w:tab w:val="decimal" w:pos="990"/>
                <w:tab w:val="left" w:pos="1530"/>
                <w:tab w:val="left" w:pos="2268"/>
                <w:tab w:val="left" w:pos="2977"/>
                <w:tab w:val="left" w:pos="3686"/>
                <w:tab w:val="left" w:pos="4394"/>
                <w:tab w:val="right" w:pos="8789"/>
              </w:tabs>
              <w:overflowPunct w:val="0"/>
              <w:autoSpaceDE w:val="0"/>
              <w:autoSpaceDN w:val="0"/>
              <w:adjustRightInd w:val="0"/>
              <w:spacing w:after="0" w:line="260" w:lineRule="atLeast"/>
              <w:ind w:right="144"/>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412.8</w:t>
            </w:r>
          </w:p>
        </w:tc>
      </w:tr>
    </w:tbl>
    <w:p w14:paraId="2080BAC5"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FF0000"/>
          <w:sz w:val="20"/>
          <w:szCs w:val="20"/>
          <w:lang w:eastAsia="ko-KR"/>
        </w:rPr>
      </w:pPr>
    </w:p>
    <w:p w14:paraId="127B93F5" w14:textId="1A795CBE" w:rsidR="00294FD1" w:rsidRPr="00A44138" w:rsidRDefault="00294FD1" w:rsidP="00D35CE6">
      <w:pPr>
        <w:rPr>
          <w:rFonts w:ascii="Arial" w:eastAsia="Batang" w:hAnsi="Arial" w:cs="Arial"/>
          <w:sz w:val="20"/>
          <w:szCs w:val="26"/>
        </w:rPr>
      </w:pPr>
      <w:r w:rsidRPr="00A44138">
        <w:rPr>
          <w:rFonts w:ascii="Arial" w:eastAsia="Batang" w:hAnsi="Arial" w:cs="Arial"/>
          <w:b/>
          <w:sz w:val="26"/>
          <w:szCs w:val="26"/>
        </w:rPr>
        <w:t>Consolidated statement of changes in equity</w:t>
      </w:r>
    </w:p>
    <w:p w14:paraId="29E7C737" w14:textId="01F1EEA1"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eastAsia="Batang" w:hAnsi="Arial" w:cs="Arial"/>
          <w:i/>
          <w:sz w:val="20"/>
          <w:szCs w:val="20"/>
        </w:rPr>
      </w:pPr>
      <w:r w:rsidRPr="00A44138">
        <w:rPr>
          <w:rFonts w:ascii="Arial" w:eastAsia="Batang" w:hAnsi="Arial" w:cs="Arial"/>
          <w:i/>
          <w:sz w:val="20"/>
          <w:szCs w:val="20"/>
        </w:rPr>
        <w:t xml:space="preserve">for the period ended </w:t>
      </w:r>
      <w:r w:rsidR="00F77FFA" w:rsidRPr="00A44138">
        <w:rPr>
          <w:rFonts w:ascii="Arial" w:eastAsia="Batang" w:hAnsi="Arial" w:cs="Arial"/>
          <w:i/>
          <w:sz w:val="20"/>
          <w:szCs w:val="20"/>
        </w:rPr>
        <w:t>30 June 202</w:t>
      </w:r>
      <w:r w:rsidR="006A62E3">
        <w:rPr>
          <w:rFonts w:ascii="Arial" w:eastAsia="Batang" w:hAnsi="Arial" w:cs="Arial"/>
          <w:i/>
          <w:sz w:val="20"/>
          <w:szCs w:val="20"/>
        </w:rPr>
        <w:t>5</w:t>
      </w:r>
      <w:r w:rsidR="00F77FFA" w:rsidRPr="00A44138">
        <w:rPr>
          <w:rFonts w:ascii="Arial" w:eastAsia="Batang" w:hAnsi="Arial" w:cs="Arial"/>
          <w:i/>
          <w:sz w:val="20"/>
          <w:szCs w:val="20"/>
        </w:rPr>
        <w:t>, 31 December 202</w:t>
      </w:r>
      <w:r w:rsidR="006A62E3">
        <w:rPr>
          <w:rFonts w:ascii="Arial" w:eastAsia="Batang" w:hAnsi="Arial" w:cs="Arial"/>
          <w:i/>
          <w:sz w:val="20"/>
          <w:szCs w:val="20"/>
        </w:rPr>
        <w:t>4</w:t>
      </w:r>
      <w:r w:rsidR="00F77FFA" w:rsidRPr="00A44138">
        <w:rPr>
          <w:rFonts w:ascii="Arial" w:eastAsia="Batang" w:hAnsi="Arial" w:cs="Arial"/>
          <w:i/>
          <w:sz w:val="20"/>
          <w:szCs w:val="20"/>
        </w:rPr>
        <w:t xml:space="preserve"> and 30 June 202</w:t>
      </w:r>
      <w:r w:rsidR="006A62E3">
        <w:rPr>
          <w:rFonts w:ascii="Arial" w:eastAsia="Batang" w:hAnsi="Arial" w:cs="Arial"/>
          <w:i/>
          <w:sz w:val="20"/>
          <w:szCs w:val="20"/>
        </w:rPr>
        <w:t>4</w:t>
      </w:r>
    </w:p>
    <w:p w14:paraId="3BD25F13"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60" w:lineRule="atLeast"/>
        <w:rPr>
          <w:rFonts w:ascii="Arial" w:hAnsi="Arial"/>
          <w:color w:val="FF0000"/>
          <w:sz w:val="18"/>
        </w:rPr>
      </w:pPr>
    </w:p>
    <w:tbl>
      <w:tblPr>
        <w:tblW w:w="9960" w:type="dxa"/>
        <w:tblLayout w:type="fixed"/>
        <w:tblLook w:val="0000" w:firstRow="0" w:lastRow="0" w:firstColumn="0" w:lastColumn="0" w:noHBand="0" w:noVBand="0"/>
      </w:tblPr>
      <w:tblGrid>
        <w:gridCol w:w="2438"/>
        <w:gridCol w:w="737"/>
        <w:gridCol w:w="964"/>
        <w:gridCol w:w="907"/>
        <w:gridCol w:w="964"/>
        <w:gridCol w:w="907"/>
        <w:gridCol w:w="1133"/>
        <w:gridCol w:w="1060"/>
        <w:gridCol w:w="850"/>
      </w:tblGrid>
      <w:tr w:rsidR="00294FD1" w:rsidRPr="00A44138" w14:paraId="2D1C0329" w14:textId="77777777" w:rsidTr="00324A0B">
        <w:trPr>
          <w:trHeight w:val="278"/>
        </w:trPr>
        <w:tc>
          <w:tcPr>
            <w:tcW w:w="2438" w:type="dxa"/>
            <w:noWrap/>
            <w:vAlign w:val="center"/>
          </w:tcPr>
          <w:p w14:paraId="10962A6E"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p>
        </w:tc>
        <w:tc>
          <w:tcPr>
            <w:tcW w:w="737" w:type="dxa"/>
            <w:noWrap/>
            <w:vAlign w:val="bottom"/>
          </w:tcPr>
          <w:p w14:paraId="6BE67F39" w14:textId="77777777" w:rsidR="00294FD1" w:rsidRPr="00A44138" w:rsidRDefault="00294FD1">
            <w:pPr>
              <w:tabs>
                <w:tab w:val="decimal" w:pos="720"/>
              </w:tabs>
              <w:overflowPunct w:val="0"/>
              <w:autoSpaceDE w:val="0"/>
              <w:autoSpaceDN w:val="0"/>
              <w:adjustRightInd w:val="0"/>
              <w:spacing w:after="0" w:line="240" w:lineRule="auto"/>
              <w:jc w:val="right"/>
              <w:textAlignment w:val="baseline"/>
              <w:rPr>
                <w:rFonts w:ascii="Arial" w:eastAsia="Batang" w:hAnsi="Arial" w:cs="Times New Roman"/>
                <w:sz w:val="18"/>
                <w:szCs w:val="20"/>
              </w:rPr>
            </w:pPr>
          </w:p>
          <w:p w14:paraId="04AB8F91" w14:textId="77777777" w:rsidR="00294FD1" w:rsidRPr="00A44138" w:rsidRDefault="00294FD1">
            <w:pPr>
              <w:tabs>
                <w:tab w:val="decimal" w:pos="720"/>
              </w:tabs>
              <w:overflowPunct w:val="0"/>
              <w:autoSpaceDE w:val="0"/>
              <w:autoSpaceDN w:val="0"/>
              <w:adjustRightInd w:val="0"/>
              <w:spacing w:after="0" w:line="240" w:lineRule="auto"/>
              <w:jc w:val="right"/>
              <w:textAlignment w:val="baseline"/>
              <w:rPr>
                <w:rFonts w:ascii="Arial" w:eastAsia="Batang" w:hAnsi="Arial" w:cs="Times New Roman"/>
                <w:sz w:val="18"/>
                <w:szCs w:val="20"/>
              </w:rPr>
            </w:pPr>
            <w:r w:rsidRPr="00A44138">
              <w:rPr>
                <w:rFonts w:ascii="Arial" w:eastAsia="Batang" w:hAnsi="Arial" w:cs="Times New Roman"/>
                <w:sz w:val="18"/>
                <w:szCs w:val="20"/>
              </w:rPr>
              <w:t xml:space="preserve">Share </w:t>
            </w:r>
          </w:p>
          <w:p w14:paraId="44AF69D8"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capital</w:t>
            </w:r>
          </w:p>
        </w:tc>
        <w:tc>
          <w:tcPr>
            <w:tcW w:w="964" w:type="dxa"/>
            <w:noWrap/>
            <w:vAlign w:val="bottom"/>
          </w:tcPr>
          <w:p w14:paraId="187C57D7"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Times New Roman"/>
                <w:sz w:val="18"/>
                <w:szCs w:val="20"/>
              </w:rPr>
            </w:pPr>
          </w:p>
          <w:p w14:paraId="75429ACF"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Share premium</w:t>
            </w:r>
          </w:p>
        </w:tc>
        <w:tc>
          <w:tcPr>
            <w:tcW w:w="907" w:type="dxa"/>
            <w:vAlign w:val="bottom"/>
          </w:tcPr>
          <w:p w14:paraId="1739F0E3"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Reserve for own shares</w:t>
            </w:r>
          </w:p>
        </w:tc>
        <w:tc>
          <w:tcPr>
            <w:tcW w:w="964" w:type="dxa"/>
            <w:noWrap/>
            <w:vAlign w:val="bottom"/>
          </w:tcPr>
          <w:p w14:paraId="24DAE758"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Times New Roman"/>
                <w:sz w:val="18"/>
                <w:szCs w:val="20"/>
              </w:rPr>
            </w:pPr>
          </w:p>
          <w:p w14:paraId="7CE9DB41"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Retained earnings</w:t>
            </w:r>
          </w:p>
        </w:tc>
        <w:tc>
          <w:tcPr>
            <w:tcW w:w="907" w:type="dxa"/>
            <w:vAlign w:val="bottom"/>
          </w:tcPr>
          <w:p w14:paraId="328D46F9" w14:textId="77777777" w:rsidR="00294FD1" w:rsidRPr="00A44138" w:rsidRDefault="00294FD1">
            <w:pPr>
              <w:tabs>
                <w:tab w:val="decimal" w:pos="684"/>
              </w:tabs>
              <w:overflowPunct w:val="0"/>
              <w:autoSpaceDE w:val="0"/>
              <w:autoSpaceDN w:val="0"/>
              <w:adjustRightInd w:val="0"/>
              <w:spacing w:after="0" w:line="240" w:lineRule="auto"/>
              <w:jc w:val="right"/>
              <w:textAlignment w:val="baseline"/>
              <w:rPr>
                <w:rFonts w:ascii="Arial" w:eastAsia="Batang" w:hAnsi="Arial" w:cs="Times New Roman"/>
                <w:sz w:val="18"/>
                <w:szCs w:val="20"/>
              </w:rPr>
            </w:pPr>
          </w:p>
          <w:p w14:paraId="70E889C2"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Other reserves</w:t>
            </w:r>
          </w:p>
        </w:tc>
        <w:tc>
          <w:tcPr>
            <w:tcW w:w="1133" w:type="dxa"/>
            <w:vAlign w:val="bottom"/>
          </w:tcPr>
          <w:p w14:paraId="23F9C65F"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Equity attributable to the owners of the Company</w:t>
            </w:r>
          </w:p>
        </w:tc>
        <w:tc>
          <w:tcPr>
            <w:tcW w:w="1060" w:type="dxa"/>
            <w:vAlign w:val="bottom"/>
          </w:tcPr>
          <w:p w14:paraId="403BFDC2"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A44138">
              <w:rPr>
                <w:rFonts w:ascii="Arial" w:eastAsia="Batang" w:hAnsi="Arial" w:cs="Times New Roman"/>
                <w:sz w:val="18"/>
                <w:szCs w:val="20"/>
              </w:rPr>
              <w:t>Non-controlling interest</w:t>
            </w:r>
          </w:p>
        </w:tc>
        <w:tc>
          <w:tcPr>
            <w:tcW w:w="850" w:type="dxa"/>
            <w:noWrap/>
            <w:vAlign w:val="bottom"/>
          </w:tcPr>
          <w:p w14:paraId="5882CDBF"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Total Equity</w:t>
            </w:r>
          </w:p>
        </w:tc>
      </w:tr>
      <w:tr w:rsidR="00294FD1" w:rsidRPr="00A44138" w14:paraId="4CCF626E" w14:textId="77777777" w:rsidTr="00324A0B">
        <w:trPr>
          <w:trHeight w:val="278"/>
        </w:trPr>
        <w:tc>
          <w:tcPr>
            <w:tcW w:w="2438" w:type="dxa"/>
            <w:noWrap/>
            <w:vAlign w:val="center"/>
          </w:tcPr>
          <w:p w14:paraId="26B20F84"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p>
        </w:tc>
        <w:tc>
          <w:tcPr>
            <w:tcW w:w="737" w:type="dxa"/>
            <w:noWrap/>
            <w:vAlign w:val="center"/>
          </w:tcPr>
          <w:p w14:paraId="180A09B5"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964" w:type="dxa"/>
            <w:noWrap/>
            <w:vAlign w:val="center"/>
          </w:tcPr>
          <w:p w14:paraId="5423148F"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907" w:type="dxa"/>
            <w:vAlign w:val="center"/>
          </w:tcPr>
          <w:p w14:paraId="60D88771"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964" w:type="dxa"/>
            <w:noWrap/>
            <w:vAlign w:val="center"/>
          </w:tcPr>
          <w:p w14:paraId="6DD0DD8E"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907" w:type="dxa"/>
            <w:vAlign w:val="center"/>
          </w:tcPr>
          <w:p w14:paraId="00D072D2"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1133" w:type="dxa"/>
            <w:vAlign w:val="center"/>
          </w:tcPr>
          <w:p w14:paraId="57D19ADC"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c>
          <w:tcPr>
            <w:tcW w:w="1060" w:type="dxa"/>
            <w:vAlign w:val="center"/>
          </w:tcPr>
          <w:p w14:paraId="1F2EC916"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A44138">
              <w:rPr>
                <w:rFonts w:ascii="Arial" w:eastAsia="Batang" w:hAnsi="Arial" w:cs="Times New Roman"/>
                <w:sz w:val="18"/>
                <w:szCs w:val="20"/>
              </w:rPr>
              <w:t>£m</w:t>
            </w:r>
          </w:p>
        </w:tc>
        <w:tc>
          <w:tcPr>
            <w:tcW w:w="850" w:type="dxa"/>
            <w:noWrap/>
            <w:vAlign w:val="center"/>
          </w:tcPr>
          <w:p w14:paraId="60E503CB" w14:textId="77777777" w:rsidR="00294FD1" w:rsidRPr="00A44138"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r w:rsidRPr="00A44138">
              <w:rPr>
                <w:rFonts w:ascii="Arial" w:eastAsia="Batang" w:hAnsi="Arial" w:cs="Times New Roman"/>
                <w:sz w:val="18"/>
                <w:szCs w:val="20"/>
              </w:rPr>
              <w:t>£m</w:t>
            </w:r>
          </w:p>
        </w:tc>
      </w:tr>
      <w:tr w:rsidR="00294FD1" w:rsidRPr="00A44138" w14:paraId="5747C4D7" w14:textId="77777777" w:rsidTr="00324A0B">
        <w:trPr>
          <w:trHeight w:val="278"/>
        </w:trPr>
        <w:tc>
          <w:tcPr>
            <w:tcW w:w="2438" w:type="dxa"/>
            <w:noWrap/>
            <w:vAlign w:val="center"/>
          </w:tcPr>
          <w:p w14:paraId="4AFFEE14" w14:textId="77777777" w:rsidR="00294FD1" w:rsidRPr="005E7A81"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p>
        </w:tc>
        <w:tc>
          <w:tcPr>
            <w:tcW w:w="737" w:type="dxa"/>
            <w:noWrap/>
            <w:vAlign w:val="center"/>
          </w:tcPr>
          <w:p w14:paraId="575D401E"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64" w:type="dxa"/>
            <w:noWrap/>
            <w:vAlign w:val="center"/>
          </w:tcPr>
          <w:p w14:paraId="2F71AA59"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07" w:type="dxa"/>
            <w:vAlign w:val="center"/>
          </w:tcPr>
          <w:p w14:paraId="36A0DDF1"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64" w:type="dxa"/>
            <w:noWrap/>
            <w:vAlign w:val="center"/>
          </w:tcPr>
          <w:p w14:paraId="546F3693"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07" w:type="dxa"/>
            <w:vAlign w:val="center"/>
          </w:tcPr>
          <w:p w14:paraId="498D7EF1"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1133" w:type="dxa"/>
            <w:vAlign w:val="center"/>
          </w:tcPr>
          <w:p w14:paraId="544BBFB6"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1060" w:type="dxa"/>
            <w:vAlign w:val="center"/>
          </w:tcPr>
          <w:p w14:paraId="790692FD"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p>
        </w:tc>
        <w:tc>
          <w:tcPr>
            <w:tcW w:w="850" w:type="dxa"/>
            <w:noWrap/>
            <w:vAlign w:val="center"/>
          </w:tcPr>
          <w:p w14:paraId="0C41E701" w14:textId="77777777" w:rsidR="00294FD1" w:rsidRPr="005E7A81" w:rsidRDefault="00294FD1">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r>
      <w:tr w:rsidR="004424BD" w:rsidRPr="00A44138" w14:paraId="202DDD33" w14:textId="77777777" w:rsidTr="00324A0B">
        <w:trPr>
          <w:trHeight w:val="278"/>
        </w:trPr>
        <w:tc>
          <w:tcPr>
            <w:tcW w:w="2438" w:type="dxa"/>
            <w:noWrap/>
            <w:vAlign w:val="center"/>
          </w:tcPr>
          <w:p w14:paraId="2B80C364" w14:textId="0891E868"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At 1 January 2024</w:t>
            </w:r>
          </w:p>
        </w:tc>
        <w:tc>
          <w:tcPr>
            <w:tcW w:w="737" w:type="dxa"/>
            <w:tcBorders>
              <w:bottom w:val="single" w:sz="4" w:space="0" w:color="auto"/>
            </w:tcBorders>
            <w:noWrap/>
            <w:vAlign w:val="center"/>
          </w:tcPr>
          <w:p w14:paraId="05D48D07" w14:textId="34B3A40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0.1</w:t>
            </w:r>
          </w:p>
        </w:tc>
        <w:tc>
          <w:tcPr>
            <w:tcW w:w="964" w:type="dxa"/>
            <w:tcBorders>
              <w:bottom w:val="single" w:sz="4" w:space="0" w:color="auto"/>
            </w:tcBorders>
            <w:noWrap/>
            <w:vAlign w:val="center"/>
          </w:tcPr>
          <w:p w14:paraId="4632F3C6" w14:textId="3178E1F2"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205.5</w:t>
            </w:r>
          </w:p>
        </w:tc>
        <w:tc>
          <w:tcPr>
            <w:tcW w:w="907" w:type="dxa"/>
            <w:tcBorders>
              <w:bottom w:val="single" w:sz="4" w:space="0" w:color="auto"/>
            </w:tcBorders>
            <w:vAlign w:val="center"/>
          </w:tcPr>
          <w:p w14:paraId="2BBECF8B" w14:textId="3A9FD7EF"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(2.4)</w:t>
            </w:r>
          </w:p>
        </w:tc>
        <w:tc>
          <w:tcPr>
            <w:tcW w:w="964" w:type="dxa"/>
            <w:tcBorders>
              <w:bottom w:val="single" w:sz="4" w:space="0" w:color="auto"/>
            </w:tcBorders>
            <w:noWrap/>
            <w:vAlign w:val="center"/>
          </w:tcPr>
          <w:p w14:paraId="522CCE74" w14:textId="25E38C9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(46.3)</w:t>
            </w:r>
          </w:p>
        </w:tc>
        <w:tc>
          <w:tcPr>
            <w:tcW w:w="907" w:type="dxa"/>
            <w:tcBorders>
              <w:bottom w:val="single" w:sz="4" w:space="0" w:color="auto"/>
            </w:tcBorders>
            <w:vAlign w:val="center"/>
          </w:tcPr>
          <w:p w14:paraId="1BF91282" w14:textId="754FBE92"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63.6</w:t>
            </w:r>
          </w:p>
        </w:tc>
        <w:tc>
          <w:tcPr>
            <w:tcW w:w="1133" w:type="dxa"/>
            <w:tcBorders>
              <w:bottom w:val="single" w:sz="4" w:space="0" w:color="auto"/>
            </w:tcBorders>
            <w:vAlign w:val="center"/>
          </w:tcPr>
          <w:p w14:paraId="3D47BAF3" w14:textId="61A8203B"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lang w:eastAsia="ko-KR"/>
              </w:rPr>
            </w:pPr>
            <w:r w:rsidRPr="005E7A81">
              <w:rPr>
                <w:rFonts w:ascii="Arial" w:eastAsia="Batang" w:hAnsi="Arial" w:cs="Arial"/>
                <w:bCs/>
                <w:sz w:val="18"/>
                <w:szCs w:val="18"/>
                <w:lang w:eastAsia="ko-KR"/>
              </w:rPr>
              <w:t>220.5</w:t>
            </w:r>
          </w:p>
        </w:tc>
        <w:tc>
          <w:tcPr>
            <w:tcW w:w="1060" w:type="dxa"/>
            <w:tcBorders>
              <w:bottom w:val="single" w:sz="4" w:space="0" w:color="auto"/>
            </w:tcBorders>
            <w:vAlign w:val="center"/>
          </w:tcPr>
          <w:p w14:paraId="03DBDF30" w14:textId="596C3EBE"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5.6</w:t>
            </w:r>
          </w:p>
        </w:tc>
        <w:tc>
          <w:tcPr>
            <w:tcW w:w="850" w:type="dxa"/>
            <w:tcBorders>
              <w:bottom w:val="single" w:sz="4" w:space="0" w:color="auto"/>
            </w:tcBorders>
            <w:noWrap/>
            <w:vAlign w:val="center"/>
          </w:tcPr>
          <w:p w14:paraId="250DDEEC" w14:textId="0097A00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226.1</w:t>
            </w:r>
          </w:p>
        </w:tc>
      </w:tr>
      <w:tr w:rsidR="004424BD" w:rsidRPr="00A44138" w14:paraId="016366FF" w14:textId="77777777" w:rsidTr="00324A0B">
        <w:trPr>
          <w:trHeight w:val="278"/>
        </w:trPr>
        <w:tc>
          <w:tcPr>
            <w:tcW w:w="2438" w:type="dxa"/>
            <w:noWrap/>
            <w:vAlign w:val="center"/>
          </w:tcPr>
          <w:p w14:paraId="1A8BC2B9" w14:textId="184CEE93"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Profit for the period</w:t>
            </w:r>
          </w:p>
        </w:tc>
        <w:tc>
          <w:tcPr>
            <w:tcW w:w="737" w:type="dxa"/>
            <w:tcBorders>
              <w:top w:val="single" w:sz="4" w:space="0" w:color="auto"/>
            </w:tcBorders>
            <w:noWrap/>
            <w:vAlign w:val="center"/>
          </w:tcPr>
          <w:p w14:paraId="7EB9FAD6" w14:textId="13C693E9"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top w:val="single" w:sz="4" w:space="0" w:color="auto"/>
            </w:tcBorders>
            <w:noWrap/>
            <w:vAlign w:val="center"/>
          </w:tcPr>
          <w:p w14:paraId="3FD8D675" w14:textId="5A50D2CC"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tcBorders>
              <w:top w:val="single" w:sz="4" w:space="0" w:color="auto"/>
            </w:tcBorders>
            <w:vAlign w:val="center"/>
          </w:tcPr>
          <w:p w14:paraId="7CA823F0" w14:textId="2E693C2D"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top w:val="single" w:sz="4" w:space="0" w:color="auto"/>
            </w:tcBorders>
            <w:noWrap/>
            <w:vAlign w:val="center"/>
          </w:tcPr>
          <w:p w14:paraId="59779B6F" w14:textId="3BE88290"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44.2</w:t>
            </w:r>
          </w:p>
        </w:tc>
        <w:tc>
          <w:tcPr>
            <w:tcW w:w="907" w:type="dxa"/>
            <w:tcBorders>
              <w:top w:val="single" w:sz="4" w:space="0" w:color="auto"/>
            </w:tcBorders>
            <w:vAlign w:val="center"/>
          </w:tcPr>
          <w:p w14:paraId="5C92C4DE" w14:textId="42E96C69"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133" w:type="dxa"/>
            <w:tcBorders>
              <w:top w:val="single" w:sz="4" w:space="0" w:color="auto"/>
            </w:tcBorders>
            <w:vAlign w:val="center"/>
          </w:tcPr>
          <w:p w14:paraId="059766CC" w14:textId="21B224E1"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44.2</w:t>
            </w:r>
          </w:p>
        </w:tc>
        <w:tc>
          <w:tcPr>
            <w:tcW w:w="1060" w:type="dxa"/>
            <w:tcBorders>
              <w:top w:val="single" w:sz="4" w:space="0" w:color="auto"/>
            </w:tcBorders>
            <w:vAlign w:val="center"/>
          </w:tcPr>
          <w:p w14:paraId="1C4F540A" w14:textId="38BE3F2E"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(0.1)</w:t>
            </w:r>
          </w:p>
        </w:tc>
        <w:tc>
          <w:tcPr>
            <w:tcW w:w="850" w:type="dxa"/>
            <w:tcBorders>
              <w:top w:val="single" w:sz="4" w:space="0" w:color="auto"/>
            </w:tcBorders>
            <w:noWrap/>
            <w:vAlign w:val="center"/>
          </w:tcPr>
          <w:p w14:paraId="2A57B264" w14:textId="63BD6060"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44.1</w:t>
            </w:r>
          </w:p>
        </w:tc>
      </w:tr>
      <w:tr w:rsidR="004424BD" w:rsidRPr="00A44138" w14:paraId="0EE39E8A" w14:textId="77777777" w:rsidTr="00324A0B">
        <w:trPr>
          <w:trHeight w:val="278"/>
        </w:trPr>
        <w:tc>
          <w:tcPr>
            <w:tcW w:w="2438" w:type="dxa"/>
            <w:noWrap/>
            <w:vAlign w:val="center"/>
          </w:tcPr>
          <w:p w14:paraId="5D72EEBF" w14:textId="3F1AE36E"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Other comprehensive income</w:t>
            </w:r>
          </w:p>
        </w:tc>
        <w:tc>
          <w:tcPr>
            <w:tcW w:w="737" w:type="dxa"/>
            <w:tcBorders>
              <w:bottom w:val="single" w:sz="4" w:space="0" w:color="auto"/>
            </w:tcBorders>
            <w:noWrap/>
            <w:vAlign w:val="center"/>
          </w:tcPr>
          <w:p w14:paraId="1D3DF260" w14:textId="0EBACD77"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bottom w:val="single" w:sz="4" w:space="0" w:color="auto"/>
            </w:tcBorders>
            <w:noWrap/>
            <w:vAlign w:val="center"/>
          </w:tcPr>
          <w:p w14:paraId="6C881BC6" w14:textId="686825F6"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tcBorders>
              <w:bottom w:val="single" w:sz="4" w:space="0" w:color="auto"/>
            </w:tcBorders>
            <w:vAlign w:val="center"/>
          </w:tcPr>
          <w:p w14:paraId="3C9E5F09" w14:textId="587DA73B"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bottom w:val="single" w:sz="4" w:space="0" w:color="auto"/>
            </w:tcBorders>
            <w:noWrap/>
            <w:vAlign w:val="center"/>
          </w:tcPr>
          <w:p w14:paraId="22B0A986" w14:textId="042BA458" w:rsidR="004424BD" w:rsidRPr="005E7A81" w:rsidRDefault="004424BD" w:rsidP="004424BD">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tcBorders>
              <w:bottom w:val="single" w:sz="4" w:space="0" w:color="auto"/>
            </w:tcBorders>
            <w:vAlign w:val="center"/>
          </w:tcPr>
          <w:p w14:paraId="6E643791" w14:textId="2607DCA8"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0.2</w:t>
            </w:r>
          </w:p>
        </w:tc>
        <w:tc>
          <w:tcPr>
            <w:tcW w:w="1133" w:type="dxa"/>
            <w:tcBorders>
              <w:bottom w:val="single" w:sz="4" w:space="0" w:color="auto"/>
            </w:tcBorders>
            <w:vAlign w:val="center"/>
          </w:tcPr>
          <w:p w14:paraId="15B4B73B" w14:textId="6777C957"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0.2</w:t>
            </w:r>
          </w:p>
        </w:tc>
        <w:tc>
          <w:tcPr>
            <w:tcW w:w="1060" w:type="dxa"/>
            <w:tcBorders>
              <w:bottom w:val="single" w:sz="4" w:space="0" w:color="auto"/>
            </w:tcBorders>
            <w:vAlign w:val="center"/>
          </w:tcPr>
          <w:p w14:paraId="50E60828" w14:textId="73213B9D"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850" w:type="dxa"/>
            <w:tcBorders>
              <w:bottom w:val="single" w:sz="4" w:space="0" w:color="auto"/>
            </w:tcBorders>
            <w:noWrap/>
            <w:vAlign w:val="center"/>
          </w:tcPr>
          <w:p w14:paraId="23D3C970" w14:textId="51A4869A"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5E7A81">
              <w:rPr>
                <w:rFonts w:ascii="Arial" w:eastAsia="Batang" w:hAnsi="Arial" w:cs="Arial"/>
                <w:sz w:val="18"/>
                <w:szCs w:val="18"/>
                <w:lang w:eastAsia="ko-KR"/>
              </w:rPr>
              <w:t>0.2</w:t>
            </w:r>
          </w:p>
        </w:tc>
      </w:tr>
      <w:tr w:rsidR="004424BD" w:rsidRPr="00A44138" w14:paraId="291E6D79" w14:textId="77777777" w:rsidTr="00324A0B">
        <w:trPr>
          <w:trHeight w:val="278"/>
        </w:trPr>
        <w:tc>
          <w:tcPr>
            <w:tcW w:w="2438" w:type="dxa"/>
            <w:noWrap/>
            <w:vAlign w:val="center"/>
          </w:tcPr>
          <w:p w14:paraId="4D45C73C" w14:textId="591C4D32"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Total comprehensive income</w:t>
            </w:r>
          </w:p>
        </w:tc>
        <w:tc>
          <w:tcPr>
            <w:tcW w:w="737" w:type="dxa"/>
            <w:tcBorders>
              <w:top w:val="single" w:sz="4" w:space="0" w:color="auto"/>
            </w:tcBorders>
            <w:noWrap/>
            <w:vAlign w:val="center"/>
          </w:tcPr>
          <w:p w14:paraId="08F91DFE" w14:textId="492D1B85"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top w:val="single" w:sz="4" w:space="0" w:color="auto"/>
            </w:tcBorders>
            <w:noWrap/>
            <w:vAlign w:val="center"/>
          </w:tcPr>
          <w:p w14:paraId="580060E7" w14:textId="3CED29B5"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tcBorders>
              <w:top w:val="single" w:sz="4" w:space="0" w:color="auto"/>
            </w:tcBorders>
            <w:vAlign w:val="center"/>
          </w:tcPr>
          <w:p w14:paraId="219270A3" w14:textId="6D0D93E5"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top w:val="single" w:sz="4" w:space="0" w:color="auto"/>
            </w:tcBorders>
            <w:noWrap/>
            <w:vAlign w:val="center"/>
          </w:tcPr>
          <w:p w14:paraId="09F7D437" w14:textId="52B2D5C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44.2</w:t>
            </w:r>
          </w:p>
        </w:tc>
        <w:tc>
          <w:tcPr>
            <w:tcW w:w="907" w:type="dxa"/>
            <w:tcBorders>
              <w:top w:val="single" w:sz="4" w:space="0" w:color="auto"/>
            </w:tcBorders>
            <w:vAlign w:val="center"/>
          </w:tcPr>
          <w:p w14:paraId="039501E6" w14:textId="06F998DE"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0.2</w:t>
            </w:r>
          </w:p>
        </w:tc>
        <w:tc>
          <w:tcPr>
            <w:tcW w:w="1133" w:type="dxa"/>
            <w:tcBorders>
              <w:top w:val="single" w:sz="4" w:space="0" w:color="auto"/>
            </w:tcBorders>
            <w:vAlign w:val="center"/>
          </w:tcPr>
          <w:p w14:paraId="067685B6" w14:textId="7637DC9C"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44.4</w:t>
            </w:r>
          </w:p>
        </w:tc>
        <w:tc>
          <w:tcPr>
            <w:tcW w:w="1060" w:type="dxa"/>
            <w:tcBorders>
              <w:top w:val="single" w:sz="4" w:space="0" w:color="auto"/>
            </w:tcBorders>
            <w:vAlign w:val="center"/>
          </w:tcPr>
          <w:p w14:paraId="0BF45097" w14:textId="11AD968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(0.1)</w:t>
            </w:r>
          </w:p>
        </w:tc>
        <w:tc>
          <w:tcPr>
            <w:tcW w:w="850" w:type="dxa"/>
            <w:tcBorders>
              <w:top w:val="single" w:sz="4" w:space="0" w:color="auto"/>
            </w:tcBorders>
            <w:noWrap/>
            <w:vAlign w:val="center"/>
          </w:tcPr>
          <w:p w14:paraId="36C4708C" w14:textId="58D68D5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44.3</w:t>
            </w:r>
          </w:p>
        </w:tc>
      </w:tr>
      <w:tr w:rsidR="004424BD" w:rsidRPr="00A44138" w14:paraId="308A3522" w14:textId="77777777" w:rsidTr="00324A0B">
        <w:trPr>
          <w:trHeight w:val="278"/>
        </w:trPr>
        <w:tc>
          <w:tcPr>
            <w:tcW w:w="2438" w:type="dxa"/>
            <w:noWrap/>
            <w:vAlign w:val="center"/>
          </w:tcPr>
          <w:p w14:paraId="6E9A21DE" w14:textId="49D6E1EB"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Purchase of shares by employee trusts</w:t>
            </w:r>
          </w:p>
        </w:tc>
        <w:tc>
          <w:tcPr>
            <w:tcW w:w="737" w:type="dxa"/>
            <w:noWrap/>
            <w:vAlign w:val="center"/>
          </w:tcPr>
          <w:p w14:paraId="2A122947" w14:textId="18DF5692"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noWrap/>
            <w:vAlign w:val="center"/>
          </w:tcPr>
          <w:p w14:paraId="15C6445D" w14:textId="2E5E0E2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vAlign w:val="center"/>
          </w:tcPr>
          <w:p w14:paraId="723966C5" w14:textId="081879D7"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(0.4)</w:t>
            </w:r>
          </w:p>
        </w:tc>
        <w:tc>
          <w:tcPr>
            <w:tcW w:w="964" w:type="dxa"/>
            <w:noWrap/>
            <w:vAlign w:val="center"/>
          </w:tcPr>
          <w:p w14:paraId="1F287C3E" w14:textId="5B272BAD"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vAlign w:val="center"/>
          </w:tcPr>
          <w:p w14:paraId="6F3326EB" w14:textId="4CCA4F78"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133" w:type="dxa"/>
            <w:vAlign w:val="center"/>
          </w:tcPr>
          <w:p w14:paraId="186901C1" w14:textId="219E160D"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(0.4)</w:t>
            </w:r>
          </w:p>
        </w:tc>
        <w:tc>
          <w:tcPr>
            <w:tcW w:w="1060" w:type="dxa"/>
            <w:vAlign w:val="center"/>
          </w:tcPr>
          <w:p w14:paraId="0F7510AC" w14:textId="21AD071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850" w:type="dxa"/>
            <w:noWrap/>
            <w:vAlign w:val="center"/>
          </w:tcPr>
          <w:p w14:paraId="190D5BDF" w14:textId="4B68CD76"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(0.4)</w:t>
            </w:r>
          </w:p>
        </w:tc>
      </w:tr>
      <w:tr w:rsidR="004424BD" w:rsidRPr="00A44138" w14:paraId="46B7E484" w14:textId="77777777" w:rsidTr="00324A0B">
        <w:trPr>
          <w:trHeight w:val="278"/>
        </w:trPr>
        <w:tc>
          <w:tcPr>
            <w:tcW w:w="2438" w:type="dxa"/>
            <w:noWrap/>
            <w:vAlign w:val="center"/>
          </w:tcPr>
          <w:p w14:paraId="412518E4" w14:textId="0789B1FA"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Exercise of LTIP awards</w:t>
            </w:r>
          </w:p>
        </w:tc>
        <w:tc>
          <w:tcPr>
            <w:tcW w:w="737" w:type="dxa"/>
            <w:noWrap/>
            <w:vAlign w:val="center"/>
          </w:tcPr>
          <w:p w14:paraId="4738BDDE" w14:textId="126198BF"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noWrap/>
            <w:vAlign w:val="center"/>
          </w:tcPr>
          <w:p w14:paraId="66D8BBB9" w14:textId="01B8F4FE"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vAlign w:val="center"/>
          </w:tcPr>
          <w:p w14:paraId="23A68C63" w14:textId="777AC756"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0.9</w:t>
            </w:r>
          </w:p>
        </w:tc>
        <w:tc>
          <w:tcPr>
            <w:tcW w:w="964" w:type="dxa"/>
            <w:noWrap/>
            <w:vAlign w:val="center"/>
          </w:tcPr>
          <w:p w14:paraId="4764862F" w14:textId="36A2D318"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(0.9)</w:t>
            </w:r>
          </w:p>
        </w:tc>
        <w:tc>
          <w:tcPr>
            <w:tcW w:w="907" w:type="dxa"/>
            <w:vAlign w:val="center"/>
          </w:tcPr>
          <w:p w14:paraId="767C9934" w14:textId="66CF155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133" w:type="dxa"/>
            <w:vAlign w:val="center"/>
          </w:tcPr>
          <w:p w14:paraId="250E61D1" w14:textId="1244301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060" w:type="dxa"/>
            <w:vAlign w:val="center"/>
          </w:tcPr>
          <w:p w14:paraId="33CB6791" w14:textId="5F2F830F"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850" w:type="dxa"/>
            <w:noWrap/>
            <w:vAlign w:val="center"/>
          </w:tcPr>
          <w:p w14:paraId="1D50FAF2" w14:textId="3F14819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r>
      <w:tr w:rsidR="004424BD" w:rsidRPr="00A44138" w14:paraId="1C3566BE" w14:textId="77777777" w:rsidTr="00324A0B">
        <w:trPr>
          <w:trHeight w:val="278"/>
        </w:trPr>
        <w:tc>
          <w:tcPr>
            <w:tcW w:w="2438" w:type="dxa"/>
            <w:noWrap/>
            <w:vAlign w:val="center"/>
          </w:tcPr>
          <w:p w14:paraId="17F75496" w14:textId="10BC6483"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Equity dividends</w:t>
            </w:r>
          </w:p>
        </w:tc>
        <w:tc>
          <w:tcPr>
            <w:tcW w:w="737" w:type="dxa"/>
            <w:noWrap/>
            <w:vAlign w:val="center"/>
          </w:tcPr>
          <w:p w14:paraId="0674B8DD" w14:textId="2668A33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noWrap/>
            <w:vAlign w:val="center"/>
          </w:tcPr>
          <w:p w14:paraId="46E4BCDE" w14:textId="174A8CF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vAlign w:val="center"/>
          </w:tcPr>
          <w:p w14:paraId="502E6E88" w14:textId="220D94C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noWrap/>
            <w:vAlign w:val="center"/>
          </w:tcPr>
          <w:p w14:paraId="2053481A" w14:textId="7E10611D"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(47.8)</w:t>
            </w:r>
          </w:p>
        </w:tc>
        <w:tc>
          <w:tcPr>
            <w:tcW w:w="907" w:type="dxa"/>
            <w:vAlign w:val="center"/>
          </w:tcPr>
          <w:p w14:paraId="3601C81D" w14:textId="556A8DCB"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133" w:type="dxa"/>
            <w:vAlign w:val="center"/>
          </w:tcPr>
          <w:p w14:paraId="7D66E2FD" w14:textId="73CE931D"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(47.8)</w:t>
            </w:r>
          </w:p>
        </w:tc>
        <w:tc>
          <w:tcPr>
            <w:tcW w:w="1060" w:type="dxa"/>
            <w:vAlign w:val="center"/>
          </w:tcPr>
          <w:p w14:paraId="6F1EF7AC" w14:textId="56EEAEBA"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850" w:type="dxa"/>
            <w:noWrap/>
            <w:vAlign w:val="center"/>
          </w:tcPr>
          <w:p w14:paraId="121073C1" w14:textId="1DB204B1"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(47.8)</w:t>
            </w:r>
          </w:p>
        </w:tc>
      </w:tr>
      <w:tr w:rsidR="004424BD" w:rsidRPr="00A44138" w14:paraId="5376FD47" w14:textId="77777777" w:rsidTr="00324A0B">
        <w:trPr>
          <w:trHeight w:val="278"/>
        </w:trPr>
        <w:tc>
          <w:tcPr>
            <w:tcW w:w="2438" w:type="dxa"/>
            <w:noWrap/>
            <w:vAlign w:val="center"/>
          </w:tcPr>
          <w:p w14:paraId="17C66430" w14:textId="06BE8444"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Share-based payments</w:t>
            </w:r>
          </w:p>
        </w:tc>
        <w:tc>
          <w:tcPr>
            <w:tcW w:w="737" w:type="dxa"/>
            <w:tcBorders>
              <w:bottom w:val="single" w:sz="4" w:space="0" w:color="auto"/>
            </w:tcBorders>
            <w:noWrap/>
            <w:vAlign w:val="center"/>
          </w:tcPr>
          <w:p w14:paraId="30FE3CD0" w14:textId="49FAEF3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bottom w:val="single" w:sz="4" w:space="0" w:color="auto"/>
            </w:tcBorders>
            <w:noWrap/>
            <w:vAlign w:val="center"/>
          </w:tcPr>
          <w:p w14:paraId="246FB3F5" w14:textId="3D4AE55E"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07" w:type="dxa"/>
            <w:tcBorders>
              <w:bottom w:val="single" w:sz="4" w:space="0" w:color="auto"/>
            </w:tcBorders>
            <w:vAlign w:val="center"/>
          </w:tcPr>
          <w:p w14:paraId="6C5780EA" w14:textId="3682DC0B"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964" w:type="dxa"/>
            <w:tcBorders>
              <w:bottom w:val="single" w:sz="4" w:space="0" w:color="auto"/>
            </w:tcBorders>
            <w:noWrap/>
            <w:vAlign w:val="center"/>
          </w:tcPr>
          <w:p w14:paraId="73F972B6" w14:textId="2330C585"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1.5</w:t>
            </w:r>
          </w:p>
        </w:tc>
        <w:tc>
          <w:tcPr>
            <w:tcW w:w="907" w:type="dxa"/>
            <w:tcBorders>
              <w:bottom w:val="single" w:sz="4" w:space="0" w:color="auto"/>
            </w:tcBorders>
            <w:vAlign w:val="center"/>
          </w:tcPr>
          <w:p w14:paraId="43B2AAED" w14:textId="6EE901E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1133" w:type="dxa"/>
            <w:tcBorders>
              <w:bottom w:val="single" w:sz="4" w:space="0" w:color="auto"/>
            </w:tcBorders>
            <w:vAlign w:val="center"/>
          </w:tcPr>
          <w:p w14:paraId="385414D9" w14:textId="710EAC71"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1.5</w:t>
            </w:r>
          </w:p>
        </w:tc>
        <w:tc>
          <w:tcPr>
            <w:tcW w:w="1060" w:type="dxa"/>
            <w:tcBorders>
              <w:bottom w:val="single" w:sz="4" w:space="0" w:color="auto"/>
            </w:tcBorders>
            <w:vAlign w:val="center"/>
          </w:tcPr>
          <w:p w14:paraId="0CB09F01" w14:textId="4F5123A4"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w:t>
            </w:r>
          </w:p>
        </w:tc>
        <w:tc>
          <w:tcPr>
            <w:tcW w:w="850" w:type="dxa"/>
            <w:tcBorders>
              <w:bottom w:val="single" w:sz="4" w:space="0" w:color="auto"/>
            </w:tcBorders>
            <w:noWrap/>
            <w:vAlign w:val="center"/>
          </w:tcPr>
          <w:p w14:paraId="6ED0987E" w14:textId="52E47238"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1.5</w:t>
            </w:r>
          </w:p>
        </w:tc>
      </w:tr>
      <w:tr w:rsidR="004424BD" w:rsidRPr="00A44138" w14:paraId="2963EE65" w14:textId="77777777" w:rsidTr="00324A0B">
        <w:trPr>
          <w:trHeight w:val="56"/>
        </w:trPr>
        <w:tc>
          <w:tcPr>
            <w:tcW w:w="2438" w:type="dxa"/>
            <w:noWrap/>
            <w:vAlign w:val="center"/>
          </w:tcPr>
          <w:p w14:paraId="16DF6F07" w14:textId="673305F7"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At 30 June 2024</w:t>
            </w:r>
          </w:p>
        </w:tc>
        <w:tc>
          <w:tcPr>
            <w:tcW w:w="737" w:type="dxa"/>
            <w:tcBorders>
              <w:top w:val="single" w:sz="4" w:space="0" w:color="auto"/>
              <w:bottom w:val="single" w:sz="4" w:space="0" w:color="auto"/>
            </w:tcBorders>
            <w:noWrap/>
            <w:vAlign w:val="center"/>
          </w:tcPr>
          <w:p w14:paraId="14B3180B" w14:textId="523ACCC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0.1</w:t>
            </w:r>
          </w:p>
        </w:tc>
        <w:tc>
          <w:tcPr>
            <w:tcW w:w="964" w:type="dxa"/>
            <w:tcBorders>
              <w:top w:val="single" w:sz="4" w:space="0" w:color="auto"/>
              <w:bottom w:val="single" w:sz="4" w:space="0" w:color="auto"/>
            </w:tcBorders>
            <w:noWrap/>
            <w:vAlign w:val="center"/>
          </w:tcPr>
          <w:p w14:paraId="35AE0FD3" w14:textId="7AA4603F"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205.5</w:t>
            </w:r>
          </w:p>
        </w:tc>
        <w:tc>
          <w:tcPr>
            <w:tcW w:w="907" w:type="dxa"/>
            <w:tcBorders>
              <w:top w:val="single" w:sz="4" w:space="0" w:color="auto"/>
              <w:bottom w:val="single" w:sz="4" w:space="0" w:color="auto"/>
            </w:tcBorders>
            <w:vAlign w:val="center"/>
          </w:tcPr>
          <w:p w14:paraId="71A1E379" w14:textId="0BCD3E0A" w:rsidR="004424BD" w:rsidRPr="005E7A81" w:rsidRDefault="004424BD" w:rsidP="004424BD">
            <w:pPr>
              <w:tabs>
                <w:tab w:val="decimal" w:pos="77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(1.9)</w:t>
            </w:r>
          </w:p>
        </w:tc>
        <w:tc>
          <w:tcPr>
            <w:tcW w:w="964" w:type="dxa"/>
            <w:tcBorders>
              <w:top w:val="single" w:sz="4" w:space="0" w:color="auto"/>
              <w:bottom w:val="single" w:sz="4" w:space="0" w:color="auto"/>
            </w:tcBorders>
            <w:noWrap/>
            <w:vAlign w:val="center"/>
          </w:tcPr>
          <w:p w14:paraId="6AA08048" w14:textId="1735DEAB" w:rsidR="004424BD" w:rsidRPr="005E7A81" w:rsidRDefault="004424BD" w:rsidP="004424BD">
            <w:pPr>
              <w:tabs>
                <w:tab w:val="decimal" w:pos="77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(49.3)</w:t>
            </w:r>
          </w:p>
        </w:tc>
        <w:tc>
          <w:tcPr>
            <w:tcW w:w="907" w:type="dxa"/>
            <w:tcBorders>
              <w:top w:val="single" w:sz="4" w:space="0" w:color="auto"/>
              <w:bottom w:val="single" w:sz="4" w:space="0" w:color="auto"/>
            </w:tcBorders>
            <w:vAlign w:val="center"/>
          </w:tcPr>
          <w:p w14:paraId="2A663694" w14:textId="478DA006" w:rsidR="004424BD" w:rsidRPr="005E7A81" w:rsidRDefault="004424BD" w:rsidP="004424BD">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63.8</w:t>
            </w:r>
          </w:p>
        </w:tc>
        <w:tc>
          <w:tcPr>
            <w:tcW w:w="1133" w:type="dxa"/>
            <w:tcBorders>
              <w:top w:val="single" w:sz="4" w:space="0" w:color="auto"/>
              <w:bottom w:val="single" w:sz="4" w:space="0" w:color="auto"/>
            </w:tcBorders>
            <w:vAlign w:val="center"/>
          </w:tcPr>
          <w:p w14:paraId="2E489F3D" w14:textId="15832124" w:rsidR="004424BD" w:rsidRPr="005E7A81" w:rsidRDefault="004424BD" w:rsidP="004424BD">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218.2</w:t>
            </w:r>
          </w:p>
        </w:tc>
        <w:tc>
          <w:tcPr>
            <w:tcW w:w="1060" w:type="dxa"/>
            <w:tcBorders>
              <w:top w:val="single" w:sz="4" w:space="0" w:color="auto"/>
              <w:bottom w:val="single" w:sz="4" w:space="0" w:color="auto"/>
            </w:tcBorders>
            <w:vAlign w:val="center"/>
          </w:tcPr>
          <w:p w14:paraId="3311A7F9" w14:textId="72829B29" w:rsidR="004424BD" w:rsidRPr="005E7A81" w:rsidRDefault="004424BD" w:rsidP="004424BD">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5.5</w:t>
            </w:r>
          </w:p>
        </w:tc>
        <w:tc>
          <w:tcPr>
            <w:tcW w:w="850" w:type="dxa"/>
            <w:tcBorders>
              <w:top w:val="single" w:sz="4" w:space="0" w:color="auto"/>
              <w:bottom w:val="single" w:sz="4" w:space="0" w:color="auto"/>
            </w:tcBorders>
            <w:noWrap/>
            <w:vAlign w:val="center"/>
          </w:tcPr>
          <w:p w14:paraId="4765D9DE" w14:textId="40FF661B" w:rsidR="004424BD" w:rsidRPr="005E7A81" w:rsidRDefault="004424BD" w:rsidP="004424BD">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5E7A81">
              <w:rPr>
                <w:rFonts w:ascii="Arial" w:eastAsia="Batang" w:hAnsi="Arial" w:cs="Arial"/>
                <w:b/>
                <w:sz w:val="18"/>
                <w:szCs w:val="18"/>
                <w:lang w:eastAsia="ko-KR"/>
              </w:rPr>
              <w:t>223.7</w:t>
            </w:r>
          </w:p>
        </w:tc>
      </w:tr>
      <w:tr w:rsidR="00F77FFA" w:rsidRPr="00A44138" w14:paraId="16B78AFF" w14:textId="77777777" w:rsidTr="00324A0B">
        <w:trPr>
          <w:trHeight w:val="278"/>
        </w:trPr>
        <w:tc>
          <w:tcPr>
            <w:tcW w:w="2438" w:type="dxa"/>
            <w:noWrap/>
            <w:vAlign w:val="center"/>
          </w:tcPr>
          <w:p w14:paraId="6688B8C4" w14:textId="77777777" w:rsidR="00F77FFA" w:rsidRPr="005E7A81" w:rsidRDefault="00F77FFA">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p>
        </w:tc>
        <w:tc>
          <w:tcPr>
            <w:tcW w:w="737" w:type="dxa"/>
            <w:noWrap/>
            <w:vAlign w:val="center"/>
          </w:tcPr>
          <w:p w14:paraId="26253708"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64" w:type="dxa"/>
            <w:noWrap/>
            <w:vAlign w:val="center"/>
          </w:tcPr>
          <w:p w14:paraId="7CBD0319"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07" w:type="dxa"/>
            <w:vAlign w:val="center"/>
          </w:tcPr>
          <w:p w14:paraId="7A2CC413"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64" w:type="dxa"/>
            <w:noWrap/>
            <w:vAlign w:val="center"/>
          </w:tcPr>
          <w:p w14:paraId="226AFF9F"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907" w:type="dxa"/>
            <w:vAlign w:val="center"/>
          </w:tcPr>
          <w:p w14:paraId="7DDD2DD5"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1133" w:type="dxa"/>
            <w:vAlign w:val="center"/>
          </w:tcPr>
          <w:p w14:paraId="293431A0"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c>
          <w:tcPr>
            <w:tcW w:w="1060" w:type="dxa"/>
            <w:vAlign w:val="center"/>
          </w:tcPr>
          <w:p w14:paraId="52609AAB"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p>
        </w:tc>
        <w:tc>
          <w:tcPr>
            <w:tcW w:w="850" w:type="dxa"/>
            <w:noWrap/>
            <w:vAlign w:val="center"/>
          </w:tcPr>
          <w:p w14:paraId="5F1A8044" w14:textId="77777777" w:rsidR="00F77FFA" w:rsidRPr="005E7A81" w:rsidRDefault="00F77FFA">
            <w:pPr>
              <w:tabs>
                <w:tab w:val="decimal" w:pos="864"/>
              </w:tabs>
              <w:overflowPunct w:val="0"/>
              <w:autoSpaceDE w:val="0"/>
              <w:autoSpaceDN w:val="0"/>
              <w:adjustRightInd w:val="0"/>
              <w:spacing w:after="0" w:line="240" w:lineRule="auto"/>
              <w:jc w:val="right"/>
              <w:textAlignment w:val="baseline"/>
              <w:rPr>
                <w:rFonts w:ascii="Arial" w:eastAsia="Batang" w:hAnsi="Arial" w:cs="Arial"/>
                <w:b/>
                <w:bCs/>
                <w:sz w:val="18"/>
                <w:szCs w:val="18"/>
                <w:lang w:eastAsia="ko-KR"/>
              </w:rPr>
            </w:pPr>
          </w:p>
        </w:tc>
      </w:tr>
      <w:tr w:rsidR="004424BD" w:rsidRPr="00A44138" w14:paraId="760A9179" w14:textId="77777777" w:rsidTr="004402D0">
        <w:trPr>
          <w:trHeight w:val="278"/>
        </w:trPr>
        <w:tc>
          <w:tcPr>
            <w:tcW w:w="2438" w:type="dxa"/>
            <w:noWrap/>
            <w:vAlign w:val="center"/>
          </w:tcPr>
          <w:p w14:paraId="0BB0265F" w14:textId="196513FF" w:rsidR="004424BD" w:rsidRPr="00BB304C"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highlight w:val="yellow"/>
                <w:lang w:eastAsia="ko-KR"/>
              </w:rPr>
            </w:pPr>
            <w:r w:rsidRPr="005E7A81">
              <w:rPr>
                <w:rFonts w:ascii="Arial" w:eastAsia="Batang" w:hAnsi="Arial" w:cs="Arial"/>
                <w:sz w:val="18"/>
                <w:szCs w:val="18"/>
                <w:lang w:eastAsia="ko-KR"/>
              </w:rPr>
              <w:t>At 1 July 2024</w:t>
            </w:r>
          </w:p>
        </w:tc>
        <w:tc>
          <w:tcPr>
            <w:tcW w:w="737" w:type="dxa"/>
            <w:tcBorders>
              <w:bottom w:val="single" w:sz="4" w:space="0" w:color="auto"/>
            </w:tcBorders>
            <w:noWrap/>
            <w:vAlign w:val="center"/>
          </w:tcPr>
          <w:p w14:paraId="7FBCCBB2" w14:textId="264DC717"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0.1</w:t>
            </w:r>
          </w:p>
        </w:tc>
        <w:tc>
          <w:tcPr>
            <w:tcW w:w="964" w:type="dxa"/>
            <w:tcBorders>
              <w:bottom w:val="single" w:sz="4" w:space="0" w:color="auto"/>
            </w:tcBorders>
            <w:noWrap/>
            <w:vAlign w:val="center"/>
          </w:tcPr>
          <w:p w14:paraId="08DF6CEB" w14:textId="52C89065"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205.5</w:t>
            </w:r>
          </w:p>
        </w:tc>
        <w:tc>
          <w:tcPr>
            <w:tcW w:w="907" w:type="dxa"/>
            <w:tcBorders>
              <w:bottom w:val="single" w:sz="4" w:space="0" w:color="auto"/>
            </w:tcBorders>
            <w:vAlign w:val="center"/>
          </w:tcPr>
          <w:p w14:paraId="7E623395" w14:textId="20FAC6DC"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(1.9)</w:t>
            </w:r>
          </w:p>
        </w:tc>
        <w:tc>
          <w:tcPr>
            <w:tcW w:w="964" w:type="dxa"/>
            <w:tcBorders>
              <w:bottom w:val="single" w:sz="4" w:space="0" w:color="auto"/>
            </w:tcBorders>
            <w:noWrap/>
            <w:vAlign w:val="center"/>
          </w:tcPr>
          <w:p w14:paraId="1861CE85" w14:textId="08814931"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(49.3)</w:t>
            </w:r>
          </w:p>
        </w:tc>
        <w:tc>
          <w:tcPr>
            <w:tcW w:w="907" w:type="dxa"/>
            <w:tcBorders>
              <w:bottom w:val="single" w:sz="4" w:space="0" w:color="auto"/>
            </w:tcBorders>
            <w:vAlign w:val="center"/>
          </w:tcPr>
          <w:p w14:paraId="7B3C93AA" w14:textId="02464705"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63.8</w:t>
            </w:r>
          </w:p>
        </w:tc>
        <w:tc>
          <w:tcPr>
            <w:tcW w:w="1133" w:type="dxa"/>
            <w:tcBorders>
              <w:bottom w:val="single" w:sz="4" w:space="0" w:color="auto"/>
            </w:tcBorders>
            <w:vAlign w:val="center"/>
          </w:tcPr>
          <w:p w14:paraId="5DF9C84F" w14:textId="143DC28F" w:rsidR="004424BD" w:rsidRPr="00BB304C" w:rsidDel="00A20097"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218.2</w:t>
            </w:r>
          </w:p>
        </w:tc>
        <w:tc>
          <w:tcPr>
            <w:tcW w:w="1060" w:type="dxa"/>
            <w:tcBorders>
              <w:bottom w:val="single" w:sz="4" w:space="0" w:color="auto"/>
            </w:tcBorders>
            <w:vAlign w:val="center"/>
          </w:tcPr>
          <w:p w14:paraId="528659BC" w14:textId="440C0028" w:rsidR="004424BD" w:rsidRPr="00BB304C" w:rsidDel="00A20097"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5.5</w:t>
            </w:r>
          </w:p>
        </w:tc>
        <w:tc>
          <w:tcPr>
            <w:tcW w:w="850" w:type="dxa"/>
            <w:tcBorders>
              <w:bottom w:val="single" w:sz="4" w:space="0" w:color="auto"/>
            </w:tcBorders>
            <w:noWrap/>
            <w:vAlign w:val="center"/>
          </w:tcPr>
          <w:p w14:paraId="072D75BD" w14:textId="043EFF68" w:rsidR="004424BD" w:rsidRPr="00BB304C"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Cs/>
                <w:sz w:val="18"/>
                <w:szCs w:val="18"/>
                <w:lang w:eastAsia="ko-KR"/>
              </w:rPr>
              <w:t>223.7</w:t>
            </w:r>
          </w:p>
        </w:tc>
      </w:tr>
      <w:tr w:rsidR="005F62F5" w:rsidRPr="00A44138" w14:paraId="28B3CBE9" w14:textId="77777777" w:rsidTr="00324A0B">
        <w:trPr>
          <w:trHeight w:val="87"/>
        </w:trPr>
        <w:tc>
          <w:tcPr>
            <w:tcW w:w="2438" w:type="dxa"/>
            <w:vAlign w:val="center"/>
          </w:tcPr>
          <w:p w14:paraId="0E7BC98B" w14:textId="77777777"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Profit for the period</w:t>
            </w:r>
          </w:p>
        </w:tc>
        <w:tc>
          <w:tcPr>
            <w:tcW w:w="737" w:type="dxa"/>
            <w:tcBorders>
              <w:top w:val="single" w:sz="4" w:space="0" w:color="auto"/>
            </w:tcBorders>
            <w:noWrap/>
          </w:tcPr>
          <w:p w14:paraId="3DEF9344" w14:textId="7104487A" w:rsidR="00F74A99" w:rsidRPr="00DA53C4" w:rsidRDefault="00FA513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top w:val="single" w:sz="4" w:space="0" w:color="auto"/>
            </w:tcBorders>
            <w:noWrap/>
          </w:tcPr>
          <w:p w14:paraId="2AF17344" w14:textId="19134C69" w:rsidR="00F74A99" w:rsidRPr="00DA53C4"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top w:val="single" w:sz="4" w:space="0" w:color="auto"/>
            </w:tcBorders>
          </w:tcPr>
          <w:p w14:paraId="0BDFD032" w14:textId="35F022A7" w:rsidR="00F74A99" w:rsidRPr="00DA53C4" w:rsidRDefault="00EE16E0"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top w:val="single" w:sz="4" w:space="0" w:color="auto"/>
            </w:tcBorders>
            <w:noWrap/>
          </w:tcPr>
          <w:p w14:paraId="2442D57F" w14:textId="0480B8A6" w:rsidR="00F74A99" w:rsidRPr="00DA53C4" w:rsidRDefault="009631A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36.4</w:t>
            </w:r>
          </w:p>
        </w:tc>
        <w:tc>
          <w:tcPr>
            <w:tcW w:w="907" w:type="dxa"/>
            <w:tcBorders>
              <w:top w:val="single" w:sz="4" w:space="0" w:color="auto"/>
            </w:tcBorders>
          </w:tcPr>
          <w:p w14:paraId="33053FFB" w14:textId="0706E2FC" w:rsidR="00F74A99" w:rsidRPr="00DA53C4" w:rsidRDefault="006F6C9F"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top w:val="single" w:sz="4" w:space="0" w:color="auto"/>
            </w:tcBorders>
          </w:tcPr>
          <w:p w14:paraId="6B7447AA" w14:textId="1AE4EE43" w:rsidR="00F74A99" w:rsidRPr="00DA53C4" w:rsidDel="00A20097" w:rsidRDefault="00E559A8"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36.4</w:t>
            </w:r>
          </w:p>
        </w:tc>
        <w:tc>
          <w:tcPr>
            <w:tcW w:w="1060" w:type="dxa"/>
            <w:tcBorders>
              <w:top w:val="single" w:sz="4" w:space="0" w:color="auto"/>
            </w:tcBorders>
          </w:tcPr>
          <w:p w14:paraId="66EE2989" w14:textId="2E641950" w:rsidR="00F74A99" w:rsidRPr="00DA53C4" w:rsidDel="00A20097" w:rsidRDefault="006A190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(0.3)</w:t>
            </w:r>
          </w:p>
        </w:tc>
        <w:tc>
          <w:tcPr>
            <w:tcW w:w="850" w:type="dxa"/>
            <w:tcBorders>
              <w:top w:val="single" w:sz="4" w:space="0" w:color="auto"/>
            </w:tcBorders>
            <w:noWrap/>
          </w:tcPr>
          <w:p w14:paraId="59BC5272" w14:textId="1ABFDF45" w:rsidR="00F74A99" w:rsidRPr="00DA53C4" w:rsidRDefault="00931A6C"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36.1</w:t>
            </w:r>
          </w:p>
        </w:tc>
      </w:tr>
      <w:tr w:rsidR="005F62F5" w:rsidRPr="00A44138" w14:paraId="20EA372E" w14:textId="77777777" w:rsidTr="00324A0B">
        <w:trPr>
          <w:trHeight w:val="89"/>
        </w:trPr>
        <w:tc>
          <w:tcPr>
            <w:tcW w:w="2438" w:type="dxa"/>
            <w:vAlign w:val="center"/>
          </w:tcPr>
          <w:p w14:paraId="14A28416" w14:textId="77777777"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Other comprehensive income</w:t>
            </w:r>
          </w:p>
        </w:tc>
        <w:tc>
          <w:tcPr>
            <w:tcW w:w="737" w:type="dxa"/>
            <w:tcBorders>
              <w:bottom w:val="single" w:sz="4" w:space="0" w:color="auto"/>
            </w:tcBorders>
            <w:noWrap/>
          </w:tcPr>
          <w:p w14:paraId="240B495E"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39B1FCAF" w14:textId="27766A31" w:rsidR="00F74A99" w:rsidRPr="00DA53C4"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bottom w:val="single" w:sz="4" w:space="0" w:color="auto"/>
            </w:tcBorders>
            <w:noWrap/>
          </w:tcPr>
          <w:p w14:paraId="58CDF49C"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7C37A45B" w14:textId="2F2930C8" w:rsidR="00F74A99" w:rsidRPr="00DA53C4"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bottom w:val="single" w:sz="4" w:space="0" w:color="auto"/>
            </w:tcBorders>
          </w:tcPr>
          <w:p w14:paraId="3DCBD310"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29408065" w14:textId="77777777" w:rsidR="00EE16E0" w:rsidRPr="00DA53C4" w:rsidRDefault="00EE16E0"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p w14:paraId="7DA92EA4" w14:textId="28B0B33B"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tc>
        <w:tc>
          <w:tcPr>
            <w:tcW w:w="964" w:type="dxa"/>
            <w:tcBorders>
              <w:bottom w:val="single" w:sz="4" w:space="0" w:color="auto"/>
            </w:tcBorders>
            <w:noWrap/>
          </w:tcPr>
          <w:p w14:paraId="09E63FB8"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5E6F45E2" w14:textId="213223FB" w:rsidR="00F74A99" w:rsidRPr="00DA53C4" w:rsidRDefault="004864C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bottom w:val="single" w:sz="4" w:space="0" w:color="auto"/>
            </w:tcBorders>
          </w:tcPr>
          <w:p w14:paraId="3615325E" w14:textId="77777777" w:rsidR="00F74A99" w:rsidRPr="00DA53C4" w:rsidRDefault="00F74A99" w:rsidP="008E5217">
            <w:pPr>
              <w:tabs>
                <w:tab w:val="decimal" w:pos="864"/>
              </w:tabs>
              <w:overflowPunct w:val="0"/>
              <w:autoSpaceDE w:val="0"/>
              <w:autoSpaceDN w:val="0"/>
              <w:adjustRightInd w:val="0"/>
              <w:spacing w:after="0" w:line="240" w:lineRule="auto"/>
              <w:jc w:val="center"/>
              <w:textAlignment w:val="baseline"/>
              <w:rPr>
                <w:rFonts w:ascii="Arial" w:eastAsia="Batang" w:hAnsi="Arial" w:cs="Arial"/>
                <w:sz w:val="18"/>
                <w:szCs w:val="18"/>
                <w:lang w:eastAsia="ko-KR"/>
              </w:rPr>
            </w:pPr>
          </w:p>
          <w:p w14:paraId="6DD8D620" w14:textId="411112FF" w:rsidR="00F74A99" w:rsidRPr="00DA53C4" w:rsidRDefault="006F6C9F" w:rsidP="008E5217">
            <w:pPr>
              <w:tabs>
                <w:tab w:val="decimal" w:pos="864"/>
              </w:tabs>
              <w:overflowPunct w:val="0"/>
              <w:autoSpaceDE w:val="0"/>
              <w:autoSpaceDN w:val="0"/>
              <w:adjustRightInd w:val="0"/>
              <w:spacing w:after="0" w:line="240" w:lineRule="auto"/>
              <w:jc w:val="center"/>
              <w:textAlignment w:val="baseline"/>
              <w:rPr>
                <w:rFonts w:ascii="Arial" w:eastAsia="Batang" w:hAnsi="Arial" w:cs="Arial"/>
                <w:sz w:val="18"/>
                <w:szCs w:val="18"/>
                <w:lang w:eastAsia="ko-KR"/>
              </w:rPr>
            </w:pPr>
            <w:r w:rsidRPr="00DA53C4">
              <w:rPr>
                <w:rFonts w:ascii="Arial" w:eastAsia="Batang" w:hAnsi="Arial" w:cs="Arial"/>
                <w:sz w:val="18"/>
                <w:szCs w:val="18"/>
                <w:lang w:eastAsia="ko-KR"/>
              </w:rPr>
              <w:t>1.2</w:t>
            </w:r>
          </w:p>
        </w:tc>
        <w:tc>
          <w:tcPr>
            <w:tcW w:w="1133" w:type="dxa"/>
            <w:tcBorders>
              <w:bottom w:val="single" w:sz="4" w:space="0" w:color="auto"/>
            </w:tcBorders>
          </w:tcPr>
          <w:p w14:paraId="559CB62A"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329B8076" w14:textId="38A24FA6" w:rsidR="00F74A99" w:rsidRPr="00DA53C4" w:rsidDel="00A20097" w:rsidRDefault="00E559A8"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1.2</w:t>
            </w:r>
          </w:p>
        </w:tc>
        <w:tc>
          <w:tcPr>
            <w:tcW w:w="1060" w:type="dxa"/>
            <w:tcBorders>
              <w:bottom w:val="single" w:sz="4" w:space="0" w:color="auto"/>
            </w:tcBorders>
          </w:tcPr>
          <w:p w14:paraId="7C2988CF"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129C0C02" w14:textId="11016C93" w:rsidR="00F74A99" w:rsidRPr="00DA53C4" w:rsidDel="00A20097" w:rsidRDefault="006A190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tcBorders>
              <w:bottom w:val="single" w:sz="4" w:space="0" w:color="auto"/>
            </w:tcBorders>
            <w:noWrap/>
          </w:tcPr>
          <w:p w14:paraId="42CB59B0" w14:textId="77777777" w:rsidR="00F74A99" w:rsidRPr="00DA53C4" w:rsidRDefault="00F74A99"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p>
          <w:p w14:paraId="078553BD" w14:textId="407386C8" w:rsidR="00F74A99" w:rsidRPr="00DA53C4" w:rsidRDefault="00931A6C"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1.2</w:t>
            </w:r>
          </w:p>
        </w:tc>
      </w:tr>
      <w:tr w:rsidR="005F62F5" w:rsidRPr="00A44138" w14:paraId="32DD4AD0" w14:textId="77777777" w:rsidTr="00324A0B">
        <w:trPr>
          <w:trHeight w:val="89"/>
        </w:trPr>
        <w:tc>
          <w:tcPr>
            <w:tcW w:w="2438" w:type="dxa"/>
            <w:vAlign w:val="center"/>
          </w:tcPr>
          <w:p w14:paraId="5453980E" w14:textId="77777777"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Total comprehensive income</w:t>
            </w:r>
          </w:p>
        </w:tc>
        <w:tc>
          <w:tcPr>
            <w:tcW w:w="737" w:type="dxa"/>
            <w:noWrap/>
          </w:tcPr>
          <w:p w14:paraId="25FD41B4" w14:textId="771303DC" w:rsidR="00F74A99" w:rsidRPr="00DA53C4"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noWrap/>
          </w:tcPr>
          <w:p w14:paraId="7FCE7073" w14:textId="117A9DB0" w:rsidR="00F74A99" w:rsidRPr="00DA53C4"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Pr>
          <w:p w14:paraId="2DBCF8B8" w14:textId="0D7FCBB1" w:rsidR="00F74A99" w:rsidRPr="00DA53C4" w:rsidRDefault="00EE16E0"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noWrap/>
          </w:tcPr>
          <w:p w14:paraId="459E77F2" w14:textId="57E860E5" w:rsidR="00F74A99" w:rsidRPr="00DA53C4" w:rsidRDefault="00F14AE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36.4</w:t>
            </w:r>
          </w:p>
        </w:tc>
        <w:tc>
          <w:tcPr>
            <w:tcW w:w="907" w:type="dxa"/>
          </w:tcPr>
          <w:p w14:paraId="6B6C553B" w14:textId="7E3DFF65" w:rsidR="00F74A99" w:rsidRPr="00DA53C4" w:rsidRDefault="006F6C9F"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1.2</w:t>
            </w:r>
          </w:p>
        </w:tc>
        <w:tc>
          <w:tcPr>
            <w:tcW w:w="1133" w:type="dxa"/>
          </w:tcPr>
          <w:p w14:paraId="360E9BDD" w14:textId="3226F1F2" w:rsidR="00F74A99" w:rsidRPr="00DA53C4" w:rsidRDefault="00E559A8"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37.6</w:t>
            </w:r>
          </w:p>
        </w:tc>
        <w:tc>
          <w:tcPr>
            <w:tcW w:w="1060" w:type="dxa"/>
          </w:tcPr>
          <w:p w14:paraId="697E489F" w14:textId="3523EADF" w:rsidR="00F74A99" w:rsidRPr="00DA53C4" w:rsidRDefault="006A190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(0.3)</w:t>
            </w:r>
          </w:p>
        </w:tc>
        <w:tc>
          <w:tcPr>
            <w:tcW w:w="850" w:type="dxa"/>
            <w:noWrap/>
          </w:tcPr>
          <w:p w14:paraId="2CB4E5B6" w14:textId="4B81C30E" w:rsidR="00F74A99" w:rsidRPr="00DA53C4" w:rsidRDefault="00BB3752"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37.3</w:t>
            </w:r>
          </w:p>
        </w:tc>
      </w:tr>
      <w:tr w:rsidR="005F62F5" w:rsidRPr="00A44138" w14:paraId="3E5738D2" w14:textId="77777777" w:rsidTr="00324A0B">
        <w:trPr>
          <w:trHeight w:val="89"/>
        </w:trPr>
        <w:tc>
          <w:tcPr>
            <w:tcW w:w="2438" w:type="dxa"/>
            <w:vAlign w:val="center"/>
          </w:tcPr>
          <w:p w14:paraId="6E8BE347" w14:textId="362C263D"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New shares issued</w:t>
            </w:r>
          </w:p>
        </w:tc>
        <w:tc>
          <w:tcPr>
            <w:tcW w:w="737" w:type="dxa"/>
            <w:noWrap/>
          </w:tcPr>
          <w:p w14:paraId="079B1335" w14:textId="526E5F86" w:rsidR="00F74A99" w:rsidRPr="005E7A81" w:rsidRDefault="008B3B02"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0.0</w:t>
            </w:r>
          </w:p>
        </w:tc>
        <w:tc>
          <w:tcPr>
            <w:tcW w:w="964" w:type="dxa"/>
            <w:noWrap/>
          </w:tcPr>
          <w:p w14:paraId="633C87D5" w14:textId="53E6FE0C" w:rsidR="00F74A99" w:rsidRPr="005E7A81" w:rsidRDefault="00B00BE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0.1</w:t>
            </w:r>
          </w:p>
        </w:tc>
        <w:tc>
          <w:tcPr>
            <w:tcW w:w="907" w:type="dxa"/>
          </w:tcPr>
          <w:p w14:paraId="2433DD55" w14:textId="2428F34F" w:rsidR="00F74A99" w:rsidRPr="005E7A81" w:rsidRDefault="00CB2E27"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74BECF61" w14:textId="29EADDD9" w:rsidR="00F74A99" w:rsidRPr="005E7A81" w:rsidRDefault="0097261C"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07" w:type="dxa"/>
          </w:tcPr>
          <w:p w14:paraId="5726C3B5" w14:textId="3DD95AB6" w:rsidR="00F74A99" w:rsidRPr="005E7A81" w:rsidRDefault="005D6F4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1133" w:type="dxa"/>
          </w:tcPr>
          <w:p w14:paraId="052EE02F" w14:textId="016E963F" w:rsidR="00F74A99" w:rsidRPr="005E7A81" w:rsidRDefault="00E559A8"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0.1</w:t>
            </w:r>
          </w:p>
        </w:tc>
        <w:tc>
          <w:tcPr>
            <w:tcW w:w="1060" w:type="dxa"/>
          </w:tcPr>
          <w:p w14:paraId="725B0DFD" w14:textId="03D94429" w:rsidR="00F74A99" w:rsidRPr="005E7A81" w:rsidRDefault="006964A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850" w:type="dxa"/>
            <w:noWrap/>
          </w:tcPr>
          <w:p w14:paraId="2A34957A" w14:textId="718A5D11" w:rsidR="00F74A99" w:rsidRPr="005E7A81" w:rsidRDefault="00BB3752"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0.1</w:t>
            </w:r>
          </w:p>
        </w:tc>
      </w:tr>
      <w:tr w:rsidR="005F62F5" w:rsidRPr="00A44138" w14:paraId="504D42D4" w14:textId="77777777" w:rsidTr="00324A0B">
        <w:trPr>
          <w:trHeight w:val="89"/>
        </w:trPr>
        <w:tc>
          <w:tcPr>
            <w:tcW w:w="2438" w:type="dxa"/>
            <w:vAlign w:val="center"/>
          </w:tcPr>
          <w:p w14:paraId="00F2AD93" w14:textId="40C39F7B"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Exercise of LTIP awards</w:t>
            </w:r>
          </w:p>
        </w:tc>
        <w:tc>
          <w:tcPr>
            <w:tcW w:w="737" w:type="dxa"/>
            <w:noWrap/>
          </w:tcPr>
          <w:p w14:paraId="78F9809E" w14:textId="756F7B81"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16C831A7" w14:textId="03F8C9CC"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07" w:type="dxa"/>
          </w:tcPr>
          <w:p w14:paraId="19258340" w14:textId="209EB47B" w:rsidR="00F74A99" w:rsidRPr="005E7A81" w:rsidRDefault="005E0562"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0.2</w:t>
            </w:r>
          </w:p>
        </w:tc>
        <w:tc>
          <w:tcPr>
            <w:tcW w:w="964" w:type="dxa"/>
            <w:noWrap/>
          </w:tcPr>
          <w:p w14:paraId="4F28EED6" w14:textId="609F4AD9" w:rsidR="00F74A99" w:rsidRPr="005E7A81" w:rsidRDefault="00331E3D"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(0.2)</w:t>
            </w:r>
          </w:p>
        </w:tc>
        <w:tc>
          <w:tcPr>
            <w:tcW w:w="907" w:type="dxa"/>
          </w:tcPr>
          <w:p w14:paraId="705F779C" w14:textId="16EC26F7" w:rsidR="00F74A99" w:rsidRPr="005E7A81" w:rsidRDefault="005D6F4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1133" w:type="dxa"/>
          </w:tcPr>
          <w:p w14:paraId="197C7CC8" w14:textId="2725022B" w:rsidR="00F74A99" w:rsidRPr="005E7A81" w:rsidRDefault="00E82705"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1060" w:type="dxa"/>
          </w:tcPr>
          <w:p w14:paraId="57CBC7B7" w14:textId="6A899621" w:rsidR="00F74A99" w:rsidRPr="005E7A81" w:rsidRDefault="006964A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850" w:type="dxa"/>
            <w:noWrap/>
          </w:tcPr>
          <w:p w14:paraId="3FB9A720" w14:textId="1D337AA0" w:rsidR="00F74A99" w:rsidRPr="005E7A81" w:rsidRDefault="00BB3752"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r>
      <w:tr w:rsidR="005F62F5" w:rsidRPr="00A44138" w14:paraId="2256CA0B" w14:textId="77777777" w:rsidTr="00324A0B">
        <w:trPr>
          <w:trHeight w:val="89"/>
        </w:trPr>
        <w:tc>
          <w:tcPr>
            <w:tcW w:w="2438" w:type="dxa"/>
            <w:vAlign w:val="center"/>
          </w:tcPr>
          <w:p w14:paraId="3F098E71" w14:textId="02AA1407"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Equity dividends</w:t>
            </w:r>
          </w:p>
        </w:tc>
        <w:tc>
          <w:tcPr>
            <w:tcW w:w="737" w:type="dxa"/>
            <w:noWrap/>
          </w:tcPr>
          <w:p w14:paraId="6CAA4D34" w14:textId="3E88129D"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5C60C105" w14:textId="0B1B05F8"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07" w:type="dxa"/>
          </w:tcPr>
          <w:p w14:paraId="06D9C3D9" w14:textId="5847BB33" w:rsidR="00F74A99" w:rsidRPr="005E7A81" w:rsidRDefault="004E3173"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6B3B05F0" w14:textId="7002A459" w:rsidR="00F74A99" w:rsidRPr="005E7A81" w:rsidRDefault="00914876"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r w:rsidR="00BD3AD2">
              <w:rPr>
                <w:rFonts w:ascii="Arial" w:eastAsia="Batang" w:hAnsi="Arial" w:cs="Arial"/>
                <w:sz w:val="18"/>
                <w:szCs w:val="18"/>
                <w:lang w:eastAsia="ko-KR"/>
              </w:rPr>
              <w:t>17.7)</w:t>
            </w:r>
          </w:p>
        </w:tc>
        <w:tc>
          <w:tcPr>
            <w:tcW w:w="907" w:type="dxa"/>
          </w:tcPr>
          <w:p w14:paraId="525FCB89" w14:textId="64D13E6B" w:rsidR="00F74A99" w:rsidRPr="005E7A81" w:rsidRDefault="005D6F4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1133" w:type="dxa"/>
          </w:tcPr>
          <w:p w14:paraId="401030A5" w14:textId="5F564D80" w:rsidR="00F74A99" w:rsidRPr="005E7A81" w:rsidRDefault="00E82705"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(17.7)</w:t>
            </w:r>
          </w:p>
        </w:tc>
        <w:tc>
          <w:tcPr>
            <w:tcW w:w="1060" w:type="dxa"/>
          </w:tcPr>
          <w:p w14:paraId="4826F6AB" w14:textId="6E8FFFE0" w:rsidR="00F74A99" w:rsidRPr="005E7A81" w:rsidRDefault="006964A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850" w:type="dxa"/>
            <w:noWrap/>
          </w:tcPr>
          <w:p w14:paraId="19D1D7F6" w14:textId="5AC9CC00" w:rsidR="00F74A99" w:rsidRPr="005E7A81" w:rsidRDefault="00ED009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(17.7)</w:t>
            </w:r>
          </w:p>
        </w:tc>
      </w:tr>
      <w:tr w:rsidR="00F74A99" w:rsidRPr="00A44138" w14:paraId="5D62EBE7" w14:textId="77777777" w:rsidTr="00324A0B">
        <w:trPr>
          <w:trHeight w:val="89"/>
        </w:trPr>
        <w:tc>
          <w:tcPr>
            <w:tcW w:w="2438" w:type="dxa"/>
            <w:vAlign w:val="center"/>
          </w:tcPr>
          <w:p w14:paraId="7691BB05" w14:textId="0B842065" w:rsidR="00F74A99" w:rsidRPr="005E7A81" w:rsidRDefault="00F74A99" w:rsidP="00F74A99">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Share-based payments</w:t>
            </w:r>
          </w:p>
        </w:tc>
        <w:tc>
          <w:tcPr>
            <w:tcW w:w="737" w:type="dxa"/>
            <w:noWrap/>
          </w:tcPr>
          <w:p w14:paraId="4FC0A367" w14:textId="75E1050E"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2C499889" w14:textId="40DE2150" w:rsidR="00F74A99" w:rsidRPr="005E7A81" w:rsidRDefault="00B86B61"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07" w:type="dxa"/>
          </w:tcPr>
          <w:p w14:paraId="1E6D8BC0" w14:textId="4A42B2C1" w:rsidR="00F74A99" w:rsidRPr="005E7A81" w:rsidRDefault="004E3173"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964" w:type="dxa"/>
            <w:noWrap/>
          </w:tcPr>
          <w:p w14:paraId="6B96FF44" w14:textId="579565F9" w:rsidR="00F74A99" w:rsidRPr="005E7A81" w:rsidRDefault="009E4246"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1.5</w:t>
            </w:r>
          </w:p>
        </w:tc>
        <w:tc>
          <w:tcPr>
            <w:tcW w:w="907" w:type="dxa"/>
          </w:tcPr>
          <w:p w14:paraId="1ACBCE97" w14:textId="1CE33A48" w:rsidR="00F74A99" w:rsidRPr="005E7A81" w:rsidRDefault="005D6F4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1133" w:type="dxa"/>
          </w:tcPr>
          <w:p w14:paraId="17C12623" w14:textId="79015964" w:rsidR="00F74A99" w:rsidRPr="005E7A81" w:rsidRDefault="00E82705"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1.5</w:t>
            </w:r>
          </w:p>
        </w:tc>
        <w:tc>
          <w:tcPr>
            <w:tcW w:w="1060" w:type="dxa"/>
          </w:tcPr>
          <w:p w14:paraId="67E0D7CA" w14:textId="06420C5B" w:rsidR="00F74A99" w:rsidRPr="005E7A81" w:rsidRDefault="006964AA"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w:t>
            </w:r>
          </w:p>
        </w:tc>
        <w:tc>
          <w:tcPr>
            <w:tcW w:w="850" w:type="dxa"/>
            <w:noWrap/>
          </w:tcPr>
          <w:p w14:paraId="37C360BC" w14:textId="264AA22D" w:rsidR="00F74A99" w:rsidRPr="005E7A81" w:rsidRDefault="00ED009B" w:rsidP="00F74A9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Pr>
                <w:rFonts w:ascii="Arial" w:eastAsia="Batang" w:hAnsi="Arial" w:cs="Arial"/>
                <w:sz w:val="18"/>
                <w:szCs w:val="18"/>
                <w:lang w:eastAsia="ko-KR"/>
              </w:rPr>
              <w:t>1.5</w:t>
            </w:r>
          </w:p>
        </w:tc>
      </w:tr>
      <w:tr w:rsidR="004424BD" w:rsidRPr="004424BD" w14:paraId="7EE0ADA9" w14:textId="77777777" w:rsidTr="004402D0">
        <w:trPr>
          <w:trHeight w:val="89"/>
        </w:trPr>
        <w:tc>
          <w:tcPr>
            <w:tcW w:w="2438" w:type="dxa"/>
            <w:vAlign w:val="center"/>
          </w:tcPr>
          <w:p w14:paraId="3700F46E" w14:textId="488C6D40"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At 31 December 2024</w:t>
            </w:r>
          </w:p>
        </w:tc>
        <w:tc>
          <w:tcPr>
            <w:tcW w:w="737" w:type="dxa"/>
            <w:tcBorders>
              <w:top w:val="single" w:sz="4" w:space="0" w:color="auto"/>
              <w:bottom w:val="single" w:sz="4" w:space="0" w:color="auto"/>
            </w:tcBorders>
            <w:noWrap/>
            <w:vAlign w:val="center"/>
          </w:tcPr>
          <w:p w14:paraId="3AADEEF0" w14:textId="31C71E83"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0.1</w:t>
            </w:r>
          </w:p>
        </w:tc>
        <w:tc>
          <w:tcPr>
            <w:tcW w:w="964" w:type="dxa"/>
            <w:tcBorders>
              <w:top w:val="single" w:sz="4" w:space="0" w:color="auto"/>
              <w:bottom w:val="single" w:sz="4" w:space="0" w:color="auto"/>
            </w:tcBorders>
            <w:noWrap/>
            <w:vAlign w:val="center"/>
          </w:tcPr>
          <w:p w14:paraId="3DB431E6" w14:textId="3F1EBC5A"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205.6</w:t>
            </w:r>
          </w:p>
        </w:tc>
        <w:tc>
          <w:tcPr>
            <w:tcW w:w="907" w:type="dxa"/>
            <w:tcBorders>
              <w:top w:val="single" w:sz="4" w:space="0" w:color="auto"/>
              <w:bottom w:val="single" w:sz="4" w:space="0" w:color="auto"/>
            </w:tcBorders>
            <w:vAlign w:val="center"/>
          </w:tcPr>
          <w:p w14:paraId="44EB0DAF" w14:textId="5EB226F8"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(1.7)</w:t>
            </w:r>
          </w:p>
        </w:tc>
        <w:tc>
          <w:tcPr>
            <w:tcW w:w="964" w:type="dxa"/>
            <w:tcBorders>
              <w:top w:val="single" w:sz="4" w:space="0" w:color="auto"/>
              <w:bottom w:val="single" w:sz="4" w:space="0" w:color="auto"/>
            </w:tcBorders>
            <w:noWrap/>
            <w:vAlign w:val="center"/>
          </w:tcPr>
          <w:p w14:paraId="0878D735" w14:textId="23EF21A9" w:rsidR="004424BD" w:rsidRPr="005E7A81" w:rsidRDefault="004424BD" w:rsidP="004424B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(29.3)</w:t>
            </w:r>
          </w:p>
        </w:tc>
        <w:tc>
          <w:tcPr>
            <w:tcW w:w="907" w:type="dxa"/>
            <w:tcBorders>
              <w:top w:val="single" w:sz="4" w:space="0" w:color="auto"/>
              <w:bottom w:val="single" w:sz="4" w:space="0" w:color="auto"/>
            </w:tcBorders>
            <w:vAlign w:val="center"/>
          </w:tcPr>
          <w:p w14:paraId="1EE4BD8F" w14:textId="00DA72D7"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65.0</w:t>
            </w:r>
          </w:p>
        </w:tc>
        <w:tc>
          <w:tcPr>
            <w:tcW w:w="1133" w:type="dxa"/>
            <w:tcBorders>
              <w:top w:val="single" w:sz="4" w:space="0" w:color="auto"/>
              <w:bottom w:val="single" w:sz="4" w:space="0" w:color="auto"/>
            </w:tcBorders>
            <w:vAlign w:val="center"/>
          </w:tcPr>
          <w:p w14:paraId="4848DE5B" w14:textId="234F1A76" w:rsidR="004424BD" w:rsidRPr="005E7A81" w:rsidDel="00A20097"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239.7</w:t>
            </w:r>
          </w:p>
        </w:tc>
        <w:tc>
          <w:tcPr>
            <w:tcW w:w="1060" w:type="dxa"/>
            <w:tcBorders>
              <w:top w:val="single" w:sz="4" w:space="0" w:color="auto"/>
              <w:bottom w:val="single" w:sz="4" w:space="0" w:color="auto"/>
            </w:tcBorders>
            <w:vAlign w:val="center"/>
          </w:tcPr>
          <w:p w14:paraId="2E8726DF" w14:textId="00867CE8" w:rsidR="004424BD" w:rsidRPr="005E7A81" w:rsidDel="00A20097"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5.2</w:t>
            </w:r>
          </w:p>
        </w:tc>
        <w:tc>
          <w:tcPr>
            <w:tcW w:w="850" w:type="dxa"/>
            <w:tcBorders>
              <w:top w:val="single" w:sz="4" w:space="0" w:color="auto"/>
              <w:bottom w:val="single" w:sz="4" w:space="0" w:color="auto"/>
            </w:tcBorders>
            <w:noWrap/>
            <w:vAlign w:val="center"/>
          </w:tcPr>
          <w:p w14:paraId="11EAFC60" w14:textId="3F12D131"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5E7A81">
              <w:rPr>
                <w:rFonts w:ascii="Arial" w:eastAsia="Batang" w:hAnsi="Arial" w:cs="Arial"/>
                <w:sz w:val="18"/>
                <w:szCs w:val="18"/>
                <w:lang w:eastAsia="ko-KR"/>
              </w:rPr>
              <w:t>244.9</w:t>
            </w:r>
          </w:p>
        </w:tc>
      </w:tr>
    </w:tbl>
    <w:p w14:paraId="0C7334D8" w14:textId="77777777" w:rsidR="00294FD1" w:rsidRPr="004424BD" w:rsidRDefault="00294FD1" w:rsidP="00294FD1">
      <w:pPr>
        <w:tabs>
          <w:tab w:val="decimal" w:pos="864"/>
        </w:tabs>
        <w:overflowPunct w:val="0"/>
        <w:autoSpaceDE w:val="0"/>
        <w:autoSpaceDN w:val="0"/>
        <w:adjustRightInd w:val="0"/>
        <w:spacing w:after="0" w:line="240" w:lineRule="auto"/>
        <w:textAlignment w:val="baseline"/>
        <w:rPr>
          <w:rFonts w:ascii="Arial" w:hAnsi="Arial"/>
          <w:color w:val="0070C0"/>
        </w:rPr>
      </w:pPr>
    </w:p>
    <w:tbl>
      <w:tblPr>
        <w:tblW w:w="9961" w:type="dxa"/>
        <w:tblLayout w:type="fixed"/>
        <w:tblLook w:val="0000" w:firstRow="0" w:lastRow="0" w:firstColumn="0" w:lastColumn="0" w:noHBand="0" w:noVBand="0"/>
      </w:tblPr>
      <w:tblGrid>
        <w:gridCol w:w="2438"/>
        <w:gridCol w:w="737"/>
        <w:gridCol w:w="964"/>
        <w:gridCol w:w="907"/>
        <w:gridCol w:w="965"/>
        <w:gridCol w:w="907"/>
        <w:gridCol w:w="1133"/>
        <w:gridCol w:w="1060"/>
        <w:gridCol w:w="850"/>
      </w:tblGrid>
      <w:tr w:rsidR="004424BD" w:rsidRPr="004424BD" w14:paraId="20FF9B7C" w14:textId="77777777" w:rsidTr="00D13882">
        <w:trPr>
          <w:trHeight w:val="278"/>
        </w:trPr>
        <w:tc>
          <w:tcPr>
            <w:tcW w:w="2438" w:type="dxa"/>
            <w:noWrap/>
            <w:vAlign w:val="center"/>
          </w:tcPr>
          <w:p w14:paraId="3ABEED1B" w14:textId="210830E7"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5E7A81">
              <w:rPr>
                <w:rFonts w:ascii="Arial" w:eastAsia="Batang" w:hAnsi="Arial" w:cs="Arial"/>
                <w:sz w:val="18"/>
                <w:szCs w:val="18"/>
                <w:lang w:eastAsia="ko-KR"/>
              </w:rPr>
              <w:t>At 1 January 2025</w:t>
            </w:r>
          </w:p>
        </w:tc>
        <w:tc>
          <w:tcPr>
            <w:tcW w:w="737" w:type="dxa"/>
            <w:tcBorders>
              <w:bottom w:val="single" w:sz="4" w:space="0" w:color="auto"/>
            </w:tcBorders>
            <w:noWrap/>
            <w:vAlign w:val="center"/>
          </w:tcPr>
          <w:p w14:paraId="499AE5D9" w14:textId="07054780"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0.1</w:t>
            </w:r>
          </w:p>
        </w:tc>
        <w:tc>
          <w:tcPr>
            <w:tcW w:w="964" w:type="dxa"/>
            <w:tcBorders>
              <w:bottom w:val="single" w:sz="4" w:space="0" w:color="auto"/>
            </w:tcBorders>
            <w:noWrap/>
            <w:vAlign w:val="center"/>
          </w:tcPr>
          <w:p w14:paraId="567082C8" w14:textId="13D677D2"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205.6</w:t>
            </w:r>
          </w:p>
        </w:tc>
        <w:tc>
          <w:tcPr>
            <w:tcW w:w="907" w:type="dxa"/>
            <w:tcBorders>
              <w:bottom w:val="single" w:sz="4" w:space="0" w:color="auto"/>
            </w:tcBorders>
            <w:vAlign w:val="center"/>
          </w:tcPr>
          <w:p w14:paraId="35562167" w14:textId="3D7CA05B"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(1.7)</w:t>
            </w:r>
          </w:p>
        </w:tc>
        <w:tc>
          <w:tcPr>
            <w:tcW w:w="965" w:type="dxa"/>
            <w:tcBorders>
              <w:bottom w:val="single" w:sz="4" w:space="0" w:color="auto"/>
            </w:tcBorders>
            <w:noWrap/>
            <w:vAlign w:val="center"/>
          </w:tcPr>
          <w:p w14:paraId="444C31BA" w14:textId="09194D49"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(29.3)</w:t>
            </w:r>
          </w:p>
        </w:tc>
        <w:tc>
          <w:tcPr>
            <w:tcW w:w="907" w:type="dxa"/>
            <w:tcBorders>
              <w:bottom w:val="single" w:sz="4" w:space="0" w:color="auto"/>
            </w:tcBorders>
            <w:vAlign w:val="center"/>
          </w:tcPr>
          <w:p w14:paraId="3A1C8716" w14:textId="3A83B661"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65.0</w:t>
            </w:r>
          </w:p>
        </w:tc>
        <w:tc>
          <w:tcPr>
            <w:tcW w:w="1133" w:type="dxa"/>
            <w:tcBorders>
              <w:bottom w:val="single" w:sz="4" w:space="0" w:color="auto"/>
            </w:tcBorders>
            <w:vAlign w:val="center"/>
          </w:tcPr>
          <w:p w14:paraId="73771AA6" w14:textId="7BCD8155"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Cs/>
                <w:sz w:val="18"/>
                <w:szCs w:val="18"/>
                <w:highlight w:val="yellow"/>
                <w:lang w:eastAsia="ko-KR"/>
              </w:rPr>
            </w:pPr>
            <w:r w:rsidRPr="005E7A81">
              <w:rPr>
                <w:rFonts w:ascii="Arial" w:eastAsia="Batang" w:hAnsi="Arial" w:cs="Arial"/>
                <w:b/>
                <w:bCs/>
                <w:sz w:val="18"/>
                <w:szCs w:val="18"/>
                <w:lang w:eastAsia="ko-KR"/>
              </w:rPr>
              <w:t>239.7</w:t>
            </w:r>
          </w:p>
        </w:tc>
        <w:tc>
          <w:tcPr>
            <w:tcW w:w="1060" w:type="dxa"/>
            <w:tcBorders>
              <w:bottom w:val="single" w:sz="4" w:space="0" w:color="auto"/>
            </w:tcBorders>
            <w:vAlign w:val="center"/>
          </w:tcPr>
          <w:p w14:paraId="3B465355" w14:textId="71A462A6"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5.2</w:t>
            </w:r>
          </w:p>
        </w:tc>
        <w:tc>
          <w:tcPr>
            <w:tcW w:w="850" w:type="dxa"/>
            <w:tcBorders>
              <w:bottom w:val="single" w:sz="4" w:space="0" w:color="auto"/>
            </w:tcBorders>
            <w:noWrap/>
            <w:vAlign w:val="center"/>
          </w:tcPr>
          <w:p w14:paraId="13F7B5A1" w14:textId="49295A98" w:rsidR="004424BD" w:rsidRPr="005E7A81" w:rsidRDefault="004424BD" w:rsidP="004424BD">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highlight w:val="yellow"/>
                <w:lang w:eastAsia="ko-KR"/>
              </w:rPr>
            </w:pPr>
            <w:r w:rsidRPr="005E7A81">
              <w:rPr>
                <w:rFonts w:ascii="Arial" w:eastAsia="Batang" w:hAnsi="Arial" w:cs="Arial"/>
                <w:b/>
                <w:bCs/>
                <w:sz w:val="18"/>
                <w:szCs w:val="18"/>
                <w:lang w:eastAsia="ko-KR"/>
              </w:rPr>
              <w:t>244.9</w:t>
            </w:r>
          </w:p>
        </w:tc>
      </w:tr>
      <w:tr w:rsidR="00403B9C" w:rsidRPr="00A44138" w14:paraId="55FED86B" w14:textId="77777777" w:rsidTr="00D13882">
        <w:trPr>
          <w:trHeight w:val="278"/>
        </w:trPr>
        <w:tc>
          <w:tcPr>
            <w:tcW w:w="2438" w:type="dxa"/>
            <w:noWrap/>
            <w:vAlign w:val="center"/>
          </w:tcPr>
          <w:p w14:paraId="08FCAE28"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Profit for the period</w:t>
            </w:r>
          </w:p>
        </w:tc>
        <w:tc>
          <w:tcPr>
            <w:tcW w:w="737" w:type="dxa"/>
            <w:tcBorders>
              <w:top w:val="single" w:sz="4" w:space="0" w:color="auto"/>
            </w:tcBorders>
            <w:noWrap/>
            <w:vAlign w:val="center"/>
          </w:tcPr>
          <w:p w14:paraId="60B1DA4B" w14:textId="347F8FA2" w:rsidR="00294FD1" w:rsidRPr="00DA53C4" w:rsidRDefault="00D9193B">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top w:val="single" w:sz="4" w:space="0" w:color="auto"/>
            </w:tcBorders>
            <w:noWrap/>
            <w:vAlign w:val="center"/>
          </w:tcPr>
          <w:p w14:paraId="22105E11" w14:textId="4BA4CBC8" w:rsidR="00294FD1" w:rsidRPr="00DA53C4" w:rsidRDefault="00151FF6">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top w:val="single" w:sz="4" w:space="0" w:color="auto"/>
            </w:tcBorders>
            <w:vAlign w:val="center"/>
          </w:tcPr>
          <w:p w14:paraId="68F57E73" w14:textId="7E958DE7" w:rsidR="00294FD1" w:rsidRPr="00DA53C4" w:rsidRDefault="00F93495">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tcBorders>
              <w:top w:val="single" w:sz="4" w:space="0" w:color="auto"/>
            </w:tcBorders>
            <w:noWrap/>
            <w:vAlign w:val="center"/>
          </w:tcPr>
          <w:p w14:paraId="2D00FE89" w14:textId="17F1AA34" w:rsidR="00294FD1" w:rsidRPr="00DA53C4" w:rsidRDefault="00565107">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45.</w:t>
            </w:r>
            <w:r w:rsidR="00793744" w:rsidRPr="00DA53C4">
              <w:rPr>
                <w:rFonts w:ascii="Arial" w:eastAsia="Batang" w:hAnsi="Arial" w:cs="Arial"/>
                <w:sz w:val="18"/>
                <w:szCs w:val="18"/>
                <w:lang w:eastAsia="ko-KR"/>
              </w:rPr>
              <w:t>9</w:t>
            </w:r>
          </w:p>
        </w:tc>
        <w:tc>
          <w:tcPr>
            <w:tcW w:w="907" w:type="dxa"/>
            <w:tcBorders>
              <w:top w:val="single" w:sz="4" w:space="0" w:color="auto"/>
            </w:tcBorders>
            <w:vAlign w:val="center"/>
          </w:tcPr>
          <w:p w14:paraId="1A3191CF" w14:textId="45EB682A" w:rsidR="00294FD1" w:rsidRPr="00DA53C4" w:rsidRDefault="005261EF">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top w:val="single" w:sz="4" w:space="0" w:color="auto"/>
            </w:tcBorders>
            <w:vAlign w:val="center"/>
          </w:tcPr>
          <w:p w14:paraId="7AB362F9" w14:textId="1DCB595B" w:rsidR="00294FD1" w:rsidRPr="00DA53C4" w:rsidRDefault="001B43F1">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45.</w:t>
            </w:r>
            <w:r w:rsidR="003A64E8" w:rsidRPr="00DA53C4">
              <w:rPr>
                <w:rFonts w:ascii="Arial" w:eastAsia="Batang" w:hAnsi="Arial" w:cs="Arial"/>
                <w:sz w:val="18"/>
                <w:szCs w:val="18"/>
                <w:lang w:eastAsia="ko-KR"/>
              </w:rPr>
              <w:t>9</w:t>
            </w:r>
          </w:p>
        </w:tc>
        <w:tc>
          <w:tcPr>
            <w:tcW w:w="1060" w:type="dxa"/>
            <w:tcBorders>
              <w:top w:val="single" w:sz="4" w:space="0" w:color="auto"/>
            </w:tcBorders>
            <w:vAlign w:val="center"/>
          </w:tcPr>
          <w:p w14:paraId="4EE8F42D" w14:textId="7B2E308D" w:rsidR="00294FD1" w:rsidRPr="00DA53C4" w:rsidRDefault="003308EE">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(0.</w:t>
            </w:r>
            <w:r w:rsidR="00CD5FE9" w:rsidRPr="00DA53C4">
              <w:rPr>
                <w:rFonts w:ascii="Arial" w:eastAsia="Batang" w:hAnsi="Arial" w:cs="Arial"/>
                <w:sz w:val="18"/>
                <w:szCs w:val="18"/>
                <w:lang w:eastAsia="ko-KR"/>
              </w:rPr>
              <w:t>3</w:t>
            </w:r>
            <w:r w:rsidRPr="00DA53C4">
              <w:rPr>
                <w:rFonts w:ascii="Arial" w:eastAsia="Batang" w:hAnsi="Arial" w:cs="Arial"/>
                <w:sz w:val="18"/>
                <w:szCs w:val="18"/>
                <w:lang w:eastAsia="ko-KR"/>
              </w:rPr>
              <w:t>)</w:t>
            </w:r>
          </w:p>
        </w:tc>
        <w:tc>
          <w:tcPr>
            <w:tcW w:w="850" w:type="dxa"/>
            <w:tcBorders>
              <w:top w:val="single" w:sz="4" w:space="0" w:color="auto"/>
            </w:tcBorders>
            <w:noWrap/>
            <w:vAlign w:val="center"/>
          </w:tcPr>
          <w:p w14:paraId="59EC36CA" w14:textId="2BEAA9F8" w:rsidR="00294FD1" w:rsidRPr="00DA53C4" w:rsidRDefault="003A64E8">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45.6</w:t>
            </w:r>
          </w:p>
        </w:tc>
      </w:tr>
      <w:tr w:rsidR="00403B9C" w:rsidRPr="00A44138" w14:paraId="1E633772" w14:textId="77777777" w:rsidTr="00D13882">
        <w:trPr>
          <w:trHeight w:val="278"/>
        </w:trPr>
        <w:tc>
          <w:tcPr>
            <w:tcW w:w="2438" w:type="dxa"/>
            <w:noWrap/>
            <w:vAlign w:val="center"/>
          </w:tcPr>
          <w:p w14:paraId="2CC1766F"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Other comprehensive income</w:t>
            </w:r>
          </w:p>
        </w:tc>
        <w:tc>
          <w:tcPr>
            <w:tcW w:w="737" w:type="dxa"/>
            <w:tcBorders>
              <w:bottom w:val="single" w:sz="4" w:space="0" w:color="auto"/>
            </w:tcBorders>
            <w:noWrap/>
            <w:vAlign w:val="center"/>
          </w:tcPr>
          <w:p w14:paraId="14E959F1" w14:textId="4F93DD4E" w:rsidR="00294FD1" w:rsidRPr="00DA53C4" w:rsidRDefault="00D9193B">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bottom w:val="single" w:sz="4" w:space="0" w:color="auto"/>
            </w:tcBorders>
            <w:noWrap/>
            <w:vAlign w:val="center"/>
          </w:tcPr>
          <w:p w14:paraId="572C2F51" w14:textId="19E95EC3" w:rsidR="00294FD1" w:rsidRPr="00DA53C4" w:rsidRDefault="00151FF6">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bottom w:val="single" w:sz="4" w:space="0" w:color="auto"/>
            </w:tcBorders>
            <w:vAlign w:val="center"/>
          </w:tcPr>
          <w:p w14:paraId="55201C2D" w14:textId="3329C89B" w:rsidR="00294FD1" w:rsidRPr="00DA53C4" w:rsidRDefault="00F93495">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tcBorders>
              <w:bottom w:val="single" w:sz="4" w:space="0" w:color="auto"/>
            </w:tcBorders>
            <w:noWrap/>
            <w:vAlign w:val="center"/>
          </w:tcPr>
          <w:p w14:paraId="4BE5DDD0" w14:textId="07A71B82" w:rsidR="00294FD1" w:rsidRPr="00DA53C4" w:rsidRDefault="00565107">
            <w:pPr>
              <w:tabs>
                <w:tab w:val="left" w:pos="709"/>
                <w:tab w:val="decimal" w:pos="864"/>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bottom w:val="single" w:sz="4" w:space="0" w:color="auto"/>
            </w:tcBorders>
            <w:vAlign w:val="center"/>
          </w:tcPr>
          <w:p w14:paraId="4C7B4AE1" w14:textId="173AE1B3" w:rsidR="00294FD1" w:rsidRPr="00DA53C4" w:rsidRDefault="005261EF">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bottom w:val="single" w:sz="4" w:space="0" w:color="auto"/>
            </w:tcBorders>
            <w:vAlign w:val="center"/>
          </w:tcPr>
          <w:p w14:paraId="30F47D2B" w14:textId="7CCBD293" w:rsidR="00294FD1" w:rsidRPr="00DA53C4" w:rsidRDefault="001B43F1">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060" w:type="dxa"/>
            <w:tcBorders>
              <w:bottom w:val="single" w:sz="4" w:space="0" w:color="auto"/>
            </w:tcBorders>
            <w:vAlign w:val="center"/>
          </w:tcPr>
          <w:p w14:paraId="2E72B5E3" w14:textId="7F71EB2F" w:rsidR="00294FD1" w:rsidRPr="00DA53C4" w:rsidRDefault="003308EE">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tcBorders>
              <w:bottom w:val="single" w:sz="4" w:space="0" w:color="auto"/>
            </w:tcBorders>
            <w:noWrap/>
            <w:vAlign w:val="center"/>
          </w:tcPr>
          <w:p w14:paraId="01B88216" w14:textId="412BFBFB" w:rsidR="00294FD1" w:rsidRPr="00DA53C4" w:rsidRDefault="003A64E8">
            <w:pPr>
              <w:tabs>
                <w:tab w:val="left" w:pos="709"/>
                <w:tab w:val="left" w:pos="1559"/>
                <w:tab w:val="left" w:pos="2268"/>
                <w:tab w:val="left" w:pos="2977"/>
                <w:tab w:val="left" w:pos="3686"/>
                <w:tab w:val="left" w:pos="4394"/>
                <w:tab w:val="right" w:pos="8789"/>
              </w:tabs>
              <w:spacing w:after="0" w:line="260" w:lineRule="atLeast"/>
              <w:jc w:val="right"/>
              <w:rPr>
                <w:rFonts w:ascii="Arial" w:eastAsia="Batang" w:hAnsi="Arial" w:cs="Arial"/>
                <w:sz w:val="18"/>
                <w:szCs w:val="18"/>
                <w:lang w:eastAsia="ko-KR"/>
              </w:rPr>
            </w:pPr>
            <w:r w:rsidRPr="00DA53C4">
              <w:rPr>
                <w:rFonts w:ascii="Arial" w:eastAsia="Batang" w:hAnsi="Arial" w:cs="Arial"/>
                <w:sz w:val="18"/>
                <w:szCs w:val="18"/>
                <w:lang w:eastAsia="ko-KR"/>
              </w:rPr>
              <w:t>-</w:t>
            </w:r>
          </w:p>
        </w:tc>
      </w:tr>
      <w:tr w:rsidR="00403B9C" w:rsidRPr="00A44138" w14:paraId="7F1FF5D2" w14:textId="77777777" w:rsidTr="00D13882">
        <w:trPr>
          <w:trHeight w:val="278"/>
        </w:trPr>
        <w:tc>
          <w:tcPr>
            <w:tcW w:w="2438" w:type="dxa"/>
            <w:noWrap/>
            <w:vAlign w:val="center"/>
          </w:tcPr>
          <w:p w14:paraId="5F52E5C2"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Total comprehensive income</w:t>
            </w:r>
          </w:p>
        </w:tc>
        <w:tc>
          <w:tcPr>
            <w:tcW w:w="737" w:type="dxa"/>
            <w:tcBorders>
              <w:top w:val="single" w:sz="4" w:space="0" w:color="auto"/>
            </w:tcBorders>
            <w:noWrap/>
            <w:vAlign w:val="center"/>
          </w:tcPr>
          <w:p w14:paraId="0A45300D" w14:textId="1F3F8358" w:rsidR="00294FD1" w:rsidRPr="00DA53C4" w:rsidRDefault="00D9193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top w:val="single" w:sz="4" w:space="0" w:color="auto"/>
            </w:tcBorders>
            <w:noWrap/>
            <w:vAlign w:val="center"/>
          </w:tcPr>
          <w:p w14:paraId="1B511DC5" w14:textId="155D75B3" w:rsidR="00294FD1" w:rsidRPr="00DA53C4" w:rsidRDefault="00151FF6">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top w:val="single" w:sz="4" w:space="0" w:color="auto"/>
            </w:tcBorders>
            <w:vAlign w:val="center"/>
          </w:tcPr>
          <w:p w14:paraId="11EFC724" w14:textId="0A4DDD24" w:rsidR="00294FD1" w:rsidRPr="00DA53C4" w:rsidRDefault="00F93495">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tcBorders>
              <w:top w:val="single" w:sz="4" w:space="0" w:color="auto"/>
            </w:tcBorders>
            <w:noWrap/>
            <w:vAlign w:val="center"/>
          </w:tcPr>
          <w:p w14:paraId="36B768E0" w14:textId="5F3C4745" w:rsidR="00294FD1" w:rsidRPr="00DA53C4" w:rsidRDefault="00565107">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45.</w:t>
            </w:r>
            <w:r w:rsidR="00793744" w:rsidRPr="00DA53C4">
              <w:rPr>
                <w:rFonts w:ascii="Arial" w:eastAsia="Batang" w:hAnsi="Arial" w:cs="Arial"/>
                <w:sz w:val="18"/>
                <w:szCs w:val="18"/>
                <w:lang w:eastAsia="ko-KR"/>
              </w:rPr>
              <w:t>9</w:t>
            </w:r>
          </w:p>
        </w:tc>
        <w:tc>
          <w:tcPr>
            <w:tcW w:w="907" w:type="dxa"/>
            <w:tcBorders>
              <w:top w:val="single" w:sz="4" w:space="0" w:color="auto"/>
            </w:tcBorders>
            <w:vAlign w:val="center"/>
          </w:tcPr>
          <w:p w14:paraId="353F2714" w14:textId="63A68CD9" w:rsidR="00294FD1"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top w:val="single" w:sz="4" w:space="0" w:color="auto"/>
            </w:tcBorders>
            <w:vAlign w:val="center"/>
          </w:tcPr>
          <w:p w14:paraId="52CAEB9A" w14:textId="7AB4309A" w:rsidR="00294FD1" w:rsidRPr="00DA53C4" w:rsidRDefault="001B43F1">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45.</w:t>
            </w:r>
            <w:r w:rsidR="003A64E8" w:rsidRPr="00DA53C4">
              <w:rPr>
                <w:rFonts w:ascii="Arial" w:eastAsia="Batang" w:hAnsi="Arial" w:cs="Arial"/>
                <w:sz w:val="18"/>
                <w:szCs w:val="18"/>
                <w:lang w:eastAsia="ko-KR"/>
              </w:rPr>
              <w:t>9</w:t>
            </w:r>
          </w:p>
        </w:tc>
        <w:tc>
          <w:tcPr>
            <w:tcW w:w="1060" w:type="dxa"/>
            <w:tcBorders>
              <w:top w:val="single" w:sz="4" w:space="0" w:color="auto"/>
            </w:tcBorders>
            <w:vAlign w:val="center"/>
          </w:tcPr>
          <w:p w14:paraId="4DBD5BC5" w14:textId="6D2FE8B9" w:rsidR="00294FD1" w:rsidRPr="00DA53C4" w:rsidRDefault="002313F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w:t>
            </w:r>
            <w:r w:rsidR="00CD5FE9" w:rsidRPr="00DA53C4">
              <w:rPr>
                <w:rFonts w:ascii="Arial" w:eastAsia="Batang" w:hAnsi="Arial" w:cs="Arial"/>
                <w:sz w:val="18"/>
                <w:szCs w:val="18"/>
                <w:lang w:eastAsia="ko-KR"/>
              </w:rPr>
              <w:t>3</w:t>
            </w:r>
            <w:r w:rsidRPr="00DA53C4">
              <w:rPr>
                <w:rFonts w:ascii="Arial" w:eastAsia="Batang" w:hAnsi="Arial" w:cs="Arial"/>
                <w:sz w:val="18"/>
                <w:szCs w:val="18"/>
                <w:lang w:eastAsia="ko-KR"/>
              </w:rPr>
              <w:t>)</w:t>
            </w:r>
          </w:p>
        </w:tc>
        <w:tc>
          <w:tcPr>
            <w:tcW w:w="850" w:type="dxa"/>
            <w:tcBorders>
              <w:top w:val="single" w:sz="4" w:space="0" w:color="auto"/>
            </w:tcBorders>
            <w:noWrap/>
            <w:vAlign w:val="center"/>
          </w:tcPr>
          <w:p w14:paraId="747672D3" w14:textId="12C8E97A" w:rsidR="00294FD1" w:rsidRPr="00DA53C4" w:rsidRDefault="003A64E8">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45.6</w:t>
            </w:r>
          </w:p>
        </w:tc>
      </w:tr>
      <w:tr w:rsidR="00403B9C" w:rsidRPr="00A44138" w14:paraId="742AC1C9" w14:textId="77777777" w:rsidTr="00D13882">
        <w:trPr>
          <w:trHeight w:val="278"/>
        </w:trPr>
        <w:tc>
          <w:tcPr>
            <w:tcW w:w="2438" w:type="dxa"/>
            <w:noWrap/>
            <w:vAlign w:val="center"/>
          </w:tcPr>
          <w:p w14:paraId="3EE0746E" w14:textId="213518D3" w:rsidR="00AF5B6E" w:rsidRPr="00A44138" w:rsidRDefault="00AF5B6E">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New shares issued</w:t>
            </w:r>
          </w:p>
        </w:tc>
        <w:tc>
          <w:tcPr>
            <w:tcW w:w="737" w:type="dxa"/>
            <w:tcBorders>
              <w:top w:val="single" w:sz="4" w:space="0" w:color="auto"/>
            </w:tcBorders>
            <w:noWrap/>
            <w:vAlign w:val="center"/>
          </w:tcPr>
          <w:p w14:paraId="43DF784E" w14:textId="6D1937A5" w:rsidR="00AF5B6E" w:rsidRPr="00DA53C4" w:rsidRDefault="00D9193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top w:val="single" w:sz="4" w:space="0" w:color="auto"/>
            </w:tcBorders>
            <w:noWrap/>
            <w:vAlign w:val="center"/>
          </w:tcPr>
          <w:p w14:paraId="6F1718BB" w14:textId="37229EA2" w:rsidR="00AF5B6E" w:rsidRPr="00DA53C4" w:rsidRDefault="00241B8A">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0.1</w:t>
            </w:r>
          </w:p>
        </w:tc>
        <w:tc>
          <w:tcPr>
            <w:tcW w:w="907" w:type="dxa"/>
            <w:tcBorders>
              <w:top w:val="single" w:sz="4" w:space="0" w:color="auto"/>
            </w:tcBorders>
            <w:vAlign w:val="center"/>
          </w:tcPr>
          <w:p w14:paraId="641CBA50" w14:textId="59629143" w:rsidR="00AF5B6E" w:rsidRPr="00DA53C4" w:rsidRDefault="00F93495">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tcBorders>
              <w:top w:val="single" w:sz="4" w:space="0" w:color="auto"/>
            </w:tcBorders>
            <w:noWrap/>
            <w:vAlign w:val="center"/>
          </w:tcPr>
          <w:p w14:paraId="3D247CFC" w14:textId="4FD223BD" w:rsidR="00AF5B6E" w:rsidRPr="00DA53C4" w:rsidRDefault="00565107">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top w:val="single" w:sz="4" w:space="0" w:color="auto"/>
            </w:tcBorders>
            <w:vAlign w:val="center"/>
          </w:tcPr>
          <w:p w14:paraId="3BDB94EE" w14:textId="34AE2702" w:rsidR="00AF5B6E"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top w:val="single" w:sz="4" w:space="0" w:color="auto"/>
            </w:tcBorders>
            <w:vAlign w:val="center"/>
          </w:tcPr>
          <w:p w14:paraId="71ED4FF1" w14:textId="44DB5264" w:rsidR="00AF5B6E" w:rsidRPr="00DA53C4" w:rsidRDefault="00B22060">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0.1</w:t>
            </w:r>
          </w:p>
        </w:tc>
        <w:tc>
          <w:tcPr>
            <w:tcW w:w="1060" w:type="dxa"/>
            <w:tcBorders>
              <w:top w:val="single" w:sz="4" w:space="0" w:color="auto"/>
            </w:tcBorders>
            <w:vAlign w:val="center"/>
          </w:tcPr>
          <w:p w14:paraId="3820B674" w14:textId="40C8D79A" w:rsidR="00AF5B6E" w:rsidRPr="00DA53C4" w:rsidRDefault="002313F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tcBorders>
              <w:top w:val="single" w:sz="4" w:space="0" w:color="auto"/>
            </w:tcBorders>
            <w:noWrap/>
            <w:vAlign w:val="center"/>
          </w:tcPr>
          <w:p w14:paraId="5A045B2D" w14:textId="300C22AA" w:rsidR="00AF5B6E" w:rsidRPr="00DA53C4" w:rsidRDefault="00F354A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0.1</w:t>
            </w:r>
          </w:p>
        </w:tc>
      </w:tr>
      <w:tr w:rsidR="001E186E" w:rsidRPr="00A44138" w14:paraId="2004060A" w14:textId="77777777" w:rsidTr="00DA53C4">
        <w:trPr>
          <w:trHeight w:val="278"/>
        </w:trPr>
        <w:tc>
          <w:tcPr>
            <w:tcW w:w="2438" w:type="dxa"/>
            <w:noWrap/>
            <w:vAlign w:val="center"/>
          </w:tcPr>
          <w:p w14:paraId="5D197A61" w14:textId="4215B5F6" w:rsidR="001E186E" w:rsidRPr="00A44138" w:rsidRDefault="001E186E">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Pr>
                <w:rFonts w:ascii="Arial" w:eastAsia="Batang" w:hAnsi="Arial" w:cs="Arial"/>
                <w:sz w:val="18"/>
                <w:szCs w:val="18"/>
                <w:lang w:eastAsia="ko-KR"/>
              </w:rPr>
              <w:t>Purchase of own shares</w:t>
            </w:r>
          </w:p>
        </w:tc>
        <w:tc>
          <w:tcPr>
            <w:tcW w:w="737" w:type="dxa"/>
            <w:noWrap/>
            <w:vAlign w:val="center"/>
          </w:tcPr>
          <w:p w14:paraId="3578BEF8" w14:textId="52351925" w:rsidR="001E186E" w:rsidRPr="00DA53C4" w:rsidRDefault="001E186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noWrap/>
            <w:vAlign w:val="center"/>
          </w:tcPr>
          <w:p w14:paraId="744300DD" w14:textId="6A82FE3C" w:rsidR="001E186E" w:rsidRPr="00DA53C4" w:rsidRDefault="001E186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vAlign w:val="center"/>
          </w:tcPr>
          <w:p w14:paraId="49851725" w14:textId="795117C7" w:rsidR="001E186E" w:rsidRPr="00DA53C4" w:rsidRDefault="001E186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noWrap/>
            <w:vAlign w:val="center"/>
          </w:tcPr>
          <w:p w14:paraId="11D5BFD6" w14:textId="21832C0E" w:rsidR="001E186E" w:rsidRPr="00DA53C4" w:rsidRDefault="00564364">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(13.3)</w:t>
            </w:r>
          </w:p>
        </w:tc>
        <w:tc>
          <w:tcPr>
            <w:tcW w:w="907" w:type="dxa"/>
            <w:vAlign w:val="center"/>
          </w:tcPr>
          <w:p w14:paraId="502D1C9A" w14:textId="3CAD8B04" w:rsidR="001E186E"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vAlign w:val="center"/>
          </w:tcPr>
          <w:p w14:paraId="6DAF320F" w14:textId="6F730203" w:rsidR="001E186E" w:rsidRPr="00DA53C4" w:rsidRDefault="001B43F1">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(13.3)</w:t>
            </w:r>
          </w:p>
        </w:tc>
        <w:tc>
          <w:tcPr>
            <w:tcW w:w="1060" w:type="dxa"/>
            <w:vAlign w:val="center"/>
          </w:tcPr>
          <w:p w14:paraId="75205BC9" w14:textId="2496716B" w:rsidR="001E186E" w:rsidRPr="00DA53C4" w:rsidRDefault="0057738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noWrap/>
            <w:vAlign w:val="center"/>
          </w:tcPr>
          <w:p w14:paraId="756E3569" w14:textId="4B4CFFDC" w:rsidR="001E186E" w:rsidRPr="00DA53C4" w:rsidRDefault="00F354A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(13.3)</w:t>
            </w:r>
          </w:p>
        </w:tc>
      </w:tr>
      <w:tr w:rsidR="00403B9C" w:rsidRPr="00A44138" w14:paraId="0F80103F" w14:textId="77777777" w:rsidTr="00D13882">
        <w:trPr>
          <w:trHeight w:val="278"/>
        </w:trPr>
        <w:tc>
          <w:tcPr>
            <w:tcW w:w="2438" w:type="dxa"/>
            <w:noWrap/>
            <w:vAlign w:val="center"/>
          </w:tcPr>
          <w:p w14:paraId="08266C28"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Purchase of shares by employee trusts</w:t>
            </w:r>
          </w:p>
        </w:tc>
        <w:tc>
          <w:tcPr>
            <w:tcW w:w="737" w:type="dxa"/>
            <w:noWrap/>
            <w:vAlign w:val="center"/>
          </w:tcPr>
          <w:p w14:paraId="450FFF8A" w14:textId="3B111E82" w:rsidR="00294FD1" w:rsidRPr="00DA53C4" w:rsidRDefault="00D9193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noWrap/>
            <w:vAlign w:val="center"/>
          </w:tcPr>
          <w:p w14:paraId="11CB3624" w14:textId="428917B0" w:rsidR="00294FD1" w:rsidRPr="00DA53C4" w:rsidRDefault="00241B8A">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vAlign w:val="center"/>
          </w:tcPr>
          <w:p w14:paraId="3BE8B0DC" w14:textId="08A3CB5B" w:rsidR="00294FD1" w:rsidRPr="00DA53C4" w:rsidRDefault="005C69EB">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noWrap/>
            <w:vAlign w:val="center"/>
          </w:tcPr>
          <w:p w14:paraId="68D5C116" w14:textId="160E208D" w:rsidR="00294FD1" w:rsidRPr="00DA53C4" w:rsidRDefault="00565107">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vAlign w:val="center"/>
          </w:tcPr>
          <w:p w14:paraId="6B5D48AC" w14:textId="6F4A388B" w:rsidR="00294FD1"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vAlign w:val="center"/>
          </w:tcPr>
          <w:p w14:paraId="74B9ECF6" w14:textId="1B453277" w:rsidR="00294FD1" w:rsidRPr="00DA53C4" w:rsidRDefault="0073720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060" w:type="dxa"/>
            <w:vAlign w:val="center"/>
          </w:tcPr>
          <w:p w14:paraId="1BC48A96" w14:textId="0AB19DC9" w:rsidR="00294FD1" w:rsidRPr="00DA53C4" w:rsidRDefault="0057738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noWrap/>
            <w:vAlign w:val="center"/>
          </w:tcPr>
          <w:p w14:paraId="5E0561A6" w14:textId="5F261C10" w:rsidR="00294FD1" w:rsidRPr="00DA53C4" w:rsidRDefault="00F354A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r>
      <w:tr w:rsidR="00403B9C" w:rsidRPr="00A44138" w14:paraId="2CE14125" w14:textId="77777777" w:rsidTr="00D13882">
        <w:trPr>
          <w:trHeight w:val="278"/>
        </w:trPr>
        <w:tc>
          <w:tcPr>
            <w:tcW w:w="2438" w:type="dxa"/>
            <w:noWrap/>
            <w:vAlign w:val="center"/>
          </w:tcPr>
          <w:p w14:paraId="3EFC0CC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Exercise of LTIP awards</w:t>
            </w:r>
          </w:p>
        </w:tc>
        <w:tc>
          <w:tcPr>
            <w:tcW w:w="737" w:type="dxa"/>
            <w:noWrap/>
            <w:vAlign w:val="center"/>
          </w:tcPr>
          <w:p w14:paraId="66837B4B" w14:textId="54FC6177" w:rsidR="00294FD1" w:rsidRPr="00DA53C4" w:rsidRDefault="008B3B02">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0.0</w:t>
            </w:r>
          </w:p>
        </w:tc>
        <w:tc>
          <w:tcPr>
            <w:tcW w:w="964" w:type="dxa"/>
            <w:noWrap/>
            <w:vAlign w:val="center"/>
          </w:tcPr>
          <w:p w14:paraId="5D1DEB40" w14:textId="6A622ADF" w:rsidR="00294FD1" w:rsidRPr="00DA53C4" w:rsidRDefault="00B9142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2.2</w:t>
            </w:r>
          </w:p>
        </w:tc>
        <w:tc>
          <w:tcPr>
            <w:tcW w:w="907" w:type="dxa"/>
            <w:vAlign w:val="center"/>
          </w:tcPr>
          <w:p w14:paraId="5FD6CB84" w14:textId="09DBEB5E" w:rsidR="00294FD1" w:rsidRPr="00DA53C4" w:rsidRDefault="0017289D">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noWrap/>
            <w:vAlign w:val="center"/>
          </w:tcPr>
          <w:p w14:paraId="4E4A7BEA" w14:textId="61C6203B" w:rsidR="00294FD1" w:rsidRPr="00DA53C4" w:rsidRDefault="00A67728">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(2.2)</w:t>
            </w:r>
          </w:p>
        </w:tc>
        <w:tc>
          <w:tcPr>
            <w:tcW w:w="907" w:type="dxa"/>
            <w:vAlign w:val="center"/>
          </w:tcPr>
          <w:p w14:paraId="1A80AE9B" w14:textId="019F2F0F" w:rsidR="00294FD1"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vAlign w:val="center"/>
          </w:tcPr>
          <w:p w14:paraId="55B727AE" w14:textId="44E7BDFB" w:rsidR="00294FD1" w:rsidRPr="00DA53C4" w:rsidRDefault="0073720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060" w:type="dxa"/>
            <w:vAlign w:val="center"/>
          </w:tcPr>
          <w:p w14:paraId="6E7A20F7" w14:textId="21E9ABFD" w:rsidR="00294FD1" w:rsidRPr="00DA53C4" w:rsidRDefault="0057738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noWrap/>
            <w:vAlign w:val="center"/>
          </w:tcPr>
          <w:p w14:paraId="5E4F8D01" w14:textId="0FCE5608" w:rsidR="00294FD1" w:rsidRPr="00DA53C4" w:rsidRDefault="00491750">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r>
      <w:tr w:rsidR="00403B9C" w:rsidRPr="00A44138" w14:paraId="6C72F7D0" w14:textId="77777777" w:rsidTr="00D13882">
        <w:trPr>
          <w:trHeight w:val="278"/>
        </w:trPr>
        <w:tc>
          <w:tcPr>
            <w:tcW w:w="2438" w:type="dxa"/>
            <w:noWrap/>
            <w:vAlign w:val="center"/>
          </w:tcPr>
          <w:p w14:paraId="588D03D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Equity dividends</w:t>
            </w:r>
          </w:p>
        </w:tc>
        <w:tc>
          <w:tcPr>
            <w:tcW w:w="737" w:type="dxa"/>
            <w:noWrap/>
            <w:vAlign w:val="center"/>
          </w:tcPr>
          <w:p w14:paraId="34D9B31D" w14:textId="01A3CEEB" w:rsidR="00294FD1" w:rsidRPr="00DA53C4" w:rsidRDefault="00D9193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noWrap/>
            <w:vAlign w:val="center"/>
          </w:tcPr>
          <w:p w14:paraId="1EB92F1D" w14:textId="7B579A56" w:rsidR="00294FD1" w:rsidRPr="00DA53C4" w:rsidRDefault="00241B8A">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vAlign w:val="center"/>
          </w:tcPr>
          <w:p w14:paraId="41511B44" w14:textId="52335903" w:rsidR="00294FD1" w:rsidRPr="00DA53C4" w:rsidRDefault="005C69E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noWrap/>
            <w:vAlign w:val="center"/>
          </w:tcPr>
          <w:p w14:paraId="5F8FCE3A" w14:textId="33F64DD0" w:rsidR="00294FD1" w:rsidRPr="00DA53C4" w:rsidRDefault="009C3802">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(49.3)</w:t>
            </w:r>
          </w:p>
        </w:tc>
        <w:tc>
          <w:tcPr>
            <w:tcW w:w="907" w:type="dxa"/>
            <w:vAlign w:val="center"/>
          </w:tcPr>
          <w:p w14:paraId="2AE76EB3" w14:textId="56F85C76" w:rsidR="00294FD1"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vAlign w:val="center"/>
          </w:tcPr>
          <w:p w14:paraId="0B8E8486" w14:textId="4CC6DA06" w:rsidR="00294FD1" w:rsidRPr="00DA53C4" w:rsidRDefault="0073720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(49.3)</w:t>
            </w:r>
          </w:p>
        </w:tc>
        <w:tc>
          <w:tcPr>
            <w:tcW w:w="1060" w:type="dxa"/>
            <w:vAlign w:val="center"/>
          </w:tcPr>
          <w:p w14:paraId="757EC4B2" w14:textId="318F62AF" w:rsidR="00294FD1" w:rsidRPr="00DA53C4" w:rsidRDefault="0057738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noWrap/>
            <w:vAlign w:val="center"/>
          </w:tcPr>
          <w:p w14:paraId="1B4CCD76" w14:textId="166E64CF" w:rsidR="00294FD1" w:rsidRPr="00DA53C4" w:rsidRDefault="00491750">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(49.3)</w:t>
            </w:r>
          </w:p>
        </w:tc>
      </w:tr>
      <w:tr w:rsidR="00403B9C" w:rsidRPr="00A44138" w14:paraId="2B8BF6C5" w14:textId="77777777" w:rsidTr="00D13882">
        <w:trPr>
          <w:trHeight w:val="278"/>
        </w:trPr>
        <w:tc>
          <w:tcPr>
            <w:tcW w:w="2438" w:type="dxa"/>
            <w:noWrap/>
            <w:vAlign w:val="center"/>
          </w:tcPr>
          <w:p w14:paraId="1199DF80"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Share-based payments</w:t>
            </w:r>
          </w:p>
        </w:tc>
        <w:tc>
          <w:tcPr>
            <w:tcW w:w="737" w:type="dxa"/>
            <w:tcBorders>
              <w:bottom w:val="single" w:sz="4" w:space="0" w:color="auto"/>
            </w:tcBorders>
            <w:noWrap/>
            <w:vAlign w:val="center"/>
          </w:tcPr>
          <w:p w14:paraId="571FEB91" w14:textId="17A1C91B" w:rsidR="00294FD1" w:rsidRPr="00DA53C4" w:rsidRDefault="00D9193B">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4" w:type="dxa"/>
            <w:tcBorders>
              <w:bottom w:val="single" w:sz="4" w:space="0" w:color="auto"/>
            </w:tcBorders>
            <w:noWrap/>
            <w:vAlign w:val="center"/>
          </w:tcPr>
          <w:p w14:paraId="7E9D111C" w14:textId="1BAA15F3" w:rsidR="00294FD1" w:rsidRPr="00DA53C4" w:rsidRDefault="00241B8A">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07" w:type="dxa"/>
            <w:tcBorders>
              <w:bottom w:val="single" w:sz="4" w:space="0" w:color="auto"/>
            </w:tcBorders>
            <w:vAlign w:val="center"/>
          </w:tcPr>
          <w:p w14:paraId="6AA64D8A" w14:textId="358B07E3" w:rsidR="00294FD1" w:rsidRPr="00DA53C4" w:rsidRDefault="005C69EB">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965" w:type="dxa"/>
            <w:tcBorders>
              <w:bottom w:val="single" w:sz="4" w:space="0" w:color="auto"/>
            </w:tcBorders>
            <w:noWrap/>
            <w:vAlign w:val="center"/>
          </w:tcPr>
          <w:p w14:paraId="08F99668" w14:textId="3E77A3E4" w:rsidR="00294FD1" w:rsidRPr="00DA53C4" w:rsidRDefault="00C63ABB">
            <w:pPr>
              <w:tabs>
                <w:tab w:val="decimal" w:pos="774"/>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1.4</w:t>
            </w:r>
          </w:p>
        </w:tc>
        <w:tc>
          <w:tcPr>
            <w:tcW w:w="907" w:type="dxa"/>
            <w:tcBorders>
              <w:bottom w:val="single" w:sz="4" w:space="0" w:color="auto"/>
            </w:tcBorders>
            <w:vAlign w:val="center"/>
          </w:tcPr>
          <w:p w14:paraId="6A0BBD24" w14:textId="6AEAE69F" w:rsidR="00294FD1" w:rsidRPr="00DA53C4" w:rsidRDefault="005261EF">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1133" w:type="dxa"/>
            <w:tcBorders>
              <w:bottom w:val="single" w:sz="4" w:space="0" w:color="auto"/>
            </w:tcBorders>
            <w:vAlign w:val="center"/>
          </w:tcPr>
          <w:p w14:paraId="5F63F21B" w14:textId="7F9F1B71" w:rsidR="00294FD1" w:rsidRPr="00DA53C4" w:rsidRDefault="00737209">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1.4</w:t>
            </w:r>
          </w:p>
        </w:tc>
        <w:tc>
          <w:tcPr>
            <w:tcW w:w="1060" w:type="dxa"/>
            <w:tcBorders>
              <w:bottom w:val="single" w:sz="4" w:space="0" w:color="auto"/>
            </w:tcBorders>
            <w:vAlign w:val="center"/>
          </w:tcPr>
          <w:p w14:paraId="184BE275" w14:textId="6F5804DA" w:rsidR="00294FD1" w:rsidRPr="00DA53C4" w:rsidRDefault="0057738E">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w:t>
            </w:r>
          </w:p>
        </w:tc>
        <w:tc>
          <w:tcPr>
            <w:tcW w:w="850" w:type="dxa"/>
            <w:tcBorders>
              <w:bottom w:val="single" w:sz="4" w:space="0" w:color="auto"/>
            </w:tcBorders>
            <w:noWrap/>
            <w:vAlign w:val="center"/>
          </w:tcPr>
          <w:p w14:paraId="323B6484" w14:textId="48AE8001" w:rsidR="00294FD1" w:rsidRPr="00DA53C4" w:rsidRDefault="00491750">
            <w:pPr>
              <w:tabs>
                <w:tab w:val="decimal" w:pos="864"/>
              </w:tabs>
              <w:overflowPunct w:val="0"/>
              <w:autoSpaceDE w:val="0"/>
              <w:autoSpaceDN w:val="0"/>
              <w:adjustRightInd w:val="0"/>
              <w:spacing w:after="0" w:line="240" w:lineRule="auto"/>
              <w:jc w:val="right"/>
              <w:textAlignment w:val="baseline"/>
              <w:rPr>
                <w:rFonts w:ascii="Arial" w:eastAsia="Batang" w:hAnsi="Arial" w:cs="Arial"/>
                <w:sz w:val="18"/>
                <w:szCs w:val="18"/>
                <w:lang w:eastAsia="ko-KR"/>
              </w:rPr>
            </w:pPr>
            <w:r w:rsidRPr="00DA53C4">
              <w:rPr>
                <w:rFonts w:ascii="Arial" w:eastAsia="Batang" w:hAnsi="Arial" w:cs="Arial"/>
                <w:sz w:val="18"/>
                <w:szCs w:val="18"/>
                <w:lang w:eastAsia="ko-KR"/>
              </w:rPr>
              <w:t>1.4</w:t>
            </w:r>
          </w:p>
        </w:tc>
      </w:tr>
      <w:tr w:rsidR="00403B9C" w:rsidRPr="00A44138" w14:paraId="251F288D" w14:textId="77777777" w:rsidTr="00D13882">
        <w:trPr>
          <w:trHeight w:val="56"/>
        </w:trPr>
        <w:tc>
          <w:tcPr>
            <w:tcW w:w="2438" w:type="dxa"/>
            <w:noWrap/>
            <w:vAlign w:val="center"/>
          </w:tcPr>
          <w:p w14:paraId="33869CBD" w14:textId="5123B854"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left="-108"/>
              <w:rPr>
                <w:rFonts w:ascii="Arial" w:eastAsia="Batang" w:hAnsi="Arial" w:cs="Arial"/>
                <w:sz w:val="18"/>
                <w:szCs w:val="18"/>
                <w:lang w:eastAsia="ko-KR"/>
              </w:rPr>
            </w:pPr>
            <w:r w:rsidRPr="00A44138">
              <w:rPr>
                <w:rFonts w:ascii="Arial" w:eastAsia="Batang" w:hAnsi="Arial" w:cs="Arial"/>
                <w:sz w:val="18"/>
                <w:szCs w:val="18"/>
                <w:lang w:eastAsia="ko-KR"/>
              </w:rPr>
              <w:t>At 30 June 202</w:t>
            </w:r>
            <w:r w:rsidR="004424BD">
              <w:rPr>
                <w:rFonts w:ascii="Arial" w:eastAsia="Batang" w:hAnsi="Arial" w:cs="Arial"/>
                <w:sz w:val="18"/>
                <w:szCs w:val="18"/>
                <w:lang w:eastAsia="ko-KR"/>
              </w:rPr>
              <w:t>5</w:t>
            </w:r>
          </w:p>
        </w:tc>
        <w:tc>
          <w:tcPr>
            <w:tcW w:w="737" w:type="dxa"/>
            <w:tcBorders>
              <w:top w:val="single" w:sz="4" w:space="0" w:color="auto"/>
              <w:bottom w:val="single" w:sz="4" w:space="0" w:color="auto"/>
            </w:tcBorders>
            <w:noWrap/>
            <w:vAlign w:val="center"/>
          </w:tcPr>
          <w:p w14:paraId="4E37C8D7" w14:textId="68FD4D17" w:rsidR="00294FD1" w:rsidRPr="00DA53C4" w:rsidRDefault="00753EA1">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0.1</w:t>
            </w:r>
          </w:p>
        </w:tc>
        <w:tc>
          <w:tcPr>
            <w:tcW w:w="964" w:type="dxa"/>
            <w:tcBorders>
              <w:top w:val="single" w:sz="4" w:space="0" w:color="auto"/>
              <w:bottom w:val="single" w:sz="4" w:space="0" w:color="auto"/>
            </w:tcBorders>
            <w:noWrap/>
            <w:vAlign w:val="center"/>
          </w:tcPr>
          <w:p w14:paraId="4D20B333" w14:textId="5BAB7753" w:rsidR="00294FD1" w:rsidRPr="00DA53C4" w:rsidRDefault="00ED0FFE">
            <w:pPr>
              <w:tabs>
                <w:tab w:val="decimal" w:pos="86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207.9</w:t>
            </w:r>
          </w:p>
        </w:tc>
        <w:tc>
          <w:tcPr>
            <w:tcW w:w="907" w:type="dxa"/>
            <w:tcBorders>
              <w:top w:val="single" w:sz="4" w:space="0" w:color="auto"/>
              <w:bottom w:val="single" w:sz="4" w:space="0" w:color="auto"/>
            </w:tcBorders>
            <w:vAlign w:val="center"/>
          </w:tcPr>
          <w:p w14:paraId="7A879639" w14:textId="09798AE1" w:rsidR="00294FD1" w:rsidRPr="00DA53C4" w:rsidRDefault="00ED0FFE">
            <w:pPr>
              <w:tabs>
                <w:tab w:val="decimal" w:pos="77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(1.7)</w:t>
            </w:r>
          </w:p>
        </w:tc>
        <w:tc>
          <w:tcPr>
            <w:tcW w:w="965" w:type="dxa"/>
            <w:tcBorders>
              <w:top w:val="single" w:sz="4" w:space="0" w:color="auto"/>
              <w:bottom w:val="single" w:sz="4" w:space="0" w:color="auto"/>
            </w:tcBorders>
            <w:noWrap/>
            <w:vAlign w:val="center"/>
          </w:tcPr>
          <w:p w14:paraId="3E9AFBB9" w14:textId="77981191" w:rsidR="00294FD1" w:rsidRPr="00DA53C4" w:rsidRDefault="00845CAC">
            <w:pPr>
              <w:tabs>
                <w:tab w:val="decimal" w:pos="77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w:t>
            </w:r>
            <w:r w:rsidR="005261EF" w:rsidRPr="00DA53C4">
              <w:rPr>
                <w:rFonts w:ascii="Arial" w:eastAsia="Batang" w:hAnsi="Arial" w:cs="Arial"/>
                <w:b/>
                <w:sz w:val="18"/>
                <w:szCs w:val="18"/>
                <w:lang w:eastAsia="ko-KR"/>
              </w:rPr>
              <w:t>4</w:t>
            </w:r>
            <w:r w:rsidR="00AC5316" w:rsidRPr="00DA53C4">
              <w:rPr>
                <w:rFonts w:ascii="Arial" w:eastAsia="Batang" w:hAnsi="Arial" w:cs="Arial"/>
                <w:b/>
                <w:sz w:val="18"/>
                <w:szCs w:val="18"/>
                <w:lang w:eastAsia="ko-KR"/>
              </w:rPr>
              <w:t>6.8</w:t>
            </w:r>
            <w:r w:rsidRPr="00DA53C4">
              <w:rPr>
                <w:rFonts w:ascii="Arial" w:eastAsia="Batang" w:hAnsi="Arial" w:cs="Arial"/>
                <w:b/>
                <w:sz w:val="18"/>
                <w:szCs w:val="18"/>
                <w:lang w:eastAsia="ko-KR"/>
              </w:rPr>
              <w:t>)</w:t>
            </w:r>
          </w:p>
        </w:tc>
        <w:tc>
          <w:tcPr>
            <w:tcW w:w="907" w:type="dxa"/>
            <w:tcBorders>
              <w:top w:val="single" w:sz="4" w:space="0" w:color="auto"/>
              <w:bottom w:val="single" w:sz="4" w:space="0" w:color="auto"/>
            </w:tcBorders>
            <w:vAlign w:val="center"/>
          </w:tcPr>
          <w:p w14:paraId="5AB7BB27" w14:textId="4D579000" w:rsidR="00294FD1" w:rsidRPr="00DA53C4" w:rsidRDefault="005261EF">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65.0</w:t>
            </w:r>
          </w:p>
        </w:tc>
        <w:tc>
          <w:tcPr>
            <w:tcW w:w="1133" w:type="dxa"/>
            <w:tcBorders>
              <w:top w:val="single" w:sz="4" w:space="0" w:color="auto"/>
              <w:bottom w:val="single" w:sz="4" w:space="0" w:color="auto"/>
            </w:tcBorders>
            <w:vAlign w:val="center"/>
          </w:tcPr>
          <w:p w14:paraId="5593A3EE" w14:textId="765EE14D" w:rsidR="00294FD1" w:rsidRPr="00DA53C4" w:rsidRDefault="00C224C6">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224.</w:t>
            </w:r>
            <w:r w:rsidR="00B22060" w:rsidRPr="00DA53C4">
              <w:rPr>
                <w:rFonts w:ascii="Arial" w:eastAsia="Batang" w:hAnsi="Arial" w:cs="Arial"/>
                <w:b/>
                <w:sz w:val="18"/>
                <w:szCs w:val="18"/>
                <w:lang w:eastAsia="ko-KR"/>
              </w:rPr>
              <w:t>5</w:t>
            </w:r>
          </w:p>
        </w:tc>
        <w:tc>
          <w:tcPr>
            <w:tcW w:w="1060" w:type="dxa"/>
            <w:tcBorders>
              <w:top w:val="single" w:sz="4" w:space="0" w:color="auto"/>
              <w:bottom w:val="single" w:sz="4" w:space="0" w:color="auto"/>
            </w:tcBorders>
            <w:vAlign w:val="center"/>
          </w:tcPr>
          <w:p w14:paraId="1C04B65B" w14:textId="1E6C0005" w:rsidR="00294FD1" w:rsidRPr="00DA53C4" w:rsidRDefault="00ED147E">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4.9</w:t>
            </w:r>
          </w:p>
        </w:tc>
        <w:tc>
          <w:tcPr>
            <w:tcW w:w="850" w:type="dxa"/>
            <w:tcBorders>
              <w:top w:val="single" w:sz="4" w:space="0" w:color="auto"/>
              <w:bottom w:val="single" w:sz="4" w:space="0" w:color="auto"/>
            </w:tcBorders>
            <w:noWrap/>
            <w:vAlign w:val="center"/>
          </w:tcPr>
          <w:p w14:paraId="7BD4932D" w14:textId="1E15E875" w:rsidR="00294FD1" w:rsidRPr="00DA53C4" w:rsidRDefault="007A7EDA">
            <w:pPr>
              <w:tabs>
                <w:tab w:val="decimal" w:pos="684"/>
              </w:tabs>
              <w:overflowPunct w:val="0"/>
              <w:autoSpaceDE w:val="0"/>
              <w:autoSpaceDN w:val="0"/>
              <w:adjustRightInd w:val="0"/>
              <w:spacing w:after="0" w:line="240" w:lineRule="auto"/>
              <w:jc w:val="right"/>
              <w:textAlignment w:val="baseline"/>
              <w:rPr>
                <w:rFonts w:ascii="Arial" w:eastAsia="Batang" w:hAnsi="Arial" w:cs="Arial"/>
                <w:b/>
                <w:sz w:val="18"/>
                <w:szCs w:val="18"/>
                <w:lang w:eastAsia="ko-KR"/>
              </w:rPr>
            </w:pPr>
            <w:r w:rsidRPr="00DA53C4">
              <w:rPr>
                <w:rFonts w:ascii="Arial" w:eastAsia="Batang" w:hAnsi="Arial" w:cs="Arial"/>
                <w:b/>
                <w:sz w:val="18"/>
                <w:szCs w:val="18"/>
                <w:lang w:eastAsia="ko-KR"/>
              </w:rPr>
              <w:t>2</w:t>
            </w:r>
            <w:r w:rsidR="0027061B" w:rsidRPr="00DA53C4">
              <w:rPr>
                <w:rFonts w:ascii="Arial" w:eastAsia="Batang" w:hAnsi="Arial" w:cs="Arial"/>
                <w:b/>
                <w:sz w:val="18"/>
                <w:szCs w:val="18"/>
                <w:lang w:eastAsia="ko-KR"/>
              </w:rPr>
              <w:t>29.</w:t>
            </w:r>
            <w:r w:rsidR="00B22060" w:rsidRPr="00DA53C4">
              <w:rPr>
                <w:rFonts w:ascii="Arial" w:eastAsia="Batang" w:hAnsi="Arial" w:cs="Arial"/>
                <w:b/>
                <w:sz w:val="18"/>
                <w:szCs w:val="18"/>
                <w:lang w:eastAsia="ko-KR"/>
              </w:rPr>
              <w:t>4</w:t>
            </w:r>
          </w:p>
        </w:tc>
      </w:tr>
    </w:tbl>
    <w:p w14:paraId="37635ECC" w14:textId="77777777" w:rsidR="00294FD1" w:rsidRPr="00A44138" w:rsidRDefault="00294FD1" w:rsidP="00294FD1">
      <w:pPr>
        <w:rPr>
          <w:rFonts w:ascii="Arial" w:hAnsi="Arial"/>
        </w:rPr>
      </w:pPr>
    </w:p>
    <w:p w14:paraId="7A388D13" w14:textId="77777777" w:rsidR="00294FD1" w:rsidRPr="00A44138" w:rsidRDefault="00294FD1" w:rsidP="00294FD1">
      <w:pPr>
        <w:pageBreakBefore/>
        <w:overflowPunct w:val="0"/>
        <w:autoSpaceDE w:val="0"/>
        <w:autoSpaceDN w:val="0"/>
        <w:adjustRightInd w:val="0"/>
        <w:spacing w:after="0" w:line="240" w:lineRule="auto"/>
        <w:jc w:val="both"/>
        <w:textAlignment w:val="baseline"/>
        <w:rPr>
          <w:rFonts w:ascii="Arial" w:eastAsia="Batang" w:hAnsi="Arial" w:cs="Arial"/>
          <w:b/>
          <w:sz w:val="26"/>
          <w:szCs w:val="20"/>
        </w:rPr>
      </w:pPr>
      <w:r w:rsidRPr="00A44138">
        <w:rPr>
          <w:rFonts w:ascii="Arial" w:eastAsia="Batang" w:hAnsi="Arial" w:cs="Arial"/>
          <w:b/>
          <w:sz w:val="26"/>
          <w:szCs w:val="20"/>
        </w:rPr>
        <w:lastRenderedPageBreak/>
        <w:t>Consolidated statement of cash flows</w:t>
      </w:r>
    </w:p>
    <w:p w14:paraId="6689115A" w14:textId="4D81DB06"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eastAsia="Batang" w:hAnsi="Arial" w:cs="Arial"/>
          <w:i/>
          <w:sz w:val="20"/>
          <w:szCs w:val="20"/>
        </w:rPr>
      </w:pPr>
      <w:r w:rsidRPr="00A44138">
        <w:rPr>
          <w:rFonts w:ascii="Arial" w:eastAsia="Batang" w:hAnsi="Arial" w:cs="Arial"/>
          <w:i/>
          <w:sz w:val="20"/>
          <w:szCs w:val="20"/>
        </w:rPr>
        <w:t>for the six months ended 30 June 202</w:t>
      </w:r>
      <w:r w:rsidR="004424BD">
        <w:rPr>
          <w:rFonts w:ascii="Arial" w:eastAsia="Batang" w:hAnsi="Arial" w:cs="Arial"/>
          <w:i/>
          <w:sz w:val="20"/>
          <w:szCs w:val="20"/>
        </w:rPr>
        <w:t>5</w:t>
      </w:r>
      <w:r w:rsidRPr="00A44138">
        <w:rPr>
          <w:rFonts w:ascii="Arial" w:eastAsia="Batang" w:hAnsi="Arial" w:cs="Arial"/>
          <w:i/>
          <w:sz w:val="20"/>
          <w:szCs w:val="20"/>
        </w:rPr>
        <w:t xml:space="preserve"> and 30 June 202</w:t>
      </w:r>
      <w:r w:rsidR="004424BD">
        <w:rPr>
          <w:rFonts w:ascii="Arial" w:eastAsia="Batang" w:hAnsi="Arial" w:cs="Arial"/>
          <w:i/>
          <w:sz w:val="20"/>
          <w:szCs w:val="20"/>
        </w:rPr>
        <w:t>4</w:t>
      </w:r>
    </w:p>
    <w:p w14:paraId="336BA8DA" w14:textId="77777777"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eastAsia="Batang" w:hAnsi="Arial" w:cs="Arial"/>
          <w:i/>
          <w:color w:val="FF0000"/>
          <w:sz w:val="20"/>
          <w:szCs w:val="20"/>
        </w:rPr>
      </w:pPr>
    </w:p>
    <w:tbl>
      <w:tblPr>
        <w:tblW w:w="9084" w:type="dxa"/>
        <w:tblInd w:w="8" w:type="dxa"/>
        <w:tblLayout w:type="fixed"/>
        <w:tblCellMar>
          <w:left w:w="0" w:type="dxa"/>
          <w:right w:w="0" w:type="dxa"/>
        </w:tblCellMar>
        <w:tblLook w:val="0000" w:firstRow="0" w:lastRow="0" w:firstColumn="0" w:lastColumn="0" w:noHBand="0" w:noVBand="0"/>
      </w:tblPr>
      <w:tblGrid>
        <w:gridCol w:w="4812"/>
        <w:gridCol w:w="567"/>
        <w:gridCol w:w="992"/>
        <w:gridCol w:w="28"/>
        <w:gridCol w:w="255"/>
        <w:gridCol w:w="1154"/>
        <w:gridCol w:w="1276"/>
      </w:tblGrid>
      <w:tr w:rsidR="00294FD1" w:rsidRPr="00A44138" w14:paraId="7957A26C" w14:textId="77777777">
        <w:tc>
          <w:tcPr>
            <w:tcW w:w="4812" w:type="dxa"/>
            <w:vAlign w:val="bottom"/>
          </w:tcPr>
          <w:p w14:paraId="4439700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color w:val="FF0000"/>
                <w:sz w:val="18"/>
                <w:szCs w:val="18"/>
                <w:lang w:eastAsia="ko-KR"/>
              </w:rPr>
            </w:pPr>
          </w:p>
        </w:tc>
        <w:tc>
          <w:tcPr>
            <w:tcW w:w="567" w:type="dxa"/>
            <w:vAlign w:val="bottom"/>
          </w:tcPr>
          <w:p w14:paraId="6A8BF5FD"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right="142"/>
              <w:rPr>
                <w:rFonts w:ascii="Arial" w:eastAsia="Batang" w:hAnsi="Arial" w:cs="Arial"/>
                <w:i/>
                <w:color w:val="FF0000"/>
                <w:sz w:val="18"/>
                <w:szCs w:val="18"/>
                <w:lang w:eastAsia="ko-KR"/>
              </w:rPr>
            </w:pPr>
          </w:p>
        </w:tc>
        <w:tc>
          <w:tcPr>
            <w:tcW w:w="992" w:type="dxa"/>
            <w:vAlign w:val="bottom"/>
          </w:tcPr>
          <w:p w14:paraId="1668DA42"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eastAsia="Batang" w:hAnsi="Arial" w:cs="Arial"/>
                <w:b/>
                <w:color w:val="FF0000"/>
                <w:sz w:val="18"/>
                <w:szCs w:val="18"/>
                <w:lang w:eastAsia="ko-KR"/>
              </w:rPr>
            </w:pPr>
          </w:p>
        </w:tc>
        <w:tc>
          <w:tcPr>
            <w:tcW w:w="28" w:type="dxa"/>
            <w:vAlign w:val="bottom"/>
          </w:tcPr>
          <w:p w14:paraId="4F89C64E"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eastAsia="Batang" w:hAnsi="Arial" w:cs="Arial"/>
                <w:b/>
                <w:color w:val="FF0000"/>
                <w:sz w:val="18"/>
                <w:szCs w:val="18"/>
                <w:lang w:eastAsia="ko-KR"/>
              </w:rPr>
            </w:pPr>
          </w:p>
        </w:tc>
        <w:tc>
          <w:tcPr>
            <w:tcW w:w="1409" w:type="dxa"/>
            <w:gridSpan w:val="2"/>
          </w:tcPr>
          <w:p w14:paraId="73897E3E"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sz w:val="18"/>
              </w:rPr>
            </w:pPr>
          </w:p>
        </w:tc>
        <w:tc>
          <w:tcPr>
            <w:tcW w:w="1276" w:type="dxa"/>
          </w:tcPr>
          <w:p w14:paraId="7CBCFD8A"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color w:val="FF0000"/>
                <w:sz w:val="18"/>
              </w:rPr>
            </w:pPr>
          </w:p>
        </w:tc>
      </w:tr>
      <w:tr w:rsidR="00294FD1" w:rsidRPr="00A44138" w14:paraId="6F5E1D23" w14:textId="77777777">
        <w:tc>
          <w:tcPr>
            <w:tcW w:w="4812" w:type="dxa"/>
            <w:vAlign w:val="bottom"/>
          </w:tcPr>
          <w:p w14:paraId="31FEFCD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color w:val="FF0000"/>
                <w:sz w:val="18"/>
                <w:szCs w:val="18"/>
                <w:lang w:eastAsia="ko-KR"/>
              </w:rPr>
            </w:pPr>
          </w:p>
        </w:tc>
        <w:tc>
          <w:tcPr>
            <w:tcW w:w="567" w:type="dxa"/>
            <w:vAlign w:val="bottom"/>
          </w:tcPr>
          <w:p w14:paraId="1E36F52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ind w:right="142"/>
              <w:rPr>
                <w:rFonts w:ascii="Arial" w:eastAsia="Batang" w:hAnsi="Arial" w:cs="Arial"/>
                <w:color w:val="FF0000"/>
                <w:sz w:val="18"/>
                <w:szCs w:val="18"/>
                <w:lang w:eastAsia="ko-KR"/>
              </w:rPr>
            </w:pPr>
          </w:p>
        </w:tc>
        <w:tc>
          <w:tcPr>
            <w:tcW w:w="992" w:type="dxa"/>
            <w:vAlign w:val="bottom"/>
          </w:tcPr>
          <w:p w14:paraId="3D68080D"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eastAsia="Batang" w:hAnsi="Arial" w:cs="Arial"/>
                <w:b/>
                <w:color w:val="FF0000"/>
                <w:sz w:val="18"/>
                <w:szCs w:val="18"/>
                <w:lang w:eastAsia="ko-KR"/>
              </w:rPr>
            </w:pPr>
          </w:p>
        </w:tc>
        <w:tc>
          <w:tcPr>
            <w:tcW w:w="28" w:type="dxa"/>
            <w:vAlign w:val="bottom"/>
          </w:tcPr>
          <w:p w14:paraId="5B09B29D" w14:textId="77777777" w:rsidR="00294FD1" w:rsidRPr="00A44138" w:rsidRDefault="00294FD1">
            <w:pPr>
              <w:tabs>
                <w:tab w:val="left" w:pos="709"/>
                <w:tab w:val="decimal" w:pos="1015"/>
                <w:tab w:val="left" w:pos="1559"/>
                <w:tab w:val="left" w:pos="2268"/>
                <w:tab w:val="left" w:pos="2977"/>
                <w:tab w:val="left" w:pos="3686"/>
                <w:tab w:val="left" w:pos="4394"/>
                <w:tab w:val="right" w:pos="8789"/>
              </w:tabs>
              <w:spacing w:after="0" w:line="260" w:lineRule="atLeast"/>
              <w:rPr>
                <w:rFonts w:ascii="Arial" w:eastAsia="Batang" w:hAnsi="Arial" w:cs="Arial"/>
                <w:b/>
                <w:color w:val="FF0000"/>
                <w:sz w:val="18"/>
                <w:szCs w:val="18"/>
                <w:lang w:eastAsia="ko-KR"/>
              </w:rPr>
            </w:pPr>
          </w:p>
        </w:tc>
        <w:tc>
          <w:tcPr>
            <w:tcW w:w="1409" w:type="dxa"/>
            <w:gridSpan w:val="2"/>
          </w:tcPr>
          <w:p w14:paraId="1E160D59"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sz w:val="18"/>
              </w:rPr>
            </w:pPr>
          </w:p>
        </w:tc>
        <w:tc>
          <w:tcPr>
            <w:tcW w:w="1276" w:type="dxa"/>
          </w:tcPr>
          <w:p w14:paraId="4F0AE0C7" w14:textId="77777777" w:rsidR="00294FD1" w:rsidRPr="00A44138" w:rsidRDefault="00294FD1">
            <w:pPr>
              <w:tabs>
                <w:tab w:val="decimal" w:pos="1015"/>
                <w:tab w:val="left" w:pos="1559"/>
                <w:tab w:val="left" w:pos="2268"/>
                <w:tab w:val="left" w:pos="2977"/>
                <w:tab w:val="left" w:pos="3686"/>
                <w:tab w:val="left" w:pos="4394"/>
                <w:tab w:val="right" w:pos="8789"/>
              </w:tabs>
              <w:spacing w:after="0" w:line="260" w:lineRule="atLeast"/>
              <w:jc w:val="right"/>
              <w:rPr>
                <w:rFonts w:ascii="Arial" w:hAnsi="Arial"/>
                <w:color w:val="FF0000"/>
                <w:sz w:val="18"/>
              </w:rPr>
            </w:pPr>
          </w:p>
        </w:tc>
      </w:tr>
      <w:tr w:rsidR="004424BD" w:rsidRPr="00A44138" w14:paraId="5E6CEEBA" w14:textId="77777777">
        <w:tc>
          <w:tcPr>
            <w:tcW w:w="4812" w:type="dxa"/>
            <w:vAlign w:val="center"/>
          </w:tcPr>
          <w:p w14:paraId="0890C8AC"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b/>
                <w:color w:val="FF0000"/>
                <w:sz w:val="18"/>
                <w:szCs w:val="20"/>
              </w:rPr>
            </w:pPr>
          </w:p>
        </w:tc>
        <w:tc>
          <w:tcPr>
            <w:tcW w:w="567" w:type="dxa"/>
            <w:vAlign w:val="center"/>
          </w:tcPr>
          <w:p w14:paraId="356F12D3"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 w:val="18"/>
                <w:szCs w:val="18"/>
                <w:lang w:eastAsia="ko-KR"/>
              </w:rPr>
            </w:pPr>
          </w:p>
        </w:tc>
        <w:tc>
          <w:tcPr>
            <w:tcW w:w="992" w:type="dxa"/>
            <w:vMerge w:val="restart"/>
            <w:vAlign w:val="center"/>
          </w:tcPr>
          <w:p w14:paraId="0132062B" w14:textId="34C8D166"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r w:rsidRPr="00A44138">
              <w:rPr>
                <w:rFonts w:ascii="Arial" w:eastAsia="Batang" w:hAnsi="Arial" w:cs="Arial"/>
                <w:bCs/>
                <w:i/>
                <w:sz w:val="18"/>
                <w:szCs w:val="18"/>
                <w:lang w:eastAsia="ko-KR"/>
              </w:rPr>
              <w:t>Note</w:t>
            </w:r>
          </w:p>
        </w:tc>
        <w:tc>
          <w:tcPr>
            <w:tcW w:w="28" w:type="dxa"/>
            <w:vAlign w:val="bottom"/>
          </w:tcPr>
          <w:p w14:paraId="7723471B"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rPr>
                <w:rFonts w:ascii="Arial" w:eastAsia="Batang" w:hAnsi="Arial" w:cs="Arial"/>
                <w:b/>
                <w:i/>
                <w:color w:val="FF0000"/>
                <w:sz w:val="18"/>
                <w:szCs w:val="18"/>
                <w:lang w:eastAsia="ko-KR"/>
              </w:rPr>
            </w:pPr>
          </w:p>
        </w:tc>
        <w:tc>
          <w:tcPr>
            <w:tcW w:w="1409" w:type="dxa"/>
            <w:gridSpan w:val="2"/>
            <w:vAlign w:val="center"/>
          </w:tcPr>
          <w:p w14:paraId="1F6BCC73" w14:textId="2F88E17F" w:rsidR="004424BD" w:rsidRPr="00A44138" w:rsidRDefault="004424BD" w:rsidP="004424BD">
            <w:pPr>
              <w:tabs>
                <w:tab w:val="decimal" w:pos="1015"/>
                <w:tab w:val="left" w:pos="1559"/>
                <w:tab w:val="left" w:pos="2268"/>
                <w:tab w:val="left" w:pos="2977"/>
                <w:tab w:val="left" w:pos="3686"/>
                <w:tab w:val="left" w:pos="4394"/>
                <w:tab w:val="right" w:pos="8789"/>
              </w:tabs>
              <w:spacing w:after="0" w:line="260" w:lineRule="atLeast"/>
              <w:jc w:val="right"/>
              <w:rPr>
                <w:rFonts w:ascii="Arial" w:hAnsi="Arial"/>
                <w:b/>
                <w:sz w:val="18"/>
              </w:rPr>
            </w:pPr>
            <w:r w:rsidRPr="00A44138">
              <w:rPr>
                <w:rFonts w:ascii="Arial" w:hAnsi="Arial"/>
                <w:b/>
                <w:sz w:val="18"/>
              </w:rPr>
              <w:t>202</w:t>
            </w:r>
            <w:r>
              <w:rPr>
                <w:rFonts w:ascii="Arial" w:hAnsi="Arial"/>
                <w:b/>
                <w:sz w:val="18"/>
              </w:rPr>
              <w:t>5</w:t>
            </w:r>
          </w:p>
        </w:tc>
        <w:tc>
          <w:tcPr>
            <w:tcW w:w="1276" w:type="dxa"/>
            <w:vAlign w:val="center"/>
          </w:tcPr>
          <w:p w14:paraId="058F1D8A" w14:textId="56FC0F18" w:rsidR="004424BD" w:rsidRPr="005E7A81" w:rsidRDefault="004424BD" w:rsidP="004424BD">
            <w:pPr>
              <w:tabs>
                <w:tab w:val="decimal" w:pos="1015"/>
                <w:tab w:val="left" w:pos="1559"/>
                <w:tab w:val="left" w:pos="2268"/>
                <w:tab w:val="left" w:pos="2977"/>
                <w:tab w:val="left" w:pos="3686"/>
                <w:tab w:val="left" w:pos="4394"/>
                <w:tab w:val="right" w:pos="8789"/>
              </w:tabs>
              <w:spacing w:after="0" w:line="260" w:lineRule="atLeast"/>
              <w:jc w:val="right"/>
              <w:rPr>
                <w:rFonts w:ascii="Arial" w:hAnsi="Arial"/>
                <w:bCs/>
                <w:sz w:val="18"/>
              </w:rPr>
            </w:pPr>
            <w:r w:rsidRPr="005E7A81">
              <w:rPr>
                <w:rFonts w:ascii="Arial" w:hAnsi="Arial"/>
                <w:bCs/>
                <w:sz w:val="18"/>
              </w:rPr>
              <w:t>2024</w:t>
            </w:r>
          </w:p>
        </w:tc>
      </w:tr>
      <w:tr w:rsidR="004424BD" w:rsidRPr="00A44138" w14:paraId="1FA3B6FA" w14:textId="77777777">
        <w:tc>
          <w:tcPr>
            <w:tcW w:w="4812" w:type="dxa"/>
            <w:vAlign w:val="center"/>
          </w:tcPr>
          <w:p w14:paraId="140F4D3C"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b/>
                <w:color w:val="FF0000"/>
                <w:sz w:val="18"/>
                <w:szCs w:val="20"/>
              </w:rPr>
            </w:pPr>
          </w:p>
        </w:tc>
        <w:tc>
          <w:tcPr>
            <w:tcW w:w="567" w:type="dxa"/>
            <w:vAlign w:val="center"/>
          </w:tcPr>
          <w:p w14:paraId="2A12AD59"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 w:val="18"/>
                <w:szCs w:val="18"/>
                <w:lang w:eastAsia="ko-KR"/>
              </w:rPr>
            </w:pPr>
          </w:p>
        </w:tc>
        <w:tc>
          <w:tcPr>
            <w:tcW w:w="992" w:type="dxa"/>
            <w:vMerge/>
            <w:vAlign w:val="center"/>
          </w:tcPr>
          <w:p w14:paraId="2990EBCD" w14:textId="1E82BD85"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color w:val="FF0000"/>
                <w:sz w:val="18"/>
                <w:szCs w:val="18"/>
                <w:lang w:eastAsia="ko-KR"/>
              </w:rPr>
            </w:pPr>
          </w:p>
        </w:tc>
        <w:tc>
          <w:tcPr>
            <w:tcW w:w="283" w:type="dxa"/>
            <w:gridSpan w:val="2"/>
            <w:vAlign w:val="center"/>
          </w:tcPr>
          <w:p w14:paraId="37B2E15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sz w:val="18"/>
              </w:rPr>
            </w:pPr>
          </w:p>
        </w:tc>
        <w:tc>
          <w:tcPr>
            <w:tcW w:w="1154" w:type="dxa"/>
            <w:vAlign w:val="center"/>
          </w:tcPr>
          <w:p w14:paraId="647C1747" w14:textId="77777777" w:rsidR="004424BD" w:rsidRPr="00A44138"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
                <w:sz w:val="18"/>
              </w:rPr>
            </w:pPr>
            <w:r w:rsidRPr="00A44138">
              <w:rPr>
                <w:rFonts w:ascii="Arial" w:hAnsi="Arial"/>
                <w:b/>
                <w:sz w:val="18"/>
              </w:rPr>
              <w:t>£m</w:t>
            </w:r>
          </w:p>
        </w:tc>
        <w:tc>
          <w:tcPr>
            <w:tcW w:w="1276" w:type="dxa"/>
            <w:vAlign w:val="center"/>
          </w:tcPr>
          <w:p w14:paraId="0795F9FB" w14:textId="7427FA72"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hAnsi="Arial"/>
                <w:bCs/>
                <w:sz w:val="18"/>
              </w:rPr>
              <w:t>£m</w:t>
            </w:r>
          </w:p>
        </w:tc>
      </w:tr>
      <w:tr w:rsidR="004424BD" w:rsidRPr="00A44138" w14:paraId="69DE2657" w14:textId="77777777">
        <w:tc>
          <w:tcPr>
            <w:tcW w:w="4812" w:type="dxa"/>
            <w:vAlign w:val="center"/>
          </w:tcPr>
          <w:p w14:paraId="66AF4F6A"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b/>
                <w:sz w:val="18"/>
                <w:szCs w:val="20"/>
              </w:rPr>
              <w:t>Operating activities</w:t>
            </w:r>
          </w:p>
        </w:tc>
        <w:tc>
          <w:tcPr>
            <w:tcW w:w="567" w:type="dxa"/>
            <w:vAlign w:val="center"/>
          </w:tcPr>
          <w:p w14:paraId="6E8670F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 w:val="18"/>
                <w:szCs w:val="18"/>
                <w:lang w:eastAsia="ko-KR"/>
              </w:rPr>
            </w:pPr>
          </w:p>
        </w:tc>
        <w:tc>
          <w:tcPr>
            <w:tcW w:w="992" w:type="dxa"/>
            <w:vAlign w:val="center"/>
          </w:tcPr>
          <w:p w14:paraId="36A9B829"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color w:val="FF0000"/>
                <w:sz w:val="18"/>
                <w:szCs w:val="18"/>
                <w:lang w:eastAsia="ko-KR"/>
              </w:rPr>
            </w:pPr>
          </w:p>
        </w:tc>
        <w:tc>
          <w:tcPr>
            <w:tcW w:w="283" w:type="dxa"/>
            <w:gridSpan w:val="2"/>
            <w:vAlign w:val="bottom"/>
          </w:tcPr>
          <w:p w14:paraId="280AC859"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color w:val="FF0000"/>
                <w:sz w:val="18"/>
              </w:rPr>
            </w:pPr>
          </w:p>
        </w:tc>
        <w:tc>
          <w:tcPr>
            <w:tcW w:w="1154" w:type="dxa"/>
            <w:vAlign w:val="center"/>
          </w:tcPr>
          <w:p w14:paraId="40B4D4CD" w14:textId="77777777" w:rsidR="004424BD" w:rsidRPr="00A44138"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bCs/>
                <w:color w:val="FF0000"/>
                <w:sz w:val="18"/>
                <w:szCs w:val="18"/>
              </w:rPr>
            </w:pPr>
          </w:p>
        </w:tc>
        <w:tc>
          <w:tcPr>
            <w:tcW w:w="1276" w:type="dxa"/>
            <w:vAlign w:val="center"/>
          </w:tcPr>
          <w:p w14:paraId="74548779"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p>
        </w:tc>
      </w:tr>
      <w:tr w:rsidR="004424BD" w:rsidRPr="00A44138" w14:paraId="100710C5" w14:textId="77777777" w:rsidTr="00324A0B">
        <w:tc>
          <w:tcPr>
            <w:tcW w:w="4812" w:type="dxa"/>
            <w:vAlign w:val="center"/>
          </w:tcPr>
          <w:p w14:paraId="0A71BB57" w14:textId="4E47FF39"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Pr>
                <w:rFonts w:ascii="Arial" w:eastAsia="Batang" w:hAnsi="Arial" w:cs="Arial"/>
                <w:sz w:val="18"/>
                <w:szCs w:val="20"/>
              </w:rPr>
              <w:t xml:space="preserve"> </w:t>
            </w:r>
            <w:r w:rsidRPr="00A44138">
              <w:rPr>
                <w:rFonts w:ascii="Arial" w:eastAsia="Batang" w:hAnsi="Arial" w:cs="Arial"/>
                <w:sz w:val="18"/>
                <w:szCs w:val="20"/>
              </w:rPr>
              <w:t>Profit for the period</w:t>
            </w:r>
          </w:p>
        </w:tc>
        <w:tc>
          <w:tcPr>
            <w:tcW w:w="567" w:type="dxa"/>
            <w:vAlign w:val="center"/>
          </w:tcPr>
          <w:p w14:paraId="482CA304"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 w:val="18"/>
                <w:szCs w:val="18"/>
                <w:lang w:eastAsia="ko-KR"/>
              </w:rPr>
            </w:pPr>
          </w:p>
        </w:tc>
        <w:tc>
          <w:tcPr>
            <w:tcW w:w="992" w:type="dxa"/>
            <w:vAlign w:val="center"/>
          </w:tcPr>
          <w:p w14:paraId="7376A2F2"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color w:val="FF0000"/>
                <w:sz w:val="18"/>
                <w:szCs w:val="18"/>
                <w:lang w:eastAsia="ko-KR"/>
              </w:rPr>
            </w:pPr>
          </w:p>
        </w:tc>
        <w:tc>
          <w:tcPr>
            <w:tcW w:w="283" w:type="dxa"/>
            <w:gridSpan w:val="2"/>
            <w:vAlign w:val="bottom"/>
          </w:tcPr>
          <w:p w14:paraId="29561D98"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color w:val="FF0000"/>
                <w:sz w:val="18"/>
              </w:rPr>
            </w:pPr>
          </w:p>
        </w:tc>
        <w:tc>
          <w:tcPr>
            <w:tcW w:w="1154" w:type="dxa"/>
            <w:vAlign w:val="center"/>
          </w:tcPr>
          <w:p w14:paraId="67BA1779" w14:textId="1D2AF77C" w:rsidR="004424BD" w:rsidRPr="00DA53C4" w:rsidRDefault="000E322E"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4</w:t>
            </w:r>
            <w:r w:rsidR="00AB59CB" w:rsidRPr="00DA53C4">
              <w:rPr>
                <w:rFonts w:ascii="Arial" w:eastAsia="Batang" w:hAnsi="Arial" w:cs="Arial"/>
                <w:b/>
                <w:sz w:val="18"/>
                <w:szCs w:val="18"/>
              </w:rPr>
              <w:t>5</w:t>
            </w:r>
            <w:r w:rsidRPr="00DA53C4">
              <w:rPr>
                <w:rFonts w:ascii="Arial" w:eastAsia="Batang" w:hAnsi="Arial" w:cs="Arial"/>
                <w:b/>
                <w:sz w:val="18"/>
                <w:szCs w:val="18"/>
              </w:rPr>
              <w:t>.</w:t>
            </w:r>
            <w:r w:rsidR="00AB59CB" w:rsidRPr="00DA53C4">
              <w:rPr>
                <w:rFonts w:ascii="Arial" w:eastAsia="Batang" w:hAnsi="Arial" w:cs="Arial"/>
                <w:b/>
                <w:sz w:val="18"/>
                <w:szCs w:val="18"/>
              </w:rPr>
              <w:t>6</w:t>
            </w:r>
          </w:p>
        </w:tc>
        <w:tc>
          <w:tcPr>
            <w:tcW w:w="1276" w:type="dxa"/>
            <w:vAlign w:val="center"/>
          </w:tcPr>
          <w:p w14:paraId="69237331" w14:textId="2A05A00F"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44.1</w:t>
            </w:r>
          </w:p>
        </w:tc>
      </w:tr>
      <w:tr w:rsidR="004424BD" w:rsidRPr="00A44138" w14:paraId="5AE1D7BE" w14:textId="77777777" w:rsidTr="00324A0B">
        <w:trPr>
          <w:trHeight w:val="510"/>
        </w:trPr>
        <w:tc>
          <w:tcPr>
            <w:tcW w:w="4812" w:type="dxa"/>
            <w:vAlign w:val="center"/>
          </w:tcPr>
          <w:p w14:paraId="7A1B139B"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i/>
                <w:sz w:val="18"/>
                <w:szCs w:val="20"/>
              </w:rPr>
            </w:pPr>
            <w:r w:rsidRPr="00A44138">
              <w:rPr>
                <w:rFonts w:ascii="Arial" w:eastAsia="Batang" w:hAnsi="Arial" w:cs="Arial"/>
                <w:i/>
                <w:sz w:val="18"/>
                <w:szCs w:val="20"/>
              </w:rPr>
              <w:t>Adjustments to reconcile Group profit to net cash flow from operating activities:</w:t>
            </w:r>
          </w:p>
        </w:tc>
        <w:tc>
          <w:tcPr>
            <w:tcW w:w="567" w:type="dxa"/>
            <w:vAlign w:val="center"/>
          </w:tcPr>
          <w:p w14:paraId="7BCC0A6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 w:val="18"/>
                <w:szCs w:val="18"/>
                <w:lang w:eastAsia="ko-KR"/>
              </w:rPr>
            </w:pPr>
          </w:p>
        </w:tc>
        <w:tc>
          <w:tcPr>
            <w:tcW w:w="992" w:type="dxa"/>
            <w:vAlign w:val="center"/>
          </w:tcPr>
          <w:p w14:paraId="5DB9182B"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color w:val="FF0000"/>
                <w:sz w:val="18"/>
                <w:szCs w:val="18"/>
                <w:lang w:eastAsia="ko-KR"/>
              </w:rPr>
            </w:pPr>
          </w:p>
        </w:tc>
        <w:tc>
          <w:tcPr>
            <w:tcW w:w="283" w:type="dxa"/>
            <w:gridSpan w:val="2"/>
            <w:vAlign w:val="bottom"/>
          </w:tcPr>
          <w:p w14:paraId="20E10D5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color w:val="FF0000"/>
                <w:sz w:val="18"/>
              </w:rPr>
            </w:pPr>
          </w:p>
        </w:tc>
        <w:tc>
          <w:tcPr>
            <w:tcW w:w="1154" w:type="dxa"/>
            <w:vAlign w:val="center"/>
          </w:tcPr>
          <w:p w14:paraId="74CA0677" w14:textId="77777777" w:rsidR="004424BD" w:rsidRPr="00DA53C4"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p>
        </w:tc>
        <w:tc>
          <w:tcPr>
            <w:tcW w:w="1276" w:type="dxa"/>
            <w:vAlign w:val="center"/>
          </w:tcPr>
          <w:p w14:paraId="0566FC18"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4424BD" w:rsidRPr="00A44138" w14:paraId="5C42C244" w14:textId="77777777" w:rsidTr="00324A0B">
        <w:trPr>
          <w:trHeight w:val="260"/>
        </w:trPr>
        <w:tc>
          <w:tcPr>
            <w:tcW w:w="4812" w:type="dxa"/>
            <w:vAlign w:val="center"/>
          </w:tcPr>
          <w:p w14:paraId="251E889D"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Amortisation of intangible assets</w:t>
            </w:r>
          </w:p>
        </w:tc>
        <w:tc>
          <w:tcPr>
            <w:tcW w:w="567" w:type="dxa"/>
            <w:vAlign w:val="center"/>
          </w:tcPr>
          <w:p w14:paraId="1F6BBACA"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Cs w:val="20"/>
                <w:lang w:eastAsia="ko-KR"/>
              </w:rPr>
            </w:pPr>
          </w:p>
        </w:tc>
        <w:tc>
          <w:tcPr>
            <w:tcW w:w="992" w:type="dxa"/>
            <w:vAlign w:val="center"/>
          </w:tcPr>
          <w:p w14:paraId="02E9A35D"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color w:val="FF0000"/>
                <w:szCs w:val="20"/>
                <w:lang w:eastAsia="ko-KR"/>
              </w:rPr>
            </w:pPr>
          </w:p>
        </w:tc>
        <w:tc>
          <w:tcPr>
            <w:tcW w:w="283" w:type="dxa"/>
            <w:gridSpan w:val="2"/>
            <w:vAlign w:val="bottom"/>
          </w:tcPr>
          <w:p w14:paraId="582CE14E"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rPr>
            </w:pPr>
          </w:p>
        </w:tc>
        <w:tc>
          <w:tcPr>
            <w:tcW w:w="1154" w:type="dxa"/>
            <w:vAlign w:val="center"/>
          </w:tcPr>
          <w:p w14:paraId="4CCC41DB" w14:textId="621424D5" w:rsidR="004424BD" w:rsidRPr="00DA53C4" w:rsidRDefault="00C903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9.8</w:t>
            </w:r>
          </w:p>
        </w:tc>
        <w:tc>
          <w:tcPr>
            <w:tcW w:w="1276" w:type="dxa"/>
            <w:vAlign w:val="center"/>
          </w:tcPr>
          <w:p w14:paraId="53075B34" w14:textId="31A10B65"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10.3</w:t>
            </w:r>
          </w:p>
        </w:tc>
      </w:tr>
      <w:tr w:rsidR="004424BD" w:rsidRPr="00A44138" w14:paraId="3340ABD4" w14:textId="77777777" w:rsidTr="00324A0B">
        <w:trPr>
          <w:trHeight w:val="260"/>
        </w:trPr>
        <w:tc>
          <w:tcPr>
            <w:tcW w:w="4812" w:type="dxa"/>
            <w:vAlign w:val="center"/>
          </w:tcPr>
          <w:p w14:paraId="08238585"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Depreciation of property, plant and equipment</w:t>
            </w:r>
          </w:p>
        </w:tc>
        <w:tc>
          <w:tcPr>
            <w:tcW w:w="567" w:type="dxa"/>
            <w:vAlign w:val="center"/>
          </w:tcPr>
          <w:p w14:paraId="55C5F87C"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Cs w:val="20"/>
                <w:lang w:eastAsia="ko-KR"/>
              </w:rPr>
            </w:pPr>
          </w:p>
        </w:tc>
        <w:tc>
          <w:tcPr>
            <w:tcW w:w="992" w:type="dxa"/>
            <w:vAlign w:val="center"/>
          </w:tcPr>
          <w:p w14:paraId="26DA9D97"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color w:val="FF0000"/>
                <w:szCs w:val="20"/>
                <w:lang w:eastAsia="ko-KR"/>
              </w:rPr>
            </w:pPr>
          </w:p>
        </w:tc>
        <w:tc>
          <w:tcPr>
            <w:tcW w:w="283" w:type="dxa"/>
            <w:gridSpan w:val="2"/>
            <w:vAlign w:val="bottom"/>
          </w:tcPr>
          <w:p w14:paraId="2BDC7CF4"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rPr>
            </w:pPr>
          </w:p>
        </w:tc>
        <w:tc>
          <w:tcPr>
            <w:tcW w:w="1154" w:type="dxa"/>
            <w:vAlign w:val="center"/>
          </w:tcPr>
          <w:p w14:paraId="44B260FA" w14:textId="288F200E" w:rsidR="004424BD" w:rsidRPr="00DA53C4" w:rsidRDefault="00C903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1.9</w:t>
            </w:r>
          </w:p>
        </w:tc>
        <w:tc>
          <w:tcPr>
            <w:tcW w:w="1276" w:type="dxa"/>
            <w:vAlign w:val="center"/>
          </w:tcPr>
          <w:p w14:paraId="0A3F237A" w14:textId="2A4AA45A"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2.3</w:t>
            </w:r>
          </w:p>
        </w:tc>
      </w:tr>
      <w:tr w:rsidR="004424BD" w:rsidRPr="00A44138" w14:paraId="52BCDA29" w14:textId="77777777" w:rsidTr="00324A0B">
        <w:tc>
          <w:tcPr>
            <w:tcW w:w="4812" w:type="dxa"/>
            <w:vAlign w:val="center"/>
          </w:tcPr>
          <w:p w14:paraId="530CB9CF" w14:textId="6FD2FFBC"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18"/>
              </w:rPr>
            </w:pPr>
            <w:r w:rsidRPr="00A44138">
              <w:rPr>
                <w:rFonts w:ascii="Arial" w:eastAsia="Batang" w:hAnsi="Arial" w:cs="Arial"/>
                <w:sz w:val="18"/>
                <w:szCs w:val="18"/>
              </w:rPr>
              <w:t xml:space="preserve">  Net finance expense</w:t>
            </w:r>
          </w:p>
        </w:tc>
        <w:tc>
          <w:tcPr>
            <w:tcW w:w="567" w:type="dxa"/>
            <w:vAlign w:val="center"/>
          </w:tcPr>
          <w:p w14:paraId="2A411337"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Cs w:val="20"/>
                <w:lang w:eastAsia="ko-KR"/>
              </w:rPr>
            </w:pPr>
          </w:p>
        </w:tc>
        <w:tc>
          <w:tcPr>
            <w:tcW w:w="992" w:type="dxa"/>
            <w:vAlign w:val="center"/>
          </w:tcPr>
          <w:p w14:paraId="1D8AF6BB"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color w:val="FF0000"/>
                <w:szCs w:val="20"/>
                <w:lang w:eastAsia="ko-KR"/>
              </w:rPr>
            </w:pPr>
          </w:p>
        </w:tc>
        <w:tc>
          <w:tcPr>
            <w:tcW w:w="283" w:type="dxa"/>
            <w:gridSpan w:val="2"/>
            <w:vAlign w:val="bottom"/>
          </w:tcPr>
          <w:p w14:paraId="77281DED"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rPr>
            </w:pPr>
          </w:p>
        </w:tc>
        <w:tc>
          <w:tcPr>
            <w:tcW w:w="1154" w:type="dxa"/>
            <w:vAlign w:val="center"/>
          </w:tcPr>
          <w:p w14:paraId="5910FD90" w14:textId="1CA7D440" w:rsidR="004424BD" w:rsidRPr="00DA53C4" w:rsidRDefault="007972B3"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1.4</w:t>
            </w:r>
          </w:p>
        </w:tc>
        <w:tc>
          <w:tcPr>
            <w:tcW w:w="1276" w:type="dxa"/>
            <w:vAlign w:val="center"/>
          </w:tcPr>
          <w:p w14:paraId="7BDC6FE0" w14:textId="05035F8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2.3</w:t>
            </w:r>
          </w:p>
        </w:tc>
      </w:tr>
      <w:tr w:rsidR="004424BD" w:rsidRPr="00A44138" w14:paraId="2A75B53D" w14:textId="77777777" w:rsidTr="00324A0B">
        <w:tc>
          <w:tcPr>
            <w:tcW w:w="4812" w:type="dxa"/>
            <w:vAlign w:val="center"/>
          </w:tcPr>
          <w:p w14:paraId="320A456A"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Equity settled share-based payment transactions</w:t>
            </w:r>
          </w:p>
        </w:tc>
        <w:tc>
          <w:tcPr>
            <w:tcW w:w="567" w:type="dxa"/>
            <w:vAlign w:val="center"/>
          </w:tcPr>
          <w:p w14:paraId="4F15CA46"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Cs w:val="20"/>
                <w:lang w:eastAsia="ko-KR"/>
              </w:rPr>
            </w:pPr>
          </w:p>
        </w:tc>
        <w:tc>
          <w:tcPr>
            <w:tcW w:w="992" w:type="dxa"/>
            <w:vAlign w:val="center"/>
          </w:tcPr>
          <w:p w14:paraId="11FDC64F"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color w:val="FF0000"/>
                <w:szCs w:val="20"/>
                <w:lang w:eastAsia="ko-KR"/>
              </w:rPr>
            </w:pPr>
          </w:p>
        </w:tc>
        <w:tc>
          <w:tcPr>
            <w:tcW w:w="283" w:type="dxa"/>
            <w:gridSpan w:val="2"/>
            <w:vAlign w:val="bottom"/>
          </w:tcPr>
          <w:p w14:paraId="4FAD873C"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rPr>
            </w:pPr>
          </w:p>
        </w:tc>
        <w:tc>
          <w:tcPr>
            <w:tcW w:w="1154" w:type="dxa"/>
            <w:vAlign w:val="center"/>
          </w:tcPr>
          <w:p w14:paraId="4F29EE06" w14:textId="09E3A3F2" w:rsidR="004424BD" w:rsidRPr="00DA53C4" w:rsidRDefault="002A3A81"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1.4</w:t>
            </w:r>
          </w:p>
        </w:tc>
        <w:tc>
          <w:tcPr>
            <w:tcW w:w="1276" w:type="dxa"/>
            <w:vAlign w:val="center"/>
          </w:tcPr>
          <w:p w14:paraId="169D453B" w14:textId="26F76FB5"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1.5</w:t>
            </w:r>
          </w:p>
        </w:tc>
      </w:tr>
      <w:tr w:rsidR="004424BD" w:rsidRPr="00A44138" w14:paraId="7CCD6DC0" w14:textId="77777777" w:rsidTr="00324A0B">
        <w:tc>
          <w:tcPr>
            <w:tcW w:w="4812" w:type="dxa"/>
            <w:vAlign w:val="center"/>
          </w:tcPr>
          <w:p w14:paraId="00B69F9C"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Taxation expense</w:t>
            </w:r>
          </w:p>
        </w:tc>
        <w:tc>
          <w:tcPr>
            <w:tcW w:w="567" w:type="dxa"/>
            <w:vAlign w:val="center"/>
          </w:tcPr>
          <w:p w14:paraId="7915CADB"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color w:val="FF0000"/>
                <w:szCs w:val="20"/>
                <w:lang w:eastAsia="ko-KR"/>
              </w:rPr>
            </w:pPr>
          </w:p>
        </w:tc>
        <w:tc>
          <w:tcPr>
            <w:tcW w:w="992" w:type="dxa"/>
            <w:vAlign w:val="center"/>
          </w:tcPr>
          <w:p w14:paraId="541433B0"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color w:val="FF0000"/>
                <w:szCs w:val="20"/>
                <w:lang w:eastAsia="ko-KR"/>
              </w:rPr>
            </w:pPr>
          </w:p>
        </w:tc>
        <w:tc>
          <w:tcPr>
            <w:tcW w:w="283" w:type="dxa"/>
            <w:gridSpan w:val="2"/>
            <w:vAlign w:val="bottom"/>
          </w:tcPr>
          <w:p w14:paraId="260FBD2F"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color w:val="FF0000"/>
              </w:rPr>
            </w:pPr>
          </w:p>
        </w:tc>
        <w:tc>
          <w:tcPr>
            <w:tcW w:w="1154" w:type="dxa"/>
            <w:vAlign w:val="center"/>
          </w:tcPr>
          <w:p w14:paraId="44D96A2C" w14:textId="1D22D1EA" w:rsidR="004424BD" w:rsidRPr="00DA53C4" w:rsidRDefault="00236042"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14.2</w:t>
            </w:r>
          </w:p>
        </w:tc>
        <w:tc>
          <w:tcPr>
            <w:tcW w:w="1276" w:type="dxa"/>
            <w:vAlign w:val="center"/>
          </w:tcPr>
          <w:p w14:paraId="63CAF95E" w14:textId="7982A6CF"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14.0</w:t>
            </w:r>
          </w:p>
        </w:tc>
      </w:tr>
      <w:tr w:rsidR="004424BD" w:rsidRPr="00A44138" w14:paraId="19A78B50" w14:textId="77777777" w:rsidTr="00324A0B">
        <w:tc>
          <w:tcPr>
            <w:tcW w:w="4812" w:type="dxa"/>
            <w:vAlign w:val="center"/>
          </w:tcPr>
          <w:p w14:paraId="6FF86073"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Changes in trade and other receivables</w:t>
            </w:r>
          </w:p>
        </w:tc>
        <w:tc>
          <w:tcPr>
            <w:tcW w:w="567" w:type="dxa"/>
            <w:vAlign w:val="center"/>
          </w:tcPr>
          <w:p w14:paraId="269905C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Cs w:val="20"/>
                <w:lang w:eastAsia="ko-KR"/>
              </w:rPr>
            </w:pPr>
          </w:p>
        </w:tc>
        <w:tc>
          <w:tcPr>
            <w:tcW w:w="992" w:type="dxa"/>
            <w:vAlign w:val="center"/>
          </w:tcPr>
          <w:p w14:paraId="57806436"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7391442E"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vAlign w:val="center"/>
          </w:tcPr>
          <w:p w14:paraId="26F18D60" w14:textId="1AA41445" w:rsidR="004424BD" w:rsidRPr="00DA53C4" w:rsidRDefault="00B968CB"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w:t>
            </w:r>
            <w:r w:rsidR="00922160" w:rsidRPr="00DA53C4">
              <w:rPr>
                <w:rFonts w:ascii="Arial" w:eastAsia="Batang" w:hAnsi="Arial" w:cs="Arial"/>
                <w:b/>
                <w:sz w:val="18"/>
                <w:szCs w:val="18"/>
              </w:rPr>
              <w:t>18.9</w:t>
            </w:r>
            <w:r w:rsidRPr="00DA53C4">
              <w:rPr>
                <w:rFonts w:ascii="Arial" w:eastAsia="Batang" w:hAnsi="Arial" w:cs="Arial"/>
                <w:b/>
                <w:sz w:val="18"/>
                <w:szCs w:val="18"/>
              </w:rPr>
              <w:t>)</w:t>
            </w:r>
          </w:p>
        </w:tc>
        <w:tc>
          <w:tcPr>
            <w:tcW w:w="1276" w:type="dxa"/>
            <w:vAlign w:val="center"/>
          </w:tcPr>
          <w:p w14:paraId="1BC96EAC" w14:textId="35D58C60"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(5.2)</w:t>
            </w:r>
          </w:p>
        </w:tc>
      </w:tr>
      <w:tr w:rsidR="004424BD" w:rsidRPr="00A44138" w14:paraId="0695B365" w14:textId="77777777" w:rsidTr="00324A0B">
        <w:tc>
          <w:tcPr>
            <w:tcW w:w="4812" w:type="dxa"/>
            <w:vAlign w:val="center"/>
          </w:tcPr>
          <w:p w14:paraId="4B9832D6"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Changes in trade and other payables</w:t>
            </w:r>
          </w:p>
        </w:tc>
        <w:tc>
          <w:tcPr>
            <w:tcW w:w="567" w:type="dxa"/>
            <w:vAlign w:val="center"/>
          </w:tcPr>
          <w:p w14:paraId="28E30D1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Cs w:val="20"/>
                <w:lang w:eastAsia="ko-KR"/>
              </w:rPr>
            </w:pPr>
          </w:p>
        </w:tc>
        <w:tc>
          <w:tcPr>
            <w:tcW w:w="992" w:type="dxa"/>
            <w:vAlign w:val="center"/>
          </w:tcPr>
          <w:p w14:paraId="297AF56B"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6D25C237"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vAlign w:val="center"/>
          </w:tcPr>
          <w:p w14:paraId="5C98A899" w14:textId="480EB552" w:rsidR="004424BD" w:rsidRPr="00DA53C4" w:rsidRDefault="00B968CB"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w:t>
            </w:r>
            <w:r w:rsidR="006A2667" w:rsidRPr="00DA53C4">
              <w:rPr>
                <w:rFonts w:ascii="Arial" w:eastAsia="Batang" w:hAnsi="Arial" w:cs="Arial"/>
                <w:b/>
                <w:sz w:val="18"/>
                <w:szCs w:val="18"/>
              </w:rPr>
              <w:t>8</w:t>
            </w:r>
          </w:p>
        </w:tc>
        <w:tc>
          <w:tcPr>
            <w:tcW w:w="1276" w:type="dxa"/>
            <w:vAlign w:val="center"/>
          </w:tcPr>
          <w:p w14:paraId="6788CFB8" w14:textId="616905BA"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(0.8)</w:t>
            </w:r>
          </w:p>
        </w:tc>
      </w:tr>
      <w:tr w:rsidR="00D57C02" w:rsidRPr="00A44138" w14:paraId="3FBE1237" w14:textId="77777777" w:rsidTr="00324A0B">
        <w:tc>
          <w:tcPr>
            <w:tcW w:w="4812" w:type="dxa"/>
            <w:vAlign w:val="center"/>
          </w:tcPr>
          <w:p w14:paraId="509B2C35" w14:textId="70F753E5" w:rsidR="00D57C02" w:rsidRPr="00A44138" w:rsidRDefault="00D57C02"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Changes in </w:t>
            </w:r>
            <w:r>
              <w:rPr>
                <w:rFonts w:ascii="Arial" w:eastAsia="Batang" w:hAnsi="Arial" w:cs="Arial"/>
                <w:sz w:val="18"/>
                <w:szCs w:val="20"/>
              </w:rPr>
              <w:t>provisions</w:t>
            </w:r>
          </w:p>
        </w:tc>
        <w:tc>
          <w:tcPr>
            <w:tcW w:w="567" w:type="dxa"/>
            <w:vAlign w:val="center"/>
          </w:tcPr>
          <w:p w14:paraId="6BFBCAB0" w14:textId="77777777" w:rsidR="00D57C02" w:rsidRPr="00A44138" w:rsidRDefault="00D57C02"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Cs w:val="20"/>
                <w:lang w:eastAsia="ko-KR"/>
              </w:rPr>
            </w:pPr>
          </w:p>
        </w:tc>
        <w:tc>
          <w:tcPr>
            <w:tcW w:w="992" w:type="dxa"/>
            <w:vAlign w:val="center"/>
          </w:tcPr>
          <w:p w14:paraId="359BAF2F" w14:textId="77777777" w:rsidR="00D57C02" w:rsidRPr="00A44138" w:rsidRDefault="00D57C02"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309C719F" w14:textId="77777777" w:rsidR="00D57C02" w:rsidRPr="00A44138" w:rsidRDefault="00D57C02"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vAlign w:val="center"/>
          </w:tcPr>
          <w:p w14:paraId="7CBFA88A" w14:textId="59E4B472" w:rsidR="00D57C02" w:rsidRPr="00DA53C4" w:rsidRDefault="00D57C02"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1.7</w:t>
            </w:r>
          </w:p>
        </w:tc>
        <w:tc>
          <w:tcPr>
            <w:tcW w:w="1276" w:type="dxa"/>
            <w:vAlign w:val="center"/>
          </w:tcPr>
          <w:p w14:paraId="5FB1B6C8" w14:textId="4234706A" w:rsidR="00D57C02" w:rsidRPr="005E7A81" w:rsidRDefault="00D57C02"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w:t>
            </w:r>
          </w:p>
        </w:tc>
      </w:tr>
      <w:tr w:rsidR="004424BD" w:rsidRPr="00A44138" w14:paraId="0C17EE8A" w14:textId="77777777" w:rsidTr="00324A0B">
        <w:tc>
          <w:tcPr>
            <w:tcW w:w="4812" w:type="dxa"/>
            <w:vAlign w:val="center"/>
          </w:tcPr>
          <w:p w14:paraId="380FCC3C" w14:textId="77777777" w:rsidR="004424BD" w:rsidRPr="00A44138" w:rsidRDefault="004424BD" w:rsidP="004424BD">
            <w:pPr>
              <w:overflowPunct w:val="0"/>
              <w:autoSpaceDE w:val="0"/>
              <w:autoSpaceDN w:val="0"/>
              <w:adjustRightInd w:val="0"/>
              <w:spacing w:after="0" w:line="240" w:lineRule="auto"/>
              <w:textAlignment w:val="baseline"/>
              <w:rPr>
                <w:rFonts w:ascii="Arial" w:eastAsia="Batang" w:hAnsi="Arial" w:cs="Arial"/>
                <w:sz w:val="18"/>
                <w:szCs w:val="20"/>
              </w:rPr>
            </w:pPr>
            <w:r w:rsidRPr="00A44138">
              <w:rPr>
                <w:rFonts w:ascii="Arial" w:eastAsia="Batang" w:hAnsi="Arial" w:cs="Arial"/>
                <w:sz w:val="18"/>
                <w:szCs w:val="20"/>
              </w:rPr>
              <w:t xml:space="preserve">  Taxation paid</w:t>
            </w:r>
          </w:p>
        </w:tc>
        <w:tc>
          <w:tcPr>
            <w:tcW w:w="567" w:type="dxa"/>
            <w:vAlign w:val="center"/>
          </w:tcPr>
          <w:p w14:paraId="511AE985"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Cs w:val="20"/>
                <w:lang w:eastAsia="ko-KR"/>
              </w:rPr>
            </w:pPr>
          </w:p>
        </w:tc>
        <w:tc>
          <w:tcPr>
            <w:tcW w:w="992" w:type="dxa"/>
            <w:vAlign w:val="center"/>
          </w:tcPr>
          <w:p w14:paraId="107D7759"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3858579E"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vAlign w:val="center"/>
          </w:tcPr>
          <w:p w14:paraId="30260A69" w14:textId="62598584" w:rsidR="004424BD" w:rsidRPr="00DA53C4" w:rsidRDefault="00FA5CCA"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(15.</w:t>
            </w:r>
            <w:r w:rsidR="00AD146C" w:rsidRPr="00DA53C4">
              <w:rPr>
                <w:rFonts w:ascii="Arial" w:eastAsia="Batang" w:hAnsi="Arial" w:cs="Arial"/>
                <w:b/>
                <w:sz w:val="18"/>
                <w:szCs w:val="18"/>
              </w:rPr>
              <w:t>2</w:t>
            </w:r>
            <w:r w:rsidRPr="00DA53C4">
              <w:rPr>
                <w:rFonts w:ascii="Arial" w:eastAsia="Batang" w:hAnsi="Arial" w:cs="Arial"/>
                <w:b/>
                <w:sz w:val="18"/>
                <w:szCs w:val="18"/>
              </w:rPr>
              <w:t>)</w:t>
            </w:r>
          </w:p>
        </w:tc>
        <w:tc>
          <w:tcPr>
            <w:tcW w:w="1276" w:type="dxa"/>
            <w:vAlign w:val="center"/>
          </w:tcPr>
          <w:p w14:paraId="3E6A38F5" w14:textId="458078ED"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(16.7)</w:t>
            </w:r>
          </w:p>
        </w:tc>
      </w:tr>
      <w:tr w:rsidR="004424BD" w:rsidRPr="00A44138" w14:paraId="05684549" w14:textId="77777777" w:rsidTr="00324A0B">
        <w:tc>
          <w:tcPr>
            <w:tcW w:w="4812" w:type="dxa"/>
            <w:vAlign w:val="center"/>
          </w:tcPr>
          <w:p w14:paraId="0D26EE51" w14:textId="77777777" w:rsidR="004424BD" w:rsidRPr="00A44138" w:rsidRDefault="004424BD" w:rsidP="004424BD">
            <w:pPr>
              <w:overflowPunct w:val="0"/>
              <w:autoSpaceDE w:val="0"/>
              <w:autoSpaceDN w:val="0"/>
              <w:adjustRightInd w:val="0"/>
              <w:spacing w:after="0" w:line="240" w:lineRule="auto"/>
              <w:ind w:left="142" w:hanging="142"/>
              <w:textAlignment w:val="baseline"/>
              <w:rPr>
                <w:rFonts w:ascii="Arial" w:eastAsia="Batang" w:hAnsi="Arial" w:cs="Arial"/>
                <w:b/>
                <w:sz w:val="18"/>
                <w:szCs w:val="20"/>
              </w:rPr>
            </w:pPr>
            <w:r w:rsidRPr="00A44138">
              <w:rPr>
                <w:rFonts w:ascii="Arial" w:eastAsia="Batang" w:hAnsi="Arial" w:cs="Arial"/>
                <w:b/>
                <w:sz w:val="18"/>
                <w:szCs w:val="20"/>
              </w:rPr>
              <w:t>Net cash flow from operating activities</w:t>
            </w:r>
          </w:p>
        </w:tc>
        <w:tc>
          <w:tcPr>
            <w:tcW w:w="567" w:type="dxa"/>
            <w:vAlign w:val="center"/>
          </w:tcPr>
          <w:p w14:paraId="29914629"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b/>
                <w:i/>
                <w:color w:val="FF0000"/>
                <w:szCs w:val="20"/>
                <w:lang w:eastAsia="ko-KR"/>
              </w:rPr>
            </w:pPr>
          </w:p>
        </w:tc>
        <w:tc>
          <w:tcPr>
            <w:tcW w:w="992" w:type="dxa"/>
            <w:vAlign w:val="center"/>
          </w:tcPr>
          <w:p w14:paraId="453D573B"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5D483F15"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tcBorders>
              <w:top w:val="single" w:sz="4" w:space="0" w:color="auto"/>
              <w:bottom w:val="single" w:sz="4" w:space="0" w:color="auto"/>
            </w:tcBorders>
            <w:vAlign w:val="center"/>
          </w:tcPr>
          <w:p w14:paraId="37A901DD" w14:textId="551C11B5" w:rsidR="004424BD" w:rsidRPr="00DA53C4" w:rsidRDefault="00A13C6E"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43.</w:t>
            </w:r>
            <w:r w:rsidR="00F84843" w:rsidRPr="00DA53C4">
              <w:rPr>
                <w:rFonts w:ascii="Arial" w:eastAsia="Batang" w:hAnsi="Arial" w:cs="Arial"/>
                <w:b/>
                <w:sz w:val="18"/>
                <w:szCs w:val="18"/>
              </w:rPr>
              <w:t>7</w:t>
            </w:r>
          </w:p>
        </w:tc>
        <w:tc>
          <w:tcPr>
            <w:tcW w:w="1276" w:type="dxa"/>
            <w:tcBorders>
              <w:top w:val="single" w:sz="4" w:space="0" w:color="auto"/>
              <w:bottom w:val="single" w:sz="4" w:space="0" w:color="auto"/>
            </w:tcBorders>
            <w:vAlign w:val="center"/>
          </w:tcPr>
          <w:p w14:paraId="69B95113" w14:textId="1BE16B8B" w:rsidR="004424BD" w:rsidRPr="005E7A81" w:rsidRDefault="004424BD" w:rsidP="004424BD">
            <w:pPr>
              <w:spacing w:after="0" w:line="240" w:lineRule="auto"/>
              <w:jc w:val="right"/>
              <w:rPr>
                <w:rFonts w:ascii="Arial" w:eastAsia="Arial" w:hAnsi="Arial" w:cs="Arial"/>
                <w:bCs/>
                <w:sz w:val="18"/>
                <w:szCs w:val="18"/>
              </w:rPr>
            </w:pPr>
            <w:r w:rsidRPr="005E7A81">
              <w:rPr>
                <w:rFonts w:ascii="Arial" w:eastAsia="Batang" w:hAnsi="Arial" w:cs="Arial"/>
                <w:bCs/>
                <w:sz w:val="18"/>
                <w:szCs w:val="18"/>
              </w:rPr>
              <w:t>51.8</w:t>
            </w:r>
          </w:p>
        </w:tc>
      </w:tr>
      <w:tr w:rsidR="004424BD" w:rsidRPr="00A44138" w14:paraId="1FF3D478" w14:textId="77777777" w:rsidTr="00324A0B">
        <w:tc>
          <w:tcPr>
            <w:tcW w:w="4812" w:type="dxa"/>
            <w:vAlign w:val="center"/>
          </w:tcPr>
          <w:p w14:paraId="0C36ACE8"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Investing activities</w:t>
            </w:r>
          </w:p>
        </w:tc>
        <w:tc>
          <w:tcPr>
            <w:tcW w:w="567" w:type="dxa"/>
            <w:vAlign w:val="center"/>
          </w:tcPr>
          <w:p w14:paraId="2893FA47"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992" w:type="dxa"/>
            <w:vAlign w:val="center"/>
          </w:tcPr>
          <w:p w14:paraId="4FF53FE5"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EA126AF"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tcBorders>
              <w:top w:val="single" w:sz="4" w:space="0" w:color="auto"/>
            </w:tcBorders>
            <w:vAlign w:val="center"/>
          </w:tcPr>
          <w:p w14:paraId="5755D007" w14:textId="77777777" w:rsidR="004424BD" w:rsidRPr="00DA53C4"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color w:val="FF0000"/>
                <w:sz w:val="18"/>
                <w:szCs w:val="18"/>
              </w:rPr>
            </w:pPr>
          </w:p>
        </w:tc>
        <w:tc>
          <w:tcPr>
            <w:tcW w:w="1276" w:type="dxa"/>
            <w:tcBorders>
              <w:top w:val="single" w:sz="4" w:space="0" w:color="auto"/>
            </w:tcBorders>
            <w:vAlign w:val="center"/>
          </w:tcPr>
          <w:p w14:paraId="121A8F30"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4424BD" w:rsidRPr="00A44138" w14:paraId="60168C55" w14:textId="77777777" w:rsidTr="00324A0B">
        <w:tc>
          <w:tcPr>
            <w:tcW w:w="4812" w:type="dxa"/>
            <w:vAlign w:val="center"/>
          </w:tcPr>
          <w:p w14:paraId="57D617A3" w14:textId="4DC47D10"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Interest received</w:t>
            </w:r>
          </w:p>
        </w:tc>
        <w:tc>
          <w:tcPr>
            <w:tcW w:w="567" w:type="dxa"/>
            <w:vAlign w:val="center"/>
          </w:tcPr>
          <w:p w14:paraId="4B55AC2B"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30BAD34D"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A48F71C"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2C3CA140" w14:textId="3BFB96D6" w:rsidR="004424BD" w:rsidRPr="00DA53C4" w:rsidRDefault="0026506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0.2</w:t>
            </w:r>
          </w:p>
        </w:tc>
        <w:tc>
          <w:tcPr>
            <w:tcW w:w="1276" w:type="dxa"/>
            <w:vAlign w:val="center"/>
          </w:tcPr>
          <w:p w14:paraId="2D02D0F2" w14:textId="179F5686"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0.1</w:t>
            </w:r>
          </w:p>
        </w:tc>
      </w:tr>
      <w:tr w:rsidR="004424BD" w:rsidRPr="00A44138" w14:paraId="2AC10724" w14:textId="77777777" w:rsidTr="00324A0B">
        <w:tc>
          <w:tcPr>
            <w:tcW w:w="4812" w:type="dxa"/>
            <w:vAlign w:val="center"/>
          </w:tcPr>
          <w:p w14:paraId="682AC3A0"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Acquisition of property, plant and equipment</w:t>
            </w:r>
          </w:p>
        </w:tc>
        <w:tc>
          <w:tcPr>
            <w:tcW w:w="567" w:type="dxa"/>
            <w:vAlign w:val="center"/>
          </w:tcPr>
          <w:p w14:paraId="4B9FCEA1"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4CC6D9D8"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3A007C4"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2D56AAF1" w14:textId="0EBC59B9" w:rsidR="004424BD" w:rsidRPr="00DA53C4" w:rsidRDefault="00741579"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(0.4)</w:t>
            </w:r>
          </w:p>
        </w:tc>
        <w:tc>
          <w:tcPr>
            <w:tcW w:w="1276" w:type="dxa"/>
            <w:vAlign w:val="center"/>
          </w:tcPr>
          <w:p w14:paraId="70E8B6FD" w14:textId="3065CE9D"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(0.0)</w:t>
            </w:r>
          </w:p>
        </w:tc>
      </w:tr>
      <w:tr w:rsidR="004424BD" w:rsidRPr="00A44138" w14:paraId="4A70D35F" w14:textId="77777777" w:rsidTr="00324A0B">
        <w:tc>
          <w:tcPr>
            <w:tcW w:w="4812" w:type="dxa"/>
            <w:vAlign w:val="center"/>
          </w:tcPr>
          <w:p w14:paraId="4A3BB40A"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Acquisition of intangible assets</w:t>
            </w:r>
          </w:p>
        </w:tc>
        <w:tc>
          <w:tcPr>
            <w:tcW w:w="567" w:type="dxa"/>
            <w:vAlign w:val="center"/>
          </w:tcPr>
          <w:p w14:paraId="6F76B3C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37DCCD50"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2CBD4A0F"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74CEECAD" w14:textId="37F7C892" w:rsidR="004424BD" w:rsidRPr="00DA53C4" w:rsidRDefault="00741579"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(4.7)</w:t>
            </w:r>
          </w:p>
        </w:tc>
        <w:tc>
          <w:tcPr>
            <w:tcW w:w="1276" w:type="dxa"/>
            <w:vAlign w:val="center"/>
          </w:tcPr>
          <w:p w14:paraId="415A90C6" w14:textId="358AE500"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(5.1)</w:t>
            </w:r>
          </w:p>
        </w:tc>
      </w:tr>
      <w:tr w:rsidR="004424BD" w:rsidRPr="00A44138" w14:paraId="70E99ED4" w14:textId="77777777" w:rsidTr="00324A0B">
        <w:tc>
          <w:tcPr>
            <w:tcW w:w="4812" w:type="dxa"/>
            <w:vAlign w:val="center"/>
          </w:tcPr>
          <w:p w14:paraId="77C32BD3"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b/>
                <w:sz w:val="18"/>
                <w:szCs w:val="18"/>
                <w:lang w:eastAsia="ko-KR"/>
              </w:rPr>
              <w:t>Net cash used in investing activities</w:t>
            </w:r>
          </w:p>
        </w:tc>
        <w:tc>
          <w:tcPr>
            <w:tcW w:w="567" w:type="dxa"/>
            <w:vAlign w:val="center"/>
          </w:tcPr>
          <w:p w14:paraId="15752EDF"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4B93E62C"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3F1F291"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tcBorders>
              <w:top w:val="single" w:sz="4" w:space="0" w:color="auto"/>
              <w:bottom w:val="single" w:sz="4" w:space="0" w:color="auto"/>
            </w:tcBorders>
            <w:vAlign w:val="center"/>
          </w:tcPr>
          <w:p w14:paraId="73F34A36" w14:textId="2D8DF52F" w:rsidR="004424BD" w:rsidRPr="00DA53C4" w:rsidRDefault="006519EB"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(4.9)</w:t>
            </w:r>
          </w:p>
        </w:tc>
        <w:tc>
          <w:tcPr>
            <w:tcW w:w="1276" w:type="dxa"/>
            <w:tcBorders>
              <w:top w:val="single" w:sz="4" w:space="0" w:color="auto"/>
              <w:bottom w:val="single" w:sz="4" w:space="0" w:color="auto"/>
            </w:tcBorders>
            <w:vAlign w:val="center"/>
          </w:tcPr>
          <w:p w14:paraId="5772F9E5" w14:textId="4652359B"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(5.0)</w:t>
            </w:r>
          </w:p>
        </w:tc>
      </w:tr>
      <w:tr w:rsidR="004424BD" w:rsidRPr="00A44138" w14:paraId="614E7D1B" w14:textId="77777777" w:rsidTr="00324A0B">
        <w:tc>
          <w:tcPr>
            <w:tcW w:w="4812" w:type="dxa"/>
            <w:vAlign w:val="center"/>
          </w:tcPr>
          <w:p w14:paraId="4D7F26A6"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Cs w:val="20"/>
                <w:lang w:eastAsia="ko-KR"/>
              </w:rPr>
            </w:pPr>
          </w:p>
        </w:tc>
        <w:tc>
          <w:tcPr>
            <w:tcW w:w="567" w:type="dxa"/>
            <w:vAlign w:val="center"/>
          </w:tcPr>
          <w:p w14:paraId="21FA7D0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Cs w:val="20"/>
                <w:lang w:eastAsia="ko-KR"/>
              </w:rPr>
            </w:pPr>
          </w:p>
        </w:tc>
        <w:tc>
          <w:tcPr>
            <w:tcW w:w="992" w:type="dxa"/>
            <w:vAlign w:val="center"/>
          </w:tcPr>
          <w:p w14:paraId="219C5841"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Cs w:val="20"/>
                <w:lang w:eastAsia="ko-KR"/>
              </w:rPr>
            </w:pPr>
          </w:p>
        </w:tc>
        <w:tc>
          <w:tcPr>
            <w:tcW w:w="283" w:type="dxa"/>
            <w:gridSpan w:val="2"/>
            <w:vAlign w:val="bottom"/>
          </w:tcPr>
          <w:p w14:paraId="05F28B1C"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rPr>
            </w:pPr>
          </w:p>
        </w:tc>
        <w:tc>
          <w:tcPr>
            <w:tcW w:w="1154" w:type="dxa"/>
            <w:tcBorders>
              <w:top w:val="single" w:sz="4" w:space="0" w:color="auto"/>
            </w:tcBorders>
            <w:vAlign w:val="center"/>
          </w:tcPr>
          <w:p w14:paraId="44CF6E50" w14:textId="77777777" w:rsidR="004424BD" w:rsidRPr="00DA53C4"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color w:val="FF0000"/>
                <w:sz w:val="18"/>
                <w:szCs w:val="18"/>
              </w:rPr>
            </w:pPr>
          </w:p>
        </w:tc>
        <w:tc>
          <w:tcPr>
            <w:tcW w:w="1276" w:type="dxa"/>
            <w:tcBorders>
              <w:top w:val="single" w:sz="4" w:space="0" w:color="auto"/>
            </w:tcBorders>
            <w:vAlign w:val="center"/>
          </w:tcPr>
          <w:p w14:paraId="64C7D54B"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4424BD" w:rsidRPr="00A44138" w14:paraId="428BF2EE" w14:textId="77777777" w:rsidTr="00324A0B">
        <w:tc>
          <w:tcPr>
            <w:tcW w:w="4812" w:type="dxa"/>
            <w:vAlign w:val="center"/>
          </w:tcPr>
          <w:p w14:paraId="1B224D00"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Cs w:val="18"/>
                <w:lang w:eastAsia="ko-KR"/>
              </w:rPr>
            </w:pPr>
            <w:r w:rsidRPr="00A44138">
              <w:rPr>
                <w:rFonts w:ascii="Arial" w:eastAsia="Batang" w:hAnsi="Arial" w:cs="Arial"/>
                <w:b/>
                <w:sz w:val="18"/>
                <w:szCs w:val="18"/>
                <w:lang w:eastAsia="ko-KR"/>
              </w:rPr>
              <w:t>Financing activities</w:t>
            </w:r>
          </w:p>
        </w:tc>
        <w:tc>
          <w:tcPr>
            <w:tcW w:w="567" w:type="dxa"/>
            <w:vAlign w:val="center"/>
          </w:tcPr>
          <w:p w14:paraId="0DF0CAD3" w14:textId="77777777" w:rsidR="004424BD" w:rsidRPr="00A44138" w:rsidRDefault="004424BD" w:rsidP="004424BD">
            <w:pPr>
              <w:overflowPunct w:val="0"/>
              <w:autoSpaceDE w:val="0"/>
              <w:autoSpaceDN w:val="0"/>
              <w:adjustRightInd w:val="0"/>
              <w:spacing w:after="0" w:line="240" w:lineRule="auto"/>
              <w:ind w:left="153" w:right="142" w:hanging="153"/>
              <w:jc w:val="center"/>
              <w:textAlignment w:val="baseline"/>
              <w:rPr>
                <w:rFonts w:ascii="Arial" w:eastAsia="Batang" w:hAnsi="Arial" w:cs="Arial"/>
                <w:i/>
                <w:color w:val="FF0000"/>
                <w:sz w:val="18"/>
                <w:szCs w:val="18"/>
              </w:rPr>
            </w:pPr>
          </w:p>
        </w:tc>
        <w:tc>
          <w:tcPr>
            <w:tcW w:w="992" w:type="dxa"/>
            <w:vAlign w:val="center"/>
          </w:tcPr>
          <w:p w14:paraId="69A1C19D" w14:textId="77777777" w:rsidR="004424BD" w:rsidRPr="00A44138" w:rsidRDefault="004424BD" w:rsidP="004424BD">
            <w:pPr>
              <w:tabs>
                <w:tab w:val="decimal" w:pos="1015"/>
              </w:tabs>
              <w:overflowPunct w:val="0"/>
              <w:autoSpaceDE w:val="0"/>
              <w:autoSpaceDN w:val="0"/>
              <w:adjustRightInd w:val="0"/>
              <w:spacing w:after="0" w:line="240" w:lineRule="auto"/>
              <w:ind w:left="153" w:hanging="153"/>
              <w:jc w:val="center"/>
              <w:textAlignment w:val="baseline"/>
              <w:rPr>
                <w:rFonts w:ascii="Arial" w:eastAsia="Batang" w:hAnsi="Arial" w:cs="Arial"/>
                <w:b/>
                <w:i/>
                <w:color w:val="FF0000"/>
                <w:sz w:val="18"/>
                <w:szCs w:val="18"/>
              </w:rPr>
            </w:pPr>
          </w:p>
        </w:tc>
        <w:tc>
          <w:tcPr>
            <w:tcW w:w="283" w:type="dxa"/>
            <w:gridSpan w:val="2"/>
            <w:vAlign w:val="bottom"/>
          </w:tcPr>
          <w:p w14:paraId="7D8D9061" w14:textId="77777777" w:rsidR="004424BD" w:rsidRPr="00A44138" w:rsidRDefault="004424BD" w:rsidP="004424BD">
            <w:pPr>
              <w:tabs>
                <w:tab w:val="decimal" w:pos="1015"/>
              </w:tabs>
              <w:overflowPunct w:val="0"/>
              <w:autoSpaceDE w:val="0"/>
              <w:autoSpaceDN w:val="0"/>
              <w:adjustRightInd w:val="0"/>
              <w:spacing w:after="0" w:line="240" w:lineRule="auto"/>
              <w:ind w:left="153" w:hanging="153"/>
              <w:jc w:val="right"/>
              <w:textAlignment w:val="baseline"/>
              <w:rPr>
                <w:rFonts w:ascii="Arial" w:hAnsi="Arial"/>
                <w:b/>
                <w:i/>
                <w:color w:val="FF0000"/>
                <w:sz w:val="18"/>
              </w:rPr>
            </w:pPr>
          </w:p>
        </w:tc>
        <w:tc>
          <w:tcPr>
            <w:tcW w:w="1154" w:type="dxa"/>
            <w:vAlign w:val="center"/>
          </w:tcPr>
          <w:p w14:paraId="3AE8CC1B" w14:textId="77777777" w:rsidR="004424BD" w:rsidRPr="00DA53C4"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color w:val="FF0000"/>
                <w:sz w:val="18"/>
                <w:szCs w:val="18"/>
              </w:rPr>
            </w:pPr>
          </w:p>
        </w:tc>
        <w:tc>
          <w:tcPr>
            <w:tcW w:w="1276" w:type="dxa"/>
            <w:vAlign w:val="center"/>
          </w:tcPr>
          <w:p w14:paraId="0FEAECD2"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4424BD" w:rsidRPr="00A44138" w14:paraId="720F5206" w14:textId="77777777" w:rsidTr="00324A0B">
        <w:tc>
          <w:tcPr>
            <w:tcW w:w="4812" w:type="dxa"/>
            <w:vAlign w:val="center"/>
          </w:tcPr>
          <w:p w14:paraId="0DF3689C"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Dividends paid</w:t>
            </w:r>
          </w:p>
        </w:tc>
        <w:tc>
          <w:tcPr>
            <w:tcW w:w="567" w:type="dxa"/>
            <w:vAlign w:val="center"/>
          </w:tcPr>
          <w:p w14:paraId="4E00DB79"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11F090A5" w14:textId="0D2266D4"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i/>
                <w:color w:val="FF0000"/>
                <w:sz w:val="18"/>
                <w:szCs w:val="18"/>
                <w:lang w:eastAsia="ko-KR"/>
              </w:rPr>
            </w:pPr>
            <w:r w:rsidRPr="00A44138">
              <w:rPr>
                <w:rFonts w:ascii="Arial" w:eastAsia="Batang" w:hAnsi="Arial" w:cs="Arial"/>
                <w:bCs/>
                <w:i/>
                <w:sz w:val="18"/>
                <w:szCs w:val="18"/>
                <w:lang w:eastAsia="ko-KR"/>
              </w:rPr>
              <w:t>6</w:t>
            </w:r>
          </w:p>
        </w:tc>
        <w:tc>
          <w:tcPr>
            <w:tcW w:w="283" w:type="dxa"/>
            <w:gridSpan w:val="2"/>
            <w:vAlign w:val="bottom"/>
          </w:tcPr>
          <w:p w14:paraId="54E9BBB1"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25D26685" w14:textId="56827E04" w:rsidR="004424BD" w:rsidRPr="00DA53C4" w:rsidRDefault="00553AA8"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(49.3)</w:t>
            </w:r>
          </w:p>
        </w:tc>
        <w:tc>
          <w:tcPr>
            <w:tcW w:w="1276" w:type="dxa"/>
            <w:vAlign w:val="center"/>
          </w:tcPr>
          <w:p w14:paraId="13B3C167" w14:textId="45B29A64"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(47.8)</w:t>
            </w:r>
          </w:p>
        </w:tc>
      </w:tr>
      <w:tr w:rsidR="004B2B66" w:rsidRPr="00A44138" w14:paraId="050491FE" w14:textId="77777777" w:rsidTr="00324A0B">
        <w:tc>
          <w:tcPr>
            <w:tcW w:w="4812" w:type="dxa"/>
            <w:vAlign w:val="center"/>
          </w:tcPr>
          <w:p w14:paraId="177F5E9D" w14:textId="510148ED" w:rsidR="004B2B66" w:rsidRPr="00A44138" w:rsidRDefault="004B2B66"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Pr>
                <w:rFonts w:ascii="Arial" w:eastAsia="Batang" w:hAnsi="Arial" w:cs="Arial"/>
                <w:sz w:val="18"/>
                <w:szCs w:val="18"/>
                <w:lang w:eastAsia="ko-KR"/>
              </w:rPr>
              <w:t>Proceeds from share issue</w:t>
            </w:r>
          </w:p>
        </w:tc>
        <w:tc>
          <w:tcPr>
            <w:tcW w:w="567" w:type="dxa"/>
            <w:vAlign w:val="center"/>
          </w:tcPr>
          <w:p w14:paraId="0C5D5F04" w14:textId="77777777" w:rsidR="004B2B66" w:rsidRPr="00A44138" w:rsidRDefault="004B2B66"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7512D5D8" w14:textId="77777777" w:rsidR="004B2B66" w:rsidRPr="00A44138" w:rsidRDefault="004B2B66"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Cs/>
                <w:i/>
                <w:sz w:val="18"/>
                <w:szCs w:val="18"/>
                <w:lang w:eastAsia="ko-KR"/>
              </w:rPr>
            </w:pPr>
          </w:p>
        </w:tc>
        <w:tc>
          <w:tcPr>
            <w:tcW w:w="283" w:type="dxa"/>
            <w:gridSpan w:val="2"/>
            <w:vAlign w:val="bottom"/>
          </w:tcPr>
          <w:p w14:paraId="6EA2C4EA" w14:textId="77777777" w:rsidR="004B2B66" w:rsidRPr="00A44138" w:rsidRDefault="004B2B66"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7569322D" w14:textId="0DF551E9" w:rsidR="004B2B66" w:rsidRPr="00DA53C4" w:rsidRDefault="004B2B66"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0.1</w:t>
            </w:r>
          </w:p>
        </w:tc>
        <w:tc>
          <w:tcPr>
            <w:tcW w:w="1276" w:type="dxa"/>
            <w:vAlign w:val="center"/>
          </w:tcPr>
          <w:p w14:paraId="5FB6DB36" w14:textId="6AD113A7" w:rsidR="004B2B66" w:rsidRPr="005E7A81" w:rsidRDefault="004B2B66"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w:t>
            </w:r>
          </w:p>
        </w:tc>
      </w:tr>
      <w:tr w:rsidR="00607467" w:rsidRPr="00A44138" w14:paraId="5C688ECF" w14:textId="77777777" w:rsidTr="00324A0B">
        <w:tc>
          <w:tcPr>
            <w:tcW w:w="4812" w:type="dxa"/>
            <w:vAlign w:val="center"/>
          </w:tcPr>
          <w:p w14:paraId="3DCF674D" w14:textId="55C2978E" w:rsidR="00607467" w:rsidRPr="00A44138" w:rsidRDefault="00987BF1"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Pr>
                <w:rFonts w:ascii="Arial" w:eastAsia="Batang" w:hAnsi="Arial" w:cs="Arial"/>
                <w:sz w:val="18"/>
                <w:szCs w:val="18"/>
                <w:lang w:eastAsia="ko-KR"/>
              </w:rPr>
              <w:t>Purchase of own shares</w:t>
            </w:r>
          </w:p>
        </w:tc>
        <w:tc>
          <w:tcPr>
            <w:tcW w:w="567" w:type="dxa"/>
            <w:vAlign w:val="center"/>
          </w:tcPr>
          <w:p w14:paraId="58BAC778" w14:textId="77777777" w:rsidR="00607467" w:rsidRPr="00A44138" w:rsidRDefault="00607467"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10831FE9" w14:textId="77777777" w:rsidR="00607467" w:rsidRPr="00A44138" w:rsidRDefault="00607467"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116BF4E8" w14:textId="77777777" w:rsidR="00607467" w:rsidRPr="00A44138" w:rsidRDefault="00607467"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759F11CA" w14:textId="00C06A84" w:rsidR="00607467" w:rsidRPr="00DA53C4" w:rsidDel="004A0E9B" w:rsidRDefault="00553AA8"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(13.3)</w:t>
            </w:r>
          </w:p>
        </w:tc>
        <w:tc>
          <w:tcPr>
            <w:tcW w:w="1276" w:type="dxa"/>
            <w:vAlign w:val="center"/>
          </w:tcPr>
          <w:p w14:paraId="727A6459" w14:textId="782779C0" w:rsidR="00607467" w:rsidRPr="00607467" w:rsidRDefault="00607467"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w:t>
            </w:r>
          </w:p>
        </w:tc>
      </w:tr>
      <w:tr w:rsidR="004424BD" w:rsidRPr="00A44138" w14:paraId="6C7FF778" w14:textId="77777777" w:rsidTr="00324A0B">
        <w:tc>
          <w:tcPr>
            <w:tcW w:w="4812" w:type="dxa"/>
            <w:vAlign w:val="center"/>
          </w:tcPr>
          <w:p w14:paraId="50CAA691"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Purchase of shares by employee trusts</w:t>
            </w:r>
          </w:p>
        </w:tc>
        <w:tc>
          <w:tcPr>
            <w:tcW w:w="567" w:type="dxa"/>
            <w:vAlign w:val="center"/>
          </w:tcPr>
          <w:p w14:paraId="0964E238"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7E473424"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CA832F5"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2BB78772" w14:textId="1E41E9ED" w:rsidR="004424BD" w:rsidRPr="00DA53C4" w:rsidRDefault="00924C2F"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w:t>
            </w:r>
          </w:p>
        </w:tc>
        <w:tc>
          <w:tcPr>
            <w:tcW w:w="1276" w:type="dxa"/>
            <w:vAlign w:val="center"/>
          </w:tcPr>
          <w:p w14:paraId="3AD3DADC" w14:textId="0EA20529"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(0.4)</w:t>
            </w:r>
          </w:p>
        </w:tc>
      </w:tr>
      <w:tr w:rsidR="004424BD" w:rsidRPr="00A44138" w14:paraId="781555FA" w14:textId="77777777" w:rsidTr="00324A0B">
        <w:tc>
          <w:tcPr>
            <w:tcW w:w="4812" w:type="dxa"/>
            <w:vAlign w:val="center"/>
          </w:tcPr>
          <w:p w14:paraId="0445B6BA"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Proceeds from borrowings</w:t>
            </w:r>
          </w:p>
        </w:tc>
        <w:tc>
          <w:tcPr>
            <w:tcW w:w="567" w:type="dxa"/>
            <w:vAlign w:val="center"/>
          </w:tcPr>
          <w:p w14:paraId="017FA211"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187904E6"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75BDB129"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094273C9" w14:textId="3078592E" w:rsidR="004424BD" w:rsidRPr="00DA53C4" w:rsidRDefault="003667A9"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52.0</w:t>
            </w:r>
          </w:p>
        </w:tc>
        <w:tc>
          <w:tcPr>
            <w:tcW w:w="1276" w:type="dxa"/>
            <w:vAlign w:val="center"/>
          </w:tcPr>
          <w:p w14:paraId="5560A7E1" w14:textId="15A7D3A2"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47.0</w:t>
            </w:r>
          </w:p>
        </w:tc>
      </w:tr>
      <w:tr w:rsidR="004424BD" w:rsidRPr="00A44138" w14:paraId="70FA89AE" w14:textId="77777777" w:rsidTr="00324A0B">
        <w:tc>
          <w:tcPr>
            <w:tcW w:w="4812" w:type="dxa"/>
            <w:vAlign w:val="center"/>
          </w:tcPr>
          <w:p w14:paraId="65903F98"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Repayment of borrowings</w:t>
            </w:r>
          </w:p>
        </w:tc>
        <w:tc>
          <w:tcPr>
            <w:tcW w:w="567" w:type="dxa"/>
            <w:vAlign w:val="center"/>
          </w:tcPr>
          <w:p w14:paraId="69E49A16"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01F81F1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26CDEB82"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44D0A382" w14:textId="4887935C" w:rsidR="004424BD" w:rsidRPr="00DA53C4" w:rsidRDefault="003667A9"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(19.0)</w:t>
            </w:r>
          </w:p>
        </w:tc>
        <w:tc>
          <w:tcPr>
            <w:tcW w:w="1276" w:type="dxa"/>
            <w:vAlign w:val="center"/>
          </w:tcPr>
          <w:p w14:paraId="131D956F" w14:textId="47EDF3AC"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(33.5)</w:t>
            </w:r>
          </w:p>
        </w:tc>
      </w:tr>
      <w:tr w:rsidR="004424BD" w:rsidRPr="00A44138" w14:paraId="0729377F" w14:textId="77777777" w:rsidTr="00324A0B">
        <w:tc>
          <w:tcPr>
            <w:tcW w:w="4812" w:type="dxa"/>
            <w:vAlign w:val="center"/>
          </w:tcPr>
          <w:p w14:paraId="5680C78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Interest paid</w:t>
            </w:r>
          </w:p>
        </w:tc>
        <w:tc>
          <w:tcPr>
            <w:tcW w:w="567" w:type="dxa"/>
            <w:vAlign w:val="center"/>
          </w:tcPr>
          <w:p w14:paraId="2574696E"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7DFD6870"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7D9C9BD3"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7C12F9B1" w14:textId="4D4B8707" w:rsidR="004424BD" w:rsidRPr="00DA53C4" w:rsidRDefault="00B837DC"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(1.6)</w:t>
            </w:r>
          </w:p>
        </w:tc>
        <w:tc>
          <w:tcPr>
            <w:tcW w:w="1276" w:type="dxa"/>
            <w:vAlign w:val="center"/>
          </w:tcPr>
          <w:p w14:paraId="7F01E7DE" w14:textId="2738EB88"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(2.4)</w:t>
            </w:r>
          </w:p>
        </w:tc>
      </w:tr>
      <w:tr w:rsidR="004424BD" w:rsidRPr="00A44138" w14:paraId="60690699" w14:textId="77777777" w:rsidTr="00324A0B">
        <w:tc>
          <w:tcPr>
            <w:tcW w:w="4812" w:type="dxa"/>
            <w:vAlign w:val="center"/>
          </w:tcPr>
          <w:p w14:paraId="5342C2C0"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Repayment of lease liabilities</w:t>
            </w:r>
          </w:p>
        </w:tc>
        <w:tc>
          <w:tcPr>
            <w:tcW w:w="567" w:type="dxa"/>
            <w:vAlign w:val="center"/>
          </w:tcPr>
          <w:p w14:paraId="433621C2"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0EB9D96F"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AD73585"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7D2CD9A6" w14:textId="0F1A40FF" w:rsidR="004424BD" w:rsidRPr="00DA53C4" w:rsidRDefault="00E6066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(1.4)</w:t>
            </w:r>
          </w:p>
        </w:tc>
        <w:tc>
          <w:tcPr>
            <w:tcW w:w="1276" w:type="dxa"/>
            <w:vAlign w:val="center"/>
          </w:tcPr>
          <w:p w14:paraId="3CA6A732" w14:textId="0A9BBA41"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(1.4)</w:t>
            </w:r>
          </w:p>
        </w:tc>
      </w:tr>
      <w:tr w:rsidR="004424BD" w:rsidRPr="00A44138" w14:paraId="66EB27CB" w14:textId="77777777" w:rsidTr="00324A0B">
        <w:tc>
          <w:tcPr>
            <w:tcW w:w="4812" w:type="dxa"/>
            <w:vAlign w:val="center"/>
          </w:tcPr>
          <w:p w14:paraId="382F08D4"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b/>
                <w:sz w:val="18"/>
                <w:szCs w:val="18"/>
                <w:lang w:eastAsia="ko-KR"/>
              </w:rPr>
              <w:t>Net cash used in financing activities</w:t>
            </w:r>
          </w:p>
        </w:tc>
        <w:tc>
          <w:tcPr>
            <w:tcW w:w="567" w:type="dxa"/>
            <w:vAlign w:val="center"/>
          </w:tcPr>
          <w:p w14:paraId="7F728068"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66B51C5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4D0D8B3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tcBorders>
              <w:top w:val="single" w:sz="4" w:space="0" w:color="auto"/>
            </w:tcBorders>
            <w:vAlign w:val="center"/>
          </w:tcPr>
          <w:p w14:paraId="1BA30471" w14:textId="1FF993F2" w:rsidR="004424BD" w:rsidRPr="00DA53C4" w:rsidRDefault="00112D3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(32.</w:t>
            </w:r>
            <w:r w:rsidR="004B2B66" w:rsidRPr="00DA53C4">
              <w:rPr>
                <w:rFonts w:ascii="Arial" w:eastAsia="Batang" w:hAnsi="Arial" w:cs="Arial"/>
                <w:b/>
                <w:sz w:val="18"/>
                <w:szCs w:val="18"/>
              </w:rPr>
              <w:t>5</w:t>
            </w:r>
            <w:r w:rsidRPr="00DA53C4">
              <w:rPr>
                <w:rFonts w:ascii="Arial" w:eastAsia="Batang" w:hAnsi="Arial" w:cs="Arial"/>
                <w:b/>
                <w:sz w:val="18"/>
                <w:szCs w:val="18"/>
              </w:rPr>
              <w:t>)</w:t>
            </w:r>
          </w:p>
        </w:tc>
        <w:tc>
          <w:tcPr>
            <w:tcW w:w="1276" w:type="dxa"/>
            <w:tcBorders>
              <w:top w:val="single" w:sz="4" w:space="0" w:color="auto"/>
            </w:tcBorders>
            <w:vAlign w:val="center"/>
          </w:tcPr>
          <w:p w14:paraId="57EE2AC2" w14:textId="57F0ADE8"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(38.5)</w:t>
            </w:r>
          </w:p>
        </w:tc>
      </w:tr>
      <w:tr w:rsidR="004424BD" w:rsidRPr="00A44138" w14:paraId="6F44EED5" w14:textId="77777777" w:rsidTr="00324A0B">
        <w:tc>
          <w:tcPr>
            <w:tcW w:w="4812" w:type="dxa"/>
            <w:vAlign w:val="center"/>
          </w:tcPr>
          <w:p w14:paraId="66629659"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p>
        </w:tc>
        <w:tc>
          <w:tcPr>
            <w:tcW w:w="567" w:type="dxa"/>
            <w:vAlign w:val="center"/>
          </w:tcPr>
          <w:p w14:paraId="6F2EBAFB"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6EC8298A"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0FEE84CD"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tcBorders>
              <w:top w:val="single" w:sz="4" w:space="0" w:color="auto"/>
            </w:tcBorders>
            <w:vAlign w:val="center"/>
          </w:tcPr>
          <w:p w14:paraId="4C697514" w14:textId="77777777" w:rsidR="004424BD" w:rsidRPr="00DA53C4" w:rsidRDefault="004424BD"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color w:val="FF0000"/>
                <w:sz w:val="18"/>
                <w:szCs w:val="18"/>
              </w:rPr>
            </w:pPr>
          </w:p>
        </w:tc>
        <w:tc>
          <w:tcPr>
            <w:tcW w:w="1276" w:type="dxa"/>
            <w:tcBorders>
              <w:top w:val="single" w:sz="4" w:space="0" w:color="auto"/>
            </w:tcBorders>
            <w:vAlign w:val="center"/>
          </w:tcPr>
          <w:p w14:paraId="04BD5A7C" w14:textId="77777777"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p>
        </w:tc>
      </w:tr>
      <w:tr w:rsidR="004424BD" w:rsidRPr="00A44138" w14:paraId="56BFDA9C" w14:textId="77777777" w:rsidTr="00324A0B">
        <w:tc>
          <w:tcPr>
            <w:tcW w:w="4812" w:type="dxa"/>
            <w:vAlign w:val="center"/>
          </w:tcPr>
          <w:p w14:paraId="428B4C87"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A44138">
              <w:rPr>
                <w:rFonts w:ascii="Arial" w:eastAsia="Batang" w:hAnsi="Arial" w:cs="Arial"/>
                <w:b/>
                <w:sz w:val="18"/>
                <w:szCs w:val="18"/>
                <w:lang w:eastAsia="ko-KR"/>
              </w:rPr>
              <w:t>Net increase in cash and cash equivalents</w:t>
            </w:r>
          </w:p>
        </w:tc>
        <w:tc>
          <w:tcPr>
            <w:tcW w:w="567" w:type="dxa"/>
            <w:vAlign w:val="center"/>
          </w:tcPr>
          <w:p w14:paraId="7503A74A"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2835B054"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2EBA5677"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vAlign w:val="center"/>
          </w:tcPr>
          <w:p w14:paraId="3D93E5CD" w14:textId="0CA599B5" w:rsidR="004424BD" w:rsidRPr="00DA53C4" w:rsidRDefault="00B84FBC"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6.</w:t>
            </w:r>
            <w:r w:rsidR="00F84843" w:rsidRPr="00DA53C4">
              <w:rPr>
                <w:rFonts w:ascii="Arial" w:eastAsia="Batang" w:hAnsi="Arial" w:cs="Arial"/>
                <w:b/>
                <w:sz w:val="18"/>
                <w:szCs w:val="18"/>
              </w:rPr>
              <w:t>3</w:t>
            </w:r>
          </w:p>
        </w:tc>
        <w:tc>
          <w:tcPr>
            <w:tcW w:w="1276" w:type="dxa"/>
            <w:vAlign w:val="center"/>
          </w:tcPr>
          <w:p w14:paraId="6DE3C9C1" w14:textId="5F5F8572"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8.3</w:t>
            </w:r>
          </w:p>
        </w:tc>
      </w:tr>
      <w:tr w:rsidR="004424BD" w:rsidRPr="00A44138" w14:paraId="7D194C59" w14:textId="77777777" w:rsidTr="00324A0B">
        <w:tc>
          <w:tcPr>
            <w:tcW w:w="4812" w:type="dxa"/>
            <w:vAlign w:val="center"/>
          </w:tcPr>
          <w:p w14:paraId="19328949"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Cash and cash equivalents at 1 January</w:t>
            </w:r>
          </w:p>
        </w:tc>
        <w:tc>
          <w:tcPr>
            <w:tcW w:w="567" w:type="dxa"/>
            <w:vAlign w:val="center"/>
          </w:tcPr>
          <w:p w14:paraId="42C97D9A"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46E44CBE"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i/>
                <w:color w:val="FF0000"/>
                <w:sz w:val="18"/>
                <w:szCs w:val="18"/>
                <w:lang w:eastAsia="ko-KR"/>
              </w:rPr>
            </w:pPr>
          </w:p>
        </w:tc>
        <w:tc>
          <w:tcPr>
            <w:tcW w:w="283" w:type="dxa"/>
            <w:gridSpan w:val="2"/>
            <w:vAlign w:val="bottom"/>
          </w:tcPr>
          <w:p w14:paraId="3F610005"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i/>
                <w:color w:val="FF0000"/>
                <w:sz w:val="18"/>
              </w:rPr>
            </w:pPr>
          </w:p>
        </w:tc>
        <w:tc>
          <w:tcPr>
            <w:tcW w:w="1154" w:type="dxa"/>
            <w:tcBorders>
              <w:bottom w:val="single" w:sz="4" w:space="0" w:color="auto"/>
            </w:tcBorders>
            <w:vAlign w:val="center"/>
          </w:tcPr>
          <w:p w14:paraId="074AA858" w14:textId="321F8F11" w:rsidR="004424BD" w:rsidRPr="00DA53C4" w:rsidRDefault="004B2B66"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22.</w:t>
            </w:r>
            <w:r w:rsidR="008A7358" w:rsidRPr="00DA53C4">
              <w:rPr>
                <w:rFonts w:ascii="Arial" w:eastAsia="Batang" w:hAnsi="Arial" w:cs="Arial"/>
                <w:b/>
                <w:sz w:val="18"/>
                <w:szCs w:val="18"/>
              </w:rPr>
              <w:t>4</w:t>
            </w:r>
          </w:p>
        </w:tc>
        <w:tc>
          <w:tcPr>
            <w:tcW w:w="1276" w:type="dxa"/>
            <w:tcBorders>
              <w:bottom w:val="single" w:sz="4" w:space="0" w:color="auto"/>
            </w:tcBorders>
            <w:vAlign w:val="center"/>
          </w:tcPr>
          <w:p w14:paraId="5628FA5B" w14:textId="08D48CF6"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16.6</w:t>
            </w:r>
          </w:p>
        </w:tc>
      </w:tr>
      <w:tr w:rsidR="004424BD" w:rsidRPr="00A44138" w14:paraId="3229930E" w14:textId="77777777" w:rsidTr="00324A0B">
        <w:trPr>
          <w:trHeight w:val="283"/>
        </w:trPr>
        <w:tc>
          <w:tcPr>
            <w:tcW w:w="4812" w:type="dxa"/>
            <w:vAlign w:val="center"/>
          </w:tcPr>
          <w:p w14:paraId="4E92E39F"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18"/>
                <w:szCs w:val="18"/>
                <w:lang w:eastAsia="ko-KR"/>
              </w:rPr>
            </w:pPr>
            <w:r w:rsidRPr="00A44138">
              <w:rPr>
                <w:rFonts w:ascii="Arial" w:eastAsia="Batang" w:hAnsi="Arial" w:cs="Arial"/>
                <w:b/>
                <w:sz w:val="18"/>
                <w:szCs w:val="18"/>
                <w:lang w:eastAsia="ko-KR"/>
              </w:rPr>
              <w:t>Cash and cash equivalents at 30 June</w:t>
            </w:r>
          </w:p>
        </w:tc>
        <w:tc>
          <w:tcPr>
            <w:tcW w:w="567" w:type="dxa"/>
            <w:vAlign w:val="center"/>
          </w:tcPr>
          <w:p w14:paraId="74333D2D" w14:textId="77777777" w:rsidR="004424BD" w:rsidRPr="00A44138" w:rsidRDefault="004424BD" w:rsidP="004424BD">
            <w:pPr>
              <w:tabs>
                <w:tab w:val="left" w:pos="709"/>
                <w:tab w:val="left" w:pos="1559"/>
                <w:tab w:val="left" w:pos="2268"/>
                <w:tab w:val="left" w:pos="2977"/>
                <w:tab w:val="left" w:pos="3686"/>
                <w:tab w:val="left" w:pos="4394"/>
                <w:tab w:val="right" w:pos="8789"/>
              </w:tabs>
              <w:spacing w:after="0" w:line="260" w:lineRule="atLeast"/>
              <w:ind w:right="142"/>
              <w:jc w:val="center"/>
              <w:rPr>
                <w:rFonts w:ascii="Arial" w:eastAsia="Batang" w:hAnsi="Arial" w:cs="Arial"/>
                <w:i/>
                <w:color w:val="FF0000"/>
                <w:sz w:val="18"/>
                <w:szCs w:val="18"/>
                <w:lang w:eastAsia="ko-KR"/>
              </w:rPr>
            </w:pPr>
          </w:p>
        </w:tc>
        <w:tc>
          <w:tcPr>
            <w:tcW w:w="992" w:type="dxa"/>
            <w:vAlign w:val="center"/>
          </w:tcPr>
          <w:p w14:paraId="6CBECF32"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center"/>
              <w:rPr>
                <w:rFonts w:ascii="Arial" w:eastAsia="Batang" w:hAnsi="Arial" w:cs="Arial"/>
                <w:b/>
                <w:i/>
                <w:color w:val="FF0000"/>
                <w:sz w:val="18"/>
                <w:szCs w:val="18"/>
                <w:lang w:eastAsia="ko-KR"/>
              </w:rPr>
            </w:pPr>
          </w:p>
        </w:tc>
        <w:tc>
          <w:tcPr>
            <w:tcW w:w="283" w:type="dxa"/>
            <w:gridSpan w:val="2"/>
            <w:vAlign w:val="bottom"/>
          </w:tcPr>
          <w:p w14:paraId="6F1FA813" w14:textId="77777777" w:rsidR="004424BD" w:rsidRPr="00A44138" w:rsidRDefault="004424BD" w:rsidP="004424BD">
            <w:pPr>
              <w:tabs>
                <w:tab w:val="left" w:pos="709"/>
                <w:tab w:val="decimal" w:pos="1015"/>
                <w:tab w:val="left" w:pos="1559"/>
                <w:tab w:val="left" w:pos="2268"/>
                <w:tab w:val="left" w:pos="2977"/>
                <w:tab w:val="left" w:pos="3686"/>
                <w:tab w:val="left" w:pos="4394"/>
                <w:tab w:val="right" w:pos="8789"/>
              </w:tabs>
              <w:spacing w:after="0" w:line="260" w:lineRule="atLeast"/>
              <w:jc w:val="right"/>
              <w:rPr>
                <w:rFonts w:ascii="Arial" w:hAnsi="Arial"/>
                <w:b/>
                <w:i/>
                <w:color w:val="FF0000"/>
                <w:sz w:val="18"/>
              </w:rPr>
            </w:pPr>
          </w:p>
        </w:tc>
        <w:tc>
          <w:tcPr>
            <w:tcW w:w="1154" w:type="dxa"/>
            <w:tcBorders>
              <w:top w:val="single" w:sz="4" w:space="0" w:color="auto"/>
              <w:bottom w:val="double" w:sz="4" w:space="0" w:color="auto"/>
            </w:tcBorders>
            <w:vAlign w:val="center"/>
          </w:tcPr>
          <w:p w14:paraId="2C7FC4EF" w14:textId="72F288DE" w:rsidR="004424BD" w:rsidRPr="00DA53C4" w:rsidRDefault="004B2B66" w:rsidP="004424BD">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DA53C4">
              <w:rPr>
                <w:rFonts w:ascii="Arial" w:eastAsia="Batang" w:hAnsi="Arial" w:cs="Arial"/>
                <w:b/>
                <w:sz w:val="18"/>
                <w:szCs w:val="18"/>
              </w:rPr>
              <w:t>28.7</w:t>
            </w:r>
          </w:p>
        </w:tc>
        <w:tc>
          <w:tcPr>
            <w:tcW w:w="1276" w:type="dxa"/>
            <w:tcBorders>
              <w:top w:val="single" w:sz="4" w:space="0" w:color="auto"/>
              <w:bottom w:val="double" w:sz="4" w:space="0" w:color="auto"/>
            </w:tcBorders>
            <w:vAlign w:val="center"/>
          </w:tcPr>
          <w:p w14:paraId="3CB2CB2F" w14:textId="261CE885" w:rsidR="004424BD" w:rsidRPr="005E7A81" w:rsidRDefault="004424BD" w:rsidP="004424BD">
            <w:pPr>
              <w:tabs>
                <w:tab w:val="decimal" w:pos="1021"/>
              </w:tabs>
              <w:overflowPunct w:val="0"/>
              <w:autoSpaceDE w:val="0"/>
              <w:autoSpaceDN w:val="0"/>
              <w:adjustRightInd w:val="0"/>
              <w:spacing w:after="0" w:line="240" w:lineRule="auto"/>
              <w:jc w:val="right"/>
              <w:textAlignment w:val="baseline"/>
              <w:rPr>
                <w:rFonts w:ascii="Arial" w:hAnsi="Arial"/>
                <w:bCs/>
                <w:sz w:val="18"/>
              </w:rPr>
            </w:pPr>
            <w:r w:rsidRPr="005E7A81">
              <w:rPr>
                <w:rFonts w:ascii="Arial" w:eastAsia="Batang" w:hAnsi="Arial" w:cs="Arial"/>
                <w:bCs/>
                <w:sz w:val="18"/>
                <w:szCs w:val="18"/>
              </w:rPr>
              <w:t>24.9</w:t>
            </w:r>
          </w:p>
        </w:tc>
      </w:tr>
    </w:tbl>
    <w:p w14:paraId="7FFB56C6" w14:textId="77777777"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hAnsi="Arial"/>
          <w:i/>
          <w:color w:val="FF0000"/>
          <w:sz w:val="20"/>
        </w:rPr>
      </w:pPr>
    </w:p>
    <w:bookmarkEnd w:id="1"/>
    <w:bookmarkEnd w:id="2"/>
    <w:bookmarkEnd w:id="3"/>
    <w:bookmarkEnd w:id="4"/>
    <w:bookmarkEnd w:id="5"/>
    <w:bookmarkEnd w:id="6"/>
    <w:bookmarkEnd w:id="7"/>
    <w:bookmarkEnd w:id="8"/>
    <w:bookmarkEnd w:id="9"/>
    <w:bookmarkEnd w:id="10"/>
    <w:bookmarkEnd w:id="11"/>
    <w:bookmarkEnd w:id="12"/>
    <w:bookmarkEnd w:id="13"/>
    <w:bookmarkEnd w:id="14"/>
    <w:p w14:paraId="683CF033" w14:textId="77777777" w:rsidR="00294FD1" w:rsidRPr="00A44138" w:rsidRDefault="00294FD1" w:rsidP="00294FD1">
      <w:pPr>
        <w:pageBreakBefore/>
        <w:overflowPunct w:val="0"/>
        <w:autoSpaceDE w:val="0"/>
        <w:autoSpaceDN w:val="0"/>
        <w:adjustRightInd w:val="0"/>
        <w:spacing w:after="0" w:line="240" w:lineRule="auto"/>
        <w:jc w:val="both"/>
        <w:textAlignment w:val="baseline"/>
        <w:rPr>
          <w:rFonts w:ascii="Arial" w:eastAsia="Batang" w:hAnsi="Arial" w:cs="Arial"/>
          <w:b/>
          <w:sz w:val="26"/>
          <w:szCs w:val="20"/>
        </w:rPr>
      </w:pPr>
      <w:r w:rsidRPr="00A44138">
        <w:rPr>
          <w:rFonts w:ascii="Arial" w:eastAsia="Batang" w:hAnsi="Arial" w:cs="Arial"/>
          <w:b/>
          <w:sz w:val="26"/>
          <w:szCs w:val="20"/>
        </w:rPr>
        <w:lastRenderedPageBreak/>
        <w:t>Notes</w:t>
      </w:r>
    </w:p>
    <w:p w14:paraId="04D7C18D" w14:textId="77777777" w:rsidR="00294FD1" w:rsidRPr="00A44138" w:rsidRDefault="00294FD1" w:rsidP="00294FD1">
      <w:pPr>
        <w:widowControl w:val="0"/>
        <w:suppressAutoHyphens/>
        <w:overflowPunct w:val="0"/>
        <w:autoSpaceDE w:val="0"/>
        <w:autoSpaceDN w:val="0"/>
        <w:adjustRightInd w:val="0"/>
        <w:spacing w:after="0" w:line="240" w:lineRule="auto"/>
        <w:textAlignment w:val="baseline"/>
        <w:rPr>
          <w:rFonts w:ascii="Arial" w:hAnsi="Arial"/>
          <w:sz w:val="20"/>
        </w:rPr>
      </w:pPr>
    </w:p>
    <w:p w14:paraId="6428FCB6"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Cs w:val="20"/>
        </w:rPr>
      </w:pPr>
      <w:r w:rsidRPr="00A44138">
        <w:rPr>
          <w:rFonts w:ascii="Arial" w:eastAsia="Batang" w:hAnsi="Arial" w:cs="Times New Roman"/>
          <w:b/>
          <w:bCs/>
          <w:sz w:val="20"/>
          <w:szCs w:val="20"/>
        </w:rPr>
        <w:t>Basis of preparation</w:t>
      </w:r>
    </w:p>
    <w:p w14:paraId="1373BEB1" w14:textId="6925C670" w:rsidR="00294FD1" w:rsidRPr="005E7A81" w:rsidRDefault="00F77FFA" w:rsidP="00294FD1">
      <w:pPr>
        <w:suppressAutoHyphens/>
        <w:overflowPunct w:val="0"/>
        <w:autoSpaceDE w:val="0"/>
        <w:autoSpaceDN w:val="0"/>
        <w:adjustRightInd w:val="0"/>
        <w:spacing w:before="130" w:line="240" w:lineRule="auto"/>
        <w:jc w:val="both"/>
        <w:textAlignment w:val="baseline"/>
        <w:rPr>
          <w:rFonts w:ascii="Arial" w:eastAsia="Batang" w:hAnsi="Arial" w:cs="Times New Roman"/>
          <w:bCs/>
          <w:sz w:val="20"/>
          <w:szCs w:val="20"/>
        </w:rPr>
      </w:pPr>
      <w:r w:rsidRPr="005E7A81">
        <w:rPr>
          <w:rFonts w:ascii="Arial" w:eastAsia="Batang" w:hAnsi="Arial" w:cs="Times New Roman"/>
          <w:bCs/>
          <w:sz w:val="20"/>
          <w:szCs w:val="20"/>
        </w:rPr>
        <w:t>MONY</w:t>
      </w:r>
      <w:r w:rsidR="00294FD1" w:rsidRPr="005E7A81">
        <w:rPr>
          <w:rFonts w:ascii="Arial" w:eastAsia="Batang" w:hAnsi="Arial" w:cs="Times New Roman"/>
          <w:bCs/>
          <w:sz w:val="20"/>
          <w:szCs w:val="20"/>
        </w:rPr>
        <w:t xml:space="preserve"> Group PLC </w:t>
      </w:r>
      <w:r w:rsidR="00111762" w:rsidRPr="005E7A81">
        <w:rPr>
          <w:rFonts w:ascii="Arial" w:eastAsia="Batang" w:hAnsi="Arial" w:cs="Times New Roman"/>
          <w:bCs/>
          <w:sz w:val="20"/>
          <w:szCs w:val="20"/>
        </w:rPr>
        <w:t>(</w:t>
      </w:r>
      <w:r w:rsidR="00294FD1" w:rsidRPr="005E7A81">
        <w:rPr>
          <w:rFonts w:ascii="Arial" w:eastAsia="Batang" w:hAnsi="Arial" w:cs="Times New Roman"/>
          <w:bCs/>
          <w:sz w:val="20"/>
          <w:szCs w:val="20"/>
        </w:rPr>
        <w:t>the Company) is a public limited company registered and domiciled in England and Wales and listed on the London Stock Exchange.</w:t>
      </w:r>
    </w:p>
    <w:p w14:paraId="5A674758" w14:textId="41FDF712" w:rsidR="00294FD1" w:rsidRPr="005E7A81" w:rsidRDefault="00294FD1" w:rsidP="00294FD1">
      <w:pPr>
        <w:suppressAutoHyphens/>
        <w:overflowPunct w:val="0"/>
        <w:autoSpaceDE w:val="0"/>
        <w:autoSpaceDN w:val="0"/>
        <w:adjustRightInd w:val="0"/>
        <w:spacing w:before="130" w:line="240" w:lineRule="auto"/>
        <w:jc w:val="both"/>
        <w:textAlignment w:val="baseline"/>
        <w:rPr>
          <w:rFonts w:ascii="Arial" w:eastAsia="Batang" w:hAnsi="Arial" w:cs="Times New Roman"/>
          <w:bCs/>
          <w:sz w:val="20"/>
          <w:szCs w:val="20"/>
        </w:rPr>
      </w:pPr>
      <w:r w:rsidRPr="005E7A81">
        <w:rPr>
          <w:rFonts w:ascii="Arial" w:eastAsia="Batang" w:hAnsi="Arial" w:cs="Times New Roman"/>
          <w:bCs/>
          <w:sz w:val="20"/>
          <w:szCs w:val="20"/>
        </w:rPr>
        <w:t>The financial statements are prepared on the historical cost basis. Comparative figures presented in the financial statements represent the six months ended 30 June 202</w:t>
      </w:r>
      <w:r w:rsidR="00B5794D" w:rsidRPr="005E7A81">
        <w:rPr>
          <w:rFonts w:ascii="Arial" w:eastAsia="Batang" w:hAnsi="Arial" w:cs="Times New Roman"/>
          <w:bCs/>
          <w:sz w:val="20"/>
          <w:szCs w:val="20"/>
        </w:rPr>
        <w:t>4</w:t>
      </w:r>
      <w:r w:rsidRPr="005E7A81">
        <w:rPr>
          <w:rFonts w:ascii="Arial" w:eastAsia="Batang" w:hAnsi="Arial" w:cs="Times New Roman"/>
          <w:bCs/>
          <w:sz w:val="20"/>
          <w:szCs w:val="20"/>
        </w:rPr>
        <w:t>.</w:t>
      </w:r>
    </w:p>
    <w:p w14:paraId="4728D9E7" w14:textId="0B286A48" w:rsidR="00294FD1" w:rsidRPr="005E7A81" w:rsidRDefault="00294FD1" w:rsidP="00294FD1">
      <w:pPr>
        <w:suppressAutoHyphens/>
        <w:overflowPunct w:val="0"/>
        <w:autoSpaceDE w:val="0"/>
        <w:autoSpaceDN w:val="0"/>
        <w:adjustRightInd w:val="0"/>
        <w:spacing w:before="130" w:line="240" w:lineRule="auto"/>
        <w:jc w:val="both"/>
        <w:textAlignment w:val="baseline"/>
        <w:rPr>
          <w:rFonts w:ascii="Arial" w:eastAsia="Batang" w:hAnsi="Arial" w:cs="Times New Roman"/>
          <w:bCs/>
          <w:sz w:val="20"/>
          <w:szCs w:val="20"/>
        </w:rPr>
      </w:pPr>
      <w:r w:rsidRPr="005E7A81">
        <w:rPr>
          <w:rFonts w:ascii="Arial" w:eastAsia="Batang" w:hAnsi="Arial" w:cs="Times New Roman"/>
          <w:bCs/>
          <w:sz w:val="20"/>
          <w:szCs w:val="20"/>
        </w:rPr>
        <w:t>The financial statements have been prepared on the same basis as those for the year ended 31 December 202</w:t>
      </w:r>
      <w:r w:rsidR="00B5794D" w:rsidRPr="005E7A81">
        <w:rPr>
          <w:rFonts w:ascii="Arial" w:eastAsia="Batang" w:hAnsi="Arial" w:cs="Times New Roman"/>
          <w:bCs/>
          <w:sz w:val="20"/>
          <w:szCs w:val="20"/>
        </w:rPr>
        <w:t>4</w:t>
      </w:r>
      <w:r w:rsidRPr="005E7A81">
        <w:rPr>
          <w:rFonts w:ascii="Arial" w:eastAsia="Batang" w:hAnsi="Arial" w:cs="Times New Roman"/>
          <w:bCs/>
          <w:sz w:val="20"/>
          <w:szCs w:val="20"/>
        </w:rPr>
        <w:t>.</w:t>
      </w:r>
    </w:p>
    <w:p w14:paraId="053C5215" w14:textId="77777777" w:rsidR="00294FD1" w:rsidRPr="005E7A81" w:rsidRDefault="00294FD1" w:rsidP="00294FD1">
      <w:pPr>
        <w:suppressAutoHyphens/>
        <w:overflowPunct w:val="0"/>
        <w:autoSpaceDE w:val="0"/>
        <w:autoSpaceDN w:val="0"/>
        <w:adjustRightInd w:val="0"/>
        <w:spacing w:before="130"/>
        <w:textAlignment w:val="baseline"/>
        <w:rPr>
          <w:rFonts w:ascii="Arial" w:eastAsia="Batang" w:hAnsi="Arial" w:cs="Times New Roman"/>
          <w:b/>
          <w:bCs/>
          <w:sz w:val="20"/>
          <w:szCs w:val="20"/>
        </w:rPr>
      </w:pPr>
      <w:r w:rsidRPr="005E7A81">
        <w:rPr>
          <w:rFonts w:ascii="Arial" w:eastAsia="Batang" w:hAnsi="Arial" w:cs="Times New Roman"/>
          <w:b/>
          <w:bCs/>
          <w:sz w:val="20"/>
          <w:szCs w:val="20"/>
        </w:rPr>
        <w:t>Statement of compliance</w:t>
      </w:r>
    </w:p>
    <w:p w14:paraId="762596F7" w14:textId="77777777" w:rsidR="00294FD1" w:rsidRPr="005E7A81" w:rsidRDefault="00294FD1" w:rsidP="00294FD1">
      <w:pPr>
        <w:pStyle w:val="Heading7"/>
        <w:overflowPunct w:val="0"/>
        <w:autoSpaceDE w:val="0"/>
        <w:autoSpaceDN w:val="0"/>
        <w:adjustRightInd w:val="0"/>
        <w:spacing w:before="130" w:after="200" w:line="240" w:lineRule="auto"/>
        <w:jc w:val="both"/>
        <w:textAlignment w:val="baseline"/>
        <w:rPr>
          <w:rFonts w:ascii="Arial" w:eastAsia="Batang" w:hAnsi="Arial" w:cs="Times New Roman"/>
          <w:bCs/>
          <w:color w:val="auto"/>
          <w:sz w:val="20"/>
          <w:szCs w:val="20"/>
        </w:rPr>
      </w:pPr>
      <w:r w:rsidRPr="005E7A81">
        <w:rPr>
          <w:rFonts w:ascii="Arial" w:eastAsia="Batang" w:hAnsi="Arial" w:cs="Times New Roman"/>
          <w:bCs/>
          <w:color w:val="auto"/>
          <w:sz w:val="20"/>
          <w:szCs w:val="20"/>
        </w:rPr>
        <w:t xml:space="preserve">This condensed set of financial statements has been prepared in accordance with IAS 34 - Interim Financial Reporting as adopted for use in the UK.  </w:t>
      </w:r>
    </w:p>
    <w:p w14:paraId="1B1D696F" w14:textId="2882033B" w:rsidR="00294FD1" w:rsidRPr="005E7A81" w:rsidRDefault="00294FD1" w:rsidP="00294FD1">
      <w:pPr>
        <w:pStyle w:val="Heading7"/>
        <w:overflowPunct w:val="0"/>
        <w:autoSpaceDE w:val="0"/>
        <w:autoSpaceDN w:val="0"/>
        <w:adjustRightInd w:val="0"/>
        <w:spacing w:before="130" w:after="200" w:line="240" w:lineRule="auto"/>
        <w:jc w:val="both"/>
        <w:textAlignment w:val="baseline"/>
        <w:rPr>
          <w:rFonts w:ascii="Arial" w:eastAsia="Batang" w:hAnsi="Arial" w:cs="Times New Roman"/>
          <w:bCs/>
          <w:color w:val="auto"/>
          <w:sz w:val="20"/>
          <w:szCs w:val="20"/>
        </w:rPr>
      </w:pPr>
      <w:r w:rsidRPr="005E7A81">
        <w:rPr>
          <w:rFonts w:ascii="Arial" w:eastAsia="Batang" w:hAnsi="Arial" w:cs="Times New Roman"/>
          <w:bCs/>
          <w:color w:val="auto"/>
          <w:sz w:val="20"/>
          <w:szCs w:val="20"/>
        </w:rPr>
        <w:t xml:space="preserve">The annual financial statements of the </w:t>
      </w:r>
      <w:r w:rsidR="00903C2E" w:rsidRPr="005E7A81">
        <w:rPr>
          <w:rFonts w:ascii="Arial" w:eastAsia="Batang" w:hAnsi="Arial" w:cs="Times New Roman"/>
          <w:bCs/>
          <w:color w:val="auto"/>
          <w:sz w:val="20"/>
          <w:szCs w:val="20"/>
        </w:rPr>
        <w:t>G</w:t>
      </w:r>
      <w:r w:rsidRPr="005E7A81">
        <w:rPr>
          <w:rFonts w:ascii="Arial" w:eastAsia="Batang" w:hAnsi="Arial" w:cs="Times New Roman"/>
          <w:bCs/>
          <w:color w:val="auto"/>
          <w:sz w:val="20"/>
          <w:szCs w:val="20"/>
        </w:rPr>
        <w:t xml:space="preserve">roup are prepared in accordance with UK-adopted international accounting standards.  As required by the Disclosure Guidance and Transparency Rules of the Financial Conduct Authority, the condensed set of financial statements has been prepared applying the accounting policies and presentation that were applied in the preparation of the </w:t>
      </w:r>
      <w:r w:rsidR="00282A9B" w:rsidRPr="005E7A81">
        <w:rPr>
          <w:rFonts w:ascii="Arial" w:eastAsia="Batang" w:hAnsi="Arial" w:cs="Times New Roman"/>
          <w:bCs/>
          <w:color w:val="auto"/>
          <w:sz w:val="20"/>
          <w:szCs w:val="20"/>
        </w:rPr>
        <w:t>C</w:t>
      </w:r>
      <w:r w:rsidRPr="005E7A81">
        <w:rPr>
          <w:rFonts w:ascii="Arial" w:eastAsia="Batang" w:hAnsi="Arial" w:cs="Times New Roman"/>
          <w:bCs/>
          <w:color w:val="auto"/>
          <w:sz w:val="20"/>
          <w:szCs w:val="20"/>
        </w:rPr>
        <w:t>ompany’s published consolidated financial statements for the year ended 31 December 202</w:t>
      </w:r>
      <w:r w:rsidR="000A14EE" w:rsidRPr="005E7A81">
        <w:rPr>
          <w:rFonts w:ascii="Arial" w:eastAsia="Batang" w:hAnsi="Arial" w:cs="Times New Roman"/>
          <w:bCs/>
          <w:color w:val="auto"/>
          <w:sz w:val="20"/>
          <w:szCs w:val="20"/>
        </w:rPr>
        <w:t>4</w:t>
      </w:r>
      <w:r w:rsidRPr="005E7A81">
        <w:rPr>
          <w:rFonts w:ascii="Arial" w:eastAsia="Batang" w:hAnsi="Arial" w:cs="Times New Roman"/>
          <w:bCs/>
          <w:color w:val="auto"/>
          <w:sz w:val="20"/>
          <w:szCs w:val="20"/>
        </w:rPr>
        <w:t xml:space="preserve">.  </w:t>
      </w:r>
    </w:p>
    <w:p w14:paraId="526289C9" w14:textId="3792B7C6" w:rsidR="00294FD1" w:rsidRPr="005C13FE" w:rsidRDefault="00294FD1" w:rsidP="00CC04A5">
      <w:pPr>
        <w:suppressAutoHyphens/>
        <w:overflowPunct w:val="0"/>
        <w:autoSpaceDE w:val="0"/>
        <w:autoSpaceDN w:val="0"/>
        <w:adjustRightInd w:val="0"/>
        <w:spacing w:before="130"/>
        <w:jc w:val="both"/>
        <w:textAlignment w:val="baseline"/>
        <w:rPr>
          <w:rFonts w:ascii="Arial" w:eastAsia="Batang" w:hAnsi="Arial" w:cs="Times New Roman"/>
          <w:sz w:val="20"/>
          <w:szCs w:val="20"/>
        </w:rPr>
      </w:pPr>
      <w:r w:rsidRPr="005E7A81">
        <w:rPr>
          <w:rFonts w:ascii="Arial" w:eastAsia="Batang" w:hAnsi="Arial" w:cs="Times New Roman"/>
          <w:bCs/>
          <w:sz w:val="20"/>
          <w:szCs w:val="20"/>
        </w:rPr>
        <w:t xml:space="preserve">These condensed consolidated interim financial statements were approved by the board of directors on </w:t>
      </w:r>
      <w:r w:rsidR="00DB7808" w:rsidRPr="005C13FE">
        <w:rPr>
          <w:rFonts w:ascii="Arial" w:eastAsia="Batang" w:hAnsi="Arial" w:cs="Times New Roman"/>
          <w:sz w:val="20"/>
          <w:szCs w:val="20"/>
        </w:rPr>
        <w:t>1</w:t>
      </w:r>
      <w:r w:rsidR="00DB7808">
        <w:rPr>
          <w:rFonts w:ascii="Arial" w:eastAsia="Batang" w:hAnsi="Arial" w:cs="Times New Roman"/>
          <w:sz w:val="20"/>
          <w:szCs w:val="20"/>
        </w:rPr>
        <w:t>8</w:t>
      </w:r>
      <w:r w:rsidRPr="005C13FE">
        <w:rPr>
          <w:rFonts w:ascii="Arial" w:eastAsia="Batang" w:hAnsi="Arial" w:cs="Times New Roman"/>
          <w:sz w:val="20"/>
          <w:szCs w:val="20"/>
        </w:rPr>
        <w:t xml:space="preserve"> July </w:t>
      </w:r>
      <w:r w:rsidR="00164317" w:rsidRPr="005C13FE">
        <w:rPr>
          <w:rFonts w:ascii="Arial" w:eastAsia="Batang" w:hAnsi="Arial" w:cs="Times New Roman"/>
          <w:sz w:val="20"/>
          <w:szCs w:val="20"/>
        </w:rPr>
        <w:t>202</w:t>
      </w:r>
      <w:r w:rsidR="00164317">
        <w:rPr>
          <w:rFonts w:ascii="Arial" w:eastAsia="Batang" w:hAnsi="Arial" w:cs="Times New Roman"/>
          <w:sz w:val="20"/>
          <w:szCs w:val="20"/>
        </w:rPr>
        <w:t>5</w:t>
      </w:r>
      <w:r w:rsidRPr="005C13FE">
        <w:rPr>
          <w:rFonts w:ascii="Arial" w:eastAsia="Batang" w:hAnsi="Arial" w:cs="Times New Roman"/>
          <w:sz w:val="20"/>
          <w:szCs w:val="20"/>
        </w:rPr>
        <w:t>.</w:t>
      </w:r>
    </w:p>
    <w:p w14:paraId="294CC248" w14:textId="77777777" w:rsidR="00294FD1" w:rsidRPr="005E7A81"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sz w:val="20"/>
          <w:szCs w:val="20"/>
        </w:rPr>
      </w:pPr>
      <w:r w:rsidRPr="005E7A81">
        <w:rPr>
          <w:rFonts w:ascii="Arial" w:eastAsia="Batang" w:hAnsi="Arial" w:cs="Times New Roman"/>
          <w:b/>
          <w:sz w:val="20"/>
          <w:szCs w:val="20"/>
        </w:rPr>
        <w:t>Going concern</w:t>
      </w:r>
      <w:r w:rsidRPr="005E7A81" w:rsidDel="00D918BF">
        <w:rPr>
          <w:rFonts w:ascii="Arial" w:eastAsia="Batang" w:hAnsi="Arial" w:cs="Times New Roman"/>
          <w:b/>
          <w:sz w:val="20"/>
          <w:szCs w:val="20"/>
        </w:rPr>
        <w:t xml:space="preserve"> </w:t>
      </w:r>
    </w:p>
    <w:p w14:paraId="2BCF39D3" w14:textId="77777777" w:rsidR="0013647B" w:rsidRPr="009C3667" w:rsidRDefault="0013647B" w:rsidP="0013647B">
      <w:pPr>
        <w:pStyle w:val="bodytext0"/>
        <w:jc w:val="both"/>
        <w:rPr>
          <w:sz w:val="20"/>
          <w:szCs w:val="20"/>
        </w:rPr>
      </w:pPr>
      <w:bookmarkStart w:id="21" w:name="_Hlk168930285"/>
      <w:r w:rsidRPr="009C3667">
        <w:rPr>
          <w:sz w:val="20"/>
          <w:szCs w:val="20"/>
        </w:rPr>
        <w:t xml:space="preserve">The Directors have prepared the condensed set of consolidated interim financial statements on a going concern basis for the following reasons. </w:t>
      </w:r>
    </w:p>
    <w:p w14:paraId="47EA0B53" w14:textId="2E68D351" w:rsidR="00AC52A7" w:rsidRPr="009C3667" w:rsidRDefault="00AC52A7" w:rsidP="009C3667">
      <w:pPr>
        <w:pStyle w:val="bodytext0"/>
        <w:jc w:val="both"/>
        <w:rPr>
          <w:color w:val="FF0000"/>
          <w:sz w:val="20"/>
          <w:szCs w:val="20"/>
        </w:rPr>
      </w:pPr>
      <w:r w:rsidRPr="009C3667">
        <w:rPr>
          <w:sz w:val="20"/>
          <w:szCs w:val="20"/>
        </w:rPr>
        <w:t xml:space="preserve">As at 30 June 2025, the Group’s external debt comprised a revolving credit facility (‘RCF’), (of which </w:t>
      </w:r>
      <w:r w:rsidRPr="00DA53C4">
        <w:rPr>
          <w:sz w:val="20"/>
          <w:szCs w:val="20"/>
        </w:rPr>
        <w:t>£45m</w:t>
      </w:r>
      <w:r w:rsidRPr="009C3667">
        <w:rPr>
          <w:sz w:val="20"/>
          <w:szCs w:val="20"/>
        </w:rPr>
        <w:t xml:space="preserve"> of the £125m available was drawn down). </w:t>
      </w:r>
      <w:r w:rsidR="007E2DEF">
        <w:rPr>
          <w:sz w:val="20"/>
          <w:szCs w:val="20"/>
        </w:rPr>
        <w:t>T</w:t>
      </w:r>
      <w:r w:rsidRPr="009C3667">
        <w:rPr>
          <w:sz w:val="20"/>
          <w:szCs w:val="20"/>
        </w:rPr>
        <w:t xml:space="preserve">he current RCF is due for renewal in June 2028. </w:t>
      </w:r>
    </w:p>
    <w:p w14:paraId="78C1476A" w14:textId="13825EC4" w:rsidR="00AC52A7" w:rsidRPr="009C3667" w:rsidRDefault="00AC52A7" w:rsidP="009C3667">
      <w:pPr>
        <w:pStyle w:val="bodytext0"/>
        <w:jc w:val="both"/>
        <w:rPr>
          <w:strike/>
          <w:color w:val="FF0000"/>
          <w:sz w:val="20"/>
          <w:szCs w:val="20"/>
        </w:rPr>
      </w:pPr>
      <w:r w:rsidRPr="009C3667">
        <w:rPr>
          <w:sz w:val="20"/>
          <w:szCs w:val="20"/>
        </w:rPr>
        <w:t>Since 30 June 2025</w:t>
      </w:r>
      <w:r w:rsidRPr="009C3667">
        <w:rPr>
          <w:color w:val="auto"/>
          <w:sz w:val="20"/>
          <w:szCs w:val="20"/>
        </w:rPr>
        <w:t xml:space="preserve">, no further amounts </w:t>
      </w:r>
      <w:r w:rsidRPr="009C3667">
        <w:rPr>
          <w:sz w:val="20"/>
          <w:szCs w:val="20"/>
        </w:rPr>
        <w:t xml:space="preserve">have been drawn down on the RCF and repayments of </w:t>
      </w:r>
      <w:r w:rsidRPr="005C13FE">
        <w:rPr>
          <w:color w:val="auto"/>
          <w:sz w:val="20"/>
          <w:szCs w:val="20"/>
        </w:rPr>
        <w:t>£</w:t>
      </w:r>
      <w:r w:rsidR="00963E34" w:rsidRPr="005C13FE">
        <w:rPr>
          <w:color w:val="auto"/>
          <w:sz w:val="20"/>
          <w:szCs w:val="20"/>
        </w:rPr>
        <w:t>12</w:t>
      </w:r>
      <w:r w:rsidRPr="005C13FE">
        <w:rPr>
          <w:color w:val="auto"/>
          <w:sz w:val="20"/>
          <w:szCs w:val="20"/>
        </w:rPr>
        <w:t>m</w:t>
      </w:r>
      <w:r w:rsidRPr="009C3667">
        <w:rPr>
          <w:color w:val="auto"/>
          <w:sz w:val="20"/>
          <w:szCs w:val="20"/>
        </w:rPr>
        <w:t xml:space="preserve"> have </w:t>
      </w:r>
      <w:r w:rsidRPr="009C3667">
        <w:rPr>
          <w:sz w:val="20"/>
          <w:szCs w:val="20"/>
        </w:rPr>
        <w:t>been made. The operations of the business have been impacted by macroeconomic uncertainty including dampened consumer confidence and continued high interest rates, as well as restrictions on the energy switching market. However, the Group remains profitable, cash generative and compliant with the covenants of its borrowings.</w:t>
      </w:r>
    </w:p>
    <w:p w14:paraId="29DDACAA" w14:textId="0425E263" w:rsidR="0013647B" w:rsidRPr="009C3667" w:rsidRDefault="0013647B" w:rsidP="0013647B">
      <w:pPr>
        <w:pStyle w:val="bodytext0"/>
        <w:jc w:val="both"/>
        <w:rPr>
          <w:sz w:val="20"/>
          <w:szCs w:val="20"/>
        </w:rPr>
      </w:pPr>
      <w:r w:rsidRPr="009C3667">
        <w:rPr>
          <w:sz w:val="20"/>
          <w:szCs w:val="20"/>
        </w:rPr>
        <w:t xml:space="preserve">The Directors have prepared cash flow forecasts for the Group, including its cash position, for a period of at least 12 months from the date of approval of the condensed set of consolidated interim financial statements. The Directors have considered the effect of potential trading headwinds and recession and competition such as new entrants upon the Group’s business, financial position, and liquidity in severe, but plausible, downside scenarios. The scenarios modelled take into account the potential downside trading impacts from recession, </w:t>
      </w:r>
      <w:r w:rsidR="00AC52A7" w:rsidRPr="009C3667">
        <w:rPr>
          <w:sz w:val="20"/>
          <w:szCs w:val="20"/>
        </w:rPr>
        <w:t>consumer confidence</w:t>
      </w:r>
      <w:r w:rsidRPr="009C3667">
        <w:rPr>
          <w:sz w:val="20"/>
          <w:szCs w:val="20"/>
        </w:rPr>
        <w:t xml:space="preserve">, competitive pressures and any one-off cash impacts </w:t>
      </w:r>
      <w:r w:rsidR="00AC52A7" w:rsidRPr="009C3667">
        <w:rPr>
          <w:sz w:val="20"/>
          <w:szCs w:val="20"/>
        </w:rPr>
        <w:t>(</w:t>
      </w:r>
      <w:r w:rsidR="003604C1" w:rsidRPr="009C3667">
        <w:rPr>
          <w:sz w:val="20"/>
          <w:szCs w:val="20"/>
        </w:rPr>
        <w:t>e.g.</w:t>
      </w:r>
      <w:r w:rsidR="00AC52A7" w:rsidRPr="009C3667">
        <w:rPr>
          <w:sz w:val="20"/>
          <w:szCs w:val="20"/>
        </w:rPr>
        <w:t xml:space="preserve"> a fine) </w:t>
      </w:r>
      <w:r w:rsidRPr="009C3667">
        <w:rPr>
          <w:sz w:val="20"/>
          <w:szCs w:val="20"/>
        </w:rPr>
        <w:t>on top of a base scenario derived from the Group’s latest forecasts. The severe, but plausible, downside scenarios modelled, under a detailed exercise at a channel level, included minimal recovery of energy over the period of the cash flow forecasts and in the most severe scenarios reflected some of the possible cost mitigations that</w:t>
      </w:r>
      <w:r w:rsidR="00AC52A7" w:rsidRPr="009C3667">
        <w:rPr>
          <w:sz w:val="20"/>
          <w:szCs w:val="20"/>
        </w:rPr>
        <w:t> could be taken.</w:t>
      </w:r>
      <w:r w:rsidRPr="009C3667">
        <w:rPr>
          <w:sz w:val="20"/>
          <w:szCs w:val="20"/>
        </w:rPr>
        <w:t xml:space="preserve"> The impact these scenarios have on the financial resources, including the extent of utilisation of the available debt arrangements and impact on covenant calculations has been modelled. The possible mitigating circumstances and actions in the event of such scenarios occurring that were considered by the Directors included cost mitigations such as a reduction in the ordinary dividend payment, a reduction in operating expenses or the slowdown of capital expenditure. </w:t>
      </w:r>
      <w:r w:rsidR="00C059E8" w:rsidRPr="009C3667">
        <w:rPr>
          <w:sz w:val="20"/>
          <w:szCs w:val="20"/>
        </w:rPr>
        <w:t>A reverse</w:t>
      </w:r>
      <w:r w:rsidRPr="009C3667">
        <w:rPr>
          <w:sz w:val="20"/>
          <w:szCs w:val="20"/>
        </w:rPr>
        <w:t xml:space="preserve"> stress test has also been performed, which assumes the maximum available drawdown of borrowings, whilst maintaining covenant compliance.</w:t>
      </w:r>
    </w:p>
    <w:p w14:paraId="3835B2AD" w14:textId="77777777" w:rsidR="0013647B" w:rsidRPr="009C3667" w:rsidRDefault="0013647B" w:rsidP="009C3667">
      <w:pPr>
        <w:spacing w:before="240" w:line="259" w:lineRule="auto"/>
        <w:jc w:val="both"/>
        <w:rPr>
          <w:rFonts w:ascii="Arial" w:hAnsi="Arial" w:cs="Arial"/>
          <w:sz w:val="20"/>
          <w:szCs w:val="20"/>
        </w:rPr>
      </w:pPr>
      <w:r w:rsidRPr="009C3667">
        <w:rPr>
          <w:rFonts w:ascii="Arial" w:hAnsi="Arial" w:cs="Arial"/>
          <w:sz w:val="20"/>
          <w:szCs w:val="20"/>
        </w:rPr>
        <w:t xml:space="preserve">The scenarios modelled and the reverse stress test showed that the Group and the Parent Company will be able to operate at adequate levels of liquidity for at least the next 12 months from the date of signing the condensed set of consolidated interim financial statements. The Directors, therefore, </w:t>
      </w:r>
      <w:r w:rsidRPr="009C3667">
        <w:rPr>
          <w:rFonts w:ascii="Arial" w:hAnsi="Arial" w:cs="Arial"/>
          <w:sz w:val="20"/>
          <w:szCs w:val="20"/>
        </w:rPr>
        <w:lastRenderedPageBreak/>
        <w:t>consider that the Group and Parent Company have adequate resources to continue in operational existence for at least 12 months from the date of approval of the condensed set of consolidated interim financial statements and have prepared them on a going concern basis.</w:t>
      </w:r>
    </w:p>
    <w:p w14:paraId="3548583A" w14:textId="7E30191F" w:rsidR="00795551" w:rsidRPr="005E7A81" w:rsidRDefault="00294FD1" w:rsidP="00DE3335">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sz w:val="20"/>
          <w:szCs w:val="20"/>
        </w:rPr>
      </w:pPr>
      <w:r w:rsidRPr="005E7A81">
        <w:rPr>
          <w:rFonts w:ascii="Arial" w:eastAsia="Batang" w:hAnsi="Arial" w:cs="Times New Roman"/>
          <w:b/>
          <w:sz w:val="20"/>
          <w:szCs w:val="20"/>
        </w:rPr>
        <w:t>Segmental information</w:t>
      </w:r>
    </w:p>
    <w:p w14:paraId="2B467F18" w14:textId="71EE1126" w:rsidR="0087417E" w:rsidRPr="005E7A81" w:rsidRDefault="00294FD1" w:rsidP="00324A0B">
      <w:pPr>
        <w:autoSpaceDE w:val="0"/>
        <w:autoSpaceDN w:val="0"/>
        <w:adjustRightInd w:val="0"/>
        <w:spacing w:line="240" w:lineRule="auto"/>
        <w:jc w:val="both"/>
        <w:rPr>
          <w:rFonts w:ascii="Arial" w:hAnsi="Arial" w:cs="Arial"/>
          <w:color w:val="000000"/>
          <w:sz w:val="20"/>
          <w:szCs w:val="20"/>
          <w14:ligatures w14:val="standardContextual"/>
        </w:rPr>
      </w:pPr>
      <w:r w:rsidRPr="005E7A81">
        <w:rPr>
          <w:rFonts w:ascii="Arial" w:hAnsi="Arial" w:cs="Arial"/>
          <w:color w:val="000000"/>
          <w:sz w:val="20"/>
          <w:szCs w:val="20"/>
          <w14:ligatures w14:val="standardContextual"/>
        </w:rPr>
        <w:t xml:space="preserve">Below we report a measure of profitability at segment level that reflects the way performance is assessed internally. </w:t>
      </w:r>
      <w:r w:rsidR="00031F41" w:rsidRPr="005E7A81">
        <w:rPr>
          <w:rFonts w:ascii="Arial" w:hAnsi="Arial" w:cs="Arial"/>
          <w:color w:val="000000"/>
          <w:sz w:val="20"/>
          <w:szCs w:val="20"/>
          <w14:ligatures w14:val="standardContextual"/>
        </w:rPr>
        <w:t>I</w:t>
      </w:r>
      <w:r w:rsidR="0087417E" w:rsidRPr="005E7A81">
        <w:rPr>
          <w:rFonts w:ascii="Arial" w:hAnsi="Arial" w:cs="Arial"/>
          <w:color w:val="000000"/>
          <w:sz w:val="20"/>
          <w:szCs w:val="20"/>
          <w14:ligatures w14:val="standardContextual"/>
        </w:rPr>
        <w:t xml:space="preserve">nter-vertical revenue and inter-vertical cost of sales </w:t>
      </w:r>
      <w:r w:rsidR="00AA0F3E" w:rsidRPr="005E7A81">
        <w:rPr>
          <w:rFonts w:ascii="Arial" w:hAnsi="Arial" w:cs="Arial"/>
          <w:color w:val="000000"/>
          <w:sz w:val="20"/>
          <w:szCs w:val="20"/>
          <w14:ligatures w14:val="standardContextual"/>
        </w:rPr>
        <w:t xml:space="preserve">are presented </w:t>
      </w:r>
      <w:r w:rsidR="0087417E" w:rsidRPr="005E7A81">
        <w:rPr>
          <w:rFonts w:ascii="Arial" w:hAnsi="Arial" w:cs="Arial"/>
          <w:color w:val="000000"/>
          <w:sz w:val="20"/>
          <w:szCs w:val="20"/>
          <w14:ligatures w14:val="standardContextual"/>
        </w:rPr>
        <w:t>within the verticals in order to give a more accurate view of performance</w:t>
      </w:r>
      <w:r w:rsidR="0076348E" w:rsidRPr="005E7A81">
        <w:rPr>
          <w:rFonts w:ascii="Arial" w:hAnsi="Arial" w:cs="Arial"/>
          <w:color w:val="000000"/>
          <w:sz w:val="20"/>
          <w:szCs w:val="20"/>
          <w14:ligatures w14:val="standardContextual"/>
        </w:rPr>
        <w:t xml:space="preserve"> and </w:t>
      </w:r>
      <w:r w:rsidR="0087417E" w:rsidRPr="005E7A81">
        <w:rPr>
          <w:rFonts w:ascii="Arial" w:hAnsi="Arial" w:cs="Arial"/>
          <w:color w:val="000000"/>
          <w:sz w:val="20"/>
          <w:szCs w:val="20"/>
          <w14:ligatures w14:val="standardContextual"/>
        </w:rPr>
        <w:t xml:space="preserve">are deducted in a separate “inter-vertical eliminations” column to arrive at the consolidated total values. </w:t>
      </w:r>
      <w:bookmarkEnd w:id="21"/>
      <w:r w:rsidR="0087417E" w:rsidRPr="005E7A81">
        <w:rPr>
          <w:rFonts w:ascii="Arial" w:hAnsi="Arial" w:cs="Arial"/>
          <w:color w:val="000000"/>
          <w:sz w:val="20"/>
          <w:szCs w:val="20"/>
          <w14:ligatures w14:val="standardContextual"/>
        </w:rPr>
        <w:t xml:space="preserve">The Group has a number of teams, capabilities and infrastructure which are used to support all verticals e.g. data platform and brand marketing. These are shared costs of the Group rather than “central costs”. We have concluded there is no direct or accurate basis for allocating these costs to the operating segments and therefore they are disclosed separately, which is how they are presented to the Chief Operating Decision Maker. </w:t>
      </w:r>
    </w:p>
    <w:p w14:paraId="11BC36A3" w14:textId="133BF2CE" w:rsidR="0087417E" w:rsidRPr="005E7A81" w:rsidRDefault="0087417E" w:rsidP="00324A0B">
      <w:pPr>
        <w:autoSpaceDE w:val="0"/>
        <w:autoSpaceDN w:val="0"/>
        <w:adjustRightInd w:val="0"/>
        <w:spacing w:line="240" w:lineRule="auto"/>
        <w:jc w:val="both"/>
        <w:rPr>
          <w:rFonts w:ascii="Arial" w:hAnsi="Arial" w:cs="Arial"/>
          <w:color w:val="000000"/>
          <w:sz w:val="20"/>
          <w:szCs w:val="20"/>
          <w14:ligatures w14:val="standardContextual"/>
        </w:rPr>
      </w:pPr>
      <w:r w:rsidRPr="005E7A81">
        <w:rPr>
          <w:rFonts w:ascii="Arial" w:hAnsi="Arial" w:cs="Arial"/>
          <w:color w:val="000000"/>
          <w:sz w:val="20"/>
          <w:szCs w:val="20"/>
          <w14:ligatures w14:val="standardContextual"/>
        </w:rPr>
        <w:t xml:space="preserve">The Group’s reportable segments are Insurance, Money, Home Services, Travel and Cashback. These segments represent individual trading verticals which are reported separately for revenue and directly attributable expenses. Net finance expense, tax and net assets are only reviewed by the Chief Operating Decision Maker at a consolidated level and therefore have not been allocated between segments. All assets held by the Group are located in the UK. </w:t>
      </w:r>
    </w:p>
    <w:p w14:paraId="7B8BC5D4" w14:textId="0194AC8C" w:rsidR="00294FD1" w:rsidRPr="005E7A81" w:rsidRDefault="0087417E" w:rsidP="00324A0B">
      <w:pPr>
        <w:jc w:val="both"/>
      </w:pPr>
      <w:r w:rsidRPr="005E7A81">
        <w:rPr>
          <w:rFonts w:ascii="Arial" w:hAnsi="Arial" w:cs="Arial"/>
          <w:color w:val="000000"/>
          <w:sz w:val="20"/>
          <w:szCs w:val="20"/>
          <w14:ligatures w14:val="standardContextual"/>
        </w:rPr>
        <w:t xml:space="preserve">The following summary describes the products and services in each segment.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701"/>
        <w:gridCol w:w="5477"/>
      </w:tblGrid>
      <w:tr w:rsidR="00B54561" w:rsidRPr="00683B2B" w14:paraId="3A7DBD0E" w14:textId="77777777">
        <w:tc>
          <w:tcPr>
            <w:tcW w:w="1838" w:type="dxa"/>
            <w:tcBorders>
              <w:bottom w:val="single" w:sz="4" w:space="0" w:color="auto"/>
            </w:tcBorders>
            <w:vAlign w:val="bottom"/>
          </w:tcPr>
          <w:p w14:paraId="4B6C0051" w14:textId="77777777" w:rsidR="00B54561" w:rsidRPr="00683B2B" w:rsidRDefault="00B54561" w:rsidP="00B54561">
            <w:pPr>
              <w:spacing w:after="0"/>
              <w:rPr>
                <w:rFonts w:ascii="Arial" w:hAnsi="Arial" w:cs="Arial"/>
                <w:b/>
                <w:bCs/>
              </w:rPr>
            </w:pPr>
            <w:r w:rsidRPr="00683B2B">
              <w:rPr>
                <w:rFonts w:ascii="Arial" w:hAnsi="Arial" w:cs="Arial"/>
                <w:b/>
                <w:bCs/>
              </w:rPr>
              <w:t>Segment</w:t>
            </w:r>
          </w:p>
        </w:tc>
        <w:tc>
          <w:tcPr>
            <w:tcW w:w="1701" w:type="dxa"/>
            <w:tcBorders>
              <w:bottom w:val="single" w:sz="4" w:space="0" w:color="auto"/>
            </w:tcBorders>
            <w:vAlign w:val="bottom"/>
          </w:tcPr>
          <w:p w14:paraId="0954EFB5" w14:textId="77777777" w:rsidR="00B54561" w:rsidRPr="00683B2B" w:rsidRDefault="00B54561" w:rsidP="00B54561">
            <w:pPr>
              <w:spacing w:after="0"/>
              <w:rPr>
                <w:rFonts w:ascii="Arial" w:hAnsi="Arial" w:cs="Arial"/>
                <w:b/>
                <w:bCs/>
              </w:rPr>
            </w:pPr>
            <w:r w:rsidRPr="00683B2B">
              <w:rPr>
                <w:rFonts w:ascii="Arial" w:hAnsi="Arial" w:cs="Arial"/>
                <w:b/>
                <w:bCs/>
              </w:rPr>
              <w:t>Type of sales transaction</w:t>
            </w:r>
          </w:p>
        </w:tc>
        <w:tc>
          <w:tcPr>
            <w:tcW w:w="5477" w:type="dxa"/>
            <w:tcBorders>
              <w:bottom w:val="single" w:sz="4" w:space="0" w:color="auto"/>
            </w:tcBorders>
            <w:vAlign w:val="bottom"/>
          </w:tcPr>
          <w:p w14:paraId="1A7CA2C9" w14:textId="77777777" w:rsidR="00B54561" w:rsidRPr="00683B2B" w:rsidRDefault="00B54561" w:rsidP="00B54561">
            <w:pPr>
              <w:spacing w:after="0"/>
              <w:rPr>
                <w:rFonts w:ascii="Arial" w:hAnsi="Arial" w:cs="Arial"/>
                <w:b/>
                <w:bCs/>
              </w:rPr>
            </w:pPr>
            <w:r w:rsidRPr="00683B2B">
              <w:rPr>
                <w:rFonts w:ascii="Arial" w:hAnsi="Arial" w:cs="Arial"/>
                <w:b/>
                <w:bCs/>
              </w:rPr>
              <w:t>Services provided</w:t>
            </w:r>
          </w:p>
        </w:tc>
      </w:tr>
      <w:tr w:rsidR="00B54561" w:rsidRPr="00683B2B" w14:paraId="618F2801" w14:textId="77777777">
        <w:trPr>
          <w:trHeight w:val="1581"/>
        </w:trPr>
        <w:tc>
          <w:tcPr>
            <w:tcW w:w="1838" w:type="dxa"/>
            <w:tcBorders>
              <w:top w:val="single" w:sz="4" w:space="0" w:color="auto"/>
              <w:bottom w:val="single" w:sz="4" w:space="0" w:color="auto"/>
            </w:tcBorders>
          </w:tcPr>
          <w:p w14:paraId="04CA993B" w14:textId="23CA19A0" w:rsidR="00B54561" w:rsidRPr="00683B2B" w:rsidRDefault="00B54561" w:rsidP="00B54561">
            <w:pPr>
              <w:spacing w:after="0"/>
              <w:rPr>
                <w:rFonts w:ascii="Arial" w:hAnsi="Arial" w:cs="Arial"/>
              </w:rPr>
            </w:pPr>
            <w:r w:rsidRPr="00683B2B">
              <w:rPr>
                <w:rFonts w:ascii="Arial" w:hAnsi="Arial" w:cs="Arial"/>
              </w:rPr>
              <w:t xml:space="preserve">Insurance, Money, </w:t>
            </w:r>
            <w:r>
              <w:rPr>
                <w:rFonts w:ascii="Arial" w:hAnsi="Arial" w:cs="Arial"/>
              </w:rPr>
              <w:t xml:space="preserve">       </w:t>
            </w:r>
            <w:r w:rsidRPr="00683B2B">
              <w:rPr>
                <w:rFonts w:ascii="Arial" w:hAnsi="Arial" w:cs="Arial"/>
              </w:rPr>
              <w:t xml:space="preserve">Home Services </w:t>
            </w:r>
            <w:r>
              <w:rPr>
                <w:rFonts w:ascii="Arial" w:hAnsi="Arial" w:cs="Arial"/>
              </w:rPr>
              <w:t xml:space="preserve">  </w:t>
            </w:r>
            <w:r w:rsidR="00E11E30">
              <w:rPr>
                <w:rFonts w:ascii="Arial" w:hAnsi="Arial" w:cs="Arial"/>
              </w:rPr>
              <w:t>and</w:t>
            </w:r>
            <w:r w:rsidRPr="00683B2B">
              <w:rPr>
                <w:rFonts w:ascii="Arial" w:hAnsi="Arial" w:cs="Arial"/>
              </w:rPr>
              <w:t xml:space="preserve"> Travel</w:t>
            </w:r>
          </w:p>
        </w:tc>
        <w:tc>
          <w:tcPr>
            <w:tcW w:w="1701" w:type="dxa"/>
            <w:tcBorders>
              <w:top w:val="single" w:sz="4" w:space="0" w:color="auto"/>
              <w:bottom w:val="single" w:sz="4" w:space="0" w:color="auto"/>
            </w:tcBorders>
          </w:tcPr>
          <w:p w14:paraId="6B65296C" w14:textId="77777777" w:rsidR="00B54561" w:rsidRPr="00683B2B" w:rsidRDefault="00B54561" w:rsidP="00B54561">
            <w:pPr>
              <w:spacing w:after="0"/>
              <w:rPr>
                <w:rFonts w:ascii="Arial" w:hAnsi="Arial" w:cs="Arial"/>
              </w:rPr>
            </w:pPr>
            <w:r w:rsidRPr="00683B2B">
              <w:rPr>
                <w:rFonts w:ascii="Arial" w:hAnsi="Arial" w:cs="Arial"/>
              </w:rPr>
              <w:t>Price comparison services</w:t>
            </w:r>
          </w:p>
        </w:tc>
        <w:tc>
          <w:tcPr>
            <w:tcW w:w="5477" w:type="dxa"/>
            <w:tcBorders>
              <w:top w:val="single" w:sz="4" w:space="0" w:color="auto"/>
              <w:bottom w:val="single" w:sz="4" w:space="0" w:color="auto"/>
            </w:tcBorders>
          </w:tcPr>
          <w:p w14:paraId="22F30EE5" w14:textId="77777777" w:rsidR="00B54561" w:rsidRPr="00683B2B" w:rsidRDefault="00B54561" w:rsidP="00B54561">
            <w:pPr>
              <w:spacing w:after="0"/>
              <w:rPr>
                <w:rFonts w:ascii="Arial" w:hAnsi="Arial" w:cs="Arial"/>
              </w:rPr>
            </w:pPr>
            <w:r w:rsidRPr="00683B2B">
              <w:rPr>
                <w:rFonts w:ascii="Arial" w:hAnsi="Arial" w:cs="Arial"/>
              </w:rPr>
              <w:t>Users visit one of our sites or apps and generate quotations from product providers or view personal finance information with links to product providers’ sites. Users then click away from our site to complete a transaction on one of those providers’ sites. Revenue is generated from providers by transferring users to their sites.</w:t>
            </w:r>
          </w:p>
        </w:tc>
      </w:tr>
      <w:tr w:rsidR="00B54561" w:rsidRPr="00683B2B" w14:paraId="2899A123" w14:textId="77777777">
        <w:tc>
          <w:tcPr>
            <w:tcW w:w="1838" w:type="dxa"/>
            <w:tcBorders>
              <w:top w:val="single" w:sz="4" w:space="0" w:color="auto"/>
              <w:bottom w:val="single" w:sz="4" w:space="0" w:color="auto"/>
            </w:tcBorders>
          </w:tcPr>
          <w:p w14:paraId="4BFE8CC6" w14:textId="77777777" w:rsidR="00B54561" w:rsidRPr="00683B2B" w:rsidRDefault="00B54561" w:rsidP="00B54561">
            <w:pPr>
              <w:spacing w:after="0"/>
              <w:rPr>
                <w:rFonts w:ascii="Arial" w:hAnsi="Arial" w:cs="Arial"/>
              </w:rPr>
            </w:pPr>
            <w:r w:rsidRPr="00683B2B">
              <w:rPr>
                <w:rFonts w:ascii="Arial" w:hAnsi="Arial" w:cs="Arial"/>
              </w:rPr>
              <w:t>Cashback</w:t>
            </w:r>
          </w:p>
        </w:tc>
        <w:tc>
          <w:tcPr>
            <w:tcW w:w="1701" w:type="dxa"/>
            <w:tcBorders>
              <w:top w:val="single" w:sz="4" w:space="0" w:color="auto"/>
              <w:bottom w:val="single" w:sz="4" w:space="0" w:color="auto"/>
            </w:tcBorders>
          </w:tcPr>
          <w:p w14:paraId="7F6B5CAC" w14:textId="77777777" w:rsidR="00B54561" w:rsidRPr="00683B2B" w:rsidRDefault="00B54561" w:rsidP="00B54561">
            <w:pPr>
              <w:spacing w:after="0"/>
              <w:rPr>
                <w:rFonts w:ascii="Arial" w:hAnsi="Arial" w:cs="Arial"/>
              </w:rPr>
            </w:pPr>
            <w:r w:rsidRPr="00683B2B">
              <w:rPr>
                <w:rFonts w:ascii="Arial" w:hAnsi="Arial" w:cs="Arial"/>
              </w:rPr>
              <w:t>Cashback services</w:t>
            </w:r>
          </w:p>
        </w:tc>
        <w:tc>
          <w:tcPr>
            <w:tcW w:w="5477" w:type="dxa"/>
            <w:tcBorders>
              <w:top w:val="single" w:sz="4" w:space="0" w:color="auto"/>
              <w:bottom w:val="single" w:sz="4" w:space="0" w:color="auto"/>
            </w:tcBorders>
          </w:tcPr>
          <w:p w14:paraId="54CF1D08" w14:textId="77777777" w:rsidR="00B54561" w:rsidRPr="00683B2B" w:rsidRDefault="00B54561" w:rsidP="00B54561">
            <w:pPr>
              <w:spacing w:after="0"/>
              <w:rPr>
                <w:rFonts w:ascii="Arial" w:hAnsi="Arial" w:cs="Arial"/>
              </w:rPr>
            </w:pPr>
            <w:r w:rsidRPr="00683B2B">
              <w:rPr>
                <w:rFonts w:ascii="Arial" w:hAnsi="Arial" w:cs="Arial"/>
              </w:rPr>
              <w:t>Quidco members visit our site or app and click away to a merchant’s site to complete a transaction. Revenue is generated from merchants by transferring members to their sites. Members are rewarded with cashback incentives which are recognised in cost of sales.</w:t>
            </w:r>
          </w:p>
        </w:tc>
      </w:tr>
    </w:tbl>
    <w:p w14:paraId="0802D8B2" w14:textId="77777777" w:rsidR="00294FD1" w:rsidRPr="00A44138"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0" w:line="240" w:lineRule="auto"/>
        <w:textAlignment w:val="baseline"/>
        <w:rPr>
          <w:rFonts w:ascii="Arial" w:eastAsia="Batang" w:hAnsi="Arial" w:cs="Times New Roman"/>
          <w:color w:val="FF0000"/>
          <w:sz w:val="20"/>
          <w:szCs w:val="20"/>
        </w:rPr>
      </w:pPr>
    </w:p>
    <w:p w14:paraId="703FCE9F" w14:textId="77777777" w:rsidR="00294FD1" w:rsidRPr="00A44138" w:rsidRDefault="00294FD1" w:rsidP="00294FD1">
      <w:pPr>
        <w:rPr>
          <w:rFonts w:ascii="Arial" w:eastAsia="Batang" w:hAnsi="Arial" w:cs="Times New Roman"/>
          <w:color w:val="FF0000"/>
          <w:sz w:val="20"/>
          <w:szCs w:val="20"/>
        </w:rPr>
      </w:pPr>
      <w:r w:rsidRPr="00A44138">
        <w:rPr>
          <w:rFonts w:ascii="Arial" w:eastAsia="Batang" w:hAnsi="Arial" w:cs="Times New Roman"/>
          <w:color w:val="FF0000"/>
          <w:sz w:val="20"/>
          <w:szCs w:val="20"/>
        </w:rPr>
        <w:br w:type="page"/>
      </w:r>
    </w:p>
    <w:tbl>
      <w:tblPr>
        <w:tblW w:w="9356" w:type="dxa"/>
        <w:tblLayout w:type="fixed"/>
        <w:tblCellMar>
          <w:left w:w="0" w:type="dxa"/>
          <w:right w:w="57" w:type="dxa"/>
        </w:tblCellMar>
        <w:tblLook w:val="0000" w:firstRow="0" w:lastRow="0" w:firstColumn="0" w:lastColumn="0" w:noHBand="0" w:noVBand="0"/>
      </w:tblPr>
      <w:tblGrid>
        <w:gridCol w:w="2778"/>
        <w:gridCol w:w="850"/>
        <w:gridCol w:w="680"/>
        <w:gridCol w:w="737"/>
        <w:gridCol w:w="680"/>
        <w:gridCol w:w="850"/>
        <w:gridCol w:w="796"/>
        <w:gridCol w:w="993"/>
        <w:gridCol w:w="992"/>
      </w:tblGrid>
      <w:tr w:rsidR="00294FD1" w:rsidRPr="00A44138" w14:paraId="02EFCB3B" w14:textId="77777777" w:rsidTr="00DE3335">
        <w:trPr>
          <w:trHeight w:val="567"/>
        </w:trPr>
        <w:tc>
          <w:tcPr>
            <w:tcW w:w="2778" w:type="dxa"/>
            <w:tcBorders>
              <w:bottom w:val="single" w:sz="4" w:space="0" w:color="auto"/>
            </w:tcBorders>
            <w:vAlign w:val="center"/>
          </w:tcPr>
          <w:p w14:paraId="5AE69F2C" w14:textId="77777777" w:rsidR="00294FD1" w:rsidRPr="00A44138" w:rsidRDefault="00294FD1">
            <w:pPr>
              <w:tabs>
                <w:tab w:val="left" w:pos="0"/>
                <w:tab w:val="left" w:pos="709"/>
                <w:tab w:val="left" w:pos="1559"/>
                <w:tab w:val="left" w:pos="2268"/>
                <w:tab w:val="left" w:pos="2977"/>
                <w:tab w:val="left" w:pos="3686"/>
                <w:tab w:val="left" w:pos="4394"/>
                <w:tab w:val="right" w:pos="8789"/>
              </w:tabs>
              <w:suppressAutoHyphens/>
              <w:overflowPunct w:val="0"/>
              <w:autoSpaceDE w:val="0"/>
              <w:autoSpaceDN w:val="0"/>
              <w:adjustRightInd w:val="0"/>
              <w:spacing w:before="130" w:after="0" w:line="260" w:lineRule="atLeast"/>
              <w:textAlignment w:val="baseline"/>
              <w:rPr>
                <w:rFonts w:ascii="Arial" w:hAnsi="Arial" w:cs="Arial"/>
                <w:b/>
                <w:lang w:eastAsia="ko-KR"/>
              </w:rPr>
            </w:pPr>
            <w:bookmarkStart w:id="22" w:name="_Hlk45115965"/>
            <w:r w:rsidRPr="00A44138">
              <w:rPr>
                <w:rFonts w:ascii="Arial" w:hAnsi="Arial"/>
                <w:b/>
                <w:sz w:val="18"/>
                <w:szCs w:val="18"/>
              </w:rPr>
              <w:lastRenderedPageBreak/>
              <w:t>Segment</w:t>
            </w:r>
          </w:p>
        </w:tc>
        <w:tc>
          <w:tcPr>
            <w:tcW w:w="850" w:type="dxa"/>
            <w:tcBorders>
              <w:bottom w:val="single" w:sz="4" w:space="0" w:color="auto"/>
            </w:tcBorders>
            <w:tcMar>
              <w:left w:w="0" w:type="dxa"/>
              <w:right w:w="0" w:type="dxa"/>
            </w:tcMar>
            <w:vAlign w:val="bottom"/>
          </w:tcPr>
          <w:p w14:paraId="5C754D19"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Insurance</w:t>
            </w:r>
          </w:p>
          <w:p w14:paraId="1B1BAA6D"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680" w:type="dxa"/>
            <w:tcBorders>
              <w:bottom w:val="single" w:sz="4" w:space="0" w:color="auto"/>
            </w:tcBorders>
            <w:tcMar>
              <w:left w:w="0" w:type="dxa"/>
              <w:right w:w="0" w:type="dxa"/>
            </w:tcMar>
            <w:vAlign w:val="bottom"/>
          </w:tcPr>
          <w:p w14:paraId="0F65D21F"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Money</w:t>
            </w:r>
          </w:p>
          <w:p w14:paraId="503A9D6B"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737" w:type="dxa"/>
            <w:tcBorders>
              <w:bottom w:val="single" w:sz="4" w:space="0" w:color="auto"/>
            </w:tcBorders>
            <w:tcMar>
              <w:left w:w="0" w:type="dxa"/>
              <w:right w:w="0" w:type="dxa"/>
            </w:tcMar>
            <w:vAlign w:val="bottom"/>
          </w:tcPr>
          <w:p w14:paraId="73B5E783"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b/>
                <w:sz w:val="14"/>
                <w:szCs w:val="14"/>
              </w:rPr>
            </w:pPr>
            <w:r w:rsidRPr="00A44138">
              <w:rPr>
                <w:rFonts w:ascii="Arial" w:hAnsi="Arial"/>
                <w:b/>
                <w:sz w:val="14"/>
                <w:szCs w:val="14"/>
              </w:rPr>
              <w:t>Home Services</w:t>
            </w:r>
          </w:p>
          <w:p w14:paraId="247F7E09"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b/>
                <w:sz w:val="14"/>
                <w:szCs w:val="14"/>
              </w:rPr>
            </w:pPr>
            <w:r w:rsidRPr="00A44138">
              <w:rPr>
                <w:rFonts w:ascii="Arial" w:hAnsi="Arial"/>
                <w:b/>
                <w:sz w:val="14"/>
                <w:szCs w:val="14"/>
              </w:rPr>
              <w:t>£m</w:t>
            </w:r>
          </w:p>
        </w:tc>
        <w:tc>
          <w:tcPr>
            <w:tcW w:w="680" w:type="dxa"/>
            <w:tcBorders>
              <w:bottom w:val="single" w:sz="4" w:space="0" w:color="auto"/>
            </w:tcBorders>
            <w:tcMar>
              <w:left w:w="0" w:type="dxa"/>
              <w:right w:w="0" w:type="dxa"/>
            </w:tcMar>
            <w:vAlign w:val="bottom"/>
          </w:tcPr>
          <w:p w14:paraId="4A12D30B"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Travel</w:t>
            </w:r>
          </w:p>
          <w:p w14:paraId="4F373A8A"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850" w:type="dxa"/>
            <w:tcBorders>
              <w:bottom w:val="single" w:sz="4" w:space="0" w:color="auto"/>
            </w:tcBorders>
            <w:tcMar>
              <w:left w:w="0" w:type="dxa"/>
              <w:right w:w="0" w:type="dxa"/>
            </w:tcMar>
            <w:vAlign w:val="bottom"/>
          </w:tcPr>
          <w:p w14:paraId="14CDAF67"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Cashback</w:t>
            </w:r>
          </w:p>
          <w:p w14:paraId="31CED225"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796" w:type="dxa"/>
            <w:tcBorders>
              <w:bottom w:val="single" w:sz="4" w:space="0" w:color="auto"/>
            </w:tcBorders>
            <w:vAlign w:val="bottom"/>
          </w:tcPr>
          <w:p w14:paraId="6660931B"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Shared costs</w:t>
            </w:r>
          </w:p>
          <w:p w14:paraId="21F85F75"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993" w:type="dxa"/>
            <w:tcBorders>
              <w:bottom w:val="single" w:sz="4" w:space="0" w:color="auto"/>
            </w:tcBorders>
            <w:tcMar>
              <w:left w:w="0" w:type="dxa"/>
              <w:right w:w="0" w:type="dxa"/>
            </w:tcMar>
          </w:tcPr>
          <w:p w14:paraId="5072CD8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p>
          <w:p w14:paraId="5F431BC4" w14:textId="734292C1"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Inter-vertical eliminations</w:t>
            </w:r>
            <w:r w:rsidR="00944875" w:rsidRPr="00A44138">
              <w:rPr>
                <w:rFonts w:ascii="Arial" w:eastAsia="Batang" w:hAnsi="Arial" w:cs="Arial"/>
                <w:b/>
                <w:sz w:val="14"/>
                <w:szCs w:val="14"/>
              </w:rPr>
              <w:t>**</w:t>
            </w:r>
          </w:p>
          <w:p w14:paraId="2C8D0DBD"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992" w:type="dxa"/>
            <w:tcBorders>
              <w:bottom w:val="single" w:sz="4" w:space="0" w:color="auto"/>
            </w:tcBorders>
            <w:vAlign w:val="bottom"/>
          </w:tcPr>
          <w:p w14:paraId="3A54D5D7"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Total</w:t>
            </w:r>
          </w:p>
          <w:p w14:paraId="639C6C33"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4"/>
                <w:szCs w:val="14"/>
              </w:rPr>
            </w:pPr>
            <w:r w:rsidRPr="00A44138">
              <w:rPr>
                <w:rFonts w:ascii="Arial" w:eastAsia="Batang" w:hAnsi="Arial" w:cs="Arial"/>
                <w:b/>
                <w:sz w:val="14"/>
                <w:szCs w:val="14"/>
              </w:rPr>
              <w:t>£m</w:t>
            </w:r>
          </w:p>
        </w:tc>
      </w:tr>
      <w:tr w:rsidR="00294FD1" w:rsidRPr="00A44138" w14:paraId="709B8F50" w14:textId="77777777" w:rsidTr="00DE3335">
        <w:trPr>
          <w:trHeight w:val="267"/>
        </w:trPr>
        <w:tc>
          <w:tcPr>
            <w:tcW w:w="2778" w:type="dxa"/>
            <w:tcBorders>
              <w:top w:val="single" w:sz="4" w:space="0" w:color="auto"/>
            </w:tcBorders>
            <w:vAlign w:val="center"/>
          </w:tcPr>
          <w:p w14:paraId="44543CB9" w14:textId="4F53240C"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b/>
                <w:sz w:val="18"/>
                <w:szCs w:val="18"/>
              </w:rPr>
            </w:pPr>
            <w:r w:rsidRPr="00A44138">
              <w:rPr>
                <w:rFonts w:ascii="Arial" w:hAnsi="Arial" w:cs="Arial"/>
                <w:b/>
                <w:sz w:val="18"/>
                <w:szCs w:val="18"/>
              </w:rPr>
              <w:t>Period ended 30 June 202</w:t>
            </w:r>
            <w:r w:rsidR="004424BD">
              <w:rPr>
                <w:rFonts w:ascii="Arial" w:hAnsi="Arial" w:cs="Arial"/>
                <w:b/>
                <w:sz w:val="18"/>
                <w:szCs w:val="18"/>
              </w:rPr>
              <w:t>5</w:t>
            </w:r>
          </w:p>
        </w:tc>
        <w:tc>
          <w:tcPr>
            <w:tcW w:w="850" w:type="dxa"/>
            <w:tcBorders>
              <w:top w:val="single" w:sz="4" w:space="0" w:color="auto"/>
            </w:tcBorders>
            <w:tcMar>
              <w:left w:w="0" w:type="dxa"/>
              <w:right w:w="0" w:type="dxa"/>
            </w:tcMar>
            <w:vAlign w:val="center"/>
          </w:tcPr>
          <w:p w14:paraId="6EAA581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680" w:type="dxa"/>
            <w:tcBorders>
              <w:top w:val="single" w:sz="4" w:space="0" w:color="auto"/>
            </w:tcBorders>
            <w:tcMar>
              <w:left w:w="0" w:type="dxa"/>
              <w:right w:w="0" w:type="dxa"/>
            </w:tcMar>
            <w:vAlign w:val="center"/>
          </w:tcPr>
          <w:p w14:paraId="1801E410"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737" w:type="dxa"/>
            <w:tcBorders>
              <w:top w:val="single" w:sz="4" w:space="0" w:color="auto"/>
            </w:tcBorders>
            <w:tcMar>
              <w:left w:w="0" w:type="dxa"/>
              <w:right w:w="0" w:type="dxa"/>
            </w:tcMar>
            <w:vAlign w:val="center"/>
          </w:tcPr>
          <w:p w14:paraId="1B9709C3"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u w:val="single"/>
              </w:rPr>
            </w:pPr>
          </w:p>
        </w:tc>
        <w:tc>
          <w:tcPr>
            <w:tcW w:w="680" w:type="dxa"/>
            <w:tcBorders>
              <w:top w:val="single" w:sz="4" w:space="0" w:color="auto"/>
            </w:tcBorders>
            <w:tcMar>
              <w:left w:w="0" w:type="dxa"/>
              <w:right w:w="0" w:type="dxa"/>
            </w:tcMar>
            <w:vAlign w:val="center"/>
          </w:tcPr>
          <w:p w14:paraId="0C5E506A"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850" w:type="dxa"/>
            <w:tcBorders>
              <w:top w:val="single" w:sz="4" w:space="0" w:color="auto"/>
            </w:tcBorders>
            <w:tcMar>
              <w:left w:w="0" w:type="dxa"/>
              <w:right w:w="0" w:type="dxa"/>
            </w:tcMar>
            <w:vAlign w:val="center"/>
          </w:tcPr>
          <w:p w14:paraId="193FAC6E"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796" w:type="dxa"/>
            <w:tcBorders>
              <w:top w:val="single" w:sz="4" w:space="0" w:color="auto"/>
            </w:tcBorders>
            <w:vAlign w:val="center"/>
          </w:tcPr>
          <w:p w14:paraId="3AC6BB19"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993" w:type="dxa"/>
            <w:tcBorders>
              <w:top w:val="single" w:sz="4" w:space="0" w:color="auto"/>
            </w:tcBorders>
            <w:tcMar>
              <w:left w:w="0" w:type="dxa"/>
              <w:right w:w="0" w:type="dxa"/>
            </w:tcMar>
            <w:vAlign w:val="center"/>
          </w:tcPr>
          <w:p w14:paraId="75047E5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c>
          <w:tcPr>
            <w:tcW w:w="992" w:type="dxa"/>
            <w:tcBorders>
              <w:top w:val="single" w:sz="4" w:space="0" w:color="auto"/>
            </w:tcBorders>
            <w:vAlign w:val="center"/>
          </w:tcPr>
          <w:p w14:paraId="486F4AF6"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u w:val="single"/>
              </w:rPr>
            </w:pPr>
          </w:p>
        </w:tc>
      </w:tr>
      <w:tr w:rsidR="00294FD1" w:rsidRPr="00A44138" w14:paraId="170CCFA9" w14:textId="77777777" w:rsidTr="00DE3335">
        <w:trPr>
          <w:trHeight w:val="250"/>
        </w:trPr>
        <w:tc>
          <w:tcPr>
            <w:tcW w:w="2778" w:type="dxa"/>
            <w:vAlign w:val="center"/>
          </w:tcPr>
          <w:p w14:paraId="1AD5E900"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Revenue</w:t>
            </w:r>
          </w:p>
        </w:tc>
        <w:tc>
          <w:tcPr>
            <w:tcW w:w="850" w:type="dxa"/>
            <w:tcMar>
              <w:left w:w="0" w:type="dxa"/>
              <w:right w:w="0" w:type="dxa"/>
            </w:tcMar>
            <w:vAlign w:val="center"/>
          </w:tcPr>
          <w:p w14:paraId="1B585F12" w14:textId="04DF7F54"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117.7</w:t>
            </w:r>
          </w:p>
        </w:tc>
        <w:tc>
          <w:tcPr>
            <w:tcW w:w="680" w:type="dxa"/>
            <w:tcMar>
              <w:left w:w="0" w:type="dxa"/>
              <w:right w:w="0" w:type="dxa"/>
            </w:tcMar>
            <w:vAlign w:val="center"/>
          </w:tcPr>
          <w:p w14:paraId="2844069D" w14:textId="0D2462E1"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52.8</w:t>
            </w:r>
          </w:p>
        </w:tc>
        <w:tc>
          <w:tcPr>
            <w:tcW w:w="737" w:type="dxa"/>
            <w:tcMar>
              <w:left w:w="0" w:type="dxa"/>
              <w:right w:w="0" w:type="dxa"/>
            </w:tcMar>
            <w:vAlign w:val="center"/>
          </w:tcPr>
          <w:p w14:paraId="54BE7D0A" w14:textId="47F20F67"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21.6</w:t>
            </w:r>
          </w:p>
        </w:tc>
        <w:tc>
          <w:tcPr>
            <w:tcW w:w="680" w:type="dxa"/>
            <w:tcMar>
              <w:left w:w="0" w:type="dxa"/>
              <w:right w:w="0" w:type="dxa"/>
            </w:tcMar>
            <w:vAlign w:val="center"/>
          </w:tcPr>
          <w:p w14:paraId="2ACFD7D4" w14:textId="2C45CF11"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11.4</w:t>
            </w:r>
          </w:p>
        </w:tc>
        <w:tc>
          <w:tcPr>
            <w:tcW w:w="850" w:type="dxa"/>
            <w:tcMar>
              <w:left w:w="0" w:type="dxa"/>
              <w:right w:w="0" w:type="dxa"/>
            </w:tcMar>
            <w:vAlign w:val="center"/>
          </w:tcPr>
          <w:p w14:paraId="0297A8C6" w14:textId="0D258131"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27.2</w:t>
            </w:r>
          </w:p>
        </w:tc>
        <w:tc>
          <w:tcPr>
            <w:tcW w:w="796" w:type="dxa"/>
            <w:vAlign w:val="center"/>
          </w:tcPr>
          <w:p w14:paraId="0F3275B8" w14:textId="72D9E93F" w:rsidR="00294FD1" w:rsidRPr="00DA53C4" w:rsidDel="00F71010"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w:t>
            </w:r>
          </w:p>
        </w:tc>
        <w:tc>
          <w:tcPr>
            <w:tcW w:w="993" w:type="dxa"/>
            <w:tcMar>
              <w:left w:w="0" w:type="dxa"/>
              <w:right w:w="0" w:type="dxa"/>
            </w:tcMar>
            <w:vAlign w:val="center"/>
          </w:tcPr>
          <w:p w14:paraId="1DDAD9C2" w14:textId="2CD61BC9"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(5.4)</w:t>
            </w:r>
          </w:p>
        </w:tc>
        <w:tc>
          <w:tcPr>
            <w:tcW w:w="992" w:type="dxa"/>
            <w:vAlign w:val="center"/>
          </w:tcPr>
          <w:p w14:paraId="6FE09DA6" w14:textId="2CF4B846"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sidRPr="00DA53C4">
              <w:rPr>
                <w:rFonts w:ascii="Arial" w:eastAsia="Batang" w:hAnsi="Arial" w:cs="Arial"/>
                <w:b/>
                <w:color w:val="000000" w:themeColor="text1"/>
                <w:sz w:val="18"/>
                <w:szCs w:val="18"/>
              </w:rPr>
              <w:t>225.3</w:t>
            </w:r>
          </w:p>
        </w:tc>
      </w:tr>
      <w:tr w:rsidR="00294FD1" w:rsidRPr="00A44138" w14:paraId="194A1D11" w14:textId="77777777" w:rsidTr="00DE3335">
        <w:trPr>
          <w:trHeight w:val="267"/>
        </w:trPr>
        <w:tc>
          <w:tcPr>
            <w:tcW w:w="2778" w:type="dxa"/>
            <w:tcBorders>
              <w:bottom w:val="single" w:sz="4" w:space="0" w:color="auto"/>
            </w:tcBorders>
            <w:vAlign w:val="center"/>
          </w:tcPr>
          <w:p w14:paraId="61873EA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Directly attributable expenses</w:t>
            </w:r>
          </w:p>
        </w:tc>
        <w:tc>
          <w:tcPr>
            <w:tcW w:w="850" w:type="dxa"/>
            <w:tcBorders>
              <w:bottom w:val="single" w:sz="4" w:space="0" w:color="auto"/>
            </w:tcBorders>
            <w:tcMar>
              <w:left w:w="0" w:type="dxa"/>
              <w:right w:w="0" w:type="dxa"/>
            </w:tcMar>
            <w:vAlign w:val="center"/>
          </w:tcPr>
          <w:p w14:paraId="1C7BE969" w14:textId="2980DB5A"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(51.4)</w:t>
            </w:r>
          </w:p>
        </w:tc>
        <w:tc>
          <w:tcPr>
            <w:tcW w:w="680" w:type="dxa"/>
            <w:tcBorders>
              <w:bottom w:val="single" w:sz="4" w:space="0" w:color="auto"/>
            </w:tcBorders>
            <w:tcMar>
              <w:left w:w="0" w:type="dxa"/>
              <w:right w:w="0" w:type="dxa"/>
            </w:tcMar>
            <w:vAlign w:val="center"/>
          </w:tcPr>
          <w:p w14:paraId="58B618F7" w14:textId="4F6BD8B9"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(18.6)</w:t>
            </w:r>
          </w:p>
        </w:tc>
        <w:tc>
          <w:tcPr>
            <w:tcW w:w="737" w:type="dxa"/>
            <w:tcBorders>
              <w:bottom w:val="single" w:sz="4" w:space="0" w:color="auto"/>
            </w:tcBorders>
            <w:tcMar>
              <w:left w:w="0" w:type="dxa"/>
              <w:right w:w="0" w:type="dxa"/>
            </w:tcMar>
            <w:vAlign w:val="center"/>
          </w:tcPr>
          <w:p w14:paraId="5CE8A1EE" w14:textId="7766008E"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(7.1)</w:t>
            </w:r>
          </w:p>
        </w:tc>
        <w:tc>
          <w:tcPr>
            <w:tcW w:w="680" w:type="dxa"/>
            <w:tcBorders>
              <w:bottom w:val="single" w:sz="4" w:space="0" w:color="auto"/>
            </w:tcBorders>
            <w:tcMar>
              <w:left w:w="0" w:type="dxa"/>
              <w:right w:w="0" w:type="dxa"/>
            </w:tcMar>
            <w:vAlign w:val="center"/>
          </w:tcPr>
          <w:p w14:paraId="63991E5F" w14:textId="1F302F24"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color w:val="000000" w:themeColor="text1"/>
                <w:sz w:val="18"/>
                <w:szCs w:val="18"/>
              </w:rPr>
            </w:pPr>
            <w:r w:rsidRPr="00DA53C4">
              <w:rPr>
                <w:rFonts w:ascii="Arial" w:hAnsi="Arial" w:cs="Arial"/>
                <w:color w:val="000000" w:themeColor="text1"/>
                <w:sz w:val="18"/>
                <w:szCs w:val="18"/>
              </w:rPr>
              <w:t>(9.4)</w:t>
            </w:r>
          </w:p>
        </w:tc>
        <w:tc>
          <w:tcPr>
            <w:tcW w:w="850" w:type="dxa"/>
            <w:tcBorders>
              <w:bottom w:val="single" w:sz="4" w:space="0" w:color="auto"/>
            </w:tcBorders>
            <w:tcMar>
              <w:left w:w="0" w:type="dxa"/>
              <w:right w:w="0" w:type="dxa"/>
            </w:tcMar>
            <w:vAlign w:val="center"/>
          </w:tcPr>
          <w:p w14:paraId="042F0678" w14:textId="168D2CC1"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(23.0)</w:t>
            </w:r>
          </w:p>
        </w:tc>
        <w:tc>
          <w:tcPr>
            <w:tcW w:w="796" w:type="dxa"/>
            <w:tcBorders>
              <w:bottom w:val="single" w:sz="4" w:space="0" w:color="auto"/>
            </w:tcBorders>
            <w:vAlign w:val="center"/>
          </w:tcPr>
          <w:p w14:paraId="1B17E8E9" w14:textId="40FAB630"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(46.1)</w:t>
            </w:r>
          </w:p>
        </w:tc>
        <w:tc>
          <w:tcPr>
            <w:tcW w:w="993" w:type="dxa"/>
            <w:tcBorders>
              <w:bottom w:val="single" w:sz="4" w:space="0" w:color="auto"/>
            </w:tcBorders>
            <w:tcMar>
              <w:left w:w="0" w:type="dxa"/>
              <w:right w:w="0" w:type="dxa"/>
            </w:tcMar>
            <w:vAlign w:val="center"/>
          </w:tcPr>
          <w:p w14:paraId="7F4EF8C6" w14:textId="6D2C339D"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5.4</w:t>
            </w:r>
          </w:p>
        </w:tc>
        <w:tc>
          <w:tcPr>
            <w:tcW w:w="992" w:type="dxa"/>
            <w:tcBorders>
              <w:bottom w:val="single" w:sz="4" w:space="0" w:color="auto"/>
            </w:tcBorders>
            <w:vAlign w:val="center"/>
          </w:tcPr>
          <w:p w14:paraId="13AAC4BC" w14:textId="53C5089E"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sidRPr="00DA53C4">
              <w:rPr>
                <w:rFonts w:ascii="Arial" w:eastAsia="Batang" w:hAnsi="Arial" w:cs="Arial"/>
                <w:b/>
                <w:color w:val="000000" w:themeColor="text1"/>
                <w:sz w:val="18"/>
                <w:szCs w:val="18"/>
              </w:rPr>
              <w:t>(150.2)</w:t>
            </w:r>
          </w:p>
        </w:tc>
      </w:tr>
      <w:tr w:rsidR="00294FD1" w:rsidRPr="00A44138" w14:paraId="5690EE8C" w14:textId="77777777" w:rsidTr="00DE3335">
        <w:trPr>
          <w:trHeight w:val="65"/>
        </w:trPr>
        <w:tc>
          <w:tcPr>
            <w:tcW w:w="2778" w:type="dxa"/>
            <w:tcBorders>
              <w:top w:val="single" w:sz="4" w:space="0" w:color="auto"/>
            </w:tcBorders>
            <w:vAlign w:val="center"/>
          </w:tcPr>
          <w:p w14:paraId="4B49D491" w14:textId="297067A0" w:rsidR="00294FD1" w:rsidRPr="00A44138" w:rsidRDefault="00951C96">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Pr>
                <w:rFonts w:ascii="Arial" w:hAnsi="Arial" w:cs="Arial"/>
                <w:sz w:val="18"/>
                <w:szCs w:val="18"/>
              </w:rPr>
              <w:t xml:space="preserve">Adjusted </w:t>
            </w:r>
            <w:r w:rsidR="00294FD1" w:rsidRPr="00A44138">
              <w:rPr>
                <w:rFonts w:ascii="Arial" w:hAnsi="Arial" w:cs="Arial"/>
                <w:sz w:val="18"/>
                <w:szCs w:val="18"/>
              </w:rPr>
              <w:t>EBITDA</w:t>
            </w:r>
            <w:r w:rsidR="008D2CE1">
              <w:rPr>
                <w:rFonts w:ascii="Arial" w:hAnsi="Arial" w:cs="Arial"/>
                <w:sz w:val="18"/>
                <w:szCs w:val="18"/>
              </w:rPr>
              <w:t>*</w:t>
            </w:r>
            <w:r w:rsidR="00294FD1" w:rsidRPr="00A44138">
              <w:rPr>
                <w:rFonts w:ascii="Arial" w:hAnsi="Arial" w:cs="Arial"/>
                <w:sz w:val="18"/>
                <w:szCs w:val="18"/>
              </w:rPr>
              <w:t xml:space="preserve"> contribution</w:t>
            </w:r>
          </w:p>
        </w:tc>
        <w:tc>
          <w:tcPr>
            <w:tcW w:w="850" w:type="dxa"/>
            <w:tcBorders>
              <w:top w:val="single" w:sz="4" w:space="0" w:color="auto"/>
            </w:tcBorders>
            <w:tcMar>
              <w:left w:w="0" w:type="dxa"/>
              <w:right w:w="0" w:type="dxa"/>
            </w:tcMar>
            <w:vAlign w:val="center"/>
          </w:tcPr>
          <w:p w14:paraId="6A6C8BC6" w14:textId="48E87588"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66.3</w:t>
            </w:r>
          </w:p>
        </w:tc>
        <w:tc>
          <w:tcPr>
            <w:tcW w:w="680" w:type="dxa"/>
            <w:tcBorders>
              <w:top w:val="single" w:sz="4" w:space="0" w:color="auto"/>
            </w:tcBorders>
            <w:tcMar>
              <w:left w:w="0" w:type="dxa"/>
              <w:right w:w="0" w:type="dxa"/>
            </w:tcMar>
            <w:vAlign w:val="center"/>
          </w:tcPr>
          <w:p w14:paraId="613B279C" w14:textId="18F1BDF9"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34.2</w:t>
            </w:r>
          </w:p>
        </w:tc>
        <w:tc>
          <w:tcPr>
            <w:tcW w:w="737" w:type="dxa"/>
            <w:tcBorders>
              <w:top w:val="single" w:sz="4" w:space="0" w:color="auto"/>
            </w:tcBorders>
            <w:tcMar>
              <w:left w:w="0" w:type="dxa"/>
              <w:right w:w="0" w:type="dxa"/>
            </w:tcMar>
            <w:vAlign w:val="center"/>
          </w:tcPr>
          <w:p w14:paraId="356B6F1A" w14:textId="0D11AB96"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14.5</w:t>
            </w:r>
          </w:p>
        </w:tc>
        <w:tc>
          <w:tcPr>
            <w:tcW w:w="680" w:type="dxa"/>
            <w:tcBorders>
              <w:top w:val="single" w:sz="4" w:space="0" w:color="auto"/>
            </w:tcBorders>
            <w:tcMar>
              <w:left w:w="0" w:type="dxa"/>
              <w:right w:w="0" w:type="dxa"/>
            </w:tcMar>
            <w:vAlign w:val="center"/>
          </w:tcPr>
          <w:p w14:paraId="759213B4" w14:textId="79F060D2"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2.0</w:t>
            </w:r>
          </w:p>
        </w:tc>
        <w:tc>
          <w:tcPr>
            <w:tcW w:w="850" w:type="dxa"/>
            <w:tcBorders>
              <w:top w:val="single" w:sz="4" w:space="0" w:color="auto"/>
            </w:tcBorders>
            <w:tcMar>
              <w:left w:w="0" w:type="dxa"/>
              <w:right w:w="0" w:type="dxa"/>
            </w:tcMar>
            <w:vAlign w:val="center"/>
          </w:tcPr>
          <w:p w14:paraId="000AE9BD" w14:textId="15BF557F"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4.2</w:t>
            </w:r>
          </w:p>
        </w:tc>
        <w:tc>
          <w:tcPr>
            <w:tcW w:w="796" w:type="dxa"/>
            <w:tcBorders>
              <w:top w:val="single" w:sz="4" w:space="0" w:color="auto"/>
            </w:tcBorders>
            <w:vAlign w:val="center"/>
          </w:tcPr>
          <w:p w14:paraId="3DB5A930" w14:textId="683FB0B1"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(46.1)</w:t>
            </w:r>
          </w:p>
        </w:tc>
        <w:tc>
          <w:tcPr>
            <w:tcW w:w="993" w:type="dxa"/>
            <w:tcBorders>
              <w:top w:val="single" w:sz="4" w:space="0" w:color="auto"/>
            </w:tcBorders>
            <w:tcMar>
              <w:left w:w="0" w:type="dxa"/>
              <w:right w:w="0" w:type="dxa"/>
            </w:tcMar>
            <w:vAlign w:val="center"/>
          </w:tcPr>
          <w:p w14:paraId="7D2872BF" w14:textId="6E6A620C"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000000" w:themeColor="text1"/>
                <w:sz w:val="18"/>
                <w:szCs w:val="18"/>
              </w:rPr>
            </w:pPr>
            <w:r w:rsidRPr="00DA53C4">
              <w:rPr>
                <w:rFonts w:ascii="Arial" w:eastAsia="Batang" w:hAnsi="Arial" w:cs="Arial"/>
                <w:color w:val="000000" w:themeColor="text1"/>
                <w:sz w:val="18"/>
                <w:szCs w:val="18"/>
              </w:rPr>
              <w:t>-</w:t>
            </w:r>
          </w:p>
        </w:tc>
        <w:tc>
          <w:tcPr>
            <w:tcW w:w="992" w:type="dxa"/>
            <w:tcBorders>
              <w:top w:val="single" w:sz="4" w:space="0" w:color="auto"/>
            </w:tcBorders>
            <w:vAlign w:val="center"/>
          </w:tcPr>
          <w:p w14:paraId="13C70ED6" w14:textId="024047D8" w:rsidR="00294FD1" w:rsidRPr="00DA53C4" w:rsidRDefault="00F869B8">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sidRPr="00DA53C4">
              <w:rPr>
                <w:rFonts w:ascii="Arial" w:eastAsia="Batang" w:hAnsi="Arial" w:cs="Arial"/>
                <w:b/>
                <w:color w:val="000000" w:themeColor="text1"/>
                <w:sz w:val="18"/>
                <w:szCs w:val="18"/>
              </w:rPr>
              <w:t>75.1</w:t>
            </w:r>
          </w:p>
        </w:tc>
      </w:tr>
      <w:tr w:rsidR="00294FD1" w:rsidRPr="00A44138" w14:paraId="11231065" w14:textId="77777777" w:rsidTr="00DE3335">
        <w:trPr>
          <w:trHeight w:val="250"/>
        </w:trPr>
        <w:tc>
          <w:tcPr>
            <w:tcW w:w="2778" w:type="dxa"/>
            <w:vAlign w:val="center"/>
          </w:tcPr>
          <w:p w14:paraId="111C63A7" w14:textId="1A6D8159" w:rsidR="00294FD1" w:rsidRPr="00A44138" w:rsidRDefault="008D2CE1">
            <w:pPr>
              <w:tabs>
                <w:tab w:val="left" w:pos="709"/>
                <w:tab w:val="left" w:pos="1559"/>
                <w:tab w:val="left" w:pos="2268"/>
                <w:tab w:val="left" w:pos="2977"/>
                <w:tab w:val="left" w:pos="3686"/>
                <w:tab w:val="left" w:pos="4394"/>
                <w:tab w:val="right" w:pos="8789"/>
              </w:tabs>
              <w:spacing w:after="0" w:line="260" w:lineRule="atLeast"/>
              <w:rPr>
                <w:rFonts w:ascii="Arial" w:hAnsi="Arial" w:cs="Arial"/>
                <w:i/>
                <w:sz w:val="18"/>
                <w:szCs w:val="18"/>
              </w:rPr>
            </w:pPr>
            <w:r>
              <w:rPr>
                <w:rFonts w:ascii="Arial" w:hAnsi="Arial" w:cs="Arial"/>
                <w:i/>
                <w:sz w:val="18"/>
                <w:szCs w:val="18"/>
              </w:rPr>
              <w:t xml:space="preserve">Adjusted </w:t>
            </w:r>
            <w:r w:rsidR="00294FD1" w:rsidRPr="00A44138">
              <w:rPr>
                <w:rFonts w:ascii="Arial" w:hAnsi="Arial" w:cs="Arial"/>
                <w:i/>
                <w:sz w:val="18"/>
                <w:szCs w:val="18"/>
              </w:rPr>
              <w:t>EBITDA contribution margin*</w:t>
            </w:r>
            <w:r w:rsidR="00C8294A">
              <w:rPr>
                <w:rFonts w:ascii="Arial" w:hAnsi="Arial" w:cs="Arial"/>
                <w:i/>
                <w:sz w:val="18"/>
                <w:szCs w:val="18"/>
              </w:rPr>
              <w:t>*</w:t>
            </w:r>
          </w:p>
        </w:tc>
        <w:tc>
          <w:tcPr>
            <w:tcW w:w="850" w:type="dxa"/>
            <w:tcMar>
              <w:left w:w="0" w:type="dxa"/>
              <w:right w:w="0" w:type="dxa"/>
            </w:tcMar>
            <w:vAlign w:val="center"/>
          </w:tcPr>
          <w:p w14:paraId="0927BBA3" w14:textId="3DC36E48" w:rsidR="00294FD1" w:rsidRPr="00DA53C4" w:rsidRDefault="00B227D4">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rPr>
            </w:pPr>
            <w:r w:rsidRPr="00DA53C4">
              <w:rPr>
                <w:rFonts w:ascii="Arial" w:eastAsia="Batang" w:hAnsi="Arial" w:cs="Arial"/>
                <w:i/>
                <w:color w:val="000000" w:themeColor="text1"/>
                <w:sz w:val="18"/>
                <w:szCs w:val="18"/>
              </w:rPr>
              <w:t>56%</w:t>
            </w:r>
          </w:p>
        </w:tc>
        <w:tc>
          <w:tcPr>
            <w:tcW w:w="680" w:type="dxa"/>
            <w:tcMar>
              <w:left w:w="0" w:type="dxa"/>
              <w:right w:w="0" w:type="dxa"/>
            </w:tcMar>
            <w:vAlign w:val="center"/>
          </w:tcPr>
          <w:p w14:paraId="54561802" w14:textId="6F22DD4C" w:rsidR="00294FD1" w:rsidRPr="00DA53C4" w:rsidRDefault="00D4671B">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rPr>
            </w:pPr>
            <w:r w:rsidRPr="00DA53C4">
              <w:rPr>
                <w:rFonts w:ascii="Arial" w:eastAsia="Batang" w:hAnsi="Arial" w:cs="Arial"/>
                <w:i/>
                <w:color w:val="000000" w:themeColor="text1"/>
                <w:sz w:val="18"/>
                <w:szCs w:val="18"/>
              </w:rPr>
              <w:t>65%</w:t>
            </w:r>
          </w:p>
        </w:tc>
        <w:tc>
          <w:tcPr>
            <w:tcW w:w="737" w:type="dxa"/>
            <w:tcMar>
              <w:left w:w="0" w:type="dxa"/>
              <w:right w:w="0" w:type="dxa"/>
            </w:tcMar>
            <w:vAlign w:val="center"/>
          </w:tcPr>
          <w:p w14:paraId="05E3DC9F" w14:textId="74FBE8AA" w:rsidR="00294FD1" w:rsidRPr="00DA53C4" w:rsidRDefault="00D4671B">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rPr>
            </w:pPr>
            <w:r w:rsidRPr="00DA53C4">
              <w:rPr>
                <w:rFonts w:ascii="Arial" w:eastAsia="Batang" w:hAnsi="Arial" w:cs="Arial"/>
                <w:i/>
                <w:color w:val="000000" w:themeColor="text1"/>
                <w:sz w:val="18"/>
                <w:szCs w:val="18"/>
              </w:rPr>
              <w:t>67%</w:t>
            </w:r>
          </w:p>
        </w:tc>
        <w:tc>
          <w:tcPr>
            <w:tcW w:w="680" w:type="dxa"/>
            <w:tcMar>
              <w:left w:w="0" w:type="dxa"/>
              <w:right w:w="0" w:type="dxa"/>
            </w:tcMar>
            <w:vAlign w:val="center"/>
          </w:tcPr>
          <w:p w14:paraId="119375B7" w14:textId="03909A81" w:rsidR="00294FD1" w:rsidRPr="00DA53C4" w:rsidRDefault="00D4671B">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rPr>
            </w:pPr>
            <w:r w:rsidRPr="00DA53C4">
              <w:rPr>
                <w:rFonts w:ascii="Arial" w:eastAsia="Batang" w:hAnsi="Arial" w:cs="Arial"/>
                <w:i/>
                <w:color w:val="000000" w:themeColor="text1"/>
                <w:sz w:val="18"/>
                <w:szCs w:val="18"/>
              </w:rPr>
              <w:t>1</w:t>
            </w:r>
            <w:r w:rsidR="00C4782A" w:rsidRPr="00DA53C4">
              <w:rPr>
                <w:rFonts w:ascii="Arial" w:eastAsia="Batang" w:hAnsi="Arial" w:cs="Arial"/>
                <w:i/>
                <w:color w:val="000000" w:themeColor="text1"/>
                <w:sz w:val="18"/>
                <w:szCs w:val="18"/>
              </w:rPr>
              <w:t>7</w:t>
            </w:r>
            <w:r w:rsidRPr="00DA53C4">
              <w:rPr>
                <w:rFonts w:ascii="Arial" w:eastAsia="Batang" w:hAnsi="Arial" w:cs="Arial"/>
                <w:i/>
                <w:color w:val="000000" w:themeColor="text1"/>
                <w:sz w:val="18"/>
                <w:szCs w:val="18"/>
              </w:rPr>
              <w:t>%</w:t>
            </w:r>
          </w:p>
        </w:tc>
        <w:tc>
          <w:tcPr>
            <w:tcW w:w="850" w:type="dxa"/>
            <w:tcMar>
              <w:left w:w="0" w:type="dxa"/>
              <w:right w:w="0" w:type="dxa"/>
            </w:tcMar>
            <w:vAlign w:val="center"/>
          </w:tcPr>
          <w:p w14:paraId="61179890" w14:textId="37E22709" w:rsidR="00294FD1" w:rsidRPr="00DA53C4" w:rsidRDefault="00D4671B">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rPr>
            </w:pPr>
            <w:r w:rsidRPr="00DA53C4">
              <w:rPr>
                <w:rFonts w:ascii="Arial" w:eastAsia="Batang" w:hAnsi="Arial" w:cs="Arial"/>
                <w:i/>
                <w:color w:val="000000" w:themeColor="text1"/>
                <w:sz w:val="18"/>
                <w:szCs w:val="18"/>
              </w:rPr>
              <w:t>15%</w:t>
            </w:r>
          </w:p>
        </w:tc>
        <w:tc>
          <w:tcPr>
            <w:tcW w:w="796" w:type="dxa"/>
            <w:vAlign w:val="center"/>
          </w:tcPr>
          <w:p w14:paraId="6144B729" w14:textId="41F13C9C"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highlight w:val="yellow"/>
              </w:rPr>
            </w:pPr>
          </w:p>
        </w:tc>
        <w:tc>
          <w:tcPr>
            <w:tcW w:w="993" w:type="dxa"/>
            <w:tcMar>
              <w:left w:w="0" w:type="dxa"/>
              <w:right w:w="0" w:type="dxa"/>
            </w:tcMar>
            <w:vAlign w:val="center"/>
          </w:tcPr>
          <w:p w14:paraId="24337A7C"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color w:val="000000" w:themeColor="text1"/>
                <w:sz w:val="18"/>
                <w:szCs w:val="18"/>
                <w:highlight w:val="yellow"/>
              </w:rPr>
            </w:pPr>
          </w:p>
        </w:tc>
        <w:tc>
          <w:tcPr>
            <w:tcW w:w="992" w:type="dxa"/>
            <w:vAlign w:val="center"/>
          </w:tcPr>
          <w:p w14:paraId="65EEB1AC" w14:textId="797E2ABB" w:rsidR="00294FD1" w:rsidRPr="00DA53C4" w:rsidRDefault="004200E1">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i/>
                <w:color w:val="000000" w:themeColor="text1"/>
                <w:sz w:val="18"/>
                <w:szCs w:val="18"/>
              </w:rPr>
            </w:pPr>
            <w:r w:rsidRPr="00DA53C4">
              <w:rPr>
                <w:rFonts w:ascii="Arial" w:eastAsia="Batang" w:hAnsi="Arial" w:cs="Arial"/>
                <w:b/>
                <w:i/>
                <w:color w:val="000000" w:themeColor="text1"/>
                <w:sz w:val="18"/>
                <w:szCs w:val="18"/>
              </w:rPr>
              <w:t>33%</w:t>
            </w:r>
          </w:p>
        </w:tc>
      </w:tr>
      <w:tr w:rsidR="008D2CE1" w:rsidRPr="00A44138" w14:paraId="770ED513" w14:textId="77777777" w:rsidTr="00DE3335">
        <w:trPr>
          <w:trHeight w:val="267"/>
        </w:trPr>
        <w:tc>
          <w:tcPr>
            <w:tcW w:w="2778" w:type="dxa"/>
            <w:vAlign w:val="center"/>
          </w:tcPr>
          <w:p w14:paraId="6AF8381E" w14:textId="263D712D" w:rsidR="008D2CE1" w:rsidRPr="00A44138" w:rsidRDefault="008D2CE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Pr>
                <w:rFonts w:ascii="Arial" w:hAnsi="Arial" w:cs="Arial"/>
                <w:sz w:val="18"/>
                <w:szCs w:val="18"/>
              </w:rPr>
              <w:t>Irrecoverable VAT and related costs</w:t>
            </w:r>
          </w:p>
        </w:tc>
        <w:tc>
          <w:tcPr>
            <w:tcW w:w="850" w:type="dxa"/>
            <w:tcMar>
              <w:left w:w="0" w:type="dxa"/>
              <w:right w:w="0" w:type="dxa"/>
            </w:tcMar>
            <w:vAlign w:val="center"/>
          </w:tcPr>
          <w:p w14:paraId="4F8DB888"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0AED06F6"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Mar>
              <w:left w:w="0" w:type="dxa"/>
              <w:right w:w="0" w:type="dxa"/>
            </w:tcMar>
            <w:vAlign w:val="center"/>
          </w:tcPr>
          <w:p w14:paraId="4230BEC5" w14:textId="77777777" w:rsidR="008D2CE1" w:rsidRPr="004424BD" w:rsidRDefault="008D2CE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63135645"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Mar>
              <w:left w:w="0" w:type="dxa"/>
              <w:right w:w="0" w:type="dxa"/>
            </w:tcMar>
            <w:vAlign w:val="center"/>
          </w:tcPr>
          <w:p w14:paraId="77E17293"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vAlign w:val="center"/>
          </w:tcPr>
          <w:p w14:paraId="1EF5659E"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Mar>
              <w:left w:w="0" w:type="dxa"/>
              <w:right w:w="0" w:type="dxa"/>
            </w:tcMar>
            <w:vAlign w:val="center"/>
          </w:tcPr>
          <w:p w14:paraId="47482DBF" w14:textId="77777777" w:rsidR="008D2CE1" w:rsidRPr="004424BD" w:rsidRDefault="008D2CE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2" w:type="dxa"/>
            <w:vAlign w:val="center"/>
          </w:tcPr>
          <w:p w14:paraId="370FDFF0" w14:textId="27FA75B6" w:rsidR="008D2CE1" w:rsidRPr="00DA53C4" w:rsidRDefault="00E62796">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sidRPr="00DA53C4">
              <w:rPr>
                <w:rFonts w:ascii="Arial" w:eastAsia="Batang" w:hAnsi="Arial" w:cs="Arial"/>
                <w:b/>
                <w:color w:val="000000" w:themeColor="text1"/>
                <w:sz w:val="18"/>
                <w:szCs w:val="18"/>
              </w:rPr>
              <w:t>(2.2)</w:t>
            </w:r>
          </w:p>
        </w:tc>
      </w:tr>
      <w:tr w:rsidR="00294FD1" w:rsidRPr="00A44138" w14:paraId="3BC964A9" w14:textId="77777777" w:rsidTr="00DE3335">
        <w:trPr>
          <w:trHeight w:val="267"/>
        </w:trPr>
        <w:tc>
          <w:tcPr>
            <w:tcW w:w="2778" w:type="dxa"/>
            <w:vAlign w:val="center"/>
          </w:tcPr>
          <w:p w14:paraId="09389E4E"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Depreciation and amortisation</w:t>
            </w:r>
          </w:p>
        </w:tc>
        <w:tc>
          <w:tcPr>
            <w:tcW w:w="850" w:type="dxa"/>
            <w:tcMar>
              <w:left w:w="0" w:type="dxa"/>
              <w:right w:w="0" w:type="dxa"/>
            </w:tcMar>
            <w:vAlign w:val="center"/>
          </w:tcPr>
          <w:p w14:paraId="5C1DBED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7C30551D"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Mar>
              <w:left w:w="0" w:type="dxa"/>
              <w:right w:w="0" w:type="dxa"/>
            </w:tcMar>
            <w:vAlign w:val="center"/>
          </w:tcPr>
          <w:p w14:paraId="653E2D26"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1D56EF23"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Mar>
              <w:left w:w="0" w:type="dxa"/>
              <w:right w:w="0" w:type="dxa"/>
            </w:tcMar>
            <w:vAlign w:val="center"/>
          </w:tcPr>
          <w:p w14:paraId="2B20CD82"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vAlign w:val="center"/>
          </w:tcPr>
          <w:p w14:paraId="2478CC1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Mar>
              <w:left w:w="0" w:type="dxa"/>
              <w:right w:w="0" w:type="dxa"/>
            </w:tcMar>
            <w:vAlign w:val="center"/>
          </w:tcPr>
          <w:p w14:paraId="493B7736"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2" w:type="dxa"/>
            <w:vAlign w:val="center"/>
          </w:tcPr>
          <w:p w14:paraId="09592411" w14:textId="3CA139B4" w:rsidR="00294FD1" w:rsidRPr="00DA53C4" w:rsidRDefault="00FB633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sidRPr="00DA53C4">
              <w:rPr>
                <w:rFonts w:ascii="Arial" w:eastAsia="Batang" w:hAnsi="Arial" w:cs="Arial"/>
                <w:b/>
                <w:color w:val="000000" w:themeColor="text1"/>
                <w:sz w:val="18"/>
                <w:szCs w:val="18"/>
              </w:rPr>
              <w:t>(11.7)</w:t>
            </w:r>
          </w:p>
        </w:tc>
      </w:tr>
      <w:tr w:rsidR="00294FD1" w:rsidRPr="00A44138" w14:paraId="5C1A918A" w14:textId="77777777" w:rsidTr="00DE3335">
        <w:trPr>
          <w:trHeight w:val="266"/>
        </w:trPr>
        <w:tc>
          <w:tcPr>
            <w:tcW w:w="2778" w:type="dxa"/>
            <w:vAlign w:val="center"/>
          </w:tcPr>
          <w:p w14:paraId="382781FC" w14:textId="3FAC20BF"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 xml:space="preserve">Net finance </w:t>
            </w:r>
            <w:r w:rsidR="00D5596B" w:rsidRPr="00A44138">
              <w:rPr>
                <w:rFonts w:ascii="Arial" w:hAnsi="Arial" w:cs="Arial"/>
                <w:sz w:val="18"/>
                <w:szCs w:val="18"/>
              </w:rPr>
              <w:t>expense</w:t>
            </w:r>
          </w:p>
        </w:tc>
        <w:tc>
          <w:tcPr>
            <w:tcW w:w="850" w:type="dxa"/>
            <w:tcMar>
              <w:left w:w="0" w:type="dxa"/>
              <w:right w:w="0" w:type="dxa"/>
            </w:tcMar>
            <w:vAlign w:val="center"/>
          </w:tcPr>
          <w:p w14:paraId="5EB26B2D"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7DC673E3"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Mar>
              <w:left w:w="0" w:type="dxa"/>
              <w:right w:w="0" w:type="dxa"/>
            </w:tcMar>
            <w:vAlign w:val="center"/>
          </w:tcPr>
          <w:p w14:paraId="4158C3CD"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Mar>
              <w:left w:w="0" w:type="dxa"/>
              <w:right w:w="0" w:type="dxa"/>
            </w:tcMar>
            <w:vAlign w:val="center"/>
          </w:tcPr>
          <w:p w14:paraId="055C5E87"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Mar>
              <w:left w:w="0" w:type="dxa"/>
              <w:right w:w="0" w:type="dxa"/>
            </w:tcMar>
            <w:vAlign w:val="center"/>
          </w:tcPr>
          <w:p w14:paraId="43A3065B"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vAlign w:val="center"/>
          </w:tcPr>
          <w:p w14:paraId="6037BC6E"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Mar>
              <w:left w:w="0" w:type="dxa"/>
              <w:right w:w="0" w:type="dxa"/>
            </w:tcMar>
            <w:vAlign w:val="center"/>
          </w:tcPr>
          <w:p w14:paraId="5544ACF7"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2" w:type="dxa"/>
            <w:vAlign w:val="center"/>
          </w:tcPr>
          <w:p w14:paraId="46AC53E0" w14:textId="3458227F" w:rsidR="00294FD1" w:rsidRPr="00662829" w:rsidRDefault="00FB633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highlight w:val="yellow"/>
              </w:rPr>
            </w:pPr>
            <w:r w:rsidRPr="00DA53C4">
              <w:rPr>
                <w:rFonts w:ascii="Arial" w:eastAsia="Batang" w:hAnsi="Arial" w:cs="Arial"/>
                <w:b/>
                <w:sz w:val="18"/>
                <w:szCs w:val="18"/>
              </w:rPr>
              <w:t>(</w:t>
            </w:r>
            <w:r w:rsidR="005E3E3C" w:rsidRPr="00DA53C4">
              <w:rPr>
                <w:rFonts w:ascii="Arial" w:eastAsia="Batang" w:hAnsi="Arial" w:cs="Arial"/>
                <w:b/>
                <w:sz w:val="18"/>
                <w:szCs w:val="18"/>
              </w:rPr>
              <w:t>1.4)</w:t>
            </w:r>
          </w:p>
        </w:tc>
      </w:tr>
      <w:tr w:rsidR="00294FD1" w:rsidRPr="00A44138" w14:paraId="28A280DA" w14:textId="77777777" w:rsidTr="00DE3335">
        <w:trPr>
          <w:trHeight w:val="267"/>
        </w:trPr>
        <w:tc>
          <w:tcPr>
            <w:tcW w:w="2778" w:type="dxa"/>
            <w:tcBorders>
              <w:top w:val="single" w:sz="4" w:space="0" w:color="auto"/>
            </w:tcBorders>
            <w:vAlign w:val="center"/>
          </w:tcPr>
          <w:p w14:paraId="024E3AD2"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Profit before tax</w:t>
            </w:r>
          </w:p>
        </w:tc>
        <w:tc>
          <w:tcPr>
            <w:tcW w:w="850" w:type="dxa"/>
            <w:tcBorders>
              <w:top w:val="single" w:sz="4" w:space="0" w:color="auto"/>
            </w:tcBorders>
            <w:tcMar>
              <w:left w:w="0" w:type="dxa"/>
              <w:right w:w="0" w:type="dxa"/>
            </w:tcMar>
            <w:vAlign w:val="center"/>
          </w:tcPr>
          <w:p w14:paraId="0E333C0B"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top w:val="single" w:sz="4" w:space="0" w:color="auto"/>
            </w:tcBorders>
            <w:tcMar>
              <w:left w:w="0" w:type="dxa"/>
              <w:right w:w="0" w:type="dxa"/>
            </w:tcMar>
            <w:vAlign w:val="center"/>
          </w:tcPr>
          <w:p w14:paraId="5E933CDA"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Borders>
              <w:top w:val="single" w:sz="4" w:space="0" w:color="auto"/>
            </w:tcBorders>
            <w:tcMar>
              <w:left w:w="0" w:type="dxa"/>
              <w:right w:w="0" w:type="dxa"/>
            </w:tcMar>
            <w:vAlign w:val="center"/>
          </w:tcPr>
          <w:p w14:paraId="51925348"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top w:val="single" w:sz="4" w:space="0" w:color="auto"/>
            </w:tcBorders>
            <w:tcMar>
              <w:left w:w="0" w:type="dxa"/>
              <w:right w:w="0" w:type="dxa"/>
            </w:tcMar>
            <w:vAlign w:val="center"/>
          </w:tcPr>
          <w:p w14:paraId="7591D40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Borders>
              <w:top w:val="single" w:sz="4" w:space="0" w:color="auto"/>
            </w:tcBorders>
            <w:tcMar>
              <w:left w:w="0" w:type="dxa"/>
              <w:right w:w="0" w:type="dxa"/>
            </w:tcMar>
            <w:vAlign w:val="center"/>
          </w:tcPr>
          <w:p w14:paraId="76813AA8"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tcBorders>
              <w:top w:val="single" w:sz="4" w:space="0" w:color="auto"/>
            </w:tcBorders>
            <w:vAlign w:val="center"/>
          </w:tcPr>
          <w:p w14:paraId="56B43EE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Borders>
              <w:top w:val="single" w:sz="4" w:space="0" w:color="auto"/>
            </w:tcBorders>
            <w:tcMar>
              <w:left w:w="0" w:type="dxa"/>
              <w:right w:w="0" w:type="dxa"/>
            </w:tcMar>
            <w:vAlign w:val="center"/>
          </w:tcPr>
          <w:p w14:paraId="5BDF330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2" w:type="dxa"/>
            <w:tcBorders>
              <w:top w:val="single" w:sz="4" w:space="0" w:color="auto"/>
            </w:tcBorders>
            <w:vAlign w:val="center"/>
          </w:tcPr>
          <w:p w14:paraId="1CB6B74B" w14:textId="69EEFA8F" w:rsidR="00294FD1" w:rsidRPr="00DA53C4" w:rsidRDefault="009F176A">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59.8</w:t>
            </w:r>
          </w:p>
        </w:tc>
      </w:tr>
      <w:tr w:rsidR="00294FD1" w:rsidRPr="00A44138" w14:paraId="61F9E45E" w14:textId="77777777" w:rsidTr="00DE3335">
        <w:trPr>
          <w:trHeight w:val="250"/>
        </w:trPr>
        <w:tc>
          <w:tcPr>
            <w:tcW w:w="2778" w:type="dxa"/>
            <w:tcBorders>
              <w:bottom w:val="single" w:sz="4" w:space="0" w:color="auto"/>
            </w:tcBorders>
            <w:vAlign w:val="center"/>
          </w:tcPr>
          <w:p w14:paraId="7D360568"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A44138">
              <w:rPr>
                <w:rFonts w:ascii="Arial" w:hAnsi="Arial" w:cs="Arial"/>
                <w:sz w:val="18"/>
                <w:szCs w:val="18"/>
              </w:rPr>
              <w:t>Taxation</w:t>
            </w:r>
          </w:p>
        </w:tc>
        <w:tc>
          <w:tcPr>
            <w:tcW w:w="850" w:type="dxa"/>
            <w:tcBorders>
              <w:bottom w:val="single" w:sz="4" w:space="0" w:color="auto"/>
            </w:tcBorders>
            <w:tcMar>
              <w:left w:w="0" w:type="dxa"/>
              <w:right w:w="0" w:type="dxa"/>
            </w:tcMar>
            <w:vAlign w:val="center"/>
          </w:tcPr>
          <w:p w14:paraId="1C7A5B4C"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bottom w:val="single" w:sz="4" w:space="0" w:color="auto"/>
            </w:tcBorders>
            <w:tcMar>
              <w:left w:w="0" w:type="dxa"/>
              <w:right w:w="0" w:type="dxa"/>
            </w:tcMar>
            <w:vAlign w:val="center"/>
          </w:tcPr>
          <w:p w14:paraId="1D0D3779"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Borders>
              <w:bottom w:val="single" w:sz="4" w:space="0" w:color="auto"/>
            </w:tcBorders>
            <w:tcMar>
              <w:left w:w="0" w:type="dxa"/>
              <w:right w:w="0" w:type="dxa"/>
            </w:tcMar>
            <w:vAlign w:val="center"/>
          </w:tcPr>
          <w:p w14:paraId="1F15CDAA"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bottom w:val="single" w:sz="4" w:space="0" w:color="auto"/>
            </w:tcBorders>
            <w:tcMar>
              <w:left w:w="0" w:type="dxa"/>
              <w:right w:w="0" w:type="dxa"/>
            </w:tcMar>
            <w:vAlign w:val="center"/>
          </w:tcPr>
          <w:p w14:paraId="227FA8C9"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Borders>
              <w:bottom w:val="single" w:sz="4" w:space="0" w:color="auto"/>
            </w:tcBorders>
            <w:tcMar>
              <w:left w:w="0" w:type="dxa"/>
              <w:right w:w="0" w:type="dxa"/>
            </w:tcMar>
            <w:vAlign w:val="center"/>
          </w:tcPr>
          <w:p w14:paraId="167AD913"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tcBorders>
              <w:bottom w:val="single" w:sz="4" w:space="0" w:color="auto"/>
            </w:tcBorders>
            <w:vAlign w:val="center"/>
          </w:tcPr>
          <w:p w14:paraId="01E66E45"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Borders>
              <w:bottom w:val="single" w:sz="4" w:space="0" w:color="auto"/>
            </w:tcBorders>
            <w:tcMar>
              <w:left w:w="0" w:type="dxa"/>
              <w:right w:w="0" w:type="dxa"/>
            </w:tcMar>
            <w:vAlign w:val="center"/>
          </w:tcPr>
          <w:p w14:paraId="002101AC"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2" w:type="dxa"/>
            <w:tcBorders>
              <w:bottom w:val="single" w:sz="4" w:space="0" w:color="auto"/>
            </w:tcBorders>
            <w:vAlign w:val="center"/>
          </w:tcPr>
          <w:p w14:paraId="0D49C43C" w14:textId="0EF9BB4B" w:rsidR="00294FD1" w:rsidRPr="00DA53C4" w:rsidRDefault="009E1973">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(1</w:t>
            </w:r>
            <w:r w:rsidR="00605DC5" w:rsidRPr="00DA53C4">
              <w:rPr>
                <w:rFonts w:ascii="Arial" w:eastAsia="Batang" w:hAnsi="Arial" w:cs="Arial"/>
                <w:b/>
                <w:sz w:val="18"/>
                <w:szCs w:val="18"/>
              </w:rPr>
              <w:t>4.2</w:t>
            </w:r>
            <w:r w:rsidRPr="00DA53C4">
              <w:rPr>
                <w:rFonts w:ascii="Arial" w:eastAsia="Batang" w:hAnsi="Arial" w:cs="Arial"/>
                <w:b/>
                <w:sz w:val="18"/>
                <w:szCs w:val="18"/>
              </w:rPr>
              <w:t>)</w:t>
            </w:r>
          </w:p>
        </w:tc>
      </w:tr>
      <w:tr w:rsidR="00294FD1" w:rsidRPr="00A44138" w14:paraId="51B563C9" w14:textId="77777777" w:rsidTr="00DE3335">
        <w:trPr>
          <w:trHeight w:val="250"/>
        </w:trPr>
        <w:tc>
          <w:tcPr>
            <w:tcW w:w="2778" w:type="dxa"/>
            <w:tcBorders>
              <w:top w:val="single" w:sz="4" w:space="0" w:color="auto"/>
              <w:bottom w:val="single" w:sz="12" w:space="0" w:color="auto"/>
            </w:tcBorders>
            <w:vAlign w:val="center"/>
          </w:tcPr>
          <w:p w14:paraId="4ABACB0A"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hAnsi="Arial" w:cs="Arial"/>
                <w:b/>
                <w:sz w:val="18"/>
                <w:szCs w:val="18"/>
              </w:rPr>
            </w:pPr>
            <w:r w:rsidRPr="00A44138">
              <w:rPr>
                <w:rFonts w:ascii="Arial" w:hAnsi="Arial" w:cs="Arial"/>
                <w:b/>
                <w:sz w:val="18"/>
                <w:szCs w:val="18"/>
              </w:rPr>
              <w:t>Profit for the period</w:t>
            </w:r>
          </w:p>
        </w:tc>
        <w:tc>
          <w:tcPr>
            <w:tcW w:w="850" w:type="dxa"/>
            <w:tcBorders>
              <w:top w:val="single" w:sz="4" w:space="0" w:color="auto"/>
              <w:bottom w:val="single" w:sz="12" w:space="0" w:color="auto"/>
            </w:tcBorders>
            <w:tcMar>
              <w:left w:w="0" w:type="dxa"/>
              <w:right w:w="0" w:type="dxa"/>
            </w:tcMar>
            <w:vAlign w:val="center"/>
          </w:tcPr>
          <w:p w14:paraId="7B0C226F"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top w:val="single" w:sz="4" w:space="0" w:color="auto"/>
              <w:bottom w:val="single" w:sz="12" w:space="0" w:color="auto"/>
            </w:tcBorders>
            <w:tcMar>
              <w:left w:w="0" w:type="dxa"/>
              <w:right w:w="0" w:type="dxa"/>
            </w:tcMar>
            <w:vAlign w:val="center"/>
          </w:tcPr>
          <w:p w14:paraId="1B91FA6E"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37" w:type="dxa"/>
            <w:tcBorders>
              <w:top w:val="single" w:sz="4" w:space="0" w:color="auto"/>
              <w:bottom w:val="single" w:sz="12" w:space="0" w:color="auto"/>
            </w:tcBorders>
            <w:tcMar>
              <w:left w:w="0" w:type="dxa"/>
              <w:right w:w="0" w:type="dxa"/>
            </w:tcMar>
            <w:vAlign w:val="center"/>
          </w:tcPr>
          <w:p w14:paraId="4A411C69" w14:textId="77777777" w:rsidR="00294FD1" w:rsidRPr="004424BD" w:rsidRDefault="00294FD1">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680" w:type="dxa"/>
            <w:tcBorders>
              <w:top w:val="single" w:sz="4" w:space="0" w:color="auto"/>
              <w:bottom w:val="single" w:sz="12" w:space="0" w:color="auto"/>
            </w:tcBorders>
            <w:tcMar>
              <w:left w:w="0" w:type="dxa"/>
              <w:right w:w="0" w:type="dxa"/>
            </w:tcMar>
            <w:vAlign w:val="center"/>
          </w:tcPr>
          <w:p w14:paraId="3EEBC8CD"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850" w:type="dxa"/>
            <w:tcBorders>
              <w:top w:val="single" w:sz="4" w:space="0" w:color="auto"/>
              <w:bottom w:val="single" w:sz="12" w:space="0" w:color="auto"/>
            </w:tcBorders>
            <w:tcMar>
              <w:left w:w="0" w:type="dxa"/>
              <w:right w:w="0" w:type="dxa"/>
            </w:tcMar>
            <w:vAlign w:val="center"/>
          </w:tcPr>
          <w:p w14:paraId="76834672"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796" w:type="dxa"/>
            <w:tcBorders>
              <w:top w:val="single" w:sz="4" w:space="0" w:color="auto"/>
              <w:bottom w:val="single" w:sz="12" w:space="0" w:color="auto"/>
            </w:tcBorders>
            <w:vAlign w:val="center"/>
          </w:tcPr>
          <w:p w14:paraId="25328BC9"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color w:val="FF0000"/>
                <w:sz w:val="18"/>
                <w:szCs w:val="18"/>
                <w:highlight w:val="yellow"/>
              </w:rPr>
            </w:pPr>
          </w:p>
        </w:tc>
        <w:tc>
          <w:tcPr>
            <w:tcW w:w="993" w:type="dxa"/>
            <w:tcBorders>
              <w:top w:val="single" w:sz="4" w:space="0" w:color="auto"/>
              <w:bottom w:val="single" w:sz="12" w:space="0" w:color="auto"/>
            </w:tcBorders>
            <w:tcMar>
              <w:left w:w="0" w:type="dxa"/>
              <w:right w:w="0" w:type="dxa"/>
            </w:tcMar>
            <w:vAlign w:val="center"/>
          </w:tcPr>
          <w:p w14:paraId="1F2967FA" w14:textId="77777777" w:rsidR="00294FD1" w:rsidRPr="004424BD"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highlight w:val="yellow"/>
              </w:rPr>
            </w:pPr>
          </w:p>
        </w:tc>
        <w:tc>
          <w:tcPr>
            <w:tcW w:w="992" w:type="dxa"/>
            <w:tcBorders>
              <w:top w:val="single" w:sz="4" w:space="0" w:color="auto"/>
              <w:bottom w:val="single" w:sz="12" w:space="0" w:color="auto"/>
            </w:tcBorders>
            <w:vAlign w:val="center"/>
          </w:tcPr>
          <w:p w14:paraId="1286A004" w14:textId="46E05072" w:rsidR="00294FD1" w:rsidRPr="00DA53C4" w:rsidRDefault="00605DC5">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45.6</w:t>
            </w:r>
          </w:p>
        </w:tc>
      </w:tr>
      <w:tr w:rsidR="00294FD1" w:rsidRPr="00A44138" w14:paraId="3115E4C8" w14:textId="77777777" w:rsidTr="00DE3335">
        <w:trPr>
          <w:trHeight w:val="625"/>
        </w:trPr>
        <w:tc>
          <w:tcPr>
            <w:tcW w:w="2778" w:type="dxa"/>
            <w:tcBorders>
              <w:bottom w:val="single" w:sz="4" w:space="0" w:color="auto"/>
            </w:tcBorders>
            <w:vAlign w:val="center"/>
          </w:tcPr>
          <w:p w14:paraId="4CB65314" w14:textId="77777777" w:rsidR="00294FD1" w:rsidRPr="00A44138" w:rsidRDefault="00294FD1">
            <w:pPr>
              <w:tabs>
                <w:tab w:val="left" w:pos="0"/>
                <w:tab w:val="left" w:pos="709"/>
                <w:tab w:val="left" w:pos="1559"/>
                <w:tab w:val="left" w:pos="2268"/>
                <w:tab w:val="left" w:pos="2977"/>
                <w:tab w:val="left" w:pos="3686"/>
                <w:tab w:val="left" w:pos="4394"/>
                <w:tab w:val="right" w:pos="8789"/>
              </w:tabs>
              <w:suppressAutoHyphens/>
              <w:overflowPunct w:val="0"/>
              <w:autoSpaceDE w:val="0"/>
              <w:autoSpaceDN w:val="0"/>
              <w:adjustRightInd w:val="0"/>
              <w:spacing w:before="130" w:after="0" w:line="260" w:lineRule="atLeast"/>
              <w:textAlignment w:val="baseline"/>
              <w:rPr>
                <w:rFonts w:ascii="Arial" w:hAnsi="Arial" w:cs="Arial"/>
                <w:b/>
                <w:lang w:eastAsia="ko-KR"/>
              </w:rPr>
            </w:pPr>
            <w:r w:rsidRPr="00A44138">
              <w:rPr>
                <w:rFonts w:ascii="Arial" w:hAnsi="Arial"/>
                <w:b/>
                <w:sz w:val="18"/>
                <w:szCs w:val="18"/>
              </w:rPr>
              <w:t>Segment</w:t>
            </w:r>
          </w:p>
        </w:tc>
        <w:tc>
          <w:tcPr>
            <w:tcW w:w="850" w:type="dxa"/>
            <w:tcBorders>
              <w:bottom w:val="single" w:sz="4" w:space="0" w:color="auto"/>
            </w:tcBorders>
            <w:tcMar>
              <w:left w:w="0" w:type="dxa"/>
              <w:right w:w="0" w:type="dxa"/>
            </w:tcMar>
            <w:vAlign w:val="bottom"/>
          </w:tcPr>
          <w:p w14:paraId="099E138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Insurance</w:t>
            </w:r>
          </w:p>
          <w:p w14:paraId="105F5BFD"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680" w:type="dxa"/>
            <w:tcBorders>
              <w:bottom w:val="single" w:sz="4" w:space="0" w:color="auto"/>
            </w:tcBorders>
            <w:tcMar>
              <w:left w:w="0" w:type="dxa"/>
              <w:right w:w="0" w:type="dxa"/>
            </w:tcMar>
            <w:vAlign w:val="bottom"/>
          </w:tcPr>
          <w:p w14:paraId="3558B2C1"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Money</w:t>
            </w:r>
          </w:p>
          <w:p w14:paraId="26CE78A5"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737" w:type="dxa"/>
            <w:tcBorders>
              <w:bottom w:val="single" w:sz="4" w:space="0" w:color="auto"/>
            </w:tcBorders>
            <w:tcMar>
              <w:left w:w="0" w:type="dxa"/>
              <w:right w:w="0" w:type="dxa"/>
            </w:tcMar>
            <w:vAlign w:val="bottom"/>
          </w:tcPr>
          <w:p w14:paraId="59F7264F"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b/>
                <w:sz w:val="14"/>
                <w:szCs w:val="14"/>
              </w:rPr>
            </w:pPr>
            <w:r w:rsidRPr="00A44138">
              <w:rPr>
                <w:rFonts w:ascii="Arial" w:hAnsi="Arial"/>
                <w:b/>
                <w:sz w:val="14"/>
                <w:szCs w:val="14"/>
              </w:rPr>
              <w:t>Home Services</w:t>
            </w:r>
          </w:p>
          <w:p w14:paraId="798592C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b/>
                <w:sz w:val="14"/>
                <w:szCs w:val="14"/>
              </w:rPr>
            </w:pPr>
            <w:r w:rsidRPr="00A44138">
              <w:rPr>
                <w:rFonts w:ascii="Arial" w:hAnsi="Arial"/>
                <w:b/>
                <w:sz w:val="14"/>
                <w:szCs w:val="14"/>
              </w:rPr>
              <w:t>£m</w:t>
            </w:r>
          </w:p>
        </w:tc>
        <w:tc>
          <w:tcPr>
            <w:tcW w:w="680" w:type="dxa"/>
            <w:tcBorders>
              <w:bottom w:val="single" w:sz="4" w:space="0" w:color="auto"/>
            </w:tcBorders>
            <w:tcMar>
              <w:left w:w="0" w:type="dxa"/>
              <w:right w:w="0" w:type="dxa"/>
            </w:tcMar>
            <w:vAlign w:val="bottom"/>
          </w:tcPr>
          <w:p w14:paraId="145C62E4"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Travel</w:t>
            </w:r>
          </w:p>
          <w:p w14:paraId="374A77B5"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850" w:type="dxa"/>
            <w:tcBorders>
              <w:bottom w:val="single" w:sz="4" w:space="0" w:color="auto"/>
            </w:tcBorders>
            <w:tcMar>
              <w:left w:w="0" w:type="dxa"/>
              <w:right w:w="0" w:type="dxa"/>
            </w:tcMar>
            <w:vAlign w:val="bottom"/>
          </w:tcPr>
          <w:p w14:paraId="3EDF1B0B"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Cashback</w:t>
            </w:r>
          </w:p>
          <w:p w14:paraId="101D48FE"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796" w:type="dxa"/>
            <w:tcBorders>
              <w:bottom w:val="single" w:sz="4" w:space="0" w:color="auto"/>
            </w:tcBorders>
            <w:vAlign w:val="bottom"/>
          </w:tcPr>
          <w:p w14:paraId="4E860380"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Shared costs</w:t>
            </w:r>
          </w:p>
          <w:p w14:paraId="06412D6E"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993" w:type="dxa"/>
            <w:tcBorders>
              <w:bottom w:val="single" w:sz="4" w:space="0" w:color="auto"/>
            </w:tcBorders>
            <w:tcMar>
              <w:left w:w="0" w:type="dxa"/>
              <w:right w:w="0" w:type="dxa"/>
            </w:tcMar>
          </w:tcPr>
          <w:p w14:paraId="0D7885F8"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p>
          <w:p w14:paraId="63B826A0"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Inter-vertical eliminations**</w:t>
            </w:r>
          </w:p>
          <w:p w14:paraId="2AAEB66C" w14:textId="206A90DC"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£m</w:t>
            </w:r>
          </w:p>
        </w:tc>
        <w:tc>
          <w:tcPr>
            <w:tcW w:w="992" w:type="dxa"/>
            <w:tcBorders>
              <w:bottom w:val="single" w:sz="4" w:space="0" w:color="auto"/>
            </w:tcBorders>
            <w:vAlign w:val="bottom"/>
          </w:tcPr>
          <w:p w14:paraId="0B990F1A"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4"/>
                <w:szCs w:val="14"/>
              </w:rPr>
            </w:pPr>
            <w:r w:rsidRPr="00A44138">
              <w:rPr>
                <w:rFonts w:ascii="Arial" w:eastAsia="Batang" w:hAnsi="Arial" w:cs="Arial"/>
                <w:b/>
                <w:sz w:val="14"/>
                <w:szCs w:val="14"/>
              </w:rPr>
              <w:t>Total</w:t>
            </w:r>
          </w:p>
          <w:p w14:paraId="09E4FEF6"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4"/>
                <w:szCs w:val="14"/>
              </w:rPr>
            </w:pPr>
            <w:r w:rsidRPr="00A44138">
              <w:rPr>
                <w:rFonts w:ascii="Arial" w:eastAsia="Batang" w:hAnsi="Arial" w:cs="Arial"/>
                <w:b/>
                <w:sz w:val="14"/>
                <w:szCs w:val="14"/>
              </w:rPr>
              <w:t>£m</w:t>
            </w:r>
          </w:p>
        </w:tc>
      </w:tr>
      <w:tr w:rsidR="008B698B" w:rsidRPr="008B698B" w14:paraId="3EC88EB1" w14:textId="77777777" w:rsidTr="00DE3335">
        <w:trPr>
          <w:trHeight w:val="267"/>
        </w:trPr>
        <w:tc>
          <w:tcPr>
            <w:tcW w:w="2778" w:type="dxa"/>
            <w:tcBorders>
              <w:top w:val="single" w:sz="4" w:space="0" w:color="auto"/>
            </w:tcBorders>
            <w:vAlign w:val="center"/>
          </w:tcPr>
          <w:p w14:paraId="5E7B85AC" w14:textId="5181FBEA"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b/>
                <w:sz w:val="18"/>
                <w:szCs w:val="18"/>
              </w:rPr>
            </w:pPr>
            <w:r w:rsidRPr="005E7A81">
              <w:rPr>
                <w:rFonts w:ascii="Arial" w:hAnsi="Arial" w:cs="Arial"/>
                <w:b/>
                <w:sz w:val="18"/>
                <w:szCs w:val="18"/>
              </w:rPr>
              <w:t>Period ended 30 June 2024</w:t>
            </w:r>
          </w:p>
        </w:tc>
        <w:tc>
          <w:tcPr>
            <w:tcW w:w="850" w:type="dxa"/>
            <w:tcBorders>
              <w:top w:val="single" w:sz="4" w:space="0" w:color="auto"/>
            </w:tcBorders>
            <w:tcMar>
              <w:left w:w="0" w:type="dxa"/>
              <w:right w:w="0" w:type="dxa"/>
            </w:tcMar>
            <w:vAlign w:val="center"/>
          </w:tcPr>
          <w:p w14:paraId="43C4118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680" w:type="dxa"/>
            <w:tcBorders>
              <w:top w:val="single" w:sz="4" w:space="0" w:color="auto"/>
            </w:tcBorders>
            <w:tcMar>
              <w:left w:w="0" w:type="dxa"/>
              <w:right w:w="0" w:type="dxa"/>
            </w:tcMar>
            <w:vAlign w:val="center"/>
          </w:tcPr>
          <w:p w14:paraId="53E1D737"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737" w:type="dxa"/>
            <w:tcBorders>
              <w:top w:val="single" w:sz="4" w:space="0" w:color="auto"/>
            </w:tcBorders>
            <w:tcMar>
              <w:left w:w="0" w:type="dxa"/>
              <w:right w:w="0" w:type="dxa"/>
            </w:tcMar>
            <w:vAlign w:val="center"/>
          </w:tcPr>
          <w:p w14:paraId="1A0A2B08"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u w:val="single"/>
              </w:rPr>
            </w:pPr>
          </w:p>
        </w:tc>
        <w:tc>
          <w:tcPr>
            <w:tcW w:w="680" w:type="dxa"/>
            <w:tcBorders>
              <w:top w:val="single" w:sz="4" w:space="0" w:color="auto"/>
            </w:tcBorders>
            <w:tcMar>
              <w:left w:w="0" w:type="dxa"/>
              <w:right w:w="0" w:type="dxa"/>
            </w:tcMar>
            <w:vAlign w:val="center"/>
          </w:tcPr>
          <w:p w14:paraId="1321816A"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850" w:type="dxa"/>
            <w:tcBorders>
              <w:top w:val="single" w:sz="4" w:space="0" w:color="auto"/>
            </w:tcBorders>
            <w:tcMar>
              <w:left w:w="0" w:type="dxa"/>
              <w:right w:w="0" w:type="dxa"/>
            </w:tcMar>
            <w:vAlign w:val="center"/>
          </w:tcPr>
          <w:p w14:paraId="076E7922"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796" w:type="dxa"/>
            <w:tcBorders>
              <w:top w:val="single" w:sz="4" w:space="0" w:color="auto"/>
            </w:tcBorders>
            <w:vAlign w:val="center"/>
          </w:tcPr>
          <w:p w14:paraId="3429B49D"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993" w:type="dxa"/>
            <w:tcBorders>
              <w:top w:val="single" w:sz="4" w:space="0" w:color="auto"/>
            </w:tcBorders>
            <w:tcMar>
              <w:left w:w="0" w:type="dxa"/>
              <w:right w:w="0" w:type="dxa"/>
            </w:tcMar>
            <w:vAlign w:val="center"/>
          </w:tcPr>
          <w:p w14:paraId="3F02CBC5"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c>
          <w:tcPr>
            <w:tcW w:w="992" w:type="dxa"/>
            <w:tcBorders>
              <w:top w:val="single" w:sz="4" w:space="0" w:color="auto"/>
            </w:tcBorders>
            <w:vAlign w:val="center"/>
          </w:tcPr>
          <w:p w14:paraId="69500B26"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single"/>
              </w:rPr>
            </w:pPr>
          </w:p>
        </w:tc>
      </w:tr>
      <w:tr w:rsidR="008B698B" w:rsidRPr="008B698B" w14:paraId="4AB1D0D3" w14:textId="77777777" w:rsidTr="00DE3335">
        <w:trPr>
          <w:trHeight w:val="250"/>
        </w:trPr>
        <w:tc>
          <w:tcPr>
            <w:tcW w:w="2778" w:type="dxa"/>
            <w:vAlign w:val="center"/>
          </w:tcPr>
          <w:p w14:paraId="2F16E6A2" w14:textId="52948CAB"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Revenue</w:t>
            </w:r>
          </w:p>
        </w:tc>
        <w:tc>
          <w:tcPr>
            <w:tcW w:w="850" w:type="dxa"/>
            <w:tcMar>
              <w:left w:w="0" w:type="dxa"/>
              <w:right w:w="0" w:type="dxa"/>
            </w:tcMar>
            <w:vAlign w:val="center"/>
          </w:tcPr>
          <w:p w14:paraId="1C9A8F86" w14:textId="23DD8A05"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119.9</w:t>
            </w:r>
          </w:p>
        </w:tc>
        <w:tc>
          <w:tcPr>
            <w:tcW w:w="680" w:type="dxa"/>
            <w:tcMar>
              <w:left w:w="0" w:type="dxa"/>
              <w:right w:w="0" w:type="dxa"/>
            </w:tcMar>
            <w:vAlign w:val="center"/>
          </w:tcPr>
          <w:p w14:paraId="7080C3C5" w14:textId="1D27E12D"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50.9</w:t>
            </w:r>
          </w:p>
        </w:tc>
        <w:tc>
          <w:tcPr>
            <w:tcW w:w="737" w:type="dxa"/>
            <w:tcMar>
              <w:left w:w="0" w:type="dxa"/>
              <w:right w:w="0" w:type="dxa"/>
            </w:tcMar>
            <w:vAlign w:val="center"/>
          </w:tcPr>
          <w:p w14:paraId="16E35055" w14:textId="0CB3752F"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16.7</w:t>
            </w:r>
          </w:p>
        </w:tc>
        <w:tc>
          <w:tcPr>
            <w:tcW w:w="680" w:type="dxa"/>
            <w:tcMar>
              <w:left w:w="0" w:type="dxa"/>
              <w:right w:w="0" w:type="dxa"/>
            </w:tcMar>
            <w:vAlign w:val="center"/>
          </w:tcPr>
          <w:p w14:paraId="298D98C8" w14:textId="21C10AC6"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11.7</w:t>
            </w:r>
          </w:p>
        </w:tc>
        <w:tc>
          <w:tcPr>
            <w:tcW w:w="850" w:type="dxa"/>
            <w:tcMar>
              <w:left w:w="0" w:type="dxa"/>
              <w:right w:w="0" w:type="dxa"/>
            </w:tcMar>
            <w:vAlign w:val="center"/>
          </w:tcPr>
          <w:p w14:paraId="382B0A92" w14:textId="42DD92CB"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29.8</w:t>
            </w:r>
          </w:p>
        </w:tc>
        <w:tc>
          <w:tcPr>
            <w:tcW w:w="796" w:type="dxa"/>
            <w:vAlign w:val="center"/>
          </w:tcPr>
          <w:p w14:paraId="66415BAD" w14:textId="4955458B" w:rsidR="004424BD" w:rsidRPr="005E7A81" w:rsidDel="00F71010"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p>
        </w:tc>
        <w:tc>
          <w:tcPr>
            <w:tcW w:w="993" w:type="dxa"/>
            <w:tcMar>
              <w:left w:w="0" w:type="dxa"/>
              <w:right w:w="0" w:type="dxa"/>
            </w:tcMar>
            <w:vAlign w:val="center"/>
          </w:tcPr>
          <w:p w14:paraId="7466F77A" w14:textId="7BA05A4C"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(5.5)</w:t>
            </w:r>
          </w:p>
        </w:tc>
        <w:tc>
          <w:tcPr>
            <w:tcW w:w="992" w:type="dxa"/>
            <w:vAlign w:val="center"/>
          </w:tcPr>
          <w:p w14:paraId="2D30F849" w14:textId="278EE6DD"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223.5</w:t>
            </w:r>
          </w:p>
        </w:tc>
      </w:tr>
      <w:tr w:rsidR="008B698B" w:rsidRPr="008B698B" w14:paraId="2F271B23" w14:textId="77777777" w:rsidTr="00DE3335">
        <w:trPr>
          <w:trHeight w:val="267"/>
        </w:trPr>
        <w:tc>
          <w:tcPr>
            <w:tcW w:w="2778" w:type="dxa"/>
            <w:tcBorders>
              <w:bottom w:val="single" w:sz="4" w:space="0" w:color="auto"/>
            </w:tcBorders>
            <w:vAlign w:val="center"/>
          </w:tcPr>
          <w:p w14:paraId="22A5135C" w14:textId="766FECFA"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Directly attributable expenses</w:t>
            </w:r>
          </w:p>
        </w:tc>
        <w:tc>
          <w:tcPr>
            <w:tcW w:w="850" w:type="dxa"/>
            <w:tcBorders>
              <w:bottom w:val="single" w:sz="4" w:space="0" w:color="auto"/>
            </w:tcBorders>
            <w:tcMar>
              <w:left w:w="0" w:type="dxa"/>
              <w:right w:w="0" w:type="dxa"/>
            </w:tcMar>
            <w:vAlign w:val="center"/>
          </w:tcPr>
          <w:p w14:paraId="31E468B2" w14:textId="2F37953D" w:rsidR="004424BD" w:rsidRPr="005C13FE"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w:t>
            </w:r>
            <w:r w:rsidR="0043727C" w:rsidRPr="005C13FE">
              <w:rPr>
                <w:rFonts w:ascii="Arial" w:eastAsia="Batang" w:hAnsi="Arial" w:cs="Arial"/>
                <w:sz w:val="18"/>
                <w:szCs w:val="18"/>
              </w:rPr>
              <w:t>48.5</w:t>
            </w:r>
            <w:r w:rsidRPr="005C13FE">
              <w:rPr>
                <w:rFonts w:ascii="Arial" w:eastAsia="Batang" w:hAnsi="Arial" w:cs="Arial"/>
                <w:sz w:val="18"/>
                <w:szCs w:val="18"/>
              </w:rPr>
              <w:t>)</w:t>
            </w:r>
          </w:p>
        </w:tc>
        <w:tc>
          <w:tcPr>
            <w:tcW w:w="680" w:type="dxa"/>
            <w:tcBorders>
              <w:bottom w:val="single" w:sz="4" w:space="0" w:color="auto"/>
            </w:tcBorders>
            <w:tcMar>
              <w:left w:w="0" w:type="dxa"/>
              <w:right w:w="0" w:type="dxa"/>
            </w:tcMar>
            <w:vAlign w:val="center"/>
          </w:tcPr>
          <w:p w14:paraId="229137F4" w14:textId="02651E07" w:rsidR="004424BD" w:rsidRPr="005C13FE"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(15.</w:t>
            </w:r>
            <w:r w:rsidR="008B698B" w:rsidRPr="005C13FE">
              <w:rPr>
                <w:rFonts w:ascii="Arial" w:eastAsia="Batang" w:hAnsi="Arial" w:cs="Arial"/>
                <w:sz w:val="18"/>
                <w:szCs w:val="18"/>
              </w:rPr>
              <w:t>8</w:t>
            </w:r>
            <w:r w:rsidRPr="005C13FE">
              <w:rPr>
                <w:rFonts w:ascii="Arial" w:eastAsia="Batang" w:hAnsi="Arial" w:cs="Arial"/>
                <w:sz w:val="18"/>
                <w:szCs w:val="18"/>
              </w:rPr>
              <w:t>)</w:t>
            </w:r>
          </w:p>
        </w:tc>
        <w:tc>
          <w:tcPr>
            <w:tcW w:w="737" w:type="dxa"/>
            <w:tcBorders>
              <w:bottom w:val="single" w:sz="4" w:space="0" w:color="auto"/>
            </w:tcBorders>
            <w:tcMar>
              <w:left w:w="0" w:type="dxa"/>
              <w:right w:w="0" w:type="dxa"/>
            </w:tcMar>
            <w:vAlign w:val="center"/>
          </w:tcPr>
          <w:p w14:paraId="381C4377" w14:textId="0D6D25E8"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(5.9)</w:t>
            </w:r>
          </w:p>
        </w:tc>
        <w:tc>
          <w:tcPr>
            <w:tcW w:w="680" w:type="dxa"/>
            <w:tcBorders>
              <w:bottom w:val="single" w:sz="4" w:space="0" w:color="auto"/>
            </w:tcBorders>
            <w:tcMar>
              <w:left w:w="0" w:type="dxa"/>
              <w:right w:w="0" w:type="dxa"/>
            </w:tcMar>
            <w:vAlign w:val="center"/>
          </w:tcPr>
          <w:p w14:paraId="2F54EC12" w14:textId="3F54C053"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sz w:val="18"/>
                <w:szCs w:val="18"/>
              </w:rPr>
            </w:pPr>
            <w:r w:rsidRPr="005E7A81">
              <w:rPr>
                <w:rFonts w:ascii="Arial" w:hAnsi="Arial" w:cs="Arial"/>
                <w:sz w:val="18"/>
                <w:szCs w:val="18"/>
              </w:rPr>
              <w:t>(9.2)</w:t>
            </w:r>
          </w:p>
        </w:tc>
        <w:tc>
          <w:tcPr>
            <w:tcW w:w="850" w:type="dxa"/>
            <w:tcBorders>
              <w:bottom w:val="single" w:sz="4" w:space="0" w:color="auto"/>
            </w:tcBorders>
            <w:tcMar>
              <w:left w:w="0" w:type="dxa"/>
              <w:right w:w="0" w:type="dxa"/>
            </w:tcMar>
            <w:vAlign w:val="center"/>
          </w:tcPr>
          <w:p w14:paraId="67F13F16" w14:textId="3E0D77C2"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(25.9)</w:t>
            </w:r>
          </w:p>
        </w:tc>
        <w:tc>
          <w:tcPr>
            <w:tcW w:w="796" w:type="dxa"/>
            <w:tcBorders>
              <w:bottom w:val="single" w:sz="4" w:space="0" w:color="auto"/>
            </w:tcBorders>
            <w:vAlign w:val="center"/>
          </w:tcPr>
          <w:p w14:paraId="2D0E12F3" w14:textId="24842334"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(49.7)</w:t>
            </w:r>
          </w:p>
        </w:tc>
        <w:tc>
          <w:tcPr>
            <w:tcW w:w="993" w:type="dxa"/>
            <w:tcBorders>
              <w:bottom w:val="single" w:sz="4" w:space="0" w:color="auto"/>
            </w:tcBorders>
            <w:tcMar>
              <w:left w:w="0" w:type="dxa"/>
              <w:right w:w="0" w:type="dxa"/>
            </w:tcMar>
            <w:vAlign w:val="center"/>
          </w:tcPr>
          <w:p w14:paraId="0FF9B398" w14:textId="5618C351"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5.5</w:t>
            </w:r>
          </w:p>
        </w:tc>
        <w:tc>
          <w:tcPr>
            <w:tcW w:w="992" w:type="dxa"/>
            <w:tcBorders>
              <w:bottom w:val="single" w:sz="4" w:space="0" w:color="auto"/>
            </w:tcBorders>
            <w:vAlign w:val="center"/>
          </w:tcPr>
          <w:p w14:paraId="796B9459" w14:textId="7C3DB65A"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w:t>
            </w:r>
            <w:r w:rsidRPr="005C13FE">
              <w:rPr>
                <w:rFonts w:ascii="Arial" w:eastAsia="Batang" w:hAnsi="Arial" w:cs="Arial"/>
                <w:b/>
                <w:sz w:val="18"/>
                <w:szCs w:val="18"/>
              </w:rPr>
              <w:t>1</w:t>
            </w:r>
            <w:r w:rsidR="00951C96" w:rsidRPr="005C13FE">
              <w:rPr>
                <w:rFonts w:ascii="Arial" w:eastAsia="Batang" w:hAnsi="Arial" w:cs="Arial"/>
                <w:b/>
                <w:sz w:val="18"/>
                <w:szCs w:val="18"/>
              </w:rPr>
              <w:t>49</w:t>
            </w:r>
            <w:r w:rsidRPr="005C13FE">
              <w:rPr>
                <w:rFonts w:ascii="Arial" w:eastAsia="Batang" w:hAnsi="Arial" w:cs="Arial"/>
                <w:b/>
                <w:sz w:val="18"/>
                <w:szCs w:val="18"/>
              </w:rPr>
              <w:t>.5</w:t>
            </w:r>
            <w:r w:rsidRPr="005E7A81">
              <w:rPr>
                <w:rFonts w:ascii="Arial" w:eastAsia="Batang" w:hAnsi="Arial" w:cs="Arial"/>
                <w:b/>
                <w:sz w:val="18"/>
                <w:szCs w:val="18"/>
              </w:rPr>
              <w:t>)</w:t>
            </w:r>
          </w:p>
        </w:tc>
      </w:tr>
      <w:tr w:rsidR="008B698B" w:rsidRPr="008B698B" w14:paraId="5847BB93" w14:textId="77777777" w:rsidTr="00DE3335">
        <w:trPr>
          <w:trHeight w:val="65"/>
        </w:trPr>
        <w:tc>
          <w:tcPr>
            <w:tcW w:w="2778" w:type="dxa"/>
            <w:tcBorders>
              <w:top w:val="single" w:sz="4" w:space="0" w:color="auto"/>
            </w:tcBorders>
            <w:vAlign w:val="center"/>
          </w:tcPr>
          <w:p w14:paraId="0A48CA7C" w14:textId="433451F8" w:rsidR="004424BD" w:rsidRPr="005E7A81" w:rsidRDefault="00951C96"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C13FE">
              <w:rPr>
                <w:rFonts w:ascii="Arial" w:hAnsi="Arial" w:cs="Arial"/>
                <w:sz w:val="18"/>
                <w:szCs w:val="18"/>
              </w:rPr>
              <w:t>Adjusted</w:t>
            </w:r>
            <w:r>
              <w:rPr>
                <w:rFonts w:ascii="Arial" w:hAnsi="Arial" w:cs="Arial"/>
                <w:sz w:val="18"/>
                <w:szCs w:val="18"/>
              </w:rPr>
              <w:t xml:space="preserve"> </w:t>
            </w:r>
            <w:r w:rsidR="004424BD" w:rsidRPr="005E7A81">
              <w:rPr>
                <w:rFonts w:ascii="Arial" w:hAnsi="Arial" w:cs="Arial"/>
                <w:sz w:val="18"/>
                <w:szCs w:val="18"/>
              </w:rPr>
              <w:t>EBITDA</w:t>
            </w:r>
            <w:r w:rsidR="00C8294A">
              <w:rPr>
                <w:rFonts w:ascii="Arial" w:hAnsi="Arial" w:cs="Arial"/>
                <w:sz w:val="18"/>
                <w:szCs w:val="18"/>
              </w:rPr>
              <w:t>*</w:t>
            </w:r>
            <w:r w:rsidR="004424BD" w:rsidRPr="005E7A81">
              <w:rPr>
                <w:rFonts w:ascii="Arial" w:hAnsi="Arial" w:cs="Arial"/>
                <w:sz w:val="18"/>
                <w:szCs w:val="18"/>
              </w:rPr>
              <w:t xml:space="preserve"> contribution</w:t>
            </w:r>
          </w:p>
        </w:tc>
        <w:tc>
          <w:tcPr>
            <w:tcW w:w="850" w:type="dxa"/>
            <w:tcBorders>
              <w:top w:val="single" w:sz="4" w:space="0" w:color="auto"/>
            </w:tcBorders>
            <w:tcMar>
              <w:left w:w="0" w:type="dxa"/>
              <w:right w:w="0" w:type="dxa"/>
            </w:tcMar>
            <w:vAlign w:val="center"/>
          </w:tcPr>
          <w:p w14:paraId="258CB670" w14:textId="6689834C" w:rsidR="004424BD" w:rsidRPr="005C13FE" w:rsidRDefault="008B698B"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71.4</w:t>
            </w:r>
          </w:p>
        </w:tc>
        <w:tc>
          <w:tcPr>
            <w:tcW w:w="680" w:type="dxa"/>
            <w:tcBorders>
              <w:top w:val="single" w:sz="4" w:space="0" w:color="auto"/>
            </w:tcBorders>
            <w:tcMar>
              <w:left w:w="0" w:type="dxa"/>
              <w:right w:w="0" w:type="dxa"/>
            </w:tcMar>
            <w:vAlign w:val="center"/>
          </w:tcPr>
          <w:p w14:paraId="223FB3CA" w14:textId="447EDB0B" w:rsidR="004424BD" w:rsidRPr="005C13FE"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35.</w:t>
            </w:r>
            <w:r w:rsidR="008B698B" w:rsidRPr="005C13FE">
              <w:rPr>
                <w:rFonts w:ascii="Arial" w:eastAsia="Batang" w:hAnsi="Arial" w:cs="Arial"/>
                <w:sz w:val="18"/>
                <w:szCs w:val="18"/>
              </w:rPr>
              <w:t>1</w:t>
            </w:r>
          </w:p>
        </w:tc>
        <w:tc>
          <w:tcPr>
            <w:tcW w:w="737" w:type="dxa"/>
            <w:tcBorders>
              <w:top w:val="single" w:sz="4" w:space="0" w:color="auto"/>
            </w:tcBorders>
            <w:tcMar>
              <w:left w:w="0" w:type="dxa"/>
              <w:right w:w="0" w:type="dxa"/>
            </w:tcMar>
            <w:vAlign w:val="center"/>
          </w:tcPr>
          <w:p w14:paraId="00E122B4" w14:textId="0DC041F3"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10.8</w:t>
            </w:r>
          </w:p>
        </w:tc>
        <w:tc>
          <w:tcPr>
            <w:tcW w:w="680" w:type="dxa"/>
            <w:tcBorders>
              <w:top w:val="single" w:sz="4" w:space="0" w:color="auto"/>
            </w:tcBorders>
            <w:tcMar>
              <w:left w:w="0" w:type="dxa"/>
              <w:right w:w="0" w:type="dxa"/>
            </w:tcMar>
            <w:vAlign w:val="center"/>
          </w:tcPr>
          <w:p w14:paraId="57FD1075" w14:textId="036A16D4"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2.5</w:t>
            </w:r>
          </w:p>
        </w:tc>
        <w:tc>
          <w:tcPr>
            <w:tcW w:w="850" w:type="dxa"/>
            <w:tcBorders>
              <w:top w:val="single" w:sz="4" w:space="0" w:color="auto"/>
            </w:tcBorders>
            <w:tcMar>
              <w:left w:w="0" w:type="dxa"/>
              <w:right w:w="0" w:type="dxa"/>
            </w:tcMar>
            <w:vAlign w:val="center"/>
          </w:tcPr>
          <w:p w14:paraId="226D33C5" w14:textId="00192082"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3.9</w:t>
            </w:r>
          </w:p>
        </w:tc>
        <w:tc>
          <w:tcPr>
            <w:tcW w:w="796" w:type="dxa"/>
            <w:tcBorders>
              <w:top w:val="single" w:sz="4" w:space="0" w:color="auto"/>
            </w:tcBorders>
            <w:vAlign w:val="center"/>
          </w:tcPr>
          <w:p w14:paraId="5267D4A6" w14:textId="3C8B06A0"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E7A81">
              <w:rPr>
                <w:rFonts w:ascii="Arial" w:eastAsia="Batang" w:hAnsi="Arial" w:cs="Arial"/>
                <w:sz w:val="18"/>
                <w:szCs w:val="18"/>
              </w:rPr>
              <w:t>(49.7)</w:t>
            </w:r>
          </w:p>
        </w:tc>
        <w:tc>
          <w:tcPr>
            <w:tcW w:w="993" w:type="dxa"/>
            <w:tcBorders>
              <w:top w:val="single" w:sz="4" w:space="0" w:color="auto"/>
            </w:tcBorders>
            <w:tcMar>
              <w:left w:w="0" w:type="dxa"/>
              <w:right w:w="0" w:type="dxa"/>
            </w:tcMar>
            <w:vAlign w:val="center"/>
          </w:tcPr>
          <w:p w14:paraId="7455B41A" w14:textId="3C8A008A"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p>
        </w:tc>
        <w:tc>
          <w:tcPr>
            <w:tcW w:w="992" w:type="dxa"/>
            <w:tcBorders>
              <w:top w:val="single" w:sz="4" w:space="0" w:color="auto"/>
            </w:tcBorders>
            <w:vAlign w:val="center"/>
          </w:tcPr>
          <w:p w14:paraId="16EB3472" w14:textId="51A60611" w:rsidR="004424BD" w:rsidRPr="005E7A81" w:rsidRDefault="00261C7B"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C13FE">
              <w:rPr>
                <w:rFonts w:ascii="Arial" w:eastAsia="Batang" w:hAnsi="Arial" w:cs="Arial"/>
                <w:b/>
                <w:sz w:val="18"/>
                <w:szCs w:val="18"/>
              </w:rPr>
              <w:t>74</w:t>
            </w:r>
            <w:r w:rsidR="004424BD" w:rsidRPr="005C13FE">
              <w:rPr>
                <w:rFonts w:ascii="Arial" w:eastAsia="Batang" w:hAnsi="Arial" w:cs="Arial"/>
                <w:b/>
                <w:sz w:val="18"/>
                <w:szCs w:val="18"/>
              </w:rPr>
              <w:t>.0</w:t>
            </w:r>
          </w:p>
        </w:tc>
      </w:tr>
      <w:tr w:rsidR="008B698B" w:rsidRPr="008B698B" w14:paraId="41D5C58E" w14:textId="77777777" w:rsidTr="00DE3335">
        <w:trPr>
          <w:trHeight w:val="250"/>
        </w:trPr>
        <w:tc>
          <w:tcPr>
            <w:tcW w:w="2778" w:type="dxa"/>
            <w:vAlign w:val="center"/>
          </w:tcPr>
          <w:p w14:paraId="52F3DF27" w14:textId="57B34F91" w:rsidR="004424BD" w:rsidRPr="005E7A81" w:rsidRDefault="00951C96"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i/>
                <w:sz w:val="18"/>
                <w:szCs w:val="18"/>
              </w:rPr>
            </w:pPr>
            <w:r w:rsidRPr="005C13FE">
              <w:rPr>
                <w:rFonts w:ascii="Arial" w:hAnsi="Arial" w:cs="Arial"/>
                <w:i/>
                <w:sz w:val="18"/>
                <w:szCs w:val="18"/>
              </w:rPr>
              <w:t>Adjusted</w:t>
            </w:r>
            <w:r>
              <w:rPr>
                <w:rFonts w:ascii="Arial" w:hAnsi="Arial" w:cs="Arial"/>
                <w:i/>
                <w:sz w:val="18"/>
                <w:szCs w:val="18"/>
              </w:rPr>
              <w:t xml:space="preserve"> </w:t>
            </w:r>
            <w:r w:rsidR="004424BD" w:rsidRPr="005E7A81">
              <w:rPr>
                <w:rFonts w:ascii="Arial" w:hAnsi="Arial" w:cs="Arial"/>
                <w:i/>
                <w:sz w:val="18"/>
                <w:szCs w:val="18"/>
              </w:rPr>
              <w:t>EBITDA contribution margin*</w:t>
            </w:r>
            <w:r w:rsidR="00C8294A">
              <w:rPr>
                <w:rFonts w:ascii="Arial" w:hAnsi="Arial" w:cs="Arial"/>
                <w:i/>
                <w:sz w:val="18"/>
                <w:szCs w:val="18"/>
              </w:rPr>
              <w:t>*</w:t>
            </w:r>
          </w:p>
        </w:tc>
        <w:tc>
          <w:tcPr>
            <w:tcW w:w="850" w:type="dxa"/>
            <w:tcMar>
              <w:left w:w="0" w:type="dxa"/>
              <w:right w:w="0" w:type="dxa"/>
            </w:tcMar>
            <w:vAlign w:val="center"/>
          </w:tcPr>
          <w:p w14:paraId="7FD987A2" w14:textId="6DAD9A9C" w:rsidR="008D2CE1" w:rsidRPr="005C13F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p w14:paraId="70C4B275" w14:textId="6943A88B" w:rsidR="004424BD" w:rsidRPr="005E7A81" w:rsidRDefault="008B698B"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r w:rsidRPr="005C13FE">
              <w:rPr>
                <w:rFonts w:ascii="Arial" w:eastAsia="Batang" w:hAnsi="Arial" w:cs="Arial"/>
                <w:i/>
                <w:sz w:val="18"/>
                <w:szCs w:val="18"/>
              </w:rPr>
              <w:t>60</w:t>
            </w:r>
            <w:r w:rsidR="004424BD" w:rsidRPr="005C13FE">
              <w:rPr>
                <w:rFonts w:ascii="Arial" w:eastAsia="Batang" w:hAnsi="Arial" w:cs="Arial"/>
                <w:i/>
                <w:sz w:val="18"/>
                <w:szCs w:val="18"/>
              </w:rPr>
              <w:t>%</w:t>
            </w:r>
          </w:p>
        </w:tc>
        <w:tc>
          <w:tcPr>
            <w:tcW w:w="680" w:type="dxa"/>
            <w:tcMar>
              <w:left w:w="0" w:type="dxa"/>
              <w:right w:w="0" w:type="dxa"/>
            </w:tcMar>
            <w:vAlign w:val="center"/>
          </w:tcPr>
          <w:p w14:paraId="597F1CF3" w14:textId="77777777" w:rsidR="008D2CE1"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p w14:paraId="44FF23CC" w14:textId="307A28E1"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r w:rsidRPr="005E7A81">
              <w:rPr>
                <w:rFonts w:ascii="Arial" w:eastAsia="Batang" w:hAnsi="Arial" w:cs="Arial"/>
                <w:i/>
                <w:sz w:val="18"/>
                <w:szCs w:val="18"/>
              </w:rPr>
              <w:t>69%</w:t>
            </w:r>
          </w:p>
        </w:tc>
        <w:tc>
          <w:tcPr>
            <w:tcW w:w="737" w:type="dxa"/>
            <w:tcMar>
              <w:left w:w="0" w:type="dxa"/>
              <w:right w:w="0" w:type="dxa"/>
            </w:tcMar>
            <w:vAlign w:val="center"/>
          </w:tcPr>
          <w:p w14:paraId="16B1412F" w14:textId="77777777" w:rsidR="008D2CE1" w:rsidRPr="0016014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p w14:paraId="0B0D152A" w14:textId="2283005A" w:rsidR="004424BD" w:rsidRPr="0016014E"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r w:rsidRPr="0016014E">
              <w:rPr>
                <w:rFonts w:ascii="Arial" w:eastAsia="Batang" w:hAnsi="Arial" w:cs="Arial"/>
                <w:i/>
                <w:sz w:val="18"/>
                <w:szCs w:val="18"/>
              </w:rPr>
              <w:t>64%</w:t>
            </w:r>
          </w:p>
        </w:tc>
        <w:tc>
          <w:tcPr>
            <w:tcW w:w="680" w:type="dxa"/>
            <w:tcMar>
              <w:left w:w="0" w:type="dxa"/>
              <w:right w:w="0" w:type="dxa"/>
            </w:tcMar>
            <w:vAlign w:val="center"/>
          </w:tcPr>
          <w:p w14:paraId="24236515" w14:textId="77777777" w:rsidR="008D2CE1" w:rsidRPr="0016014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p w14:paraId="0FF1ADC0" w14:textId="71D56F80" w:rsidR="004424BD" w:rsidRPr="0016014E"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r w:rsidRPr="0016014E">
              <w:rPr>
                <w:rFonts w:ascii="Arial" w:eastAsia="Batang" w:hAnsi="Arial" w:cs="Arial"/>
                <w:i/>
                <w:sz w:val="18"/>
                <w:szCs w:val="18"/>
              </w:rPr>
              <w:t>22%</w:t>
            </w:r>
          </w:p>
        </w:tc>
        <w:tc>
          <w:tcPr>
            <w:tcW w:w="850" w:type="dxa"/>
            <w:tcMar>
              <w:left w:w="0" w:type="dxa"/>
              <w:right w:w="0" w:type="dxa"/>
            </w:tcMar>
            <w:vAlign w:val="center"/>
          </w:tcPr>
          <w:p w14:paraId="77DBCE3A" w14:textId="77777777" w:rsidR="008D2CE1"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p w14:paraId="45A348C9" w14:textId="0D25A29B"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r w:rsidRPr="005E7A81">
              <w:rPr>
                <w:rFonts w:ascii="Arial" w:eastAsia="Batang" w:hAnsi="Arial" w:cs="Arial"/>
                <w:i/>
                <w:sz w:val="18"/>
                <w:szCs w:val="18"/>
              </w:rPr>
              <w:t>13%</w:t>
            </w:r>
          </w:p>
        </w:tc>
        <w:tc>
          <w:tcPr>
            <w:tcW w:w="796" w:type="dxa"/>
            <w:vAlign w:val="center"/>
          </w:tcPr>
          <w:p w14:paraId="242C1D0A" w14:textId="296A9F4D"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tc>
        <w:tc>
          <w:tcPr>
            <w:tcW w:w="993" w:type="dxa"/>
            <w:tcMar>
              <w:left w:w="0" w:type="dxa"/>
              <w:right w:w="0" w:type="dxa"/>
            </w:tcMar>
            <w:vAlign w:val="center"/>
          </w:tcPr>
          <w:p w14:paraId="4B62D030"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sz w:val="18"/>
                <w:szCs w:val="18"/>
              </w:rPr>
            </w:pPr>
          </w:p>
        </w:tc>
        <w:tc>
          <w:tcPr>
            <w:tcW w:w="992" w:type="dxa"/>
            <w:vAlign w:val="center"/>
          </w:tcPr>
          <w:p w14:paraId="5CF797A9" w14:textId="77777777" w:rsidR="008D2CE1"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i/>
                <w:sz w:val="18"/>
                <w:szCs w:val="18"/>
              </w:rPr>
            </w:pPr>
          </w:p>
          <w:p w14:paraId="28D9AD30" w14:textId="6A6FC579"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i/>
                <w:sz w:val="18"/>
                <w:szCs w:val="18"/>
              </w:rPr>
            </w:pPr>
            <w:r w:rsidRPr="005E7A81">
              <w:rPr>
                <w:rFonts w:ascii="Arial" w:eastAsia="Batang" w:hAnsi="Arial" w:cs="Arial"/>
                <w:b/>
                <w:i/>
                <w:sz w:val="18"/>
                <w:szCs w:val="18"/>
              </w:rPr>
              <w:t>33%</w:t>
            </w:r>
          </w:p>
        </w:tc>
      </w:tr>
      <w:tr w:rsidR="008D2CE1" w:rsidRPr="008B698B" w14:paraId="1F54D65A" w14:textId="77777777" w:rsidTr="00DE3335">
        <w:trPr>
          <w:trHeight w:val="267"/>
        </w:trPr>
        <w:tc>
          <w:tcPr>
            <w:tcW w:w="2778" w:type="dxa"/>
            <w:vAlign w:val="center"/>
          </w:tcPr>
          <w:p w14:paraId="3029D0A6" w14:textId="2E3CADFB" w:rsidR="008D2CE1" w:rsidRPr="005C13FE" w:rsidRDefault="008D2CE1"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C13FE">
              <w:rPr>
                <w:rFonts w:ascii="Arial" w:hAnsi="Arial" w:cs="Arial"/>
                <w:sz w:val="18"/>
                <w:szCs w:val="18"/>
              </w:rPr>
              <w:t>Irrecoverable VAT and related costs</w:t>
            </w:r>
          </w:p>
        </w:tc>
        <w:tc>
          <w:tcPr>
            <w:tcW w:w="850" w:type="dxa"/>
            <w:tcMar>
              <w:left w:w="0" w:type="dxa"/>
              <w:right w:w="0" w:type="dxa"/>
            </w:tcMar>
            <w:vAlign w:val="center"/>
          </w:tcPr>
          <w:p w14:paraId="4F36450C"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7003C7E8"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Mar>
              <w:left w:w="0" w:type="dxa"/>
              <w:right w:w="0" w:type="dxa"/>
            </w:tcMar>
            <w:vAlign w:val="center"/>
          </w:tcPr>
          <w:p w14:paraId="5C18F45C" w14:textId="77777777" w:rsidR="008D2CE1" w:rsidRPr="005C13F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4463489C"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Mar>
              <w:left w:w="0" w:type="dxa"/>
              <w:right w:w="0" w:type="dxa"/>
            </w:tcMar>
            <w:vAlign w:val="center"/>
          </w:tcPr>
          <w:p w14:paraId="2FE564AF"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vAlign w:val="center"/>
          </w:tcPr>
          <w:p w14:paraId="0E546984"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Mar>
              <w:left w:w="0" w:type="dxa"/>
              <w:right w:w="0" w:type="dxa"/>
            </w:tcMar>
            <w:vAlign w:val="center"/>
          </w:tcPr>
          <w:p w14:paraId="57609B8F" w14:textId="77777777" w:rsidR="008D2CE1" w:rsidRPr="005C13FE" w:rsidRDefault="008D2CE1"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vAlign w:val="center"/>
          </w:tcPr>
          <w:p w14:paraId="4B80B0F9" w14:textId="77777777" w:rsidR="008D2CE1" w:rsidRPr="005C13F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p w14:paraId="303C960A" w14:textId="3F4E206A" w:rsidR="008D2CE1" w:rsidRPr="005C13FE" w:rsidRDefault="008D2CE1"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C13FE">
              <w:rPr>
                <w:rFonts w:ascii="Arial" w:eastAsia="Batang" w:hAnsi="Arial" w:cs="Arial"/>
                <w:b/>
                <w:sz w:val="18"/>
                <w:szCs w:val="18"/>
              </w:rPr>
              <w:t>(1.0)</w:t>
            </w:r>
          </w:p>
        </w:tc>
      </w:tr>
      <w:tr w:rsidR="008B698B" w:rsidRPr="008B698B" w14:paraId="1EA8511C" w14:textId="77777777" w:rsidTr="00DE3335">
        <w:trPr>
          <w:trHeight w:val="267"/>
        </w:trPr>
        <w:tc>
          <w:tcPr>
            <w:tcW w:w="2778" w:type="dxa"/>
            <w:vAlign w:val="center"/>
          </w:tcPr>
          <w:p w14:paraId="4108BE7D" w14:textId="1A11575D"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Depreciation and amortisation</w:t>
            </w:r>
          </w:p>
        </w:tc>
        <w:tc>
          <w:tcPr>
            <w:tcW w:w="850" w:type="dxa"/>
            <w:tcMar>
              <w:left w:w="0" w:type="dxa"/>
              <w:right w:w="0" w:type="dxa"/>
            </w:tcMar>
            <w:vAlign w:val="center"/>
          </w:tcPr>
          <w:p w14:paraId="07809C74"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6BFEB5DA"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Mar>
              <w:left w:w="0" w:type="dxa"/>
              <w:right w:w="0" w:type="dxa"/>
            </w:tcMar>
            <w:vAlign w:val="center"/>
          </w:tcPr>
          <w:p w14:paraId="25935060"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1F7F472C"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Mar>
              <w:left w:w="0" w:type="dxa"/>
              <w:right w:w="0" w:type="dxa"/>
            </w:tcMar>
            <w:vAlign w:val="center"/>
          </w:tcPr>
          <w:p w14:paraId="70DA23B8"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vAlign w:val="center"/>
          </w:tcPr>
          <w:p w14:paraId="7B9947A5"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Mar>
              <w:left w:w="0" w:type="dxa"/>
              <w:right w:w="0" w:type="dxa"/>
            </w:tcMar>
            <w:vAlign w:val="center"/>
          </w:tcPr>
          <w:p w14:paraId="425E843F"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vAlign w:val="center"/>
          </w:tcPr>
          <w:p w14:paraId="3F042FBE" w14:textId="14FC8B75"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(12.6)</w:t>
            </w:r>
          </w:p>
        </w:tc>
      </w:tr>
      <w:tr w:rsidR="008B698B" w:rsidRPr="008B698B" w14:paraId="54144A85" w14:textId="77777777" w:rsidTr="00DE3335">
        <w:trPr>
          <w:trHeight w:val="266"/>
        </w:trPr>
        <w:tc>
          <w:tcPr>
            <w:tcW w:w="2778" w:type="dxa"/>
            <w:vAlign w:val="center"/>
          </w:tcPr>
          <w:p w14:paraId="3A3C64C8" w14:textId="12DDEC1C"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Net finance expense</w:t>
            </w:r>
          </w:p>
        </w:tc>
        <w:tc>
          <w:tcPr>
            <w:tcW w:w="850" w:type="dxa"/>
            <w:tcMar>
              <w:left w:w="0" w:type="dxa"/>
              <w:right w:w="0" w:type="dxa"/>
            </w:tcMar>
            <w:vAlign w:val="center"/>
          </w:tcPr>
          <w:p w14:paraId="39F31CAE"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3EA018C0"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Mar>
              <w:left w:w="0" w:type="dxa"/>
              <w:right w:w="0" w:type="dxa"/>
            </w:tcMar>
            <w:vAlign w:val="center"/>
          </w:tcPr>
          <w:p w14:paraId="1EE259EA"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Mar>
              <w:left w:w="0" w:type="dxa"/>
              <w:right w:w="0" w:type="dxa"/>
            </w:tcMar>
            <w:vAlign w:val="center"/>
          </w:tcPr>
          <w:p w14:paraId="6CA02984"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Mar>
              <w:left w:w="0" w:type="dxa"/>
              <w:right w:w="0" w:type="dxa"/>
            </w:tcMar>
            <w:vAlign w:val="center"/>
          </w:tcPr>
          <w:p w14:paraId="5765A00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vAlign w:val="center"/>
          </w:tcPr>
          <w:p w14:paraId="70B99FD5"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Mar>
              <w:left w:w="0" w:type="dxa"/>
              <w:right w:w="0" w:type="dxa"/>
            </w:tcMar>
            <w:vAlign w:val="center"/>
          </w:tcPr>
          <w:p w14:paraId="1C35A66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vAlign w:val="center"/>
          </w:tcPr>
          <w:p w14:paraId="513E0A0C" w14:textId="2FACB8DD"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(2.3)</w:t>
            </w:r>
          </w:p>
        </w:tc>
      </w:tr>
      <w:tr w:rsidR="008B698B" w:rsidRPr="008B698B" w14:paraId="2BFD17F2" w14:textId="77777777" w:rsidTr="00DE3335">
        <w:trPr>
          <w:trHeight w:val="267"/>
        </w:trPr>
        <w:tc>
          <w:tcPr>
            <w:tcW w:w="2778" w:type="dxa"/>
            <w:tcBorders>
              <w:top w:val="single" w:sz="4" w:space="0" w:color="auto"/>
            </w:tcBorders>
            <w:vAlign w:val="center"/>
          </w:tcPr>
          <w:p w14:paraId="297BBA31" w14:textId="05D8A685"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Profit before tax</w:t>
            </w:r>
          </w:p>
        </w:tc>
        <w:tc>
          <w:tcPr>
            <w:tcW w:w="850" w:type="dxa"/>
            <w:tcBorders>
              <w:top w:val="single" w:sz="4" w:space="0" w:color="auto"/>
            </w:tcBorders>
            <w:tcMar>
              <w:left w:w="0" w:type="dxa"/>
              <w:right w:w="0" w:type="dxa"/>
            </w:tcMar>
            <w:vAlign w:val="center"/>
          </w:tcPr>
          <w:p w14:paraId="0AA2B688"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top w:val="single" w:sz="4" w:space="0" w:color="auto"/>
            </w:tcBorders>
            <w:tcMar>
              <w:left w:w="0" w:type="dxa"/>
              <w:right w:w="0" w:type="dxa"/>
            </w:tcMar>
            <w:vAlign w:val="center"/>
          </w:tcPr>
          <w:p w14:paraId="1F4132E2"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Borders>
              <w:top w:val="single" w:sz="4" w:space="0" w:color="auto"/>
            </w:tcBorders>
            <w:tcMar>
              <w:left w:w="0" w:type="dxa"/>
              <w:right w:w="0" w:type="dxa"/>
            </w:tcMar>
            <w:vAlign w:val="center"/>
          </w:tcPr>
          <w:p w14:paraId="2349D9C7"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top w:val="single" w:sz="4" w:space="0" w:color="auto"/>
            </w:tcBorders>
            <w:tcMar>
              <w:left w:w="0" w:type="dxa"/>
              <w:right w:w="0" w:type="dxa"/>
            </w:tcMar>
            <w:vAlign w:val="center"/>
          </w:tcPr>
          <w:p w14:paraId="63345A51"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Borders>
              <w:top w:val="single" w:sz="4" w:space="0" w:color="auto"/>
            </w:tcBorders>
            <w:tcMar>
              <w:left w:w="0" w:type="dxa"/>
              <w:right w:w="0" w:type="dxa"/>
            </w:tcMar>
            <w:vAlign w:val="center"/>
          </w:tcPr>
          <w:p w14:paraId="6A79CA03"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tcBorders>
              <w:top w:val="single" w:sz="4" w:space="0" w:color="auto"/>
            </w:tcBorders>
            <w:vAlign w:val="center"/>
          </w:tcPr>
          <w:p w14:paraId="5D47C734"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Borders>
              <w:top w:val="single" w:sz="4" w:space="0" w:color="auto"/>
            </w:tcBorders>
            <w:tcMar>
              <w:left w:w="0" w:type="dxa"/>
              <w:right w:w="0" w:type="dxa"/>
            </w:tcMar>
            <w:vAlign w:val="center"/>
          </w:tcPr>
          <w:p w14:paraId="25B2083C"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tcBorders>
              <w:top w:val="single" w:sz="4" w:space="0" w:color="auto"/>
            </w:tcBorders>
            <w:vAlign w:val="center"/>
          </w:tcPr>
          <w:p w14:paraId="39F2A051" w14:textId="313534B0"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58.1</w:t>
            </w:r>
          </w:p>
        </w:tc>
      </w:tr>
      <w:tr w:rsidR="008B698B" w:rsidRPr="008B698B" w14:paraId="475E284A" w14:textId="77777777" w:rsidTr="00DE3335">
        <w:trPr>
          <w:trHeight w:val="250"/>
        </w:trPr>
        <w:tc>
          <w:tcPr>
            <w:tcW w:w="2778" w:type="dxa"/>
            <w:tcBorders>
              <w:bottom w:val="single" w:sz="4" w:space="0" w:color="auto"/>
            </w:tcBorders>
            <w:vAlign w:val="center"/>
          </w:tcPr>
          <w:p w14:paraId="278C748F" w14:textId="7E5B2BDF"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sz w:val="18"/>
                <w:szCs w:val="18"/>
              </w:rPr>
            </w:pPr>
            <w:r w:rsidRPr="005E7A81">
              <w:rPr>
                <w:rFonts w:ascii="Arial" w:hAnsi="Arial" w:cs="Arial"/>
                <w:sz w:val="18"/>
                <w:szCs w:val="18"/>
              </w:rPr>
              <w:t>Taxation</w:t>
            </w:r>
          </w:p>
        </w:tc>
        <w:tc>
          <w:tcPr>
            <w:tcW w:w="850" w:type="dxa"/>
            <w:tcBorders>
              <w:bottom w:val="single" w:sz="4" w:space="0" w:color="auto"/>
            </w:tcBorders>
            <w:tcMar>
              <w:left w:w="0" w:type="dxa"/>
              <w:right w:w="0" w:type="dxa"/>
            </w:tcMar>
            <w:vAlign w:val="center"/>
          </w:tcPr>
          <w:p w14:paraId="52605D07"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bottom w:val="single" w:sz="4" w:space="0" w:color="auto"/>
            </w:tcBorders>
            <w:tcMar>
              <w:left w:w="0" w:type="dxa"/>
              <w:right w:w="0" w:type="dxa"/>
            </w:tcMar>
            <w:vAlign w:val="center"/>
          </w:tcPr>
          <w:p w14:paraId="55DDAF88"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Borders>
              <w:bottom w:val="single" w:sz="4" w:space="0" w:color="auto"/>
            </w:tcBorders>
            <w:tcMar>
              <w:left w:w="0" w:type="dxa"/>
              <w:right w:w="0" w:type="dxa"/>
            </w:tcMar>
            <w:vAlign w:val="center"/>
          </w:tcPr>
          <w:p w14:paraId="34A3D404"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bottom w:val="single" w:sz="4" w:space="0" w:color="auto"/>
            </w:tcBorders>
            <w:tcMar>
              <w:left w:w="0" w:type="dxa"/>
              <w:right w:w="0" w:type="dxa"/>
            </w:tcMar>
            <w:vAlign w:val="center"/>
          </w:tcPr>
          <w:p w14:paraId="0C096E9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Borders>
              <w:bottom w:val="single" w:sz="4" w:space="0" w:color="auto"/>
            </w:tcBorders>
            <w:tcMar>
              <w:left w:w="0" w:type="dxa"/>
              <w:right w:w="0" w:type="dxa"/>
            </w:tcMar>
            <w:vAlign w:val="center"/>
          </w:tcPr>
          <w:p w14:paraId="60E4D8E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tcBorders>
              <w:bottom w:val="single" w:sz="4" w:space="0" w:color="auto"/>
            </w:tcBorders>
            <w:vAlign w:val="center"/>
          </w:tcPr>
          <w:p w14:paraId="46629A72"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Borders>
              <w:bottom w:val="single" w:sz="4" w:space="0" w:color="auto"/>
            </w:tcBorders>
            <w:tcMar>
              <w:left w:w="0" w:type="dxa"/>
              <w:right w:w="0" w:type="dxa"/>
            </w:tcMar>
            <w:vAlign w:val="center"/>
          </w:tcPr>
          <w:p w14:paraId="4FCBD08B"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tcBorders>
              <w:bottom w:val="single" w:sz="4" w:space="0" w:color="auto"/>
            </w:tcBorders>
            <w:vAlign w:val="center"/>
          </w:tcPr>
          <w:p w14:paraId="590C4920" w14:textId="7636682C"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(14.0)</w:t>
            </w:r>
          </w:p>
        </w:tc>
      </w:tr>
      <w:tr w:rsidR="008B698B" w:rsidRPr="008B698B" w14:paraId="6B6BBC57" w14:textId="77777777" w:rsidTr="00DE3335">
        <w:trPr>
          <w:trHeight w:val="250"/>
        </w:trPr>
        <w:tc>
          <w:tcPr>
            <w:tcW w:w="2778" w:type="dxa"/>
            <w:tcBorders>
              <w:top w:val="single" w:sz="4" w:space="0" w:color="auto"/>
              <w:bottom w:val="single" w:sz="12" w:space="0" w:color="auto"/>
            </w:tcBorders>
            <w:vAlign w:val="center"/>
          </w:tcPr>
          <w:p w14:paraId="023C8CA8" w14:textId="6CE30786" w:rsidR="004424BD" w:rsidRPr="005E7A81" w:rsidRDefault="004424BD" w:rsidP="004424BD">
            <w:pPr>
              <w:tabs>
                <w:tab w:val="left" w:pos="709"/>
                <w:tab w:val="left" w:pos="1559"/>
                <w:tab w:val="left" w:pos="2268"/>
                <w:tab w:val="left" w:pos="2977"/>
                <w:tab w:val="left" w:pos="3686"/>
                <w:tab w:val="left" w:pos="4394"/>
                <w:tab w:val="right" w:pos="8789"/>
              </w:tabs>
              <w:spacing w:after="0" w:line="260" w:lineRule="atLeast"/>
              <w:rPr>
                <w:rFonts w:ascii="Arial" w:hAnsi="Arial" w:cs="Arial"/>
                <w:b/>
                <w:sz w:val="18"/>
                <w:szCs w:val="18"/>
              </w:rPr>
            </w:pPr>
            <w:r w:rsidRPr="005E7A81">
              <w:rPr>
                <w:rFonts w:ascii="Arial" w:hAnsi="Arial" w:cs="Arial"/>
                <w:b/>
                <w:sz w:val="18"/>
                <w:szCs w:val="18"/>
              </w:rPr>
              <w:t>Profit for the period</w:t>
            </w:r>
          </w:p>
        </w:tc>
        <w:tc>
          <w:tcPr>
            <w:tcW w:w="850" w:type="dxa"/>
            <w:tcBorders>
              <w:top w:val="single" w:sz="4" w:space="0" w:color="auto"/>
              <w:bottom w:val="single" w:sz="12" w:space="0" w:color="auto"/>
            </w:tcBorders>
            <w:tcMar>
              <w:left w:w="0" w:type="dxa"/>
              <w:right w:w="0" w:type="dxa"/>
            </w:tcMar>
            <w:vAlign w:val="center"/>
          </w:tcPr>
          <w:p w14:paraId="67ECC07A"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top w:val="single" w:sz="4" w:space="0" w:color="auto"/>
              <w:bottom w:val="single" w:sz="12" w:space="0" w:color="auto"/>
            </w:tcBorders>
            <w:tcMar>
              <w:left w:w="0" w:type="dxa"/>
              <w:right w:w="0" w:type="dxa"/>
            </w:tcMar>
            <w:vAlign w:val="center"/>
          </w:tcPr>
          <w:p w14:paraId="00A0F20D"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37" w:type="dxa"/>
            <w:tcBorders>
              <w:top w:val="single" w:sz="4" w:space="0" w:color="auto"/>
              <w:bottom w:val="single" w:sz="12" w:space="0" w:color="auto"/>
            </w:tcBorders>
            <w:tcMar>
              <w:left w:w="0" w:type="dxa"/>
              <w:right w:w="0" w:type="dxa"/>
            </w:tcMar>
            <w:vAlign w:val="center"/>
          </w:tcPr>
          <w:p w14:paraId="39728C27" w14:textId="7777777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680" w:type="dxa"/>
            <w:tcBorders>
              <w:top w:val="single" w:sz="4" w:space="0" w:color="auto"/>
              <w:bottom w:val="single" w:sz="12" w:space="0" w:color="auto"/>
            </w:tcBorders>
            <w:tcMar>
              <w:left w:w="0" w:type="dxa"/>
              <w:right w:w="0" w:type="dxa"/>
            </w:tcMar>
            <w:vAlign w:val="center"/>
          </w:tcPr>
          <w:p w14:paraId="7A778D2E"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850" w:type="dxa"/>
            <w:tcBorders>
              <w:top w:val="single" w:sz="4" w:space="0" w:color="auto"/>
              <w:bottom w:val="single" w:sz="12" w:space="0" w:color="auto"/>
            </w:tcBorders>
            <w:tcMar>
              <w:left w:w="0" w:type="dxa"/>
              <w:right w:w="0" w:type="dxa"/>
            </w:tcMar>
            <w:vAlign w:val="center"/>
          </w:tcPr>
          <w:p w14:paraId="57702149"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796" w:type="dxa"/>
            <w:tcBorders>
              <w:top w:val="single" w:sz="4" w:space="0" w:color="auto"/>
              <w:bottom w:val="single" w:sz="12" w:space="0" w:color="auto"/>
            </w:tcBorders>
            <w:vAlign w:val="center"/>
          </w:tcPr>
          <w:p w14:paraId="03B9C5DD"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3" w:type="dxa"/>
            <w:tcBorders>
              <w:top w:val="single" w:sz="4" w:space="0" w:color="auto"/>
              <w:bottom w:val="single" w:sz="12" w:space="0" w:color="auto"/>
            </w:tcBorders>
            <w:tcMar>
              <w:left w:w="0" w:type="dxa"/>
              <w:right w:w="0" w:type="dxa"/>
            </w:tcMar>
            <w:vAlign w:val="center"/>
          </w:tcPr>
          <w:p w14:paraId="08E868AF" w14:textId="77777777" w:rsidR="004424BD" w:rsidRPr="005E7A81" w:rsidRDefault="004424BD" w:rsidP="004424BD">
            <w:pPr>
              <w:tabs>
                <w:tab w:val="decimal" w:pos="964"/>
              </w:tabs>
              <w:overflowPunct w:val="0"/>
              <w:autoSpaceDE w:val="0"/>
              <w:autoSpaceDN w:val="0"/>
              <w:adjustRightInd w:val="0"/>
              <w:spacing w:after="0" w:line="240" w:lineRule="auto"/>
              <w:ind w:right="80"/>
              <w:jc w:val="right"/>
              <w:textAlignment w:val="baseline"/>
              <w:rPr>
                <w:rFonts w:ascii="Arial" w:hAnsi="Arial" w:cs="Arial"/>
                <w:b/>
                <w:sz w:val="18"/>
                <w:szCs w:val="18"/>
              </w:rPr>
            </w:pPr>
          </w:p>
        </w:tc>
        <w:tc>
          <w:tcPr>
            <w:tcW w:w="992" w:type="dxa"/>
            <w:tcBorders>
              <w:top w:val="single" w:sz="4" w:space="0" w:color="auto"/>
              <w:bottom w:val="single" w:sz="12" w:space="0" w:color="auto"/>
            </w:tcBorders>
            <w:vAlign w:val="center"/>
          </w:tcPr>
          <w:p w14:paraId="5704BA4B" w14:textId="31FE19C7" w:rsidR="004424BD" w:rsidRPr="005E7A81" w:rsidRDefault="004424BD" w:rsidP="004424B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44.1</w:t>
            </w:r>
          </w:p>
        </w:tc>
      </w:tr>
    </w:tbl>
    <w:p w14:paraId="69E57886" w14:textId="29751583" w:rsidR="00C8294A" w:rsidRPr="005E7A81" w:rsidRDefault="00C8294A" w:rsidP="00294FD1">
      <w:pPr>
        <w:spacing w:before="240"/>
        <w:jc w:val="both"/>
        <w:rPr>
          <w:rFonts w:ascii="Arial" w:hAnsi="Arial"/>
          <w:i/>
          <w:sz w:val="18"/>
          <w:szCs w:val="18"/>
        </w:rPr>
      </w:pPr>
      <w:r w:rsidRPr="005E7A81">
        <w:rPr>
          <w:rFonts w:ascii="Arial" w:hAnsi="Arial"/>
          <w:i/>
          <w:sz w:val="18"/>
          <w:szCs w:val="18"/>
        </w:rPr>
        <w:t xml:space="preserve">* </w:t>
      </w:r>
      <w:r w:rsidRPr="00C8294A">
        <w:rPr>
          <w:rFonts w:ascii="Arial" w:hAnsi="Arial"/>
          <w:i/>
          <w:sz w:val="18"/>
          <w:szCs w:val="18"/>
        </w:rPr>
        <w:t>For comparability and consistency, adjusting items for the six months ended 30 June 2024 have been updated to include £1m of costs that were recognised within EBITDA but were not presented as adjusting items because they were not material. Adjusted basic EPS has also been updated accordingly.</w:t>
      </w:r>
    </w:p>
    <w:p w14:paraId="361DF775" w14:textId="1AE93840" w:rsidR="00294FD1" w:rsidRPr="005E7A81" w:rsidRDefault="00294FD1" w:rsidP="00294FD1">
      <w:pPr>
        <w:spacing w:before="240"/>
        <w:jc w:val="both"/>
        <w:rPr>
          <w:rFonts w:ascii="Arial" w:hAnsi="Arial" w:cs="Arial"/>
          <w:i/>
          <w:sz w:val="18"/>
          <w:szCs w:val="18"/>
        </w:rPr>
      </w:pPr>
      <w:r w:rsidRPr="005E7A81">
        <w:rPr>
          <w:rFonts w:ascii="Arial" w:hAnsi="Arial"/>
          <w:i/>
          <w:sz w:val="18"/>
          <w:szCs w:val="18"/>
        </w:rPr>
        <w:t>*</w:t>
      </w:r>
      <w:r w:rsidR="00C8294A" w:rsidRPr="005E7A81">
        <w:rPr>
          <w:rFonts w:ascii="Arial" w:hAnsi="Arial"/>
          <w:i/>
          <w:sz w:val="18"/>
          <w:szCs w:val="18"/>
        </w:rPr>
        <w:t>*</w:t>
      </w:r>
      <w:r w:rsidRPr="005E7A81">
        <w:rPr>
          <w:rFonts w:ascii="Arial" w:hAnsi="Arial"/>
          <w:i/>
          <w:sz w:val="18"/>
          <w:szCs w:val="18"/>
        </w:rPr>
        <w:t xml:space="preserve"> EBITDA </w:t>
      </w:r>
      <w:r w:rsidRPr="005E7A81">
        <w:rPr>
          <w:rFonts w:ascii="Arial" w:hAnsi="Arial" w:cs="Arial"/>
          <w:i/>
          <w:sz w:val="18"/>
          <w:szCs w:val="18"/>
        </w:rPr>
        <w:t xml:space="preserve">contribution margin is calculated by dividing </w:t>
      </w:r>
      <w:r w:rsidR="00EF54EC">
        <w:rPr>
          <w:rFonts w:ascii="Arial" w:hAnsi="Arial" w:cs="Arial"/>
          <w:i/>
          <w:sz w:val="18"/>
          <w:szCs w:val="18"/>
        </w:rPr>
        <w:t xml:space="preserve">adjusted </w:t>
      </w:r>
      <w:r w:rsidRPr="005E7A81">
        <w:rPr>
          <w:rFonts w:ascii="Arial" w:hAnsi="Arial" w:cs="Arial"/>
          <w:i/>
          <w:sz w:val="18"/>
          <w:szCs w:val="18"/>
        </w:rPr>
        <w:t xml:space="preserve">EBITDA contribution by revenue. </w:t>
      </w:r>
    </w:p>
    <w:p w14:paraId="5D77ABCE" w14:textId="46D9A25F" w:rsidR="00294FD1" w:rsidRPr="00DA53C4" w:rsidRDefault="00294FD1" w:rsidP="00294FD1">
      <w:pPr>
        <w:jc w:val="both"/>
        <w:rPr>
          <w:rFonts w:ascii="Arial" w:hAnsi="Arial"/>
          <w:sz w:val="20"/>
          <w:szCs w:val="20"/>
        </w:rPr>
      </w:pPr>
      <w:r w:rsidRPr="00DA53C4">
        <w:rPr>
          <w:rFonts w:ascii="Arial" w:hAnsi="Arial"/>
          <w:sz w:val="20"/>
          <w:szCs w:val="20"/>
        </w:rPr>
        <w:t xml:space="preserve">Insurance EBITDA contribution margin </w:t>
      </w:r>
      <w:r w:rsidR="00991FBF" w:rsidRPr="00DA53C4">
        <w:rPr>
          <w:rFonts w:ascii="Arial" w:hAnsi="Arial"/>
          <w:sz w:val="20"/>
          <w:szCs w:val="20"/>
        </w:rPr>
        <w:t>de</w:t>
      </w:r>
      <w:r w:rsidR="00D77325" w:rsidRPr="00DA53C4">
        <w:rPr>
          <w:rFonts w:ascii="Arial" w:hAnsi="Arial"/>
          <w:sz w:val="20"/>
          <w:szCs w:val="20"/>
        </w:rPr>
        <w:t xml:space="preserve">creased </w:t>
      </w:r>
      <w:r w:rsidRPr="00DA53C4">
        <w:rPr>
          <w:rFonts w:ascii="Arial" w:hAnsi="Arial"/>
          <w:sz w:val="20"/>
          <w:szCs w:val="20"/>
        </w:rPr>
        <w:t xml:space="preserve">from </w:t>
      </w:r>
      <w:r w:rsidR="00230FF2" w:rsidRPr="00DA53C4">
        <w:rPr>
          <w:rFonts w:ascii="Arial" w:hAnsi="Arial"/>
          <w:sz w:val="20"/>
          <w:szCs w:val="20"/>
        </w:rPr>
        <w:t>60</w:t>
      </w:r>
      <w:r w:rsidRPr="00DA53C4">
        <w:rPr>
          <w:rFonts w:ascii="Arial" w:hAnsi="Arial"/>
          <w:sz w:val="20"/>
          <w:szCs w:val="20"/>
        </w:rPr>
        <w:t xml:space="preserve">% to </w:t>
      </w:r>
      <w:r w:rsidR="00AD2BFB" w:rsidRPr="00DA53C4">
        <w:rPr>
          <w:rFonts w:ascii="Arial" w:hAnsi="Arial"/>
          <w:sz w:val="20"/>
          <w:szCs w:val="20"/>
        </w:rPr>
        <w:t>56</w:t>
      </w:r>
      <w:r w:rsidRPr="00DA53C4">
        <w:rPr>
          <w:rFonts w:ascii="Arial" w:hAnsi="Arial"/>
          <w:sz w:val="20"/>
          <w:szCs w:val="20"/>
        </w:rPr>
        <w:t xml:space="preserve">%, </w:t>
      </w:r>
      <w:r w:rsidR="00BD2570" w:rsidRPr="00DA53C4">
        <w:rPr>
          <w:rFonts w:ascii="Arial" w:hAnsi="Arial"/>
          <w:sz w:val="20"/>
          <w:szCs w:val="20"/>
        </w:rPr>
        <w:t xml:space="preserve">reflecting </w:t>
      </w:r>
      <w:r w:rsidR="001A6527" w:rsidRPr="00DA53C4">
        <w:rPr>
          <w:rFonts w:ascii="Arial" w:hAnsi="Arial"/>
          <w:sz w:val="20"/>
          <w:szCs w:val="20"/>
        </w:rPr>
        <w:t xml:space="preserve">the expected contraction of </w:t>
      </w:r>
      <w:r w:rsidR="00052990" w:rsidRPr="00DA53C4">
        <w:rPr>
          <w:rFonts w:ascii="Arial" w:hAnsi="Arial"/>
          <w:sz w:val="20"/>
          <w:szCs w:val="20"/>
        </w:rPr>
        <w:t xml:space="preserve">higher margin car and the growth of </w:t>
      </w:r>
      <w:r w:rsidR="000D7A05" w:rsidRPr="00DA53C4">
        <w:rPr>
          <w:rFonts w:ascii="Arial" w:hAnsi="Arial"/>
          <w:sz w:val="20"/>
          <w:szCs w:val="20"/>
        </w:rPr>
        <w:t>B2B which is structurally lower margin</w:t>
      </w:r>
      <w:r w:rsidR="00783F64" w:rsidRPr="00DA53C4">
        <w:rPr>
          <w:rFonts w:ascii="Arial" w:hAnsi="Arial"/>
          <w:sz w:val="20"/>
          <w:szCs w:val="20"/>
        </w:rPr>
        <w:t>.</w:t>
      </w:r>
    </w:p>
    <w:p w14:paraId="5306D5F3" w14:textId="247600F5" w:rsidR="00294FD1" w:rsidRPr="00DA53C4" w:rsidRDefault="00294FD1" w:rsidP="00294FD1">
      <w:pPr>
        <w:jc w:val="both"/>
        <w:rPr>
          <w:rFonts w:ascii="Arial" w:hAnsi="Arial"/>
          <w:sz w:val="20"/>
          <w:szCs w:val="20"/>
        </w:rPr>
      </w:pPr>
      <w:r w:rsidRPr="00DA53C4">
        <w:rPr>
          <w:rFonts w:ascii="Arial" w:hAnsi="Arial"/>
          <w:sz w:val="20"/>
          <w:szCs w:val="20"/>
        </w:rPr>
        <w:t xml:space="preserve">Money </w:t>
      </w:r>
      <w:r w:rsidR="009C3CDE" w:rsidRPr="00DA53C4">
        <w:rPr>
          <w:rFonts w:ascii="Arial" w:hAnsi="Arial"/>
          <w:sz w:val="20"/>
          <w:szCs w:val="20"/>
        </w:rPr>
        <w:t xml:space="preserve">also </w:t>
      </w:r>
      <w:r w:rsidRPr="00DA53C4">
        <w:rPr>
          <w:rFonts w:ascii="Arial" w:hAnsi="Arial"/>
          <w:sz w:val="20"/>
          <w:szCs w:val="20"/>
        </w:rPr>
        <w:t xml:space="preserve">saw </w:t>
      </w:r>
      <w:r w:rsidR="00952919" w:rsidRPr="00DA53C4">
        <w:rPr>
          <w:rFonts w:ascii="Arial" w:hAnsi="Arial"/>
          <w:sz w:val="20"/>
          <w:szCs w:val="20"/>
        </w:rPr>
        <w:t xml:space="preserve">a </w:t>
      </w:r>
      <w:r w:rsidR="009C3CDE" w:rsidRPr="00DA53C4">
        <w:rPr>
          <w:rFonts w:ascii="Arial" w:hAnsi="Arial"/>
          <w:sz w:val="20"/>
          <w:szCs w:val="20"/>
        </w:rPr>
        <w:t>de</w:t>
      </w:r>
      <w:r w:rsidR="00952919" w:rsidRPr="00DA53C4">
        <w:rPr>
          <w:rFonts w:ascii="Arial" w:hAnsi="Arial"/>
          <w:sz w:val="20"/>
          <w:szCs w:val="20"/>
        </w:rPr>
        <w:t>crease</w:t>
      </w:r>
      <w:r w:rsidRPr="00DA53C4">
        <w:rPr>
          <w:rFonts w:ascii="Arial" w:hAnsi="Arial"/>
          <w:sz w:val="20"/>
          <w:szCs w:val="20"/>
        </w:rPr>
        <w:t xml:space="preserve"> in EBITDA contribution margin from </w:t>
      </w:r>
      <w:r w:rsidR="00952919" w:rsidRPr="00DA53C4">
        <w:rPr>
          <w:rFonts w:ascii="Arial" w:hAnsi="Arial"/>
          <w:sz w:val="20"/>
          <w:szCs w:val="20"/>
        </w:rPr>
        <w:t>6</w:t>
      </w:r>
      <w:r w:rsidR="002814C0" w:rsidRPr="00DA53C4">
        <w:rPr>
          <w:rFonts w:ascii="Arial" w:hAnsi="Arial"/>
          <w:sz w:val="20"/>
          <w:szCs w:val="20"/>
        </w:rPr>
        <w:t>9</w:t>
      </w:r>
      <w:r w:rsidRPr="00DA53C4">
        <w:rPr>
          <w:rFonts w:ascii="Arial" w:hAnsi="Arial"/>
          <w:sz w:val="20"/>
          <w:szCs w:val="20"/>
        </w:rPr>
        <w:t xml:space="preserve">% to </w:t>
      </w:r>
      <w:r w:rsidR="0014282C" w:rsidRPr="00DA53C4">
        <w:rPr>
          <w:rFonts w:ascii="Arial" w:hAnsi="Arial"/>
          <w:sz w:val="20"/>
          <w:szCs w:val="20"/>
        </w:rPr>
        <w:t>65</w:t>
      </w:r>
      <w:r w:rsidRPr="00DA53C4">
        <w:rPr>
          <w:rFonts w:ascii="Arial" w:hAnsi="Arial"/>
          <w:sz w:val="20"/>
          <w:szCs w:val="20"/>
        </w:rPr>
        <w:t xml:space="preserve">%, </w:t>
      </w:r>
      <w:r w:rsidR="004318F0" w:rsidRPr="00DA53C4">
        <w:rPr>
          <w:rFonts w:ascii="Arial" w:hAnsi="Arial"/>
          <w:sz w:val="20"/>
          <w:szCs w:val="20"/>
        </w:rPr>
        <w:t xml:space="preserve">with an increase in PPC </w:t>
      </w:r>
      <w:r w:rsidR="006431C0" w:rsidRPr="00DA53C4">
        <w:rPr>
          <w:rFonts w:ascii="Arial" w:hAnsi="Arial"/>
          <w:sz w:val="20"/>
          <w:szCs w:val="20"/>
        </w:rPr>
        <w:t xml:space="preserve">costs </w:t>
      </w:r>
      <w:r w:rsidR="007A469B" w:rsidRPr="00DA53C4">
        <w:rPr>
          <w:rFonts w:ascii="Arial" w:hAnsi="Arial"/>
          <w:sz w:val="20"/>
          <w:szCs w:val="20"/>
        </w:rPr>
        <w:t xml:space="preserve">and </w:t>
      </w:r>
      <w:r w:rsidR="00EC5882" w:rsidRPr="00DA53C4">
        <w:rPr>
          <w:rFonts w:ascii="Arial" w:hAnsi="Arial"/>
          <w:sz w:val="20"/>
          <w:szCs w:val="20"/>
        </w:rPr>
        <w:t>mix out of higher margin current account products with less attractive deals available</w:t>
      </w:r>
      <w:r w:rsidR="00A94056">
        <w:rPr>
          <w:rFonts w:ascii="Arial" w:hAnsi="Arial"/>
          <w:sz w:val="20"/>
          <w:szCs w:val="20"/>
        </w:rPr>
        <w:t>.</w:t>
      </w:r>
      <w:r w:rsidRPr="00DA53C4">
        <w:rPr>
          <w:rFonts w:ascii="Arial" w:hAnsi="Arial"/>
          <w:sz w:val="20"/>
          <w:szCs w:val="20"/>
        </w:rPr>
        <w:t xml:space="preserve"> </w:t>
      </w:r>
    </w:p>
    <w:p w14:paraId="484ABC7E" w14:textId="113DF94E" w:rsidR="00294FD1" w:rsidRPr="00DA53C4" w:rsidRDefault="00294FD1" w:rsidP="00294FD1">
      <w:pPr>
        <w:jc w:val="both"/>
        <w:rPr>
          <w:rFonts w:ascii="Arial" w:hAnsi="Arial"/>
          <w:sz w:val="20"/>
          <w:szCs w:val="20"/>
        </w:rPr>
      </w:pPr>
      <w:r w:rsidRPr="00DA53C4">
        <w:rPr>
          <w:rFonts w:ascii="Arial" w:hAnsi="Arial"/>
          <w:sz w:val="20"/>
          <w:szCs w:val="20"/>
        </w:rPr>
        <w:t xml:space="preserve">Home Services EBITDA contribution margin </w:t>
      </w:r>
      <w:r w:rsidR="00DB0114" w:rsidRPr="00DA53C4">
        <w:rPr>
          <w:rFonts w:ascii="Arial" w:hAnsi="Arial"/>
          <w:sz w:val="20"/>
          <w:szCs w:val="20"/>
        </w:rPr>
        <w:t>in</w:t>
      </w:r>
      <w:r w:rsidR="00CC5D06" w:rsidRPr="00DA53C4">
        <w:rPr>
          <w:rFonts w:ascii="Arial" w:hAnsi="Arial"/>
          <w:sz w:val="20"/>
          <w:szCs w:val="20"/>
        </w:rPr>
        <w:t>crease</w:t>
      </w:r>
      <w:r w:rsidR="00F5046E" w:rsidRPr="00DA53C4">
        <w:rPr>
          <w:rFonts w:ascii="Arial" w:hAnsi="Arial"/>
          <w:sz w:val="20"/>
          <w:szCs w:val="20"/>
        </w:rPr>
        <w:t>d</w:t>
      </w:r>
      <w:r w:rsidR="00CC5D06" w:rsidRPr="00DA53C4">
        <w:rPr>
          <w:rFonts w:ascii="Arial" w:hAnsi="Arial"/>
          <w:sz w:val="20"/>
          <w:szCs w:val="20"/>
        </w:rPr>
        <w:t xml:space="preserve"> </w:t>
      </w:r>
      <w:r w:rsidRPr="00DA53C4">
        <w:rPr>
          <w:rFonts w:ascii="Arial" w:hAnsi="Arial"/>
          <w:sz w:val="20"/>
          <w:szCs w:val="20"/>
        </w:rPr>
        <w:t>from 6</w:t>
      </w:r>
      <w:r w:rsidR="002814C0" w:rsidRPr="00DA53C4">
        <w:rPr>
          <w:rFonts w:ascii="Arial" w:hAnsi="Arial"/>
          <w:sz w:val="20"/>
          <w:szCs w:val="20"/>
        </w:rPr>
        <w:t>4</w:t>
      </w:r>
      <w:r w:rsidRPr="00DA53C4">
        <w:rPr>
          <w:rFonts w:ascii="Arial" w:hAnsi="Arial"/>
          <w:sz w:val="20"/>
          <w:szCs w:val="20"/>
        </w:rPr>
        <w:t xml:space="preserve">% to </w:t>
      </w:r>
      <w:r w:rsidR="00DB0114" w:rsidRPr="00DA53C4">
        <w:rPr>
          <w:rFonts w:ascii="Arial" w:hAnsi="Arial"/>
          <w:sz w:val="20"/>
          <w:szCs w:val="20"/>
        </w:rPr>
        <w:t>67</w:t>
      </w:r>
      <w:r w:rsidRPr="00DA53C4">
        <w:rPr>
          <w:rFonts w:ascii="Arial" w:hAnsi="Arial"/>
          <w:sz w:val="20"/>
          <w:szCs w:val="20"/>
        </w:rPr>
        <w:t xml:space="preserve">%, with </w:t>
      </w:r>
      <w:r w:rsidR="006D7143" w:rsidRPr="00DA53C4">
        <w:rPr>
          <w:rFonts w:ascii="Arial" w:hAnsi="Arial"/>
          <w:sz w:val="20"/>
          <w:szCs w:val="20"/>
        </w:rPr>
        <w:t xml:space="preserve">growth in our </w:t>
      </w:r>
      <w:r w:rsidR="005E1FFB" w:rsidRPr="00DA53C4">
        <w:rPr>
          <w:rFonts w:ascii="Arial" w:hAnsi="Arial"/>
          <w:sz w:val="20"/>
          <w:szCs w:val="20"/>
        </w:rPr>
        <w:t xml:space="preserve">energy business </w:t>
      </w:r>
      <w:r w:rsidR="00241EAD">
        <w:rPr>
          <w:rFonts w:ascii="Arial" w:hAnsi="Arial"/>
          <w:sz w:val="20"/>
          <w:szCs w:val="20"/>
        </w:rPr>
        <w:t xml:space="preserve">whilst maintaining </w:t>
      </w:r>
      <w:r w:rsidR="00B90CAE" w:rsidRPr="00DA53C4">
        <w:rPr>
          <w:rFonts w:ascii="Arial" w:hAnsi="Arial"/>
          <w:sz w:val="20"/>
          <w:szCs w:val="20"/>
        </w:rPr>
        <w:t xml:space="preserve">tight </w:t>
      </w:r>
      <w:r w:rsidR="005E1FFB" w:rsidRPr="00DA53C4">
        <w:rPr>
          <w:rFonts w:ascii="Arial" w:hAnsi="Arial"/>
          <w:sz w:val="20"/>
          <w:szCs w:val="20"/>
        </w:rPr>
        <w:t>cost</w:t>
      </w:r>
      <w:r w:rsidR="00B90CAE" w:rsidRPr="00DA53C4">
        <w:rPr>
          <w:rFonts w:ascii="Arial" w:hAnsi="Arial"/>
          <w:sz w:val="20"/>
          <w:szCs w:val="20"/>
        </w:rPr>
        <w:t xml:space="preserve"> control</w:t>
      </w:r>
      <w:r w:rsidRPr="00DA53C4">
        <w:rPr>
          <w:rFonts w:ascii="Arial" w:hAnsi="Arial"/>
          <w:sz w:val="20"/>
          <w:szCs w:val="20"/>
        </w:rPr>
        <w:t xml:space="preserve">. </w:t>
      </w:r>
    </w:p>
    <w:p w14:paraId="762E1938" w14:textId="25E95633" w:rsidR="00294FD1" w:rsidRPr="00DA53C4" w:rsidRDefault="00294FD1" w:rsidP="00294FD1">
      <w:pPr>
        <w:jc w:val="both"/>
        <w:rPr>
          <w:rFonts w:ascii="Arial" w:hAnsi="Arial"/>
          <w:sz w:val="20"/>
          <w:szCs w:val="20"/>
        </w:rPr>
      </w:pPr>
      <w:r w:rsidRPr="00DA53C4">
        <w:rPr>
          <w:rFonts w:ascii="Arial" w:hAnsi="Arial"/>
          <w:sz w:val="20"/>
          <w:szCs w:val="20"/>
        </w:rPr>
        <w:t xml:space="preserve">Travel EBITDA contribution margin declined from </w:t>
      </w:r>
      <w:r w:rsidR="00F20227" w:rsidRPr="00DA53C4">
        <w:rPr>
          <w:rFonts w:ascii="Arial" w:hAnsi="Arial"/>
          <w:sz w:val="20"/>
          <w:szCs w:val="20"/>
        </w:rPr>
        <w:t>2</w:t>
      </w:r>
      <w:r w:rsidR="002814C0" w:rsidRPr="00DA53C4">
        <w:rPr>
          <w:rFonts w:ascii="Arial" w:hAnsi="Arial"/>
          <w:sz w:val="20"/>
          <w:szCs w:val="20"/>
        </w:rPr>
        <w:t>2</w:t>
      </w:r>
      <w:r w:rsidRPr="00DA53C4">
        <w:rPr>
          <w:rFonts w:ascii="Arial" w:hAnsi="Arial"/>
          <w:sz w:val="20"/>
          <w:szCs w:val="20"/>
        </w:rPr>
        <w:t xml:space="preserve">% to </w:t>
      </w:r>
      <w:r w:rsidR="00197057" w:rsidRPr="00DA53C4">
        <w:rPr>
          <w:rFonts w:ascii="Arial" w:hAnsi="Arial"/>
          <w:sz w:val="20"/>
          <w:szCs w:val="20"/>
        </w:rPr>
        <w:t>17</w:t>
      </w:r>
      <w:r w:rsidRPr="00DA53C4">
        <w:rPr>
          <w:rFonts w:ascii="Arial" w:hAnsi="Arial"/>
          <w:sz w:val="20"/>
          <w:szCs w:val="20"/>
        </w:rPr>
        <w:t>%</w:t>
      </w:r>
      <w:r w:rsidR="00F20227" w:rsidRPr="00DA53C4">
        <w:rPr>
          <w:rFonts w:ascii="Arial" w:hAnsi="Arial"/>
          <w:sz w:val="20"/>
          <w:szCs w:val="20"/>
        </w:rPr>
        <w:t>,</w:t>
      </w:r>
      <w:r w:rsidRPr="00DA53C4">
        <w:rPr>
          <w:rFonts w:ascii="Arial" w:hAnsi="Arial"/>
          <w:sz w:val="20"/>
          <w:szCs w:val="20"/>
        </w:rPr>
        <w:t xml:space="preserve"> with </w:t>
      </w:r>
      <w:r w:rsidR="00A43CEE" w:rsidRPr="00DA53C4">
        <w:rPr>
          <w:rFonts w:ascii="Arial" w:hAnsi="Arial"/>
          <w:sz w:val="20"/>
          <w:szCs w:val="20"/>
        </w:rPr>
        <w:t>a competitive market driving increased marketing cos</w:t>
      </w:r>
      <w:r w:rsidR="00F17043" w:rsidRPr="00DA53C4">
        <w:rPr>
          <w:rFonts w:ascii="Arial" w:hAnsi="Arial"/>
          <w:sz w:val="20"/>
          <w:szCs w:val="20"/>
        </w:rPr>
        <w:t>ts</w:t>
      </w:r>
      <w:r w:rsidRPr="00DA53C4">
        <w:rPr>
          <w:rFonts w:ascii="Arial" w:hAnsi="Arial"/>
          <w:sz w:val="20"/>
          <w:szCs w:val="20"/>
        </w:rPr>
        <w:t xml:space="preserve">. </w:t>
      </w:r>
    </w:p>
    <w:p w14:paraId="618A6550" w14:textId="2A642854" w:rsidR="00294FD1" w:rsidRPr="00A44138" w:rsidRDefault="00294FD1" w:rsidP="00294FD1">
      <w:pPr>
        <w:jc w:val="both"/>
        <w:rPr>
          <w:rFonts w:ascii="Arial" w:hAnsi="Arial" w:cs="Arial"/>
          <w:sz w:val="20"/>
          <w:szCs w:val="20"/>
        </w:rPr>
      </w:pPr>
      <w:r w:rsidRPr="00DA53C4">
        <w:rPr>
          <w:rFonts w:ascii="Arial" w:hAnsi="Arial"/>
          <w:sz w:val="20"/>
          <w:szCs w:val="20"/>
        </w:rPr>
        <w:t xml:space="preserve">Margin for Cashback is significantly lower than other verticals as a large proportion of commission is paid out to members as cashback. </w:t>
      </w:r>
      <w:r w:rsidR="00451A8B">
        <w:rPr>
          <w:rFonts w:ascii="Arial" w:hAnsi="Arial"/>
          <w:sz w:val="20"/>
          <w:szCs w:val="20"/>
        </w:rPr>
        <w:t xml:space="preserve">Cashback’s </w:t>
      </w:r>
      <w:r w:rsidRPr="00DA53C4">
        <w:rPr>
          <w:rFonts w:ascii="Arial" w:hAnsi="Arial"/>
          <w:sz w:val="20"/>
          <w:szCs w:val="20"/>
        </w:rPr>
        <w:t xml:space="preserve">EBITDA contribution margin </w:t>
      </w:r>
      <w:r w:rsidR="007D5C1B" w:rsidRPr="00DA53C4">
        <w:rPr>
          <w:rFonts w:ascii="Arial" w:hAnsi="Arial"/>
          <w:sz w:val="20"/>
          <w:szCs w:val="20"/>
        </w:rPr>
        <w:t>in</w:t>
      </w:r>
      <w:r w:rsidRPr="00DA53C4">
        <w:rPr>
          <w:rFonts w:ascii="Arial" w:hAnsi="Arial"/>
          <w:sz w:val="20"/>
          <w:szCs w:val="20"/>
        </w:rPr>
        <w:t>creased from 1</w:t>
      </w:r>
      <w:r w:rsidR="002814C0" w:rsidRPr="00DA53C4">
        <w:rPr>
          <w:rFonts w:ascii="Arial" w:hAnsi="Arial"/>
          <w:sz w:val="20"/>
          <w:szCs w:val="20"/>
        </w:rPr>
        <w:t>3</w:t>
      </w:r>
      <w:r w:rsidRPr="00DA53C4">
        <w:rPr>
          <w:rFonts w:ascii="Arial" w:hAnsi="Arial"/>
          <w:sz w:val="20"/>
          <w:szCs w:val="20"/>
        </w:rPr>
        <w:t xml:space="preserve">% to </w:t>
      </w:r>
      <w:r w:rsidR="000E2AA4" w:rsidRPr="00DA53C4">
        <w:rPr>
          <w:rFonts w:ascii="Arial" w:hAnsi="Arial"/>
          <w:sz w:val="20"/>
          <w:szCs w:val="20"/>
        </w:rPr>
        <w:t>15</w:t>
      </w:r>
      <w:r w:rsidRPr="00DA53C4">
        <w:rPr>
          <w:rFonts w:ascii="Arial" w:hAnsi="Arial"/>
          <w:sz w:val="20"/>
          <w:szCs w:val="20"/>
        </w:rPr>
        <w:t>% reflecting</w:t>
      </w:r>
      <w:r w:rsidR="00797675" w:rsidRPr="00DA53C4">
        <w:rPr>
          <w:rFonts w:ascii="Arial" w:hAnsi="Arial"/>
          <w:sz w:val="20"/>
          <w:szCs w:val="20"/>
        </w:rPr>
        <w:t xml:space="preserve"> </w:t>
      </w:r>
      <w:bookmarkEnd w:id="22"/>
      <w:r w:rsidR="00842EE9">
        <w:rPr>
          <w:rFonts w:ascii="Arial" w:hAnsi="Arial"/>
          <w:sz w:val="20"/>
          <w:szCs w:val="20"/>
        </w:rPr>
        <w:t xml:space="preserve">robust </w:t>
      </w:r>
      <w:r w:rsidR="00F46D30" w:rsidRPr="00DA53C4">
        <w:rPr>
          <w:rFonts w:ascii="Arial" w:hAnsi="Arial"/>
          <w:sz w:val="20"/>
          <w:szCs w:val="20"/>
        </w:rPr>
        <w:t xml:space="preserve">cost </w:t>
      </w:r>
      <w:r w:rsidR="00842EE9">
        <w:rPr>
          <w:rFonts w:ascii="Arial" w:hAnsi="Arial"/>
          <w:sz w:val="20"/>
          <w:szCs w:val="20"/>
        </w:rPr>
        <w:t>control as the segment experienced trading headwinds</w:t>
      </w:r>
      <w:r w:rsidRPr="00DA53C4">
        <w:rPr>
          <w:rFonts w:ascii="Arial" w:hAnsi="Arial"/>
          <w:sz w:val="20"/>
          <w:szCs w:val="20"/>
        </w:rPr>
        <w:t>.</w:t>
      </w:r>
      <w:r w:rsidRPr="00A44138">
        <w:rPr>
          <w:rFonts w:ascii="Arial" w:hAnsi="Arial"/>
          <w:sz w:val="20"/>
          <w:szCs w:val="20"/>
        </w:rPr>
        <w:t xml:space="preserve"> </w:t>
      </w:r>
    </w:p>
    <w:p w14:paraId="155DA487" w14:textId="61800326" w:rsidR="00294FD1" w:rsidRPr="00DA53C4" w:rsidRDefault="00294FD1" w:rsidP="00294FD1">
      <w:pPr>
        <w:jc w:val="both"/>
        <w:rPr>
          <w:rFonts w:ascii="Arial" w:hAnsi="Arial" w:cs="Arial"/>
          <w:sz w:val="20"/>
          <w:szCs w:val="20"/>
        </w:rPr>
      </w:pPr>
      <w:r w:rsidRPr="00DA53C4">
        <w:rPr>
          <w:rFonts w:ascii="Arial" w:hAnsi="Arial" w:cs="Arial"/>
          <w:sz w:val="20"/>
          <w:szCs w:val="20"/>
        </w:rPr>
        <w:lastRenderedPageBreak/>
        <w:t xml:space="preserve">Shared costs </w:t>
      </w:r>
      <w:r w:rsidR="00943766" w:rsidRPr="00DA53C4">
        <w:rPr>
          <w:rFonts w:ascii="Arial" w:hAnsi="Arial" w:cs="Arial"/>
          <w:sz w:val="20"/>
          <w:szCs w:val="20"/>
        </w:rPr>
        <w:t>de</w:t>
      </w:r>
      <w:r w:rsidR="00B2223F" w:rsidRPr="00DA53C4">
        <w:rPr>
          <w:rFonts w:ascii="Arial" w:hAnsi="Arial" w:cs="Arial"/>
          <w:sz w:val="20"/>
          <w:szCs w:val="20"/>
        </w:rPr>
        <w:t xml:space="preserve">creased </w:t>
      </w:r>
      <w:r w:rsidR="00263DC6" w:rsidRPr="00DA53C4">
        <w:rPr>
          <w:rFonts w:ascii="Arial" w:hAnsi="Arial" w:cs="Arial"/>
          <w:sz w:val="20"/>
          <w:szCs w:val="20"/>
        </w:rPr>
        <w:t>7</w:t>
      </w:r>
      <w:r w:rsidR="00B2223F" w:rsidRPr="00DA53C4">
        <w:rPr>
          <w:rFonts w:ascii="Arial" w:hAnsi="Arial" w:cs="Arial"/>
          <w:sz w:val="20"/>
          <w:szCs w:val="20"/>
        </w:rPr>
        <w:t>%</w:t>
      </w:r>
      <w:r w:rsidRPr="00DA53C4">
        <w:rPr>
          <w:rFonts w:ascii="Arial" w:hAnsi="Arial" w:cs="Arial"/>
          <w:sz w:val="20"/>
          <w:szCs w:val="20"/>
        </w:rPr>
        <w:t xml:space="preserve"> with cost </w:t>
      </w:r>
      <w:r w:rsidR="00FE176B" w:rsidRPr="00DA53C4">
        <w:rPr>
          <w:rFonts w:ascii="Arial" w:hAnsi="Arial" w:cs="Arial"/>
          <w:sz w:val="20"/>
          <w:szCs w:val="20"/>
        </w:rPr>
        <w:t>savings delivered</w:t>
      </w:r>
      <w:r w:rsidR="006C35DC">
        <w:rPr>
          <w:rFonts w:ascii="Arial" w:hAnsi="Arial" w:cs="Arial"/>
          <w:sz w:val="20"/>
          <w:szCs w:val="20"/>
        </w:rPr>
        <w:t xml:space="preserve"> </w:t>
      </w:r>
      <w:r w:rsidR="00263DC6" w:rsidRPr="00DA53C4">
        <w:rPr>
          <w:rFonts w:ascii="Arial" w:eastAsia="Batang" w:hAnsi="Arial" w:cs="Arial"/>
          <w:sz w:val="20"/>
          <w:szCs w:val="20"/>
          <w:lang w:eastAsia="ko-KR"/>
        </w:rPr>
        <w:t xml:space="preserve">through increasing automation and efficiencies. </w:t>
      </w:r>
    </w:p>
    <w:p w14:paraId="0E4637C6" w14:textId="43EF8B06" w:rsidR="007A7E83" w:rsidRPr="00A44138" w:rsidRDefault="007A7E83" w:rsidP="00324A0B">
      <w:pPr>
        <w:jc w:val="both"/>
        <w:rPr>
          <w:rFonts w:ascii="Arial" w:hAnsi="Arial"/>
          <w:sz w:val="20"/>
          <w:szCs w:val="20"/>
        </w:rPr>
      </w:pPr>
      <w:r w:rsidRPr="00DA53C4">
        <w:rPr>
          <w:rFonts w:ascii="Arial" w:hAnsi="Arial"/>
          <w:sz w:val="20"/>
          <w:szCs w:val="20"/>
        </w:rPr>
        <w:t xml:space="preserve">The Group recovers input VAT that it incurs on expenditure using a partial exemption special method which was agreed with HMRC in 2012. </w:t>
      </w:r>
      <w:r w:rsidR="00686DDE" w:rsidRPr="00DA53C4">
        <w:rPr>
          <w:rFonts w:ascii="Arial" w:hAnsi="Arial"/>
          <w:sz w:val="20"/>
          <w:szCs w:val="20"/>
        </w:rPr>
        <w:t xml:space="preserve">See note </w:t>
      </w:r>
      <w:r w:rsidR="00AD3DC5" w:rsidRPr="00DA53C4">
        <w:rPr>
          <w:rFonts w:ascii="Arial" w:hAnsi="Arial"/>
          <w:sz w:val="20"/>
          <w:szCs w:val="20"/>
        </w:rPr>
        <w:t>9 for details</w:t>
      </w:r>
      <w:r w:rsidRPr="00DA53C4">
        <w:rPr>
          <w:rFonts w:ascii="Arial" w:hAnsi="Arial"/>
          <w:sz w:val="20"/>
          <w:szCs w:val="20"/>
        </w:rPr>
        <w:t>.</w:t>
      </w:r>
    </w:p>
    <w:p w14:paraId="16720892" w14:textId="2A03774F" w:rsidR="00294FD1" w:rsidRPr="00A44138" w:rsidRDefault="008805A6" w:rsidP="00974FA2">
      <w:pPr>
        <w:pStyle w:val="ListParagraph"/>
        <w:numPr>
          <w:ilvl w:val="0"/>
          <w:numId w:val="2"/>
        </w:numPr>
        <w:rPr>
          <w:rFonts w:eastAsia="Batang" w:cs="Times New Roman"/>
          <w:b/>
        </w:rPr>
      </w:pPr>
      <w:r w:rsidRPr="00A44138">
        <w:rPr>
          <w:rFonts w:eastAsia="Batang" w:cs="Times New Roman"/>
          <w:b/>
        </w:rPr>
        <w:t>Net f</w:t>
      </w:r>
      <w:r w:rsidR="00294FD1" w:rsidRPr="00A44138">
        <w:rPr>
          <w:rFonts w:eastAsia="Batang" w:cs="Times New Roman"/>
          <w:b/>
        </w:rPr>
        <w:t>inance expense</w:t>
      </w:r>
    </w:p>
    <w:tbl>
      <w:tblPr>
        <w:tblW w:w="9072" w:type="dxa"/>
        <w:tblLayout w:type="fixed"/>
        <w:tblCellMar>
          <w:left w:w="0" w:type="dxa"/>
        </w:tblCellMar>
        <w:tblLook w:val="0000" w:firstRow="0" w:lastRow="0" w:firstColumn="0" w:lastColumn="0" w:noHBand="0" w:noVBand="0"/>
      </w:tblPr>
      <w:tblGrid>
        <w:gridCol w:w="5103"/>
        <w:gridCol w:w="1985"/>
        <w:gridCol w:w="992"/>
        <w:gridCol w:w="992"/>
      </w:tblGrid>
      <w:tr w:rsidR="002814C0" w:rsidRPr="00A44138" w14:paraId="38C9FDCD" w14:textId="77777777" w:rsidTr="002814C0">
        <w:tc>
          <w:tcPr>
            <w:tcW w:w="5103" w:type="dxa"/>
          </w:tcPr>
          <w:p w14:paraId="2FBF923F"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color w:val="FF0000"/>
                <w:sz w:val="20"/>
              </w:rPr>
            </w:pPr>
          </w:p>
        </w:tc>
        <w:tc>
          <w:tcPr>
            <w:tcW w:w="1985" w:type="dxa"/>
          </w:tcPr>
          <w:p w14:paraId="635A401E"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185AB8CF" w14:textId="5657DFBE"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p w14:paraId="6B70A4FA"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r w:rsidRPr="00A44138">
              <w:rPr>
                <w:rFonts w:ascii="Arial" w:eastAsia="Batang" w:hAnsi="Arial" w:cs="Arial"/>
                <w:b/>
                <w:sz w:val="18"/>
                <w:szCs w:val="18"/>
              </w:rPr>
              <w:t>£m</w:t>
            </w:r>
          </w:p>
        </w:tc>
        <w:tc>
          <w:tcPr>
            <w:tcW w:w="992" w:type="dxa"/>
            <w:vAlign w:val="center"/>
          </w:tcPr>
          <w:p w14:paraId="159E207C"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2024</w:t>
            </w:r>
          </w:p>
          <w:p w14:paraId="08596A9A" w14:textId="6E50EE4A"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£m</w:t>
            </w:r>
          </w:p>
        </w:tc>
      </w:tr>
      <w:tr w:rsidR="002814C0" w:rsidRPr="00A44138" w14:paraId="4B8B3AEF" w14:textId="77777777" w:rsidTr="002814C0">
        <w:tc>
          <w:tcPr>
            <w:tcW w:w="5103" w:type="dxa"/>
            <w:vAlign w:val="center"/>
          </w:tcPr>
          <w:p w14:paraId="664E5413" w14:textId="4E057DD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
                <w:sz w:val="18"/>
                <w:szCs w:val="18"/>
              </w:rPr>
              <w:t>Finance income</w:t>
            </w:r>
          </w:p>
        </w:tc>
        <w:tc>
          <w:tcPr>
            <w:tcW w:w="1985" w:type="dxa"/>
            <w:vAlign w:val="center"/>
          </w:tcPr>
          <w:p w14:paraId="65FC4799"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1A53AB99"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38980A08"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66B40418" w14:textId="77777777" w:rsidTr="002814C0">
        <w:tc>
          <w:tcPr>
            <w:tcW w:w="5103" w:type="dxa"/>
            <w:vAlign w:val="center"/>
          </w:tcPr>
          <w:p w14:paraId="4C5D34C1" w14:textId="0F6C42AB"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Cs/>
                <w:sz w:val="18"/>
                <w:szCs w:val="18"/>
              </w:rPr>
              <w:t>Bank deposits</w:t>
            </w:r>
          </w:p>
        </w:tc>
        <w:tc>
          <w:tcPr>
            <w:tcW w:w="1985" w:type="dxa"/>
            <w:vAlign w:val="center"/>
          </w:tcPr>
          <w:p w14:paraId="2EBDB844"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tcBorders>
              <w:bottom w:val="single" w:sz="4" w:space="0" w:color="auto"/>
            </w:tcBorders>
            <w:vAlign w:val="center"/>
          </w:tcPr>
          <w:p w14:paraId="3F52CE9D" w14:textId="79098A21" w:rsidR="002814C0" w:rsidRPr="00DA53C4" w:rsidRDefault="00846D35"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0.2</w:t>
            </w:r>
          </w:p>
        </w:tc>
        <w:tc>
          <w:tcPr>
            <w:tcW w:w="992" w:type="dxa"/>
            <w:tcBorders>
              <w:bottom w:val="single" w:sz="4" w:space="0" w:color="auto"/>
            </w:tcBorders>
            <w:vAlign w:val="center"/>
          </w:tcPr>
          <w:p w14:paraId="2797608A" w14:textId="31D28465"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0.1</w:t>
            </w:r>
          </w:p>
        </w:tc>
      </w:tr>
      <w:tr w:rsidR="002814C0" w:rsidRPr="00A44138" w14:paraId="23DA9F04" w14:textId="77777777" w:rsidTr="00DA53C4">
        <w:tc>
          <w:tcPr>
            <w:tcW w:w="5103" w:type="dxa"/>
            <w:vAlign w:val="center"/>
          </w:tcPr>
          <w:p w14:paraId="47BA86A2" w14:textId="219DB150"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18"/>
              </w:rPr>
            </w:pPr>
          </w:p>
        </w:tc>
        <w:tc>
          <w:tcPr>
            <w:tcW w:w="1985" w:type="dxa"/>
            <w:vAlign w:val="center"/>
          </w:tcPr>
          <w:p w14:paraId="59CBE11F"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tcBorders>
              <w:top w:val="single" w:sz="4" w:space="0" w:color="auto"/>
            </w:tcBorders>
            <w:vAlign w:val="center"/>
          </w:tcPr>
          <w:p w14:paraId="7D884E28" w14:textId="4FE61434" w:rsidR="002814C0" w:rsidRPr="00DA53C4"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top w:val="single" w:sz="4" w:space="0" w:color="auto"/>
            </w:tcBorders>
            <w:vAlign w:val="center"/>
          </w:tcPr>
          <w:p w14:paraId="63422562" w14:textId="48A1FFA8"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33A53C79" w14:textId="77777777" w:rsidTr="002814C0">
        <w:tc>
          <w:tcPr>
            <w:tcW w:w="5103" w:type="dxa"/>
            <w:vAlign w:val="center"/>
          </w:tcPr>
          <w:p w14:paraId="10DE96F2" w14:textId="4034E7A0"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18"/>
              </w:rPr>
            </w:pPr>
            <w:r w:rsidRPr="00A44138">
              <w:rPr>
                <w:rFonts w:ascii="Arial" w:hAnsi="Arial"/>
                <w:b/>
                <w:sz w:val="18"/>
                <w:szCs w:val="18"/>
              </w:rPr>
              <w:t>Finance expense</w:t>
            </w:r>
          </w:p>
        </w:tc>
        <w:tc>
          <w:tcPr>
            <w:tcW w:w="1985" w:type="dxa"/>
            <w:vAlign w:val="center"/>
          </w:tcPr>
          <w:p w14:paraId="46518367"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402AD6D1" w14:textId="77777777" w:rsidR="002814C0" w:rsidRPr="00DA53C4"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6DD66321" w14:textId="7777777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230A2F55" w14:textId="77777777" w:rsidTr="002814C0">
        <w:tc>
          <w:tcPr>
            <w:tcW w:w="5103" w:type="dxa"/>
            <w:vAlign w:val="center"/>
          </w:tcPr>
          <w:p w14:paraId="78E7D2E8"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Cs/>
                <w:sz w:val="18"/>
                <w:szCs w:val="18"/>
              </w:rPr>
              <w:t>Revolving credit facility</w:t>
            </w:r>
          </w:p>
        </w:tc>
        <w:tc>
          <w:tcPr>
            <w:tcW w:w="1985" w:type="dxa"/>
            <w:vAlign w:val="center"/>
          </w:tcPr>
          <w:p w14:paraId="7092F767"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512A24A0" w14:textId="1A114E76" w:rsidR="002814C0" w:rsidRPr="00DA53C4"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r w:rsidR="0014609F" w:rsidRPr="00DA53C4">
              <w:rPr>
                <w:rFonts w:ascii="Arial" w:eastAsia="Batang" w:hAnsi="Arial" w:cs="Arial"/>
                <w:b/>
                <w:sz w:val="18"/>
                <w:szCs w:val="18"/>
              </w:rPr>
              <w:t>1.1</w:t>
            </w:r>
            <w:r w:rsidRPr="00DA53C4">
              <w:rPr>
                <w:rFonts w:ascii="Arial" w:eastAsia="Batang" w:hAnsi="Arial" w:cs="Arial"/>
                <w:b/>
                <w:sz w:val="18"/>
                <w:szCs w:val="18"/>
              </w:rPr>
              <w:t>)</w:t>
            </w:r>
          </w:p>
        </w:tc>
        <w:tc>
          <w:tcPr>
            <w:tcW w:w="992" w:type="dxa"/>
            <w:vAlign w:val="center"/>
          </w:tcPr>
          <w:p w14:paraId="78D6723D" w14:textId="11F7ACBC"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1.0</w:t>
            </w:r>
            <w:r>
              <w:rPr>
                <w:rFonts w:ascii="Arial" w:eastAsia="Batang" w:hAnsi="Arial" w:cs="Arial"/>
                <w:bCs/>
                <w:sz w:val="18"/>
                <w:szCs w:val="18"/>
              </w:rPr>
              <w:t>)</w:t>
            </w:r>
          </w:p>
        </w:tc>
      </w:tr>
      <w:tr w:rsidR="002814C0" w:rsidRPr="00A44138" w14:paraId="523B73C1" w14:textId="77777777" w:rsidTr="002814C0">
        <w:tc>
          <w:tcPr>
            <w:tcW w:w="5103" w:type="dxa"/>
            <w:vAlign w:val="center"/>
          </w:tcPr>
          <w:p w14:paraId="58C6A260"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Cs/>
                <w:sz w:val="18"/>
                <w:szCs w:val="18"/>
              </w:rPr>
              <w:t>Bank loan</w:t>
            </w:r>
          </w:p>
        </w:tc>
        <w:tc>
          <w:tcPr>
            <w:tcW w:w="1985" w:type="dxa"/>
            <w:vAlign w:val="center"/>
          </w:tcPr>
          <w:p w14:paraId="57501630"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36701D0F" w14:textId="1835DA5F" w:rsidR="002814C0" w:rsidRPr="00DA53C4" w:rsidRDefault="00CF528B"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p>
        </w:tc>
        <w:tc>
          <w:tcPr>
            <w:tcW w:w="992" w:type="dxa"/>
            <w:vAlign w:val="center"/>
          </w:tcPr>
          <w:p w14:paraId="7AFC03A2" w14:textId="3CC78965"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0.9</w:t>
            </w:r>
            <w:r>
              <w:rPr>
                <w:rFonts w:ascii="Arial" w:eastAsia="Batang" w:hAnsi="Arial" w:cs="Arial"/>
                <w:bCs/>
                <w:sz w:val="18"/>
                <w:szCs w:val="18"/>
              </w:rPr>
              <w:t>)</w:t>
            </w:r>
          </w:p>
        </w:tc>
      </w:tr>
      <w:tr w:rsidR="002814C0" w:rsidRPr="00A44138" w14:paraId="4EADECAC" w14:textId="77777777" w:rsidTr="002814C0">
        <w:tc>
          <w:tcPr>
            <w:tcW w:w="5103" w:type="dxa"/>
            <w:vAlign w:val="center"/>
          </w:tcPr>
          <w:p w14:paraId="4DD49784"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Cs/>
                <w:sz w:val="18"/>
                <w:szCs w:val="18"/>
              </w:rPr>
              <w:t>Leases</w:t>
            </w:r>
          </w:p>
        </w:tc>
        <w:tc>
          <w:tcPr>
            <w:tcW w:w="1985" w:type="dxa"/>
            <w:vAlign w:val="center"/>
          </w:tcPr>
          <w:p w14:paraId="6FC58C13"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089BAF0A" w14:textId="3D91D16D" w:rsidR="002814C0" w:rsidRPr="00DA53C4"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r w:rsidR="003A5AE7" w:rsidRPr="00DA53C4">
              <w:rPr>
                <w:rFonts w:ascii="Arial" w:eastAsia="Batang" w:hAnsi="Arial" w:cs="Arial"/>
                <w:b/>
                <w:sz w:val="18"/>
                <w:szCs w:val="18"/>
              </w:rPr>
              <w:t>0.4</w:t>
            </w:r>
            <w:r w:rsidRPr="00DA53C4">
              <w:rPr>
                <w:rFonts w:ascii="Arial" w:eastAsia="Batang" w:hAnsi="Arial" w:cs="Arial"/>
                <w:b/>
                <w:sz w:val="18"/>
                <w:szCs w:val="18"/>
              </w:rPr>
              <w:t>)</w:t>
            </w:r>
          </w:p>
        </w:tc>
        <w:tc>
          <w:tcPr>
            <w:tcW w:w="992" w:type="dxa"/>
            <w:vAlign w:val="center"/>
          </w:tcPr>
          <w:p w14:paraId="57705C7D" w14:textId="7ACB266C"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0.4</w:t>
            </w:r>
            <w:r>
              <w:rPr>
                <w:rFonts w:ascii="Arial" w:eastAsia="Batang" w:hAnsi="Arial" w:cs="Arial"/>
                <w:bCs/>
                <w:sz w:val="18"/>
                <w:szCs w:val="18"/>
              </w:rPr>
              <w:t>)</w:t>
            </w:r>
          </w:p>
        </w:tc>
      </w:tr>
      <w:tr w:rsidR="002814C0" w:rsidRPr="00A44138" w14:paraId="340AB31D" w14:textId="77777777" w:rsidTr="00DA53C4">
        <w:tc>
          <w:tcPr>
            <w:tcW w:w="5103" w:type="dxa"/>
            <w:vAlign w:val="center"/>
          </w:tcPr>
          <w:p w14:paraId="015D507D"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A44138">
              <w:rPr>
                <w:rFonts w:ascii="Arial" w:hAnsi="Arial"/>
                <w:bCs/>
                <w:sz w:val="18"/>
                <w:szCs w:val="18"/>
              </w:rPr>
              <w:t>Loan notes</w:t>
            </w:r>
          </w:p>
        </w:tc>
        <w:tc>
          <w:tcPr>
            <w:tcW w:w="1985" w:type="dxa"/>
            <w:vAlign w:val="center"/>
          </w:tcPr>
          <w:p w14:paraId="73E58241"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bottom w:val="single" w:sz="4" w:space="0" w:color="auto"/>
            </w:tcBorders>
            <w:vAlign w:val="center"/>
          </w:tcPr>
          <w:p w14:paraId="46C2F651" w14:textId="3C7AB348" w:rsidR="002814C0" w:rsidRPr="00DA53C4" w:rsidDel="00757176"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r w:rsidR="003A5AE7" w:rsidRPr="00DA53C4">
              <w:rPr>
                <w:rFonts w:ascii="Arial" w:eastAsia="Batang" w:hAnsi="Arial" w:cs="Arial"/>
                <w:b/>
                <w:sz w:val="18"/>
                <w:szCs w:val="18"/>
              </w:rPr>
              <w:t>0.1</w:t>
            </w:r>
            <w:r w:rsidRPr="00DA53C4">
              <w:rPr>
                <w:rFonts w:ascii="Arial" w:eastAsia="Batang" w:hAnsi="Arial" w:cs="Arial"/>
                <w:b/>
                <w:sz w:val="18"/>
                <w:szCs w:val="18"/>
              </w:rPr>
              <w:t>)</w:t>
            </w:r>
          </w:p>
        </w:tc>
        <w:tc>
          <w:tcPr>
            <w:tcW w:w="992" w:type="dxa"/>
            <w:tcBorders>
              <w:bottom w:val="single" w:sz="4" w:space="0" w:color="auto"/>
            </w:tcBorders>
            <w:vAlign w:val="center"/>
          </w:tcPr>
          <w:p w14:paraId="67FF4152" w14:textId="01BF3837"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0.1</w:t>
            </w:r>
            <w:r>
              <w:rPr>
                <w:rFonts w:ascii="Arial" w:eastAsia="Batang" w:hAnsi="Arial" w:cs="Arial"/>
                <w:bCs/>
                <w:sz w:val="18"/>
                <w:szCs w:val="18"/>
              </w:rPr>
              <w:t>)</w:t>
            </w:r>
          </w:p>
        </w:tc>
      </w:tr>
      <w:tr w:rsidR="002814C0" w:rsidRPr="00A44138" w14:paraId="5C3ED607" w14:textId="77777777" w:rsidTr="002814C0">
        <w:trPr>
          <w:trHeight w:val="66"/>
        </w:trPr>
        <w:tc>
          <w:tcPr>
            <w:tcW w:w="5103" w:type="dxa"/>
            <w:vAlign w:val="center"/>
          </w:tcPr>
          <w:p w14:paraId="198633AF" w14:textId="06B31CE9"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18"/>
              </w:rPr>
            </w:pPr>
          </w:p>
        </w:tc>
        <w:tc>
          <w:tcPr>
            <w:tcW w:w="1985" w:type="dxa"/>
            <w:vAlign w:val="center"/>
          </w:tcPr>
          <w:p w14:paraId="4C797360"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top w:val="single" w:sz="4" w:space="0" w:color="auto"/>
              <w:bottom w:val="single" w:sz="4" w:space="0" w:color="auto"/>
            </w:tcBorders>
            <w:vAlign w:val="center"/>
          </w:tcPr>
          <w:p w14:paraId="6A4C098E" w14:textId="6BD2A5A7" w:rsidR="002814C0" w:rsidRPr="00DA53C4"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r w:rsidR="00A53932" w:rsidRPr="00DA53C4">
              <w:rPr>
                <w:rFonts w:ascii="Arial" w:eastAsia="Batang" w:hAnsi="Arial" w:cs="Arial"/>
                <w:b/>
                <w:sz w:val="18"/>
                <w:szCs w:val="18"/>
              </w:rPr>
              <w:t>1.6</w:t>
            </w:r>
            <w:r w:rsidRPr="00DA53C4">
              <w:rPr>
                <w:rFonts w:ascii="Arial" w:eastAsia="Batang" w:hAnsi="Arial" w:cs="Arial"/>
                <w:b/>
                <w:sz w:val="18"/>
                <w:szCs w:val="18"/>
              </w:rPr>
              <w:t>)</w:t>
            </w:r>
          </w:p>
        </w:tc>
        <w:tc>
          <w:tcPr>
            <w:tcW w:w="992" w:type="dxa"/>
            <w:tcBorders>
              <w:top w:val="single" w:sz="4" w:space="0" w:color="auto"/>
              <w:bottom w:val="single" w:sz="4" w:space="0" w:color="auto"/>
            </w:tcBorders>
            <w:vAlign w:val="center"/>
          </w:tcPr>
          <w:p w14:paraId="4B40EB3C" w14:textId="7E40DDCF"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2.4</w:t>
            </w:r>
            <w:r>
              <w:rPr>
                <w:rFonts w:ascii="Arial" w:eastAsia="Batang" w:hAnsi="Arial" w:cs="Arial"/>
                <w:bCs/>
                <w:sz w:val="18"/>
                <w:szCs w:val="18"/>
              </w:rPr>
              <w:t>)</w:t>
            </w:r>
          </w:p>
        </w:tc>
      </w:tr>
      <w:tr w:rsidR="0091707E" w:rsidRPr="00A44138" w14:paraId="1F815688" w14:textId="77777777" w:rsidTr="00DA53C4">
        <w:trPr>
          <w:trHeight w:val="66"/>
        </w:trPr>
        <w:tc>
          <w:tcPr>
            <w:tcW w:w="5103" w:type="dxa"/>
            <w:vAlign w:val="center"/>
          </w:tcPr>
          <w:p w14:paraId="3BF6D558" w14:textId="77777777" w:rsidR="0091707E" w:rsidRPr="00A44138" w:rsidRDefault="0091707E" w:rsidP="002814C0">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18"/>
              </w:rPr>
            </w:pPr>
          </w:p>
        </w:tc>
        <w:tc>
          <w:tcPr>
            <w:tcW w:w="1985" w:type="dxa"/>
            <w:vAlign w:val="center"/>
          </w:tcPr>
          <w:p w14:paraId="07635203" w14:textId="77777777" w:rsidR="0091707E" w:rsidRPr="00A44138" w:rsidRDefault="0091707E"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top w:val="single" w:sz="4" w:space="0" w:color="auto"/>
            </w:tcBorders>
            <w:vAlign w:val="center"/>
          </w:tcPr>
          <w:p w14:paraId="084DE3AF" w14:textId="77777777" w:rsidR="0091707E" w:rsidRPr="0091707E" w:rsidRDefault="0091707E"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top w:val="single" w:sz="4" w:space="0" w:color="auto"/>
            </w:tcBorders>
            <w:vAlign w:val="center"/>
          </w:tcPr>
          <w:p w14:paraId="2F245298" w14:textId="77777777" w:rsidR="0091707E" w:rsidRDefault="0091707E"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002E1D2D" w14:textId="77777777" w:rsidTr="00DA53C4">
        <w:trPr>
          <w:trHeight w:val="66"/>
        </w:trPr>
        <w:tc>
          <w:tcPr>
            <w:tcW w:w="5103" w:type="dxa"/>
            <w:vAlign w:val="center"/>
          </w:tcPr>
          <w:p w14:paraId="273C489B" w14:textId="1027BF8C"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18"/>
              </w:rPr>
            </w:pPr>
            <w:r w:rsidRPr="00A44138">
              <w:rPr>
                <w:rFonts w:ascii="Arial" w:hAnsi="Arial"/>
                <w:b/>
                <w:sz w:val="18"/>
                <w:szCs w:val="18"/>
              </w:rPr>
              <w:t>Net finance expense</w:t>
            </w:r>
          </w:p>
        </w:tc>
        <w:tc>
          <w:tcPr>
            <w:tcW w:w="1985" w:type="dxa"/>
            <w:vAlign w:val="center"/>
          </w:tcPr>
          <w:p w14:paraId="4EBA321B"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bottom w:val="double" w:sz="4" w:space="0" w:color="auto"/>
            </w:tcBorders>
            <w:vAlign w:val="center"/>
          </w:tcPr>
          <w:p w14:paraId="582120CE" w14:textId="184AF802" w:rsidR="002814C0" w:rsidRPr="00DA53C4"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r w:rsidR="003A5AE7" w:rsidRPr="00DA53C4">
              <w:rPr>
                <w:rFonts w:ascii="Arial" w:eastAsia="Batang" w:hAnsi="Arial" w:cs="Arial"/>
                <w:b/>
                <w:sz w:val="18"/>
                <w:szCs w:val="18"/>
              </w:rPr>
              <w:t>1.4</w:t>
            </w:r>
            <w:r w:rsidRPr="00DA53C4">
              <w:rPr>
                <w:rFonts w:ascii="Arial" w:eastAsia="Batang" w:hAnsi="Arial" w:cs="Arial"/>
                <w:b/>
                <w:sz w:val="18"/>
                <w:szCs w:val="18"/>
              </w:rPr>
              <w:t>)</w:t>
            </w:r>
          </w:p>
        </w:tc>
        <w:tc>
          <w:tcPr>
            <w:tcW w:w="992" w:type="dxa"/>
            <w:tcBorders>
              <w:bottom w:val="double" w:sz="4" w:space="0" w:color="auto"/>
            </w:tcBorders>
            <w:vAlign w:val="center"/>
          </w:tcPr>
          <w:p w14:paraId="067913C8" w14:textId="4DAFEA55" w:rsidR="002814C0" w:rsidRPr="005E7A81" w:rsidRDefault="00904C8A"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w:t>
            </w:r>
            <w:r w:rsidR="002814C0" w:rsidRPr="005E7A81">
              <w:rPr>
                <w:rFonts w:ascii="Arial" w:eastAsia="Batang" w:hAnsi="Arial" w:cs="Arial"/>
                <w:bCs/>
                <w:sz w:val="18"/>
                <w:szCs w:val="18"/>
              </w:rPr>
              <w:t>2.3</w:t>
            </w:r>
            <w:r>
              <w:rPr>
                <w:rFonts w:ascii="Arial" w:eastAsia="Batang" w:hAnsi="Arial" w:cs="Arial"/>
                <w:bCs/>
                <w:sz w:val="18"/>
                <w:szCs w:val="18"/>
              </w:rPr>
              <w:t>)</w:t>
            </w:r>
          </w:p>
        </w:tc>
      </w:tr>
    </w:tbl>
    <w:p w14:paraId="71A5B5FD" w14:textId="77777777" w:rsidR="00294FD1" w:rsidRPr="00A44138"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rPr>
      </w:pPr>
    </w:p>
    <w:p w14:paraId="7D43ADE2"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rPr>
      </w:pPr>
      <w:r w:rsidRPr="00A44138">
        <w:rPr>
          <w:rFonts w:ascii="Arial" w:eastAsia="Batang" w:hAnsi="Arial" w:cs="Times New Roman"/>
          <w:b/>
          <w:bCs/>
          <w:sz w:val="20"/>
          <w:szCs w:val="20"/>
        </w:rPr>
        <w:t>Taxation</w:t>
      </w:r>
    </w:p>
    <w:p w14:paraId="5295C861" w14:textId="3F2F52DB" w:rsidR="001208C9" w:rsidRPr="00A44138" w:rsidRDefault="00294FD1" w:rsidP="00324A0B">
      <w:pPr>
        <w:spacing w:line="240" w:lineRule="auto"/>
        <w:jc w:val="both"/>
        <w:rPr>
          <w:rFonts w:ascii="Arial" w:hAnsi="Arial"/>
          <w:bCs/>
          <w:sz w:val="20"/>
        </w:rPr>
      </w:pPr>
      <w:r w:rsidRPr="00DA53C4">
        <w:rPr>
          <w:rFonts w:ascii="Arial" w:hAnsi="Arial"/>
          <w:bCs/>
          <w:sz w:val="20"/>
        </w:rPr>
        <w:t>The effective tax rate of 2</w:t>
      </w:r>
      <w:r w:rsidR="00BF2099" w:rsidRPr="00DA53C4">
        <w:rPr>
          <w:rFonts w:ascii="Arial" w:hAnsi="Arial"/>
          <w:bCs/>
          <w:sz w:val="20"/>
        </w:rPr>
        <w:t>3</w:t>
      </w:r>
      <w:r w:rsidR="00962E16" w:rsidRPr="00DA53C4">
        <w:rPr>
          <w:rFonts w:ascii="Arial" w:hAnsi="Arial"/>
          <w:bCs/>
          <w:sz w:val="20"/>
        </w:rPr>
        <w:t>.</w:t>
      </w:r>
      <w:r w:rsidR="00B44F1B" w:rsidRPr="00E60E9B">
        <w:rPr>
          <w:rFonts w:ascii="Arial" w:hAnsi="Arial"/>
          <w:bCs/>
          <w:sz w:val="20"/>
        </w:rPr>
        <w:t>7</w:t>
      </w:r>
      <w:r w:rsidRPr="00DA53C4">
        <w:rPr>
          <w:rFonts w:ascii="Arial" w:hAnsi="Arial"/>
          <w:sz w:val="20"/>
        </w:rPr>
        <w:t>%</w:t>
      </w:r>
      <w:r w:rsidR="00F2733E" w:rsidRPr="00E60E9B">
        <w:rPr>
          <w:rFonts w:ascii="Arial" w:hAnsi="Arial"/>
          <w:sz w:val="20"/>
        </w:rPr>
        <w:t xml:space="preserve"> (</w:t>
      </w:r>
      <w:r w:rsidR="002469EA" w:rsidRPr="00E60E9B">
        <w:rPr>
          <w:rFonts w:ascii="Arial" w:hAnsi="Arial"/>
          <w:sz w:val="20"/>
        </w:rPr>
        <w:t xml:space="preserve">2024: </w:t>
      </w:r>
      <w:r w:rsidR="005B7DF3" w:rsidRPr="00E60E9B">
        <w:rPr>
          <w:rFonts w:ascii="Arial" w:hAnsi="Arial"/>
          <w:sz w:val="20"/>
        </w:rPr>
        <w:t>24.0%)</w:t>
      </w:r>
      <w:r w:rsidRPr="00DA53C4">
        <w:rPr>
          <w:rFonts w:ascii="Arial" w:hAnsi="Arial"/>
          <w:bCs/>
          <w:sz w:val="20"/>
        </w:rPr>
        <w:t xml:space="preserve"> is</w:t>
      </w:r>
      <w:r w:rsidRPr="00DA53C4" w:rsidDel="00931D57">
        <w:rPr>
          <w:rFonts w:ascii="Arial" w:hAnsi="Arial"/>
          <w:bCs/>
          <w:sz w:val="20"/>
        </w:rPr>
        <w:t xml:space="preserve"> </w:t>
      </w:r>
      <w:r w:rsidRPr="00DA53C4">
        <w:rPr>
          <w:rFonts w:ascii="Arial" w:hAnsi="Arial"/>
          <w:bCs/>
          <w:sz w:val="20"/>
        </w:rPr>
        <w:t>below the UK standard rate of 25</w:t>
      </w:r>
      <w:r w:rsidRPr="00E60E9B" w:rsidDel="009E1973">
        <w:rPr>
          <w:rFonts w:ascii="Arial" w:hAnsi="Arial"/>
          <w:sz w:val="20"/>
        </w:rPr>
        <w:t>.0</w:t>
      </w:r>
      <w:r w:rsidRPr="00DA53C4">
        <w:rPr>
          <w:rFonts w:ascii="Arial" w:hAnsi="Arial"/>
          <w:sz w:val="20"/>
        </w:rPr>
        <w:t>%</w:t>
      </w:r>
      <w:r w:rsidR="00E60E9B" w:rsidRPr="00E60E9B">
        <w:rPr>
          <w:rFonts w:ascii="Arial" w:hAnsi="Arial"/>
          <w:sz w:val="20"/>
        </w:rPr>
        <w:t xml:space="preserve"> </w:t>
      </w:r>
      <w:r w:rsidRPr="00DA53C4">
        <w:rPr>
          <w:rFonts w:ascii="Arial" w:hAnsi="Arial"/>
          <w:sz w:val="20"/>
        </w:rPr>
        <w:t xml:space="preserve">due </w:t>
      </w:r>
      <w:r w:rsidR="00620B2B" w:rsidRPr="00DA53C4">
        <w:rPr>
          <w:rFonts w:ascii="Arial" w:hAnsi="Arial"/>
          <w:sz w:val="20"/>
        </w:rPr>
        <w:t xml:space="preserve">to </w:t>
      </w:r>
      <w:r w:rsidR="00B35E7B" w:rsidRPr="00DA53C4">
        <w:rPr>
          <w:rFonts w:ascii="Arial" w:hAnsi="Arial"/>
          <w:sz w:val="20"/>
        </w:rPr>
        <w:t>the</w:t>
      </w:r>
      <w:r w:rsidR="00D50005" w:rsidRPr="00DA53C4">
        <w:rPr>
          <w:rFonts w:ascii="Arial" w:hAnsi="Arial"/>
          <w:sz w:val="20"/>
        </w:rPr>
        <w:t xml:space="preserve"> </w:t>
      </w:r>
      <w:r w:rsidR="003A41B0">
        <w:rPr>
          <w:rFonts w:ascii="Arial" w:hAnsi="Arial"/>
          <w:bCs/>
          <w:sz w:val="20"/>
        </w:rPr>
        <w:t xml:space="preserve">reversal of temporary differences </w:t>
      </w:r>
      <w:r w:rsidR="00C522C4">
        <w:rPr>
          <w:rFonts w:ascii="Arial" w:hAnsi="Arial"/>
          <w:bCs/>
          <w:sz w:val="20"/>
        </w:rPr>
        <w:t>relating to the amortisation of acquired intangible assets.</w:t>
      </w:r>
      <w:r w:rsidR="00D50005" w:rsidRPr="00A44138">
        <w:rPr>
          <w:rFonts w:ascii="Arial" w:hAnsi="Arial"/>
          <w:bCs/>
          <w:sz w:val="20"/>
        </w:rPr>
        <w:t xml:space="preserve"> </w:t>
      </w:r>
    </w:p>
    <w:tbl>
      <w:tblPr>
        <w:tblW w:w="9071" w:type="dxa"/>
        <w:tblLayout w:type="fixed"/>
        <w:tblLook w:val="0000" w:firstRow="0" w:lastRow="0" w:firstColumn="0" w:lastColumn="0" w:noHBand="0" w:noVBand="0"/>
      </w:tblPr>
      <w:tblGrid>
        <w:gridCol w:w="5103"/>
        <w:gridCol w:w="1984"/>
        <w:gridCol w:w="992"/>
        <w:gridCol w:w="992"/>
      </w:tblGrid>
      <w:tr w:rsidR="002814C0" w:rsidRPr="00A44138" w14:paraId="2495545A" w14:textId="77777777" w:rsidTr="002814C0">
        <w:tc>
          <w:tcPr>
            <w:tcW w:w="5103" w:type="dxa"/>
          </w:tcPr>
          <w:p w14:paraId="051FB28B" w14:textId="77777777" w:rsidR="002814C0" w:rsidRPr="00A44138" w:rsidRDefault="002814C0" w:rsidP="002814C0">
            <w:pPr>
              <w:tabs>
                <w:tab w:val="left" w:pos="0"/>
                <w:tab w:val="left" w:pos="709"/>
                <w:tab w:val="left" w:pos="1559"/>
                <w:tab w:val="left" w:pos="2268"/>
                <w:tab w:val="left" w:pos="2977"/>
                <w:tab w:val="left" w:pos="3686"/>
                <w:tab w:val="left" w:pos="4394"/>
                <w:tab w:val="right" w:pos="8789"/>
              </w:tabs>
              <w:suppressAutoHyphens/>
              <w:overflowPunct w:val="0"/>
              <w:autoSpaceDE w:val="0"/>
              <w:autoSpaceDN w:val="0"/>
              <w:adjustRightInd w:val="0"/>
              <w:spacing w:before="130" w:after="0" w:line="260" w:lineRule="atLeast"/>
              <w:jc w:val="both"/>
              <w:textAlignment w:val="baseline"/>
              <w:rPr>
                <w:rFonts w:ascii="Arial" w:hAnsi="Arial" w:cs="Arial"/>
                <w:color w:val="FF0000"/>
                <w:lang w:eastAsia="ko-KR"/>
              </w:rPr>
            </w:pPr>
          </w:p>
        </w:tc>
        <w:tc>
          <w:tcPr>
            <w:tcW w:w="1984" w:type="dxa"/>
          </w:tcPr>
          <w:p w14:paraId="2C1136EB"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tcPr>
          <w:p w14:paraId="2B74A698" w14:textId="0B4795C2"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p w14:paraId="3527EB2A"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£m</w:t>
            </w:r>
          </w:p>
        </w:tc>
        <w:tc>
          <w:tcPr>
            <w:tcW w:w="992" w:type="dxa"/>
          </w:tcPr>
          <w:p w14:paraId="4DE93DE5" w14:textId="77777777" w:rsidR="002814C0" w:rsidRPr="002814C0"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2814C0">
              <w:rPr>
                <w:rFonts w:ascii="Arial" w:eastAsia="Batang" w:hAnsi="Arial" w:cs="Arial"/>
                <w:b/>
                <w:sz w:val="18"/>
                <w:szCs w:val="18"/>
              </w:rPr>
              <w:t>2024</w:t>
            </w:r>
          </w:p>
          <w:p w14:paraId="051AE61B" w14:textId="07F84B7E" w:rsidR="002814C0" w:rsidRPr="002814C0"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2814C0">
              <w:rPr>
                <w:rFonts w:ascii="Arial" w:eastAsia="Batang" w:hAnsi="Arial" w:cs="Arial"/>
                <w:b/>
                <w:sz w:val="18"/>
                <w:szCs w:val="18"/>
              </w:rPr>
              <w:t>£m</w:t>
            </w:r>
          </w:p>
        </w:tc>
      </w:tr>
      <w:tr w:rsidR="002814C0" w:rsidRPr="00A44138" w14:paraId="0837F752" w14:textId="77777777" w:rsidTr="002814C0">
        <w:trPr>
          <w:trHeight w:val="90"/>
        </w:trPr>
        <w:tc>
          <w:tcPr>
            <w:tcW w:w="5103" w:type="dxa"/>
            <w:vAlign w:val="center"/>
          </w:tcPr>
          <w:p w14:paraId="0FD1C3C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b/>
                <w:sz w:val="18"/>
                <w:szCs w:val="18"/>
              </w:rPr>
            </w:pPr>
          </w:p>
        </w:tc>
        <w:tc>
          <w:tcPr>
            <w:tcW w:w="1984" w:type="dxa"/>
            <w:vAlign w:val="center"/>
          </w:tcPr>
          <w:p w14:paraId="7D4FB2C1" w14:textId="77777777" w:rsidR="002814C0" w:rsidRPr="00A44138" w:rsidRDefault="002814C0" w:rsidP="002814C0">
            <w:pPr>
              <w:tabs>
                <w:tab w:val="decimal" w:pos="964"/>
              </w:tabs>
              <w:overflowPunct w:val="0"/>
              <w:autoSpaceDE w:val="0"/>
              <w:autoSpaceDN w:val="0"/>
              <w:adjustRightInd w:val="0"/>
              <w:spacing w:after="0" w:line="240" w:lineRule="auto"/>
              <w:ind w:right="80"/>
              <w:textAlignment w:val="baseline"/>
              <w:rPr>
                <w:rFonts w:ascii="Arial" w:eastAsia="Batang" w:hAnsi="Arial" w:cs="Arial"/>
                <w:color w:val="FF0000"/>
                <w:sz w:val="18"/>
                <w:szCs w:val="18"/>
                <w:u w:val="single"/>
              </w:rPr>
            </w:pPr>
          </w:p>
        </w:tc>
        <w:tc>
          <w:tcPr>
            <w:tcW w:w="992" w:type="dxa"/>
            <w:vAlign w:val="center"/>
          </w:tcPr>
          <w:p w14:paraId="758988AD" w14:textId="77777777" w:rsidR="002814C0" w:rsidRPr="00A44138" w:rsidRDefault="002814C0" w:rsidP="002814C0">
            <w:pPr>
              <w:tabs>
                <w:tab w:val="decimal" w:pos="964"/>
              </w:tabs>
              <w:overflowPunct w:val="0"/>
              <w:autoSpaceDE w:val="0"/>
              <w:autoSpaceDN w:val="0"/>
              <w:adjustRightInd w:val="0"/>
              <w:spacing w:after="0" w:line="240" w:lineRule="auto"/>
              <w:ind w:right="80"/>
              <w:jc w:val="center"/>
              <w:textAlignment w:val="baseline"/>
              <w:rPr>
                <w:rFonts w:ascii="Arial" w:eastAsia="Batang" w:hAnsi="Arial" w:cs="Arial"/>
                <w:b/>
                <w:sz w:val="18"/>
                <w:szCs w:val="18"/>
              </w:rPr>
            </w:pPr>
          </w:p>
        </w:tc>
        <w:tc>
          <w:tcPr>
            <w:tcW w:w="992" w:type="dxa"/>
            <w:vAlign w:val="center"/>
          </w:tcPr>
          <w:p w14:paraId="634308E6" w14:textId="77777777" w:rsidR="002814C0" w:rsidRPr="002814C0" w:rsidRDefault="002814C0" w:rsidP="002814C0">
            <w:pPr>
              <w:tabs>
                <w:tab w:val="decimal" w:pos="964"/>
              </w:tabs>
              <w:overflowPunct w:val="0"/>
              <w:autoSpaceDE w:val="0"/>
              <w:autoSpaceDN w:val="0"/>
              <w:adjustRightInd w:val="0"/>
              <w:spacing w:after="0" w:line="240" w:lineRule="auto"/>
              <w:ind w:right="80"/>
              <w:textAlignment w:val="baseline"/>
              <w:rPr>
                <w:rFonts w:ascii="Arial" w:eastAsia="Batang" w:hAnsi="Arial" w:cs="Arial"/>
                <w:bCs/>
                <w:sz w:val="18"/>
                <w:szCs w:val="18"/>
                <w:u w:val="single"/>
              </w:rPr>
            </w:pPr>
          </w:p>
        </w:tc>
      </w:tr>
      <w:tr w:rsidR="002814C0" w:rsidRPr="00A44138" w14:paraId="7B72941A" w14:textId="77777777" w:rsidTr="002814C0">
        <w:trPr>
          <w:trHeight w:val="90"/>
        </w:trPr>
        <w:tc>
          <w:tcPr>
            <w:tcW w:w="5103" w:type="dxa"/>
            <w:vAlign w:val="center"/>
          </w:tcPr>
          <w:p w14:paraId="6617B80A"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b/>
                <w:bCs/>
                <w:sz w:val="18"/>
                <w:szCs w:val="18"/>
              </w:rPr>
            </w:pPr>
            <w:r w:rsidRPr="00A44138">
              <w:rPr>
                <w:rFonts w:ascii="Arial" w:hAnsi="Arial" w:cs="Calibri"/>
                <w:b/>
                <w:bCs/>
                <w:sz w:val="18"/>
                <w:szCs w:val="18"/>
              </w:rPr>
              <w:t>Current tax</w:t>
            </w:r>
          </w:p>
        </w:tc>
        <w:tc>
          <w:tcPr>
            <w:tcW w:w="1984" w:type="dxa"/>
            <w:vAlign w:val="center"/>
          </w:tcPr>
          <w:p w14:paraId="36FC3AC4" w14:textId="77777777" w:rsidR="002814C0" w:rsidRPr="00A44138" w:rsidRDefault="002814C0" w:rsidP="002814C0">
            <w:pPr>
              <w:tabs>
                <w:tab w:val="decimal" w:pos="964"/>
              </w:tabs>
              <w:overflowPunct w:val="0"/>
              <w:autoSpaceDE w:val="0"/>
              <w:autoSpaceDN w:val="0"/>
              <w:adjustRightInd w:val="0"/>
              <w:spacing w:after="0" w:line="240" w:lineRule="auto"/>
              <w:ind w:right="80"/>
              <w:textAlignment w:val="baseline"/>
              <w:rPr>
                <w:rFonts w:ascii="Arial" w:eastAsia="Batang" w:hAnsi="Arial" w:cs="Arial"/>
                <w:color w:val="FF0000"/>
                <w:sz w:val="18"/>
                <w:szCs w:val="18"/>
                <w:u w:val="single"/>
              </w:rPr>
            </w:pPr>
          </w:p>
        </w:tc>
        <w:tc>
          <w:tcPr>
            <w:tcW w:w="992" w:type="dxa"/>
            <w:vAlign w:val="center"/>
          </w:tcPr>
          <w:p w14:paraId="05673099"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68039088" w14:textId="77777777" w:rsidR="002814C0" w:rsidRPr="002814C0"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6507028B" w14:textId="77777777" w:rsidTr="002814C0">
        <w:tc>
          <w:tcPr>
            <w:tcW w:w="5103" w:type="dxa"/>
            <w:vAlign w:val="center"/>
          </w:tcPr>
          <w:p w14:paraId="75A8B33C"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sz w:val="18"/>
                <w:szCs w:val="18"/>
              </w:rPr>
            </w:pPr>
            <w:r w:rsidRPr="00A44138">
              <w:rPr>
                <w:rFonts w:ascii="Arial" w:hAnsi="Arial" w:cs="Calibri"/>
                <w:sz w:val="18"/>
                <w:szCs w:val="18"/>
              </w:rPr>
              <w:t xml:space="preserve">Current tax on income for </w:t>
            </w:r>
            <w:r w:rsidRPr="00A44138">
              <w:rPr>
                <w:rFonts w:ascii="Arial" w:hAnsi="Arial" w:cs="Calibri"/>
                <w:bCs/>
                <w:sz w:val="18"/>
                <w:szCs w:val="18"/>
              </w:rPr>
              <w:t>the period</w:t>
            </w:r>
          </w:p>
        </w:tc>
        <w:tc>
          <w:tcPr>
            <w:tcW w:w="1984" w:type="dxa"/>
            <w:vAlign w:val="center"/>
          </w:tcPr>
          <w:p w14:paraId="63F1067F"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30932029" w14:textId="0231410F" w:rsidR="002814C0" w:rsidRPr="00DA53C4" w:rsidRDefault="00BF2099"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15.3</w:t>
            </w:r>
          </w:p>
        </w:tc>
        <w:tc>
          <w:tcPr>
            <w:tcW w:w="992" w:type="dxa"/>
            <w:vAlign w:val="center"/>
          </w:tcPr>
          <w:p w14:paraId="231D6982" w14:textId="5B74D752" w:rsidR="002814C0" w:rsidRPr="005E7A81" w:rsidRDefault="002814C0" w:rsidP="002814C0">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15.3</w:t>
            </w:r>
          </w:p>
        </w:tc>
      </w:tr>
      <w:tr w:rsidR="002814C0" w:rsidRPr="00A44138" w14:paraId="67CDB752" w14:textId="77777777" w:rsidTr="00DA53C4">
        <w:trPr>
          <w:trHeight w:val="66"/>
        </w:trPr>
        <w:tc>
          <w:tcPr>
            <w:tcW w:w="5103" w:type="dxa"/>
            <w:vAlign w:val="center"/>
          </w:tcPr>
          <w:p w14:paraId="4EDB78C3" w14:textId="77777777" w:rsidR="002814C0" w:rsidRPr="00A44138" w:rsidRDefault="002814C0" w:rsidP="00DA53C4">
            <w:pPr>
              <w:tabs>
                <w:tab w:val="left" w:pos="709"/>
                <w:tab w:val="left" w:pos="1559"/>
                <w:tab w:val="left" w:pos="2268"/>
                <w:tab w:val="left" w:pos="2977"/>
                <w:tab w:val="left" w:pos="3686"/>
                <w:tab w:val="left" w:pos="4394"/>
                <w:tab w:val="right" w:pos="8789"/>
              </w:tabs>
              <w:spacing w:after="0" w:line="260" w:lineRule="atLeast"/>
              <w:jc w:val="right"/>
              <w:rPr>
                <w:rFonts w:ascii="Arial" w:hAnsi="Arial" w:cs="Calibri"/>
                <w:b/>
                <w:sz w:val="18"/>
                <w:szCs w:val="18"/>
              </w:rPr>
            </w:pPr>
          </w:p>
        </w:tc>
        <w:tc>
          <w:tcPr>
            <w:tcW w:w="1984" w:type="dxa"/>
            <w:vAlign w:val="center"/>
          </w:tcPr>
          <w:p w14:paraId="54B4B8D7"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3423EE71" w14:textId="071F5591" w:rsidR="002814C0" w:rsidRPr="00DA53C4"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1E19BEEE" w14:textId="58223EAB" w:rsidR="002814C0" w:rsidRPr="005E7A81" w:rsidRDefault="002814C0" w:rsidP="002814C0">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08C093B9" w14:textId="77777777" w:rsidTr="00DA53C4">
        <w:tc>
          <w:tcPr>
            <w:tcW w:w="5103" w:type="dxa"/>
            <w:vAlign w:val="center"/>
          </w:tcPr>
          <w:p w14:paraId="59FEA97E"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b/>
                <w:sz w:val="18"/>
                <w:szCs w:val="18"/>
              </w:rPr>
            </w:pPr>
            <w:r w:rsidRPr="00A44138">
              <w:rPr>
                <w:rFonts w:ascii="Arial" w:hAnsi="Arial" w:cs="Calibri"/>
                <w:b/>
                <w:sz w:val="18"/>
                <w:szCs w:val="18"/>
              </w:rPr>
              <w:t>Deferred tax</w:t>
            </w:r>
          </w:p>
        </w:tc>
        <w:tc>
          <w:tcPr>
            <w:tcW w:w="1984" w:type="dxa"/>
            <w:vAlign w:val="center"/>
          </w:tcPr>
          <w:p w14:paraId="19B92569"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rPr>
            </w:pPr>
          </w:p>
        </w:tc>
        <w:tc>
          <w:tcPr>
            <w:tcW w:w="992" w:type="dxa"/>
            <w:vAlign w:val="center"/>
          </w:tcPr>
          <w:p w14:paraId="6EDCF06D" w14:textId="77777777" w:rsidR="002814C0" w:rsidRPr="00DA53C4"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1093AE46" w14:textId="77777777" w:rsidR="002814C0" w:rsidRPr="005E7A81" w:rsidRDefault="002814C0" w:rsidP="00DA53C4">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08317535" w14:textId="77777777" w:rsidTr="002814C0">
        <w:tc>
          <w:tcPr>
            <w:tcW w:w="5103" w:type="dxa"/>
            <w:vAlign w:val="center"/>
          </w:tcPr>
          <w:p w14:paraId="5EEFD15C"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sz w:val="18"/>
                <w:szCs w:val="18"/>
              </w:rPr>
            </w:pPr>
            <w:r w:rsidRPr="00A44138">
              <w:rPr>
                <w:rFonts w:ascii="Arial" w:hAnsi="Arial" w:cs="Calibri"/>
                <w:sz w:val="18"/>
                <w:szCs w:val="18"/>
              </w:rPr>
              <w:t>Origination and reversal of temporary differences</w:t>
            </w:r>
          </w:p>
        </w:tc>
        <w:tc>
          <w:tcPr>
            <w:tcW w:w="1984" w:type="dxa"/>
            <w:vAlign w:val="center"/>
          </w:tcPr>
          <w:p w14:paraId="313F9642"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rPr>
            </w:pPr>
          </w:p>
        </w:tc>
        <w:tc>
          <w:tcPr>
            <w:tcW w:w="992" w:type="dxa"/>
            <w:vAlign w:val="center"/>
          </w:tcPr>
          <w:p w14:paraId="6F7421AA" w14:textId="7A19F25C" w:rsidR="002814C0" w:rsidRPr="00DA53C4" w:rsidRDefault="00BF2099"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(1.1)</w:t>
            </w:r>
          </w:p>
        </w:tc>
        <w:tc>
          <w:tcPr>
            <w:tcW w:w="992" w:type="dxa"/>
            <w:vAlign w:val="center"/>
          </w:tcPr>
          <w:p w14:paraId="43534ADD" w14:textId="5D403929" w:rsidR="002814C0" w:rsidRPr="005E7A81" w:rsidRDefault="002814C0" w:rsidP="002814C0">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(1.3)</w:t>
            </w:r>
          </w:p>
        </w:tc>
      </w:tr>
      <w:tr w:rsidR="002814C0" w:rsidRPr="00A44138" w14:paraId="20BC8356" w14:textId="77777777" w:rsidTr="00DA53C4">
        <w:tc>
          <w:tcPr>
            <w:tcW w:w="5103" w:type="dxa"/>
            <w:vAlign w:val="center"/>
          </w:tcPr>
          <w:p w14:paraId="6C6A37C9"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sz w:val="18"/>
                <w:szCs w:val="18"/>
              </w:rPr>
            </w:pPr>
          </w:p>
        </w:tc>
        <w:tc>
          <w:tcPr>
            <w:tcW w:w="1984" w:type="dxa"/>
            <w:vAlign w:val="center"/>
          </w:tcPr>
          <w:p w14:paraId="41EB0970"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rPr>
            </w:pPr>
          </w:p>
        </w:tc>
        <w:tc>
          <w:tcPr>
            <w:tcW w:w="992" w:type="dxa"/>
            <w:tcBorders>
              <w:bottom w:val="single" w:sz="4" w:space="0" w:color="auto"/>
            </w:tcBorders>
            <w:vAlign w:val="center"/>
          </w:tcPr>
          <w:p w14:paraId="70D5EB6C" w14:textId="34CAF94B" w:rsidR="002814C0" w:rsidRPr="00DA53C4"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tcBorders>
              <w:bottom w:val="single" w:sz="4" w:space="0" w:color="auto"/>
            </w:tcBorders>
            <w:vAlign w:val="center"/>
          </w:tcPr>
          <w:p w14:paraId="5E764577" w14:textId="69CA7D8C" w:rsidR="002814C0" w:rsidRPr="005E7A81" w:rsidRDefault="002814C0" w:rsidP="002814C0">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3EB0E42F" w14:textId="77777777" w:rsidTr="002814C0">
        <w:tc>
          <w:tcPr>
            <w:tcW w:w="5103" w:type="dxa"/>
            <w:vAlign w:val="center"/>
          </w:tcPr>
          <w:p w14:paraId="7B074385"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cs="Calibri"/>
                <w:b/>
                <w:color w:val="FF0000"/>
                <w:sz w:val="18"/>
                <w:szCs w:val="18"/>
              </w:rPr>
            </w:pPr>
          </w:p>
        </w:tc>
        <w:tc>
          <w:tcPr>
            <w:tcW w:w="1984" w:type="dxa"/>
            <w:vAlign w:val="center"/>
          </w:tcPr>
          <w:p w14:paraId="60B637E1" w14:textId="77777777" w:rsidR="002814C0" w:rsidRPr="00A44138"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color w:val="FF0000"/>
                <w:sz w:val="18"/>
                <w:szCs w:val="18"/>
              </w:rPr>
            </w:pPr>
          </w:p>
        </w:tc>
        <w:tc>
          <w:tcPr>
            <w:tcW w:w="992" w:type="dxa"/>
            <w:tcBorders>
              <w:top w:val="single" w:sz="4" w:space="0" w:color="auto"/>
              <w:bottom w:val="double" w:sz="4" w:space="0" w:color="auto"/>
            </w:tcBorders>
            <w:vAlign w:val="center"/>
          </w:tcPr>
          <w:p w14:paraId="498AA89A" w14:textId="23527817" w:rsidR="002814C0" w:rsidRPr="00DA53C4" w:rsidRDefault="0070703C"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14.2</w:t>
            </w:r>
          </w:p>
        </w:tc>
        <w:tc>
          <w:tcPr>
            <w:tcW w:w="992" w:type="dxa"/>
            <w:tcBorders>
              <w:top w:val="single" w:sz="4" w:space="0" w:color="auto"/>
              <w:bottom w:val="double" w:sz="4" w:space="0" w:color="auto"/>
            </w:tcBorders>
            <w:vAlign w:val="center"/>
          </w:tcPr>
          <w:p w14:paraId="7EBF0D60" w14:textId="70442B6B" w:rsidR="002814C0" w:rsidRPr="005E7A81" w:rsidRDefault="002814C0" w:rsidP="002814C0">
            <w:pPr>
              <w:tabs>
                <w:tab w:val="decimal" w:pos="46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14.0</w:t>
            </w:r>
          </w:p>
        </w:tc>
      </w:tr>
    </w:tbl>
    <w:p w14:paraId="232EC654" w14:textId="77777777" w:rsidR="00294FD1" w:rsidRPr="00A44138" w:rsidRDefault="00294FD1" w:rsidP="00294FD1">
      <w:pPr>
        <w:spacing w:after="120" w:line="240" w:lineRule="auto"/>
        <w:jc w:val="both"/>
        <w:rPr>
          <w:rFonts w:ascii="Arial" w:hAnsi="Arial"/>
          <w:bCs/>
          <w:sz w:val="20"/>
        </w:rPr>
      </w:pPr>
    </w:p>
    <w:p w14:paraId="547B4388"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 w:val="20"/>
          <w:szCs w:val="20"/>
        </w:rPr>
      </w:pPr>
      <w:r w:rsidRPr="00A44138">
        <w:rPr>
          <w:rFonts w:ascii="Arial" w:eastAsia="Batang" w:hAnsi="Arial" w:cs="Times New Roman"/>
          <w:b/>
          <w:bCs/>
          <w:sz w:val="20"/>
          <w:szCs w:val="20"/>
        </w:rPr>
        <w:t>Earnings per share</w:t>
      </w:r>
    </w:p>
    <w:p w14:paraId="17DA8908" w14:textId="77777777" w:rsidR="00294FD1" w:rsidRPr="00A44138" w:rsidRDefault="00294FD1" w:rsidP="00294FD1">
      <w:pPr>
        <w:spacing w:after="0" w:line="240" w:lineRule="auto"/>
        <w:rPr>
          <w:rFonts w:ascii="Arial" w:hAnsi="Arial"/>
          <w:bCs/>
          <w:i/>
          <w:iCs/>
          <w:sz w:val="20"/>
        </w:rPr>
      </w:pPr>
      <w:r w:rsidRPr="00A44138">
        <w:rPr>
          <w:rFonts w:ascii="Arial" w:hAnsi="Arial"/>
          <w:bCs/>
          <w:i/>
          <w:iCs/>
          <w:sz w:val="20"/>
        </w:rPr>
        <w:t>Basic earnings per share</w:t>
      </w:r>
    </w:p>
    <w:p w14:paraId="35C7BC77" w14:textId="77777777" w:rsidR="00294FD1" w:rsidRPr="00A44138" w:rsidRDefault="00294FD1" w:rsidP="00294FD1">
      <w:pPr>
        <w:spacing w:after="0" w:line="240" w:lineRule="auto"/>
        <w:jc w:val="both"/>
        <w:rPr>
          <w:rFonts w:ascii="Arial" w:hAnsi="Arial"/>
          <w:bCs/>
          <w:sz w:val="20"/>
        </w:rPr>
      </w:pPr>
      <w:r w:rsidRPr="00A44138">
        <w:rPr>
          <w:rFonts w:ascii="Arial" w:hAnsi="Arial"/>
          <w:bCs/>
          <w:sz w:val="20"/>
        </w:rPr>
        <w:t>Basic earnings per share is calculated by dividing the profit or loss for the period attributable to ordinary equity holders of the Company, by the weighted average number of ordinary shares outstanding during the period. The Company’s own shares held by employee trusts are excluded when calculating the weighted average number of ordinary shares outstanding.</w:t>
      </w:r>
    </w:p>
    <w:p w14:paraId="4A9602C9" w14:textId="77777777" w:rsidR="00294FD1" w:rsidRPr="00A44138" w:rsidRDefault="00294FD1" w:rsidP="00294FD1">
      <w:pPr>
        <w:spacing w:after="0" w:line="240" w:lineRule="auto"/>
        <w:jc w:val="both"/>
        <w:rPr>
          <w:rFonts w:ascii="Arial" w:hAnsi="Arial"/>
          <w:bCs/>
          <w:sz w:val="20"/>
        </w:rPr>
      </w:pPr>
    </w:p>
    <w:p w14:paraId="77F5C5E3" w14:textId="77777777" w:rsidR="00294FD1" w:rsidRPr="00A44138" w:rsidRDefault="00294FD1" w:rsidP="00294FD1">
      <w:pPr>
        <w:spacing w:after="0" w:line="240" w:lineRule="auto"/>
        <w:jc w:val="both"/>
        <w:rPr>
          <w:rFonts w:ascii="Arial" w:hAnsi="Arial"/>
          <w:bCs/>
          <w:i/>
          <w:iCs/>
          <w:sz w:val="20"/>
        </w:rPr>
      </w:pPr>
      <w:r w:rsidRPr="00A44138">
        <w:rPr>
          <w:rFonts w:ascii="Arial" w:hAnsi="Arial"/>
          <w:bCs/>
          <w:i/>
          <w:iCs/>
          <w:sz w:val="20"/>
        </w:rPr>
        <w:t>Diluted earnings per share</w:t>
      </w:r>
    </w:p>
    <w:p w14:paraId="2AB592BF" w14:textId="77777777" w:rsidR="00294FD1" w:rsidRPr="00A44138" w:rsidRDefault="00294FD1" w:rsidP="00294FD1">
      <w:pPr>
        <w:spacing w:after="0" w:line="240" w:lineRule="auto"/>
        <w:jc w:val="both"/>
        <w:rPr>
          <w:rFonts w:ascii="Arial" w:hAnsi="Arial"/>
          <w:bCs/>
          <w:sz w:val="20"/>
        </w:rPr>
      </w:pPr>
      <w:r w:rsidRPr="00A44138">
        <w:rPr>
          <w:rFonts w:ascii="Arial" w:hAnsi="Arial"/>
          <w:bCs/>
          <w:sz w:val="20"/>
        </w:rPr>
        <w:t>Diluted earnings per share is calculated by dividing the profit or loss for the period attributable to ordinary equity holders of the Company, by the weighted average number of ordinary shares outstanding during the period plus the weighted average number of ordinary shares that would be issued on the conversion of all dilutive potential ordinary shares into ordinary shares.</w:t>
      </w:r>
    </w:p>
    <w:p w14:paraId="12CB77D7" w14:textId="77777777" w:rsidR="00294FD1" w:rsidRPr="00A44138" w:rsidRDefault="00294FD1" w:rsidP="00294FD1">
      <w:pPr>
        <w:spacing w:after="0" w:line="240" w:lineRule="auto"/>
        <w:jc w:val="both"/>
        <w:rPr>
          <w:rFonts w:ascii="Arial" w:hAnsi="Arial"/>
          <w:bCs/>
          <w:i/>
          <w:iCs/>
          <w:color w:val="FF0000"/>
          <w:sz w:val="20"/>
        </w:rPr>
      </w:pPr>
    </w:p>
    <w:p w14:paraId="1E2A7CEA" w14:textId="77777777" w:rsidR="00294FD1" w:rsidRPr="00A44138" w:rsidRDefault="00294FD1" w:rsidP="00294FD1">
      <w:pPr>
        <w:spacing w:after="0" w:line="240" w:lineRule="auto"/>
        <w:jc w:val="both"/>
        <w:rPr>
          <w:rFonts w:ascii="Arial" w:hAnsi="Arial"/>
          <w:bCs/>
          <w:sz w:val="20"/>
        </w:rPr>
      </w:pPr>
      <w:r w:rsidRPr="00A44138">
        <w:rPr>
          <w:rFonts w:ascii="Arial" w:hAnsi="Arial"/>
          <w:bCs/>
          <w:sz w:val="20"/>
        </w:rPr>
        <w:t>Basic and diluted earnings per share have been calculated on the following basis:</w:t>
      </w:r>
    </w:p>
    <w:p w14:paraId="1216B8B1" w14:textId="77777777" w:rsidR="008264BE" w:rsidRDefault="008264BE" w:rsidP="00294FD1">
      <w:pPr>
        <w:spacing w:after="0" w:line="240" w:lineRule="auto"/>
        <w:jc w:val="both"/>
        <w:rPr>
          <w:rFonts w:ascii="Arial" w:hAnsi="Arial"/>
          <w:bCs/>
          <w:sz w:val="20"/>
        </w:rPr>
      </w:pPr>
    </w:p>
    <w:p w14:paraId="0EE1D633" w14:textId="77777777" w:rsidR="008264BE" w:rsidRPr="00A44138" w:rsidRDefault="008264BE" w:rsidP="00294FD1">
      <w:pPr>
        <w:spacing w:after="0" w:line="240" w:lineRule="auto"/>
        <w:jc w:val="both"/>
        <w:rPr>
          <w:rFonts w:ascii="Arial" w:hAnsi="Arial"/>
          <w:bCs/>
          <w:sz w:val="20"/>
        </w:rPr>
      </w:pPr>
    </w:p>
    <w:p w14:paraId="5F06E6F6" w14:textId="77777777" w:rsidR="00294FD1" w:rsidRPr="00A44138" w:rsidRDefault="00294FD1" w:rsidP="00294FD1">
      <w:pPr>
        <w:spacing w:after="0" w:line="240" w:lineRule="auto"/>
        <w:jc w:val="both"/>
        <w:rPr>
          <w:rFonts w:ascii="Arial" w:hAnsi="Arial"/>
          <w:color w:val="FF0000"/>
          <w:sz w:val="20"/>
        </w:rPr>
      </w:pPr>
    </w:p>
    <w:tbl>
      <w:tblPr>
        <w:tblW w:w="9209" w:type="dxa"/>
        <w:tblLayout w:type="fixed"/>
        <w:tblCellMar>
          <w:left w:w="0" w:type="dxa"/>
        </w:tblCellMar>
        <w:tblLook w:val="0000" w:firstRow="0" w:lastRow="0" w:firstColumn="0" w:lastColumn="0" w:noHBand="0" w:noVBand="0"/>
      </w:tblPr>
      <w:tblGrid>
        <w:gridCol w:w="7225"/>
        <w:gridCol w:w="992"/>
        <w:gridCol w:w="992"/>
      </w:tblGrid>
      <w:tr w:rsidR="002814C0" w:rsidRPr="00A44138" w14:paraId="599F52B1" w14:textId="77777777" w:rsidTr="00DE3335">
        <w:tc>
          <w:tcPr>
            <w:tcW w:w="7225" w:type="dxa"/>
            <w:vAlign w:val="center"/>
          </w:tcPr>
          <w:p w14:paraId="26D74FEC" w14:textId="77777777" w:rsidR="002814C0" w:rsidRPr="00A44138" w:rsidRDefault="002814C0" w:rsidP="002814C0">
            <w:pPr>
              <w:tabs>
                <w:tab w:val="left" w:pos="0"/>
                <w:tab w:val="left" w:pos="709"/>
                <w:tab w:val="left" w:pos="1559"/>
                <w:tab w:val="left" w:pos="2268"/>
                <w:tab w:val="left" w:pos="2977"/>
                <w:tab w:val="left" w:pos="3686"/>
                <w:tab w:val="left" w:pos="4394"/>
                <w:tab w:val="right" w:pos="8789"/>
              </w:tabs>
              <w:suppressAutoHyphens/>
              <w:overflowPunct w:val="0"/>
              <w:autoSpaceDE w:val="0"/>
              <w:autoSpaceDN w:val="0"/>
              <w:adjustRightInd w:val="0"/>
              <w:spacing w:before="130" w:after="0" w:line="260" w:lineRule="atLeast"/>
              <w:textAlignment w:val="baseline"/>
              <w:rPr>
                <w:rFonts w:ascii="Arial" w:eastAsia="Batang" w:hAnsi="Arial" w:cs="Arial"/>
                <w:color w:val="FF0000"/>
                <w:sz w:val="18"/>
                <w:szCs w:val="18"/>
                <w:lang w:eastAsia="ko-KR"/>
              </w:rPr>
            </w:pPr>
          </w:p>
        </w:tc>
        <w:tc>
          <w:tcPr>
            <w:tcW w:w="992" w:type="dxa"/>
            <w:vAlign w:val="center"/>
          </w:tcPr>
          <w:p w14:paraId="2D21E16F" w14:textId="3C180F71"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p w14:paraId="07D22ADB"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£m</w:t>
            </w:r>
          </w:p>
        </w:tc>
        <w:tc>
          <w:tcPr>
            <w:tcW w:w="992" w:type="dxa"/>
            <w:vAlign w:val="center"/>
          </w:tcPr>
          <w:p w14:paraId="51FC19C0" w14:textId="77777777"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2024</w:t>
            </w:r>
          </w:p>
          <w:p w14:paraId="5FE46FBB" w14:textId="4F74B064"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
                <w:sz w:val="18"/>
                <w:szCs w:val="18"/>
              </w:rPr>
              <w:t>£m</w:t>
            </w:r>
          </w:p>
        </w:tc>
      </w:tr>
      <w:tr w:rsidR="002814C0" w:rsidRPr="00A44138" w14:paraId="2C20CFB1" w14:textId="77777777" w:rsidTr="00DE3335">
        <w:tc>
          <w:tcPr>
            <w:tcW w:w="7225" w:type="dxa"/>
            <w:vAlign w:val="center"/>
          </w:tcPr>
          <w:p w14:paraId="5034308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color w:val="FF0000"/>
                <w:sz w:val="18"/>
                <w:szCs w:val="18"/>
                <w:lang w:eastAsia="ko-KR"/>
              </w:rPr>
            </w:pPr>
          </w:p>
        </w:tc>
        <w:tc>
          <w:tcPr>
            <w:tcW w:w="992" w:type="dxa"/>
            <w:vAlign w:val="center"/>
          </w:tcPr>
          <w:p w14:paraId="7D35CDC1"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992" w:type="dxa"/>
            <w:vAlign w:val="center"/>
          </w:tcPr>
          <w:p w14:paraId="14235FD9" w14:textId="7777777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tr w:rsidR="002814C0" w:rsidRPr="00A44138" w14:paraId="56AEEE90" w14:textId="77777777" w:rsidTr="00DE3335">
        <w:tc>
          <w:tcPr>
            <w:tcW w:w="7225" w:type="dxa"/>
            <w:vAlign w:val="center"/>
          </w:tcPr>
          <w:p w14:paraId="01CC7433"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Profit after taxation attributable to the owners of the Company </w:t>
            </w:r>
          </w:p>
        </w:tc>
        <w:tc>
          <w:tcPr>
            <w:tcW w:w="992" w:type="dxa"/>
            <w:vAlign w:val="center"/>
          </w:tcPr>
          <w:p w14:paraId="1B92732A" w14:textId="14D59F4D" w:rsidR="002814C0" w:rsidRPr="002814C0" w:rsidRDefault="00FD64D8"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highlight w:val="yellow"/>
              </w:rPr>
            </w:pPr>
            <w:r w:rsidRPr="00DA53C4">
              <w:rPr>
                <w:rFonts w:ascii="Arial" w:eastAsia="Batang" w:hAnsi="Arial" w:cs="Arial"/>
                <w:b/>
                <w:sz w:val="18"/>
                <w:szCs w:val="18"/>
              </w:rPr>
              <w:t>45.9</w:t>
            </w:r>
          </w:p>
        </w:tc>
        <w:tc>
          <w:tcPr>
            <w:tcW w:w="992" w:type="dxa"/>
            <w:vAlign w:val="center"/>
          </w:tcPr>
          <w:p w14:paraId="5C58D34C" w14:textId="720BA88D"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44.2</w:t>
            </w:r>
          </w:p>
        </w:tc>
      </w:tr>
      <w:tr w:rsidR="002814C0" w:rsidRPr="00A44138" w14:paraId="51B8A866" w14:textId="77777777" w:rsidTr="00DE3335">
        <w:tc>
          <w:tcPr>
            <w:tcW w:w="7225" w:type="dxa"/>
            <w:vAlign w:val="center"/>
          </w:tcPr>
          <w:p w14:paraId="1002EFFE"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992" w:type="dxa"/>
            <w:vAlign w:val="center"/>
          </w:tcPr>
          <w:p w14:paraId="5BBDA968" w14:textId="77777777" w:rsidR="002814C0" w:rsidRPr="002814C0"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highlight w:val="yellow"/>
              </w:rPr>
            </w:pPr>
          </w:p>
        </w:tc>
        <w:tc>
          <w:tcPr>
            <w:tcW w:w="992" w:type="dxa"/>
            <w:vAlign w:val="center"/>
          </w:tcPr>
          <w:p w14:paraId="1618D539" w14:textId="77777777" w:rsidR="002814C0" w:rsidRPr="005E7A81" w:rsidRDefault="002814C0" w:rsidP="002814C0">
            <w:pPr>
              <w:tabs>
                <w:tab w:val="decimal" w:pos="964"/>
              </w:tabs>
              <w:overflowPunct w:val="0"/>
              <w:autoSpaceDE w:val="0"/>
              <w:autoSpaceDN w:val="0"/>
              <w:adjustRightInd w:val="0"/>
              <w:spacing w:after="130" w:line="240" w:lineRule="auto"/>
              <w:ind w:right="80"/>
              <w:jc w:val="right"/>
              <w:textAlignment w:val="baseline"/>
              <w:rPr>
                <w:rFonts w:ascii="Arial" w:eastAsia="Batang" w:hAnsi="Arial" w:cs="Arial"/>
                <w:bCs/>
                <w:sz w:val="18"/>
                <w:szCs w:val="18"/>
                <w:u w:val="single"/>
              </w:rPr>
            </w:pPr>
          </w:p>
        </w:tc>
      </w:tr>
      <w:tr w:rsidR="002814C0" w:rsidRPr="00A44138" w14:paraId="34C1A788" w14:textId="77777777" w:rsidTr="00DE3335">
        <w:tc>
          <w:tcPr>
            <w:tcW w:w="7225" w:type="dxa"/>
            <w:vAlign w:val="center"/>
          </w:tcPr>
          <w:p w14:paraId="34212FD7"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Basic weighted average ordinary shares in issue (millions)</w:t>
            </w:r>
          </w:p>
        </w:tc>
        <w:tc>
          <w:tcPr>
            <w:tcW w:w="992" w:type="dxa"/>
            <w:vAlign w:val="center"/>
          </w:tcPr>
          <w:p w14:paraId="78351C53" w14:textId="0705A8A4" w:rsidR="002814C0" w:rsidRPr="00DA53C4" w:rsidRDefault="002C4E9C"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Pr>
                <w:rFonts w:ascii="Arial" w:eastAsia="Batang" w:hAnsi="Arial" w:cs="Arial"/>
                <w:b/>
                <w:sz w:val="18"/>
                <w:szCs w:val="18"/>
              </w:rPr>
              <w:t>534.</w:t>
            </w:r>
            <w:r w:rsidR="00131671">
              <w:rPr>
                <w:rFonts w:ascii="Arial" w:eastAsia="Batang" w:hAnsi="Arial" w:cs="Arial"/>
                <w:b/>
                <w:sz w:val="18"/>
                <w:szCs w:val="18"/>
              </w:rPr>
              <w:t>5</w:t>
            </w:r>
          </w:p>
        </w:tc>
        <w:tc>
          <w:tcPr>
            <w:tcW w:w="992" w:type="dxa"/>
            <w:vAlign w:val="center"/>
          </w:tcPr>
          <w:p w14:paraId="288C9876" w14:textId="06756251"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bCs/>
                <w:sz w:val="18"/>
              </w:rPr>
            </w:pPr>
            <w:r w:rsidRPr="005E7A81">
              <w:rPr>
                <w:rFonts w:ascii="Arial" w:eastAsia="Batang" w:hAnsi="Arial" w:cs="Arial"/>
                <w:bCs/>
                <w:sz w:val="18"/>
                <w:szCs w:val="18"/>
              </w:rPr>
              <w:t>536.7</w:t>
            </w:r>
          </w:p>
        </w:tc>
      </w:tr>
      <w:tr w:rsidR="002814C0" w:rsidRPr="00A44138" w14:paraId="5D10C97C" w14:textId="77777777" w:rsidTr="00DE3335">
        <w:tc>
          <w:tcPr>
            <w:tcW w:w="7225" w:type="dxa"/>
            <w:vAlign w:val="center"/>
          </w:tcPr>
          <w:p w14:paraId="0444DCE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Dilutive effect of share-based instruments (millions)</w:t>
            </w:r>
          </w:p>
        </w:tc>
        <w:tc>
          <w:tcPr>
            <w:tcW w:w="992" w:type="dxa"/>
            <w:tcBorders>
              <w:bottom w:val="single" w:sz="4" w:space="0" w:color="auto"/>
            </w:tcBorders>
            <w:vAlign w:val="center"/>
          </w:tcPr>
          <w:p w14:paraId="60DA80B9" w14:textId="6DC1B11A" w:rsidR="002814C0" w:rsidRPr="00DA53C4" w:rsidRDefault="00D11307"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2.9</w:t>
            </w:r>
          </w:p>
        </w:tc>
        <w:tc>
          <w:tcPr>
            <w:tcW w:w="992" w:type="dxa"/>
            <w:tcBorders>
              <w:bottom w:val="single" w:sz="4" w:space="0" w:color="auto"/>
            </w:tcBorders>
            <w:vAlign w:val="center"/>
          </w:tcPr>
          <w:p w14:paraId="39892302" w14:textId="7ADC525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3.1</w:t>
            </w:r>
          </w:p>
        </w:tc>
      </w:tr>
      <w:tr w:rsidR="002814C0" w:rsidRPr="00A44138" w14:paraId="067D1231" w14:textId="77777777" w:rsidTr="00DE3335">
        <w:tc>
          <w:tcPr>
            <w:tcW w:w="7225" w:type="dxa"/>
            <w:vAlign w:val="center"/>
          </w:tcPr>
          <w:p w14:paraId="680E7801"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Diluted weighted average ordinary shares in issue (millions)</w:t>
            </w:r>
          </w:p>
        </w:tc>
        <w:tc>
          <w:tcPr>
            <w:tcW w:w="992" w:type="dxa"/>
            <w:tcBorders>
              <w:top w:val="single" w:sz="4" w:space="0" w:color="auto"/>
              <w:bottom w:val="double" w:sz="4" w:space="0" w:color="auto"/>
            </w:tcBorders>
            <w:vAlign w:val="center"/>
          </w:tcPr>
          <w:p w14:paraId="0E1EB607" w14:textId="7F235B43" w:rsidR="002814C0" w:rsidRPr="00DA53C4" w:rsidRDefault="00337835"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Pr>
                <w:rFonts w:ascii="Arial" w:eastAsia="Batang" w:hAnsi="Arial" w:cs="Arial"/>
                <w:b/>
                <w:sz w:val="18"/>
                <w:szCs w:val="18"/>
              </w:rPr>
              <w:t>537.</w:t>
            </w:r>
            <w:r w:rsidR="00131671">
              <w:rPr>
                <w:rFonts w:ascii="Arial" w:eastAsia="Batang" w:hAnsi="Arial" w:cs="Arial"/>
                <w:b/>
                <w:sz w:val="18"/>
                <w:szCs w:val="18"/>
              </w:rPr>
              <w:t>4</w:t>
            </w:r>
          </w:p>
        </w:tc>
        <w:tc>
          <w:tcPr>
            <w:tcW w:w="992" w:type="dxa"/>
            <w:tcBorders>
              <w:top w:val="single" w:sz="4" w:space="0" w:color="auto"/>
              <w:bottom w:val="double" w:sz="4" w:space="0" w:color="auto"/>
            </w:tcBorders>
            <w:vAlign w:val="center"/>
          </w:tcPr>
          <w:p w14:paraId="4B39E117" w14:textId="1BFC7AB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539.8</w:t>
            </w:r>
          </w:p>
        </w:tc>
      </w:tr>
      <w:tr w:rsidR="002814C0" w:rsidRPr="00A44138" w14:paraId="45C0E2CC" w14:textId="77777777" w:rsidTr="00DE3335">
        <w:tc>
          <w:tcPr>
            <w:tcW w:w="7225" w:type="dxa"/>
            <w:vAlign w:val="center"/>
          </w:tcPr>
          <w:p w14:paraId="072F855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Basic earnings per ordinary share (pence)</w:t>
            </w:r>
          </w:p>
        </w:tc>
        <w:tc>
          <w:tcPr>
            <w:tcW w:w="992" w:type="dxa"/>
            <w:tcBorders>
              <w:top w:val="double" w:sz="4" w:space="0" w:color="auto"/>
            </w:tcBorders>
            <w:vAlign w:val="center"/>
          </w:tcPr>
          <w:p w14:paraId="451A5203" w14:textId="0B7181BB" w:rsidR="002814C0" w:rsidRPr="00DA53C4" w:rsidRDefault="00791B17"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8.6</w:t>
            </w:r>
          </w:p>
        </w:tc>
        <w:tc>
          <w:tcPr>
            <w:tcW w:w="992" w:type="dxa"/>
            <w:tcBorders>
              <w:top w:val="double" w:sz="4" w:space="0" w:color="auto"/>
            </w:tcBorders>
            <w:vAlign w:val="center"/>
          </w:tcPr>
          <w:p w14:paraId="1DC911E9" w14:textId="525C194C"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8.3</w:t>
            </w:r>
          </w:p>
        </w:tc>
      </w:tr>
      <w:tr w:rsidR="002814C0" w:rsidRPr="00A44138" w14:paraId="2E5D749C" w14:textId="77777777" w:rsidTr="00DE3335">
        <w:tc>
          <w:tcPr>
            <w:tcW w:w="7225" w:type="dxa"/>
            <w:vAlign w:val="center"/>
          </w:tcPr>
          <w:p w14:paraId="13C98D1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Diluted earnings per ordinary share (pence)</w:t>
            </w:r>
          </w:p>
        </w:tc>
        <w:tc>
          <w:tcPr>
            <w:tcW w:w="992" w:type="dxa"/>
            <w:vAlign w:val="center"/>
          </w:tcPr>
          <w:p w14:paraId="3635A0AA" w14:textId="0A7128AE" w:rsidR="002814C0" w:rsidRPr="00DA53C4" w:rsidRDefault="00791B17"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8.</w:t>
            </w:r>
            <w:r w:rsidR="001C5E16">
              <w:rPr>
                <w:rFonts w:ascii="Arial" w:eastAsia="Batang" w:hAnsi="Arial" w:cs="Arial"/>
                <w:b/>
                <w:sz w:val="18"/>
                <w:szCs w:val="18"/>
              </w:rPr>
              <w:t>5</w:t>
            </w:r>
          </w:p>
        </w:tc>
        <w:tc>
          <w:tcPr>
            <w:tcW w:w="992" w:type="dxa"/>
            <w:vAlign w:val="center"/>
          </w:tcPr>
          <w:p w14:paraId="42616B48" w14:textId="5BB917B5"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8.2</w:t>
            </w:r>
          </w:p>
        </w:tc>
      </w:tr>
      <w:tr w:rsidR="00294FD1" w:rsidRPr="00A44138" w14:paraId="691F5308" w14:textId="77777777" w:rsidTr="00DE3335">
        <w:tc>
          <w:tcPr>
            <w:tcW w:w="7225" w:type="dxa"/>
          </w:tcPr>
          <w:p w14:paraId="524F5B23"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color w:val="FF0000"/>
                <w:sz w:val="18"/>
                <w:szCs w:val="18"/>
                <w:lang w:eastAsia="ko-KR"/>
              </w:rPr>
            </w:pPr>
          </w:p>
        </w:tc>
        <w:tc>
          <w:tcPr>
            <w:tcW w:w="992" w:type="dxa"/>
          </w:tcPr>
          <w:p w14:paraId="49683F15"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hAnsi="Arial"/>
                <w:b/>
                <w:color w:val="FF0000"/>
                <w:sz w:val="18"/>
                <w:u w:val="double"/>
              </w:rPr>
            </w:pPr>
          </w:p>
        </w:tc>
        <w:tc>
          <w:tcPr>
            <w:tcW w:w="992" w:type="dxa"/>
          </w:tcPr>
          <w:p w14:paraId="3F48DBA6" w14:textId="77777777" w:rsidR="00294FD1" w:rsidRPr="00A44138" w:rsidRDefault="00294FD1">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u w:val="double"/>
              </w:rPr>
            </w:pPr>
          </w:p>
        </w:tc>
      </w:tr>
      <w:tr w:rsidR="00294FD1" w:rsidRPr="00A44138" w14:paraId="235ED57C" w14:textId="77777777" w:rsidTr="00DE3335">
        <w:trPr>
          <w:trHeight w:val="258"/>
        </w:trPr>
        <w:tc>
          <w:tcPr>
            <w:tcW w:w="9209" w:type="dxa"/>
            <w:gridSpan w:val="3"/>
          </w:tcPr>
          <w:p w14:paraId="71C1510A" w14:textId="77777777" w:rsidR="00294FD1" w:rsidRPr="00A44138" w:rsidRDefault="00294FD1">
            <w:pPr>
              <w:tabs>
                <w:tab w:val="decimal" w:pos="964"/>
              </w:tabs>
              <w:overflowPunct w:val="0"/>
              <w:autoSpaceDE w:val="0"/>
              <w:autoSpaceDN w:val="0"/>
              <w:adjustRightInd w:val="0"/>
              <w:spacing w:after="0" w:line="240" w:lineRule="auto"/>
              <w:ind w:right="80"/>
              <w:jc w:val="both"/>
              <w:textAlignment w:val="baseline"/>
              <w:rPr>
                <w:rFonts w:ascii="Arial" w:hAnsi="Arial"/>
                <w:sz w:val="18"/>
              </w:rPr>
            </w:pPr>
          </w:p>
          <w:p w14:paraId="204EE57F" w14:textId="77777777" w:rsidR="00294FD1" w:rsidRPr="00A44138" w:rsidRDefault="00294FD1">
            <w:pPr>
              <w:tabs>
                <w:tab w:val="decimal" w:pos="964"/>
              </w:tabs>
              <w:overflowPunct w:val="0"/>
              <w:autoSpaceDE w:val="0"/>
              <w:autoSpaceDN w:val="0"/>
              <w:adjustRightInd w:val="0"/>
              <w:spacing w:after="0" w:line="240" w:lineRule="auto"/>
              <w:ind w:right="80"/>
              <w:jc w:val="both"/>
              <w:textAlignment w:val="baseline"/>
              <w:rPr>
                <w:rFonts w:ascii="Arial" w:hAnsi="Arial" w:cs="Arial"/>
                <w:sz w:val="20"/>
                <w:szCs w:val="20"/>
              </w:rPr>
            </w:pPr>
          </w:p>
          <w:p w14:paraId="0DC6EC2B" w14:textId="77777777" w:rsidR="00294FD1" w:rsidRPr="00A44138" w:rsidRDefault="00294FD1">
            <w:pPr>
              <w:jc w:val="both"/>
            </w:pPr>
            <w:r w:rsidRPr="00A44138">
              <w:rPr>
                <w:rFonts w:ascii="Arial" w:hAnsi="Arial" w:cs="Arial"/>
                <w:sz w:val="20"/>
                <w:szCs w:val="20"/>
              </w:rPr>
              <w:t xml:space="preserve">Adjusted basic and diluted earnings per share </w:t>
            </w:r>
            <w:r w:rsidRPr="00A44138">
              <w:rPr>
                <w:rStyle w:val="ui-provider"/>
                <w:rFonts w:ascii="Arial" w:hAnsi="Arial" w:cs="Arial"/>
                <w:sz w:val="20"/>
                <w:szCs w:val="20"/>
              </w:rPr>
              <w:t xml:space="preserve">are based on profit before tax after adding back adjusting items. </w:t>
            </w:r>
            <w:r w:rsidRPr="00A44138">
              <w:rPr>
                <w:rFonts w:ascii="Arial" w:hAnsi="Arial" w:cs="Arial"/>
                <w:sz w:val="20"/>
                <w:szCs w:val="20"/>
              </w:rPr>
              <w:t>They have been calculated as follows:</w:t>
            </w:r>
          </w:p>
        </w:tc>
      </w:tr>
      <w:tr w:rsidR="002814C0" w:rsidRPr="00A44138" w14:paraId="0F67FBC0" w14:textId="77777777" w:rsidTr="00DE3335">
        <w:tc>
          <w:tcPr>
            <w:tcW w:w="7225" w:type="dxa"/>
            <w:vAlign w:val="center"/>
          </w:tcPr>
          <w:p w14:paraId="0830C1CE"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992" w:type="dxa"/>
            <w:vAlign w:val="center"/>
          </w:tcPr>
          <w:p w14:paraId="5187A173" w14:textId="7D7FCCEB"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p w14:paraId="5B4999A9"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hAnsi="Arial"/>
                <w:b/>
                <w:sz w:val="18"/>
              </w:rPr>
            </w:pPr>
            <w:r w:rsidRPr="00A44138">
              <w:rPr>
                <w:rFonts w:ascii="Arial" w:eastAsia="Batang" w:hAnsi="Arial" w:cs="Arial"/>
                <w:b/>
                <w:sz w:val="18"/>
                <w:szCs w:val="18"/>
              </w:rPr>
              <w:t>£m</w:t>
            </w:r>
          </w:p>
        </w:tc>
        <w:tc>
          <w:tcPr>
            <w:tcW w:w="992" w:type="dxa"/>
            <w:vAlign w:val="center"/>
          </w:tcPr>
          <w:p w14:paraId="3671C27B"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2024</w:t>
            </w:r>
          </w:p>
          <w:p w14:paraId="4B9432A7" w14:textId="453EA8F9"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A44138">
              <w:rPr>
                <w:rFonts w:ascii="Arial" w:eastAsia="Batang" w:hAnsi="Arial" w:cs="Arial"/>
                <w:b/>
                <w:sz w:val="18"/>
                <w:szCs w:val="18"/>
              </w:rPr>
              <w:t>£m</w:t>
            </w:r>
          </w:p>
        </w:tc>
      </w:tr>
      <w:tr w:rsidR="002814C0" w:rsidRPr="00A44138" w14:paraId="37F97524" w14:textId="77777777" w:rsidTr="00DE3335">
        <w:tc>
          <w:tcPr>
            <w:tcW w:w="7225" w:type="dxa"/>
            <w:vAlign w:val="center"/>
          </w:tcPr>
          <w:p w14:paraId="2331A861"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bookmarkStart w:id="23" w:name="_Hlk45294342"/>
          </w:p>
        </w:tc>
        <w:tc>
          <w:tcPr>
            <w:tcW w:w="992" w:type="dxa"/>
            <w:vAlign w:val="center"/>
          </w:tcPr>
          <w:p w14:paraId="43154A7C"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hAnsi="Arial"/>
                <w:b/>
                <w:sz w:val="18"/>
              </w:rPr>
            </w:pPr>
          </w:p>
        </w:tc>
        <w:tc>
          <w:tcPr>
            <w:tcW w:w="992" w:type="dxa"/>
            <w:vAlign w:val="center"/>
          </w:tcPr>
          <w:p w14:paraId="22D74832" w14:textId="77777777" w:rsidR="002814C0" w:rsidRPr="00A44138"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p>
        </w:tc>
      </w:tr>
      <w:bookmarkEnd w:id="23"/>
      <w:tr w:rsidR="002814C0" w:rsidRPr="00A44138" w14:paraId="0D0C3A03" w14:textId="77777777" w:rsidTr="00DE3335">
        <w:tc>
          <w:tcPr>
            <w:tcW w:w="7225" w:type="dxa"/>
            <w:vAlign w:val="center"/>
          </w:tcPr>
          <w:p w14:paraId="780FAAC9"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Profit before tax </w:t>
            </w:r>
          </w:p>
        </w:tc>
        <w:tc>
          <w:tcPr>
            <w:tcW w:w="992" w:type="dxa"/>
            <w:vAlign w:val="center"/>
          </w:tcPr>
          <w:p w14:paraId="0C17D084" w14:textId="7EF1BEF7" w:rsidR="002814C0" w:rsidRPr="002814C0" w:rsidRDefault="00A47B13"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highlight w:val="yellow"/>
              </w:rPr>
            </w:pPr>
            <w:r w:rsidRPr="00DA53C4">
              <w:rPr>
                <w:rFonts w:ascii="Arial" w:eastAsia="Batang" w:hAnsi="Arial" w:cs="Arial"/>
                <w:b/>
                <w:sz w:val="18"/>
                <w:szCs w:val="18"/>
              </w:rPr>
              <w:t>59.8</w:t>
            </w:r>
          </w:p>
        </w:tc>
        <w:tc>
          <w:tcPr>
            <w:tcW w:w="992" w:type="dxa"/>
            <w:vAlign w:val="center"/>
          </w:tcPr>
          <w:p w14:paraId="08A71639" w14:textId="65E7295E"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58.1</w:t>
            </w:r>
          </w:p>
        </w:tc>
      </w:tr>
      <w:tr w:rsidR="002814C0" w:rsidRPr="00A44138" w14:paraId="78AFF471" w14:textId="77777777" w:rsidTr="00DE3335">
        <w:tc>
          <w:tcPr>
            <w:tcW w:w="7225" w:type="dxa"/>
            <w:vAlign w:val="center"/>
          </w:tcPr>
          <w:p w14:paraId="291A4C80" w14:textId="183F52C2"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Adjusted for loss before tax attributable to non-controlling interest</w:t>
            </w:r>
          </w:p>
        </w:tc>
        <w:tc>
          <w:tcPr>
            <w:tcW w:w="992" w:type="dxa"/>
            <w:tcBorders>
              <w:bottom w:val="single" w:sz="4" w:space="0" w:color="auto"/>
            </w:tcBorders>
            <w:vAlign w:val="center"/>
          </w:tcPr>
          <w:p w14:paraId="70F581F2" w14:textId="1527D05E" w:rsidR="002814C0" w:rsidRPr="002814C0" w:rsidRDefault="00F66519"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highlight w:val="yellow"/>
              </w:rPr>
            </w:pPr>
            <w:r w:rsidRPr="00DA53C4">
              <w:rPr>
                <w:rFonts w:ascii="Arial" w:eastAsia="Batang" w:hAnsi="Arial" w:cs="Arial"/>
                <w:b/>
                <w:sz w:val="18"/>
                <w:szCs w:val="18"/>
              </w:rPr>
              <w:t>0.3</w:t>
            </w:r>
          </w:p>
        </w:tc>
        <w:tc>
          <w:tcPr>
            <w:tcW w:w="992" w:type="dxa"/>
            <w:tcBorders>
              <w:bottom w:val="single" w:sz="4" w:space="0" w:color="auto"/>
            </w:tcBorders>
            <w:vAlign w:val="center"/>
          </w:tcPr>
          <w:p w14:paraId="15870AA4" w14:textId="38562745"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0.0</w:t>
            </w:r>
          </w:p>
        </w:tc>
      </w:tr>
      <w:tr w:rsidR="002814C0" w:rsidRPr="00A44138" w14:paraId="3382E8FF" w14:textId="77777777" w:rsidTr="00DE3335">
        <w:tc>
          <w:tcPr>
            <w:tcW w:w="7225" w:type="dxa"/>
            <w:vAlign w:val="center"/>
          </w:tcPr>
          <w:p w14:paraId="11417C1A"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Profit before tax attributable to the owners of the Company</w:t>
            </w:r>
          </w:p>
        </w:tc>
        <w:tc>
          <w:tcPr>
            <w:tcW w:w="992" w:type="dxa"/>
            <w:tcBorders>
              <w:top w:val="single" w:sz="4" w:space="0" w:color="auto"/>
            </w:tcBorders>
            <w:vAlign w:val="center"/>
          </w:tcPr>
          <w:p w14:paraId="1842BE66" w14:textId="46865C73" w:rsidR="002814C0" w:rsidRPr="00DA53C4" w:rsidRDefault="00EB0C2E"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60.1</w:t>
            </w:r>
          </w:p>
        </w:tc>
        <w:tc>
          <w:tcPr>
            <w:tcW w:w="992" w:type="dxa"/>
            <w:tcBorders>
              <w:top w:val="single" w:sz="4" w:space="0" w:color="auto"/>
            </w:tcBorders>
            <w:vAlign w:val="center"/>
          </w:tcPr>
          <w:p w14:paraId="538F176F" w14:textId="5200B267"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58.1</w:t>
            </w:r>
          </w:p>
        </w:tc>
      </w:tr>
      <w:tr w:rsidR="002814C0" w:rsidRPr="00A44138" w14:paraId="668017CE" w14:textId="77777777" w:rsidTr="00DE3335">
        <w:tc>
          <w:tcPr>
            <w:tcW w:w="7225" w:type="dxa"/>
            <w:vAlign w:val="center"/>
          </w:tcPr>
          <w:p w14:paraId="40315927"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Amortisation of acquisition related intangible assets </w:t>
            </w:r>
          </w:p>
        </w:tc>
        <w:tc>
          <w:tcPr>
            <w:tcW w:w="992" w:type="dxa"/>
            <w:vAlign w:val="center"/>
          </w:tcPr>
          <w:p w14:paraId="4035F0D4" w14:textId="4A71DCDE" w:rsidR="002814C0" w:rsidRPr="00DA53C4" w:rsidRDefault="00EB0C2E"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4.1</w:t>
            </w:r>
          </w:p>
        </w:tc>
        <w:tc>
          <w:tcPr>
            <w:tcW w:w="992" w:type="dxa"/>
            <w:vAlign w:val="center"/>
          </w:tcPr>
          <w:p w14:paraId="7064CFAD" w14:textId="5C14B20B"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5.4</w:t>
            </w:r>
          </w:p>
        </w:tc>
      </w:tr>
      <w:tr w:rsidR="002814C0" w:rsidRPr="00A44138" w14:paraId="462379ED" w14:textId="77777777" w:rsidTr="00DE3335">
        <w:tc>
          <w:tcPr>
            <w:tcW w:w="7225" w:type="dxa"/>
            <w:vAlign w:val="center"/>
          </w:tcPr>
          <w:p w14:paraId="5B1E32B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Amortisation of acquisition related intangible assets attributable to non-controlling interest </w:t>
            </w:r>
          </w:p>
        </w:tc>
        <w:tc>
          <w:tcPr>
            <w:tcW w:w="992" w:type="dxa"/>
            <w:vAlign w:val="center"/>
          </w:tcPr>
          <w:p w14:paraId="308BAFFB" w14:textId="132AC7C7" w:rsidR="002814C0" w:rsidRPr="00DA53C4" w:rsidRDefault="002E4CF6"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(0</w:t>
            </w:r>
            <w:r w:rsidR="00200B35" w:rsidRPr="00DA53C4">
              <w:rPr>
                <w:rFonts w:ascii="Arial" w:eastAsia="Batang" w:hAnsi="Arial" w:cs="Arial"/>
                <w:b/>
                <w:sz w:val="18"/>
                <w:szCs w:val="18"/>
              </w:rPr>
              <w:t>.4)</w:t>
            </w:r>
          </w:p>
        </w:tc>
        <w:tc>
          <w:tcPr>
            <w:tcW w:w="992" w:type="dxa"/>
            <w:vAlign w:val="center"/>
          </w:tcPr>
          <w:p w14:paraId="79EAF770" w14:textId="78FD3C83"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(0.4)</w:t>
            </w:r>
          </w:p>
        </w:tc>
      </w:tr>
      <w:tr w:rsidR="00730660" w:rsidRPr="00A44138" w14:paraId="27015F43" w14:textId="77777777" w:rsidTr="00DE3335">
        <w:tc>
          <w:tcPr>
            <w:tcW w:w="7225" w:type="dxa"/>
            <w:vAlign w:val="center"/>
          </w:tcPr>
          <w:p w14:paraId="54D6B02A" w14:textId="3681FEFC" w:rsidR="00730660" w:rsidRPr="00A44138" w:rsidRDefault="0073066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Pr>
                <w:rFonts w:ascii="Arial" w:eastAsia="Batang" w:hAnsi="Arial" w:cs="Arial"/>
                <w:sz w:val="18"/>
                <w:szCs w:val="18"/>
                <w:lang w:eastAsia="ko-KR"/>
              </w:rPr>
              <w:t>Irrecoverable VAT provisions and related costs</w:t>
            </w:r>
            <w:r w:rsidR="00814980">
              <w:rPr>
                <w:rFonts w:ascii="Arial" w:eastAsia="Batang" w:hAnsi="Arial" w:cs="Arial"/>
                <w:sz w:val="18"/>
                <w:szCs w:val="18"/>
                <w:lang w:eastAsia="ko-KR"/>
              </w:rPr>
              <w:t>*</w:t>
            </w:r>
          </w:p>
        </w:tc>
        <w:tc>
          <w:tcPr>
            <w:tcW w:w="992" w:type="dxa"/>
            <w:vAlign w:val="center"/>
          </w:tcPr>
          <w:p w14:paraId="4B312249" w14:textId="23601564" w:rsidR="00730660" w:rsidRPr="00DA53C4" w:rsidDel="00F70111" w:rsidRDefault="00905274"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2.2</w:t>
            </w:r>
          </w:p>
        </w:tc>
        <w:tc>
          <w:tcPr>
            <w:tcW w:w="992" w:type="dxa"/>
            <w:vAlign w:val="center"/>
          </w:tcPr>
          <w:p w14:paraId="36FD1AFE" w14:textId="753FC98D" w:rsidR="00730660" w:rsidRPr="00730660" w:rsidRDefault="0073066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Pr>
                <w:rFonts w:ascii="Arial" w:eastAsia="Batang" w:hAnsi="Arial" w:cs="Arial"/>
                <w:bCs/>
                <w:sz w:val="18"/>
                <w:szCs w:val="18"/>
              </w:rPr>
              <w:t>1.0</w:t>
            </w:r>
          </w:p>
        </w:tc>
      </w:tr>
      <w:tr w:rsidR="002814C0" w:rsidRPr="00A44138" w14:paraId="10EC742C" w14:textId="77777777" w:rsidTr="00DE3335">
        <w:tc>
          <w:tcPr>
            <w:tcW w:w="7225" w:type="dxa"/>
            <w:vAlign w:val="center"/>
          </w:tcPr>
          <w:p w14:paraId="5A0944D9"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992" w:type="dxa"/>
            <w:tcBorders>
              <w:top w:val="single" w:sz="4" w:space="0" w:color="auto"/>
            </w:tcBorders>
            <w:vAlign w:val="center"/>
          </w:tcPr>
          <w:p w14:paraId="30A32B2D" w14:textId="26251C2B" w:rsidR="002814C0" w:rsidRPr="00DA53C4" w:rsidRDefault="007D4B27"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66.0</w:t>
            </w:r>
          </w:p>
        </w:tc>
        <w:tc>
          <w:tcPr>
            <w:tcW w:w="992" w:type="dxa"/>
            <w:tcBorders>
              <w:top w:val="single" w:sz="4" w:space="0" w:color="auto"/>
            </w:tcBorders>
            <w:vAlign w:val="center"/>
          </w:tcPr>
          <w:p w14:paraId="7EBC17DD" w14:textId="4289AF97"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6</w:t>
            </w:r>
            <w:r w:rsidR="00730660">
              <w:rPr>
                <w:rFonts w:ascii="Arial" w:eastAsia="Batang" w:hAnsi="Arial" w:cs="Arial"/>
                <w:bCs/>
                <w:sz w:val="18"/>
                <w:szCs w:val="18"/>
              </w:rPr>
              <w:t>4</w:t>
            </w:r>
            <w:r w:rsidRPr="005E7A81">
              <w:rPr>
                <w:rFonts w:ascii="Arial" w:eastAsia="Batang" w:hAnsi="Arial" w:cs="Arial"/>
                <w:bCs/>
                <w:sz w:val="18"/>
                <w:szCs w:val="18"/>
              </w:rPr>
              <w:t>.1</w:t>
            </w:r>
          </w:p>
        </w:tc>
      </w:tr>
      <w:tr w:rsidR="002814C0" w:rsidRPr="00A44138" w14:paraId="65C90D8C" w14:textId="77777777" w:rsidTr="00DE3335">
        <w:tc>
          <w:tcPr>
            <w:tcW w:w="7225" w:type="dxa"/>
            <w:vAlign w:val="center"/>
          </w:tcPr>
          <w:p w14:paraId="5A316B43" w14:textId="4B2A6F93"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Estimated taxation at </w:t>
            </w:r>
            <w:r w:rsidR="00997357" w:rsidRPr="00997357">
              <w:rPr>
                <w:rFonts w:ascii="Arial" w:eastAsia="Batang" w:hAnsi="Arial" w:cs="Arial"/>
                <w:sz w:val="18"/>
                <w:szCs w:val="18"/>
                <w:lang w:eastAsia="ko-KR"/>
              </w:rPr>
              <w:t>25</w:t>
            </w:r>
            <w:r w:rsidRPr="005E7A81">
              <w:rPr>
                <w:rFonts w:ascii="Arial" w:eastAsia="Batang" w:hAnsi="Arial" w:cs="Arial"/>
                <w:sz w:val="18"/>
                <w:szCs w:val="18"/>
                <w:lang w:eastAsia="ko-KR"/>
              </w:rPr>
              <w:t>%</w:t>
            </w:r>
            <w:r w:rsidRPr="00997357">
              <w:rPr>
                <w:rFonts w:ascii="Arial" w:eastAsia="Batang" w:hAnsi="Arial" w:cs="Arial"/>
                <w:sz w:val="18"/>
                <w:szCs w:val="18"/>
                <w:lang w:eastAsia="ko-KR"/>
              </w:rPr>
              <w:t xml:space="preserve"> (</w:t>
            </w:r>
            <w:r w:rsidRPr="005E7A81">
              <w:rPr>
                <w:rFonts w:ascii="Arial" w:eastAsia="Batang" w:hAnsi="Arial" w:cs="Arial"/>
                <w:sz w:val="18"/>
                <w:szCs w:val="18"/>
                <w:lang w:eastAsia="ko-KR"/>
              </w:rPr>
              <w:t>2024: 25%</w:t>
            </w:r>
            <w:r w:rsidRPr="00997357">
              <w:rPr>
                <w:rFonts w:ascii="Arial" w:eastAsia="Batang" w:hAnsi="Arial" w:cs="Arial"/>
                <w:sz w:val="18"/>
                <w:szCs w:val="18"/>
                <w:lang w:eastAsia="ko-KR"/>
              </w:rPr>
              <w:t xml:space="preserve">) </w:t>
            </w:r>
          </w:p>
        </w:tc>
        <w:tc>
          <w:tcPr>
            <w:tcW w:w="992" w:type="dxa"/>
            <w:tcBorders>
              <w:bottom w:val="single" w:sz="4" w:space="0" w:color="auto"/>
            </w:tcBorders>
            <w:vAlign w:val="center"/>
          </w:tcPr>
          <w:p w14:paraId="34ECDAC8" w14:textId="3578ED67" w:rsidR="002814C0" w:rsidRPr="00DA53C4" w:rsidRDefault="0061457F"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(16.5)</w:t>
            </w:r>
          </w:p>
        </w:tc>
        <w:tc>
          <w:tcPr>
            <w:tcW w:w="992" w:type="dxa"/>
            <w:tcBorders>
              <w:bottom w:val="single" w:sz="4" w:space="0" w:color="auto"/>
            </w:tcBorders>
            <w:vAlign w:val="center"/>
          </w:tcPr>
          <w:p w14:paraId="7D9204A4" w14:textId="22E060B2"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(1</w:t>
            </w:r>
            <w:r w:rsidR="00974C38">
              <w:rPr>
                <w:rFonts w:ascii="Arial" w:eastAsia="Batang" w:hAnsi="Arial" w:cs="Arial"/>
                <w:bCs/>
                <w:sz w:val="18"/>
                <w:szCs w:val="18"/>
              </w:rPr>
              <w:t>6.0</w:t>
            </w:r>
            <w:r w:rsidRPr="005E7A81">
              <w:rPr>
                <w:rFonts w:ascii="Arial" w:eastAsia="Batang" w:hAnsi="Arial" w:cs="Arial"/>
                <w:bCs/>
                <w:sz w:val="18"/>
                <w:szCs w:val="18"/>
              </w:rPr>
              <w:t>)</w:t>
            </w:r>
          </w:p>
        </w:tc>
      </w:tr>
      <w:tr w:rsidR="002814C0" w:rsidRPr="00A44138" w14:paraId="36FBA822" w14:textId="77777777" w:rsidTr="00DE3335">
        <w:tc>
          <w:tcPr>
            <w:tcW w:w="7225" w:type="dxa"/>
            <w:vAlign w:val="center"/>
          </w:tcPr>
          <w:p w14:paraId="6D19AB5E"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 xml:space="preserve">Profit for adjusted EPS purposes </w:t>
            </w:r>
          </w:p>
        </w:tc>
        <w:tc>
          <w:tcPr>
            <w:tcW w:w="992" w:type="dxa"/>
            <w:tcBorders>
              <w:top w:val="single" w:sz="4" w:space="0" w:color="auto"/>
              <w:bottom w:val="double" w:sz="4" w:space="0" w:color="auto"/>
            </w:tcBorders>
            <w:vAlign w:val="center"/>
          </w:tcPr>
          <w:p w14:paraId="0CD02A7D" w14:textId="4397808E" w:rsidR="002814C0" w:rsidRPr="00DA53C4" w:rsidRDefault="00C7533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49.5</w:t>
            </w:r>
          </w:p>
        </w:tc>
        <w:tc>
          <w:tcPr>
            <w:tcW w:w="992" w:type="dxa"/>
            <w:tcBorders>
              <w:top w:val="single" w:sz="4" w:space="0" w:color="auto"/>
              <w:bottom w:val="double" w:sz="4" w:space="0" w:color="auto"/>
            </w:tcBorders>
            <w:vAlign w:val="center"/>
          </w:tcPr>
          <w:p w14:paraId="28FAC245" w14:textId="14EA5114" w:rsidR="002814C0" w:rsidRPr="005E7A81" w:rsidRDefault="002814C0"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4</w:t>
            </w:r>
            <w:r w:rsidR="00730660">
              <w:rPr>
                <w:rFonts w:ascii="Arial" w:eastAsia="Batang" w:hAnsi="Arial" w:cs="Arial"/>
                <w:bCs/>
                <w:sz w:val="18"/>
                <w:szCs w:val="18"/>
              </w:rPr>
              <w:t>8</w:t>
            </w:r>
            <w:r w:rsidRPr="005E7A81">
              <w:rPr>
                <w:rFonts w:ascii="Arial" w:eastAsia="Batang" w:hAnsi="Arial" w:cs="Arial"/>
                <w:bCs/>
                <w:sz w:val="18"/>
                <w:szCs w:val="18"/>
              </w:rPr>
              <w:t>.</w:t>
            </w:r>
            <w:r w:rsidR="00E900B8">
              <w:rPr>
                <w:rFonts w:ascii="Arial" w:eastAsia="Batang" w:hAnsi="Arial" w:cs="Arial"/>
                <w:bCs/>
                <w:sz w:val="18"/>
                <w:szCs w:val="18"/>
              </w:rPr>
              <w:t>1</w:t>
            </w:r>
          </w:p>
        </w:tc>
      </w:tr>
      <w:tr w:rsidR="002814C0" w:rsidRPr="00A44138" w14:paraId="614F0D73" w14:textId="77777777" w:rsidTr="00DE3335">
        <w:tc>
          <w:tcPr>
            <w:tcW w:w="7225" w:type="dxa"/>
            <w:vAlign w:val="center"/>
          </w:tcPr>
          <w:p w14:paraId="6F6DFCBC" w14:textId="6565656B"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Adjusted basic earnings per share</w:t>
            </w:r>
            <w:r w:rsidR="00E36614">
              <w:rPr>
                <w:rFonts w:ascii="Arial" w:eastAsia="Batang" w:hAnsi="Arial" w:cs="Arial"/>
                <w:sz w:val="18"/>
                <w:szCs w:val="18"/>
                <w:lang w:eastAsia="ko-KR"/>
              </w:rPr>
              <w:t>*</w:t>
            </w:r>
            <w:r w:rsidRPr="00A44138">
              <w:rPr>
                <w:rFonts w:ascii="Arial" w:eastAsia="Batang" w:hAnsi="Arial" w:cs="Arial"/>
                <w:sz w:val="18"/>
                <w:szCs w:val="18"/>
                <w:lang w:eastAsia="ko-KR"/>
              </w:rPr>
              <w:t xml:space="preserve"> (pence)</w:t>
            </w:r>
          </w:p>
        </w:tc>
        <w:tc>
          <w:tcPr>
            <w:tcW w:w="992" w:type="dxa"/>
            <w:tcBorders>
              <w:top w:val="double" w:sz="4" w:space="0" w:color="auto"/>
            </w:tcBorders>
            <w:vAlign w:val="center"/>
          </w:tcPr>
          <w:p w14:paraId="6985B713" w14:textId="1FCAA9D8" w:rsidR="002814C0" w:rsidRPr="00DA53C4" w:rsidRDefault="000E3C28"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9.3</w:t>
            </w:r>
          </w:p>
        </w:tc>
        <w:tc>
          <w:tcPr>
            <w:tcW w:w="992" w:type="dxa"/>
            <w:tcBorders>
              <w:top w:val="double" w:sz="4" w:space="0" w:color="auto"/>
            </w:tcBorders>
            <w:vAlign w:val="center"/>
          </w:tcPr>
          <w:p w14:paraId="49CD3AA1" w14:textId="3232611F" w:rsidR="002814C0" w:rsidRPr="005C13FE" w:rsidRDefault="00EA0B55"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8.9</w:t>
            </w:r>
          </w:p>
        </w:tc>
      </w:tr>
      <w:tr w:rsidR="002814C0" w:rsidRPr="00A44138" w14:paraId="57BFC9CF" w14:textId="77777777" w:rsidTr="00DE3335">
        <w:trPr>
          <w:trHeight w:val="40"/>
        </w:trPr>
        <w:tc>
          <w:tcPr>
            <w:tcW w:w="7225" w:type="dxa"/>
            <w:vAlign w:val="center"/>
          </w:tcPr>
          <w:p w14:paraId="30C3E240" w14:textId="7ABCFC5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sz w:val="18"/>
                <w:szCs w:val="18"/>
                <w:lang w:eastAsia="ko-KR"/>
              </w:rPr>
              <w:t>Adjusted diluted earnings per share</w:t>
            </w:r>
            <w:r w:rsidR="00E36614">
              <w:rPr>
                <w:rFonts w:ascii="Arial" w:eastAsia="Batang" w:hAnsi="Arial" w:cs="Arial"/>
                <w:sz w:val="18"/>
                <w:szCs w:val="18"/>
                <w:lang w:eastAsia="ko-KR"/>
              </w:rPr>
              <w:t>*</w:t>
            </w:r>
            <w:r w:rsidRPr="00A44138">
              <w:rPr>
                <w:rFonts w:ascii="Arial" w:eastAsia="Batang" w:hAnsi="Arial" w:cs="Arial"/>
                <w:sz w:val="18"/>
                <w:szCs w:val="18"/>
                <w:lang w:eastAsia="ko-KR"/>
              </w:rPr>
              <w:t xml:space="preserve"> (pence)</w:t>
            </w:r>
          </w:p>
        </w:tc>
        <w:tc>
          <w:tcPr>
            <w:tcW w:w="992" w:type="dxa"/>
            <w:vAlign w:val="center"/>
          </w:tcPr>
          <w:p w14:paraId="65CB732F" w14:textId="51C4A7CB" w:rsidR="002814C0" w:rsidRPr="00DA53C4" w:rsidRDefault="004B7549"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9.</w:t>
            </w:r>
            <w:r w:rsidR="005920B4">
              <w:rPr>
                <w:rFonts w:ascii="Arial" w:eastAsia="Batang" w:hAnsi="Arial" w:cs="Arial"/>
                <w:b/>
                <w:sz w:val="18"/>
                <w:szCs w:val="18"/>
              </w:rPr>
              <w:t>2</w:t>
            </w:r>
          </w:p>
        </w:tc>
        <w:tc>
          <w:tcPr>
            <w:tcW w:w="992" w:type="dxa"/>
            <w:vAlign w:val="center"/>
          </w:tcPr>
          <w:p w14:paraId="490ECC48" w14:textId="01131526" w:rsidR="002814C0" w:rsidRPr="005C13FE" w:rsidRDefault="00C00033" w:rsidP="002814C0">
            <w:pPr>
              <w:tabs>
                <w:tab w:val="decimal" w:pos="964"/>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5C13FE">
              <w:rPr>
                <w:rFonts w:ascii="Arial" w:eastAsia="Batang" w:hAnsi="Arial" w:cs="Arial"/>
                <w:sz w:val="18"/>
                <w:szCs w:val="18"/>
              </w:rPr>
              <w:t>8.9</w:t>
            </w:r>
          </w:p>
        </w:tc>
      </w:tr>
    </w:tbl>
    <w:p w14:paraId="73ADFA5D" w14:textId="77777777" w:rsidR="00294FD1" w:rsidRPr="00A44138" w:rsidRDefault="00294FD1" w:rsidP="005C13FE">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 w:val="20"/>
          <w:szCs w:val="20"/>
        </w:rPr>
      </w:pPr>
    </w:p>
    <w:p w14:paraId="332F47C7" w14:textId="31445F5C" w:rsidR="00BD3449" w:rsidRPr="005C13FE" w:rsidRDefault="000A394F" w:rsidP="000A394F">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sz w:val="18"/>
          <w:szCs w:val="18"/>
        </w:rPr>
      </w:pPr>
      <w:r w:rsidRPr="005C13FE">
        <w:rPr>
          <w:rFonts w:ascii="Arial" w:eastAsia="Batang" w:hAnsi="Arial" w:cs="Times New Roman"/>
          <w:b/>
          <w:sz w:val="18"/>
          <w:szCs w:val="18"/>
        </w:rPr>
        <w:t xml:space="preserve">* </w:t>
      </w:r>
      <w:r w:rsidRPr="005C13FE">
        <w:rPr>
          <w:rFonts w:ascii="Arial" w:eastAsia="Batang" w:hAnsi="Arial" w:cs="Times New Roman"/>
          <w:i/>
          <w:sz w:val="18"/>
          <w:szCs w:val="18"/>
        </w:rPr>
        <w:t xml:space="preserve">Adjusted earnings per share for </w:t>
      </w:r>
      <w:r>
        <w:rPr>
          <w:rFonts w:ascii="Arial" w:eastAsia="Batang" w:hAnsi="Arial" w:cs="Times New Roman"/>
          <w:i/>
          <w:iCs/>
          <w:sz w:val="18"/>
          <w:szCs w:val="18"/>
        </w:rPr>
        <w:t>the six months ended 30 June 202</w:t>
      </w:r>
      <w:r w:rsidR="00FC2CAF">
        <w:rPr>
          <w:rFonts w:ascii="Arial" w:eastAsia="Batang" w:hAnsi="Arial" w:cs="Times New Roman"/>
          <w:i/>
          <w:iCs/>
          <w:sz w:val="18"/>
          <w:szCs w:val="18"/>
        </w:rPr>
        <w:t>4</w:t>
      </w:r>
      <w:r w:rsidRPr="005C13FE">
        <w:rPr>
          <w:rFonts w:ascii="Arial" w:eastAsia="Batang" w:hAnsi="Arial" w:cs="Times New Roman"/>
          <w:i/>
          <w:sz w:val="18"/>
          <w:szCs w:val="18"/>
        </w:rPr>
        <w:t xml:space="preserve"> has been updated to reflect the reclassification of irrecoverable VAT and related costs to adjusting items</w:t>
      </w:r>
      <w:r>
        <w:rPr>
          <w:rFonts w:ascii="Arial" w:eastAsia="Batang" w:hAnsi="Arial" w:cs="Times New Roman"/>
          <w:i/>
          <w:iCs/>
          <w:sz w:val="18"/>
          <w:szCs w:val="18"/>
        </w:rPr>
        <w:t>.</w:t>
      </w:r>
    </w:p>
    <w:p w14:paraId="78DFB6D2" w14:textId="77777777" w:rsidR="00BD3449" w:rsidRPr="00A44138" w:rsidRDefault="00BD3449" w:rsidP="005C13FE">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 w:val="20"/>
          <w:szCs w:val="20"/>
        </w:rPr>
      </w:pPr>
    </w:p>
    <w:p w14:paraId="35CDDC4C"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 w:val="20"/>
          <w:szCs w:val="20"/>
        </w:rPr>
      </w:pPr>
      <w:r w:rsidRPr="00A44138">
        <w:rPr>
          <w:rFonts w:ascii="Arial" w:eastAsia="Batang" w:hAnsi="Arial" w:cs="Times New Roman"/>
          <w:b/>
          <w:bCs/>
          <w:sz w:val="20"/>
          <w:szCs w:val="20"/>
        </w:rPr>
        <w:t>Dividends</w:t>
      </w:r>
    </w:p>
    <w:tbl>
      <w:tblPr>
        <w:tblW w:w="9184" w:type="dxa"/>
        <w:tblLayout w:type="fixed"/>
        <w:tblCellMar>
          <w:left w:w="0" w:type="dxa"/>
        </w:tblCellMar>
        <w:tblLook w:val="0000" w:firstRow="0" w:lastRow="0" w:firstColumn="0" w:lastColumn="0" w:noHBand="0" w:noVBand="0"/>
      </w:tblPr>
      <w:tblGrid>
        <w:gridCol w:w="7200"/>
        <w:gridCol w:w="992"/>
        <w:gridCol w:w="992"/>
      </w:tblGrid>
      <w:tr w:rsidR="002814C0" w:rsidRPr="00A44138" w14:paraId="06731AAF" w14:textId="77777777" w:rsidTr="002814C0">
        <w:tc>
          <w:tcPr>
            <w:tcW w:w="7200" w:type="dxa"/>
          </w:tcPr>
          <w:p w14:paraId="358914B2"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color w:val="FF0000"/>
                <w:sz w:val="18"/>
                <w:szCs w:val="18"/>
                <w:lang w:eastAsia="ko-KR"/>
              </w:rPr>
            </w:pPr>
          </w:p>
        </w:tc>
        <w:tc>
          <w:tcPr>
            <w:tcW w:w="992" w:type="dxa"/>
          </w:tcPr>
          <w:p w14:paraId="66EBB645" w14:textId="69268E71" w:rsidR="002814C0" w:rsidRPr="00A44138" w:rsidRDefault="002814C0" w:rsidP="002814C0">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tc>
        <w:tc>
          <w:tcPr>
            <w:tcW w:w="992" w:type="dxa"/>
          </w:tcPr>
          <w:p w14:paraId="38BB6904" w14:textId="2A4FE662" w:rsidR="002814C0" w:rsidRPr="005E7A81" w:rsidRDefault="002814C0" w:rsidP="002814C0">
            <w:pPr>
              <w:tabs>
                <w:tab w:val="decimal" w:pos="1021"/>
                <w:tab w:val="decimal" w:pos="1152"/>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2024</w:t>
            </w:r>
          </w:p>
        </w:tc>
      </w:tr>
      <w:tr w:rsidR="002814C0" w:rsidRPr="00A44138" w14:paraId="01D14559" w14:textId="77777777" w:rsidTr="002814C0">
        <w:trPr>
          <w:trHeight w:val="278"/>
        </w:trPr>
        <w:tc>
          <w:tcPr>
            <w:tcW w:w="7200" w:type="dxa"/>
          </w:tcPr>
          <w:p w14:paraId="08D36174" w14:textId="77777777" w:rsidR="002814C0" w:rsidRPr="00A44138" w:rsidRDefault="002814C0" w:rsidP="002814C0">
            <w:pPr>
              <w:overflowPunct w:val="0"/>
              <w:autoSpaceDE w:val="0"/>
              <w:autoSpaceDN w:val="0"/>
              <w:adjustRightInd w:val="0"/>
              <w:spacing w:after="0" w:line="240" w:lineRule="auto"/>
              <w:jc w:val="both"/>
              <w:textAlignment w:val="baseline"/>
              <w:rPr>
                <w:rFonts w:ascii="Arial" w:eastAsia="Batang" w:hAnsi="Arial" w:cs="Arial"/>
                <w:i/>
                <w:iCs/>
                <w:color w:val="FF0000"/>
                <w:sz w:val="18"/>
                <w:szCs w:val="18"/>
              </w:rPr>
            </w:pPr>
          </w:p>
        </w:tc>
        <w:tc>
          <w:tcPr>
            <w:tcW w:w="992" w:type="dxa"/>
          </w:tcPr>
          <w:p w14:paraId="304E4342" w14:textId="77777777" w:rsidR="002814C0" w:rsidRPr="00A44138" w:rsidRDefault="002814C0" w:rsidP="002814C0">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£m</w:t>
            </w:r>
          </w:p>
        </w:tc>
        <w:tc>
          <w:tcPr>
            <w:tcW w:w="992" w:type="dxa"/>
          </w:tcPr>
          <w:p w14:paraId="28FA11FC" w14:textId="564616C4" w:rsidR="002814C0" w:rsidRPr="005E7A81" w:rsidRDefault="002814C0" w:rsidP="002814C0">
            <w:pPr>
              <w:tabs>
                <w:tab w:val="decimal" w:pos="1021"/>
                <w:tab w:val="decimal" w:pos="1152"/>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£m</w:t>
            </w:r>
          </w:p>
        </w:tc>
      </w:tr>
      <w:tr w:rsidR="002814C0" w:rsidRPr="00A44138" w14:paraId="4E84124F" w14:textId="77777777" w:rsidTr="002814C0">
        <w:tc>
          <w:tcPr>
            <w:tcW w:w="7200" w:type="dxa"/>
            <w:vAlign w:val="center"/>
          </w:tcPr>
          <w:p w14:paraId="545E0F1E" w14:textId="77777777" w:rsidR="002814C0" w:rsidRPr="00A44138" w:rsidRDefault="002814C0" w:rsidP="002814C0">
            <w:pPr>
              <w:overflowPunct w:val="0"/>
              <w:autoSpaceDE w:val="0"/>
              <w:autoSpaceDN w:val="0"/>
              <w:adjustRightInd w:val="0"/>
              <w:spacing w:after="0" w:line="240" w:lineRule="auto"/>
              <w:textAlignment w:val="baseline"/>
              <w:rPr>
                <w:rFonts w:ascii="Arial" w:eastAsia="Batang" w:hAnsi="Arial" w:cs="Arial"/>
                <w:sz w:val="18"/>
                <w:szCs w:val="18"/>
                <w:lang w:eastAsia="ko-KR"/>
              </w:rPr>
            </w:pPr>
            <w:r w:rsidRPr="00A44138">
              <w:rPr>
                <w:rFonts w:ascii="Arial" w:eastAsia="Batang" w:hAnsi="Arial" w:cs="Arial"/>
                <w:sz w:val="18"/>
                <w:szCs w:val="18"/>
                <w:lang w:eastAsia="ko-KR"/>
              </w:rPr>
              <w:t>Equity dividends on ordinary shares:</w:t>
            </w:r>
          </w:p>
        </w:tc>
        <w:tc>
          <w:tcPr>
            <w:tcW w:w="992" w:type="dxa"/>
          </w:tcPr>
          <w:p w14:paraId="3776DD0D" w14:textId="77777777" w:rsidR="002814C0" w:rsidRPr="00A44138" w:rsidRDefault="002814C0" w:rsidP="002814C0">
            <w:pPr>
              <w:tabs>
                <w:tab w:val="decimal" w:pos="1021"/>
              </w:tabs>
              <w:overflowPunct w:val="0"/>
              <w:autoSpaceDE w:val="0"/>
              <w:autoSpaceDN w:val="0"/>
              <w:adjustRightInd w:val="0"/>
              <w:spacing w:after="0" w:line="240" w:lineRule="auto"/>
              <w:jc w:val="right"/>
              <w:textAlignment w:val="baseline"/>
              <w:rPr>
                <w:rFonts w:ascii="Arial" w:eastAsia="Batang" w:hAnsi="Arial" w:cs="Arial"/>
                <w:b/>
                <w:color w:val="FF0000"/>
                <w:sz w:val="18"/>
                <w:szCs w:val="18"/>
              </w:rPr>
            </w:pPr>
          </w:p>
        </w:tc>
        <w:tc>
          <w:tcPr>
            <w:tcW w:w="992" w:type="dxa"/>
          </w:tcPr>
          <w:p w14:paraId="784F798A" w14:textId="77777777" w:rsidR="002814C0" w:rsidRPr="005E7A81" w:rsidRDefault="002814C0" w:rsidP="002814C0">
            <w:pPr>
              <w:tabs>
                <w:tab w:val="decimal" w:pos="1021"/>
                <w:tab w:val="decimal" w:pos="1152"/>
              </w:tabs>
              <w:overflowPunct w:val="0"/>
              <w:autoSpaceDE w:val="0"/>
              <w:autoSpaceDN w:val="0"/>
              <w:adjustRightInd w:val="0"/>
              <w:spacing w:after="0" w:line="240" w:lineRule="auto"/>
              <w:jc w:val="right"/>
              <w:textAlignment w:val="baseline"/>
              <w:rPr>
                <w:rFonts w:ascii="Arial" w:eastAsia="Batang" w:hAnsi="Arial" w:cs="Arial"/>
                <w:bCs/>
                <w:sz w:val="18"/>
                <w:szCs w:val="18"/>
              </w:rPr>
            </w:pPr>
          </w:p>
        </w:tc>
      </w:tr>
      <w:tr w:rsidR="002814C0" w:rsidRPr="00A44138" w14:paraId="73831DA8" w14:textId="77777777" w:rsidTr="002814C0">
        <w:tc>
          <w:tcPr>
            <w:tcW w:w="7200" w:type="dxa"/>
            <w:vAlign w:val="center"/>
          </w:tcPr>
          <w:p w14:paraId="3BBF3991" w14:textId="77777777" w:rsidR="002814C0" w:rsidRPr="00A44138"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992" w:type="dxa"/>
          </w:tcPr>
          <w:p w14:paraId="3210337D" w14:textId="77777777" w:rsidR="002814C0" w:rsidRPr="00A44138" w:rsidRDefault="002814C0" w:rsidP="002814C0">
            <w:pPr>
              <w:tabs>
                <w:tab w:val="decimal" w:pos="1304"/>
              </w:tabs>
              <w:overflowPunct w:val="0"/>
              <w:autoSpaceDE w:val="0"/>
              <w:autoSpaceDN w:val="0"/>
              <w:adjustRightInd w:val="0"/>
              <w:spacing w:after="0" w:line="240" w:lineRule="auto"/>
              <w:ind w:right="72"/>
              <w:jc w:val="right"/>
              <w:textAlignment w:val="baseline"/>
              <w:rPr>
                <w:rFonts w:ascii="Arial" w:eastAsia="Batang" w:hAnsi="Arial" w:cs="Arial"/>
                <w:b/>
                <w:color w:val="FF0000"/>
                <w:sz w:val="18"/>
                <w:szCs w:val="18"/>
              </w:rPr>
            </w:pPr>
          </w:p>
        </w:tc>
        <w:tc>
          <w:tcPr>
            <w:tcW w:w="992" w:type="dxa"/>
          </w:tcPr>
          <w:p w14:paraId="610CFEBE" w14:textId="77777777" w:rsidR="002814C0" w:rsidRPr="005E7A81" w:rsidRDefault="002814C0" w:rsidP="002814C0">
            <w:pPr>
              <w:tabs>
                <w:tab w:val="decimal" w:pos="1304"/>
              </w:tabs>
              <w:overflowPunct w:val="0"/>
              <w:autoSpaceDE w:val="0"/>
              <w:autoSpaceDN w:val="0"/>
              <w:adjustRightInd w:val="0"/>
              <w:spacing w:after="0" w:line="240" w:lineRule="auto"/>
              <w:ind w:right="72"/>
              <w:jc w:val="right"/>
              <w:textAlignment w:val="baseline"/>
              <w:rPr>
                <w:rFonts w:ascii="Arial" w:eastAsia="Batang" w:hAnsi="Arial" w:cs="Arial"/>
                <w:bCs/>
                <w:sz w:val="18"/>
                <w:szCs w:val="18"/>
              </w:rPr>
            </w:pPr>
          </w:p>
        </w:tc>
      </w:tr>
      <w:tr w:rsidR="002814C0" w:rsidRPr="00A44138" w14:paraId="2F719C82" w14:textId="77777777" w:rsidTr="002814C0">
        <w:tc>
          <w:tcPr>
            <w:tcW w:w="7200" w:type="dxa"/>
            <w:vAlign w:val="center"/>
          </w:tcPr>
          <w:p w14:paraId="0815AF92" w14:textId="71390FD4" w:rsidR="002814C0" w:rsidRPr="005E7A81"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i/>
                <w:sz w:val="18"/>
              </w:rPr>
            </w:pPr>
            <w:r w:rsidRPr="005E7A81">
              <w:rPr>
                <w:rFonts w:ascii="Arial" w:eastAsia="Batang" w:hAnsi="Arial" w:cs="Arial"/>
                <w:sz w:val="18"/>
                <w:szCs w:val="18"/>
                <w:lang w:eastAsia="ko-KR"/>
              </w:rPr>
              <w:t>Final dividend for 2024: 9.2 pence per share (2023: 8.9 pence per share)</w:t>
            </w:r>
          </w:p>
        </w:tc>
        <w:tc>
          <w:tcPr>
            <w:tcW w:w="992" w:type="dxa"/>
            <w:vAlign w:val="center"/>
          </w:tcPr>
          <w:p w14:paraId="42FD1921" w14:textId="297BE5A5" w:rsidR="002814C0" w:rsidRPr="002814C0" w:rsidRDefault="0078296E"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FF0000"/>
                <w:sz w:val="18"/>
                <w:szCs w:val="18"/>
                <w:highlight w:val="yellow"/>
              </w:rPr>
            </w:pPr>
            <w:r w:rsidRPr="00DA53C4">
              <w:rPr>
                <w:rFonts w:ascii="Arial" w:eastAsia="Batang" w:hAnsi="Arial" w:cs="Arial"/>
                <w:b/>
                <w:sz w:val="18"/>
                <w:szCs w:val="18"/>
              </w:rPr>
              <w:t>49.3</w:t>
            </w:r>
          </w:p>
        </w:tc>
        <w:tc>
          <w:tcPr>
            <w:tcW w:w="992" w:type="dxa"/>
            <w:vAlign w:val="center"/>
          </w:tcPr>
          <w:p w14:paraId="69BCB4F2" w14:textId="59E43CE3"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47.8</w:t>
            </w:r>
          </w:p>
        </w:tc>
      </w:tr>
      <w:tr w:rsidR="002814C0" w:rsidRPr="00A44138" w14:paraId="0D1C02EB" w14:textId="77777777" w:rsidTr="002814C0">
        <w:tc>
          <w:tcPr>
            <w:tcW w:w="7200" w:type="dxa"/>
            <w:vAlign w:val="center"/>
          </w:tcPr>
          <w:p w14:paraId="348DFA40" w14:textId="77777777" w:rsidR="002814C0" w:rsidRPr="00997357"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sz w:val="18"/>
              </w:rPr>
            </w:pPr>
          </w:p>
        </w:tc>
        <w:tc>
          <w:tcPr>
            <w:tcW w:w="992" w:type="dxa"/>
            <w:tcBorders>
              <w:top w:val="double" w:sz="4" w:space="0" w:color="auto"/>
            </w:tcBorders>
            <w:vAlign w:val="center"/>
          </w:tcPr>
          <w:p w14:paraId="45C63D9F" w14:textId="77777777" w:rsidR="002814C0" w:rsidRPr="002814C0"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b/>
                <w:color w:val="FF0000"/>
                <w:sz w:val="18"/>
                <w:highlight w:val="yellow"/>
              </w:rPr>
            </w:pPr>
          </w:p>
        </w:tc>
        <w:tc>
          <w:tcPr>
            <w:tcW w:w="992" w:type="dxa"/>
            <w:tcBorders>
              <w:top w:val="double" w:sz="4" w:space="0" w:color="auto"/>
            </w:tcBorders>
            <w:vAlign w:val="center"/>
          </w:tcPr>
          <w:p w14:paraId="697EEDB9" w14:textId="7777777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bCs/>
                <w:sz w:val="18"/>
              </w:rPr>
            </w:pPr>
          </w:p>
        </w:tc>
      </w:tr>
      <w:tr w:rsidR="002814C0" w:rsidRPr="00A44138" w14:paraId="28BA7A38" w14:textId="77777777" w:rsidTr="002814C0">
        <w:trPr>
          <w:trHeight w:val="371"/>
        </w:trPr>
        <w:tc>
          <w:tcPr>
            <w:tcW w:w="7200" w:type="dxa"/>
            <w:vAlign w:val="center"/>
          </w:tcPr>
          <w:p w14:paraId="06A8A440" w14:textId="77777777" w:rsidR="002814C0" w:rsidRPr="005E7A81"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Proposed for approval (not recognised as a liability as at 30 June):</w:t>
            </w:r>
          </w:p>
        </w:tc>
        <w:tc>
          <w:tcPr>
            <w:tcW w:w="992" w:type="dxa"/>
            <w:vAlign w:val="center"/>
          </w:tcPr>
          <w:p w14:paraId="0EB1EB8B" w14:textId="77777777" w:rsidR="002814C0" w:rsidRPr="00DA53C4"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b/>
                <w:color w:val="000000" w:themeColor="text1"/>
                <w:sz w:val="18"/>
              </w:rPr>
            </w:pPr>
          </w:p>
        </w:tc>
        <w:tc>
          <w:tcPr>
            <w:tcW w:w="992" w:type="dxa"/>
            <w:vAlign w:val="center"/>
          </w:tcPr>
          <w:p w14:paraId="5C0B30D9" w14:textId="77777777"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hAnsi="Arial"/>
                <w:bCs/>
                <w:sz w:val="18"/>
              </w:rPr>
            </w:pPr>
          </w:p>
        </w:tc>
      </w:tr>
      <w:tr w:rsidR="002814C0" w:rsidRPr="00A44138" w14:paraId="45A742D2" w14:textId="77777777" w:rsidTr="002814C0">
        <w:tc>
          <w:tcPr>
            <w:tcW w:w="7200" w:type="dxa"/>
            <w:vAlign w:val="center"/>
          </w:tcPr>
          <w:p w14:paraId="14EF77E9" w14:textId="650756EB" w:rsidR="002814C0" w:rsidRPr="005E7A81" w:rsidRDefault="002814C0" w:rsidP="002814C0">
            <w:pPr>
              <w:tabs>
                <w:tab w:val="left" w:pos="709"/>
                <w:tab w:val="left" w:pos="1559"/>
                <w:tab w:val="left" w:pos="2268"/>
                <w:tab w:val="left" w:pos="2977"/>
                <w:tab w:val="left" w:pos="3686"/>
                <w:tab w:val="left" w:pos="4394"/>
                <w:tab w:val="right" w:pos="8789"/>
              </w:tabs>
              <w:spacing w:after="0" w:line="260" w:lineRule="atLeast"/>
              <w:rPr>
                <w:rFonts w:ascii="Arial" w:hAnsi="Arial"/>
                <w:i/>
                <w:sz w:val="18"/>
              </w:rPr>
            </w:pPr>
            <w:r w:rsidRPr="005E7A81">
              <w:rPr>
                <w:rFonts w:ascii="Arial" w:eastAsia="Batang" w:hAnsi="Arial" w:cs="Arial"/>
                <w:sz w:val="18"/>
                <w:szCs w:val="18"/>
                <w:lang w:eastAsia="ko-KR"/>
              </w:rPr>
              <w:t xml:space="preserve">Interim dividend for 2025: </w:t>
            </w:r>
            <w:r w:rsidR="000D11BB" w:rsidRPr="00DA53C4">
              <w:rPr>
                <w:rFonts w:ascii="Arial" w:eastAsia="Batang" w:hAnsi="Arial" w:cs="Arial"/>
                <w:sz w:val="18"/>
                <w:szCs w:val="18"/>
                <w:lang w:eastAsia="ko-KR"/>
              </w:rPr>
              <w:t>3.3</w:t>
            </w:r>
            <w:r w:rsidRPr="005E7A81">
              <w:rPr>
                <w:rFonts w:ascii="Arial" w:eastAsia="Batang" w:hAnsi="Arial" w:cs="Arial"/>
                <w:sz w:val="18"/>
                <w:szCs w:val="18"/>
                <w:lang w:eastAsia="ko-KR"/>
              </w:rPr>
              <w:t xml:space="preserve"> pence per share (2024: 3.3 pence per share)</w:t>
            </w:r>
          </w:p>
        </w:tc>
        <w:tc>
          <w:tcPr>
            <w:tcW w:w="992" w:type="dxa"/>
            <w:tcBorders>
              <w:bottom w:val="double" w:sz="4" w:space="0" w:color="auto"/>
            </w:tcBorders>
            <w:vAlign w:val="center"/>
          </w:tcPr>
          <w:p w14:paraId="41D7D6A6" w14:textId="059C6751" w:rsidR="002814C0" w:rsidRPr="00DA53C4" w:rsidRDefault="00907504"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color w:val="000000" w:themeColor="text1"/>
                <w:sz w:val="18"/>
                <w:szCs w:val="18"/>
              </w:rPr>
            </w:pPr>
            <w:r>
              <w:rPr>
                <w:rFonts w:ascii="Arial" w:eastAsia="Batang" w:hAnsi="Arial" w:cs="Arial"/>
                <w:b/>
                <w:color w:val="000000" w:themeColor="text1"/>
                <w:sz w:val="18"/>
                <w:szCs w:val="18"/>
              </w:rPr>
              <w:t>17.7</w:t>
            </w:r>
          </w:p>
        </w:tc>
        <w:tc>
          <w:tcPr>
            <w:tcW w:w="992" w:type="dxa"/>
            <w:tcBorders>
              <w:bottom w:val="double" w:sz="4" w:space="0" w:color="auto"/>
            </w:tcBorders>
            <w:vAlign w:val="center"/>
          </w:tcPr>
          <w:p w14:paraId="0FE2363C" w14:textId="2400A895" w:rsidR="002814C0" w:rsidRPr="005E7A81" w:rsidRDefault="002814C0" w:rsidP="002814C0">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5E7A81">
              <w:rPr>
                <w:rFonts w:ascii="Arial" w:eastAsia="Batang" w:hAnsi="Arial" w:cs="Arial"/>
                <w:bCs/>
                <w:sz w:val="18"/>
                <w:szCs w:val="18"/>
              </w:rPr>
              <w:t>17.7</w:t>
            </w:r>
          </w:p>
        </w:tc>
      </w:tr>
    </w:tbl>
    <w:p w14:paraId="3CBB5A84" w14:textId="77777777" w:rsidR="00294FD1" w:rsidRPr="00A44138"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ind w:left="360"/>
        <w:jc w:val="both"/>
        <w:textAlignment w:val="baseline"/>
        <w:rPr>
          <w:rFonts w:ascii="Arial" w:eastAsia="Batang" w:hAnsi="Arial" w:cs="Times New Roman"/>
          <w:b/>
          <w:bCs/>
          <w:color w:val="FF0000"/>
          <w:sz w:val="20"/>
          <w:szCs w:val="20"/>
        </w:rPr>
      </w:pPr>
    </w:p>
    <w:p w14:paraId="7A8C46D4" w14:textId="77777777" w:rsidR="00294FD1" w:rsidRPr="00A44138"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ind w:left="360"/>
        <w:jc w:val="both"/>
        <w:textAlignment w:val="baseline"/>
        <w:rPr>
          <w:rFonts w:ascii="Arial" w:eastAsia="Batang" w:hAnsi="Arial" w:cs="Times New Roman"/>
          <w:b/>
          <w:bCs/>
          <w:color w:val="FF0000"/>
          <w:sz w:val="20"/>
          <w:szCs w:val="20"/>
        </w:rPr>
      </w:pPr>
    </w:p>
    <w:p w14:paraId="72861ACA" w14:textId="77777777" w:rsidR="00294FD1" w:rsidRPr="00A44138"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ind w:left="360"/>
        <w:jc w:val="both"/>
        <w:textAlignment w:val="baseline"/>
        <w:rPr>
          <w:rFonts w:ascii="Arial" w:eastAsia="Batang" w:hAnsi="Arial" w:cs="Times New Roman"/>
          <w:b/>
          <w:bCs/>
          <w:color w:val="FF0000"/>
          <w:sz w:val="20"/>
          <w:szCs w:val="20"/>
        </w:rPr>
      </w:pPr>
    </w:p>
    <w:p w14:paraId="1DBEA741" w14:textId="77777777" w:rsidR="00294FD1" w:rsidRDefault="00294FD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color w:val="FF0000"/>
          <w:sz w:val="20"/>
          <w:szCs w:val="20"/>
        </w:rPr>
      </w:pPr>
    </w:p>
    <w:p w14:paraId="11CDF9E5" w14:textId="77777777" w:rsidR="008A4FB1" w:rsidRDefault="008A4FB1" w:rsidP="00294FD1">
      <w:p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color w:val="FF0000"/>
          <w:sz w:val="20"/>
          <w:szCs w:val="20"/>
        </w:rPr>
      </w:pPr>
    </w:p>
    <w:p w14:paraId="7D13235A"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eastAsia="Batang" w:hAnsi="Arial" w:cs="Times New Roman"/>
          <w:b/>
          <w:bCs/>
          <w:sz w:val="20"/>
          <w:szCs w:val="20"/>
        </w:rPr>
      </w:pPr>
      <w:r w:rsidRPr="00A44138">
        <w:rPr>
          <w:rFonts w:ascii="Arial" w:eastAsia="Batang" w:hAnsi="Arial" w:cs="Times New Roman"/>
          <w:b/>
          <w:bCs/>
          <w:sz w:val="20"/>
          <w:szCs w:val="20"/>
        </w:rPr>
        <w:lastRenderedPageBreak/>
        <w:t>Intangible assets</w:t>
      </w:r>
    </w:p>
    <w:tbl>
      <w:tblPr>
        <w:tblW w:w="9072" w:type="dxa"/>
        <w:tblInd w:w="64" w:type="dxa"/>
        <w:tblLayout w:type="fixed"/>
        <w:tblCellMar>
          <w:left w:w="0" w:type="dxa"/>
          <w:right w:w="0" w:type="dxa"/>
        </w:tblCellMar>
        <w:tblLook w:val="0000" w:firstRow="0" w:lastRow="0" w:firstColumn="0" w:lastColumn="0" w:noHBand="0" w:noVBand="0"/>
      </w:tblPr>
      <w:tblGrid>
        <w:gridCol w:w="3061"/>
        <w:gridCol w:w="1191"/>
        <w:gridCol w:w="1247"/>
        <w:gridCol w:w="1191"/>
        <w:gridCol w:w="1191"/>
        <w:gridCol w:w="1191"/>
      </w:tblGrid>
      <w:tr w:rsidR="00294FD1" w:rsidRPr="00A44138" w14:paraId="42C811FC" w14:textId="77777777">
        <w:trPr>
          <w:trHeight w:val="441"/>
        </w:trPr>
        <w:tc>
          <w:tcPr>
            <w:tcW w:w="3061" w:type="dxa"/>
          </w:tcPr>
          <w:p w14:paraId="62401F37" w14:textId="77777777" w:rsidR="00294FD1" w:rsidRPr="00A44138" w:rsidRDefault="00294FD1">
            <w:pPr>
              <w:tabs>
                <w:tab w:val="left" w:pos="709"/>
                <w:tab w:val="left" w:pos="1559"/>
                <w:tab w:val="left" w:pos="2268"/>
                <w:tab w:val="left" w:pos="2977"/>
                <w:tab w:val="left" w:pos="3686"/>
                <w:tab w:val="left" w:pos="4394"/>
                <w:tab w:val="right" w:pos="8789"/>
              </w:tabs>
              <w:overflowPunct w:val="0"/>
              <w:autoSpaceDE w:val="0"/>
              <w:autoSpaceDN w:val="0"/>
              <w:adjustRightInd w:val="0"/>
              <w:spacing w:after="130" w:line="260" w:lineRule="atLeast"/>
              <w:ind w:left="284" w:hanging="284"/>
              <w:jc w:val="both"/>
              <w:textAlignment w:val="baseline"/>
              <w:rPr>
                <w:rFonts w:ascii="Arial" w:eastAsia="Batang" w:hAnsi="Arial" w:cs="Arial"/>
                <w:sz w:val="18"/>
                <w:szCs w:val="18"/>
                <w:lang w:eastAsia="ko-KR"/>
              </w:rPr>
            </w:pPr>
          </w:p>
        </w:tc>
        <w:tc>
          <w:tcPr>
            <w:tcW w:w="1191" w:type="dxa"/>
            <w:vAlign w:val="bottom"/>
          </w:tcPr>
          <w:p w14:paraId="50FA73FF"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Market related</w:t>
            </w:r>
          </w:p>
        </w:tc>
        <w:tc>
          <w:tcPr>
            <w:tcW w:w="1247" w:type="dxa"/>
            <w:vAlign w:val="bottom"/>
          </w:tcPr>
          <w:p w14:paraId="3340D082" w14:textId="3FC5603D" w:rsidR="00294FD1" w:rsidRPr="00A44138" w:rsidRDefault="00A368BE">
            <w:pPr>
              <w:tabs>
                <w:tab w:val="decimal" w:pos="1021"/>
              </w:tabs>
              <w:overflowPunct w:val="0"/>
              <w:autoSpaceDE w:val="0"/>
              <w:autoSpaceDN w:val="0"/>
              <w:adjustRightInd w:val="0"/>
              <w:spacing w:after="0" w:line="240" w:lineRule="auto"/>
              <w:ind w:left="-77" w:hanging="142"/>
              <w:jc w:val="right"/>
              <w:textAlignment w:val="baseline"/>
              <w:rPr>
                <w:rFonts w:ascii="Arial" w:eastAsia="Batang" w:hAnsi="Arial" w:cs="Arial"/>
                <w:b/>
                <w:sz w:val="18"/>
                <w:szCs w:val="18"/>
              </w:rPr>
            </w:pPr>
            <w:r w:rsidRPr="00A44138">
              <w:rPr>
                <w:rFonts w:ascii="Arial" w:eastAsia="Batang" w:hAnsi="Arial" w:cs="Arial"/>
                <w:b/>
                <w:sz w:val="18"/>
                <w:szCs w:val="18"/>
              </w:rPr>
              <w:t>Mem</w:t>
            </w:r>
            <w:r w:rsidR="00F663B8" w:rsidRPr="00A44138">
              <w:rPr>
                <w:rFonts w:ascii="Arial" w:eastAsia="Batang" w:hAnsi="Arial" w:cs="Arial"/>
                <w:b/>
                <w:sz w:val="18"/>
                <w:szCs w:val="18"/>
              </w:rPr>
              <w:t>ber</w:t>
            </w:r>
            <w:r w:rsidRPr="00A44138">
              <w:rPr>
                <w:rFonts w:ascii="Arial" w:eastAsia="Batang" w:hAnsi="Arial" w:cs="Arial"/>
                <w:b/>
                <w:sz w:val="18"/>
                <w:szCs w:val="18"/>
              </w:rPr>
              <w:t xml:space="preserve"> </w:t>
            </w:r>
            <w:r w:rsidR="00294FD1" w:rsidRPr="00A44138">
              <w:rPr>
                <w:rFonts w:ascii="Arial" w:eastAsia="Batang" w:hAnsi="Arial" w:cs="Arial"/>
                <w:b/>
                <w:sz w:val="18"/>
                <w:szCs w:val="18"/>
              </w:rPr>
              <w:t>relationship</w:t>
            </w:r>
          </w:p>
        </w:tc>
        <w:tc>
          <w:tcPr>
            <w:tcW w:w="1191" w:type="dxa"/>
            <w:vAlign w:val="bottom"/>
          </w:tcPr>
          <w:p w14:paraId="588BE105"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Technology related</w:t>
            </w:r>
          </w:p>
        </w:tc>
        <w:tc>
          <w:tcPr>
            <w:tcW w:w="1191" w:type="dxa"/>
            <w:vAlign w:val="bottom"/>
          </w:tcPr>
          <w:p w14:paraId="094455D6"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Goodwill</w:t>
            </w:r>
          </w:p>
        </w:tc>
        <w:tc>
          <w:tcPr>
            <w:tcW w:w="1191" w:type="dxa"/>
            <w:vAlign w:val="bottom"/>
          </w:tcPr>
          <w:p w14:paraId="1D9D9E21"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A44138">
              <w:rPr>
                <w:rFonts w:ascii="Arial" w:eastAsia="Batang" w:hAnsi="Arial" w:cs="Arial"/>
                <w:b/>
                <w:sz w:val="18"/>
                <w:szCs w:val="18"/>
              </w:rPr>
              <w:t>Total</w:t>
            </w:r>
          </w:p>
        </w:tc>
      </w:tr>
      <w:tr w:rsidR="00294FD1" w:rsidRPr="00A44138" w14:paraId="5CB69B7A" w14:textId="77777777">
        <w:trPr>
          <w:trHeight w:val="268"/>
        </w:trPr>
        <w:tc>
          <w:tcPr>
            <w:tcW w:w="3061" w:type="dxa"/>
            <w:vAlign w:val="center"/>
          </w:tcPr>
          <w:p w14:paraId="1066BAA7"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1191" w:type="dxa"/>
            <w:vAlign w:val="bottom"/>
          </w:tcPr>
          <w:p w14:paraId="501364CB"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bCs/>
                <w:sz w:val="18"/>
                <w:szCs w:val="18"/>
              </w:rPr>
            </w:pPr>
            <w:r w:rsidRPr="00A44138">
              <w:rPr>
                <w:rFonts w:ascii="Arial" w:eastAsia="Batang" w:hAnsi="Arial" w:cs="Arial"/>
                <w:b/>
                <w:bCs/>
                <w:sz w:val="18"/>
                <w:szCs w:val="18"/>
              </w:rPr>
              <w:t>£m</w:t>
            </w:r>
          </w:p>
        </w:tc>
        <w:tc>
          <w:tcPr>
            <w:tcW w:w="1247" w:type="dxa"/>
            <w:vAlign w:val="bottom"/>
          </w:tcPr>
          <w:p w14:paraId="130EAE91"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bCs/>
                <w:sz w:val="18"/>
                <w:szCs w:val="18"/>
              </w:rPr>
            </w:pPr>
            <w:r w:rsidRPr="00A44138">
              <w:rPr>
                <w:rFonts w:ascii="Arial" w:eastAsia="Batang" w:hAnsi="Arial" w:cs="Arial"/>
                <w:b/>
                <w:bCs/>
                <w:sz w:val="18"/>
                <w:szCs w:val="18"/>
              </w:rPr>
              <w:t>£m</w:t>
            </w:r>
          </w:p>
        </w:tc>
        <w:tc>
          <w:tcPr>
            <w:tcW w:w="1191" w:type="dxa"/>
            <w:vAlign w:val="bottom"/>
          </w:tcPr>
          <w:p w14:paraId="354BBCF4"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bCs/>
                <w:sz w:val="18"/>
                <w:szCs w:val="18"/>
              </w:rPr>
            </w:pPr>
            <w:r w:rsidRPr="00A44138">
              <w:rPr>
                <w:rFonts w:ascii="Arial" w:eastAsia="Batang" w:hAnsi="Arial" w:cs="Arial"/>
                <w:b/>
                <w:bCs/>
                <w:sz w:val="18"/>
                <w:szCs w:val="18"/>
              </w:rPr>
              <w:t>£m</w:t>
            </w:r>
          </w:p>
        </w:tc>
        <w:tc>
          <w:tcPr>
            <w:tcW w:w="1191" w:type="dxa"/>
            <w:vAlign w:val="bottom"/>
          </w:tcPr>
          <w:p w14:paraId="359CB309"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bCs/>
                <w:sz w:val="18"/>
                <w:szCs w:val="18"/>
              </w:rPr>
            </w:pPr>
            <w:r w:rsidRPr="00A44138">
              <w:rPr>
                <w:rFonts w:ascii="Arial" w:eastAsia="Batang" w:hAnsi="Arial" w:cs="Arial"/>
                <w:b/>
                <w:bCs/>
                <w:sz w:val="18"/>
                <w:szCs w:val="18"/>
              </w:rPr>
              <w:t>£m</w:t>
            </w:r>
          </w:p>
        </w:tc>
        <w:tc>
          <w:tcPr>
            <w:tcW w:w="1191" w:type="dxa"/>
            <w:vAlign w:val="bottom"/>
          </w:tcPr>
          <w:p w14:paraId="578D244E"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b/>
                <w:bCs/>
                <w:sz w:val="18"/>
                <w:szCs w:val="18"/>
              </w:rPr>
            </w:pPr>
            <w:r w:rsidRPr="00A44138">
              <w:rPr>
                <w:rFonts w:ascii="Arial" w:eastAsia="Batang" w:hAnsi="Arial" w:cs="Arial"/>
                <w:b/>
                <w:bCs/>
                <w:sz w:val="18"/>
                <w:szCs w:val="18"/>
              </w:rPr>
              <w:t>£m</w:t>
            </w:r>
          </w:p>
        </w:tc>
      </w:tr>
      <w:tr w:rsidR="00294FD1" w:rsidRPr="00A44138" w14:paraId="0D0C789C" w14:textId="77777777">
        <w:trPr>
          <w:trHeight w:val="268"/>
        </w:trPr>
        <w:tc>
          <w:tcPr>
            <w:tcW w:w="3061" w:type="dxa"/>
            <w:vAlign w:val="center"/>
          </w:tcPr>
          <w:p w14:paraId="64777AAC"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A44138">
              <w:rPr>
                <w:rFonts w:ascii="Arial" w:eastAsia="Batang" w:hAnsi="Arial" w:cs="Arial"/>
                <w:b/>
                <w:i/>
                <w:sz w:val="18"/>
                <w:szCs w:val="18"/>
                <w:lang w:eastAsia="ko-KR"/>
              </w:rPr>
              <w:t>Cost</w:t>
            </w:r>
          </w:p>
        </w:tc>
        <w:tc>
          <w:tcPr>
            <w:tcW w:w="1191" w:type="dxa"/>
            <w:vAlign w:val="center"/>
          </w:tcPr>
          <w:p w14:paraId="56AA1324"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color w:val="FF0000"/>
                <w:sz w:val="18"/>
                <w:szCs w:val="18"/>
              </w:rPr>
            </w:pPr>
          </w:p>
        </w:tc>
        <w:tc>
          <w:tcPr>
            <w:tcW w:w="1247" w:type="dxa"/>
            <w:vAlign w:val="center"/>
          </w:tcPr>
          <w:p w14:paraId="55AD332E"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color w:val="FF0000"/>
                <w:sz w:val="18"/>
                <w:szCs w:val="18"/>
              </w:rPr>
            </w:pPr>
          </w:p>
        </w:tc>
        <w:tc>
          <w:tcPr>
            <w:tcW w:w="1191" w:type="dxa"/>
            <w:vAlign w:val="center"/>
          </w:tcPr>
          <w:p w14:paraId="70914326"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color w:val="FF0000"/>
                <w:sz w:val="18"/>
                <w:szCs w:val="18"/>
              </w:rPr>
            </w:pPr>
          </w:p>
        </w:tc>
        <w:tc>
          <w:tcPr>
            <w:tcW w:w="1191" w:type="dxa"/>
            <w:vAlign w:val="center"/>
          </w:tcPr>
          <w:p w14:paraId="0FCA0809"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color w:val="FF0000"/>
                <w:sz w:val="18"/>
                <w:szCs w:val="18"/>
              </w:rPr>
            </w:pPr>
          </w:p>
        </w:tc>
        <w:tc>
          <w:tcPr>
            <w:tcW w:w="1191" w:type="dxa"/>
            <w:vAlign w:val="center"/>
          </w:tcPr>
          <w:p w14:paraId="54A3053B"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eastAsia="Batang" w:hAnsi="Arial" w:cs="Arial"/>
                <w:color w:val="FF0000"/>
                <w:sz w:val="18"/>
                <w:szCs w:val="18"/>
              </w:rPr>
            </w:pPr>
          </w:p>
        </w:tc>
      </w:tr>
      <w:tr w:rsidR="00392AFF" w:rsidRPr="00A44138" w14:paraId="4E473403" w14:textId="77777777" w:rsidTr="00467031">
        <w:trPr>
          <w:trHeight w:val="284"/>
        </w:trPr>
        <w:tc>
          <w:tcPr>
            <w:tcW w:w="3061" w:type="dxa"/>
            <w:vAlign w:val="center"/>
          </w:tcPr>
          <w:p w14:paraId="327BB9C9" w14:textId="2E89F984"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At 1 January 2024</w:t>
            </w:r>
          </w:p>
        </w:tc>
        <w:tc>
          <w:tcPr>
            <w:tcW w:w="1191" w:type="dxa"/>
            <w:vAlign w:val="center"/>
          </w:tcPr>
          <w:p w14:paraId="4F9327F0" w14:textId="79241D4C"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169.6</w:t>
            </w:r>
          </w:p>
        </w:tc>
        <w:tc>
          <w:tcPr>
            <w:tcW w:w="1247" w:type="dxa"/>
            <w:vAlign w:val="center"/>
          </w:tcPr>
          <w:p w14:paraId="5B700CCF" w14:textId="7C413083"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21.2</w:t>
            </w:r>
          </w:p>
        </w:tc>
        <w:tc>
          <w:tcPr>
            <w:tcW w:w="1191" w:type="dxa"/>
            <w:vAlign w:val="center"/>
          </w:tcPr>
          <w:p w14:paraId="74A84D3E" w14:textId="4CC6F349"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121.3</w:t>
            </w:r>
          </w:p>
        </w:tc>
        <w:tc>
          <w:tcPr>
            <w:tcW w:w="1191" w:type="dxa"/>
            <w:vAlign w:val="center"/>
          </w:tcPr>
          <w:p w14:paraId="77A840E0" w14:textId="74142889"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288.6</w:t>
            </w:r>
          </w:p>
        </w:tc>
        <w:tc>
          <w:tcPr>
            <w:tcW w:w="1191" w:type="dxa"/>
            <w:vAlign w:val="center"/>
          </w:tcPr>
          <w:p w14:paraId="0CCDCD3C" w14:textId="4C7DE3F2"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600.7</w:t>
            </w:r>
          </w:p>
        </w:tc>
      </w:tr>
      <w:tr w:rsidR="00392AFF" w:rsidRPr="00A44138" w14:paraId="64133FA3" w14:textId="77777777" w:rsidTr="00467031">
        <w:trPr>
          <w:trHeight w:val="284"/>
        </w:trPr>
        <w:tc>
          <w:tcPr>
            <w:tcW w:w="3061" w:type="dxa"/>
            <w:vAlign w:val="center"/>
          </w:tcPr>
          <w:p w14:paraId="40A8BF9D" w14:textId="149EA4B7"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Additions</w:t>
            </w:r>
          </w:p>
        </w:tc>
        <w:tc>
          <w:tcPr>
            <w:tcW w:w="1191" w:type="dxa"/>
            <w:vAlign w:val="center"/>
          </w:tcPr>
          <w:p w14:paraId="24CBC6E0" w14:textId="2521C63E"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247" w:type="dxa"/>
            <w:vAlign w:val="center"/>
          </w:tcPr>
          <w:p w14:paraId="389934E0" w14:textId="1BBEF01F"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vAlign w:val="center"/>
          </w:tcPr>
          <w:p w14:paraId="688E4360" w14:textId="070EA690"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5.4</w:t>
            </w:r>
          </w:p>
        </w:tc>
        <w:tc>
          <w:tcPr>
            <w:tcW w:w="1191" w:type="dxa"/>
            <w:vAlign w:val="center"/>
          </w:tcPr>
          <w:p w14:paraId="34BB9716" w14:textId="581898DC"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vAlign w:val="center"/>
          </w:tcPr>
          <w:p w14:paraId="1B9FFF56" w14:textId="42AD12C1"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5.4</w:t>
            </w:r>
          </w:p>
        </w:tc>
      </w:tr>
      <w:tr w:rsidR="00392AFF" w:rsidRPr="00A44138" w14:paraId="32C80F27" w14:textId="77777777" w:rsidTr="00467031">
        <w:trPr>
          <w:trHeight w:val="268"/>
        </w:trPr>
        <w:tc>
          <w:tcPr>
            <w:tcW w:w="3061" w:type="dxa"/>
            <w:vAlign w:val="center"/>
          </w:tcPr>
          <w:p w14:paraId="1CA3404B" w14:textId="3864D0DC"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Disposals</w:t>
            </w:r>
          </w:p>
        </w:tc>
        <w:tc>
          <w:tcPr>
            <w:tcW w:w="1191" w:type="dxa"/>
            <w:tcBorders>
              <w:bottom w:val="single" w:sz="4" w:space="0" w:color="auto"/>
            </w:tcBorders>
            <w:vAlign w:val="center"/>
          </w:tcPr>
          <w:p w14:paraId="3DE6319F" w14:textId="2BCBB02E"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247" w:type="dxa"/>
            <w:tcBorders>
              <w:bottom w:val="single" w:sz="4" w:space="0" w:color="auto"/>
            </w:tcBorders>
            <w:vAlign w:val="center"/>
          </w:tcPr>
          <w:p w14:paraId="430A7954" w14:textId="6EB07ED2"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tcBorders>
              <w:bottom w:val="single" w:sz="4" w:space="0" w:color="auto"/>
            </w:tcBorders>
            <w:vAlign w:val="center"/>
          </w:tcPr>
          <w:p w14:paraId="03DD59D2" w14:textId="4A7127CD"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(36.1)</w:t>
            </w:r>
          </w:p>
        </w:tc>
        <w:tc>
          <w:tcPr>
            <w:tcW w:w="1191" w:type="dxa"/>
            <w:tcBorders>
              <w:bottom w:val="single" w:sz="4" w:space="0" w:color="auto"/>
            </w:tcBorders>
            <w:vAlign w:val="center"/>
          </w:tcPr>
          <w:p w14:paraId="5DCB79A5" w14:textId="06BA1D8F"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tcBorders>
              <w:bottom w:val="single" w:sz="4" w:space="0" w:color="auto"/>
            </w:tcBorders>
            <w:vAlign w:val="center"/>
          </w:tcPr>
          <w:p w14:paraId="62069D29" w14:textId="58F034E8"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(36.1)</w:t>
            </w:r>
          </w:p>
        </w:tc>
      </w:tr>
      <w:tr w:rsidR="00392AFF" w:rsidRPr="00A44138" w14:paraId="3561459C" w14:textId="77777777" w:rsidTr="00467031">
        <w:trPr>
          <w:trHeight w:val="268"/>
        </w:trPr>
        <w:tc>
          <w:tcPr>
            <w:tcW w:w="3061" w:type="dxa"/>
            <w:vAlign w:val="center"/>
          </w:tcPr>
          <w:p w14:paraId="0B47F704" w14:textId="0794857C"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At 30 June 2024</w:t>
            </w:r>
          </w:p>
        </w:tc>
        <w:tc>
          <w:tcPr>
            <w:tcW w:w="1191" w:type="dxa"/>
            <w:tcBorders>
              <w:top w:val="single" w:sz="4" w:space="0" w:color="auto"/>
              <w:bottom w:val="double" w:sz="4" w:space="0" w:color="auto"/>
            </w:tcBorders>
            <w:vAlign w:val="center"/>
          </w:tcPr>
          <w:p w14:paraId="62DC1171" w14:textId="6E604255"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u w:val="single"/>
              </w:rPr>
            </w:pPr>
            <w:r w:rsidRPr="005E7A81">
              <w:rPr>
                <w:rFonts w:ascii="Arial" w:hAnsi="Arial" w:cs="Arial"/>
                <w:sz w:val="18"/>
                <w:szCs w:val="18"/>
              </w:rPr>
              <w:t>169.6</w:t>
            </w:r>
          </w:p>
        </w:tc>
        <w:tc>
          <w:tcPr>
            <w:tcW w:w="1247" w:type="dxa"/>
            <w:tcBorders>
              <w:top w:val="single" w:sz="4" w:space="0" w:color="auto"/>
              <w:bottom w:val="double" w:sz="4" w:space="0" w:color="auto"/>
            </w:tcBorders>
            <w:vAlign w:val="center"/>
          </w:tcPr>
          <w:p w14:paraId="2F9616B6" w14:textId="3C8F0058"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u w:val="single"/>
              </w:rPr>
            </w:pPr>
            <w:r w:rsidRPr="005E7A81">
              <w:rPr>
                <w:rFonts w:ascii="Arial" w:hAnsi="Arial" w:cs="Arial"/>
                <w:sz w:val="18"/>
                <w:szCs w:val="18"/>
              </w:rPr>
              <w:t>21.2</w:t>
            </w:r>
          </w:p>
        </w:tc>
        <w:tc>
          <w:tcPr>
            <w:tcW w:w="1191" w:type="dxa"/>
            <w:tcBorders>
              <w:top w:val="single" w:sz="4" w:space="0" w:color="auto"/>
              <w:bottom w:val="double" w:sz="4" w:space="0" w:color="auto"/>
            </w:tcBorders>
            <w:vAlign w:val="center"/>
          </w:tcPr>
          <w:p w14:paraId="2BF204DB" w14:textId="6EF0AADF"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u w:val="single"/>
              </w:rPr>
            </w:pPr>
            <w:r w:rsidRPr="005E7A81">
              <w:rPr>
                <w:rFonts w:ascii="Arial" w:hAnsi="Arial" w:cs="Arial"/>
                <w:sz w:val="18"/>
                <w:szCs w:val="18"/>
              </w:rPr>
              <w:t>90.6</w:t>
            </w:r>
          </w:p>
        </w:tc>
        <w:tc>
          <w:tcPr>
            <w:tcW w:w="1191" w:type="dxa"/>
            <w:tcBorders>
              <w:top w:val="single" w:sz="4" w:space="0" w:color="auto"/>
              <w:bottom w:val="double" w:sz="4" w:space="0" w:color="auto"/>
            </w:tcBorders>
            <w:vAlign w:val="center"/>
          </w:tcPr>
          <w:p w14:paraId="7EB11CFF" w14:textId="7A20CD32"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u w:val="single"/>
              </w:rPr>
            </w:pPr>
            <w:r w:rsidRPr="005E7A81">
              <w:rPr>
                <w:rFonts w:ascii="Arial" w:hAnsi="Arial" w:cs="Arial"/>
                <w:sz w:val="18"/>
                <w:szCs w:val="18"/>
              </w:rPr>
              <w:t>288.6</w:t>
            </w:r>
          </w:p>
        </w:tc>
        <w:tc>
          <w:tcPr>
            <w:tcW w:w="1191" w:type="dxa"/>
            <w:tcBorders>
              <w:top w:val="single" w:sz="4" w:space="0" w:color="auto"/>
              <w:bottom w:val="double" w:sz="4" w:space="0" w:color="auto"/>
            </w:tcBorders>
            <w:vAlign w:val="center"/>
          </w:tcPr>
          <w:p w14:paraId="6BB261DD" w14:textId="07442664"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u w:val="single"/>
              </w:rPr>
            </w:pPr>
            <w:r w:rsidRPr="005E7A81">
              <w:rPr>
                <w:rFonts w:ascii="Arial" w:hAnsi="Arial" w:cs="Arial"/>
                <w:sz w:val="18"/>
                <w:szCs w:val="18"/>
              </w:rPr>
              <w:t>570.0</w:t>
            </w:r>
          </w:p>
        </w:tc>
      </w:tr>
      <w:tr w:rsidR="00392AFF" w:rsidRPr="00A44138" w14:paraId="741D7301" w14:textId="77777777" w:rsidTr="00467031">
        <w:trPr>
          <w:trHeight w:val="284"/>
        </w:trPr>
        <w:tc>
          <w:tcPr>
            <w:tcW w:w="3061" w:type="dxa"/>
            <w:vAlign w:val="center"/>
          </w:tcPr>
          <w:p w14:paraId="6FB841EB" w14:textId="77777777"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p>
        </w:tc>
        <w:tc>
          <w:tcPr>
            <w:tcW w:w="1191" w:type="dxa"/>
            <w:tcBorders>
              <w:top w:val="double" w:sz="4" w:space="0" w:color="auto"/>
            </w:tcBorders>
            <w:vAlign w:val="center"/>
          </w:tcPr>
          <w:p w14:paraId="0AC5C2D2"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247" w:type="dxa"/>
            <w:tcBorders>
              <w:top w:val="double" w:sz="4" w:space="0" w:color="auto"/>
            </w:tcBorders>
            <w:vAlign w:val="center"/>
          </w:tcPr>
          <w:p w14:paraId="5FCF9BDF"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3A9BB2F2"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022CCE33"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0BEF3DAB"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r>
      <w:tr w:rsidR="00392AFF" w:rsidRPr="00A44138" w14:paraId="5737E817" w14:textId="77777777" w:rsidTr="00467031">
        <w:trPr>
          <w:trHeight w:val="268"/>
        </w:trPr>
        <w:tc>
          <w:tcPr>
            <w:tcW w:w="3061" w:type="dxa"/>
            <w:vAlign w:val="center"/>
          </w:tcPr>
          <w:p w14:paraId="28D1F2CE" w14:textId="6C0F58AC"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b/>
                <w:i/>
                <w:sz w:val="18"/>
                <w:szCs w:val="18"/>
                <w:lang w:eastAsia="ko-KR"/>
              </w:rPr>
              <w:t>Amortisation</w:t>
            </w:r>
          </w:p>
        </w:tc>
        <w:tc>
          <w:tcPr>
            <w:tcW w:w="1191" w:type="dxa"/>
            <w:vAlign w:val="center"/>
          </w:tcPr>
          <w:p w14:paraId="195C805C"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247" w:type="dxa"/>
            <w:vAlign w:val="center"/>
          </w:tcPr>
          <w:p w14:paraId="0CB513C1"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19C38DC9"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7E23141C"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22C769F0"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r>
      <w:tr w:rsidR="00392AFF" w:rsidRPr="00A44138" w14:paraId="4DD92B0B" w14:textId="77777777" w:rsidTr="00467031">
        <w:trPr>
          <w:trHeight w:val="268"/>
        </w:trPr>
        <w:tc>
          <w:tcPr>
            <w:tcW w:w="3061" w:type="dxa"/>
            <w:vAlign w:val="center"/>
          </w:tcPr>
          <w:p w14:paraId="16CF9446" w14:textId="0CF01FC3"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At 1 January 2024</w:t>
            </w:r>
          </w:p>
        </w:tc>
        <w:tc>
          <w:tcPr>
            <w:tcW w:w="1191" w:type="dxa"/>
            <w:vAlign w:val="center"/>
          </w:tcPr>
          <w:p w14:paraId="3477F3B5" w14:textId="415FB843"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161.5</w:t>
            </w:r>
          </w:p>
        </w:tc>
        <w:tc>
          <w:tcPr>
            <w:tcW w:w="1247" w:type="dxa"/>
            <w:vAlign w:val="center"/>
          </w:tcPr>
          <w:p w14:paraId="78CD3C05" w14:textId="21A326B6"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9.2</w:t>
            </w:r>
          </w:p>
        </w:tc>
        <w:tc>
          <w:tcPr>
            <w:tcW w:w="1191" w:type="dxa"/>
            <w:vAlign w:val="center"/>
          </w:tcPr>
          <w:p w14:paraId="748480C7" w14:textId="1DC5E3E5"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95.4</w:t>
            </w:r>
          </w:p>
        </w:tc>
        <w:tc>
          <w:tcPr>
            <w:tcW w:w="1191" w:type="dxa"/>
            <w:vAlign w:val="center"/>
          </w:tcPr>
          <w:p w14:paraId="1A4D40F7" w14:textId="4BB7E192"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74.3</w:t>
            </w:r>
          </w:p>
        </w:tc>
        <w:tc>
          <w:tcPr>
            <w:tcW w:w="1191" w:type="dxa"/>
            <w:vAlign w:val="center"/>
          </w:tcPr>
          <w:p w14:paraId="20C20226" w14:textId="2FC85CBA"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340.4</w:t>
            </w:r>
          </w:p>
        </w:tc>
      </w:tr>
      <w:tr w:rsidR="00392AFF" w:rsidRPr="00A44138" w14:paraId="698978EC" w14:textId="77777777" w:rsidTr="00467031">
        <w:trPr>
          <w:trHeight w:val="268"/>
        </w:trPr>
        <w:tc>
          <w:tcPr>
            <w:tcW w:w="3061" w:type="dxa"/>
            <w:vAlign w:val="center"/>
          </w:tcPr>
          <w:p w14:paraId="772C6F6D" w14:textId="349A0617"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Charge for the period</w:t>
            </w:r>
          </w:p>
        </w:tc>
        <w:tc>
          <w:tcPr>
            <w:tcW w:w="1191" w:type="dxa"/>
            <w:vAlign w:val="center"/>
          </w:tcPr>
          <w:p w14:paraId="7EBB9889" w14:textId="13E874E1"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1.4</w:t>
            </w:r>
          </w:p>
        </w:tc>
        <w:tc>
          <w:tcPr>
            <w:tcW w:w="1247" w:type="dxa"/>
            <w:vAlign w:val="center"/>
          </w:tcPr>
          <w:p w14:paraId="7DD7CE5B" w14:textId="57D88B04"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2.1</w:t>
            </w:r>
          </w:p>
        </w:tc>
        <w:tc>
          <w:tcPr>
            <w:tcW w:w="1191" w:type="dxa"/>
            <w:vAlign w:val="center"/>
          </w:tcPr>
          <w:p w14:paraId="5B146C5F" w14:textId="295A09E5"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6.8</w:t>
            </w:r>
          </w:p>
        </w:tc>
        <w:tc>
          <w:tcPr>
            <w:tcW w:w="1191" w:type="dxa"/>
            <w:vAlign w:val="center"/>
          </w:tcPr>
          <w:p w14:paraId="398E6755" w14:textId="7E3A702D"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vAlign w:val="center"/>
          </w:tcPr>
          <w:p w14:paraId="271EF428" w14:textId="22EE7452"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10.3</w:t>
            </w:r>
          </w:p>
        </w:tc>
      </w:tr>
      <w:tr w:rsidR="00392AFF" w:rsidRPr="00A44138" w14:paraId="7204033D" w14:textId="77777777" w:rsidTr="00467031">
        <w:trPr>
          <w:trHeight w:val="284"/>
        </w:trPr>
        <w:tc>
          <w:tcPr>
            <w:tcW w:w="3061" w:type="dxa"/>
            <w:vAlign w:val="center"/>
          </w:tcPr>
          <w:p w14:paraId="1F552A87" w14:textId="32084C2A"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Eliminated on disposal</w:t>
            </w:r>
          </w:p>
        </w:tc>
        <w:tc>
          <w:tcPr>
            <w:tcW w:w="1191" w:type="dxa"/>
            <w:tcBorders>
              <w:bottom w:val="single" w:sz="4" w:space="0" w:color="auto"/>
            </w:tcBorders>
            <w:vAlign w:val="center"/>
          </w:tcPr>
          <w:p w14:paraId="214D353E" w14:textId="61F81239"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247" w:type="dxa"/>
            <w:tcBorders>
              <w:bottom w:val="single" w:sz="4" w:space="0" w:color="auto"/>
            </w:tcBorders>
            <w:vAlign w:val="center"/>
          </w:tcPr>
          <w:p w14:paraId="2A0047D8" w14:textId="1F6D2FE9"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tcBorders>
              <w:bottom w:val="single" w:sz="4" w:space="0" w:color="auto"/>
            </w:tcBorders>
            <w:vAlign w:val="center"/>
          </w:tcPr>
          <w:p w14:paraId="67D0E569" w14:textId="693B6188"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(36.1)</w:t>
            </w:r>
          </w:p>
        </w:tc>
        <w:tc>
          <w:tcPr>
            <w:tcW w:w="1191" w:type="dxa"/>
            <w:tcBorders>
              <w:bottom w:val="single" w:sz="4" w:space="0" w:color="auto"/>
            </w:tcBorders>
            <w:vAlign w:val="center"/>
          </w:tcPr>
          <w:p w14:paraId="53FDD2F9" w14:textId="3C883F24"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w:t>
            </w:r>
          </w:p>
        </w:tc>
        <w:tc>
          <w:tcPr>
            <w:tcW w:w="1191" w:type="dxa"/>
            <w:tcBorders>
              <w:bottom w:val="single" w:sz="4" w:space="0" w:color="auto"/>
            </w:tcBorders>
            <w:vAlign w:val="center"/>
          </w:tcPr>
          <w:p w14:paraId="4B936E87" w14:textId="45BD37D1"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(36.1)</w:t>
            </w:r>
          </w:p>
        </w:tc>
      </w:tr>
      <w:tr w:rsidR="00392AFF" w:rsidRPr="00A44138" w14:paraId="2340F416" w14:textId="77777777" w:rsidTr="00467031">
        <w:trPr>
          <w:trHeight w:val="268"/>
        </w:trPr>
        <w:tc>
          <w:tcPr>
            <w:tcW w:w="3061" w:type="dxa"/>
            <w:vAlign w:val="center"/>
          </w:tcPr>
          <w:p w14:paraId="1EFD1EF8" w14:textId="05BFF380"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At 30 June 2024</w:t>
            </w:r>
          </w:p>
        </w:tc>
        <w:tc>
          <w:tcPr>
            <w:tcW w:w="1191" w:type="dxa"/>
            <w:tcBorders>
              <w:top w:val="single" w:sz="4" w:space="0" w:color="auto"/>
              <w:bottom w:val="double" w:sz="4" w:space="0" w:color="auto"/>
            </w:tcBorders>
            <w:vAlign w:val="center"/>
          </w:tcPr>
          <w:p w14:paraId="6F99C178" w14:textId="359DAF46"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162.9</w:t>
            </w:r>
          </w:p>
        </w:tc>
        <w:tc>
          <w:tcPr>
            <w:tcW w:w="1247" w:type="dxa"/>
            <w:tcBorders>
              <w:top w:val="single" w:sz="4" w:space="0" w:color="auto"/>
              <w:bottom w:val="double" w:sz="4" w:space="0" w:color="auto"/>
            </w:tcBorders>
            <w:vAlign w:val="center"/>
          </w:tcPr>
          <w:p w14:paraId="78A00D54" w14:textId="7AEDC839"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11.3</w:t>
            </w:r>
          </w:p>
        </w:tc>
        <w:tc>
          <w:tcPr>
            <w:tcW w:w="1191" w:type="dxa"/>
            <w:tcBorders>
              <w:top w:val="single" w:sz="4" w:space="0" w:color="auto"/>
              <w:bottom w:val="double" w:sz="4" w:space="0" w:color="auto"/>
            </w:tcBorders>
            <w:vAlign w:val="center"/>
          </w:tcPr>
          <w:p w14:paraId="2F2C4FB8" w14:textId="6AE20888"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66.1</w:t>
            </w:r>
          </w:p>
        </w:tc>
        <w:tc>
          <w:tcPr>
            <w:tcW w:w="1191" w:type="dxa"/>
            <w:tcBorders>
              <w:top w:val="single" w:sz="4" w:space="0" w:color="auto"/>
              <w:bottom w:val="double" w:sz="4" w:space="0" w:color="auto"/>
            </w:tcBorders>
            <w:vAlign w:val="center"/>
          </w:tcPr>
          <w:p w14:paraId="51FB1797" w14:textId="2B55F6AA"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74.3</w:t>
            </w:r>
          </w:p>
        </w:tc>
        <w:tc>
          <w:tcPr>
            <w:tcW w:w="1191" w:type="dxa"/>
            <w:tcBorders>
              <w:top w:val="single" w:sz="4" w:space="0" w:color="auto"/>
              <w:bottom w:val="double" w:sz="4" w:space="0" w:color="auto"/>
            </w:tcBorders>
            <w:vAlign w:val="center"/>
          </w:tcPr>
          <w:p w14:paraId="28C4DC37" w14:textId="2B22BE6F"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314.6</w:t>
            </w:r>
          </w:p>
        </w:tc>
      </w:tr>
      <w:tr w:rsidR="00392AFF" w:rsidRPr="00A44138" w14:paraId="65CFF008" w14:textId="77777777" w:rsidTr="00467031">
        <w:trPr>
          <w:trHeight w:val="268"/>
        </w:trPr>
        <w:tc>
          <w:tcPr>
            <w:tcW w:w="3061" w:type="dxa"/>
            <w:vAlign w:val="center"/>
          </w:tcPr>
          <w:p w14:paraId="0DE0BC1F" w14:textId="77777777"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p>
        </w:tc>
        <w:tc>
          <w:tcPr>
            <w:tcW w:w="1191" w:type="dxa"/>
            <w:tcBorders>
              <w:top w:val="double" w:sz="4" w:space="0" w:color="auto"/>
            </w:tcBorders>
            <w:vAlign w:val="center"/>
          </w:tcPr>
          <w:p w14:paraId="019DB9B9"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247" w:type="dxa"/>
            <w:tcBorders>
              <w:top w:val="double" w:sz="4" w:space="0" w:color="auto"/>
            </w:tcBorders>
            <w:vAlign w:val="center"/>
          </w:tcPr>
          <w:p w14:paraId="1AEA9420"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34413FA8"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4633DF91"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tcBorders>
              <w:top w:val="double" w:sz="4" w:space="0" w:color="auto"/>
            </w:tcBorders>
            <w:vAlign w:val="center"/>
          </w:tcPr>
          <w:p w14:paraId="4F14A377"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r>
      <w:tr w:rsidR="00392AFF" w:rsidRPr="00A44138" w14:paraId="2FF0F42D" w14:textId="77777777" w:rsidTr="00467031">
        <w:trPr>
          <w:trHeight w:val="284"/>
        </w:trPr>
        <w:tc>
          <w:tcPr>
            <w:tcW w:w="3061" w:type="dxa"/>
            <w:vAlign w:val="center"/>
          </w:tcPr>
          <w:p w14:paraId="75386102" w14:textId="19D5ACEB"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b/>
                <w:i/>
                <w:sz w:val="18"/>
                <w:szCs w:val="18"/>
                <w:lang w:eastAsia="ko-KR"/>
              </w:rPr>
              <w:t>Carrying value</w:t>
            </w:r>
          </w:p>
        </w:tc>
        <w:tc>
          <w:tcPr>
            <w:tcW w:w="1191" w:type="dxa"/>
            <w:vAlign w:val="center"/>
          </w:tcPr>
          <w:p w14:paraId="0EEE7E78"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247" w:type="dxa"/>
            <w:vAlign w:val="center"/>
          </w:tcPr>
          <w:p w14:paraId="6E767511"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51760536"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37B2C228"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5FCF54B1" w14:textId="7777777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hAnsi="Arial"/>
                <w:sz w:val="18"/>
              </w:rPr>
            </w:pPr>
          </w:p>
        </w:tc>
      </w:tr>
      <w:tr w:rsidR="00392AFF" w:rsidRPr="00A44138" w14:paraId="29139833" w14:textId="77777777" w:rsidTr="004402D0">
        <w:trPr>
          <w:trHeight w:val="268"/>
        </w:trPr>
        <w:tc>
          <w:tcPr>
            <w:tcW w:w="3061" w:type="dxa"/>
            <w:vAlign w:val="center"/>
          </w:tcPr>
          <w:p w14:paraId="49D42F13" w14:textId="768153F2"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r w:rsidRPr="005E7A81">
              <w:rPr>
                <w:rFonts w:ascii="Arial" w:eastAsia="Batang" w:hAnsi="Arial" w:cs="Arial"/>
                <w:sz w:val="18"/>
                <w:szCs w:val="18"/>
                <w:lang w:eastAsia="ko-KR"/>
              </w:rPr>
              <w:t>At 1 January 2024</w:t>
            </w:r>
          </w:p>
        </w:tc>
        <w:tc>
          <w:tcPr>
            <w:tcW w:w="1191" w:type="dxa"/>
            <w:vAlign w:val="center"/>
          </w:tcPr>
          <w:p w14:paraId="6C1EC5BD" w14:textId="403EDFDE"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8.1</w:t>
            </w:r>
          </w:p>
        </w:tc>
        <w:tc>
          <w:tcPr>
            <w:tcW w:w="1247" w:type="dxa"/>
            <w:vAlign w:val="center"/>
          </w:tcPr>
          <w:p w14:paraId="7394DBB1" w14:textId="10B365D1"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12.0</w:t>
            </w:r>
          </w:p>
        </w:tc>
        <w:tc>
          <w:tcPr>
            <w:tcW w:w="1191" w:type="dxa"/>
            <w:vAlign w:val="center"/>
          </w:tcPr>
          <w:p w14:paraId="30BD1534" w14:textId="6ECFE1BB"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25.9</w:t>
            </w:r>
          </w:p>
        </w:tc>
        <w:tc>
          <w:tcPr>
            <w:tcW w:w="1191" w:type="dxa"/>
            <w:vAlign w:val="center"/>
          </w:tcPr>
          <w:p w14:paraId="60E34820" w14:textId="66EA61A3"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214.3</w:t>
            </w:r>
          </w:p>
        </w:tc>
        <w:tc>
          <w:tcPr>
            <w:tcW w:w="1191" w:type="dxa"/>
            <w:vAlign w:val="center"/>
          </w:tcPr>
          <w:p w14:paraId="0A52E478" w14:textId="3B58CA1F"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sidRPr="005E7A81">
              <w:rPr>
                <w:rFonts w:ascii="Arial" w:eastAsia="Batang" w:hAnsi="Arial" w:cs="Arial"/>
                <w:bCs/>
                <w:sz w:val="18"/>
                <w:szCs w:val="18"/>
              </w:rPr>
              <w:t>260.3</w:t>
            </w:r>
          </w:p>
        </w:tc>
      </w:tr>
      <w:tr w:rsidR="00392AFF" w:rsidRPr="00A44138" w14:paraId="5EE4AF70" w14:textId="77777777" w:rsidTr="004402D0">
        <w:trPr>
          <w:trHeight w:val="268"/>
        </w:trPr>
        <w:tc>
          <w:tcPr>
            <w:tcW w:w="3061" w:type="dxa"/>
            <w:vAlign w:val="center"/>
          </w:tcPr>
          <w:p w14:paraId="6FC2B6BD" w14:textId="66A84266" w:rsidR="00392AFF" w:rsidRPr="005E7A81" w:rsidRDefault="00392AFF" w:rsidP="00392AFF">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bCs/>
                <w:i/>
                <w:sz w:val="18"/>
                <w:szCs w:val="18"/>
                <w:lang w:eastAsia="ko-KR"/>
              </w:rPr>
            </w:pPr>
            <w:r w:rsidRPr="005E7A81">
              <w:rPr>
                <w:rFonts w:ascii="Arial" w:eastAsia="Batang" w:hAnsi="Arial" w:cs="Arial"/>
                <w:b/>
                <w:bCs/>
                <w:sz w:val="18"/>
                <w:szCs w:val="18"/>
                <w:lang w:eastAsia="ko-KR"/>
              </w:rPr>
              <w:t>At 30 June 2024</w:t>
            </w:r>
          </w:p>
        </w:tc>
        <w:tc>
          <w:tcPr>
            <w:tcW w:w="1191" w:type="dxa"/>
            <w:tcBorders>
              <w:bottom w:val="double" w:sz="4" w:space="0" w:color="auto"/>
            </w:tcBorders>
            <w:vAlign w:val="center"/>
          </w:tcPr>
          <w:p w14:paraId="1BE9652D" w14:textId="33D8DCE3"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5E7A81">
              <w:rPr>
                <w:rFonts w:ascii="Arial" w:hAnsi="Arial"/>
                <w:b/>
                <w:sz w:val="18"/>
              </w:rPr>
              <w:t>6.7</w:t>
            </w:r>
          </w:p>
        </w:tc>
        <w:tc>
          <w:tcPr>
            <w:tcW w:w="1247" w:type="dxa"/>
            <w:tcBorders>
              <w:bottom w:val="double" w:sz="4" w:space="0" w:color="auto"/>
            </w:tcBorders>
            <w:vAlign w:val="center"/>
          </w:tcPr>
          <w:p w14:paraId="63DB3434" w14:textId="64174041" w:rsidR="00392AFF" w:rsidRPr="005E7A81" w:rsidRDefault="00392AFF" w:rsidP="00392AFF">
            <w:pPr>
              <w:tabs>
                <w:tab w:val="decimal" w:pos="1134"/>
              </w:tabs>
              <w:overflowPunct w:val="0"/>
              <w:autoSpaceDE w:val="0"/>
              <w:autoSpaceDN w:val="0"/>
              <w:adjustRightInd w:val="0"/>
              <w:spacing w:after="0" w:line="240" w:lineRule="auto"/>
              <w:ind w:left="-77"/>
              <w:jc w:val="right"/>
              <w:textAlignment w:val="baseline"/>
              <w:rPr>
                <w:rFonts w:ascii="Arial" w:eastAsia="Batang" w:hAnsi="Arial" w:cs="Arial"/>
                <w:b/>
                <w:sz w:val="18"/>
                <w:szCs w:val="18"/>
              </w:rPr>
            </w:pPr>
            <w:r w:rsidRPr="005E7A81">
              <w:rPr>
                <w:rFonts w:ascii="Arial" w:hAnsi="Arial"/>
                <w:b/>
                <w:sz w:val="18"/>
              </w:rPr>
              <w:t>9.9</w:t>
            </w:r>
          </w:p>
        </w:tc>
        <w:tc>
          <w:tcPr>
            <w:tcW w:w="1191" w:type="dxa"/>
            <w:tcBorders>
              <w:bottom w:val="double" w:sz="4" w:space="0" w:color="auto"/>
            </w:tcBorders>
            <w:vAlign w:val="center"/>
          </w:tcPr>
          <w:p w14:paraId="6B6EAC51" w14:textId="52433501"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5E7A81">
              <w:rPr>
                <w:rFonts w:ascii="Arial" w:hAnsi="Arial"/>
                <w:b/>
                <w:sz w:val="18"/>
              </w:rPr>
              <w:t>24.5</w:t>
            </w:r>
          </w:p>
        </w:tc>
        <w:tc>
          <w:tcPr>
            <w:tcW w:w="1191" w:type="dxa"/>
            <w:tcBorders>
              <w:bottom w:val="double" w:sz="4" w:space="0" w:color="auto"/>
            </w:tcBorders>
            <w:vAlign w:val="center"/>
          </w:tcPr>
          <w:p w14:paraId="0FD5A22E" w14:textId="1C8AFB60"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5E7A81">
              <w:rPr>
                <w:rFonts w:ascii="Arial" w:hAnsi="Arial"/>
                <w:b/>
                <w:sz w:val="18"/>
              </w:rPr>
              <w:t>214.3</w:t>
            </w:r>
          </w:p>
        </w:tc>
        <w:tc>
          <w:tcPr>
            <w:tcW w:w="1191" w:type="dxa"/>
            <w:tcBorders>
              <w:bottom w:val="double" w:sz="4" w:space="0" w:color="auto"/>
            </w:tcBorders>
            <w:vAlign w:val="center"/>
          </w:tcPr>
          <w:p w14:paraId="11BB70D7" w14:textId="4577BEC7" w:rsidR="00392AFF" w:rsidRPr="005E7A81" w:rsidRDefault="00392AFF" w:rsidP="00392AFF">
            <w:pPr>
              <w:tabs>
                <w:tab w:val="decimal" w:pos="1021"/>
              </w:tabs>
              <w:overflowPunct w:val="0"/>
              <w:autoSpaceDE w:val="0"/>
              <w:autoSpaceDN w:val="0"/>
              <w:adjustRightInd w:val="0"/>
              <w:spacing w:after="0" w:line="240" w:lineRule="auto"/>
              <w:jc w:val="right"/>
              <w:textAlignment w:val="baseline"/>
              <w:rPr>
                <w:rFonts w:ascii="Arial" w:eastAsia="Batang" w:hAnsi="Arial" w:cs="Arial"/>
                <w:b/>
                <w:sz w:val="18"/>
                <w:szCs w:val="18"/>
              </w:rPr>
            </w:pPr>
            <w:r w:rsidRPr="005E7A81">
              <w:rPr>
                <w:rFonts w:ascii="Arial" w:hAnsi="Arial"/>
                <w:b/>
                <w:sz w:val="18"/>
              </w:rPr>
              <w:t>255.4</w:t>
            </w:r>
          </w:p>
        </w:tc>
      </w:tr>
      <w:tr w:rsidR="00294FD1" w:rsidRPr="00A44138" w14:paraId="096DEC41" w14:textId="77777777" w:rsidTr="00467031">
        <w:trPr>
          <w:trHeight w:val="284"/>
        </w:trPr>
        <w:tc>
          <w:tcPr>
            <w:tcW w:w="3061" w:type="dxa"/>
            <w:vAlign w:val="center"/>
          </w:tcPr>
          <w:p w14:paraId="062B3289"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p>
        </w:tc>
        <w:tc>
          <w:tcPr>
            <w:tcW w:w="1191" w:type="dxa"/>
            <w:tcBorders>
              <w:top w:val="double" w:sz="4" w:space="0" w:color="auto"/>
            </w:tcBorders>
            <w:vAlign w:val="center"/>
          </w:tcPr>
          <w:p w14:paraId="423E52E3"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247" w:type="dxa"/>
            <w:tcBorders>
              <w:top w:val="double" w:sz="4" w:space="0" w:color="auto"/>
            </w:tcBorders>
            <w:vAlign w:val="center"/>
          </w:tcPr>
          <w:p w14:paraId="6BFEB33E"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tcBorders>
              <w:top w:val="double" w:sz="4" w:space="0" w:color="auto"/>
            </w:tcBorders>
            <w:vAlign w:val="center"/>
          </w:tcPr>
          <w:p w14:paraId="252F3721"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tcBorders>
              <w:top w:val="double" w:sz="4" w:space="0" w:color="auto"/>
            </w:tcBorders>
            <w:vAlign w:val="center"/>
          </w:tcPr>
          <w:p w14:paraId="1F62AC28"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tcBorders>
              <w:top w:val="double" w:sz="4" w:space="0" w:color="auto"/>
            </w:tcBorders>
            <w:vAlign w:val="center"/>
          </w:tcPr>
          <w:p w14:paraId="277332BB"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r>
      <w:tr w:rsidR="00294FD1" w:rsidRPr="00A44138" w14:paraId="2E73915A" w14:textId="77777777" w:rsidTr="00467031">
        <w:trPr>
          <w:trHeight w:val="284"/>
        </w:trPr>
        <w:tc>
          <w:tcPr>
            <w:tcW w:w="3061" w:type="dxa"/>
            <w:vAlign w:val="center"/>
          </w:tcPr>
          <w:p w14:paraId="590D358E"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i/>
                <w:sz w:val="18"/>
                <w:szCs w:val="18"/>
                <w:lang w:eastAsia="ko-KR"/>
              </w:rPr>
            </w:pPr>
          </w:p>
        </w:tc>
        <w:tc>
          <w:tcPr>
            <w:tcW w:w="1191" w:type="dxa"/>
            <w:vAlign w:val="center"/>
          </w:tcPr>
          <w:p w14:paraId="6ACC6E69"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247" w:type="dxa"/>
            <w:vAlign w:val="center"/>
          </w:tcPr>
          <w:p w14:paraId="3FB4AC94"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114D7C1D"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649F2FE9"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49FDF382"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r>
      <w:tr w:rsidR="00294FD1" w:rsidRPr="00A44138" w14:paraId="2A5681AB" w14:textId="77777777" w:rsidTr="00467031">
        <w:trPr>
          <w:trHeight w:val="268"/>
        </w:trPr>
        <w:tc>
          <w:tcPr>
            <w:tcW w:w="3061" w:type="dxa"/>
            <w:vAlign w:val="center"/>
          </w:tcPr>
          <w:p w14:paraId="229BFC58" w14:textId="77777777" w:rsidR="00294FD1" w:rsidRPr="00A44138" w:rsidRDefault="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A44138">
              <w:rPr>
                <w:rFonts w:ascii="Arial" w:eastAsia="Batang" w:hAnsi="Arial" w:cs="Arial"/>
                <w:b/>
                <w:i/>
                <w:sz w:val="18"/>
                <w:szCs w:val="18"/>
                <w:lang w:eastAsia="ko-KR"/>
              </w:rPr>
              <w:t>Cost</w:t>
            </w:r>
          </w:p>
        </w:tc>
        <w:tc>
          <w:tcPr>
            <w:tcW w:w="1191" w:type="dxa"/>
            <w:vAlign w:val="center"/>
          </w:tcPr>
          <w:p w14:paraId="552C7CDB"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247" w:type="dxa"/>
            <w:vAlign w:val="center"/>
          </w:tcPr>
          <w:p w14:paraId="26BEC2F0"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7F4941CF"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386E8D1F"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0428BFE6" w14:textId="77777777" w:rsidR="00294FD1" w:rsidRPr="00A44138" w:rsidRDefault="00294FD1">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r>
      <w:tr w:rsidR="005D3E19" w:rsidRPr="00A44138" w14:paraId="73C3D7BF" w14:textId="77777777" w:rsidTr="00324A0B">
        <w:trPr>
          <w:trHeight w:val="268"/>
        </w:trPr>
        <w:tc>
          <w:tcPr>
            <w:tcW w:w="3061" w:type="dxa"/>
            <w:vAlign w:val="center"/>
          </w:tcPr>
          <w:p w14:paraId="53B94FEA" w14:textId="02EBD976" w:rsidR="005D3E19" w:rsidRPr="005E7A81" w:rsidRDefault="005D3E19" w:rsidP="005D3E19">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At 1 January 2025</w:t>
            </w:r>
          </w:p>
        </w:tc>
        <w:tc>
          <w:tcPr>
            <w:tcW w:w="1191" w:type="dxa"/>
            <w:vAlign w:val="center"/>
          </w:tcPr>
          <w:p w14:paraId="073BB933" w14:textId="3E521EFA" w:rsidR="005D3E19" w:rsidRPr="005E7A81" w:rsidRDefault="005D3E19"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cs="Arial"/>
                <w:sz w:val="18"/>
                <w:szCs w:val="18"/>
              </w:rPr>
              <w:t>169.6</w:t>
            </w:r>
          </w:p>
        </w:tc>
        <w:tc>
          <w:tcPr>
            <w:tcW w:w="1247" w:type="dxa"/>
            <w:vAlign w:val="center"/>
          </w:tcPr>
          <w:p w14:paraId="193C904D" w14:textId="6F7B32FC" w:rsidR="005D3E19" w:rsidRPr="005E7A81" w:rsidRDefault="005D3E19"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cs="Arial"/>
                <w:sz w:val="18"/>
                <w:szCs w:val="18"/>
              </w:rPr>
              <w:t>21.2</w:t>
            </w:r>
          </w:p>
        </w:tc>
        <w:tc>
          <w:tcPr>
            <w:tcW w:w="1191" w:type="dxa"/>
            <w:vAlign w:val="center"/>
          </w:tcPr>
          <w:p w14:paraId="4378AB58" w14:textId="2E70117B" w:rsidR="005D3E19" w:rsidRPr="005E7A81" w:rsidRDefault="005D3E19"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cs="Arial"/>
                <w:sz w:val="18"/>
                <w:szCs w:val="18"/>
              </w:rPr>
              <w:t>9</w:t>
            </w:r>
            <w:r w:rsidR="001D71D7">
              <w:rPr>
                <w:rFonts w:ascii="Arial" w:hAnsi="Arial" w:cs="Arial"/>
                <w:sz w:val="18"/>
                <w:szCs w:val="18"/>
              </w:rPr>
              <w:t>8</w:t>
            </w:r>
            <w:r w:rsidRPr="005E7A81">
              <w:rPr>
                <w:rFonts w:ascii="Arial" w:hAnsi="Arial" w:cs="Arial"/>
                <w:sz w:val="18"/>
                <w:szCs w:val="18"/>
              </w:rPr>
              <w:t>.</w:t>
            </w:r>
            <w:r w:rsidR="001D71D7">
              <w:rPr>
                <w:rFonts w:ascii="Arial" w:hAnsi="Arial" w:cs="Arial"/>
                <w:sz w:val="18"/>
                <w:szCs w:val="18"/>
              </w:rPr>
              <w:t>5</w:t>
            </w:r>
          </w:p>
        </w:tc>
        <w:tc>
          <w:tcPr>
            <w:tcW w:w="1191" w:type="dxa"/>
            <w:vAlign w:val="center"/>
          </w:tcPr>
          <w:p w14:paraId="075232DA" w14:textId="4E89F7FF" w:rsidR="005D3E19" w:rsidRPr="005E7A81" w:rsidRDefault="005D3E19"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cs="Arial"/>
                <w:sz w:val="18"/>
                <w:szCs w:val="18"/>
              </w:rPr>
              <w:t>288.6</w:t>
            </w:r>
          </w:p>
        </w:tc>
        <w:tc>
          <w:tcPr>
            <w:tcW w:w="1191" w:type="dxa"/>
            <w:vAlign w:val="center"/>
          </w:tcPr>
          <w:p w14:paraId="77758D8A" w14:textId="104C6BF8" w:rsidR="005D3E19" w:rsidRPr="005E7A81" w:rsidRDefault="005D3E19"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cs="Arial"/>
                <w:sz w:val="18"/>
                <w:szCs w:val="18"/>
              </w:rPr>
              <w:t>57</w:t>
            </w:r>
            <w:r w:rsidR="00D61713">
              <w:rPr>
                <w:rFonts w:ascii="Arial" w:hAnsi="Arial" w:cs="Arial"/>
                <w:sz w:val="18"/>
                <w:szCs w:val="18"/>
              </w:rPr>
              <w:t>7</w:t>
            </w:r>
            <w:r w:rsidRPr="005E7A81">
              <w:rPr>
                <w:rFonts w:ascii="Arial" w:hAnsi="Arial" w:cs="Arial"/>
                <w:sz w:val="18"/>
                <w:szCs w:val="18"/>
              </w:rPr>
              <w:t>.</w:t>
            </w:r>
            <w:r w:rsidR="00D61713">
              <w:rPr>
                <w:rFonts w:ascii="Arial" w:hAnsi="Arial" w:cs="Arial"/>
                <w:sz w:val="18"/>
                <w:szCs w:val="18"/>
              </w:rPr>
              <w:t>9</w:t>
            </w:r>
          </w:p>
        </w:tc>
      </w:tr>
      <w:tr w:rsidR="005D3E19" w:rsidRPr="00A44138" w14:paraId="05243485" w14:textId="77777777" w:rsidTr="00324A0B">
        <w:trPr>
          <w:trHeight w:val="284"/>
        </w:trPr>
        <w:tc>
          <w:tcPr>
            <w:tcW w:w="3061" w:type="dxa"/>
            <w:vAlign w:val="center"/>
          </w:tcPr>
          <w:p w14:paraId="3B38BAE4" w14:textId="77777777" w:rsidR="005D3E19" w:rsidRPr="005E7A81" w:rsidRDefault="005D3E19" w:rsidP="005D3E19">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Additions</w:t>
            </w:r>
          </w:p>
        </w:tc>
        <w:tc>
          <w:tcPr>
            <w:tcW w:w="1191" w:type="dxa"/>
            <w:vAlign w:val="center"/>
          </w:tcPr>
          <w:p w14:paraId="0A668417" w14:textId="1476971C" w:rsidR="005D3E19" w:rsidRPr="005E7A81" w:rsidRDefault="007B7461"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w:t>
            </w:r>
          </w:p>
        </w:tc>
        <w:tc>
          <w:tcPr>
            <w:tcW w:w="1247" w:type="dxa"/>
            <w:vAlign w:val="center"/>
          </w:tcPr>
          <w:p w14:paraId="19E60FDE" w14:textId="2D1E17D5" w:rsidR="005D3E19" w:rsidRPr="005E7A81" w:rsidRDefault="007B7461"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w:t>
            </w:r>
          </w:p>
        </w:tc>
        <w:tc>
          <w:tcPr>
            <w:tcW w:w="1191" w:type="dxa"/>
            <w:vAlign w:val="center"/>
          </w:tcPr>
          <w:p w14:paraId="29FB8341" w14:textId="1EDD415E" w:rsidR="005D3E19" w:rsidRPr="005E7A81" w:rsidRDefault="007B7461"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4.0</w:t>
            </w:r>
          </w:p>
        </w:tc>
        <w:tc>
          <w:tcPr>
            <w:tcW w:w="1191" w:type="dxa"/>
            <w:vAlign w:val="center"/>
          </w:tcPr>
          <w:p w14:paraId="30E712A8" w14:textId="36239B85" w:rsidR="005D3E19" w:rsidRPr="005E7A81" w:rsidRDefault="007B7461"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w:t>
            </w:r>
          </w:p>
        </w:tc>
        <w:tc>
          <w:tcPr>
            <w:tcW w:w="1191" w:type="dxa"/>
            <w:vAlign w:val="center"/>
          </w:tcPr>
          <w:p w14:paraId="2BC379CB" w14:textId="680771E4" w:rsidR="005D3E19" w:rsidRPr="005E7A81" w:rsidRDefault="007B7461" w:rsidP="005D3E19">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4.0</w:t>
            </w:r>
          </w:p>
        </w:tc>
      </w:tr>
      <w:tr w:rsidR="008E7EC4" w:rsidRPr="00A44138" w14:paraId="050A6ED0" w14:textId="77777777" w:rsidTr="00324A0B">
        <w:trPr>
          <w:trHeight w:val="268"/>
        </w:trPr>
        <w:tc>
          <w:tcPr>
            <w:tcW w:w="3061" w:type="dxa"/>
            <w:vAlign w:val="center"/>
          </w:tcPr>
          <w:p w14:paraId="58FF88A3" w14:textId="46321DC0" w:rsidR="008E7EC4" w:rsidRPr="005E7A81" w:rsidRDefault="008E7EC4" w:rsidP="008E7EC4">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At 30 June 2025</w:t>
            </w:r>
          </w:p>
        </w:tc>
        <w:tc>
          <w:tcPr>
            <w:tcW w:w="1191" w:type="dxa"/>
            <w:tcBorders>
              <w:top w:val="single" w:sz="4" w:space="0" w:color="auto"/>
              <w:bottom w:val="double" w:sz="4" w:space="0" w:color="auto"/>
            </w:tcBorders>
            <w:vAlign w:val="center"/>
          </w:tcPr>
          <w:p w14:paraId="5E29C981" w14:textId="7635443E"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s="Arial"/>
                <w:sz w:val="18"/>
                <w:szCs w:val="18"/>
              </w:rPr>
            </w:pPr>
            <w:r w:rsidRPr="005E7A81">
              <w:rPr>
                <w:rFonts w:ascii="Arial" w:hAnsi="Arial" w:cs="Arial"/>
                <w:sz w:val="18"/>
                <w:szCs w:val="18"/>
              </w:rPr>
              <w:t>169.6</w:t>
            </w:r>
          </w:p>
        </w:tc>
        <w:tc>
          <w:tcPr>
            <w:tcW w:w="1247" w:type="dxa"/>
            <w:tcBorders>
              <w:top w:val="single" w:sz="4" w:space="0" w:color="auto"/>
              <w:bottom w:val="double" w:sz="4" w:space="0" w:color="auto"/>
            </w:tcBorders>
            <w:vAlign w:val="center"/>
          </w:tcPr>
          <w:p w14:paraId="0424301C" w14:textId="7487F415"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s="Arial"/>
                <w:sz w:val="18"/>
                <w:szCs w:val="18"/>
              </w:rPr>
            </w:pPr>
            <w:r w:rsidRPr="005E7A81">
              <w:rPr>
                <w:rFonts w:ascii="Arial" w:hAnsi="Arial" w:cs="Arial"/>
                <w:sz w:val="18"/>
                <w:szCs w:val="18"/>
              </w:rPr>
              <w:t>21.2</w:t>
            </w:r>
          </w:p>
        </w:tc>
        <w:tc>
          <w:tcPr>
            <w:tcW w:w="1191" w:type="dxa"/>
            <w:tcBorders>
              <w:top w:val="single" w:sz="4" w:space="0" w:color="auto"/>
              <w:bottom w:val="double" w:sz="4" w:space="0" w:color="auto"/>
            </w:tcBorders>
            <w:vAlign w:val="center"/>
          </w:tcPr>
          <w:p w14:paraId="7B565844" w14:textId="2DD1EB0C"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s="Arial"/>
                <w:sz w:val="18"/>
                <w:szCs w:val="18"/>
              </w:rPr>
            </w:pPr>
            <w:r>
              <w:rPr>
                <w:rFonts w:ascii="Arial" w:hAnsi="Arial" w:cs="Arial"/>
                <w:sz w:val="18"/>
                <w:szCs w:val="18"/>
              </w:rPr>
              <w:t>102</w:t>
            </w:r>
            <w:r w:rsidRPr="005E7A81">
              <w:rPr>
                <w:rFonts w:ascii="Arial" w:hAnsi="Arial" w:cs="Arial"/>
                <w:sz w:val="18"/>
                <w:szCs w:val="18"/>
              </w:rPr>
              <w:t>.</w:t>
            </w:r>
            <w:r>
              <w:rPr>
                <w:rFonts w:ascii="Arial" w:hAnsi="Arial" w:cs="Arial"/>
                <w:sz w:val="18"/>
                <w:szCs w:val="18"/>
              </w:rPr>
              <w:t>5</w:t>
            </w:r>
          </w:p>
        </w:tc>
        <w:tc>
          <w:tcPr>
            <w:tcW w:w="1191" w:type="dxa"/>
            <w:tcBorders>
              <w:top w:val="single" w:sz="4" w:space="0" w:color="auto"/>
              <w:bottom w:val="double" w:sz="4" w:space="0" w:color="auto"/>
            </w:tcBorders>
            <w:vAlign w:val="center"/>
          </w:tcPr>
          <w:p w14:paraId="3A852E73" w14:textId="3F650262"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s="Arial"/>
                <w:sz w:val="18"/>
                <w:szCs w:val="18"/>
              </w:rPr>
            </w:pPr>
            <w:r w:rsidRPr="005E7A81">
              <w:rPr>
                <w:rFonts w:ascii="Arial" w:hAnsi="Arial" w:cs="Arial"/>
                <w:sz w:val="18"/>
                <w:szCs w:val="18"/>
              </w:rPr>
              <w:t>288.6</w:t>
            </w:r>
          </w:p>
        </w:tc>
        <w:tc>
          <w:tcPr>
            <w:tcW w:w="1191" w:type="dxa"/>
            <w:tcBorders>
              <w:top w:val="single" w:sz="4" w:space="0" w:color="auto"/>
              <w:bottom w:val="double" w:sz="4" w:space="0" w:color="auto"/>
            </w:tcBorders>
            <w:vAlign w:val="center"/>
          </w:tcPr>
          <w:p w14:paraId="2253D476" w14:textId="6916972E"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s="Arial"/>
                <w:sz w:val="18"/>
                <w:szCs w:val="18"/>
              </w:rPr>
            </w:pPr>
            <w:r w:rsidRPr="005E7A81">
              <w:rPr>
                <w:rFonts w:ascii="Arial" w:hAnsi="Arial" w:cs="Arial"/>
                <w:sz w:val="18"/>
                <w:szCs w:val="18"/>
              </w:rPr>
              <w:t>5</w:t>
            </w:r>
            <w:r>
              <w:rPr>
                <w:rFonts w:ascii="Arial" w:hAnsi="Arial" w:cs="Arial"/>
                <w:sz w:val="18"/>
                <w:szCs w:val="18"/>
              </w:rPr>
              <w:t>81</w:t>
            </w:r>
            <w:r w:rsidRPr="005E7A81">
              <w:rPr>
                <w:rFonts w:ascii="Arial" w:hAnsi="Arial" w:cs="Arial"/>
                <w:sz w:val="18"/>
                <w:szCs w:val="18"/>
              </w:rPr>
              <w:t>.</w:t>
            </w:r>
            <w:r>
              <w:rPr>
                <w:rFonts w:ascii="Arial" w:hAnsi="Arial" w:cs="Arial"/>
                <w:sz w:val="18"/>
                <w:szCs w:val="18"/>
              </w:rPr>
              <w:t>9</w:t>
            </w:r>
          </w:p>
        </w:tc>
      </w:tr>
      <w:tr w:rsidR="008E7EC4" w:rsidRPr="00A44138" w14:paraId="49199174" w14:textId="77777777" w:rsidTr="00467031">
        <w:trPr>
          <w:trHeight w:val="362"/>
        </w:trPr>
        <w:tc>
          <w:tcPr>
            <w:tcW w:w="3061" w:type="dxa"/>
            <w:vAlign w:val="center"/>
          </w:tcPr>
          <w:p w14:paraId="7C49E106" w14:textId="77777777" w:rsidR="008E7EC4" w:rsidRPr="005E7A81" w:rsidRDefault="008E7EC4" w:rsidP="008E7EC4">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1191" w:type="dxa"/>
            <w:tcBorders>
              <w:top w:val="double" w:sz="4" w:space="0" w:color="auto"/>
            </w:tcBorders>
            <w:vAlign w:val="center"/>
          </w:tcPr>
          <w:p w14:paraId="394A9D9D" w14:textId="77777777" w:rsidR="008E7EC4" w:rsidRPr="005E7A81" w:rsidRDefault="008E7EC4" w:rsidP="008E7EC4">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247" w:type="dxa"/>
            <w:tcBorders>
              <w:top w:val="double" w:sz="4" w:space="0" w:color="auto"/>
            </w:tcBorders>
            <w:vAlign w:val="center"/>
          </w:tcPr>
          <w:p w14:paraId="7E8D6261" w14:textId="77777777" w:rsidR="008E7EC4" w:rsidRPr="005E7A81" w:rsidRDefault="008E7EC4" w:rsidP="008E7EC4">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110414FC" w14:textId="77777777" w:rsidR="008E7EC4" w:rsidRPr="005E7A81" w:rsidRDefault="008E7EC4" w:rsidP="008E7EC4">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64A5B0D5" w14:textId="77777777" w:rsidR="008E7EC4" w:rsidRPr="005E7A81" w:rsidRDefault="008E7EC4" w:rsidP="008E7EC4">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437DB871" w14:textId="77777777" w:rsidR="008E7EC4" w:rsidRPr="005E7A81" w:rsidRDefault="008E7EC4" w:rsidP="008E7EC4">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r>
      <w:tr w:rsidR="008E7EC4" w:rsidRPr="00A44138" w14:paraId="3441411A" w14:textId="77777777" w:rsidTr="00467031">
        <w:trPr>
          <w:trHeight w:val="268"/>
        </w:trPr>
        <w:tc>
          <w:tcPr>
            <w:tcW w:w="3061" w:type="dxa"/>
            <w:vAlign w:val="center"/>
          </w:tcPr>
          <w:p w14:paraId="74EDF723" w14:textId="77777777" w:rsidR="008E7EC4" w:rsidRPr="005E7A81" w:rsidRDefault="008E7EC4" w:rsidP="008E7EC4">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b/>
                <w:i/>
                <w:sz w:val="18"/>
                <w:szCs w:val="18"/>
                <w:lang w:eastAsia="ko-KR"/>
              </w:rPr>
              <w:t>Amortisation</w:t>
            </w:r>
          </w:p>
        </w:tc>
        <w:tc>
          <w:tcPr>
            <w:tcW w:w="1191" w:type="dxa"/>
            <w:vAlign w:val="center"/>
          </w:tcPr>
          <w:p w14:paraId="682EFE69" w14:textId="3BC19431"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247" w:type="dxa"/>
            <w:vAlign w:val="center"/>
          </w:tcPr>
          <w:p w14:paraId="6DE2F65B" w14:textId="0CC57385"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3711F6B2" w14:textId="7EDA7FEE"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4731EB65" w14:textId="60CFD0A6"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c>
          <w:tcPr>
            <w:tcW w:w="1191" w:type="dxa"/>
            <w:vAlign w:val="center"/>
          </w:tcPr>
          <w:p w14:paraId="61206EA3" w14:textId="73E63017"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color w:val="FF0000"/>
                <w:sz w:val="18"/>
              </w:rPr>
            </w:pPr>
          </w:p>
        </w:tc>
      </w:tr>
      <w:tr w:rsidR="008E7EC4" w:rsidRPr="00A44138" w14:paraId="4DB6654B" w14:textId="77777777" w:rsidTr="00324A0B">
        <w:trPr>
          <w:trHeight w:val="268"/>
        </w:trPr>
        <w:tc>
          <w:tcPr>
            <w:tcW w:w="3061" w:type="dxa"/>
            <w:vAlign w:val="center"/>
          </w:tcPr>
          <w:p w14:paraId="466B4CC6" w14:textId="671F54B5" w:rsidR="008E7EC4" w:rsidRPr="005E7A81" w:rsidRDefault="008E7EC4" w:rsidP="008E7EC4">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At 1 January 2025</w:t>
            </w:r>
          </w:p>
        </w:tc>
        <w:tc>
          <w:tcPr>
            <w:tcW w:w="1191" w:type="dxa"/>
            <w:vAlign w:val="center"/>
          </w:tcPr>
          <w:p w14:paraId="1D6D28F7" w14:textId="11D36A23"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16</w:t>
            </w:r>
            <w:r>
              <w:rPr>
                <w:rFonts w:ascii="Arial" w:hAnsi="Arial"/>
                <w:sz w:val="18"/>
              </w:rPr>
              <w:t>4</w:t>
            </w:r>
            <w:r w:rsidRPr="005E7A81">
              <w:rPr>
                <w:rFonts w:ascii="Arial" w:hAnsi="Arial"/>
                <w:sz w:val="18"/>
              </w:rPr>
              <w:t>.</w:t>
            </w:r>
            <w:r>
              <w:rPr>
                <w:rFonts w:ascii="Arial" w:hAnsi="Arial"/>
                <w:sz w:val="18"/>
              </w:rPr>
              <w:t>4</w:t>
            </w:r>
          </w:p>
        </w:tc>
        <w:tc>
          <w:tcPr>
            <w:tcW w:w="1247" w:type="dxa"/>
            <w:vAlign w:val="center"/>
          </w:tcPr>
          <w:p w14:paraId="7FC947D2" w14:textId="769B69D9"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w:t>
            </w:r>
            <w:r>
              <w:rPr>
                <w:rFonts w:ascii="Arial" w:hAnsi="Arial"/>
                <w:sz w:val="18"/>
              </w:rPr>
              <w:t>3</w:t>
            </w:r>
            <w:r w:rsidRPr="005E7A81">
              <w:rPr>
                <w:rFonts w:ascii="Arial" w:hAnsi="Arial"/>
                <w:sz w:val="18"/>
              </w:rPr>
              <w:t>.</w:t>
            </w:r>
            <w:r>
              <w:rPr>
                <w:rFonts w:ascii="Arial" w:hAnsi="Arial"/>
                <w:sz w:val="18"/>
              </w:rPr>
              <w:t>4</w:t>
            </w:r>
          </w:p>
        </w:tc>
        <w:tc>
          <w:tcPr>
            <w:tcW w:w="1191" w:type="dxa"/>
            <w:vAlign w:val="center"/>
          </w:tcPr>
          <w:p w14:paraId="67D5370D" w14:textId="43389F52"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73</w:t>
            </w:r>
            <w:r w:rsidRPr="005E7A81">
              <w:rPr>
                <w:rFonts w:ascii="Arial" w:hAnsi="Arial"/>
                <w:sz w:val="18"/>
              </w:rPr>
              <w:t>.</w:t>
            </w:r>
            <w:r>
              <w:rPr>
                <w:rFonts w:ascii="Arial" w:hAnsi="Arial"/>
                <w:sz w:val="18"/>
              </w:rPr>
              <w:t>3</w:t>
            </w:r>
          </w:p>
        </w:tc>
        <w:tc>
          <w:tcPr>
            <w:tcW w:w="1191" w:type="dxa"/>
            <w:vAlign w:val="center"/>
          </w:tcPr>
          <w:p w14:paraId="79ADDFFC" w14:textId="6E44DF6F"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74.3</w:t>
            </w:r>
          </w:p>
        </w:tc>
        <w:tc>
          <w:tcPr>
            <w:tcW w:w="1191" w:type="dxa"/>
            <w:vAlign w:val="center"/>
          </w:tcPr>
          <w:p w14:paraId="1E76C6D4" w14:textId="633C8C93" w:rsidR="008E7EC4" w:rsidRPr="005E7A81" w:rsidRDefault="008E7EC4"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325.4</w:t>
            </w:r>
          </w:p>
        </w:tc>
      </w:tr>
      <w:tr w:rsidR="008E7EC4" w:rsidRPr="00A44138" w14:paraId="3F8CA8F9" w14:textId="77777777" w:rsidTr="00324A0B">
        <w:trPr>
          <w:trHeight w:val="284"/>
        </w:trPr>
        <w:tc>
          <w:tcPr>
            <w:tcW w:w="3061" w:type="dxa"/>
            <w:vAlign w:val="center"/>
          </w:tcPr>
          <w:p w14:paraId="6958C383" w14:textId="77777777" w:rsidR="008E7EC4" w:rsidRPr="005E7A81" w:rsidRDefault="008E7EC4" w:rsidP="008E7EC4">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Charge for the period</w:t>
            </w:r>
          </w:p>
        </w:tc>
        <w:tc>
          <w:tcPr>
            <w:tcW w:w="1191" w:type="dxa"/>
            <w:vAlign w:val="center"/>
          </w:tcPr>
          <w:p w14:paraId="0D516D8E" w14:textId="48B5F705" w:rsidR="008E7EC4" w:rsidRPr="005E7A81" w:rsidRDefault="00F6750A"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1.4</w:t>
            </w:r>
          </w:p>
        </w:tc>
        <w:tc>
          <w:tcPr>
            <w:tcW w:w="1247" w:type="dxa"/>
            <w:vAlign w:val="center"/>
          </w:tcPr>
          <w:p w14:paraId="07E4A8D2" w14:textId="688AFAEC" w:rsidR="008E7EC4" w:rsidRPr="005E7A81" w:rsidRDefault="00F6750A"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2.1</w:t>
            </w:r>
          </w:p>
        </w:tc>
        <w:tc>
          <w:tcPr>
            <w:tcW w:w="1191" w:type="dxa"/>
            <w:vAlign w:val="center"/>
          </w:tcPr>
          <w:p w14:paraId="6A2D37A9" w14:textId="21DB222D" w:rsidR="008E7EC4" w:rsidRPr="005E7A81" w:rsidRDefault="00F6750A"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6.2</w:t>
            </w:r>
          </w:p>
        </w:tc>
        <w:tc>
          <w:tcPr>
            <w:tcW w:w="1191" w:type="dxa"/>
            <w:vAlign w:val="center"/>
          </w:tcPr>
          <w:p w14:paraId="63BD3126" w14:textId="2CAD8AFA" w:rsidR="008E7EC4" w:rsidRPr="005E7A81" w:rsidRDefault="00F6750A"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w:t>
            </w:r>
          </w:p>
        </w:tc>
        <w:tc>
          <w:tcPr>
            <w:tcW w:w="1191" w:type="dxa"/>
            <w:vAlign w:val="center"/>
          </w:tcPr>
          <w:p w14:paraId="6C136814" w14:textId="4015F5E6" w:rsidR="008E7EC4" w:rsidRPr="005E7A81" w:rsidRDefault="00F6750A" w:rsidP="008E7EC4">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9.8</w:t>
            </w:r>
          </w:p>
        </w:tc>
      </w:tr>
      <w:tr w:rsidR="00F6750A" w:rsidRPr="00A44138" w14:paraId="5E8FA2FB" w14:textId="77777777" w:rsidTr="00324A0B">
        <w:trPr>
          <w:trHeight w:val="268"/>
        </w:trPr>
        <w:tc>
          <w:tcPr>
            <w:tcW w:w="3061" w:type="dxa"/>
            <w:vAlign w:val="center"/>
          </w:tcPr>
          <w:p w14:paraId="123B2CE8" w14:textId="2D1F17AD" w:rsidR="00F6750A" w:rsidRPr="005E7A81" w:rsidRDefault="00F6750A" w:rsidP="00F6750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At 30 June 2025</w:t>
            </w:r>
          </w:p>
        </w:tc>
        <w:tc>
          <w:tcPr>
            <w:tcW w:w="1191" w:type="dxa"/>
            <w:tcBorders>
              <w:top w:val="single" w:sz="4" w:space="0" w:color="auto"/>
              <w:bottom w:val="double" w:sz="4" w:space="0" w:color="auto"/>
            </w:tcBorders>
            <w:vAlign w:val="center"/>
          </w:tcPr>
          <w:p w14:paraId="03366899" w14:textId="69C52E15"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16</w:t>
            </w:r>
            <w:r>
              <w:rPr>
                <w:rFonts w:ascii="Arial" w:hAnsi="Arial"/>
                <w:sz w:val="18"/>
              </w:rPr>
              <w:t>5</w:t>
            </w:r>
            <w:r w:rsidRPr="005E7A81">
              <w:rPr>
                <w:rFonts w:ascii="Arial" w:hAnsi="Arial"/>
                <w:sz w:val="18"/>
              </w:rPr>
              <w:t>.</w:t>
            </w:r>
            <w:r>
              <w:rPr>
                <w:rFonts w:ascii="Arial" w:hAnsi="Arial"/>
                <w:sz w:val="18"/>
              </w:rPr>
              <w:t>8</w:t>
            </w:r>
          </w:p>
        </w:tc>
        <w:tc>
          <w:tcPr>
            <w:tcW w:w="1247" w:type="dxa"/>
            <w:tcBorders>
              <w:top w:val="single" w:sz="4" w:space="0" w:color="auto"/>
              <w:bottom w:val="double" w:sz="4" w:space="0" w:color="auto"/>
            </w:tcBorders>
            <w:vAlign w:val="center"/>
          </w:tcPr>
          <w:p w14:paraId="59575E6B" w14:textId="3D13C79E"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15.5</w:t>
            </w:r>
          </w:p>
        </w:tc>
        <w:tc>
          <w:tcPr>
            <w:tcW w:w="1191" w:type="dxa"/>
            <w:tcBorders>
              <w:top w:val="single" w:sz="4" w:space="0" w:color="auto"/>
              <w:bottom w:val="double" w:sz="4" w:space="0" w:color="auto"/>
            </w:tcBorders>
            <w:vAlign w:val="center"/>
          </w:tcPr>
          <w:p w14:paraId="07CE087E" w14:textId="6F8B6ED0"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79</w:t>
            </w:r>
            <w:r w:rsidRPr="005E7A81">
              <w:rPr>
                <w:rFonts w:ascii="Arial" w:hAnsi="Arial"/>
                <w:sz w:val="18"/>
              </w:rPr>
              <w:t>.</w:t>
            </w:r>
            <w:r>
              <w:rPr>
                <w:rFonts w:ascii="Arial" w:hAnsi="Arial"/>
                <w:sz w:val="18"/>
              </w:rPr>
              <w:t>5</w:t>
            </w:r>
          </w:p>
        </w:tc>
        <w:tc>
          <w:tcPr>
            <w:tcW w:w="1191" w:type="dxa"/>
            <w:tcBorders>
              <w:top w:val="single" w:sz="4" w:space="0" w:color="auto"/>
              <w:bottom w:val="double" w:sz="4" w:space="0" w:color="auto"/>
            </w:tcBorders>
            <w:vAlign w:val="center"/>
          </w:tcPr>
          <w:p w14:paraId="0628772F" w14:textId="1EF85F26"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r w:rsidRPr="005E7A81">
              <w:rPr>
                <w:rFonts w:ascii="Arial" w:hAnsi="Arial"/>
                <w:sz w:val="18"/>
              </w:rPr>
              <w:t>74.3</w:t>
            </w:r>
          </w:p>
        </w:tc>
        <w:tc>
          <w:tcPr>
            <w:tcW w:w="1191" w:type="dxa"/>
            <w:tcBorders>
              <w:top w:val="single" w:sz="4" w:space="0" w:color="auto"/>
              <w:bottom w:val="double" w:sz="4" w:space="0" w:color="auto"/>
            </w:tcBorders>
            <w:vAlign w:val="center"/>
          </w:tcPr>
          <w:p w14:paraId="5970FC65" w14:textId="73EAAD3F"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r>
              <w:rPr>
                <w:rFonts w:ascii="Arial" w:hAnsi="Arial"/>
                <w:sz w:val="18"/>
              </w:rPr>
              <w:t>335.2</w:t>
            </w:r>
          </w:p>
        </w:tc>
      </w:tr>
      <w:tr w:rsidR="00F6750A" w:rsidRPr="00A44138" w14:paraId="7375CA91" w14:textId="77777777" w:rsidTr="00467031">
        <w:trPr>
          <w:trHeight w:val="362"/>
        </w:trPr>
        <w:tc>
          <w:tcPr>
            <w:tcW w:w="3061" w:type="dxa"/>
            <w:vAlign w:val="center"/>
          </w:tcPr>
          <w:p w14:paraId="476C4D6D" w14:textId="77777777" w:rsidR="00F6750A" w:rsidRPr="005E7A81" w:rsidRDefault="00F6750A" w:rsidP="00F6750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p>
        </w:tc>
        <w:tc>
          <w:tcPr>
            <w:tcW w:w="1191" w:type="dxa"/>
            <w:tcBorders>
              <w:top w:val="double" w:sz="4" w:space="0" w:color="auto"/>
            </w:tcBorders>
            <w:vAlign w:val="center"/>
          </w:tcPr>
          <w:p w14:paraId="20E32B10" w14:textId="77777777" w:rsidR="00F6750A" w:rsidRPr="005E7A81" w:rsidRDefault="00F6750A" w:rsidP="00F6750A">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247" w:type="dxa"/>
            <w:tcBorders>
              <w:top w:val="double" w:sz="4" w:space="0" w:color="auto"/>
            </w:tcBorders>
            <w:vAlign w:val="center"/>
          </w:tcPr>
          <w:p w14:paraId="45F7BDD5" w14:textId="77777777" w:rsidR="00F6750A" w:rsidRPr="005E7A81" w:rsidRDefault="00F6750A" w:rsidP="00F6750A">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4C3A76FC" w14:textId="77777777" w:rsidR="00F6750A" w:rsidRPr="005E7A81" w:rsidRDefault="00F6750A" w:rsidP="00F6750A">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79F37CE2" w14:textId="77777777" w:rsidR="00F6750A" w:rsidRPr="005E7A81" w:rsidRDefault="00F6750A" w:rsidP="00F6750A">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c>
          <w:tcPr>
            <w:tcW w:w="1191" w:type="dxa"/>
            <w:tcBorders>
              <w:top w:val="double" w:sz="4" w:space="0" w:color="auto"/>
            </w:tcBorders>
            <w:vAlign w:val="center"/>
          </w:tcPr>
          <w:p w14:paraId="0D0AD40E" w14:textId="77777777" w:rsidR="00F6750A" w:rsidRPr="005E7A81" w:rsidRDefault="00F6750A" w:rsidP="00F6750A">
            <w:pPr>
              <w:tabs>
                <w:tab w:val="decimal" w:pos="1021"/>
              </w:tabs>
              <w:overflowPunct w:val="0"/>
              <w:autoSpaceDE w:val="0"/>
              <w:autoSpaceDN w:val="0"/>
              <w:adjustRightInd w:val="0"/>
              <w:spacing w:after="130" w:line="240" w:lineRule="auto"/>
              <w:jc w:val="right"/>
              <w:textAlignment w:val="baseline"/>
              <w:rPr>
                <w:rFonts w:ascii="Arial" w:hAnsi="Arial"/>
                <w:color w:val="FF0000"/>
                <w:sz w:val="18"/>
                <w:u w:val="double"/>
              </w:rPr>
            </w:pPr>
          </w:p>
        </w:tc>
      </w:tr>
      <w:tr w:rsidR="00F6750A" w:rsidRPr="00A44138" w14:paraId="287B9568" w14:textId="77777777" w:rsidTr="00467031">
        <w:trPr>
          <w:trHeight w:val="268"/>
        </w:trPr>
        <w:tc>
          <w:tcPr>
            <w:tcW w:w="3061" w:type="dxa"/>
            <w:vAlign w:val="center"/>
          </w:tcPr>
          <w:p w14:paraId="08E90056" w14:textId="77777777" w:rsidR="00F6750A" w:rsidRPr="005E7A81" w:rsidRDefault="00F6750A" w:rsidP="00F6750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b/>
                <w:i/>
                <w:sz w:val="18"/>
                <w:szCs w:val="18"/>
                <w:lang w:eastAsia="ko-KR"/>
              </w:rPr>
              <w:t>Carrying value</w:t>
            </w:r>
          </w:p>
        </w:tc>
        <w:tc>
          <w:tcPr>
            <w:tcW w:w="1191" w:type="dxa"/>
            <w:vAlign w:val="center"/>
          </w:tcPr>
          <w:p w14:paraId="6DBE86D5" w14:textId="77777777"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247" w:type="dxa"/>
            <w:vAlign w:val="center"/>
          </w:tcPr>
          <w:p w14:paraId="41477DEF" w14:textId="77777777"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6EB70AAB" w14:textId="77777777"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7F2141F2" w14:textId="77777777"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p>
        </w:tc>
        <w:tc>
          <w:tcPr>
            <w:tcW w:w="1191" w:type="dxa"/>
            <w:vAlign w:val="center"/>
          </w:tcPr>
          <w:p w14:paraId="39EBDC9F" w14:textId="77777777" w:rsidR="00F6750A" w:rsidRPr="005E7A81" w:rsidRDefault="00F6750A" w:rsidP="00F6750A">
            <w:pPr>
              <w:tabs>
                <w:tab w:val="decimal" w:pos="1021"/>
              </w:tabs>
              <w:overflowPunct w:val="0"/>
              <w:autoSpaceDE w:val="0"/>
              <w:autoSpaceDN w:val="0"/>
              <w:adjustRightInd w:val="0"/>
              <w:spacing w:after="0" w:line="240" w:lineRule="auto"/>
              <w:jc w:val="right"/>
              <w:textAlignment w:val="baseline"/>
              <w:rPr>
                <w:rFonts w:ascii="Arial" w:hAnsi="Arial"/>
                <w:sz w:val="18"/>
              </w:rPr>
            </w:pPr>
          </w:p>
        </w:tc>
      </w:tr>
      <w:tr w:rsidR="00F6750A" w:rsidRPr="00A44138" w14:paraId="5C0C7958" w14:textId="77777777" w:rsidTr="00324A0B">
        <w:trPr>
          <w:trHeight w:val="268"/>
        </w:trPr>
        <w:tc>
          <w:tcPr>
            <w:tcW w:w="3061" w:type="dxa"/>
            <w:vAlign w:val="center"/>
          </w:tcPr>
          <w:p w14:paraId="281F81DC" w14:textId="41282F96" w:rsidR="00F6750A" w:rsidRPr="005E7A81" w:rsidRDefault="00F6750A" w:rsidP="00F6750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sz w:val="18"/>
                <w:szCs w:val="18"/>
                <w:lang w:eastAsia="ko-KR"/>
              </w:rPr>
            </w:pPr>
            <w:r w:rsidRPr="005E7A81">
              <w:rPr>
                <w:rFonts w:ascii="Arial" w:eastAsia="Batang" w:hAnsi="Arial" w:cs="Arial"/>
                <w:sz w:val="18"/>
                <w:szCs w:val="18"/>
                <w:lang w:eastAsia="ko-KR"/>
              </w:rPr>
              <w:t>At 1 January 2025</w:t>
            </w:r>
          </w:p>
        </w:tc>
        <w:tc>
          <w:tcPr>
            <w:tcW w:w="1191" w:type="dxa"/>
            <w:vAlign w:val="center"/>
          </w:tcPr>
          <w:p w14:paraId="5BC5AEE9" w14:textId="2F2071B2" w:rsidR="00F6750A" w:rsidRPr="005E7A81" w:rsidRDefault="00B476A0" w:rsidP="00F6750A">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5.2</w:t>
            </w:r>
          </w:p>
        </w:tc>
        <w:tc>
          <w:tcPr>
            <w:tcW w:w="1247" w:type="dxa"/>
            <w:vAlign w:val="center"/>
          </w:tcPr>
          <w:p w14:paraId="49D40041" w14:textId="4EE38BC0" w:rsidR="00F6750A" w:rsidRPr="005E7A81" w:rsidRDefault="005B1335" w:rsidP="00F6750A">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7.8</w:t>
            </w:r>
          </w:p>
        </w:tc>
        <w:tc>
          <w:tcPr>
            <w:tcW w:w="1191" w:type="dxa"/>
            <w:vAlign w:val="center"/>
          </w:tcPr>
          <w:p w14:paraId="651A8EC2" w14:textId="77301C4E" w:rsidR="00F6750A" w:rsidRPr="005E7A81" w:rsidRDefault="005B1335" w:rsidP="00F6750A">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25.2</w:t>
            </w:r>
          </w:p>
        </w:tc>
        <w:tc>
          <w:tcPr>
            <w:tcW w:w="1191" w:type="dxa"/>
            <w:vAlign w:val="center"/>
          </w:tcPr>
          <w:p w14:paraId="46E39DD0" w14:textId="691ABFE9" w:rsidR="00F6750A" w:rsidRPr="005E7A81" w:rsidRDefault="005B1335" w:rsidP="00F6750A">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214.3</w:t>
            </w:r>
          </w:p>
        </w:tc>
        <w:tc>
          <w:tcPr>
            <w:tcW w:w="1191" w:type="dxa"/>
            <w:vAlign w:val="center"/>
          </w:tcPr>
          <w:p w14:paraId="252A1FA3" w14:textId="3A2171A5" w:rsidR="00F6750A" w:rsidRPr="005E7A81" w:rsidRDefault="0096000E" w:rsidP="00F6750A">
            <w:pPr>
              <w:tabs>
                <w:tab w:val="decimal" w:pos="1021"/>
              </w:tabs>
              <w:overflowPunct w:val="0"/>
              <w:autoSpaceDE w:val="0"/>
              <w:autoSpaceDN w:val="0"/>
              <w:adjustRightInd w:val="0"/>
              <w:spacing w:after="0" w:line="240" w:lineRule="auto"/>
              <w:jc w:val="right"/>
              <w:textAlignment w:val="baseline"/>
              <w:rPr>
                <w:rFonts w:ascii="Arial" w:eastAsia="Batang" w:hAnsi="Arial" w:cs="Arial"/>
                <w:bCs/>
                <w:sz w:val="18"/>
                <w:szCs w:val="18"/>
              </w:rPr>
            </w:pPr>
            <w:r>
              <w:rPr>
                <w:rFonts w:ascii="Arial" w:eastAsia="Batang" w:hAnsi="Arial" w:cs="Arial"/>
                <w:bCs/>
                <w:sz w:val="18"/>
                <w:szCs w:val="18"/>
              </w:rPr>
              <w:t>252.5</w:t>
            </w:r>
          </w:p>
        </w:tc>
      </w:tr>
      <w:tr w:rsidR="00F6750A" w:rsidRPr="00A44138" w14:paraId="2A1217E0" w14:textId="77777777" w:rsidTr="00324A0B">
        <w:trPr>
          <w:trHeight w:val="284"/>
        </w:trPr>
        <w:tc>
          <w:tcPr>
            <w:tcW w:w="3061" w:type="dxa"/>
            <w:vAlign w:val="center"/>
          </w:tcPr>
          <w:p w14:paraId="65980998" w14:textId="1BD78056" w:rsidR="00F6750A" w:rsidRPr="005E7A81" w:rsidRDefault="00F6750A" w:rsidP="00F6750A">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bCs/>
                <w:sz w:val="18"/>
                <w:szCs w:val="18"/>
                <w:lang w:eastAsia="ko-KR"/>
              </w:rPr>
            </w:pPr>
            <w:r w:rsidRPr="005E7A81">
              <w:rPr>
                <w:rFonts w:ascii="Arial" w:eastAsia="Batang" w:hAnsi="Arial" w:cs="Arial"/>
                <w:b/>
                <w:bCs/>
                <w:sz w:val="18"/>
                <w:szCs w:val="18"/>
                <w:lang w:eastAsia="ko-KR"/>
              </w:rPr>
              <w:t>At 30 June 2025</w:t>
            </w:r>
          </w:p>
        </w:tc>
        <w:tc>
          <w:tcPr>
            <w:tcW w:w="1191" w:type="dxa"/>
            <w:tcBorders>
              <w:bottom w:val="double" w:sz="4" w:space="0" w:color="auto"/>
            </w:tcBorders>
            <w:vAlign w:val="center"/>
          </w:tcPr>
          <w:p w14:paraId="14B50A40" w14:textId="6EB248D9" w:rsidR="00F6750A" w:rsidRPr="005E7A81" w:rsidRDefault="000F66DF" w:rsidP="00F6750A">
            <w:pPr>
              <w:tabs>
                <w:tab w:val="decimal" w:pos="1021"/>
              </w:tabs>
              <w:overflowPunct w:val="0"/>
              <w:autoSpaceDE w:val="0"/>
              <w:autoSpaceDN w:val="0"/>
              <w:adjustRightInd w:val="0"/>
              <w:spacing w:after="0" w:line="240" w:lineRule="auto"/>
              <w:jc w:val="right"/>
              <w:textAlignment w:val="baseline"/>
              <w:rPr>
                <w:rFonts w:ascii="Arial" w:hAnsi="Arial"/>
                <w:b/>
                <w:sz w:val="18"/>
              </w:rPr>
            </w:pPr>
            <w:r>
              <w:rPr>
                <w:rFonts w:ascii="Arial" w:hAnsi="Arial"/>
                <w:b/>
                <w:sz w:val="18"/>
              </w:rPr>
              <w:t>3.8</w:t>
            </w:r>
          </w:p>
        </w:tc>
        <w:tc>
          <w:tcPr>
            <w:tcW w:w="1247" w:type="dxa"/>
            <w:tcBorders>
              <w:bottom w:val="double" w:sz="4" w:space="0" w:color="auto"/>
            </w:tcBorders>
            <w:vAlign w:val="center"/>
          </w:tcPr>
          <w:p w14:paraId="005700A9" w14:textId="4EEB6C9D" w:rsidR="00F6750A" w:rsidRPr="005E7A81" w:rsidRDefault="000F66DF" w:rsidP="00F6750A">
            <w:pPr>
              <w:tabs>
                <w:tab w:val="decimal" w:pos="1134"/>
              </w:tabs>
              <w:overflowPunct w:val="0"/>
              <w:autoSpaceDE w:val="0"/>
              <w:autoSpaceDN w:val="0"/>
              <w:adjustRightInd w:val="0"/>
              <w:spacing w:after="0" w:line="240" w:lineRule="auto"/>
              <w:ind w:left="-77"/>
              <w:jc w:val="right"/>
              <w:textAlignment w:val="baseline"/>
              <w:rPr>
                <w:rFonts w:ascii="Arial" w:hAnsi="Arial"/>
                <w:b/>
                <w:sz w:val="18"/>
              </w:rPr>
            </w:pPr>
            <w:r>
              <w:rPr>
                <w:rFonts w:ascii="Arial" w:hAnsi="Arial"/>
                <w:b/>
                <w:sz w:val="18"/>
              </w:rPr>
              <w:t>5.7</w:t>
            </w:r>
          </w:p>
        </w:tc>
        <w:tc>
          <w:tcPr>
            <w:tcW w:w="1191" w:type="dxa"/>
            <w:tcBorders>
              <w:bottom w:val="double" w:sz="4" w:space="0" w:color="auto"/>
            </w:tcBorders>
            <w:vAlign w:val="center"/>
          </w:tcPr>
          <w:p w14:paraId="24C10AD8" w14:textId="03E9E681" w:rsidR="00F6750A" w:rsidRPr="005E7A81" w:rsidRDefault="000F66DF" w:rsidP="00F6750A">
            <w:pPr>
              <w:tabs>
                <w:tab w:val="decimal" w:pos="1021"/>
              </w:tabs>
              <w:overflowPunct w:val="0"/>
              <w:autoSpaceDE w:val="0"/>
              <w:autoSpaceDN w:val="0"/>
              <w:adjustRightInd w:val="0"/>
              <w:spacing w:after="0" w:line="240" w:lineRule="auto"/>
              <w:jc w:val="right"/>
              <w:textAlignment w:val="baseline"/>
              <w:rPr>
                <w:rFonts w:ascii="Arial" w:hAnsi="Arial"/>
                <w:b/>
                <w:sz w:val="18"/>
              </w:rPr>
            </w:pPr>
            <w:r>
              <w:rPr>
                <w:rFonts w:ascii="Arial" w:hAnsi="Arial"/>
                <w:b/>
                <w:sz w:val="18"/>
              </w:rPr>
              <w:t>23.0</w:t>
            </w:r>
          </w:p>
        </w:tc>
        <w:tc>
          <w:tcPr>
            <w:tcW w:w="1191" w:type="dxa"/>
            <w:tcBorders>
              <w:bottom w:val="double" w:sz="4" w:space="0" w:color="auto"/>
            </w:tcBorders>
            <w:vAlign w:val="center"/>
          </w:tcPr>
          <w:p w14:paraId="1CC9C3D5" w14:textId="08553063" w:rsidR="00F6750A" w:rsidRPr="005E7A81" w:rsidRDefault="00391944" w:rsidP="00F6750A">
            <w:pPr>
              <w:tabs>
                <w:tab w:val="decimal" w:pos="1021"/>
              </w:tabs>
              <w:overflowPunct w:val="0"/>
              <w:autoSpaceDE w:val="0"/>
              <w:autoSpaceDN w:val="0"/>
              <w:adjustRightInd w:val="0"/>
              <w:spacing w:after="0" w:line="240" w:lineRule="auto"/>
              <w:jc w:val="right"/>
              <w:textAlignment w:val="baseline"/>
              <w:rPr>
                <w:rFonts w:ascii="Arial" w:hAnsi="Arial"/>
                <w:b/>
                <w:sz w:val="18"/>
              </w:rPr>
            </w:pPr>
            <w:r>
              <w:rPr>
                <w:rFonts w:ascii="Arial" w:hAnsi="Arial"/>
                <w:b/>
                <w:sz w:val="18"/>
              </w:rPr>
              <w:t>214.3</w:t>
            </w:r>
          </w:p>
        </w:tc>
        <w:tc>
          <w:tcPr>
            <w:tcW w:w="1191" w:type="dxa"/>
            <w:tcBorders>
              <w:bottom w:val="double" w:sz="4" w:space="0" w:color="auto"/>
            </w:tcBorders>
            <w:vAlign w:val="center"/>
          </w:tcPr>
          <w:p w14:paraId="036A8F8F" w14:textId="0470D3A3" w:rsidR="00F6750A" w:rsidRPr="005E7A81" w:rsidRDefault="00391944" w:rsidP="00F6750A">
            <w:pPr>
              <w:tabs>
                <w:tab w:val="decimal" w:pos="1021"/>
              </w:tabs>
              <w:overflowPunct w:val="0"/>
              <w:autoSpaceDE w:val="0"/>
              <w:autoSpaceDN w:val="0"/>
              <w:adjustRightInd w:val="0"/>
              <w:spacing w:after="0" w:line="240" w:lineRule="auto"/>
              <w:jc w:val="right"/>
              <w:textAlignment w:val="baseline"/>
              <w:rPr>
                <w:rFonts w:ascii="Arial" w:hAnsi="Arial"/>
                <w:b/>
                <w:sz w:val="18"/>
              </w:rPr>
            </w:pPr>
            <w:r>
              <w:rPr>
                <w:rFonts w:ascii="Arial" w:hAnsi="Arial"/>
                <w:b/>
                <w:sz w:val="18"/>
              </w:rPr>
              <w:t>246.8</w:t>
            </w:r>
          </w:p>
        </w:tc>
      </w:tr>
    </w:tbl>
    <w:p w14:paraId="2F2836C3" w14:textId="77777777" w:rsidR="0068731D" w:rsidRDefault="0068731D" w:rsidP="00392AFF">
      <w:pPr>
        <w:tabs>
          <w:tab w:val="left" w:pos="1559"/>
          <w:tab w:val="left" w:pos="2268"/>
          <w:tab w:val="left" w:pos="2977"/>
          <w:tab w:val="left" w:pos="3686"/>
          <w:tab w:val="left" w:pos="4394"/>
          <w:tab w:val="right" w:pos="8789"/>
        </w:tabs>
        <w:spacing w:after="130" w:line="260" w:lineRule="exact"/>
        <w:jc w:val="both"/>
        <w:rPr>
          <w:rFonts w:ascii="Arial" w:eastAsia="Batang" w:hAnsi="Arial" w:cs="Arial"/>
          <w:b/>
          <w:sz w:val="20"/>
          <w:szCs w:val="20"/>
          <w:lang w:eastAsia="ko-KR"/>
        </w:rPr>
      </w:pPr>
    </w:p>
    <w:p w14:paraId="4577846F" w14:textId="1C6022EA" w:rsidR="00392AFF" w:rsidRPr="0046009B" w:rsidRDefault="00392AFF" w:rsidP="00392AFF">
      <w:pPr>
        <w:tabs>
          <w:tab w:val="left" w:pos="1559"/>
          <w:tab w:val="left" w:pos="2268"/>
          <w:tab w:val="left" w:pos="2977"/>
          <w:tab w:val="left" w:pos="3686"/>
          <w:tab w:val="left" w:pos="4394"/>
          <w:tab w:val="right" w:pos="8789"/>
        </w:tabs>
        <w:spacing w:after="130" w:line="260" w:lineRule="exact"/>
        <w:jc w:val="both"/>
        <w:rPr>
          <w:rFonts w:ascii="Arial" w:eastAsia="Batang" w:hAnsi="Arial" w:cs="Arial"/>
          <w:b/>
          <w:sz w:val="20"/>
          <w:szCs w:val="20"/>
          <w:lang w:eastAsia="ko-KR"/>
        </w:rPr>
      </w:pPr>
      <w:r w:rsidRPr="0046009B">
        <w:rPr>
          <w:rFonts w:ascii="Arial" w:eastAsia="Batang" w:hAnsi="Arial" w:cs="Arial"/>
          <w:b/>
          <w:sz w:val="20"/>
          <w:szCs w:val="20"/>
          <w:lang w:eastAsia="ko-KR"/>
        </w:rPr>
        <w:t>Disposals</w:t>
      </w:r>
    </w:p>
    <w:p w14:paraId="152060CE" w14:textId="0E5ED738" w:rsidR="00392AFF" w:rsidRPr="00DA53C4" w:rsidRDefault="00392AFF" w:rsidP="00392AFF">
      <w:pPr>
        <w:spacing w:after="0" w:line="240" w:lineRule="auto"/>
        <w:jc w:val="both"/>
        <w:rPr>
          <w:bCs/>
          <w:sz w:val="20"/>
        </w:rPr>
      </w:pPr>
      <w:r w:rsidRPr="00DA53C4">
        <w:rPr>
          <w:rFonts w:ascii="Arial" w:hAnsi="Arial"/>
          <w:bCs/>
          <w:sz w:val="20"/>
        </w:rPr>
        <w:t xml:space="preserve">Disposals in the </w:t>
      </w:r>
      <w:r w:rsidR="00F7783B" w:rsidRPr="00DA53C4">
        <w:rPr>
          <w:rFonts w:ascii="Arial" w:hAnsi="Arial"/>
          <w:bCs/>
          <w:sz w:val="20"/>
        </w:rPr>
        <w:t xml:space="preserve">prior </w:t>
      </w:r>
      <w:r w:rsidRPr="00DA53C4">
        <w:rPr>
          <w:rFonts w:ascii="Arial" w:hAnsi="Arial"/>
          <w:bCs/>
          <w:sz w:val="20"/>
        </w:rPr>
        <w:t>year include assets with a combined gross book value of £36.1m and carrying value of £nil that were no longer in use and were therefore retired. There was no impact on profit or loss arising from this.</w:t>
      </w:r>
    </w:p>
    <w:p w14:paraId="120ED444" w14:textId="77777777" w:rsidR="00392AFF" w:rsidRPr="005E7A81" w:rsidRDefault="00392AFF" w:rsidP="00392AFF">
      <w:pPr>
        <w:spacing w:before="160" w:after="0" w:line="240" w:lineRule="auto"/>
        <w:jc w:val="both"/>
        <w:rPr>
          <w:rFonts w:eastAsia="Batang"/>
          <w:b/>
          <w:sz w:val="20"/>
          <w:szCs w:val="20"/>
          <w:lang w:eastAsia="ko-KR"/>
        </w:rPr>
      </w:pPr>
      <w:r w:rsidRPr="005E7A81">
        <w:rPr>
          <w:rFonts w:ascii="Arial" w:eastAsia="Batang" w:hAnsi="Arial" w:cs="Arial"/>
          <w:b/>
          <w:sz w:val="20"/>
          <w:szCs w:val="20"/>
          <w:lang w:eastAsia="ko-KR"/>
        </w:rPr>
        <w:t>Goodwill</w:t>
      </w:r>
    </w:p>
    <w:p w14:paraId="28FE4F30" w14:textId="77777777" w:rsidR="007C586B" w:rsidRPr="00DA53C4" w:rsidRDefault="007C586B" w:rsidP="00392AFF">
      <w:pPr>
        <w:spacing w:before="160" w:after="0" w:line="240" w:lineRule="auto"/>
        <w:jc w:val="both"/>
        <w:rPr>
          <w:rFonts w:ascii="Arial" w:eastAsia="Batang" w:hAnsi="Arial" w:cs="Arial"/>
          <w:sz w:val="20"/>
          <w:szCs w:val="20"/>
          <w:lang w:eastAsia="ko-KR"/>
        </w:rPr>
      </w:pPr>
      <w:r w:rsidRPr="00DA53C4">
        <w:rPr>
          <w:rFonts w:ascii="Arial" w:eastAsia="Batang" w:hAnsi="Arial" w:cs="Arial"/>
          <w:sz w:val="20"/>
          <w:szCs w:val="20"/>
          <w:lang w:eastAsia="ko-KR"/>
        </w:rPr>
        <w:t>The</w:t>
      </w:r>
      <w:r w:rsidR="00392AFF" w:rsidRPr="00DA53C4">
        <w:rPr>
          <w:rFonts w:ascii="Arial" w:eastAsia="Batang" w:hAnsi="Arial" w:cs="Arial"/>
          <w:sz w:val="20"/>
          <w:szCs w:val="20"/>
          <w:lang w:eastAsia="ko-KR"/>
        </w:rPr>
        <w:t xml:space="preserve"> Group had significant balances relating to goodwill as </w:t>
      </w:r>
      <w:r w:rsidRPr="00DA53C4">
        <w:rPr>
          <w:rFonts w:ascii="Arial" w:eastAsia="Batang" w:hAnsi="Arial" w:cs="Arial"/>
          <w:sz w:val="20"/>
          <w:szCs w:val="20"/>
          <w:lang w:eastAsia="ko-KR"/>
        </w:rPr>
        <w:t xml:space="preserve">at 30 June 2025 as </w:t>
      </w:r>
      <w:r w:rsidR="00392AFF" w:rsidRPr="00DA53C4">
        <w:rPr>
          <w:rFonts w:ascii="Arial" w:eastAsia="Batang" w:hAnsi="Arial" w:cs="Arial"/>
          <w:sz w:val="20"/>
          <w:szCs w:val="20"/>
          <w:lang w:eastAsia="ko-KR"/>
        </w:rPr>
        <w:t>a result of acquisitions of businesses in previous years. Goodwill balances are tested annually for impairment or if events or changes in circumstances indicate that the carrying amount of these assets may not be recoverable.</w:t>
      </w:r>
      <w:r w:rsidRPr="00DA53C4">
        <w:rPr>
          <w:rFonts w:ascii="Arial" w:eastAsia="Batang" w:hAnsi="Arial" w:cs="Arial"/>
          <w:sz w:val="20"/>
          <w:szCs w:val="20"/>
          <w:lang w:eastAsia="ko-KR"/>
        </w:rPr>
        <w:t xml:space="preserve"> </w:t>
      </w:r>
    </w:p>
    <w:p w14:paraId="494C8EBF" w14:textId="4AB3C477" w:rsidR="007C586B" w:rsidRPr="00DA53C4" w:rsidRDefault="007C586B" w:rsidP="00392AFF">
      <w:pPr>
        <w:spacing w:before="160" w:after="0" w:line="240" w:lineRule="auto"/>
        <w:jc w:val="both"/>
        <w:rPr>
          <w:rFonts w:ascii="Arial" w:eastAsia="Batang" w:hAnsi="Arial" w:cs="Arial"/>
          <w:sz w:val="20"/>
          <w:szCs w:val="20"/>
          <w:lang w:eastAsia="ko-KR"/>
        </w:rPr>
      </w:pPr>
      <w:r w:rsidRPr="00DA53C4">
        <w:rPr>
          <w:rFonts w:ascii="Arial" w:eastAsia="Batang" w:hAnsi="Arial" w:cs="Arial"/>
          <w:sz w:val="20"/>
          <w:szCs w:val="20"/>
          <w:lang w:eastAsia="ko-KR"/>
        </w:rPr>
        <w:t>In accordance with IAS 36 – Impairment of Assets, the Group has considered whether there have been any indicators of impairment during the six months ended 30 June 202</w:t>
      </w:r>
      <w:r w:rsidR="00582AB2" w:rsidRPr="00DA53C4">
        <w:rPr>
          <w:rFonts w:ascii="Arial" w:eastAsia="Batang" w:hAnsi="Arial" w:cs="Arial"/>
          <w:sz w:val="20"/>
          <w:szCs w:val="20"/>
          <w:lang w:eastAsia="ko-KR"/>
        </w:rPr>
        <w:t>5</w:t>
      </w:r>
      <w:r w:rsidRPr="00DA53C4">
        <w:rPr>
          <w:rFonts w:ascii="Arial" w:eastAsia="Batang" w:hAnsi="Arial" w:cs="Arial"/>
          <w:sz w:val="20"/>
          <w:szCs w:val="20"/>
          <w:lang w:eastAsia="ko-KR"/>
        </w:rPr>
        <w:t xml:space="preserve">, which would require an impairment review to be performed. No indicators have been identified and therefore no impairment testing has been performed. </w:t>
      </w:r>
    </w:p>
    <w:p w14:paraId="4C2DB722" w14:textId="77777777" w:rsidR="00D35CE6" w:rsidRPr="00A44138" w:rsidRDefault="00D35CE6" w:rsidP="00D35CE6">
      <w:pPr>
        <w:pStyle w:val="ListParagraph"/>
        <w:numPr>
          <w:ilvl w:val="0"/>
          <w:numId w:val="2"/>
        </w:numPr>
        <w:tabs>
          <w:tab w:val="left" w:pos="709"/>
          <w:tab w:val="left" w:pos="1559"/>
          <w:tab w:val="left" w:pos="2268"/>
          <w:tab w:val="left" w:pos="2977"/>
          <w:tab w:val="left" w:pos="3686"/>
          <w:tab w:val="left" w:pos="4394"/>
          <w:tab w:val="right" w:pos="8789"/>
        </w:tabs>
        <w:autoSpaceDE w:val="0"/>
        <w:autoSpaceDN w:val="0"/>
        <w:adjustRightInd w:val="0"/>
        <w:spacing w:before="240" w:after="0" w:line="240" w:lineRule="auto"/>
        <w:contextualSpacing w:val="0"/>
        <w:rPr>
          <w:rFonts w:ascii="Arial" w:hAnsi="Arial"/>
          <w:b/>
          <w:bCs/>
          <w:sz w:val="20"/>
        </w:rPr>
      </w:pPr>
      <w:r w:rsidRPr="00A44138">
        <w:rPr>
          <w:rFonts w:ascii="Arial" w:hAnsi="Arial"/>
          <w:b/>
          <w:bCs/>
          <w:sz w:val="20"/>
        </w:rPr>
        <w:lastRenderedPageBreak/>
        <w:t>Borrowings</w:t>
      </w:r>
    </w:p>
    <w:tbl>
      <w:tblPr>
        <w:tblW w:w="9008" w:type="dxa"/>
        <w:tblLayout w:type="fixed"/>
        <w:tblCellMar>
          <w:left w:w="0" w:type="dxa"/>
          <w:right w:w="0" w:type="dxa"/>
        </w:tblCellMar>
        <w:tblLook w:val="0000" w:firstRow="0" w:lastRow="0" w:firstColumn="0" w:lastColumn="0" w:noHBand="0" w:noVBand="0"/>
      </w:tblPr>
      <w:tblGrid>
        <w:gridCol w:w="4757"/>
        <w:gridCol w:w="1417"/>
        <w:gridCol w:w="1417"/>
        <w:gridCol w:w="1417"/>
      </w:tblGrid>
      <w:tr w:rsidR="00D35CE6" w:rsidRPr="00A44138" w14:paraId="6911A39A" w14:textId="77777777" w:rsidTr="00844697">
        <w:tc>
          <w:tcPr>
            <w:tcW w:w="4757" w:type="dxa"/>
          </w:tcPr>
          <w:p w14:paraId="10D75E6F" w14:textId="77777777" w:rsidR="00D35CE6" w:rsidRPr="00A44138" w:rsidRDefault="00D35CE6" w:rsidP="00844697">
            <w:pPr>
              <w:tabs>
                <w:tab w:val="left" w:pos="709"/>
                <w:tab w:val="left" w:pos="1559"/>
                <w:tab w:val="left" w:pos="2268"/>
                <w:tab w:val="left" w:pos="2977"/>
                <w:tab w:val="left" w:pos="3686"/>
                <w:tab w:val="left" w:pos="4394"/>
                <w:tab w:val="right" w:pos="8789"/>
              </w:tabs>
              <w:spacing w:after="0" w:line="260" w:lineRule="atLeast"/>
              <w:rPr>
                <w:rFonts w:ascii="Arial" w:hAnsi="Arial"/>
                <w:sz w:val="20"/>
              </w:rPr>
            </w:pPr>
          </w:p>
        </w:tc>
        <w:tc>
          <w:tcPr>
            <w:tcW w:w="1417" w:type="dxa"/>
            <w:vAlign w:val="bottom"/>
          </w:tcPr>
          <w:p w14:paraId="314E7BF3" w14:textId="77777777" w:rsidR="00D35CE6" w:rsidRPr="00A44138"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 xml:space="preserve">30 June </w:t>
            </w:r>
          </w:p>
          <w:p w14:paraId="2AF5F8E3" w14:textId="77777777" w:rsidR="00D35CE6" w:rsidRPr="00A44138"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202</w:t>
            </w:r>
            <w:r>
              <w:rPr>
                <w:rFonts w:ascii="Arial" w:eastAsia="Batang" w:hAnsi="Arial" w:cs="Arial"/>
                <w:b/>
                <w:sz w:val="18"/>
                <w:szCs w:val="18"/>
              </w:rPr>
              <w:t>5</w:t>
            </w:r>
          </w:p>
        </w:tc>
        <w:tc>
          <w:tcPr>
            <w:tcW w:w="1417" w:type="dxa"/>
          </w:tcPr>
          <w:p w14:paraId="3959ED9D" w14:textId="77777777" w:rsidR="00D35CE6" w:rsidRPr="005E7A81"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31 December 2024</w:t>
            </w:r>
          </w:p>
        </w:tc>
        <w:tc>
          <w:tcPr>
            <w:tcW w:w="1417" w:type="dxa"/>
            <w:vAlign w:val="bottom"/>
          </w:tcPr>
          <w:p w14:paraId="49FD6F02" w14:textId="77777777" w:rsidR="00D35CE6" w:rsidRPr="005E7A81" w:rsidRDefault="00D35CE6" w:rsidP="00844697">
            <w:pPr>
              <w:tabs>
                <w:tab w:val="decimal" w:pos="1021"/>
              </w:tabs>
              <w:overflowPunct w:val="0"/>
              <w:autoSpaceDE w:val="0"/>
              <w:autoSpaceDN w:val="0"/>
              <w:adjustRightInd w:val="0"/>
              <w:spacing w:after="0" w:line="240" w:lineRule="auto"/>
              <w:ind w:left="-77" w:hanging="142"/>
              <w:jc w:val="right"/>
              <w:textAlignment w:val="baseline"/>
              <w:rPr>
                <w:rFonts w:ascii="Arial" w:eastAsia="Batang" w:hAnsi="Arial" w:cs="Arial"/>
                <w:b/>
                <w:sz w:val="18"/>
                <w:szCs w:val="18"/>
              </w:rPr>
            </w:pPr>
            <w:r w:rsidRPr="005E7A81">
              <w:rPr>
                <w:rFonts w:ascii="Arial" w:eastAsia="Batang" w:hAnsi="Arial" w:cs="Arial"/>
                <w:b/>
                <w:sz w:val="18"/>
                <w:szCs w:val="18"/>
              </w:rPr>
              <w:t xml:space="preserve">30 June </w:t>
            </w:r>
          </w:p>
          <w:p w14:paraId="1A988ACD" w14:textId="77777777" w:rsidR="00D35CE6" w:rsidRPr="005E7A81" w:rsidRDefault="00D35CE6" w:rsidP="00844697">
            <w:pPr>
              <w:tabs>
                <w:tab w:val="decimal" w:pos="1021"/>
              </w:tabs>
              <w:overflowPunct w:val="0"/>
              <w:autoSpaceDE w:val="0"/>
              <w:autoSpaceDN w:val="0"/>
              <w:adjustRightInd w:val="0"/>
              <w:spacing w:after="0" w:line="240" w:lineRule="auto"/>
              <w:ind w:left="-77" w:hanging="142"/>
              <w:jc w:val="right"/>
              <w:textAlignment w:val="baseline"/>
              <w:rPr>
                <w:rFonts w:ascii="Arial" w:eastAsia="Batang" w:hAnsi="Arial" w:cs="Arial"/>
                <w:b/>
                <w:sz w:val="18"/>
                <w:szCs w:val="18"/>
              </w:rPr>
            </w:pPr>
            <w:r w:rsidRPr="005E7A81">
              <w:rPr>
                <w:rFonts w:ascii="Arial" w:eastAsia="Batang" w:hAnsi="Arial" w:cs="Arial"/>
                <w:b/>
                <w:sz w:val="18"/>
                <w:szCs w:val="18"/>
              </w:rPr>
              <w:t xml:space="preserve">2024 </w:t>
            </w:r>
          </w:p>
        </w:tc>
      </w:tr>
      <w:tr w:rsidR="00D35CE6" w:rsidRPr="00A44138" w14:paraId="70793ACD" w14:textId="77777777" w:rsidTr="00844697">
        <w:tc>
          <w:tcPr>
            <w:tcW w:w="4757" w:type="dxa"/>
            <w:vAlign w:val="center"/>
          </w:tcPr>
          <w:p w14:paraId="64BE2F92" w14:textId="77777777" w:rsidR="00D35CE6" w:rsidRPr="00A44138" w:rsidRDefault="00D35CE6" w:rsidP="00844697">
            <w:pPr>
              <w:tabs>
                <w:tab w:val="left" w:pos="709"/>
                <w:tab w:val="left" w:pos="1559"/>
                <w:tab w:val="left" w:pos="2268"/>
                <w:tab w:val="left" w:pos="2977"/>
                <w:tab w:val="left" w:pos="3686"/>
                <w:tab w:val="left" w:pos="4394"/>
                <w:tab w:val="right" w:pos="8789"/>
              </w:tabs>
              <w:spacing w:after="0" w:line="260" w:lineRule="atLeast"/>
              <w:rPr>
                <w:rFonts w:ascii="Arial" w:hAnsi="Arial"/>
                <w:b/>
                <w:sz w:val="18"/>
                <w:szCs w:val="20"/>
              </w:rPr>
            </w:pPr>
          </w:p>
        </w:tc>
        <w:tc>
          <w:tcPr>
            <w:tcW w:w="1417" w:type="dxa"/>
            <w:vAlign w:val="center"/>
          </w:tcPr>
          <w:p w14:paraId="2E6008F0" w14:textId="77777777" w:rsidR="00D35CE6"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A44138">
              <w:rPr>
                <w:rFonts w:ascii="Arial" w:eastAsia="Batang" w:hAnsi="Arial" w:cs="Arial"/>
                <w:b/>
                <w:sz w:val="18"/>
                <w:szCs w:val="18"/>
              </w:rPr>
              <w:t>£m</w:t>
            </w:r>
          </w:p>
          <w:p w14:paraId="6F33F211" w14:textId="77777777" w:rsidR="00C90E5D" w:rsidRPr="00A44138" w:rsidRDefault="00C90E5D"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1417" w:type="dxa"/>
            <w:vAlign w:val="center"/>
          </w:tcPr>
          <w:p w14:paraId="0CC67B3D" w14:textId="77777777" w:rsidR="00D35CE6"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bCs/>
                <w:sz w:val="18"/>
                <w:szCs w:val="18"/>
              </w:rPr>
            </w:pPr>
            <w:r w:rsidRPr="005E7A81">
              <w:rPr>
                <w:rFonts w:ascii="Arial" w:eastAsia="Batang" w:hAnsi="Arial" w:cs="Arial"/>
                <w:b/>
                <w:bCs/>
                <w:sz w:val="18"/>
                <w:szCs w:val="18"/>
              </w:rPr>
              <w:t>£m</w:t>
            </w:r>
          </w:p>
          <w:p w14:paraId="36DA63F2" w14:textId="1CF8A2F0" w:rsidR="00C90E5D" w:rsidRPr="00C90E5D" w:rsidRDefault="00C90E5D"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i/>
                <w:iCs/>
                <w:sz w:val="18"/>
                <w:szCs w:val="18"/>
              </w:rPr>
            </w:pPr>
            <w:r w:rsidRPr="00C90E5D">
              <w:rPr>
                <w:rFonts w:ascii="Arial" w:eastAsia="Batang" w:hAnsi="Arial" w:cs="Arial"/>
                <w:i/>
                <w:iCs/>
                <w:sz w:val="18"/>
                <w:szCs w:val="18"/>
              </w:rPr>
              <w:t>Restated</w:t>
            </w:r>
          </w:p>
        </w:tc>
        <w:tc>
          <w:tcPr>
            <w:tcW w:w="1417" w:type="dxa"/>
            <w:vAlign w:val="center"/>
          </w:tcPr>
          <w:p w14:paraId="2457396A" w14:textId="77777777" w:rsidR="00D35CE6"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5E7A81">
              <w:rPr>
                <w:rFonts w:ascii="Arial" w:eastAsia="Batang" w:hAnsi="Arial" w:cs="Arial"/>
                <w:b/>
                <w:sz w:val="18"/>
                <w:szCs w:val="18"/>
              </w:rPr>
              <w:t>£m</w:t>
            </w:r>
          </w:p>
          <w:p w14:paraId="733918CC" w14:textId="41426642" w:rsidR="00C90E5D" w:rsidRPr="005E7A81" w:rsidRDefault="00C90E5D"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C90E5D">
              <w:rPr>
                <w:rFonts w:ascii="Arial" w:eastAsia="Batang" w:hAnsi="Arial" w:cs="Arial"/>
                <w:i/>
                <w:iCs/>
                <w:sz w:val="18"/>
                <w:szCs w:val="18"/>
              </w:rPr>
              <w:t>Restated</w:t>
            </w:r>
          </w:p>
        </w:tc>
      </w:tr>
      <w:tr w:rsidR="00D35CE6" w:rsidRPr="00A44138" w14:paraId="497B2187" w14:textId="77777777" w:rsidTr="00844697">
        <w:tc>
          <w:tcPr>
            <w:tcW w:w="4757" w:type="dxa"/>
            <w:vAlign w:val="center"/>
          </w:tcPr>
          <w:p w14:paraId="75D1AB80" w14:textId="47D73353" w:rsidR="00D35CE6" w:rsidRPr="00A44138" w:rsidRDefault="00526F75" w:rsidP="00844697">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Pr>
                <w:rFonts w:ascii="Arial" w:hAnsi="Arial"/>
                <w:b/>
                <w:bCs/>
                <w:sz w:val="18"/>
                <w:szCs w:val="20"/>
              </w:rPr>
              <w:t>Non-c</w:t>
            </w:r>
            <w:r w:rsidR="00D35CE6" w:rsidRPr="00A44138">
              <w:rPr>
                <w:rFonts w:ascii="Arial" w:hAnsi="Arial"/>
                <w:b/>
                <w:bCs/>
                <w:sz w:val="18"/>
                <w:szCs w:val="20"/>
              </w:rPr>
              <w:t>urrent</w:t>
            </w:r>
          </w:p>
        </w:tc>
        <w:tc>
          <w:tcPr>
            <w:tcW w:w="1417" w:type="dxa"/>
            <w:vAlign w:val="center"/>
          </w:tcPr>
          <w:p w14:paraId="07AD5666" w14:textId="77777777" w:rsidR="00D35CE6" w:rsidRPr="00A44138"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1417" w:type="dxa"/>
            <w:vAlign w:val="center"/>
          </w:tcPr>
          <w:p w14:paraId="1FD83523" w14:textId="77777777" w:rsidR="00D35CE6" w:rsidRPr="005E7A81"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1417" w:type="dxa"/>
            <w:vAlign w:val="center"/>
          </w:tcPr>
          <w:p w14:paraId="447B4E64" w14:textId="77777777" w:rsidR="00D35CE6" w:rsidRPr="005E7A81"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p>
        </w:tc>
      </w:tr>
      <w:tr w:rsidR="00D35CE6" w:rsidRPr="00247A79" w14:paraId="2054501A" w14:textId="77777777" w:rsidTr="00AD174D">
        <w:trPr>
          <w:trHeight w:val="66"/>
        </w:trPr>
        <w:tc>
          <w:tcPr>
            <w:tcW w:w="4757" w:type="dxa"/>
            <w:vAlign w:val="center"/>
          </w:tcPr>
          <w:p w14:paraId="13C211A9" w14:textId="77777777" w:rsidR="00D35CE6" w:rsidRPr="00247A79" w:rsidRDefault="00D35CE6" w:rsidP="00844697">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247A79">
              <w:rPr>
                <w:rFonts w:ascii="Arial" w:hAnsi="Arial"/>
                <w:bCs/>
                <w:sz w:val="18"/>
                <w:szCs w:val="18"/>
              </w:rPr>
              <w:t>Revolving credit facility</w:t>
            </w:r>
          </w:p>
        </w:tc>
        <w:tc>
          <w:tcPr>
            <w:tcW w:w="1417" w:type="dxa"/>
            <w:tcBorders>
              <w:bottom w:val="double" w:sz="4" w:space="0" w:color="auto"/>
            </w:tcBorders>
          </w:tcPr>
          <w:p w14:paraId="172C3D2A" w14:textId="594E8C14" w:rsidR="00D35CE6" w:rsidRPr="00DA53C4" w:rsidRDefault="009E3D40"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45.0</w:t>
            </w:r>
          </w:p>
        </w:tc>
        <w:tc>
          <w:tcPr>
            <w:tcW w:w="1417" w:type="dxa"/>
            <w:tcBorders>
              <w:bottom w:val="double" w:sz="4" w:space="0" w:color="auto"/>
            </w:tcBorders>
            <w:vAlign w:val="center"/>
          </w:tcPr>
          <w:p w14:paraId="173333A6" w14:textId="77777777" w:rsidR="00D35CE6" w:rsidRPr="00247A79"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247A79">
              <w:rPr>
                <w:rFonts w:ascii="Arial" w:eastAsia="Batang" w:hAnsi="Arial" w:cs="Arial"/>
                <w:sz w:val="18"/>
                <w:szCs w:val="18"/>
              </w:rPr>
              <w:t>12.0</w:t>
            </w:r>
          </w:p>
        </w:tc>
        <w:tc>
          <w:tcPr>
            <w:tcW w:w="1417" w:type="dxa"/>
            <w:tcBorders>
              <w:bottom w:val="double" w:sz="4" w:space="0" w:color="auto"/>
            </w:tcBorders>
          </w:tcPr>
          <w:p w14:paraId="22513468" w14:textId="77777777" w:rsidR="00D35CE6" w:rsidRPr="00247A79" w:rsidRDefault="00D35CE6" w:rsidP="00844697">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247A79">
              <w:rPr>
                <w:rFonts w:ascii="Arial" w:eastAsia="Batang" w:hAnsi="Arial" w:cs="Arial"/>
                <w:bCs/>
                <w:sz w:val="18"/>
                <w:szCs w:val="18"/>
              </w:rPr>
              <w:t>33.0</w:t>
            </w:r>
          </w:p>
        </w:tc>
      </w:tr>
    </w:tbl>
    <w:p w14:paraId="1A86186C" w14:textId="77777777" w:rsidR="00D35CE6" w:rsidRPr="00247A79" w:rsidRDefault="00D35CE6" w:rsidP="00D35CE6">
      <w:pPr>
        <w:autoSpaceDE w:val="0"/>
        <w:autoSpaceDN w:val="0"/>
        <w:adjustRightInd w:val="0"/>
        <w:spacing w:after="0" w:line="240" w:lineRule="auto"/>
        <w:rPr>
          <w:rFonts w:ascii="Arial" w:hAnsi="Arial"/>
          <w:b/>
          <w:bCs/>
          <w:color w:val="FF0000"/>
          <w:sz w:val="18"/>
          <w:szCs w:val="20"/>
        </w:rPr>
      </w:pPr>
    </w:p>
    <w:p w14:paraId="66917829" w14:textId="77777777" w:rsidR="00AD174D" w:rsidRPr="00247A79" w:rsidRDefault="00AD174D" w:rsidP="00D35CE6">
      <w:pPr>
        <w:autoSpaceDE w:val="0"/>
        <w:autoSpaceDN w:val="0"/>
        <w:adjustRightInd w:val="0"/>
        <w:spacing w:after="0" w:line="240" w:lineRule="auto"/>
        <w:rPr>
          <w:rFonts w:ascii="Arial" w:hAnsi="Arial"/>
          <w:b/>
          <w:bCs/>
          <w:color w:val="FF0000"/>
          <w:sz w:val="18"/>
          <w:szCs w:val="20"/>
        </w:rPr>
      </w:pPr>
    </w:p>
    <w:tbl>
      <w:tblPr>
        <w:tblW w:w="9008" w:type="dxa"/>
        <w:tblLayout w:type="fixed"/>
        <w:tblCellMar>
          <w:left w:w="0" w:type="dxa"/>
          <w:right w:w="0" w:type="dxa"/>
        </w:tblCellMar>
        <w:tblLook w:val="0000" w:firstRow="0" w:lastRow="0" w:firstColumn="0" w:lastColumn="0" w:noHBand="0" w:noVBand="0"/>
      </w:tblPr>
      <w:tblGrid>
        <w:gridCol w:w="4757"/>
        <w:gridCol w:w="1417"/>
        <w:gridCol w:w="1417"/>
        <w:gridCol w:w="1417"/>
      </w:tblGrid>
      <w:tr w:rsidR="00AD174D" w:rsidRPr="00247A79" w14:paraId="6195C902" w14:textId="77777777">
        <w:tc>
          <w:tcPr>
            <w:tcW w:w="4757" w:type="dxa"/>
            <w:vAlign w:val="center"/>
          </w:tcPr>
          <w:p w14:paraId="3AE82A00" w14:textId="4E160A47" w:rsidR="00AD174D" w:rsidRPr="00247A79" w:rsidRDefault="00AD174D">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247A79">
              <w:rPr>
                <w:rFonts w:ascii="Arial" w:hAnsi="Arial"/>
                <w:b/>
                <w:bCs/>
                <w:sz w:val="18"/>
                <w:szCs w:val="20"/>
              </w:rPr>
              <w:t>Current</w:t>
            </w:r>
          </w:p>
        </w:tc>
        <w:tc>
          <w:tcPr>
            <w:tcW w:w="1417" w:type="dxa"/>
            <w:vAlign w:val="center"/>
          </w:tcPr>
          <w:p w14:paraId="77A0080E" w14:textId="77777777" w:rsidR="00AD174D" w:rsidRPr="00247A79"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1417" w:type="dxa"/>
            <w:vAlign w:val="center"/>
          </w:tcPr>
          <w:p w14:paraId="5161FAEB" w14:textId="77777777" w:rsidR="00AD174D" w:rsidRPr="00247A79"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p>
        </w:tc>
        <w:tc>
          <w:tcPr>
            <w:tcW w:w="1417" w:type="dxa"/>
            <w:vAlign w:val="center"/>
          </w:tcPr>
          <w:p w14:paraId="36E3F0B3" w14:textId="77777777" w:rsidR="00AD174D" w:rsidRPr="00247A79"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p>
        </w:tc>
      </w:tr>
      <w:tr w:rsidR="00AD174D" w:rsidRPr="005E7A81" w14:paraId="656A7943" w14:textId="77777777" w:rsidTr="00AD174D">
        <w:trPr>
          <w:trHeight w:val="66"/>
        </w:trPr>
        <w:tc>
          <w:tcPr>
            <w:tcW w:w="4757" w:type="dxa"/>
            <w:vAlign w:val="center"/>
          </w:tcPr>
          <w:p w14:paraId="35C510FF" w14:textId="77777777" w:rsidR="00AD174D" w:rsidRPr="00247A79" w:rsidRDefault="00AD174D">
            <w:pPr>
              <w:tabs>
                <w:tab w:val="left" w:pos="709"/>
                <w:tab w:val="left" w:pos="1559"/>
                <w:tab w:val="left" w:pos="2268"/>
                <w:tab w:val="left" w:pos="2977"/>
                <w:tab w:val="left" w:pos="3686"/>
                <w:tab w:val="left" w:pos="4394"/>
                <w:tab w:val="right" w:pos="8789"/>
              </w:tabs>
              <w:spacing w:after="0" w:line="260" w:lineRule="atLeast"/>
              <w:rPr>
                <w:rFonts w:ascii="Arial" w:hAnsi="Arial"/>
                <w:bCs/>
                <w:sz w:val="18"/>
                <w:szCs w:val="18"/>
              </w:rPr>
            </w:pPr>
            <w:r w:rsidRPr="00247A79">
              <w:rPr>
                <w:rFonts w:ascii="Arial" w:hAnsi="Arial"/>
                <w:bCs/>
                <w:sz w:val="18"/>
                <w:szCs w:val="18"/>
              </w:rPr>
              <w:t>Loan</w:t>
            </w:r>
          </w:p>
        </w:tc>
        <w:tc>
          <w:tcPr>
            <w:tcW w:w="1417" w:type="dxa"/>
            <w:tcBorders>
              <w:bottom w:val="double" w:sz="4" w:space="0" w:color="auto"/>
            </w:tcBorders>
          </w:tcPr>
          <w:p w14:paraId="6429CCFE" w14:textId="77777777" w:rsidR="00AD174D" w:rsidRPr="00DA53C4"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
                <w:sz w:val="18"/>
                <w:szCs w:val="18"/>
              </w:rPr>
            </w:pPr>
            <w:r w:rsidRPr="00DA53C4">
              <w:rPr>
                <w:rFonts w:ascii="Arial" w:eastAsia="Batang" w:hAnsi="Arial" w:cs="Arial"/>
                <w:b/>
                <w:sz w:val="18"/>
                <w:szCs w:val="18"/>
              </w:rPr>
              <w:t>-</w:t>
            </w:r>
          </w:p>
        </w:tc>
        <w:tc>
          <w:tcPr>
            <w:tcW w:w="1417" w:type="dxa"/>
            <w:tcBorders>
              <w:bottom w:val="double" w:sz="4" w:space="0" w:color="auto"/>
            </w:tcBorders>
            <w:vAlign w:val="center"/>
          </w:tcPr>
          <w:p w14:paraId="32AA1B9E" w14:textId="77777777" w:rsidR="00AD174D" w:rsidRPr="00247A79"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sz w:val="18"/>
                <w:szCs w:val="18"/>
              </w:rPr>
            </w:pPr>
            <w:r w:rsidRPr="00247A79">
              <w:rPr>
                <w:rFonts w:ascii="Arial" w:eastAsia="Batang" w:hAnsi="Arial" w:cs="Arial"/>
                <w:sz w:val="18"/>
                <w:szCs w:val="18"/>
              </w:rPr>
              <w:t>-</w:t>
            </w:r>
          </w:p>
        </w:tc>
        <w:tc>
          <w:tcPr>
            <w:tcW w:w="1417" w:type="dxa"/>
            <w:tcBorders>
              <w:bottom w:val="double" w:sz="4" w:space="0" w:color="auto"/>
            </w:tcBorders>
          </w:tcPr>
          <w:p w14:paraId="42F25317" w14:textId="77777777" w:rsidR="00AD174D" w:rsidRPr="005E7A81" w:rsidRDefault="00AD174D">
            <w:pPr>
              <w:tabs>
                <w:tab w:val="decimal" w:pos="964"/>
                <w:tab w:val="decimal" w:pos="1070"/>
              </w:tabs>
              <w:overflowPunct w:val="0"/>
              <w:autoSpaceDE w:val="0"/>
              <w:autoSpaceDN w:val="0"/>
              <w:adjustRightInd w:val="0"/>
              <w:spacing w:after="0" w:line="240" w:lineRule="auto"/>
              <w:ind w:right="80"/>
              <w:jc w:val="right"/>
              <w:textAlignment w:val="baseline"/>
              <w:rPr>
                <w:rFonts w:ascii="Arial" w:eastAsia="Batang" w:hAnsi="Arial" w:cs="Arial"/>
                <w:bCs/>
                <w:sz w:val="18"/>
                <w:szCs w:val="18"/>
              </w:rPr>
            </w:pPr>
            <w:r w:rsidRPr="00247A79">
              <w:rPr>
                <w:rFonts w:ascii="Arial" w:eastAsia="Batang" w:hAnsi="Arial" w:cs="Arial"/>
                <w:bCs/>
                <w:sz w:val="18"/>
                <w:szCs w:val="18"/>
              </w:rPr>
              <w:t>15.0</w:t>
            </w:r>
          </w:p>
        </w:tc>
      </w:tr>
    </w:tbl>
    <w:p w14:paraId="45BB3B8B" w14:textId="77777777" w:rsidR="00AD174D" w:rsidRDefault="00AD174D" w:rsidP="009E3D40">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sz w:val="20"/>
        </w:rPr>
      </w:pPr>
    </w:p>
    <w:p w14:paraId="1CFDB5A2" w14:textId="142351D8" w:rsidR="00D35CE6" w:rsidRPr="0004657E" w:rsidRDefault="0004657E" w:rsidP="009E3D40">
      <w:pPr>
        <w:tabs>
          <w:tab w:val="left" w:pos="709"/>
          <w:tab w:val="left" w:pos="1559"/>
          <w:tab w:val="left" w:pos="2268"/>
          <w:tab w:val="left" w:pos="2977"/>
          <w:tab w:val="left" w:pos="3686"/>
          <w:tab w:val="left" w:pos="4394"/>
          <w:tab w:val="right" w:pos="8789"/>
        </w:tabs>
        <w:autoSpaceDE w:val="0"/>
        <w:autoSpaceDN w:val="0"/>
        <w:adjustRightInd w:val="0"/>
        <w:spacing w:after="0" w:line="240" w:lineRule="auto"/>
        <w:jc w:val="both"/>
        <w:rPr>
          <w:rFonts w:ascii="Arial" w:hAnsi="Arial"/>
          <w:sz w:val="20"/>
        </w:rPr>
      </w:pPr>
      <w:r w:rsidRPr="0004657E">
        <w:rPr>
          <w:rFonts w:ascii="Arial" w:hAnsi="Arial"/>
          <w:sz w:val="20"/>
        </w:rPr>
        <w:t xml:space="preserve">The revolving </w:t>
      </w:r>
      <w:r>
        <w:rPr>
          <w:rFonts w:ascii="Arial" w:hAnsi="Arial"/>
          <w:sz w:val="20"/>
        </w:rPr>
        <w:t xml:space="preserve">credit facility has been presented as </w:t>
      </w:r>
      <w:r w:rsidR="00CF2BEC">
        <w:rPr>
          <w:rFonts w:ascii="Arial" w:hAnsi="Arial"/>
          <w:sz w:val="20"/>
        </w:rPr>
        <w:t xml:space="preserve">a non-current liability </w:t>
      </w:r>
      <w:r w:rsidR="002E711D">
        <w:rPr>
          <w:rFonts w:ascii="Arial" w:hAnsi="Arial"/>
          <w:sz w:val="20"/>
        </w:rPr>
        <w:t xml:space="preserve">in accordance with the requirements of IAS 1 </w:t>
      </w:r>
      <w:r w:rsidR="00C0217E">
        <w:rPr>
          <w:rFonts w:ascii="Arial" w:hAnsi="Arial"/>
          <w:sz w:val="20"/>
        </w:rPr>
        <w:t>– Presentation of Financial Statements due to the Group having</w:t>
      </w:r>
      <w:r w:rsidR="00526F75">
        <w:rPr>
          <w:rFonts w:ascii="Arial" w:hAnsi="Arial"/>
          <w:sz w:val="20"/>
        </w:rPr>
        <w:t xml:space="preserve"> the right to defer settlement for at least 12 months. The comparative balances </w:t>
      </w:r>
      <w:r w:rsidR="009E3D40">
        <w:rPr>
          <w:rFonts w:ascii="Arial" w:hAnsi="Arial"/>
          <w:sz w:val="20"/>
        </w:rPr>
        <w:t>in respect of 31 December and 30 June 2024 have been restated accordingly.</w:t>
      </w:r>
    </w:p>
    <w:p w14:paraId="19850348" w14:textId="3B789BCC" w:rsidR="00392AFF" w:rsidRDefault="00392AFF" w:rsidP="00294FD1">
      <w:pPr>
        <w:pStyle w:val="ListParagraph"/>
        <w:numPr>
          <w:ilvl w:val="0"/>
          <w:numId w:val="2"/>
        </w:numPr>
        <w:tabs>
          <w:tab w:val="left" w:pos="709"/>
          <w:tab w:val="left" w:pos="1559"/>
          <w:tab w:val="left" w:pos="2268"/>
          <w:tab w:val="left" w:pos="2977"/>
          <w:tab w:val="left" w:pos="3686"/>
          <w:tab w:val="left" w:pos="4394"/>
          <w:tab w:val="right" w:pos="8789"/>
        </w:tabs>
        <w:autoSpaceDE w:val="0"/>
        <w:autoSpaceDN w:val="0"/>
        <w:adjustRightInd w:val="0"/>
        <w:spacing w:before="240" w:after="0" w:line="240" w:lineRule="auto"/>
        <w:contextualSpacing w:val="0"/>
        <w:rPr>
          <w:rFonts w:ascii="Arial" w:hAnsi="Arial"/>
          <w:b/>
          <w:bCs/>
          <w:sz w:val="20"/>
        </w:rPr>
      </w:pPr>
      <w:r>
        <w:rPr>
          <w:rFonts w:ascii="Arial" w:hAnsi="Arial"/>
          <w:b/>
          <w:bCs/>
          <w:sz w:val="20"/>
        </w:rPr>
        <w:t xml:space="preserve">Provisions </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523"/>
        <w:gridCol w:w="1558"/>
        <w:gridCol w:w="1183"/>
      </w:tblGrid>
      <w:tr w:rsidR="00392AFF" w:rsidRPr="004D6335" w14:paraId="4F955B1B" w14:textId="77777777">
        <w:tc>
          <w:tcPr>
            <w:tcW w:w="4762" w:type="dxa"/>
          </w:tcPr>
          <w:p w14:paraId="119C552D" w14:textId="77777777" w:rsidR="00392AFF" w:rsidRPr="00392AFF" w:rsidRDefault="00392AFF" w:rsidP="00856EF9">
            <w:pPr>
              <w:pStyle w:val="ListParagraph"/>
              <w:spacing w:after="0" w:line="240" w:lineRule="auto"/>
              <w:ind w:left="360"/>
              <w:jc w:val="both"/>
              <w:rPr>
                <w:rFonts w:ascii="Arial" w:eastAsia="MS Mincho" w:hAnsi="Arial" w:cs="Arial"/>
                <w:bCs/>
                <w:sz w:val="18"/>
                <w:szCs w:val="18"/>
                <w:lang w:eastAsia="ja-JP"/>
              </w:rPr>
            </w:pPr>
          </w:p>
        </w:tc>
        <w:tc>
          <w:tcPr>
            <w:tcW w:w="1523" w:type="dxa"/>
            <w:vAlign w:val="bottom"/>
          </w:tcPr>
          <w:p w14:paraId="357C6807" w14:textId="77777777" w:rsidR="00392AFF" w:rsidRPr="004D6335" w:rsidRDefault="00392AFF">
            <w:pPr>
              <w:spacing w:after="0" w:line="240" w:lineRule="auto"/>
              <w:jc w:val="right"/>
              <w:rPr>
                <w:rFonts w:ascii="Arial" w:eastAsia="MS Mincho" w:hAnsi="Arial" w:cs="Arial"/>
                <w:b/>
                <w:sz w:val="18"/>
                <w:szCs w:val="18"/>
                <w:lang w:eastAsia="ja-JP"/>
              </w:rPr>
            </w:pPr>
            <w:r w:rsidRPr="004D6335">
              <w:rPr>
                <w:rFonts w:ascii="Arial" w:eastAsia="MS Mincho" w:hAnsi="Arial" w:cs="Arial"/>
                <w:b/>
                <w:sz w:val="18"/>
                <w:szCs w:val="18"/>
                <w:lang w:eastAsia="ja-JP"/>
              </w:rPr>
              <w:t>Leasehold dilapidations</w:t>
            </w:r>
          </w:p>
        </w:tc>
        <w:tc>
          <w:tcPr>
            <w:tcW w:w="1558" w:type="dxa"/>
            <w:vAlign w:val="bottom"/>
          </w:tcPr>
          <w:p w14:paraId="00AFB5BB" w14:textId="77777777" w:rsidR="00392AFF" w:rsidRPr="004D6335" w:rsidRDefault="00392AFF">
            <w:pPr>
              <w:spacing w:after="0" w:line="240" w:lineRule="auto"/>
              <w:jc w:val="right"/>
              <w:rPr>
                <w:rFonts w:ascii="Arial" w:eastAsia="MS Mincho" w:hAnsi="Arial" w:cs="Arial"/>
                <w:b/>
                <w:sz w:val="18"/>
                <w:szCs w:val="18"/>
                <w:lang w:eastAsia="ja-JP"/>
              </w:rPr>
            </w:pPr>
            <w:r w:rsidRPr="004D6335">
              <w:rPr>
                <w:rFonts w:ascii="Arial" w:eastAsia="MS Mincho" w:hAnsi="Arial" w:cs="Arial"/>
                <w:b/>
                <w:sz w:val="18"/>
                <w:szCs w:val="18"/>
                <w:lang w:eastAsia="ja-JP"/>
              </w:rPr>
              <w:t>Irrecoverable VAT</w:t>
            </w:r>
          </w:p>
        </w:tc>
        <w:tc>
          <w:tcPr>
            <w:tcW w:w="1183" w:type="dxa"/>
            <w:vAlign w:val="bottom"/>
          </w:tcPr>
          <w:p w14:paraId="6FDB6A99" w14:textId="77777777" w:rsidR="00392AFF" w:rsidRPr="004D6335" w:rsidRDefault="00392AFF">
            <w:pPr>
              <w:spacing w:after="0" w:line="240" w:lineRule="auto"/>
              <w:jc w:val="right"/>
              <w:rPr>
                <w:rFonts w:ascii="Arial" w:eastAsia="MS Mincho" w:hAnsi="Arial" w:cs="Arial"/>
                <w:b/>
                <w:sz w:val="18"/>
                <w:szCs w:val="18"/>
                <w:lang w:eastAsia="ja-JP"/>
              </w:rPr>
            </w:pPr>
            <w:r w:rsidRPr="004D6335">
              <w:rPr>
                <w:rFonts w:ascii="Arial" w:eastAsia="MS Mincho" w:hAnsi="Arial" w:cs="Arial"/>
                <w:b/>
                <w:sz w:val="18"/>
                <w:szCs w:val="18"/>
                <w:lang w:eastAsia="ja-JP"/>
              </w:rPr>
              <w:t xml:space="preserve">Total </w:t>
            </w:r>
          </w:p>
        </w:tc>
      </w:tr>
      <w:tr w:rsidR="00392AFF" w:rsidRPr="004D6335" w14:paraId="418C521B" w14:textId="77777777">
        <w:tc>
          <w:tcPr>
            <w:tcW w:w="4762" w:type="dxa"/>
          </w:tcPr>
          <w:p w14:paraId="2FD4F300" w14:textId="77777777" w:rsidR="00392AFF" w:rsidRPr="004D6335" w:rsidRDefault="00392AFF">
            <w:pPr>
              <w:spacing w:after="0" w:line="240" w:lineRule="auto"/>
              <w:jc w:val="both"/>
              <w:rPr>
                <w:rFonts w:ascii="Arial" w:eastAsia="MS Mincho" w:hAnsi="Arial" w:cs="Arial"/>
                <w:bCs/>
                <w:sz w:val="18"/>
                <w:szCs w:val="18"/>
                <w:lang w:eastAsia="ja-JP"/>
              </w:rPr>
            </w:pPr>
          </w:p>
        </w:tc>
        <w:tc>
          <w:tcPr>
            <w:tcW w:w="1523" w:type="dxa"/>
          </w:tcPr>
          <w:p w14:paraId="177B18D3" w14:textId="77777777" w:rsidR="00392AFF" w:rsidRPr="005E7A81" w:rsidRDefault="00392AFF">
            <w:pPr>
              <w:spacing w:after="0" w:line="240" w:lineRule="auto"/>
              <w:jc w:val="right"/>
              <w:rPr>
                <w:rFonts w:ascii="Arial" w:eastAsia="MS Mincho" w:hAnsi="Arial" w:cs="Arial"/>
                <w:b/>
                <w:sz w:val="18"/>
                <w:szCs w:val="18"/>
                <w:lang w:eastAsia="ja-JP"/>
              </w:rPr>
            </w:pPr>
            <w:r w:rsidRPr="005E7A81">
              <w:rPr>
                <w:rFonts w:ascii="Arial" w:eastAsia="MS Mincho" w:hAnsi="Arial" w:cs="Arial"/>
                <w:b/>
                <w:sz w:val="18"/>
                <w:szCs w:val="18"/>
                <w:lang w:eastAsia="ja-JP"/>
              </w:rPr>
              <w:t>£m</w:t>
            </w:r>
          </w:p>
        </w:tc>
        <w:tc>
          <w:tcPr>
            <w:tcW w:w="1558" w:type="dxa"/>
          </w:tcPr>
          <w:p w14:paraId="6874179D" w14:textId="77777777" w:rsidR="00392AFF" w:rsidRPr="005E7A81" w:rsidRDefault="00392AFF">
            <w:pPr>
              <w:spacing w:after="0" w:line="240" w:lineRule="auto"/>
              <w:jc w:val="right"/>
              <w:rPr>
                <w:rFonts w:ascii="Arial" w:eastAsia="MS Mincho" w:hAnsi="Arial" w:cs="Arial"/>
                <w:b/>
                <w:sz w:val="18"/>
                <w:szCs w:val="18"/>
                <w:lang w:eastAsia="ja-JP"/>
              </w:rPr>
            </w:pPr>
            <w:r w:rsidRPr="005E7A81">
              <w:rPr>
                <w:rFonts w:ascii="Arial" w:eastAsia="MS Mincho" w:hAnsi="Arial" w:cs="Arial"/>
                <w:b/>
                <w:sz w:val="18"/>
                <w:szCs w:val="18"/>
                <w:lang w:eastAsia="ja-JP"/>
              </w:rPr>
              <w:t>£m</w:t>
            </w:r>
          </w:p>
        </w:tc>
        <w:tc>
          <w:tcPr>
            <w:tcW w:w="1183" w:type="dxa"/>
          </w:tcPr>
          <w:p w14:paraId="48BACE62" w14:textId="77777777" w:rsidR="00392AFF" w:rsidRPr="005E7A81" w:rsidRDefault="00392AFF">
            <w:pPr>
              <w:spacing w:after="0" w:line="240" w:lineRule="auto"/>
              <w:jc w:val="right"/>
              <w:rPr>
                <w:rFonts w:ascii="Arial" w:eastAsia="MS Mincho" w:hAnsi="Arial" w:cs="Arial"/>
                <w:b/>
                <w:sz w:val="18"/>
                <w:szCs w:val="18"/>
                <w:lang w:eastAsia="ja-JP"/>
              </w:rPr>
            </w:pPr>
            <w:r w:rsidRPr="005E7A81">
              <w:rPr>
                <w:rFonts w:ascii="Arial" w:eastAsia="MS Mincho" w:hAnsi="Arial" w:cs="Arial"/>
                <w:b/>
                <w:sz w:val="18"/>
                <w:szCs w:val="18"/>
                <w:lang w:eastAsia="ja-JP"/>
              </w:rPr>
              <w:t>£m</w:t>
            </w:r>
          </w:p>
        </w:tc>
      </w:tr>
      <w:tr w:rsidR="00392AFF" w:rsidRPr="004D6335" w14:paraId="5B1AC758" w14:textId="77777777">
        <w:tc>
          <w:tcPr>
            <w:tcW w:w="4762" w:type="dxa"/>
          </w:tcPr>
          <w:p w14:paraId="3F369ABE" w14:textId="77777777" w:rsidR="00392AFF" w:rsidRPr="004D6335" w:rsidRDefault="00392AFF">
            <w:pPr>
              <w:spacing w:after="0" w:line="240" w:lineRule="auto"/>
              <w:jc w:val="both"/>
              <w:rPr>
                <w:rFonts w:ascii="Arial" w:eastAsia="MS Mincho" w:hAnsi="Arial" w:cs="Arial"/>
                <w:bCs/>
                <w:sz w:val="18"/>
                <w:szCs w:val="18"/>
                <w:lang w:eastAsia="ja-JP"/>
              </w:rPr>
            </w:pPr>
          </w:p>
        </w:tc>
        <w:tc>
          <w:tcPr>
            <w:tcW w:w="1523" w:type="dxa"/>
          </w:tcPr>
          <w:p w14:paraId="2CDB490F" w14:textId="77777777" w:rsidR="00392AFF" w:rsidRPr="004D6335" w:rsidRDefault="00392AFF">
            <w:pPr>
              <w:spacing w:after="0" w:line="240" w:lineRule="auto"/>
              <w:jc w:val="right"/>
              <w:rPr>
                <w:rFonts w:ascii="Arial" w:eastAsia="MS Mincho" w:hAnsi="Arial" w:cs="Arial"/>
                <w:bCs/>
                <w:sz w:val="18"/>
                <w:szCs w:val="18"/>
                <w:lang w:eastAsia="ja-JP"/>
              </w:rPr>
            </w:pPr>
          </w:p>
        </w:tc>
        <w:tc>
          <w:tcPr>
            <w:tcW w:w="1558" w:type="dxa"/>
          </w:tcPr>
          <w:p w14:paraId="738E9CB6" w14:textId="77777777" w:rsidR="00392AFF" w:rsidRPr="004D6335" w:rsidRDefault="00392AFF">
            <w:pPr>
              <w:spacing w:after="0" w:line="240" w:lineRule="auto"/>
              <w:jc w:val="right"/>
              <w:rPr>
                <w:rFonts w:ascii="Arial" w:eastAsia="MS Mincho" w:hAnsi="Arial" w:cs="Arial"/>
                <w:bCs/>
                <w:sz w:val="18"/>
                <w:szCs w:val="18"/>
                <w:lang w:eastAsia="ja-JP"/>
              </w:rPr>
            </w:pPr>
          </w:p>
        </w:tc>
        <w:tc>
          <w:tcPr>
            <w:tcW w:w="1183" w:type="dxa"/>
          </w:tcPr>
          <w:p w14:paraId="411EF145" w14:textId="77777777" w:rsidR="00392AFF" w:rsidRPr="004D6335" w:rsidRDefault="00392AFF">
            <w:pPr>
              <w:spacing w:after="0" w:line="240" w:lineRule="auto"/>
              <w:jc w:val="right"/>
              <w:rPr>
                <w:rFonts w:ascii="Arial" w:eastAsia="MS Mincho" w:hAnsi="Arial" w:cs="Arial"/>
                <w:bCs/>
                <w:sz w:val="18"/>
                <w:szCs w:val="18"/>
                <w:lang w:eastAsia="ja-JP"/>
              </w:rPr>
            </w:pPr>
          </w:p>
        </w:tc>
      </w:tr>
      <w:tr w:rsidR="00392AFF" w:rsidRPr="004D6335" w14:paraId="769912FF" w14:textId="77777777">
        <w:tc>
          <w:tcPr>
            <w:tcW w:w="4762" w:type="dxa"/>
          </w:tcPr>
          <w:p w14:paraId="2D5E6EA9" w14:textId="52002D51" w:rsidR="00392AFF" w:rsidRPr="005E7A81" w:rsidRDefault="00392AFF">
            <w:pPr>
              <w:spacing w:after="0" w:line="240" w:lineRule="auto"/>
              <w:jc w:val="both"/>
              <w:rPr>
                <w:rFonts w:ascii="Arial" w:eastAsia="MS Mincho" w:hAnsi="Arial" w:cs="Arial"/>
                <w:bCs/>
                <w:sz w:val="18"/>
                <w:szCs w:val="18"/>
                <w:lang w:eastAsia="ja-JP"/>
              </w:rPr>
            </w:pPr>
            <w:r w:rsidRPr="005E7A81">
              <w:rPr>
                <w:rFonts w:ascii="Arial" w:eastAsia="MS Mincho" w:hAnsi="Arial" w:cs="Arial"/>
                <w:bCs/>
                <w:sz w:val="18"/>
                <w:szCs w:val="18"/>
                <w:lang w:eastAsia="ja-JP"/>
              </w:rPr>
              <w:t>At 1 January 202</w:t>
            </w:r>
            <w:r w:rsidR="00D41270" w:rsidRPr="005E7A81">
              <w:rPr>
                <w:rFonts w:ascii="Arial" w:eastAsia="MS Mincho" w:hAnsi="Arial" w:cs="Arial"/>
                <w:bCs/>
                <w:sz w:val="18"/>
                <w:szCs w:val="18"/>
                <w:lang w:eastAsia="ja-JP"/>
              </w:rPr>
              <w:t>4</w:t>
            </w:r>
            <w:r w:rsidRPr="005E7A81">
              <w:rPr>
                <w:rFonts w:ascii="Arial" w:eastAsia="MS Mincho" w:hAnsi="Arial" w:cs="Arial"/>
                <w:bCs/>
                <w:sz w:val="18"/>
                <w:szCs w:val="18"/>
                <w:lang w:eastAsia="ja-JP"/>
              </w:rPr>
              <w:t xml:space="preserve"> </w:t>
            </w:r>
          </w:p>
        </w:tc>
        <w:tc>
          <w:tcPr>
            <w:tcW w:w="1523" w:type="dxa"/>
            <w:vAlign w:val="bottom"/>
          </w:tcPr>
          <w:p w14:paraId="1AC80E42" w14:textId="77777777" w:rsidR="00392AFF" w:rsidRPr="005E7A81" w:rsidRDefault="00392AFF">
            <w:pPr>
              <w:spacing w:after="0" w:line="240" w:lineRule="auto"/>
              <w:jc w:val="right"/>
              <w:rPr>
                <w:rFonts w:ascii="Arial" w:eastAsia="MS Mincho" w:hAnsi="Arial" w:cs="Arial"/>
                <w:bCs/>
                <w:sz w:val="18"/>
                <w:szCs w:val="18"/>
                <w:lang w:eastAsia="ja-JP"/>
              </w:rPr>
            </w:pPr>
            <w:r w:rsidRPr="005E7A81">
              <w:rPr>
                <w:rFonts w:ascii="Arial" w:eastAsia="MS Mincho" w:hAnsi="Arial" w:cs="Arial"/>
                <w:bCs/>
                <w:sz w:val="18"/>
                <w:szCs w:val="18"/>
                <w:lang w:eastAsia="ja-JP"/>
              </w:rPr>
              <w:t>-</w:t>
            </w:r>
          </w:p>
        </w:tc>
        <w:tc>
          <w:tcPr>
            <w:tcW w:w="1558" w:type="dxa"/>
            <w:vAlign w:val="bottom"/>
          </w:tcPr>
          <w:p w14:paraId="07D7AAAF" w14:textId="77777777" w:rsidR="00392AFF" w:rsidRPr="005E7A81" w:rsidRDefault="00392AFF">
            <w:pPr>
              <w:spacing w:after="0" w:line="240" w:lineRule="auto"/>
              <w:jc w:val="right"/>
              <w:rPr>
                <w:rFonts w:ascii="Arial" w:eastAsia="MS Mincho" w:hAnsi="Arial" w:cs="Arial"/>
                <w:bCs/>
                <w:sz w:val="18"/>
                <w:szCs w:val="18"/>
                <w:lang w:eastAsia="ja-JP"/>
              </w:rPr>
            </w:pPr>
            <w:r w:rsidRPr="005E7A81">
              <w:rPr>
                <w:rFonts w:ascii="Arial" w:eastAsia="MS Mincho" w:hAnsi="Arial" w:cs="Arial"/>
                <w:bCs/>
                <w:sz w:val="18"/>
                <w:szCs w:val="18"/>
                <w:lang w:eastAsia="ja-JP"/>
              </w:rPr>
              <w:t>-</w:t>
            </w:r>
          </w:p>
        </w:tc>
        <w:tc>
          <w:tcPr>
            <w:tcW w:w="1183" w:type="dxa"/>
            <w:vAlign w:val="bottom"/>
          </w:tcPr>
          <w:p w14:paraId="77BBB198" w14:textId="77777777" w:rsidR="00392AFF" w:rsidRPr="005E7A81" w:rsidRDefault="00392AFF">
            <w:pPr>
              <w:spacing w:after="0" w:line="240" w:lineRule="auto"/>
              <w:jc w:val="right"/>
              <w:rPr>
                <w:rFonts w:ascii="Arial" w:eastAsia="MS Mincho" w:hAnsi="Arial" w:cs="Arial"/>
                <w:bCs/>
                <w:sz w:val="18"/>
                <w:szCs w:val="18"/>
                <w:lang w:eastAsia="ja-JP"/>
              </w:rPr>
            </w:pPr>
            <w:r w:rsidRPr="005E7A81">
              <w:rPr>
                <w:rFonts w:ascii="Arial" w:eastAsia="MS Mincho" w:hAnsi="Arial" w:cs="Arial"/>
                <w:bCs/>
                <w:sz w:val="18"/>
                <w:szCs w:val="18"/>
                <w:lang w:eastAsia="ja-JP"/>
              </w:rPr>
              <w:t>-</w:t>
            </w:r>
          </w:p>
        </w:tc>
      </w:tr>
      <w:tr w:rsidR="00392AFF" w:rsidRPr="004D6335" w14:paraId="053085F9" w14:textId="77777777">
        <w:tc>
          <w:tcPr>
            <w:tcW w:w="4762" w:type="dxa"/>
          </w:tcPr>
          <w:p w14:paraId="697AA75C" w14:textId="77777777" w:rsidR="00392AFF" w:rsidRPr="005E7A81" w:rsidRDefault="00392AFF">
            <w:pPr>
              <w:spacing w:after="0" w:line="240" w:lineRule="auto"/>
              <w:jc w:val="both"/>
              <w:rPr>
                <w:rFonts w:ascii="Arial" w:eastAsia="MS Mincho" w:hAnsi="Arial" w:cs="Arial"/>
                <w:bCs/>
                <w:sz w:val="18"/>
                <w:szCs w:val="18"/>
                <w:lang w:eastAsia="ja-JP"/>
              </w:rPr>
            </w:pPr>
            <w:r w:rsidRPr="005E7A81">
              <w:rPr>
                <w:rFonts w:ascii="Arial" w:eastAsia="MS Mincho" w:hAnsi="Arial" w:cs="Arial"/>
                <w:bCs/>
                <w:sz w:val="18"/>
                <w:szCs w:val="18"/>
                <w:lang w:eastAsia="ja-JP"/>
              </w:rPr>
              <w:t>Reclassifications</w:t>
            </w:r>
          </w:p>
        </w:tc>
        <w:tc>
          <w:tcPr>
            <w:tcW w:w="1523" w:type="dxa"/>
          </w:tcPr>
          <w:p w14:paraId="217375D3" w14:textId="77777777" w:rsidR="00392AFF" w:rsidRPr="005E7A81" w:rsidRDefault="00392AFF">
            <w:pPr>
              <w:spacing w:after="0" w:line="240" w:lineRule="auto"/>
              <w:jc w:val="right"/>
              <w:rPr>
                <w:rFonts w:ascii="Arial" w:eastAsia="MS Mincho" w:hAnsi="Arial" w:cs="Arial"/>
                <w:bCs/>
                <w:sz w:val="18"/>
                <w:szCs w:val="18"/>
                <w:lang w:eastAsia="ja-JP"/>
              </w:rPr>
            </w:pPr>
            <w:r w:rsidRPr="005E7A81">
              <w:rPr>
                <w:rFonts w:ascii="Arial" w:eastAsia="MS Mincho" w:hAnsi="Arial" w:cs="Arial"/>
                <w:bCs/>
                <w:sz w:val="18"/>
                <w:szCs w:val="18"/>
                <w:lang w:eastAsia="ja-JP"/>
              </w:rPr>
              <w:t>1.9</w:t>
            </w:r>
          </w:p>
        </w:tc>
        <w:tc>
          <w:tcPr>
            <w:tcW w:w="1558" w:type="dxa"/>
          </w:tcPr>
          <w:p w14:paraId="657BEDBA" w14:textId="6BD752F7" w:rsidR="00392AFF" w:rsidRPr="005E7A81"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w:t>
            </w:r>
          </w:p>
        </w:tc>
        <w:tc>
          <w:tcPr>
            <w:tcW w:w="1183" w:type="dxa"/>
          </w:tcPr>
          <w:p w14:paraId="5E5BDCBF" w14:textId="3E96C611" w:rsidR="00392AFF" w:rsidRPr="005E7A81"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w:t>
            </w:r>
            <w:r w:rsidR="00392AFF" w:rsidRPr="005E7A81">
              <w:rPr>
                <w:rFonts w:ascii="Arial" w:eastAsia="MS Mincho" w:hAnsi="Arial" w:cs="Arial"/>
                <w:bCs/>
                <w:sz w:val="18"/>
                <w:szCs w:val="18"/>
                <w:lang w:eastAsia="ja-JP"/>
              </w:rPr>
              <w:t>.9</w:t>
            </w:r>
          </w:p>
        </w:tc>
      </w:tr>
      <w:tr w:rsidR="00392AFF" w:rsidRPr="004D6335" w14:paraId="68A9CD4F" w14:textId="77777777">
        <w:tc>
          <w:tcPr>
            <w:tcW w:w="4762" w:type="dxa"/>
          </w:tcPr>
          <w:p w14:paraId="695A0E68" w14:textId="3939493A" w:rsidR="00392AFF" w:rsidRPr="005E7A81" w:rsidRDefault="00392AFF">
            <w:pPr>
              <w:spacing w:after="0" w:line="240" w:lineRule="auto"/>
              <w:jc w:val="both"/>
              <w:rPr>
                <w:rFonts w:ascii="Arial" w:eastAsia="MS Mincho" w:hAnsi="Arial" w:cs="Arial"/>
                <w:bCs/>
                <w:sz w:val="18"/>
                <w:szCs w:val="18"/>
                <w:lang w:eastAsia="ja-JP"/>
              </w:rPr>
            </w:pPr>
            <w:r w:rsidRPr="005E7A81">
              <w:rPr>
                <w:rFonts w:ascii="Arial" w:eastAsia="MS Mincho" w:hAnsi="Arial" w:cs="Arial"/>
                <w:bCs/>
                <w:sz w:val="18"/>
                <w:szCs w:val="18"/>
                <w:lang w:eastAsia="ja-JP"/>
              </w:rPr>
              <w:t xml:space="preserve">At </w:t>
            </w:r>
            <w:r w:rsidR="00EA07D8">
              <w:rPr>
                <w:rFonts w:ascii="Arial" w:eastAsia="MS Mincho" w:hAnsi="Arial" w:cs="Arial"/>
                <w:bCs/>
                <w:sz w:val="18"/>
                <w:szCs w:val="18"/>
                <w:lang w:eastAsia="ja-JP"/>
              </w:rPr>
              <w:t>30 June 2024</w:t>
            </w:r>
          </w:p>
        </w:tc>
        <w:tc>
          <w:tcPr>
            <w:tcW w:w="1523" w:type="dxa"/>
            <w:tcBorders>
              <w:top w:val="single" w:sz="4" w:space="0" w:color="auto"/>
              <w:bottom w:val="double" w:sz="4" w:space="0" w:color="auto"/>
            </w:tcBorders>
          </w:tcPr>
          <w:p w14:paraId="3EE7908F" w14:textId="77777777" w:rsidR="00392AFF" w:rsidRPr="005E7A81" w:rsidRDefault="00392AFF">
            <w:pPr>
              <w:spacing w:after="0" w:line="240" w:lineRule="auto"/>
              <w:jc w:val="right"/>
              <w:rPr>
                <w:rFonts w:ascii="Arial" w:eastAsia="MS Mincho" w:hAnsi="Arial" w:cs="Arial"/>
                <w:bCs/>
                <w:sz w:val="18"/>
                <w:szCs w:val="18"/>
                <w:lang w:eastAsia="ja-JP"/>
              </w:rPr>
            </w:pPr>
            <w:r w:rsidRPr="005E7A81">
              <w:rPr>
                <w:rFonts w:ascii="Arial" w:eastAsia="MS Mincho" w:hAnsi="Arial" w:cs="Arial"/>
                <w:bCs/>
                <w:sz w:val="18"/>
                <w:szCs w:val="18"/>
                <w:lang w:eastAsia="ja-JP"/>
              </w:rPr>
              <w:t>1.9</w:t>
            </w:r>
          </w:p>
        </w:tc>
        <w:tc>
          <w:tcPr>
            <w:tcW w:w="1558" w:type="dxa"/>
            <w:tcBorders>
              <w:top w:val="single" w:sz="4" w:space="0" w:color="auto"/>
              <w:bottom w:val="double" w:sz="4" w:space="0" w:color="auto"/>
            </w:tcBorders>
          </w:tcPr>
          <w:p w14:paraId="54A1A38D" w14:textId="5C344499" w:rsidR="00392AFF" w:rsidRPr="005E7A81" w:rsidRDefault="002C6052">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w:t>
            </w:r>
          </w:p>
        </w:tc>
        <w:tc>
          <w:tcPr>
            <w:tcW w:w="1183" w:type="dxa"/>
            <w:tcBorders>
              <w:top w:val="single" w:sz="4" w:space="0" w:color="auto"/>
              <w:bottom w:val="double" w:sz="4" w:space="0" w:color="auto"/>
            </w:tcBorders>
          </w:tcPr>
          <w:p w14:paraId="580C3DC0" w14:textId="5C3887EF" w:rsidR="00392AFF" w:rsidRPr="005E7A81" w:rsidRDefault="002C6052">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1.9</w:t>
            </w:r>
          </w:p>
        </w:tc>
      </w:tr>
    </w:tbl>
    <w:p w14:paraId="739BEE1F" w14:textId="77777777" w:rsidR="00EA07D8" w:rsidRDefault="00EA07D8" w:rsidP="00392AFF">
      <w:pPr>
        <w:spacing w:after="0" w:line="240" w:lineRule="auto"/>
        <w:jc w:val="both"/>
        <w:rPr>
          <w:rFonts w:ascii="Arial" w:eastAsia="MS Mincho" w:hAnsi="Arial" w:cs="Arial"/>
          <w:bCs/>
          <w:sz w:val="20"/>
          <w:szCs w:val="20"/>
          <w:highlight w:val="yellow"/>
          <w:lang w:eastAsia="ja-JP"/>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523"/>
        <w:gridCol w:w="1558"/>
        <w:gridCol w:w="1183"/>
      </w:tblGrid>
      <w:tr w:rsidR="00EA07D8" w:rsidRPr="004D6335" w14:paraId="0CBBF127" w14:textId="77777777">
        <w:tc>
          <w:tcPr>
            <w:tcW w:w="4762" w:type="dxa"/>
          </w:tcPr>
          <w:p w14:paraId="7E3BCC7A" w14:textId="6B3CBFB8" w:rsidR="00EA07D8" w:rsidRPr="004C36BE" w:rsidRDefault="00EA07D8">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At 1 J</w:t>
            </w:r>
            <w:r>
              <w:rPr>
                <w:rFonts w:ascii="Arial" w:eastAsia="MS Mincho" w:hAnsi="Arial" w:cs="Arial"/>
                <w:bCs/>
                <w:sz w:val="18"/>
                <w:szCs w:val="18"/>
                <w:lang w:eastAsia="ja-JP"/>
              </w:rPr>
              <w:t xml:space="preserve">uly </w:t>
            </w:r>
            <w:r w:rsidRPr="004C36BE">
              <w:rPr>
                <w:rFonts w:ascii="Arial" w:eastAsia="MS Mincho" w:hAnsi="Arial" w:cs="Arial"/>
                <w:bCs/>
                <w:sz w:val="18"/>
                <w:szCs w:val="18"/>
                <w:lang w:eastAsia="ja-JP"/>
              </w:rPr>
              <w:t xml:space="preserve">2024 </w:t>
            </w:r>
          </w:p>
        </w:tc>
        <w:tc>
          <w:tcPr>
            <w:tcW w:w="1523" w:type="dxa"/>
            <w:vAlign w:val="bottom"/>
          </w:tcPr>
          <w:p w14:paraId="572068A5" w14:textId="455710CF" w:rsidR="00EA07D8" w:rsidRPr="004C36BE"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1.9</w:t>
            </w:r>
          </w:p>
        </w:tc>
        <w:tc>
          <w:tcPr>
            <w:tcW w:w="1558" w:type="dxa"/>
            <w:vAlign w:val="bottom"/>
          </w:tcPr>
          <w:p w14:paraId="115B5364"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w:t>
            </w:r>
          </w:p>
        </w:tc>
        <w:tc>
          <w:tcPr>
            <w:tcW w:w="1183" w:type="dxa"/>
            <w:vAlign w:val="bottom"/>
          </w:tcPr>
          <w:p w14:paraId="779AE7CF" w14:textId="2331DB8C" w:rsidR="00EA07D8" w:rsidRPr="004C36BE"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1.9</w:t>
            </w:r>
          </w:p>
        </w:tc>
      </w:tr>
      <w:tr w:rsidR="00EA07D8" w:rsidRPr="004D6335" w14:paraId="13869CF2" w14:textId="77777777">
        <w:tc>
          <w:tcPr>
            <w:tcW w:w="4762" w:type="dxa"/>
          </w:tcPr>
          <w:p w14:paraId="211F2FE0" w14:textId="77777777" w:rsidR="00EA07D8" w:rsidRPr="004C36BE" w:rsidRDefault="00EA07D8">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Reclassifications</w:t>
            </w:r>
          </w:p>
        </w:tc>
        <w:tc>
          <w:tcPr>
            <w:tcW w:w="1523" w:type="dxa"/>
          </w:tcPr>
          <w:p w14:paraId="447C5B86" w14:textId="330FB014" w:rsidR="00EA07D8" w:rsidRPr="004C36BE"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w:t>
            </w:r>
          </w:p>
        </w:tc>
        <w:tc>
          <w:tcPr>
            <w:tcW w:w="1558" w:type="dxa"/>
          </w:tcPr>
          <w:p w14:paraId="71CFF187" w14:textId="446B61FF" w:rsidR="00EA07D8" w:rsidRPr="004C36BE"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1.0</w:t>
            </w:r>
          </w:p>
        </w:tc>
        <w:tc>
          <w:tcPr>
            <w:tcW w:w="1183" w:type="dxa"/>
          </w:tcPr>
          <w:p w14:paraId="5171BDAE" w14:textId="7C6D848C" w:rsidR="00EA07D8" w:rsidRPr="004C36BE" w:rsidRDefault="00EA07D8">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w:t>
            </w:r>
            <w:r w:rsidRPr="004C36BE">
              <w:rPr>
                <w:rFonts w:ascii="Arial" w:eastAsia="MS Mincho" w:hAnsi="Arial" w:cs="Arial"/>
                <w:bCs/>
                <w:sz w:val="18"/>
                <w:szCs w:val="18"/>
                <w:lang w:eastAsia="ja-JP"/>
              </w:rPr>
              <w:t>.</w:t>
            </w:r>
            <w:r>
              <w:rPr>
                <w:rFonts w:ascii="Arial" w:eastAsia="MS Mincho" w:hAnsi="Arial" w:cs="Arial"/>
                <w:bCs/>
                <w:sz w:val="18"/>
                <w:szCs w:val="18"/>
                <w:lang w:eastAsia="ja-JP"/>
              </w:rPr>
              <w:t>0</w:t>
            </w:r>
          </w:p>
        </w:tc>
      </w:tr>
      <w:tr w:rsidR="00EA07D8" w:rsidRPr="004D6335" w14:paraId="15BC766F" w14:textId="77777777">
        <w:tc>
          <w:tcPr>
            <w:tcW w:w="4762" w:type="dxa"/>
          </w:tcPr>
          <w:p w14:paraId="2E3FB67F" w14:textId="77777777" w:rsidR="00EA07D8" w:rsidRPr="004C36BE" w:rsidRDefault="00EA07D8">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Amounts charged to the income statement</w:t>
            </w:r>
          </w:p>
        </w:tc>
        <w:tc>
          <w:tcPr>
            <w:tcW w:w="1523" w:type="dxa"/>
            <w:tcBorders>
              <w:bottom w:val="single" w:sz="4" w:space="0" w:color="auto"/>
            </w:tcBorders>
          </w:tcPr>
          <w:p w14:paraId="5D490405"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w:t>
            </w:r>
          </w:p>
        </w:tc>
        <w:tc>
          <w:tcPr>
            <w:tcW w:w="1558" w:type="dxa"/>
            <w:tcBorders>
              <w:bottom w:val="single" w:sz="4" w:space="0" w:color="auto"/>
            </w:tcBorders>
          </w:tcPr>
          <w:p w14:paraId="552C2482"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2.6</w:t>
            </w:r>
          </w:p>
        </w:tc>
        <w:tc>
          <w:tcPr>
            <w:tcW w:w="1183" w:type="dxa"/>
            <w:tcBorders>
              <w:bottom w:val="single" w:sz="4" w:space="0" w:color="auto"/>
            </w:tcBorders>
          </w:tcPr>
          <w:p w14:paraId="19817043"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2.6</w:t>
            </w:r>
          </w:p>
        </w:tc>
      </w:tr>
      <w:tr w:rsidR="00EA07D8" w:rsidRPr="004D6335" w14:paraId="187129BD" w14:textId="77777777">
        <w:tc>
          <w:tcPr>
            <w:tcW w:w="4762" w:type="dxa"/>
          </w:tcPr>
          <w:p w14:paraId="7A184DB9" w14:textId="77777777" w:rsidR="00EA07D8" w:rsidRPr="004C36BE" w:rsidRDefault="00EA07D8">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At 31 December 2024</w:t>
            </w:r>
          </w:p>
        </w:tc>
        <w:tc>
          <w:tcPr>
            <w:tcW w:w="1523" w:type="dxa"/>
            <w:tcBorders>
              <w:top w:val="single" w:sz="4" w:space="0" w:color="auto"/>
              <w:bottom w:val="double" w:sz="4" w:space="0" w:color="auto"/>
            </w:tcBorders>
          </w:tcPr>
          <w:p w14:paraId="116AA467"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1.9</w:t>
            </w:r>
          </w:p>
        </w:tc>
        <w:tc>
          <w:tcPr>
            <w:tcW w:w="1558" w:type="dxa"/>
            <w:tcBorders>
              <w:top w:val="single" w:sz="4" w:space="0" w:color="auto"/>
              <w:bottom w:val="double" w:sz="4" w:space="0" w:color="auto"/>
            </w:tcBorders>
          </w:tcPr>
          <w:p w14:paraId="4331B000"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3.6</w:t>
            </w:r>
          </w:p>
        </w:tc>
        <w:tc>
          <w:tcPr>
            <w:tcW w:w="1183" w:type="dxa"/>
            <w:tcBorders>
              <w:top w:val="single" w:sz="4" w:space="0" w:color="auto"/>
              <w:bottom w:val="double" w:sz="4" w:space="0" w:color="auto"/>
            </w:tcBorders>
          </w:tcPr>
          <w:p w14:paraId="6439CCC2" w14:textId="77777777" w:rsidR="00EA07D8" w:rsidRPr="004C36BE" w:rsidRDefault="00EA07D8">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5.5</w:t>
            </w:r>
          </w:p>
        </w:tc>
      </w:tr>
    </w:tbl>
    <w:p w14:paraId="1F32BCAF" w14:textId="77777777" w:rsidR="00EA07D8" w:rsidRDefault="00EA07D8" w:rsidP="00392AFF">
      <w:pPr>
        <w:spacing w:after="0" w:line="240" w:lineRule="auto"/>
        <w:jc w:val="both"/>
        <w:rPr>
          <w:rFonts w:ascii="Arial" w:eastAsia="MS Mincho" w:hAnsi="Arial" w:cs="Arial"/>
          <w:bCs/>
          <w:sz w:val="20"/>
          <w:szCs w:val="20"/>
          <w:highlight w:val="yellow"/>
          <w:lang w:eastAsia="ja-JP"/>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1523"/>
        <w:gridCol w:w="1558"/>
        <w:gridCol w:w="1183"/>
      </w:tblGrid>
      <w:tr w:rsidR="008B7B1E" w:rsidRPr="004D6335" w14:paraId="1655B625" w14:textId="77777777">
        <w:tc>
          <w:tcPr>
            <w:tcW w:w="4762" w:type="dxa"/>
          </w:tcPr>
          <w:p w14:paraId="5EE89C2F" w14:textId="2761A586" w:rsidR="008B7B1E" w:rsidRPr="004C36BE" w:rsidRDefault="008B7B1E">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At 1 J</w:t>
            </w:r>
            <w:r>
              <w:rPr>
                <w:rFonts w:ascii="Arial" w:eastAsia="MS Mincho" w:hAnsi="Arial" w:cs="Arial"/>
                <w:bCs/>
                <w:sz w:val="18"/>
                <w:szCs w:val="18"/>
                <w:lang w:eastAsia="ja-JP"/>
              </w:rPr>
              <w:t>anuary 2025</w:t>
            </w:r>
            <w:r w:rsidRPr="004C36BE">
              <w:rPr>
                <w:rFonts w:ascii="Arial" w:eastAsia="MS Mincho" w:hAnsi="Arial" w:cs="Arial"/>
                <w:bCs/>
                <w:sz w:val="18"/>
                <w:szCs w:val="18"/>
                <w:lang w:eastAsia="ja-JP"/>
              </w:rPr>
              <w:t xml:space="preserve"> </w:t>
            </w:r>
          </w:p>
        </w:tc>
        <w:tc>
          <w:tcPr>
            <w:tcW w:w="1523" w:type="dxa"/>
            <w:vAlign w:val="bottom"/>
          </w:tcPr>
          <w:p w14:paraId="1CBCB0AF" w14:textId="77777777" w:rsidR="008B7B1E" w:rsidRPr="004C36BE" w:rsidRDefault="008B7B1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1.9</w:t>
            </w:r>
          </w:p>
        </w:tc>
        <w:tc>
          <w:tcPr>
            <w:tcW w:w="1558" w:type="dxa"/>
            <w:vAlign w:val="bottom"/>
          </w:tcPr>
          <w:p w14:paraId="0DD2FBD9" w14:textId="7A3FD157" w:rsidR="008B7B1E" w:rsidRPr="004C36BE" w:rsidRDefault="008B7B1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3.6</w:t>
            </w:r>
          </w:p>
        </w:tc>
        <w:tc>
          <w:tcPr>
            <w:tcW w:w="1183" w:type="dxa"/>
            <w:vAlign w:val="bottom"/>
          </w:tcPr>
          <w:p w14:paraId="7214783D" w14:textId="69373B64" w:rsidR="008B7B1E" w:rsidRPr="004C36BE" w:rsidRDefault="008B7B1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5.5</w:t>
            </w:r>
          </w:p>
        </w:tc>
      </w:tr>
      <w:tr w:rsidR="008B7B1E" w:rsidRPr="004D6335" w14:paraId="1A511210" w14:textId="77777777">
        <w:tc>
          <w:tcPr>
            <w:tcW w:w="4762" w:type="dxa"/>
          </w:tcPr>
          <w:p w14:paraId="1A6D50EA" w14:textId="77777777" w:rsidR="008B7B1E" w:rsidRPr="004C36BE" w:rsidRDefault="008B7B1E">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Amounts charged to the income statement</w:t>
            </w:r>
          </w:p>
        </w:tc>
        <w:tc>
          <w:tcPr>
            <w:tcW w:w="1523" w:type="dxa"/>
            <w:tcBorders>
              <w:bottom w:val="single" w:sz="4" w:space="0" w:color="auto"/>
            </w:tcBorders>
          </w:tcPr>
          <w:p w14:paraId="6EC5F227" w14:textId="77777777" w:rsidR="008B7B1E" w:rsidRPr="004C36BE" w:rsidRDefault="008B7B1E">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w:t>
            </w:r>
          </w:p>
        </w:tc>
        <w:tc>
          <w:tcPr>
            <w:tcW w:w="1558" w:type="dxa"/>
            <w:tcBorders>
              <w:bottom w:val="single" w:sz="4" w:space="0" w:color="auto"/>
            </w:tcBorders>
          </w:tcPr>
          <w:p w14:paraId="3AE7B782" w14:textId="5F9B4D32" w:rsidR="008B7B1E" w:rsidRPr="004C36BE" w:rsidRDefault="0030500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1.7</w:t>
            </w:r>
          </w:p>
        </w:tc>
        <w:tc>
          <w:tcPr>
            <w:tcW w:w="1183" w:type="dxa"/>
            <w:tcBorders>
              <w:bottom w:val="single" w:sz="4" w:space="0" w:color="auto"/>
            </w:tcBorders>
          </w:tcPr>
          <w:p w14:paraId="6677BB15" w14:textId="65475D0A" w:rsidR="008B7B1E" w:rsidRPr="004C36BE" w:rsidRDefault="0030500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1.7</w:t>
            </w:r>
          </w:p>
        </w:tc>
      </w:tr>
      <w:tr w:rsidR="008B7B1E" w:rsidRPr="004D6335" w14:paraId="0CB6FEA9" w14:textId="77777777">
        <w:tc>
          <w:tcPr>
            <w:tcW w:w="4762" w:type="dxa"/>
          </w:tcPr>
          <w:p w14:paraId="332EA5D6" w14:textId="486D67E0" w:rsidR="008B7B1E" w:rsidRPr="004C36BE" w:rsidRDefault="008B7B1E">
            <w:pPr>
              <w:spacing w:after="0" w:line="240" w:lineRule="auto"/>
              <w:jc w:val="both"/>
              <w:rPr>
                <w:rFonts w:ascii="Arial" w:eastAsia="MS Mincho" w:hAnsi="Arial" w:cs="Arial"/>
                <w:bCs/>
                <w:sz w:val="18"/>
                <w:szCs w:val="18"/>
                <w:lang w:eastAsia="ja-JP"/>
              </w:rPr>
            </w:pPr>
            <w:r w:rsidRPr="004C36BE">
              <w:rPr>
                <w:rFonts w:ascii="Arial" w:eastAsia="MS Mincho" w:hAnsi="Arial" w:cs="Arial"/>
                <w:bCs/>
                <w:sz w:val="18"/>
                <w:szCs w:val="18"/>
                <w:lang w:eastAsia="ja-JP"/>
              </w:rPr>
              <w:t>At 3</w:t>
            </w:r>
            <w:r w:rsidR="00854922">
              <w:rPr>
                <w:rFonts w:ascii="Arial" w:eastAsia="MS Mincho" w:hAnsi="Arial" w:cs="Arial"/>
                <w:bCs/>
                <w:sz w:val="18"/>
                <w:szCs w:val="18"/>
                <w:lang w:eastAsia="ja-JP"/>
              </w:rPr>
              <w:t>0 June 2025</w:t>
            </w:r>
          </w:p>
        </w:tc>
        <w:tc>
          <w:tcPr>
            <w:tcW w:w="1523" w:type="dxa"/>
            <w:tcBorders>
              <w:top w:val="single" w:sz="4" w:space="0" w:color="auto"/>
              <w:bottom w:val="double" w:sz="4" w:space="0" w:color="auto"/>
            </w:tcBorders>
          </w:tcPr>
          <w:p w14:paraId="1F9CDB29" w14:textId="77777777" w:rsidR="008B7B1E" w:rsidRPr="004C36BE" w:rsidRDefault="008B7B1E">
            <w:pPr>
              <w:spacing w:after="0" w:line="240" w:lineRule="auto"/>
              <w:jc w:val="right"/>
              <w:rPr>
                <w:rFonts w:ascii="Arial" w:eastAsia="MS Mincho" w:hAnsi="Arial" w:cs="Arial"/>
                <w:bCs/>
                <w:sz w:val="18"/>
                <w:szCs w:val="18"/>
                <w:lang w:eastAsia="ja-JP"/>
              </w:rPr>
            </w:pPr>
            <w:r w:rsidRPr="004C36BE">
              <w:rPr>
                <w:rFonts w:ascii="Arial" w:eastAsia="MS Mincho" w:hAnsi="Arial" w:cs="Arial"/>
                <w:bCs/>
                <w:sz w:val="18"/>
                <w:szCs w:val="18"/>
                <w:lang w:eastAsia="ja-JP"/>
              </w:rPr>
              <w:t>1.9</w:t>
            </w:r>
          </w:p>
        </w:tc>
        <w:tc>
          <w:tcPr>
            <w:tcW w:w="1558" w:type="dxa"/>
            <w:tcBorders>
              <w:top w:val="single" w:sz="4" w:space="0" w:color="auto"/>
              <w:bottom w:val="double" w:sz="4" w:space="0" w:color="auto"/>
            </w:tcBorders>
          </w:tcPr>
          <w:p w14:paraId="5F907442" w14:textId="643B418A" w:rsidR="008B7B1E" w:rsidRPr="004C36BE" w:rsidRDefault="0030500E">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5.3</w:t>
            </w:r>
          </w:p>
        </w:tc>
        <w:tc>
          <w:tcPr>
            <w:tcW w:w="1183" w:type="dxa"/>
            <w:tcBorders>
              <w:top w:val="single" w:sz="4" w:space="0" w:color="auto"/>
              <w:bottom w:val="double" w:sz="4" w:space="0" w:color="auto"/>
            </w:tcBorders>
          </w:tcPr>
          <w:p w14:paraId="43C8E2F1" w14:textId="03B0C709" w:rsidR="008B7B1E" w:rsidRPr="004C36BE" w:rsidRDefault="00854922">
            <w:pPr>
              <w:spacing w:after="0" w:line="240" w:lineRule="auto"/>
              <w:jc w:val="right"/>
              <w:rPr>
                <w:rFonts w:ascii="Arial" w:eastAsia="MS Mincho" w:hAnsi="Arial" w:cs="Arial"/>
                <w:bCs/>
                <w:sz w:val="18"/>
                <w:szCs w:val="18"/>
                <w:lang w:eastAsia="ja-JP"/>
              </w:rPr>
            </w:pPr>
            <w:r>
              <w:rPr>
                <w:rFonts w:ascii="Arial" w:eastAsia="MS Mincho" w:hAnsi="Arial" w:cs="Arial"/>
                <w:bCs/>
                <w:sz w:val="18"/>
                <w:szCs w:val="18"/>
                <w:lang w:eastAsia="ja-JP"/>
              </w:rPr>
              <w:t>7.2</w:t>
            </w:r>
          </w:p>
        </w:tc>
      </w:tr>
    </w:tbl>
    <w:p w14:paraId="7B102AB4" w14:textId="77777777" w:rsidR="00EA07D8" w:rsidRDefault="00EA07D8" w:rsidP="00392AFF">
      <w:pPr>
        <w:spacing w:after="0" w:line="240" w:lineRule="auto"/>
        <w:jc w:val="both"/>
        <w:rPr>
          <w:rFonts w:ascii="Arial" w:eastAsia="MS Mincho" w:hAnsi="Arial" w:cs="Arial"/>
          <w:bCs/>
          <w:sz w:val="20"/>
          <w:szCs w:val="20"/>
          <w:highlight w:val="yellow"/>
          <w:lang w:eastAsia="ja-JP"/>
        </w:rPr>
      </w:pPr>
    </w:p>
    <w:p w14:paraId="4D8879FF" w14:textId="77777777" w:rsidR="00EA07D8" w:rsidRDefault="00EA07D8" w:rsidP="00392AFF">
      <w:pPr>
        <w:spacing w:after="0" w:line="240" w:lineRule="auto"/>
        <w:jc w:val="both"/>
        <w:rPr>
          <w:rFonts w:ascii="Arial" w:eastAsia="MS Mincho" w:hAnsi="Arial" w:cs="Arial"/>
          <w:bCs/>
          <w:sz w:val="20"/>
          <w:szCs w:val="20"/>
          <w:highlight w:val="yellow"/>
          <w:lang w:eastAsia="ja-JP"/>
        </w:rPr>
      </w:pPr>
    </w:p>
    <w:p w14:paraId="481FC8F3" w14:textId="1BEE848B" w:rsidR="00392AFF" w:rsidRDefault="00392AFF" w:rsidP="00392AFF">
      <w:pPr>
        <w:spacing w:after="0" w:line="240" w:lineRule="auto"/>
        <w:jc w:val="both"/>
        <w:rPr>
          <w:rFonts w:ascii="Arial" w:eastAsia="MS Mincho" w:hAnsi="Arial" w:cs="Arial"/>
          <w:sz w:val="20"/>
          <w:szCs w:val="20"/>
          <w:lang w:eastAsia="ja-JP"/>
        </w:rPr>
      </w:pPr>
      <w:r w:rsidRPr="00DA53C4">
        <w:rPr>
          <w:rFonts w:ascii="Arial" w:eastAsia="MS Mincho" w:hAnsi="Arial" w:cs="Arial"/>
          <w:sz w:val="20"/>
          <w:szCs w:val="20"/>
          <w:lang w:eastAsia="ja-JP"/>
        </w:rPr>
        <w:t xml:space="preserve">Leasehold dilapidations relate to the estimated cost of restoring leased properties to their pre-lease condition at the end of the lease term. On initial recognition, estimated dilapidation costs are included in the cost of the right-of-use asset within property, plant and equipment and are subsequently depreciated over the lease term. There has been no change in the carrying value of dilapidations provisions during the year. During the </w:t>
      </w:r>
      <w:r w:rsidR="004D641C" w:rsidRPr="00DA53C4">
        <w:rPr>
          <w:rFonts w:ascii="Arial" w:eastAsia="MS Mincho" w:hAnsi="Arial" w:cs="Arial"/>
          <w:sz w:val="20"/>
          <w:szCs w:val="20"/>
          <w:lang w:eastAsia="ja-JP"/>
        </w:rPr>
        <w:t>prior</w:t>
      </w:r>
      <w:r w:rsidRPr="00DA53C4">
        <w:rPr>
          <w:rFonts w:ascii="Arial" w:eastAsia="MS Mincho" w:hAnsi="Arial" w:cs="Arial"/>
          <w:sz w:val="20"/>
          <w:szCs w:val="20"/>
          <w:lang w:eastAsia="ja-JP"/>
        </w:rPr>
        <w:t xml:space="preserve"> year they </w:t>
      </w:r>
      <w:r w:rsidR="004D641C" w:rsidRPr="00DA53C4">
        <w:rPr>
          <w:rFonts w:ascii="Arial" w:eastAsia="MS Mincho" w:hAnsi="Arial" w:cs="Arial"/>
          <w:sz w:val="20"/>
          <w:szCs w:val="20"/>
          <w:lang w:eastAsia="ja-JP"/>
        </w:rPr>
        <w:t>were</w:t>
      </w:r>
      <w:r w:rsidRPr="00DA53C4">
        <w:rPr>
          <w:rFonts w:ascii="Arial" w:eastAsia="MS Mincho" w:hAnsi="Arial" w:cs="Arial"/>
          <w:sz w:val="20"/>
          <w:szCs w:val="20"/>
          <w:lang w:eastAsia="ja-JP"/>
        </w:rPr>
        <w:t xml:space="preserve"> reclassified </w:t>
      </w:r>
      <w:r w:rsidR="004D641C" w:rsidRPr="00DA53C4">
        <w:rPr>
          <w:rFonts w:ascii="Arial" w:eastAsia="MS Mincho" w:hAnsi="Arial" w:cs="Arial"/>
          <w:sz w:val="20"/>
          <w:szCs w:val="20"/>
          <w:lang w:eastAsia="ja-JP"/>
        </w:rPr>
        <w:t xml:space="preserve">from trade and other payables to </w:t>
      </w:r>
      <w:r w:rsidRPr="00DA53C4">
        <w:rPr>
          <w:rFonts w:ascii="Arial" w:eastAsia="MS Mincho" w:hAnsi="Arial" w:cs="Arial"/>
          <w:sz w:val="20"/>
          <w:szCs w:val="20"/>
          <w:lang w:eastAsia="ja-JP"/>
        </w:rPr>
        <w:t xml:space="preserve">provisions; however as the carrying value </w:t>
      </w:r>
      <w:r w:rsidR="00793148" w:rsidRPr="00DA53C4">
        <w:rPr>
          <w:rFonts w:ascii="Arial" w:eastAsia="MS Mincho" w:hAnsi="Arial" w:cs="Arial"/>
          <w:bCs/>
          <w:sz w:val="20"/>
          <w:szCs w:val="20"/>
          <w:lang w:eastAsia="ja-JP"/>
        </w:rPr>
        <w:t>wa</w:t>
      </w:r>
      <w:r w:rsidRPr="00DA53C4">
        <w:rPr>
          <w:rFonts w:ascii="Arial" w:eastAsia="MS Mincho" w:hAnsi="Arial" w:cs="Arial"/>
          <w:sz w:val="20"/>
          <w:szCs w:val="20"/>
          <w:lang w:eastAsia="ja-JP"/>
        </w:rPr>
        <w:t xml:space="preserve">s not material no prior period restatement </w:t>
      </w:r>
      <w:r w:rsidR="004D641C" w:rsidRPr="00DA53C4">
        <w:rPr>
          <w:rFonts w:ascii="Arial" w:eastAsia="MS Mincho" w:hAnsi="Arial" w:cs="Arial"/>
          <w:sz w:val="20"/>
          <w:szCs w:val="20"/>
          <w:lang w:eastAsia="ja-JP"/>
        </w:rPr>
        <w:t>was</w:t>
      </w:r>
      <w:r w:rsidRPr="00DA53C4">
        <w:rPr>
          <w:rFonts w:ascii="Arial" w:eastAsia="MS Mincho" w:hAnsi="Arial" w:cs="Arial"/>
          <w:sz w:val="20"/>
          <w:szCs w:val="20"/>
          <w:lang w:eastAsia="ja-JP"/>
        </w:rPr>
        <w:t xml:space="preserve"> recognised.</w:t>
      </w:r>
    </w:p>
    <w:p w14:paraId="1806FDCB" w14:textId="77777777" w:rsidR="0060029B" w:rsidRPr="00DA53C4" w:rsidRDefault="0060029B" w:rsidP="00392AFF">
      <w:pPr>
        <w:spacing w:after="0" w:line="240" w:lineRule="auto"/>
        <w:jc w:val="both"/>
        <w:rPr>
          <w:rFonts w:ascii="Arial" w:eastAsia="MS Mincho" w:hAnsi="Arial" w:cs="Arial"/>
          <w:bCs/>
          <w:sz w:val="20"/>
          <w:szCs w:val="20"/>
          <w:lang w:eastAsia="ja-JP"/>
        </w:rPr>
      </w:pPr>
    </w:p>
    <w:p w14:paraId="2E30C60A" w14:textId="053B30AF" w:rsidR="00F25750" w:rsidRPr="00DA53C4" w:rsidRDefault="005667CC" w:rsidP="00DA53C4">
      <w:pPr>
        <w:spacing w:after="0" w:line="240" w:lineRule="auto"/>
        <w:jc w:val="both"/>
        <w:rPr>
          <w:rFonts w:ascii="Arial" w:eastAsia="MS Mincho" w:hAnsi="Arial" w:cs="Arial"/>
          <w:bCs/>
          <w:sz w:val="20"/>
          <w:szCs w:val="20"/>
          <w:lang w:eastAsia="ja-JP"/>
        </w:rPr>
      </w:pPr>
      <w:r w:rsidRPr="00DA53C4">
        <w:rPr>
          <w:rFonts w:ascii="Arial" w:eastAsia="MS Mincho" w:hAnsi="Arial" w:cs="Arial"/>
          <w:bCs/>
          <w:sz w:val="20"/>
          <w:szCs w:val="20"/>
          <w:lang w:eastAsia="ja-JP"/>
        </w:rPr>
        <w:t xml:space="preserve">The Group recovers input tax on expenditure using a partial exemption special method (“PESM”). </w:t>
      </w:r>
      <w:r w:rsidR="00F25750" w:rsidRPr="00DA53C4">
        <w:rPr>
          <w:rFonts w:ascii="Arial" w:eastAsia="MS Mincho" w:hAnsi="Arial" w:cs="Arial"/>
          <w:bCs/>
          <w:sz w:val="20"/>
          <w:szCs w:val="20"/>
          <w:lang w:eastAsia="ja-JP"/>
        </w:rPr>
        <w:t xml:space="preserve">Since 2016 work has been ongoing with HMRC on an update to the PESM which was originally agreed in 2012. Last year, HMRC concluded that it no longer agreed with the principles of the PESM that it approved in 2012 and it subsequently issued a Special Method Override Notice. Consequently, the Group no longer has an agreed basis for operation of a PESM with HMRC. We disagree with HMRC’s position and we are progressing multiple paths to remediation. The Group is expecting an assessment from HMRC following the completion of the 2024-5 tax year and in accordance with accounting standards the Group is obliged to recognise a provision in respect of this. Although we do not view HMRC’s position as appropriate and we are aiming to reach a resolution promptly, this process is expected to continue throughout 2025. While dialogue with HMRC is ongoing, the amounts recognised remain estimates of uncertain timing and amount. Until the outcome of this matter is determined and while the amounts recognised remain uncertain, we are presenting the charges as adjusting items.  </w:t>
      </w:r>
    </w:p>
    <w:p w14:paraId="5C00D693" w14:textId="7FC3BA4E" w:rsidR="00294FD1" w:rsidRDefault="005667CC" w:rsidP="00294FD1">
      <w:pPr>
        <w:autoSpaceDE w:val="0"/>
        <w:autoSpaceDN w:val="0"/>
        <w:adjustRightInd w:val="0"/>
        <w:spacing w:after="0" w:line="240" w:lineRule="auto"/>
        <w:jc w:val="both"/>
        <w:rPr>
          <w:rFonts w:ascii="Arial" w:eastAsia="MS Mincho" w:hAnsi="Arial" w:cs="Arial"/>
          <w:sz w:val="20"/>
          <w:szCs w:val="20"/>
          <w:lang w:eastAsia="ja-JP"/>
        </w:rPr>
      </w:pPr>
      <w:r w:rsidRPr="00DA53C4">
        <w:rPr>
          <w:rFonts w:ascii="Arial" w:eastAsia="MS Mincho" w:hAnsi="Arial" w:cs="Arial"/>
          <w:bCs/>
          <w:sz w:val="20"/>
          <w:szCs w:val="20"/>
          <w:lang w:eastAsia="ja-JP"/>
        </w:rPr>
        <w:t xml:space="preserve">In the half year ended 30 June 2024, the Group incurred charges of £1.0m relating to this matter. This amount was recognised within accruals at 30 June 2024 but was reclassified to provisions before the year end. The comparative balance sheet at 30 June 2024 has not been restated as it is not material. </w:t>
      </w:r>
    </w:p>
    <w:p w14:paraId="26B2DED0" w14:textId="77777777" w:rsidR="008264BE" w:rsidRDefault="008264BE" w:rsidP="00294FD1">
      <w:pPr>
        <w:autoSpaceDE w:val="0"/>
        <w:autoSpaceDN w:val="0"/>
        <w:adjustRightInd w:val="0"/>
        <w:spacing w:after="0" w:line="240" w:lineRule="auto"/>
        <w:jc w:val="both"/>
        <w:rPr>
          <w:rFonts w:ascii="Arial" w:eastAsia="MS Mincho" w:hAnsi="Arial" w:cs="Arial"/>
          <w:sz w:val="20"/>
          <w:szCs w:val="20"/>
          <w:lang w:eastAsia="ja-JP"/>
        </w:rPr>
      </w:pPr>
    </w:p>
    <w:p w14:paraId="7F82BFDF" w14:textId="77777777" w:rsidR="003358BD" w:rsidRPr="00A44138" w:rsidRDefault="003358BD" w:rsidP="00294FD1">
      <w:pPr>
        <w:autoSpaceDE w:val="0"/>
        <w:autoSpaceDN w:val="0"/>
        <w:adjustRightInd w:val="0"/>
        <w:spacing w:after="0" w:line="240" w:lineRule="auto"/>
        <w:jc w:val="both"/>
        <w:rPr>
          <w:rFonts w:ascii="Arial" w:hAnsi="Arial"/>
          <w:b/>
          <w:sz w:val="18"/>
          <w:szCs w:val="20"/>
        </w:rPr>
      </w:pPr>
    </w:p>
    <w:p w14:paraId="1E136BE7"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after="130" w:line="260" w:lineRule="exact"/>
        <w:jc w:val="both"/>
        <w:textAlignment w:val="baseline"/>
        <w:rPr>
          <w:rFonts w:ascii="Arial" w:hAnsi="Arial" w:cs="Times New Roman"/>
          <w:b/>
          <w:bCs/>
          <w:sz w:val="20"/>
        </w:rPr>
      </w:pPr>
      <w:r w:rsidRPr="00A44138">
        <w:rPr>
          <w:rFonts w:ascii="Arial" w:eastAsia="Batang" w:hAnsi="Arial" w:cs="Times New Roman"/>
          <w:b/>
          <w:bCs/>
          <w:sz w:val="20"/>
          <w:szCs w:val="20"/>
        </w:rPr>
        <w:lastRenderedPageBreak/>
        <w:t>Commitments and contingencies</w:t>
      </w:r>
    </w:p>
    <w:p w14:paraId="6A1F4D3D" w14:textId="369D1984" w:rsidR="00294FD1" w:rsidRPr="00A44138" w:rsidRDefault="00294FD1" w:rsidP="00294FD1">
      <w:pPr>
        <w:spacing w:before="160" w:after="0" w:line="240" w:lineRule="auto"/>
        <w:rPr>
          <w:rFonts w:ascii="Arial" w:eastAsia="Batang" w:hAnsi="Arial" w:cs="Arial"/>
          <w:sz w:val="20"/>
          <w:szCs w:val="20"/>
          <w:lang w:eastAsia="ko-KR"/>
        </w:rPr>
      </w:pPr>
      <w:r w:rsidRPr="000E72F4">
        <w:rPr>
          <w:rFonts w:ascii="Arial" w:eastAsia="Batang" w:hAnsi="Arial" w:cs="Arial"/>
          <w:sz w:val="20"/>
          <w:szCs w:val="20"/>
          <w:lang w:eastAsia="ko-KR"/>
        </w:rPr>
        <w:t xml:space="preserve">At </w:t>
      </w:r>
      <w:r w:rsidRPr="005E7A81">
        <w:rPr>
          <w:rFonts w:ascii="Arial" w:eastAsia="Batang" w:hAnsi="Arial" w:cs="Arial"/>
          <w:sz w:val="20"/>
          <w:szCs w:val="20"/>
          <w:lang w:eastAsia="ko-KR"/>
        </w:rPr>
        <w:t>30 June 202</w:t>
      </w:r>
      <w:r w:rsidR="009862D5" w:rsidRPr="005E7A81">
        <w:rPr>
          <w:rFonts w:ascii="Arial" w:eastAsia="Batang" w:hAnsi="Arial" w:cs="Arial"/>
          <w:sz w:val="20"/>
          <w:szCs w:val="20"/>
          <w:lang w:eastAsia="ko-KR"/>
        </w:rPr>
        <w:t>5</w:t>
      </w:r>
      <w:r w:rsidRPr="005E7A81">
        <w:rPr>
          <w:rFonts w:ascii="Arial" w:eastAsia="Batang" w:hAnsi="Arial" w:cs="Arial"/>
          <w:sz w:val="20"/>
          <w:szCs w:val="20"/>
          <w:lang w:eastAsia="ko-KR"/>
        </w:rPr>
        <w:t xml:space="preserve">, </w:t>
      </w:r>
      <w:r w:rsidRPr="000E72F4">
        <w:rPr>
          <w:rFonts w:ascii="Arial" w:eastAsia="Batang" w:hAnsi="Arial" w:cs="Arial"/>
          <w:sz w:val="20"/>
          <w:szCs w:val="20"/>
          <w:lang w:eastAsia="ko-KR"/>
        </w:rPr>
        <w:t>the</w:t>
      </w:r>
      <w:r w:rsidRPr="00A44138">
        <w:rPr>
          <w:rFonts w:ascii="Arial" w:eastAsia="Batang" w:hAnsi="Arial" w:cs="Arial"/>
          <w:sz w:val="20"/>
          <w:szCs w:val="20"/>
          <w:lang w:eastAsia="ko-KR"/>
        </w:rPr>
        <w:t xml:space="preserve"> Group was committed to incur future capital expenditure of </w:t>
      </w:r>
      <w:r w:rsidR="00B75F09" w:rsidRPr="00A44138">
        <w:rPr>
          <w:rFonts w:ascii="Arial" w:eastAsia="Batang" w:hAnsi="Arial" w:cs="Arial"/>
          <w:sz w:val="20"/>
          <w:szCs w:val="20"/>
          <w:lang w:eastAsia="ko-KR"/>
        </w:rPr>
        <w:t>£</w:t>
      </w:r>
      <w:r w:rsidR="00C60E9B">
        <w:rPr>
          <w:rFonts w:ascii="Arial" w:eastAsia="Batang" w:hAnsi="Arial" w:cs="Arial"/>
          <w:sz w:val="20"/>
          <w:szCs w:val="20"/>
          <w:lang w:eastAsia="ko-KR"/>
        </w:rPr>
        <w:t>0.2m</w:t>
      </w:r>
      <w:r w:rsidRPr="00A44138">
        <w:rPr>
          <w:rFonts w:ascii="Arial" w:eastAsia="Batang" w:hAnsi="Arial" w:cs="Arial"/>
          <w:sz w:val="20"/>
          <w:szCs w:val="20"/>
          <w:lang w:eastAsia="ko-KR"/>
        </w:rPr>
        <w:t xml:space="preserve"> </w:t>
      </w:r>
      <w:r w:rsidRPr="005C13FE">
        <w:rPr>
          <w:rFonts w:ascii="Arial" w:eastAsia="Batang" w:hAnsi="Arial" w:cs="Arial"/>
          <w:sz w:val="20"/>
          <w:szCs w:val="20"/>
          <w:lang w:eastAsia="ko-KR"/>
        </w:rPr>
        <w:t>(</w:t>
      </w:r>
      <w:r w:rsidRPr="005E7A81">
        <w:rPr>
          <w:rFonts w:ascii="Arial" w:eastAsia="Batang" w:hAnsi="Arial" w:cs="Arial"/>
          <w:sz w:val="20"/>
          <w:szCs w:val="20"/>
          <w:lang w:eastAsia="ko-KR"/>
        </w:rPr>
        <w:t>202</w:t>
      </w:r>
      <w:r w:rsidR="00392AFF" w:rsidRPr="005E7A81">
        <w:rPr>
          <w:rFonts w:ascii="Arial" w:eastAsia="Batang" w:hAnsi="Arial" w:cs="Arial"/>
          <w:sz w:val="20"/>
          <w:szCs w:val="20"/>
          <w:lang w:eastAsia="ko-KR"/>
        </w:rPr>
        <w:t>4</w:t>
      </w:r>
      <w:r w:rsidRPr="005E7A81">
        <w:rPr>
          <w:rFonts w:ascii="Arial" w:eastAsia="Batang" w:hAnsi="Arial" w:cs="Arial"/>
          <w:sz w:val="20"/>
          <w:szCs w:val="20"/>
          <w:lang w:eastAsia="ko-KR"/>
        </w:rPr>
        <w:t>: £</w:t>
      </w:r>
      <w:r w:rsidR="00392AFF" w:rsidRPr="005E7A81">
        <w:rPr>
          <w:rFonts w:ascii="Arial" w:eastAsia="Batang" w:hAnsi="Arial" w:cs="Arial"/>
          <w:sz w:val="20"/>
          <w:szCs w:val="20"/>
          <w:lang w:eastAsia="ko-KR"/>
        </w:rPr>
        <w:t>0.8</w:t>
      </w:r>
      <w:r w:rsidR="00DB268B" w:rsidRPr="005E7A81">
        <w:rPr>
          <w:rFonts w:ascii="Arial" w:eastAsia="Batang" w:hAnsi="Arial" w:cs="Arial"/>
          <w:sz w:val="20"/>
          <w:szCs w:val="20"/>
          <w:lang w:eastAsia="ko-KR"/>
        </w:rPr>
        <w:t>m</w:t>
      </w:r>
      <w:r w:rsidRPr="00A44138">
        <w:rPr>
          <w:rFonts w:ascii="Arial" w:eastAsia="Batang" w:hAnsi="Arial" w:cs="Arial"/>
          <w:sz w:val="20"/>
          <w:szCs w:val="20"/>
          <w:lang w:eastAsia="ko-KR"/>
        </w:rPr>
        <w:t>).</w:t>
      </w:r>
    </w:p>
    <w:p w14:paraId="4DE31292" w14:textId="77777777" w:rsidR="00294FD1" w:rsidRPr="00A44138" w:rsidRDefault="00294FD1" w:rsidP="00294FD1">
      <w:pPr>
        <w:spacing w:before="160" w:after="0" w:line="240" w:lineRule="auto"/>
        <w:jc w:val="both"/>
        <w:rPr>
          <w:rFonts w:ascii="Arial" w:eastAsia="Batang" w:hAnsi="Arial" w:cs="Arial"/>
          <w:sz w:val="20"/>
          <w:szCs w:val="20"/>
          <w:lang w:eastAsia="ko-KR"/>
        </w:rPr>
      </w:pPr>
      <w:r w:rsidRPr="00A44138">
        <w:rPr>
          <w:rFonts w:ascii="Arial" w:eastAsia="Batang" w:hAnsi="Arial" w:cs="Arial"/>
          <w:sz w:val="20"/>
          <w:szCs w:val="20"/>
          <w:lang w:eastAsia="ko-KR"/>
        </w:rPr>
        <w:t>Comparable with</w:t>
      </w:r>
      <w:r w:rsidRPr="00A44138">
        <w:rPr>
          <w:rFonts w:ascii="Arial" w:hAnsi="Arial" w:cs="Arial"/>
          <w:sz w:val="20"/>
          <w:szCs w:val="20"/>
        </w:rPr>
        <w:t xml:space="preserve"> most companies of our size, the Group is a defendant in a small number of disputes incidental to its operations and from time to time is under regulatory scrutiny. </w:t>
      </w:r>
    </w:p>
    <w:p w14:paraId="1B4C5D15" w14:textId="14A41BB6" w:rsidR="00294FD1" w:rsidRPr="00A44138" w:rsidRDefault="00294FD1" w:rsidP="00294FD1">
      <w:pPr>
        <w:autoSpaceDE w:val="0"/>
        <w:autoSpaceDN w:val="0"/>
        <w:adjustRightInd w:val="0"/>
        <w:spacing w:before="160" w:after="0" w:line="240" w:lineRule="auto"/>
        <w:jc w:val="both"/>
        <w:rPr>
          <w:rFonts w:ascii="Arial" w:hAnsi="Arial" w:cs="Arial"/>
          <w:sz w:val="20"/>
          <w:szCs w:val="20"/>
        </w:rPr>
      </w:pPr>
      <w:r w:rsidRPr="00A44138">
        <w:rPr>
          <w:rFonts w:ascii="Arial" w:hAnsi="Arial" w:cs="Arial"/>
          <w:sz w:val="20"/>
          <w:szCs w:val="20"/>
        </w:rPr>
        <w:t>As a leading website operator, the Group occasionally experiences operational issues as a result of technological oversights that in some instances can lead to customer detriment, dispute and potential cash outflows. The Group has a professional indemnity insurance policy in order to mitigate liabilities arising out of events such as this. The contingencies outlined above are not expected to have a material adverse effect on the Group.</w:t>
      </w:r>
    </w:p>
    <w:p w14:paraId="5B9BB3A3" w14:textId="77777777" w:rsidR="00294FD1" w:rsidRPr="00A44138" w:rsidRDefault="00294FD1" w:rsidP="00294FD1">
      <w:pPr>
        <w:numPr>
          <w:ilvl w:val="0"/>
          <w:numId w:val="2"/>
        </w:numPr>
        <w:tabs>
          <w:tab w:val="left" w:pos="1559"/>
          <w:tab w:val="left" w:pos="2268"/>
          <w:tab w:val="left" w:pos="2977"/>
          <w:tab w:val="left" w:pos="3686"/>
          <w:tab w:val="left" w:pos="4394"/>
          <w:tab w:val="right" w:pos="8789"/>
        </w:tabs>
        <w:overflowPunct w:val="0"/>
        <w:autoSpaceDE w:val="0"/>
        <w:autoSpaceDN w:val="0"/>
        <w:adjustRightInd w:val="0"/>
        <w:spacing w:before="240" w:after="130" w:line="260" w:lineRule="exact"/>
        <w:textAlignment w:val="baseline"/>
        <w:rPr>
          <w:rFonts w:ascii="Arial" w:hAnsi="Arial" w:cs="Arial"/>
          <w:b/>
          <w:sz w:val="20"/>
          <w:szCs w:val="20"/>
        </w:rPr>
      </w:pPr>
      <w:r w:rsidRPr="00A44138">
        <w:rPr>
          <w:rFonts w:ascii="Arial" w:eastAsia="Batang" w:hAnsi="Arial" w:cs="Arial"/>
          <w:b/>
          <w:sz w:val="20"/>
          <w:szCs w:val="20"/>
        </w:rPr>
        <w:t>Non-controlling interest</w:t>
      </w:r>
    </w:p>
    <w:p w14:paraId="7F475937" w14:textId="77777777" w:rsidR="00294FD1" w:rsidRPr="00A44138" w:rsidRDefault="00294FD1" w:rsidP="00294FD1">
      <w:pPr>
        <w:suppressAutoHyphens/>
        <w:spacing w:before="160" w:after="0" w:line="240" w:lineRule="auto"/>
        <w:jc w:val="both"/>
        <w:rPr>
          <w:rFonts w:ascii="Arial" w:hAnsi="Arial" w:cs="Arial"/>
          <w:sz w:val="20"/>
          <w:szCs w:val="20"/>
        </w:rPr>
      </w:pPr>
      <w:r w:rsidRPr="00A44138">
        <w:rPr>
          <w:rFonts w:ascii="Arial" w:hAnsi="Arial" w:cs="Arial"/>
          <w:sz w:val="20"/>
          <w:szCs w:val="20"/>
        </w:rPr>
        <w:t>The Group recognises two non-controlling interests, one in respect of Ice Travel Group Limited and its two wholly owned subsidiaries Travelsupermarket Limited and Icelolly Marketing Limited (together “Ice Travel Group”), and secondly in respect of Podium Solutions Limited.</w:t>
      </w:r>
    </w:p>
    <w:p w14:paraId="6F368D7C" w14:textId="77777777" w:rsidR="00294FD1" w:rsidRPr="00A44138" w:rsidRDefault="00294FD1" w:rsidP="00294FD1">
      <w:pPr>
        <w:suppressAutoHyphens/>
        <w:spacing w:before="160" w:after="0" w:line="240" w:lineRule="auto"/>
        <w:jc w:val="both"/>
        <w:rPr>
          <w:rFonts w:ascii="Arial" w:hAnsi="Arial" w:cs="Arial"/>
          <w:sz w:val="20"/>
          <w:szCs w:val="20"/>
        </w:rPr>
      </w:pPr>
      <w:r w:rsidRPr="00A44138">
        <w:rPr>
          <w:rFonts w:ascii="Arial" w:hAnsi="Arial" w:cs="Arial"/>
          <w:sz w:val="20"/>
          <w:szCs w:val="20"/>
        </w:rPr>
        <w:t>The following table summarises the financial performance and position of these companies at the period end before any intra-group eliminations.</w:t>
      </w:r>
    </w:p>
    <w:tbl>
      <w:tblPr>
        <w:tblW w:w="5000" w:type="pct"/>
        <w:tblLayout w:type="fixed"/>
        <w:tblCellMar>
          <w:left w:w="0" w:type="dxa"/>
          <w:right w:w="0" w:type="dxa"/>
        </w:tblCellMar>
        <w:tblLook w:val="0000" w:firstRow="0" w:lastRow="0" w:firstColumn="0" w:lastColumn="0" w:noHBand="0" w:noVBand="0"/>
      </w:tblPr>
      <w:tblGrid>
        <w:gridCol w:w="6096"/>
        <w:gridCol w:w="102"/>
        <w:gridCol w:w="1172"/>
        <w:gridCol w:w="994"/>
        <w:gridCol w:w="708"/>
      </w:tblGrid>
      <w:tr w:rsidR="00846069" w:rsidRPr="00A44138" w14:paraId="21F0D09C" w14:textId="77777777" w:rsidTr="00324A0B">
        <w:trPr>
          <w:trHeight w:val="628"/>
        </w:trPr>
        <w:tc>
          <w:tcPr>
            <w:tcW w:w="3360" w:type="pct"/>
            <w:vAlign w:val="bottom"/>
          </w:tcPr>
          <w:p w14:paraId="420DE75B" w14:textId="405D48E0"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At 30 June 202</w:t>
            </w:r>
            <w:r w:rsidR="00856EF9" w:rsidRPr="005E7A81">
              <w:rPr>
                <w:rFonts w:ascii="Arial" w:hAnsi="Arial" w:cs="Arial"/>
                <w:b/>
                <w:sz w:val="18"/>
                <w:szCs w:val="18"/>
              </w:rPr>
              <w:t>5</w:t>
            </w:r>
          </w:p>
        </w:tc>
        <w:tc>
          <w:tcPr>
            <w:tcW w:w="56" w:type="pct"/>
          </w:tcPr>
          <w:p w14:paraId="2A7172B0" w14:textId="77777777" w:rsidR="00846069" w:rsidRPr="005E7A81" w:rsidRDefault="00846069">
            <w:pPr>
              <w:suppressAutoHyphens/>
              <w:spacing w:after="0" w:line="240" w:lineRule="auto"/>
              <w:jc w:val="right"/>
              <w:rPr>
                <w:rFonts w:ascii="Arial" w:hAnsi="Arial" w:cs="Arial"/>
                <w:b/>
                <w:sz w:val="18"/>
                <w:szCs w:val="18"/>
              </w:rPr>
            </w:pPr>
          </w:p>
        </w:tc>
        <w:tc>
          <w:tcPr>
            <w:tcW w:w="646" w:type="pct"/>
          </w:tcPr>
          <w:p w14:paraId="5D49A19A"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Podium Solutions Limited</w:t>
            </w:r>
          </w:p>
        </w:tc>
        <w:tc>
          <w:tcPr>
            <w:tcW w:w="548" w:type="pct"/>
            <w:vAlign w:val="bottom"/>
          </w:tcPr>
          <w:p w14:paraId="6CC97EB6" w14:textId="77777777" w:rsidR="00846069" w:rsidRPr="005E7A81" w:rsidRDefault="00846069">
            <w:pPr>
              <w:suppressAutoHyphens/>
              <w:spacing w:after="0" w:line="240" w:lineRule="auto"/>
              <w:jc w:val="right"/>
              <w:rPr>
                <w:rFonts w:ascii="Arial" w:hAnsi="Arial" w:cs="Arial"/>
                <w:sz w:val="18"/>
                <w:szCs w:val="18"/>
              </w:rPr>
            </w:pPr>
            <w:r w:rsidRPr="005E7A81">
              <w:rPr>
                <w:rFonts w:ascii="Arial" w:hAnsi="Arial" w:cs="Arial"/>
                <w:b/>
                <w:sz w:val="18"/>
                <w:szCs w:val="18"/>
              </w:rPr>
              <w:t>Ice Travel Group</w:t>
            </w:r>
          </w:p>
        </w:tc>
        <w:tc>
          <w:tcPr>
            <w:tcW w:w="390" w:type="pct"/>
            <w:vAlign w:val="bottom"/>
          </w:tcPr>
          <w:p w14:paraId="090F104B" w14:textId="0523CAFB"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Total</w:t>
            </w:r>
          </w:p>
        </w:tc>
      </w:tr>
      <w:tr w:rsidR="00846069" w:rsidRPr="00A44138" w14:paraId="12384B36" w14:textId="77777777" w:rsidTr="00324A0B">
        <w:trPr>
          <w:trHeight w:val="218"/>
        </w:trPr>
        <w:tc>
          <w:tcPr>
            <w:tcW w:w="3360" w:type="pct"/>
            <w:vAlign w:val="bottom"/>
          </w:tcPr>
          <w:p w14:paraId="2E7FAF77"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Non-controlling interest</w:t>
            </w:r>
          </w:p>
        </w:tc>
        <w:tc>
          <w:tcPr>
            <w:tcW w:w="56" w:type="pct"/>
          </w:tcPr>
          <w:p w14:paraId="737B23F2" w14:textId="77777777" w:rsidR="00846069" w:rsidRPr="005E7A81" w:rsidRDefault="00846069">
            <w:pPr>
              <w:suppressAutoHyphens/>
              <w:spacing w:after="0" w:line="240" w:lineRule="auto"/>
              <w:jc w:val="right"/>
              <w:rPr>
                <w:rFonts w:ascii="Arial" w:hAnsi="Arial" w:cs="Arial"/>
                <w:b/>
                <w:sz w:val="18"/>
                <w:szCs w:val="18"/>
              </w:rPr>
            </w:pPr>
          </w:p>
        </w:tc>
        <w:tc>
          <w:tcPr>
            <w:tcW w:w="646" w:type="pct"/>
            <w:tcBorders>
              <w:bottom w:val="single" w:sz="4" w:space="0" w:color="auto"/>
            </w:tcBorders>
          </w:tcPr>
          <w:p w14:paraId="561EF233"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48%</w:t>
            </w:r>
          </w:p>
        </w:tc>
        <w:tc>
          <w:tcPr>
            <w:tcW w:w="548" w:type="pct"/>
            <w:tcBorders>
              <w:bottom w:val="single" w:sz="4" w:space="0" w:color="auto"/>
            </w:tcBorders>
            <w:vAlign w:val="bottom"/>
          </w:tcPr>
          <w:p w14:paraId="7C3E6EF5"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33%</w:t>
            </w:r>
          </w:p>
        </w:tc>
        <w:tc>
          <w:tcPr>
            <w:tcW w:w="390" w:type="pct"/>
            <w:tcBorders>
              <w:bottom w:val="single" w:sz="4" w:space="0" w:color="auto"/>
            </w:tcBorders>
            <w:vAlign w:val="bottom"/>
          </w:tcPr>
          <w:p w14:paraId="0233A472" w14:textId="77777777" w:rsidR="00846069" w:rsidRPr="005E7A81" w:rsidRDefault="00846069">
            <w:pPr>
              <w:suppressAutoHyphens/>
              <w:spacing w:after="0" w:line="240" w:lineRule="auto"/>
              <w:jc w:val="right"/>
              <w:rPr>
                <w:rFonts w:ascii="Arial" w:hAnsi="Arial" w:cs="Arial"/>
                <w:b/>
                <w:sz w:val="18"/>
                <w:szCs w:val="18"/>
              </w:rPr>
            </w:pPr>
          </w:p>
        </w:tc>
      </w:tr>
      <w:tr w:rsidR="00846069" w:rsidRPr="00A44138" w14:paraId="2D083C15" w14:textId="77777777" w:rsidTr="00324A0B">
        <w:trPr>
          <w:trHeight w:val="209"/>
        </w:trPr>
        <w:tc>
          <w:tcPr>
            <w:tcW w:w="3360" w:type="pct"/>
            <w:vAlign w:val="bottom"/>
          </w:tcPr>
          <w:p w14:paraId="14AA0707" w14:textId="77777777" w:rsidR="00846069" w:rsidRPr="005E7A81" w:rsidRDefault="00846069">
            <w:pPr>
              <w:suppressAutoHyphens/>
              <w:spacing w:after="0" w:line="240" w:lineRule="auto"/>
              <w:rPr>
                <w:rFonts w:ascii="Arial" w:hAnsi="Arial" w:cs="Arial"/>
                <w:sz w:val="18"/>
                <w:szCs w:val="18"/>
              </w:rPr>
            </w:pPr>
          </w:p>
        </w:tc>
        <w:tc>
          <w:tcPr>
            <w:tcW w:w="56" w:type="pct"/>
          </w:tcPr>
          <w:p w14:paraId="59DC48B2" w14:textId="77777777" w:rsidR="00846069" w:rsidRPr="005E7A81" w:rsidRDefault="00846069">
            <w:pPr>
              <w:suppressAutoHyphens/>
              <w:spacing w:after="0" w:line="240" w:lineRule="auto"/>
              <w:jc w:val="right"/>
              <w:rPr>
                <w:rFonts w:ascii="Arial" w:hAnsi="Arial" w:cs="Arial"/>
                <w:b/>
                <w:sz w:val="18"/>
                <w:szCs w:val="18"/>
              </w:rPr>
            </w:pPr>
          </w:p>
        </w:tc>
        <w:tc>
          <w:tcPr>
            <w:tcW w:w="646" w:type="pct"/>
            <w:tcBorders>
              <w:top w:val="single" w:sz="4" w:space="0" w:color="auto"/>
            </w:tcBorders>
          </w:tcPr>
          <w:p w14:paraId="72DDB47F"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c>
          <w:tcPr>
            <w:tcW w:w="548" w:type="pct"/>
            <w:tcBorders>
              <w:top w:val="single" w:sz="4" w:space="0" w:color="auto"/>
            </w:tcBorders>
            <w:vAlign w:val="bottom"/>
          </w:tcPr>
          <w:p w14:paraId="3E625231"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c>
          <w:tcPr>
            <w:tcW w:w="390" w:type="pct"/>
            <w:tcBorders>
              <w:top w:val="single" w:sz="4" w:space="0" w:color="auto"/>
            </w:tcBorders>
            <w:vAlign w:val="bottom"/>
          </w:tcPr>
          <w:p w14:paraId="5CF7E48F" w14:textId="77777777" w:rsidR="00846069" w:rsidRPr="005E7A81" w:rsidRDefault="0084606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r>
      <w:tr w:rsidR="00846069" w:rsidRPr="00A44138" w14:paraId="48192149" w14:textId="77777777" w:rsidTr="00324A0B">
        <w:trPr>
          <w:trHeight w:val="218"/>
        </w:trPr>
        <w:tc>
          <w:tcPr>
            <w:tcW w:w="3360" w:type="pct"/>
            <w:vAlign w:val="bottom"/>
          </w:tcPr>
          <w:p w14:paraId="2FF5CE51"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Non-current assets*</w:t>
            </w:r>
          </w:p>
        </w:tc>
        <w:tc>
          <w:tcPr>
            <w:tcW w:w="56" w:type="pct"/>
            <w:vAlign w:val="center"/>
          </w:tcPr>
          <w:p w14:paraId="03F8C75B"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tcBorders>
            <w:vAlign w:val="center"/>
          </w:tcPr>
          <w:p w14:paraId="7A049DEF" w14:textId="24BEB63A" w:rsidR="00846069" w:rsidRPr="005E7A81" w:rsidRDefault="008263AD">
            <w:pPr>
              <w:suppressAutoHyphens/>
              <w:spacing w:after="0" w:line="240" w:lineRule="auto"/>
              <w:jc w:val="right"/>
              <w:rPr>
                <w:rFonts w:ascii="Arial" w:hAnsi="Arial" w:cs="Arial"/>
                <w:sz w:val="18"/>
                <w:szCs w:val="18"/>
              </w:rPr>
            </w:pPr>
            <w:r>
              <w:rPr>
                <w:rFonts w:ascii="Arial" w:hAnsi="Arial" w:cs="Arial"/>
                <w:sz w:val="18"/>
                <w:szCs w:val="18"/>
              </w:rPr>
              <w:t>0.5</w:t>
            </w:r>
          </w:p>
        </w:tc>
        <w:tc>
          <w:tcPr>
            <w:tcW w:w="548" w:type="pct"/>
            <w:tcBorders>
              <w:top w:val="single" w:sz="4" w:space="0" w:color="auto"/>
            </w:tcBorders>
            <w:vAlign w:val="center"/>
          </w:tcPr>
          <w:p w14:paraId="1E2BDCA7" w14:textId="1F5F6ADA"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13.5</w:t>
            </w:r>
          </w:p>
        </w:tc>
        <w:tc>
          <w:tcPr>
            <w:tcW w:w="390" w:type="pct"/>
            <w:tcBorders>
              <w:top w:val="single" w:sz="4" w:space="0" w:color="auto"/>
            </w:tcBorders>
            <w:vAlign w:val="center"/>
          </w:tcPr>
          <w:p w14:paraId="13BCABD7" w14:textId="24E34DA3"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14.0</w:t>
            </w:r>
          </w:p>
        </w:tc>
      </w:tr>
      <w:tr w:rsidR="00846069" w:rsidRPr="00A44138" w14:paraId="77DC4F69" w14:textId="77777777" w:rsidTr="00324A0B">
        <w:trPr>
          <w:trHeight w:val="209"/>
        </w:trPr>
        <w:tc>
          <w:tcPr>
            <w:tcW w:w="3360" w:type="pct"/>
            <w:vAlign w:val="bottom"/>
          </w:tcPr>
          <w:p w14:paraId="071EC09E"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Current assets</w:t>
            </w:r>
          </w:p>
        </w:tc>
        <w:tc>
          <w:tcPr>
            <w:tcW w:w="56" w:type="pct"/>
            <w:vAlign w:val="center"/>
          </w:tcPr>
          <w:p w14:paraId="41D031BC"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vAlign w:val="center"/>
          </w:tcPr>
          <w:p w14:paraId="6B10C5F2" w14:textId="74A0725D"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1.4</w:t>
            </w:r>
          </w:p>
        </w:tc>
        <w:tc>
          <w:tcPr>
            <w:tcW w:w="548" w:type="pct"/>
            <w:vAlign w:val="center"/>
          </w:tcPr>
          <w:p w14:paraId="7D86CE25" w14:textId="4E6FE805"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10.6</w:t>
            </w:r>
          </w:p>
        </w:tc>
        <w:tc>
          <w:tcPr>
            <w:tcW w:w="390" w:type="pct"/>
            <w:vAlign w:val="center"/>
          </w:tcPr>
          <w:p w14:paraId="379F5DC0" w14:textId="49F420F5"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12.0</w:t>
            </w:r>
          </w:p>
        </w:tc>
      </w:tr>
      <w:tr w:rsidR="00846069" w:rsidRPr="00A44138" w14:paraId="21CC69D6" w14:textId="77777777" w:rsidTr="00324A0B">
        <w:trPr>
          <w:trHeight w:val="209"/>
        </w:trPr>
        <w:tc>
          <w:tcPr>
            <w:tcW w:w="3360" w:type="pct"/>
            <w:vAlign w:val="bottom"/>
          </w:tcPr>
          <w:p w14:paraId="59DF65FB"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Non-current liabilities</w:t>
            </w:r>
          </w:p>
        </w:tc>
        <w:tc>
          <w:tcPr>
            <w:tcW w:w="56" w:type="pct"/>
            <w:vAlign w:val="center"/>
          </w:tcPr>
          <w:p w14:paraId="6A582B51"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vAlign w:val="center"/>
          </w:tcPr>
          <w:p w14:paraId="5382BA29" w14:textId="28DA08B5"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(1.7)</w:t>
            </w:r>
          </w:p>
        </w:tc>
        <w:tc>
          <w:tcPr>
            <w:tcW w:w="548" w:type="pct"/>
          </w:tcPr>
          <w:p w14:paraId="592C9AC6" w14:textId="35AE4979"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(3.4)</w:t>
            </w:r>
          </w:p>
        </w:tc>
        <w:tc>
          <w:tcPr>
            <w:tcW w:w="390" w:type="pct"/>
          </w:tcPr>
          <w:p w14:paraId="1F3A7CA4" w14:textId="512530E7"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(5.1)</w:t>
            </w:r>
          </w:p>
        </w:tc>
      </w:tr>
      <w:tr w:rsidR="00846069" w:rsidRPr="00A44138" w14:paraId="732CB391" w14:textId="77777777" w:rsidTr="00324A0B">
        <w:trPr>
          <w:trHeight w:val="209"/>
        </w:trPr>
        <w:tc>
          <w:tcPr>
            <w:tcW w:w="3360" w:type="pct"/>
            <w:vAlign w:val="bottom"/>
          </w:tcPr>
          <w:p w14:paraId="3A04EA72"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Current liabilities</w:t>
            </w:r>
          </w:p>
        </w:tc>
        <w:tc>
          <w:tcPr>
            <w:tcW w:w="56" w:type="pct"/>
            <w:vAlign w:val="center"/>
          </w:tcPr>
          <w:p w14:paraId="69A2D7A0"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bottom w:val="single" w:sz="4" w:space="0" w:color="auto"/>
            </w:tcBorders>
            <w:vAlign w:val="center"/>
          </w:tcPr>
          <w:p w14:paraId="27370884" w14:textId="302A548D"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(2.9)</w:t>
            </w:r>
          </w:p>
        </w:tc>
        <w:tc>
          <w:tcPr>
            <w:tcW w:w="548" w:type="pct"/>
            <w:tcBorders>
              <w:bottom w:val="single" w:sz="4" w:space="0" w:color="auto"/>
            </w:tcBorders>
          </w:tcPr>
          <w:p w14:paraId="054E7F4E" w14:textId="13859B87"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(2.0)</w:t>
            </w:r>
          </w:p>
        </w:tc>
        <w:tc>
          <w:tcPr>
            <w:tcW w:w="390" w:type="pct"/>
            <w:tcBorders>
              <w:bottom w:val="single" w:sz="4" w:space="0" w:color="auto"/>
            </w:tcBorders>
          </w:tcPr>
          <w:p w14:paraId="2F769486" w14:textId="6DD64C33"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(4.9)</w:t>
            </w:r>
          </w:p>
        </w:tc>
      </w:tr>
      <w:tr w:rsidR="00846069" w:rsidRPr="00A44138" w14:paraId="32780966" w14:textId="77777777" w:rsidTr="00324A0B">
        <w:trPr>
          <w:trHeight w:val="218"/>
        </w:trPr>
        <w:tc>
          <w:tcPr>
            <w:tcW w:w="3360" w:type="pct"/>
            <w:vAlign w:val="bottom"/>
          </w:tcPr>
          <w:p w14:paraId="14F1A82E"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Net assets</w:t>
            </w:r>
          </w:p>
        </w:tc>
        <w:tc>
          <w:tcPr>
            <w:tcW w:w="56" w:type="pct"/>
            <w:vAlign w:val="center"/>
          </w:tcPr>
          <w:p w14:paraId="15CDB2C6"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bottom w:val="single" w:sz="4" w:space="0" w:color="auto"/>
            </w:tcBorders>
          </w:tcPr>
          <w:p w14:paraId="0F50030A" w14:textId="0CE43032"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(2.7)</w:t>
            </w:r>
          </w:p>
        </w:tc>
        <w:tc>
          <w:tcPr>
            <w:tcW w:w="548" w:type="pct"/>
            <w:tcBorders>
              <w:top w:val="single" w:sz="4" w:space="0" w:color="auto"/>
              <w:bottom w:val="single" w:sz="4" w:space="0" w:color="auto"/>
            </w:tcBorders>
          </w:tcPr>
          <w:p w14:paraId="0B915773" w14:textId="27327B0D"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18.7</w:t>
            </w:r>
          </w:p>
        </w:tc>
        <w:tc>
          <w:tcPr>
            <w:tcW w:w="390" w:type="pct"/>
            <w:tcBorders>
              <w:top w:val="single" w:sz="4" w:space="0" w:color="auto"/>
              <w:bottom w:val="single" w:sz="4" w:space="0" w:color="auto"/>
            </w:tcBorders>
          </w:tcPr>
          <w:p w14:paraId="61D48ED2" w14:textId="439AAC7C"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16.1</w:t>
            </w:r>
          </w:p>
        </w:tc>
      </w:tr>
      <w:tr w:rsidR="00846069" w:rsidRPr="00A44138" w14:paraId="6345C80C" w14:textId="77777777" w:rsidTr="00324A0B">
        <w:trPr>
          <w:trHeight w:val="209"/>
        </w:trPr>
        <w:tc>
          <w:tcPr>
            <w:tcW w:w="3360" w:type="pct"/>
            <w:vAlign w:val="bottom"/>
          </w:tcPr>
          <w:p w14:paraId="420D523D"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Net assets attributable to non-controlling interest</w:t>
            </w:r>
          </w:p>
        </w:tc>
        <w:tc>
          <w:tcPr>
            <w:tcW w:w="56" w:type="pct"/>
            <w:vAlign w:val="center"/>
          </w:tcPr>
          <w:p w14:paraId="1418D33E"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bottom w:val="double" w:sz="4" w:space="0" w:color="auto"/>
            </w:tcBorders>
          </w:tcPr>
          <w:p w14:paraId="176CA647" w14:textId="38508AC9"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(1.3)</w:t>
            </w:r>
          </w:p>
        </w:tc>
        <w:tc>
          <w:tcPr>
            <w:tcW w:w="548" w:type="pct"/>
            <w:tcBorders>
              <w:top w:val="single" w:sz="4" w:space="0" w:color="auto"/>
              <w:bottom w:val="double" w:sz="4" w:space="0" w:color="auto"/>
            </w:tcBorders>
          </w:tcPr>
          <w:p w14:paraId="3E33A079" w14:textId="4D7C5630" w:rsidR="00846069" w:rsidRPr="005E7A81" w:rsidRDefault="006D1FDC">
            <w:pPr>
              <w:suppressAutoHyphens/>
              <w:spacing w:after="0" w:line="240" w:lineRule="auto"/>
              <w:jc w:val="right"/>
              <w:rPr>
                <w:rFonts w:ascii="Arial" w:hAnsi="Arial" w:cs="Arial"/>
                <w:sz w:val="18"/>
                <w:szCs w:val="18"/>
              </w:rPr>
            </w:pPr>
            <w:r>
              <w:rPr>
                <w:rFonts w:ascii="Arial" w:hAnsi="Arial" w:cs="Arial"/>
                <w:sz w:val="18"/>
                <w:szCs w:val="18"/>
              </w:rPr>
              <w:t>6.2</w:t>
            </w:r>
          </w:p>
        </w:tc>
        <w:tc>
          <w:tcPr>
            <w:tcW w:w="390" w:type="pct"/>
            <w:tcBorders>
              <w:top w:val="single" w:sz="4" w:space="0" w:color="auto"/>
              <w:bottom w:val="double" w:sz="4" w:space="0" w:color="auto"/>
            </w:tcBorders>
          </w:tcPr>
          <w:p w14:paraId="5DA02203" w14:textId="362D52E3" w:rsidR="00846069" w:rsidRPr="00DA53C4" w:rsidRDefault="006D1FDC">
            <w:pPr>
              <w:suppressAutoHyphens/>
              <w:spacing w:after="0" w:line="240" w:lineRule="auto"/>
              <w:jc w:val="right"/>
              <w:rPr>
                <w:rFonts w:ascii="Arial" w:hAnsi="Arial" w:cs="Arial"/>
                <w:sz w:val="18"/>
                <w:szCs w:val="18"/>
              </w:rPr>
            </w:pPr>
            <w:r w:rsidRPr="00DA53C4">
              <w:rPr>
                <w:rFonts w:ascii="Arial" w:hAnsi="Arial" w:cs="Arial"/>
                <w:sz w:val="18"/>
                <w:szCs w:val="18"/>
              </w:rPr>
              <w:t>4.9</w:t>
            </w:r>
          </w:p>
        </w:tc>
      </w:tr>
      <w:tr w:rsidR="00846069" w:rsidRPr="00A44138" w14:paraId="58BB79C2" w14:textId="77777777" w:rsidTr="00324A0B">
        <w:trPr>
          <w:trHeight w:val="209"/>
        </w:trPr>
        <w:tc>
          <w:tcPr>
            <w:tcW w:w="3360" w:type="pct"/>
            <w:vAlign w:val="bottom"/>
          </w:tcPr>
          <w:p w14:paraId="071850F9"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Revenue</w:t>
            </w:r>
          </w:p>
        </w:tc>
        <w:tc>
          <w:tcPr>
            <w:tcW w:w="56" w:type="pct"/>
            <w:vAlign w:val="center"/>
          </w:tcPr>
          <w:p w14:paraId="4AE7276A"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double" w:sz="4" w:space="0" w:color="auto"/>
            </w:tcBorders>
          </w:tcPr>
          <w:p w14:paraId="20DFE7E0" w14:textId="2BAACA66" w:rsidR="00846069" w:rsidRPr="005E7A81" w:rsidRDefault="00FC44C0">
            <w:pPr>
              <w:suppressAutoHyphens/>
              <w:spacing w:after="0" w:line="240" w:lineRule="auto"/>
              <w:jc w:val="right"/>
              <w:rPr>
                <w:rFonts w:ascii="Arial" w:hAnsi="Arial" w:cs="Arial"/>
                <w:sz w:val="18"/>
                <w:szCs w:val="18"/>
              </w:rPr>
            </w:pPr>
            <w:r>
              <w:rPr>
                <w:rFonts w:ascii="Arial" w:hAnsi="Arial" w:cs="Arial"/>
                <w:sz w:val="18"/>
                <w:szCs w:val="18"/>
              </w:rPr>
              <w:t>0.2</w:t>
            </w:r>
          </w:p>
        </w:tc>
        <w:tc>
          <w:tcPr>
            <w:tcW w:w="548" w:type="pct"/>
            <w:tcBorders>
              <w:top w:val="double" w:sz="4" w:space="0" w:color="auto"/>
            </w:tcBorders>
          </w:tcPr>
          <w:p w14:paraId="48CF3219" w14:textId="2EE5D020" w:rsidR="00846069" w:rsidRPr="005E7A81" w:rsidRDefault="00FC44C0">
            <w:pPr>
              <w:suppressAutoHyphens/>
              <w:spacing w:after="0" w:line="240" w:lineRule="auto"/>
              <w:jc w:val="right"/>
              <w:rPr>
                <w:rFonts w:ascii="Arial" w:hAnsi="Arial" w:cs="Arial"/>
                <w:sz w:val="18"/>
                <w:szCs w:val="18"/>
              </w:rPr>
            </w:pPr>
            <w:r>
              <w:rPr>
                <w:rFonts w:ascii="Arial" w:hAnsi="Arial" w:cs="Arial"/>
                <w:sz w:val="18"/>
                <w:szCs w:val="18"/>
              </w:rPr>
              <w:t>10.9</w:t>
            </w:r>
          </w:p>
        </w:tc>
        <w:tc>
          <w:tcPr>
            <w:tcW w:w="390" w:type="pct"/>
            <w:tcBorders>
              <w:top w:val="double" w:sz="4" w:space="0" w:color="auto"/>
            </w:tcBorders>
          </w:tcPr>
          <w:p w14:paraId="4FC1CBFD" w14:textId="27523A05" w:rsidR="00846069" w:rsidRPr="00DA53C4" w:rsidRDefault="00D952F4">
            <w:pPr>
              <w:suppressAutoHyphens/>
              <w:spacing w:after="0" w:line="240" w:lineRule="auto"/>
              <w:jc w:val="right"/>
              <w:rPr>
                <w:rFonts w:ascii="Arial" w:hAnsi="Arial" w:cs="Arial"/>
                <w:sz w:val="18"/>
                <w:szCs w:val="18"/>
              </w:rPr>
            </w:pPr>
            <w:r w:rsidRPr="00DA53C4">
              <w:rPr>
                <w:rFonts w:ascii="Arial" w:hAnsi="Arial" w:cs="Arial"/>
                <w:sz w:val="18"/>
                <w:szCs w:val="18"/>
              </w:rPr>
              <w:t>11.1</w:t>
            </w:r>
          </w:p>
        </w:tc>
      </w:tr>
      <w:tr w:rsidR="00846069" w:rsidRPr="00A44138" w14:paraId="6C64BA75" w14:textId="77777777" w:rsidTr="00324A0B">
        <w:trPr>
          <w:trHeight w:val="209"/>
        </w:trPr>
        <w:tc>
          <w:tcPr>
            <w:tcW w:w="3360" w:type="pct"/>
            <w:vAlign w:val="bottom"/>
          </w:tcPr>
          <w:p w14:paraId="2B3AE0F1" w14:textId="54A1E451"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(Loss)/</w:t>
            </w:r>
            <w:r w:rsidR="006041DB" w:rsidRPr="005E7A81">
              <w:rPr>
                <w:rFonts w:ascii="Arial" w:hAnsi="Arial" w:cs="Arial"/>
                <w:sz w:val="18"/>
                <w:szCs w:val="18"/>
              </w:rPr>
              <w:t>P</w:t>
            </w:r>
            <w:r w:rsidRPr="005E7A81">
              <w:rPr>
                <w:rFonts w:ascii="Arial" w:hAnsi="Arial" w:cs="Arial"/>
                <w:sz w:val="18"/>
                <w:szCs w:val="18"/>
              </w:rPr>
              <w:t>rofit</w:t>
            </w:r>
          </w:p>
        </w:tc>
        <w:tc>
          <w:tcPr>
            <w:tcW w:w="56" w:type="pct"/>
            <w:vAlign w:val="center"/>
          </w:tcPr>
          <w:p w14:paraId="0CD452BF"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Pr>
          <w:p w14:paraId="48773105" w14:textId="7DA6C88F" w:rsidR="00846069" w:rsidRPr="005E7A81" w:rsidRDefault="00EA78C0">
            <w:pPr>
              <w:suppressAutoHyphens/>
              <w:spacing w:after="0" w:line="240" w:lineRule="auto"/>
              <w:jc w:val="right"/>
              <w:rPr>
                <w:rFonts w:ascii="Arial" w:hAnsi="Arial" w:cs="Arial"/>
                <w:sz w:val="18"/>
                <w:szCs w:val="18"/>
              </w:rPr>
            </w:pPr>
            <w:r>
              <w:rPr>
                <w:rFonts w:ascii="Arial" w:hAnsi="Arial" w:cs="Arial"/>
                <w:sz w:val="18"/>
                <w:szCs w:val="18"/>
              </w:rPr>
              <w:t>(0.7)</w:t>
            </w:r>
          </w:p>
        </w:tc>
        <w:tc>
          <w:tcPr>
            <w:tcW w:w="548" w:type="pct"/>
          </w:tcPr>
          <w:p w14:paraId="1FA0592C" w14:textId="1B6AB1FC" w:rsidR="00846069" w:rsidRPr="005E7A81" w:rsidRDefault="00EA78C0">
            <w:pPr>
              <w:suppressAutoHyphens/>
              <w:spacing w:after="0" w:line="240" w:lineRule="auto"/>
              <w:jc w:val="right"/>
              <w:rPr>
                <w:rFonts w:ascii="Arial" w:hAnsi="Arial" w:cs="Arial"/>
                <w:sz w:val="18"/>
                <w:szCs w:val="18"/>
              </w:rPr>
            </w:pPr>
            <w:r>
              <w:rPr>
                <w:rFonts w:ascii="Arial" w:hAnsi="Arial" w:cs="Arial"/>
                <w:sz w:val="18"/>
                <w:szCs w:val="18"/>
              </w:rPr>
              <w:t>0.3</w:t>
            </w:r>
          </w:p>
        </w:tc>
        <w:tc>
          <w:tcPr>
            <w:tcW w:w="390" w:type="pct"/>
          </w:tcPr>
          <w:p w14:paraId="6589A3FB" w14:textId="2CA2D697" w:rsidR="00846069" w:rsidRPr="00DA53C4" w:rsidRDefault="00D952F4">
            <w:pPr>
              <w:suppressAutoHyphens/>
              <w:spacing w:after="0" w:line="240" w:lineRule="auto"/>
              <w:jc w:val="right"/>
              <w:rPr>
                <w:rFonts w:ascii="Arial" w:hAnsi="Arial" w:cs="Arial"/>
                <w:sz w:val="18"/>
                <w:szCs w:val="18"/>
              </w:rPr>
            </w:pPr>
            <w:r w:rsidRPr="00DA53C4">
              <w:rPr>
                <w:rFonts w:ascii="Arial" w:hAnsi="Arial" w:cs="Arial"/>
                <w:sz w:val="18"/>
                <w:szCs w:val="18"/>
              </w:rPr>
              <w:t>(0.4)</w:t>
            </w:r>
          </w:p>
        </w:tc>
      </w:tr>
      <w:tr w:rsidR="00846069" w:rsidRPr="00A44138" w14:paraId="12F1906B" w14:textId="77777777" w:rsidTr="00324A0B">
        <w:trPr>
          <w:trHeight w:val="218"/>
        </w:trPr>
        <w:tc>
          <w:tcPr>
            <w:tcW w:w="3360" w:type="pct"/>
            <w:vAlign w:val="bottom"/>
          </w:tcPr>
          <w:p w14:paraId="6F521862"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Total comprehensive income</w:t>
            </w:r>
          </w:p>
        </w:tc>
        <w:tc>
          <w:tcPr>
            <w:tcW w:w="56" w:type="pct"/>
            <w:vAlign w:val="center"/>
          </w:tcPr>
          <w:p w14:paraId="3B7E476F"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bottom w:val="double" w:sz="4" w:space="0" w:color="auto"/>
            </w:tcBorders>
          </w:tcPr>
          <w:p w14:paraId="76875373" w14:textId="51942035" w:rsidR="00846069" w:rsidRPr="005E7A81" w:rsidRDefault="00B1599A">
            <w:pPr>
              <w:suppressAutoHyphens/>
              <w:spacing w:after="0" w:line="240" w:lineRule="auto"/>
              <w:jc w:val="right"/>
              <w:rPr>
                <w:rFonts w:ascii="Arial" w:hAnsi="Arial" w:cs="Arial"/>
                <w:sz w:val="18"/>
                <w:szCs w:val="18"/>
              </w:rPr>
            </w:pPr>
            <w:r>
              <w:rPr>
                <w:rFonts w:ascii="Arial" w:hAnsi="Arial" w:cs="Arial"/>
                <w:sz w:val="18"/>
                <w:szCs w:val="18"/>
              </w:rPr>
              <w:t>(0.7)</w:t>
            </w:r>
          </w:p>
        </w:tc>
        <w:tc>
          <w:tcPr>
            <w:tcW w:w="548" w:type="pct"/>
            <w:tcBorders>
              <w:top w:val="single" w:sz="4" w:space="0" w:color="auto"/>
              <w:bottom w:val="double" w:sz="4" w:space="0" w:color="auto"/>
            </w:tcBorders>
          </w:tcPr>
          <w:p w14:paraId="409952B8" w14:textId="7D826FF7" w:rsidR="00846069" w:rsidRPr="005E7A81" w:rsidRDefault="00B1599A">
            <w:pPr>
              <w:suppressAutoHyphens/>
              <w:spacing w:after="0" w:line="240" w:lineRule="auto"/>
              <w:jc w:val="right"/>
              <w:rPr>
                <w:rFonts w:ascii="Arial" w:hAnsi="Arial" w:cs="Arial"/>
                <w:sz w:val="18"/>
                <w:szCs w:val="18"/>
              </w:rPr>
            </w:pPr>
            <w:r>
              <w:rPr>
                <w:rFonts w:ascii="Arial" w:hAnsi="Arial" w:cs="Arial"/>
                <w:sz w:val="18"/>
                <w:szCs w:val="18"/>
              </w:rPr>
              <w:t>0.</w:t>
            </w:r>
            <w:r w:rsidR="0026097A">
              <w:rPr>
                <w:rFonts w:ascii="Arial" w:hAnsi="Arial" w:cs="Arial"/>
                <w:sz w:val="18"/>
                <w:szCs w:val="18"/>
              </w:rPr>
              <w:t>3</w:t>
            </w:r>
          </w:p>
        </w:tc>
        <w:tc>
          <w:tcPr>
            <w:tcW w:w="390" w:type="pct"/>
            <w:tcBorders>
              <w:top w:val="single" w:sz="4" w:space="0" w:color="auto"/>
              <w:bottom w:val="double" w:sz="4" w:space="0" w:color="auto"/>
            </w:tcBorders>
          </w:tcPr>
          <w:p w14:paraId="55074511" w14:textId="5A13CB07" w:rsidR="00846069" w:rsidRPr="00DA53C4" w:rsidRDefault="00A33CD0">
            <w:pPr>
              <w:suppressAutoHyphens/>
              <w:spacing w:after="0" w:line="240" w:lineRule="auto"/>
              <w:jc w:val="right"/>
              <w:rPr>
                <w:rFonts w:ascii="Arial" w:hAnsi="Arial" w:cs="Arial"/>
                <w:sz w:val="18"/>
                <w:szCs w:val="18"/>
              </w:rPr>
            </w:pPr>
            <w:r w:rsidRPr="00DA53C4">
              <w:rPr>
                <w:rFonts w:ascii="Arial" w:hAnsi="Arial" w:cs="Arial"/>
                <w:sz w:val="18"/>
                <w:szCs w:val="18"/>
              </w:rPr>
              <w:t>(0.</w:t>
            </w:r>
            <w:r w:rsidR="00750AF2" w:rsidRPr="00DA53C4">
              <w:rPr>
                <w:rFonts w:ascii="Arial" w:hAnsi="Arial" w:cs="Arial"/>
                <w:sz w:val="18"/>
                <w:szCs w:val="18"/>
              </w:rPr>
              <w:t>4)</w:t>
            </w:r>
          </w:p>
        </w:tc>
      </w:tr>
      <w:tr w:rsidR="00846069" w:rsidRPr="00A44138" w14:paraId="37A96A62" w14:textId="77777777" w:rsidTr="00324A0B">
        <w:trPr>
          <w:trHeight w:val="209"/>
        </w:trPr>
        <w:tc>
          <w:tcPr>
            <w:tcW w:w="3360" w:type="pct"/>
            <w:vAlign w:val="bottom"/>
          </w:tcPr>
          <w:p w14:paraId="583E1A48" w14:textId="61C0C7AC"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(Loss)/</w:t>
            </w:r>
            <w:r w:rsidR="006041DB" w:rsidRPr="005E7A81">
              <w:rPr>
                <w:rFonts w:ascii="Arial" w:hAnsi="Arial" w:cs="Arial"/>
                <w:sz w:val="18"/>
                <w:szCs w:val="18"/>
              </w:rPr>
              <w:t>P</w:t>
            </w:r>
            <w:r w:rsidRPr="005E7A81">
              <w:rPr>
                <w:rFonts w:ascii="Arial" w:hAnsi="Arial" w:cs="Arial"/>
                <w:sz w:val="18"/>
                <w:szCs w:val="18"/>
              </w:rPr>
              <w:t>rofit attributable to the non-controlling interest</w:t>
            </w:r>
          </w:p>
        </w:tc>
        <w:tc>
          <w:tcPr>
            <w:tcW w:w="56" w:type="pct"/>
            <w:vAlign w:val="center"/>
          </w:tcPr>
          <w:p w14:paraId="61832BF3"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double" w:sz="4" w:space="0" w:color="auto"/>
            </w:tcBorders>
          </w:tcPr>
          <w:p w14:paraId="0039E36C" w14:textId="20214BC3" w:rsidR="00846069" w:rsidRPr="005E7A81" w:rsidRDefault="00750AF2">
            <w:pPr>
              <w:suppressAutoHyphens/>
              <w:spacing w:after="0" w:line="240" w:lineRule="auto"/>
              <w:jc w:val="right"/>
              <w:rPr>
                <w:rFonts w:ascii="Arial" w:hAnsi="Arial" w:cs="Arial"/>
                <w:sz w:val="18"/>
                <w:szCs w:val="18"/>
              </w:rPr>
            </w:pPr>
            <w:r>
              <w:rPr>
                <w:rFonts w:ascii="Arial" w:hAnsi="Arial" w:cs="Arial"/>
                <w:sz w:val="18"/>
                <w:szCs w:val="18"/>
              </w:rPr>
              <w:t>(0.4)</w:t>
            </w:r>
          </w:p>
        </w:tc>
        <w:tc>
          <w:tcPr>
            <w:tcW w:w="548" w:type="pct"/>
            <w:tcBorders>
              <w:top w:val="double" w:sz="4" w:space="0" w:color="auto"/>
            </w:tcBorders>
          </w:tcPr>
          <w:p w14:paraId="47D6470E" w14:textId="0B83B892" w:rsidR="00846069" w:rsidRPr="005E7A81" w:rsidRDefault="00750AF2">
            <w:pPr>
              <w:suppressAutoHyphens/>
              <w:spacing w:after="0" w:line="240" w:lineRule="auto"/>
              <w:jc w:val="right"/>
              <w:rPr>
                <w:rFonts w:ascii="Arial" w:hAnsi="Arial" w:cs="Arial"/>
                <w:sz w:val="18"/>
                <w:szCs w:val="18"/>
              </w:rPr>
            </w:pPr>
            <w:r>
              <w:rPr>
                <w:rFonts w:ascii="Arial" w:hAnsi="Arial" w:cs="Arial"/>
                <w:sz w:val="18"/>
                <w:szCs w:val="18"/>
              </w:rPr>
              <w:t>0.1</w:t>
            </w:r>
          </w:p>
        </w:tc>
        <w:tc>
          <w:tcPr>
            <w:tcW w:w="390" w:type="pct"/>
            <w:tcBorders>
              <w:top w:val="double" w:sz="4" w:space="0" w:color="auto"/>
            </w:tcBorders>
          </w:tcPr>
          <w:p w14:paraId="0270ACFF" w14:textId="347C7E42" w:rsidR="00846069" w:rsidRPr="00DA53C4" w:rsidRDefault="007D5D68">
            <w:pPr>
              <w:suppressAutoHyphens/>
              <w:spacing w:after="0" w:line="240" w:lineRule="auto"/>
              <w:jc w:val="right"/>
              <w:rPr>
                <w:rFonts w:ascii="Arial" w:hAnsi="Arial" w:cs="Arial"/>
                <w:sz w:val="18"/>
                <w:szCs w:val="18"/>
              </w:rPr>
            </w:pPr>
            <w:r>
              <w:rPr>
                <w:rFonts w:ascii="Arial" w:hAnsi="Arial" w:cs="Arial"/>
                <w:sz w:val="18"/>
                <w:szCs w:val="18"/>
              </w:rPr>
              <w:t>(</w:t>
            </w:r>
            <w:r w:rsidR="00750AF2" w:rsidRPr="00DA53C4">
              <w:rPr>
                <w:rFonts w:ascii="Arial" w:hAnsi="Arial" w:cs="Arial"/>
                <w:sz w:val="18"/>
                <w:szCs w:val="18"/>
              </w:rPr>
              <w:t>0.3</w:t>
            </w:r>
            <w:r>
              <w:rPr>
                <w:rFonts w:ascii="Arial" w:hAnsi="Arial" w:cs="Arial"/>
                <w:sz w:val="18"/>
                <w:szCs w:val="18"/>
              </w:rPr>
              <w:t>)</w:t>
            </w:r>
          </w:p>
        </w:tc>
      </w:tr>
      <w:tr w:rsidR="00846069" w:rsidRPr="00A44138" w14:paraId="4533F071" w14:textId="77777777" w:rsidTr="00324A0B">
        <w:trPr>
          <w:trHeight w:val="128"/>
        </w:trPr>
        <w:tc>
          <w:tcPr>
            <w:tcW w:w="3360" w:type="pct"/>
            <w:vAlign w:val="bottom"/>
          </w:tcPr>
          <w:p w14:paraId="796310D6"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Total comprehensive income attributable to non-controlling interest</w:t>
            </w:r>
          </w:p>
        </w:tc>
        <w:tc>
          <w:tcPr>
            <w:tcW w:w="56" w:type="pct"/>
            <w:vAlign w:val="center"/>
          </w:tcPr>
          <w:p w14:paraId="6889CD69"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bottom w:val="double" w:sz="4" w:space="0" w:color="auto"/>
            </w:tcBorders>
          </w:tcPr>
          <w:p w14:paraId="099A361A" w14:textId="46869462" w:rsidR="00846069" w:rsidRPr="005E7A81" w:rsidRDefault="001F7FAF">
            <w:pPr>
              <w:suppressAutoHyphens/>
              <w:spacing w:after="0" w:line="240" w:lineRule="auto"/>
              <w:jc w:val="right"/>
              <w:rPr>
                <w:rFonts w:ascii="Arial" w:hAnsi="Arial" w:cs="Arial"/>
                <w:sz w:val="18"/>
                <w:szCs w:val="18"/>
              </w:rPr>
            </w:pPr>
            <w:r>
              <w:rPr>
                <w:rFonts w:ascii="Arial" w:hAnsi="Arial" w:cs="Arial"/>
                <w:sz w:val="18"/>
                <w:szCs w:val="18"/>
              </w:rPr>
              <w:t>(0.4)</w:t>
            </w:r>
          </w:p>
        </w:tc>
        <w:tc>
          <w:tcPr>
            <w:tcW w:w="548" w:type="pct"/>
            <w:tcBorders>
              <w:top w:val="single" w:sz="4" w:space="0" w:color="auto"/>
              <w:bottom w:val="double" w:sz="4" w:space="0" w:color="auto"/>
            </w:tcBorders>
          </w:tcPr>
          <w:p w14:paraId="7C1A27B5" w14:textId="5636C0B3" w:rsidR="00846069" w:rsidRPr="005E7A81" w:rsidRDefault="001F7FAF">
            <w:pPr>
              <w:suppressAutoHyphens/>
              <w:spacing w:after="0" w:line="240" w:lineRule="auto"/>
              <w:jc w:val="right"/>
              <w:rPr>
                <w:rFonts w:ascii="Arial" w:hAnsi="Arial" w:cs="Arial"/>
                <w:sz w:val="18"/>
                <w:szCs w:val="18"/>
              </w:rPr>
            </w:pPr>
            <w:r>
              <w:rPr>
                <w:rFonts w:ascii="Arial" w:hAnsi="Arial" w:cs="Arial"/>
                <w:sz w:val="18"/>
                <w:szCs w:val="18"/>
              </w:rPr>
              <w:t>0.1</w:t>
            </w:r>
          </w:p>
        </w:tc>
        <w:tc>
          <w:tcPr>
            <w:tcW w:w="390" w:type="pct"/>
            <w:tcBorders>
              <w:top w:val="single" w:sz="4" w:space="0" w:color="auto"/>
              <w:bottom w:val="double" w:sz="4" w:space="0" w:color="auto"/>
            </w:tcBorders>
          </w:tcPr>
          <w:p w14:paraId="127247AA" w14:textId="1A3FF219" w:rsidR="00846069" w:rsidRPr="00DA53C4" w:rsidRDefault="007D5D68">
            <w:pPr>
              <w:suppressAutoHyphens/>
              <w:spacing w:after="0" w:line="240" w:lineRule="auto"/>
              <w:jc w:val="right"/>
              <w:rPr>
                <w:rFonts w:ascii="Arial" w:hAnsi="Arial" w:cs="Arial"/>
                <w:sz w:val="18"/>
                <w:szCs w:val="18"/>
              </w:rPr>
            </w:pPr>
            <w:r>
              <w:rPr>
                <w:rFonts w:ascii="Arial" w:hAnsi="Arial" w:cs="Arial"/>
                <w:sz w:val="18"/>
                <w:szCs w:val="18"/>
              </w:rPr>
              <w:t>(</w:t>
            </w:r>
            <w:r w:rsidR="001F7FAF" w:rsidRPr="00DA53C4">
              <w:rPr>
                <w:rFonts w:ascii="Arial" w:hAnsi="Arial" w:cs="Arial"/>
                <w:sz w:val="18"/>
                <w:szCs w:val="18"/>
              </w:rPr>
              <w:t>0.3</w:t>
            </w:r>
            <w:r>
              <w:rPr>
                <w:rFonts w:ascii="Arial" w:hAnsi="Arial" w:cs="Arial"/>
                <w:sz w:val="18"/>
                <w:szCs w:val="18"/>
              </w:rPr>
              <w:t>)</w:t>
            </w:r>
          </w:p>
        </w:tc>
      </w:tr>
      <w:tr w:rsidR="00846069" w:rsidRPr="00A44138" w14:paraId="71A1463E" w14:textId="77777777" w:rsidTr="00324A0B">
        <w:trPr>
          <w:trHeight w:val="209"/>
        </w:trPr>
        <w:tc>
          <w:tcPr>
            <w:tcW w:w="3360" w:type="pct"/>
            <w:vAlign w:val="bottom"/>
          </w:tcPr>
          <w:p w14:paraId="749BF4EA" w14:textId="77777777" w:rsidR="00846069" w:rsidRPr="005E7A81" w:rsidRDefault="00846069">
            <w:pPr>
              <w:suppressAutoHyphens/>
              <w:spacing w:after="0" w:line="240" w:lineRule="auto"/>
              <w:rPr>
                <w:rFonts w:ascii="Arial" w:hAnsi="Arial" w:cs="Arial"/>
                <w:sz w:val="18"/>
                <w:szCs w:val="18"/>
              </w:rPr>
            </w:pPr>
            <w:r w:rsidRPr="005E7A81">
              <w:rPr>
                <w:rFonts w:ascii="Arial" w:hAnsi="Arial" w:cs="Arial"/>
                <w:sz w:val="18"/>
                <w:szCs w:val="18"/>
              </w:rPr>
              <w:t>Cash flows from operating activities</w:t>
            </w:r>
          </w:p>
        </w:tc>
        <w:tc>
          <w:tcPr>
            <w:tcW w:w="56" w:type="pct"/>
            <w:vAlign w:val="center"/>
          </w:tcPr>
          <w:p w14:paraId="1E0FBB5B"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double" w:sz="4" w:space="0" w:color="auto"/>
            </w:tcBorders>
          </w:tcPr>
          <w:p w14:paraId="5C935FC2" w14:textId="50BC2AC3" w:rsidR="00846069" w:rsidRPr="005E7A81" w:rsidRDefault="0017492D">
            <w:pPr>
              <w:suppressAutoHyphens/>
              <w:spacing w:after="0" w:line="240" w:lineRule="auto"/>
              <w:jc w:val="right"/>
              <w:rPr>
                <w:rFonts w:ascii="Arial" w:hAnsi="Arial" w:cs="Arial"/>
                <w:sz w:val="18"/>
                <w:szCs w:val="18"/>
              </w:rPr>
            </w:pPr>
            <w:r>
              <w:rPr>
                <w:rFonts w:ascii="Arial" w:hAnsi="Arial" w:cs="Arial"/>
                <w:sz w:val="18"/>
                <w:szCs w:val="18"/>
              </w:rPr>
              <w:t>(0.6</w:t>
            </w:r>
            <w:r w:rsidR="00F7734B">
              <w:rPr>
                <w:rFonts w:ascii="Arial" w:hAnsi="Arial" w:cs="Arial"/>
                <w:sz w:val="18"/>
                <w:szCs w:val="18"/>
              </w:rPr>
              <w:t>)</w:t>
            </w:r>
          </w:p>
        </w:tc>
        <w:tc>
          <w:tcPr>
            <w:tcW w:w="548" w:type="pct"/>
            <w:tcBorders>
              <w:top w:val="double" w:sz="4" w:space="0" w:color="auto"/>
            </w:tcBorders>
          </w:tcPr>
          <w:p w14:paraId="1CCD7D2E" w14:textId="627B163D" w:rsidR="00846069" w:rsidRPr="005E7A81" w:rsidRDefault="009C7131">
            <w:pPr>
              <w:suppressAutoHyphens/>
              <w:spacing w:after="0" w:line="240" w:lineRule="auto"/>
              <w:jc w:val="right"/>
              <w:rPr>
                <w:rFonts w:ascii="Arial" w:hAnsi="Arial" w:cs="Arial"/>
                <w:sz w:val="18"/>
                <w:szCs w:val="18"/>
              </w:rPr>
            </w:pPr>
            <w:r>
              <w:rPr>
                <w:rFonts w:ascii="Arial" w:hAnsi="Arial" w:cs="Arial"/>
                <w:sz w:val="18"/>
                <w:szCs w:val="18"/>
              </w:rPr>
              <w:t>1.3</w:t>
            </w:r>
          </w:p>
        </w:tc>
        <w:tc>
          <w:tcPr>
            <w:tcW w:w="390" w:type="pct"/>
            <w:tcBorders>
              <w:top w:val="double" w:sz="4" w:space="0" w:color="auto"/>
            </w:tcBorders>
          </w:tcPr>
          <w:p w14:paraId="1248102D" w14:textId="718962B3" w:rsidR="00846069" w:rsidRPr="00DA53C4" w:rsidRDefault="00207C48">
            <w:pPr>
              <w:suppressAutoHyphens/>
              <w:spacing w:after="0" w:line="240" w:lineRule="auto"/>
              <w:jc w:val="right"/>
              <w:rPr>
                <w:rFonts w:ascii="Arial" w:hAnsi="Arial" w:cs="Arial"/>
                <w:sz w:val="18"/>
                <w:szCs w:val="18"/>
              </w:rPr>
            </w:pPr>
            <w:r w:rsidRPr="00DA53C4">
              <w:rPr>
                <w:rFonts w:ascii="Arial" w:hAnsi="Arial" w:cs="Arial"/>
                <w:sz w:val="18"/>
                <w:szCs w:val="18"/>
              </w:rPr>
              <w:t>0.7</w:t>
            </w:r>
          </w:p>
        </w:tc>
      </w:tr>
      <w:tr w:rsidR="00846069" w:rsidRPr="00A44138" w14:paraId="0518E635" w14:textId="77777777" w:rsidTr="00324A0B">
        <w:trPr>
          <w:trHeight w:val="209"/>
        </w:trPr>
        <w:tc>
          <w:tcPr>
            <w:tcW w:w="3360" w:type="pct"/>
            <w:vAlign w:val="bottom"/>
          </w:tcPr>
          <w:p w14:paraId="5310A5B1"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sz w:val="18"/>
                <w:szCs w:val="18"/>
              </w:rPr>
              <w:t>Cash flows from investing activities</w:t>
            </w:r>
          </w:p>
        </w:tc>
        <w:tc>
          <w:tcPr>
            <w:tcW w:w="56" w:type="pct"/>
            <w:vAlign w:val="center"/>
          </w:tcPr>
          <w:p w14:paraId="40B16A2B"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Pr>
          <w:p w14:paraId="7142B88D" w14:textId="5BA9EC76" w:rsidR="00846069" w:rsidRPr="005E7A81" w:rsidRDefault="0095583D">
            <w:pPr>
              <w:suppressAutoHyphens/>
              <w:spacing w:after="0" w:line="240" w:lineRule="auto"/>
              <w:jc w:val="right"/>
              <w:rPr>
                <w:rFonts w:ascii="Arial" w:hAnsi="Arial" w:cs="Arial"/>
                <w:sz w:val="18"/>
                <w:szCs w:val="18"/>
              </w:rPr>
            </w:pPr>
            <w:r>
              <w:rPr>
                <w:rFonts w:ascii="Arial" w:hAnsi="Arial" w:cs="Arial"/>
                <w:sz w:val="18"/>
                <w:szCs w:val="18"/>
              </w:rPr>
              <w:t>-</w:t>
            </w:r>
          </w:p>
        </w:tc>
        <w:tc>
          <w:tcPr>
            <w:tcW w:w="548" w:type="pct"/>
          </w:tcPr>
          <w:p w14:paraId="27AEFD9F" w14:textId="638B702C" w:rsidR="00846069" w:rsidRPr="005E7A81" w:rsidRDefault="003F3DA8">
            <w:pPr>
              <w:suppressAutoHyphens/>
              <w:spacing w:after="0" w:line="240" w:lineRule="auto"/>
              <w:jc w:val="right"/>
              <w:rPr>
                <w:rFonts w:ascii="Arial" w:hAnsi="Arial" w:cs="Arial"/>
                <w:sz w:val="18"/>
                <w:szCs w:val="18"/>
              </w:rPr>
            </w:pPr>
            <w:r>
              <w:rPr>
                <w:rFonts w:ascii="Arial" w:hAnsi="Arial" w:cs="Arial"/>
                <w:sz w:val="18"/>
                <w:szCs w:val="18"/>
              </w:rPr>
              <w:t>(0.3)</w:t>
            </w:r>
          </w:p>
        </w:tc>
        <w:tc>
          <w:tcPr>
            <w:tcW w:w="390" w:type="pct"/>
          </w:tcPr>
          <w:p w14:paraId="7F449519" w14:textId="07E828C4" w:rsidR="00846069" w:rsidRPr="00DA53C4" w:rsidRDefault="003F3DA8">
            <w:pPr>
              <w:suppressAutoHyphens/>
              <w:spacing w:after="0" w:line="240" w:lineRule="auto"/>
              <w:jc w:val="right"/>
              <w:rPr>
                <w:rFonts w:ascii="Arial" w:hAnsi="Arial" w:cs="Arial"/>
                <w:sz w:val="18"/>
                <w:szCs w:val="18"/>
              </w:rPr>
            </w:pPr>
            <w:r w:rsidRPr="00DA53C4">
              <w:rPr>
                <w:rFonts w:ascii="Arial" w:hAnsi="Arial" w:cs="Arial"/>
                <w:sz w:val="18"/>
                <w:szCs w:val="18"/>
              </w:rPr>
              <w:t>(0.3)</w:t>
            </w:r>
          </w:p>
        </w:tc>
      </w:tr>
      <w:tr w:rsidR="0095583D" w:rsidRPr="00A44138" w14:paraId="239ACA8F" w14:textId="77777777" w:rsidTr="00324A0B">
        <w:trPr>
          <w:trHeight w:val="209"/>
        </w:trPr>
        <w:tc>
          <w:tcPr>
            <w:tcW w:w="3360" w:type="pct"/>
            <w:vAlign w:val="bottom"/>
          </w:tcPr>
          <w:p w14:paraId="1B42CF9D" w14:textId="6540AAB3" w:rsidR="0095583D" w:rsidRPr="005E7A81" w:rsidRDefault="0095583D">
            <w:pPr>
              <w:suppressAutoHyphens/>
              <w:spacing w:after="0" w:line="240" w:lineRule="auto"/>
              <w:rPr>
                <w:rFonts w:ascii="Arial" w:hAnsi="Arial" w:cs="Arial"/>
                <w:sz w:val="18"/>
                <w:szCs w:val="18"/>
              </w:rPr>
            </w:pPr>
            <w:r>
              <w:rPr>
                <w:rFonts w:ascii="Arial" w:hAnsi="Arial" w:cs="Arial"/>
                <w:sz w:val="18"/>
                <w:szCs w:val="18"/>
              </w:rPr>
              <w:t xml:space="preserve">Cash flows from financing </w:t>
            </w:r>
            <w:r w:rsidR="00EA70C3">
              <w:rPr>
                <w:rFonts w:ascii="Arial" w:hAnsi="Arial" w:cs="Arial"/>
                <w:sz w:val="18"/>
                <w:szCs w:val="18"/>
              </w:rPr>
              <w:t>activities</w:t>
            </w:r>
          </w:p>
        </w:tc>
        <w:tc>
          <w:tcPr>
            <w:tcW w:w="56" w:type="pct"/>
            <w:vAlign w:val="center"/>
          </w:tcPr>
          <w:p w14:paraId="6D2384A9" w14:textId="77777777" w:rsidR="0095583D" w:rsidRPr="005E7A81" w:rsidRDefault="0095583D">
            <w:pPr>
              <w:suppressAutoHyphens/>
              <w:spacing w:after="0" w:line="240" w:lineRule="auto"/>
              <w:jc w:val="right"/>
              <w:rPr>
                <w:rFonts w:ascii="Arial" w:hAnsi="Arial" w:cs="Arial"/>
                <w:color w:val="FF0000"/>
                <w:sz w:val="18"/>
                <w:szCs w:val="18"/>
              </w:rPr>
            </w:pPr>
          </w:p>
        </w:tc>
        <w:tc>
          <w:tcPr>
            <w:tcW w:w="646" w:type="pct"/>
          </w:tcPr>
          <w:p w14:paraId="06A5444E" w14:textId="3759F179" w:rsidR="0095583D" w:rsidRDefault="0082659E">
            <w:pPr>
              <w:suppressAutoHyphens/>
              <w:spacing w:after="0" w:line="240" w:lineRule="auto"/>
              <w:jc w:val="right"/>
              <w:rPr>
                <w:rFonts w:ascii="Arial" w:hAnsi="Arial" w:cs="Arial"/>
                <w:sz w:val="18"/>
                <w:szCs w:val="18"/>
              </w:rPr>
            </w:pPr>
            <w:r>
              <w:rPr>
                <w:rFonts w:ascii="Arial" w:hAnsi="Arial" w:cs="Arial"/>
                <w:sz w:val="18"/>
                <w:szCs w:val="18"/>
              </w:rPr>
              <w:t>0.4</w:t>
            </w:r>
          </w:p>
        </w:tc>
        <w:tc>
          <w:tcPr>
            <w:tcW w:w="548" w:type="pct"/>
          </w:tcPr>
          <w:p w14:paraId="0D3A1006" w14:textId="11277CD7" w:rsidR="0095583D" w:rsidRDefault="0082659E">
            <w:pPr>
              <w:suppressAutoHyphens/>
              <w:spacing w:after="0" w:line="240" w:lineRule="auto"/>
              <w:jc w:val="right"/>
              <w:rPr>
                <w:rFonts w:ascii="Arial" w:hAnsi="Arial" w:cs="Arial"/>
                <w:sz w:val="18"/>
                <w:szCs w:val="18"/>
              </w:rPr>
            </w:pPr>
            <w:r>
              <w:rPr>
                <w:rFonts w:ascii="Arial" w:hAnsi="Arial" w:cs="Arial"/>
                <w:sz w:val="18"/>
                <w:szCs w:val="18"/>
              </w:rPr>
              <w:t>-</w:t>
            </w:r>
          </w:p>
        </w:tc>
        <w:tc>
          <w:tcPr>
            <w:tcW w:w="390" w:type="pct"/>
          </w:tcPr>
          <w:p w14:paraId="078565B0" w14:textId="5BD0EF58" w:rsidR="0095583D" w:rsidRPr="00DA53C4" w:rsidRDefault="0082659E">
            <w:pPr>
              <w:suppressAutoHyphens/>
              <w:spacing w:after="0" w:line="240" w:lineRule="auto"/>
              <w:jc w:val="right"/>
              <w:rPr>
                <w:rFonts w:ascii="Arial" w:hAnsi="Arial" w:cs="Arial"/>
                <w:sz w:val="18"/>
                <w:szCs w:val="18"/>
              </w:rPr>
            </w:pPr>
            <w:r w:rsidRPr="00DA53C4">
              <w:rPr>
                <w:rFonts w:ascii="Arial" w:hAnsi="Arial" w:cs="Arial"/>
                <w:sz w:val="18"/>
                <w:szCs w:val="18"/>
              </w:rPr>
              <w:t>0.4</w:t>
            </w:r>
          </w:p>
        </w:tc>
      </w:tr>
      <w:tr w:rsidR="00846069" w:rsidRPr="00A44138" w14:paraId="7AEE6E38" w14:textId="77777777" w:rsidTr="00324A0B">
        <w:trPr>
          <w:trHeight w:val="218"/>
        </w:trPr>
        <w:tc>
          <w:tcPr>
            <w:tcW w:w="3360" w:type="pct"/>
            <w:vAlign w:val="bottom"/>
          </w:tcPr>
          <w:p w14:paraId="6AFD47D4" w14:textId="77777777" w:rsidR="00846069" w:rsidRPr="005E7A81" w:rsidRDefault="00846069">
            <w:pPr>
              <w:suppressAutoHyphens/>
              <w:spacing w:after="0" w:line="240" w:lineRule="auto"/>
              <w:rPr>
                <w:rFonts w:ascii="Arial" w:hAnsi="Arial" w:cs="Arial"/>
                <w:b/>
                <w:sz w:val="18"/>
                <w:szCs w:val="18"/>
              </w:rPr>
            </w:pPr>
            <w:r w:rsidRPr="005E7A81">
              <w:rPr>
                <w:rFonts w:ascii="Arial" w:hAnsi="Arial" w:cs="Arial"/>
                <w:b/>
                <w:sz w:val="18"/>
                <w:szCs w:val="18"/>
              </w:rPr>
              <w:t>Net increase in cash and cash equivalents</w:t>
            </w:r>
          </w:p>
        </w:tc>
        <w:tc>
          <w:tcPr>
            <w:tcW w:w="56" w:type="pct"/>
            <w:vAlign w:val="center"/>
          </w:tcPr>
          <w:p w14:paraId="11B98595" w14:textId="77777777" w:rsidR="00846069" w:rsidRPr="005E7A81" w:rsidRDefault="00846069">
            <w:pPr>
              <w:suppressAutoHyphens/>
              <w:spacing w:after="0" w:line="240" w:lineRule="auto"/>
              <w:jc w:val="right"/>
              <w:rPr>
                <w:rFonts w:ascii="Arial" w:hAnsi="Arial" w:cs="Arial"/>
                <w:color w:val="FF0000"/>
                <w:sz w:val="18"/>
                <w:szCs w:val="18"/>
              </w:rPr>
            </w:pPr>
          </w:p>
        </w:tc>
        <w:tc>
          <w:tcPr>
            <w:tcW w:w="646" w:type="pct"/>
            <w:tcBorders>
              <w:top w:val="single" w:sz="4" w:space="0" w:color="auto"/>
              <w:bottom w:val="double" w:sz="4" w:space="0" w:color="auto"/>
            </w:tcBorders>
          </w:tcPr>
          <w:p w14:paraId="15465875" w14:textId="11CC5AB2" w:rsidR="00846069" w:rsidRPr="005E7A81" w:rsidRDefault="0082659E">
            <w:pPr>
              <w:suppressAutoHyphens/>
              <w:spacing w:after="0" w:line="240" w:lineRule="auto"/>
              <w:jc w:val="right"/>
              <w:rPr>
                <w:rFonts w:ascii="Arial" w:hAnsi="Arial" w:cs="Arial"/>
                <w:sz w:val="18"/>
                <w:szCs w:val="18"/>
              </w:rPr>
            </w:pPr>
            <w:r>
              <w:rPr>
                <w:rFonts w:ascii="Arial" w:hAnsi="Arial" w:cs="Arial"/>
                <w:sz w:val="18"/>
                <w:szCs w:val="18"/>
              </w:rPr>
              <w:t>(0.2)</w:t>
            </w:r>
          </w:p>
        </w:tc>
        <w:tc>
          <w:tcPr>
            <w:tcW w:w="548" w:type="pct"/>
            <w:tcBorders>
              <w:top w:val="single" w:sz="4" w:space="0" w:color="auto"/>
              <w:bottom w:val="double" w:sz="4" w:space="0" w:color="auto"/>
            </w:tcBorders>
          </w:tcPr>
          <w:p w14:paraId="46BC443D" w14:textId="3D82E9F0" w:rsidR="00846069" w:rsidRPr="005E7A81" w:rsidRDefault="00D758C9">
            <w:pPr>
              <w:suppressAutoHyphens/>
              <w:spacing w:after="0" w:line="240" w:lineRule="auto"/>
              <w:jc w:val="right"/>
              <w:rPr>
                <w:rFonts w:ascii="Arial" w:hAnsi="Arial" w:cs="Arial"/>
                <w:sz w:val="18"/>
                <w:szCs w:val="18"/>
              </w:rPr>
            </w:pPr>
            <w:r>
              <w:rPr>
                <w:rFonts w:ascii="Arial" w:hAnsi="Arial" w:cs="Arial"/>
                <w:sz w:val="18"/>
                <w:szCs w:val="18"/>
              </w:rPr>
              <w:t>1.1</w:t>
            </w:r>
          </w:p>
        </w:tc>
        <w:tc>
          <w:tcPr>
            <w:tcW w:w="390" w:type="pct"/>
            <w:tcBorders>
              <w:top w:val="single" w:sz="4" w:space="0" w:color="auto"/>
              <w:bottom w:val="double" w:sz="4" w:space="0" w:color="auto"/>
            </w:tcBorders>
          </w:tcPr>
          <w:p w14:paraId="3F92B9CB" w14:textId="6BE9924F" w:rsidR="00846069" w:rsidRPr="00DA53C4" w:rsidRDefault="00D758C9">
            <w:pPr>
              <w:suppressAutoHyphens/>
              <w:spacing w:after="0" w:line="240" w:lineRule="auto"/>
              <w:jc w:val="right"/>
              <w:rPr>
                <w:rFonts w:ascii="Arial" w:hAnsi="Arial" w:cs="Arial"/>
                <w:sz w:val="18"/>
                <w:szCs w:val="18"/>
              </w:rPr>
            </w:pPr>
            <w:r w:rsidRPr="00DA53C4">
              <w:rPr>
                <w:rFonts w:ascii="Arial" w:hAnsi="Arial" w:cs="Arial"/>
                <w:sz w:val="18"/>
                <w:szCs w:val="18"/>
              </w:rPr>
              <w:t>0.9</w:t>
            </w:r>
          </w:p>
        </w:tc>
      </w:tr>
      <w:tr w:rsidR="00846069" w:rsidRPr="00A44138" w14:paraId="4139C473" w14:textId="77777777" w:rsidTr="00324A0B">
        <w:trPr>
          <w:trHeight w:val="397"/>
        </w:trPr>
        <w:tc>
          <w:tcPr>
            <w:tcW w:w="3360" w:type="pct"/>
            <w:vAlign w:val="bottom"/>
          </w:tcPr>
          <w:p w14:paraId="079B8097" w14:textId="77777777" w:rsidR="00183130" w:rsidRPr="00A44138" w:rsidRDefault="00183130">
            <w:pPr>
              <w:suppressAutoHyphens/>
              <w:spacing w:after="0" w:line="240" w:lineRule="auto"/>
              <w:rPr>
                <w:rFonts w:ascii="Arial" w:hAnsi="Arial" w:cs="Arial"/>
                <w:sz w:val="18"/>
                <w:szCs w:val="18"/>
              </w:rPr>
            </w:pPr>
          </w:p>
        </w:tc>
        <w:tc>
          <w:tcPr>
            <w:tcW w:w="56" w:type="pct"/>
            <w:vAlign w:val="center"/>
          </w:tcPr>
          <w:p w14:paraId="73A0E856" w14:textId="77777777" w:rsidR="00846069" w:rsidRPr="00A44138" w:rsidRDefault="00846069">
            <w:pPr>
              <w:suppressAutoHyphens/>
              <w:spacing w:after="0" w:line="240" w:lineRule="auto"/>
              <w:jc w:val="right"/>
              <w:rPr>
                <w:rFonts w:ascii="Arial" w:hAnsi="Arial" w:cs="Arial"/>
                <w:sz w:val="18"/>
                <w:szCs w:val="18"/>
              </w:rPr>
            </w:pPr>
          </w:p>
        </w:tc>
        <w:tc>
          <w:tcPr>
            <w:tcW w:w="646" w:type="pct"/>
          </w:tcPr>
          <w:p w14:paraId="7EFE1004" w14:textId="77777777" w:rsidR="00846069" w:rsidRPr="00A44138" w:rsidRDefault="00846069">
            <w:pPr>
              <w:suppressAutoHyphens/>
              <w:spacing w:after="0" w:line="240" w:lineRule="auto"/>
              <w:jc w:val="right"/>
              <w:rPr>
                <w:rFonts w:ascii="Arial" w:hAnsi="Arial" w:cs="Arial"/>
                <w:sz w:val="18"/>
                <w:szCs w:val="18"/>
              </w:rPr>
            </w:pPr>
          </w:p>
        </w:tc>
        <w:tc>
          <w:tcPr>
            <w:tcW w:w="548" w:type="pct"/>
            <w:vAlign w:val="bottom"/>
          </w:tcPr>
          <w:p w14:paraId="73B9757E" w14:textId="77777777" w:rsidR="00846069" w:rsidRPr="00A44138" w:rsidRDefault="00846069">
            <w:pPr>
              <w:suppressAutoHyphens/>
              <w:spacing w:after="0" w:line="240" w:lineRule="auto"/>
              <w:jc w:val="right"/>
              <w:rPr>
                <w:rFonts w:ascii="Arial" w:hAnsi="Arial" w:cs="Arial"/>
                <w:sz w:val="18"/>
                <w:szCs w:val="18"/>
              </w:rPr>
            </w:pPr>
          </w:p>
        </w:tc>
        <w:tc>
          <w:tcPr>
            <w:tcW w:w="390" w:type="pct"/>
            <w:vAlign w:val="bottom"/>
          </w:tcPr>
          <w:p w14:paraId="2CDD4F59" w14:textId="77777777" w:rsidR="00846069" w:rsidRPr="00A44138" w:rsidRDefault="00846069">
            <w:pPr>
              <w:suppressAutoHyphens/>
              <w:spacing w:after="0" w:line="240" w:lineRule="auto"/>
              <w:jc w:val="right"/>
              <w:rPr>
                <w:rFonts w:ascii="Arial" w:hAnsi="Arial" w:cs="Arial"/>
                <w:sz w:val="18"/>
                <w:szCs w:val="18"/>
              </w:rPr>
            </w:pPr>
          </w:p>
        </w:tc>
      </w:tr>
      <w:tr w:rsidR="00183130" w:rsidRPr="00183130" w14:paraId="6C937A27" w14:textId="77777777" w:rsidTr="00324A0B">
        <w:trPr>
          <w:trHeight w:val="628"/>
        </w:trPr>
        <w:tc>
          <w:tcPr>
            <w:tcW w:w="3360" w:type="pct"/>
            <w:vAlign w:val="bottom"/>
          </w:tcPr>
          <w:p w14:paraId="1ADECDA7" w14:textId="1AA30FEA"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At 30 June 2024</w:t>
            </w:r>
          </w:p>
        </w:tc>
        <w:tc>
          <w:tcPr>
            <w:tcW w:w="56" w:type="pct"/>
          </w:tcPr>
          <w:p w14:paraId="70844007" w14:textId="77777777" w:rsidR="00856EF9" w:rsidRPr="005E7A81" w:rsidRDefault="00856EF9" w:rsidP="00856EF9">
            <w:pPr>
              <w:suppressAutoHyphens/>
              <w:spacing w:after="0" w:line="240" w:lineRule="auto"/>
              <w:jc w:val="right"/>
              <w:rPr>
                <w:rFonts w:ascii="Arial" w:hAnsi="Arial" w:cs="Arial"/>
                <w:b/>
                <w:sz w:val="18"/>
                <w:szCs w:val="18"/>
              </w:rPr>
            </w:pPr>
          </w:p>
        </w:tc>
        <w:tc>
          <w:tcPr>
            <w:tcW w:w="646" w:type="pct"/>
          </w:tcPr>
          <w:p w14:paraId="1C994DDF" w14:textId="13A21412"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Podium Solutions Limited</w:t>
            </w:r>
          </w:p>
        </w:tc>
        <w:tc>
          <w:tcPr>
            <w:tcW w:w="548" w:type="pct"/>
            <w:vAlign w:val="bottom"/>
          </w:tcPr>
          <w:p w14:paraId="404D2B45" w14:textId="3836A878"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b/>
                <w:sz w:val="18"/>
                <w:szCs w:val="18"/>
              </w:rPr>
              <w:t>Ice Travel Group</w:t>
            </w:r>
          </w:p>
        </w:tc>
        <w:tc>
          <w:tcPr>
            <w:tcW w:w="390" w:type="pct"/>
            <w:vAlign w:val="bottom"/>
          </w:tcPr>
          <w:p w14:paraId="6B81C5F0" w14:textId="5E92F4FA"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Total</w:t>
            </w:r>
          </w:p>
        </w:tc>
      </w:tr>
      <w:tr w:rsidR="00183130" w:rsidRPr="00183130" w14:paraId="29ED6725" w14:textId="77777777" w:rsidTr="00324A0B">
        <w:trPr>
          <w:trHeight w:val="218"/>
        </w:trPr>
        <w:tc>
          <w:tcPr>
            <w:tcW w:w="3360" w:type="pct"/>
            <w:vAlign w:val="bottom"/>
          </w:tcPr>
          <w:p w14:paraId="70C20EA5" w14:textId="41B5B357"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Non-controlling interest</w:t>
            </w:r>
          </w:p>
        </w:tc>
        <w:tc>
          <w:tcPr>
            <w:tcW w:w="56" w:type="pct"/>
          </w:tcPr>
          <w:p w14:paraId="5FB8C01C" w14:textId="77777777" w:rsidR="00856EF9" w:rsidRPr="005E7A81" w:rsidRDefault="00856EF9" w:rsidP="00856EF9">
            <w:pPr>
              <w:suppressAutoHyphens/>
              <w:spacing w:after="0" w:line="240" w:lineRule="auto"/>
              <w:jc w:val="right"/>
              <w:rPr>
                <w:rFonts w:ascii="Arial" w:hAnsi="Arial" w:cs="Arial"/>
                <w:b/>
                <w:sz w:val="18"/>
                <w:szCs w:val="18"/>
              </w:rPr>
            </w:pPr>
          </w:p>
        </w:tc>
        <w:tc>
          <w:tcPr>
            <w:tcW w:w="646" w:type="pct"/>
            <w:tcBorders>
              <w:bottom w:val="single" w:sz="4" w:space="0" w:color="auto"/>
            </w:tcBorders>
          </w:tcPr>
          <w:p w14:paraId="4DAEC8DD" w14:textId="14B1ACF8"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48%</w:t>
            </w:r>
          </w:p>
        </w:tc>
        <w:tc>
          <w:tcPr>
            <w:tcW w:w="548" w:type="pct"/>
            <w:tcBorders>
              <w:bottom w:val="single" w:sz="4" w:space="0" w:color="auto"/>
            </w:tcBorders>
            <w:vAlign w:val="bottom"/>
          </w:tcPr>
          <w:p w14:paraId="455CA632" w14:textId="23C079BF"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33%</w:t>
            </w:r>
          </w:p>
        </w:tc>
        <w:tc>
          <w:tcPr>
            <w:tcW w:w="390" w:type="pct"/>
            <w:tcBorders>
              <w:bottom w:val="single" w:sz="4" w:space="0" w:color="auto"/>
            </w:tcBorders>
            <w:vAlign w:val="bottom"/>
          </w:tcPr>
          <w:p w14:paraId="0E6092D3" w14:textId="77777777" w:rsidR="00856EF9" w:rsidRPr="005E7A81" w:rsidRDefault="00856EF9" w:rsidP="00856EF9">
            <w:pPr>
              <w:suppressAutoHyphens/>
              <w:spacing w:after="0" w:line="240" w:lineRule="auto"/>
              <w:jc w:val="right"/>
              <w:rPr>
                <w:rFonts w:ascii="Arial" w:hAnsi="Arial" w:cs="Arial"/>
                <w:b/>
                <w:sz w:val="18"/>
                <w:szCs w:val="18"/>
              </w:rPr>
            </w:pPr>
          </w:p>
        </w:tc>
      </w:tr>
      <w:tr w:rsidR="00183130" w:rsidRPr="00183130" w14:paraId="74F0EDE9" w14:textId="77777777" w:rsidTr="00324A0B">
        <w:trPr>
          <w:trHeight w:val="209"/>
        </w:trPr>
        <w:tc>
          <w:tcPr>
            <w:tcW w:w="3360" w:type="pct"/>
            <w:vAlign w:val="bottom"/>
          </w:tcPr>
          <w:p w14:paraId="139ABCA7" w14:textId="77777777" w:rsidR="00856EF9" w:rsidRPr="005E7A81" w:rsidRDefault="00856EF9" w:rsidP="00856EF9">
            <w:pPr>
              <w:suppressAutoHyphens/>
              <w:spacing w:after="0" w:line="240" w:lineRule="auto"/>
              <w:rPr>
                <w:rFonts w:ascii="Arial" w:hAnsi="Arial" w:cs="Arial"/>
                <w:sz w:val="18"/>
                <w:szCs w:val="18"/>
              </w:rPr>
            </w:pPr>
          </w:p>
        </w:tc>
        <w:tc>
          <w:tcPr>
            <w:tcW w:w="56" w:type="pct"/>
          </w:tcPr>
          <w:p w14:paraId="32440DB6" w14:textId="77777777" w:rsidR="00856EF9" w:rsidRPr="005E7A81" w:rsidRDefault="00856EF9" w:rsidP="00856EF9">
            <w:pPr>
              <w:suppressAutoHyphens/>
              <w:spacing w:after="0" w:line="240" w:lineRule="auto"/>
              <w:jc w:val="right"/>
              <w:rPr>
                <w:rFonts w:ascii="Arial" w:hAnsi="Arial" w:cs="Arial"/>
                <w:b/>
                <w:sz w:val="18"/>
                <w:szCs w:val="18"/>
              </w:rPr>
            </w:pPr>
          </w:p>
        </w:tc>
        <w:tc>
          <w:tcPr>
            <w:tcW w:w="646" w:type="pct"/>
            <w:tcBorders>
              <w:top w:val="single" w:sz="4" w:space="0" w:color="auto"/>
            </w:tcBorders>
          </w:tcPr>
          <w:p w14:paraId="77CEDE0C" w14:textId="100FA118"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c>
          <w:tcPr>
            <w:tcW w:w="548" w:type="pct"/>
            <w:tcBorders>
              <w:top w:val="single" w:sz="4" w:space="0" w:color="auto"/>
            </w:tcBorders>
            <w:vAlign w:val="bottom"/>
          </w:tcPr>
          <w:p w14:paraId="562977E1" w14:textId="234FF379"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c>
          <w:tcPr>
            <w:tcW w:w="390" w:type="pct"/>
            <w:tcBorders>
              <w:top w:val="single" w:sz="4" w:space="0" w:color="auto"/>
            </w:tcBorders>
            <w:vAlign w:val="bottom"/>
          </w:tcPr>
          <w:p w14:paraId="0FE8E6F5" w14:textId="17AE0DE5" w:rsidR="00856EF9" w:rsidRPr="005E7A81" w:rsidRDefault="00856EF9" w:rsidP="00856EF9">
            <w:pPr>
              <w:suppressAutoHyphens/>
              <w:spacing w:after="0" w:line="240" w:lineRule="auto"/>
              <w:jc w:val="right"/>
              <w:rPr>
                <w:rFonts w:ascii="Arial" w:hAnsi="Arial" w:cs="Arial"/>
                <w:b/>
                <w:sz w:val="18"/>
                <w:szCs w:val="18"/>
              </w:rPr>
            </w:pPr>
            <w:r w:rsidRPr="005E7A81">
              <w:rPr>
                <w:rFonts w:ascii="Arial" w:hAnsi="Arial" w:cs="Arial"/>
                <w:b/>
                <w:sz w:val="18"/>
                <w:szCs w:val="18"/>
              </w:rPr>
              <w:t>£m</w:t>
            </w:r>
          </w:p>
        </w:tc>
      </w:tr>
      <w:tr w:rsidR="00183130" w:rsidRPr="00183130" w14:paraId="39593DD9" w14:textId="77777777" w:rsidTr="00324A0B">
        <w:trPr>
          <w:trHeight w:val="218"/>
        </w:trPr>
        <w:tc>
          <w:tcPr>
            <w:tcW w:w="3360" w:type="pct"/>
            <w:vAlign w:val="bottom"/>
          </w:tcPr>
          <w:p w14:paraId="59E40A97" w14:textId="3FC95E28"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Non-current assets*</w:t>
            </w:r>
          </w:p>
        </w:tc>
        <w:tc>
          <w:tcPr>
            <w:tcW w:w="56" w:type="pct"/>
            <w:vAlign w:val="center"/>
          </w:tcPr>
          <w:p w14:paraId="1C7721F1"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tcBorders>
            <w:vAlign w:val="center"/>
          </w:tcPr>
          <w:p w14:paraId="215DE149" w14:textId="1D4262AC"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1.6</w:t>
            </w:r>
          </w:p>
        </w:tc>
        <w:tc>
          <w:tcPr>
            <w:tcW w:w="548" w:type="pct"/>
            <w:tcBorders>
              <w:top w:val="single" w:sz="4" w:space="0" w:color="auto"/>
            </w:tcBorders>
            <w:vAlign w:val="center"/>
          </w:tcPr>
          <w:p w14:paraId="299872FB" w14:textId="47B754BF"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13.9</w:t>
            </w:r>
          </w:p>
        </w:tc>
        <w:tc>
          <w:tcPr>
            <w:tcW w:w="390" w:type="pct"/>
            <w:tcBorders>
              <w:top w:val="single" w:sz="4" w:space="0" w:color="auto"/>
            </w:tcBorders>
            <w:vAlign w:val="center"/>
          </w:tcPr>
          <w:p w14:paraId="587FC945" w14:textId="7492F16E"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15.5</w:t>
            </w:r>
          </w:p>
        </w:tc>
      </w:tr>
      <w:tr w:rsidR="00183130" w:rsidRPr="00183130" w14:paraId="19755C47" w14:textId="77777777" w:rsidTr="00324A0B">
        <w:trPr>
          <w:trHeight w:val="209"/>
        </w:trPr>
        <w:tc>
          <w:tcPr>
            <w:tcW w:w="3360" w:type="pct"/>
            <w:vAlign w:val="bottom"/>
          </w:tcPr>
          <w:p w14:paraId="2FA6893F" w14:textId="25D9B4E3"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Current assets</w:t>
            </w:r>
          </w:p>
        </w:tc>
        <w:tc>
          <w:tcPr>
            <w:tcW w:w="56" w:type="pct"/>
            <w:vAlign w:val="center"/>
          </w:tcPr>
          <w:p w14:paraId="22EC0071"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vAlign w:val="center"/>
          </w:tcPr>
          <w:p w14:paraId="52D9BEA0" w14:textId="2D0DE5B5"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1.1</w:t>
            </w:r>
          </w:p>
        </w:tc>
        <w:tc>
          <w:tcPr>
            <w:tcW w:w="548" w:type="pct"/>
            <w:vAlign w:val="center"/>
          </w:tcPr>
          <w:p w14:paraId="0672D639" w14:textId="64DAF7E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13.1</w:t>
            </w:r>
          </w:p>
        </w:tc>
        <w:tc>
          <w:tcPr>
            <w:tcW w:w="390" w:type="pct"/>
            <w:vAlign w:val="center"/>
          </w:tcPr>
          <w:p w14:paraId="7E90F0DD" w14:textId="3C92053C"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14.2</w:t>
            </w:r>
          </w:p>
        </w:tc>
      </w:tr>
      <w:tr w:rsidR="00183130" w:rsidRPr="00183130" w14:paraId="1A4EA1C8" w14:textId="77777777" w:rsidTr="00324A0B">
        <w:trPr>
          <w:trHeight w:val="209"/>
        </w:trPr>
        <w:tc>
          <w:tcPr>
            <w:tcW w:w="3360" w:type="pct"/>
            <w:vAlign w:val="bottom"/>
          </w:tcPr>
          <w:p w14:paraId="4661CB5C" w14:textId="44950692"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Non-current liabilities</w:t>
            </w:r>
          </w:p>
        </w:tc>
        <w:tc>
          <w:tcPr>
            <w:tcW w:w="56" w:type="pct"/>
            <w:vAlign w:val="center"/>
          </w:tcPr>
          <w:p w14:paraId="30C371C6"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vAlign w:val="center"/>
          </w:tcPr>
          <w:p w14:paraId="54F07B3E" w14:textId="789B1D1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(2.0)</w:t>
            </w:r>
          </w:p>
        </w:tc>
        <w:tc>
          <w:tcPr>
            <w:tcW w:w="548" w:type="pct"/>
          </w:tcPr>
          <w:p w14:paraId="28B4C9D9" w14:textId="4C2EBFF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(7.7)</w:t>
            </w:r>
          </w:p>
        </w:tc>
        <w:tc>
          <w:tcPr>
            <w:tcW w:w="390" w:type="pct"/>
          </w:tcPr>
          <w:p w14:paraId="3AB058E2" w14:textId="4C628545"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(9.7)</w:t>
            </w:r>
          </w:p>
        </w:tc>
      </w:tr>
      <w:tr w:rsidR="00183130" w:rsidRPr="00183130" w14:paraId="425929AA" w14:textId="77777777" w:rsidTr="00324A0B">
        <w:trPr>
          <w:trHeight w:val="209"/>
        </w:trPr>
        <w:tc>
          <w:tcPr>
            <w:tcW w:w="3360" w:type="pct"/>
            <w:vAlign w:val="bottom"/>
          </w:tcPr>
          <w:p w14:paraId="55A13AAA" w14:textId="52E8C2BB"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Current liabilities</w:t>
            </w:r>
          </w:p>
        </w:tc>
        <w:tc>
          <w:tcPr>
            <w:tcW w:w="56" w:type="pct"/>
            <w:vAlign w:val="center"/>
          </w:tcPr>
          <w:p w14:paraId="255470C3"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bottom w:val="single" w:sz="4" w:space="0" w:color="auto"/>
            </w:tcBorders>
            <w:vAlign w:val="center"/>
          </w:tcPr>
          <w:p w14:paraId="3376BCFC" w14:textId="38A1CC65"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(1.9)</w:t>
            </w:r>
          </w:p>
        </w:tc>
        <w:tc>
          <w:tcPr>
            <w:tcW w:w="548" w:type="pct"/>
            <w:tcBorders>
              <w:bottom w:val="single" w:sz="4" w:space="0" w:color="auto"/>
            </w:tcBorders>
          </w:tcPr>
          <w:p w14:paraId="6D3CE8B6" w14:textId="3961B633"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(1.1)</w:t>
            </w:r>
          </w:p>
        </w:tc>
        <w:tc>
          <w:tcPr>
            <w:tcW w:w="390" w:type="pct"/>
            <w:tcBorders>
              <w:bottom w:val="single" w:sz="4" w:space="0" w:color="auto"/>
            </w:tcBorders>
          </w:tcPr>
          <w:p w14:paraId="54B86DCD" w14:textId="78A404D1"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(3.0)</w:t>
            </w:r>
          </w:p>
        </w:tc>
      </w:tr>
      <w:tr w:rsidR="00183130" w:rsidRPr="00183130" w14:paraId="49D2CF9B" w14:textId="77777777" w:rsidTr="00324A0B">
        <w:trPr>
          <w:trHeight w:val="218"/>
        </w:trPr>
        <w:tc>
          <w:tcPr>
            <w:tcW w:w="3360" w:type="pct"/>
            <w:vAlign w:val="bottom"/>
          </w:tcPr>
          <w:p w14:paraId="71A03094" w14:textId="5760D0C6"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Net assets</w:t>
            </w:r>
          </w:p>
        </w:tc>
        <w:tc>
          <w:tcPr>
            <w:tcW w:w="56" w:type="pct"/>
            <w:vAlign w:val="center"/>
          </w:tcPr>
          <w:p w14:paraId="29748518"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bottom w:val="single" w:sz="4" w:space="0" w:color="auto"/>
            </w:tcBorders>
          </w:tcPr>
          <w:p w14:paraId="7622AFC6" w14:textId="0DA61B7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(1.2)</w:t>
            </w:r>
          </w:p>
        </w:tc>
        <w:tc>
          <w:tcPr>
            <w:tcW w:w="548" w:type="pct"/>
            <w:tcBorders>
              <w:top w:val="single" w:sz="4" w:space="0" w:color="auto"/>
              <w:bottom w:val="single" w:sz="4" w:space="0" w:color="auto"/>
            </w:tcBorders>
          </w:tcPr>
          <w:p w14:paraId="2BBE38C4" w14:textId="0B28BB62"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18.2 </w:t>
            </w:r>
          </w:p>
        </w:tc>
        <w:tc>
          <w:tcPr>
            <w:tcW w:w="390" w:type="pct"/>
            <w:tcBorders>
              <w:top w:val="single" w:sz="4" w:space="0" w:color="auto"/>
              <w:bottom w:val="single" w:sz="4" w:space="0" w:color="auto"/>
            </w:tcBorders>
          </w:tcPr>
          <w:p w14:paraId="3B94782B" w14:textId="5E543FB9"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17.0 </w:t>
            </w:r>
          </w:p>
        </w:tc>
      </w:tr>
      <w:tr w:rsidR="00183130" w:rsidRPr="00183130" w14:paraId="060E35D7" w14:textId="77777777" w:rsidTr="00324A0B">
        <w:trPr>
          <w:trHeight w:val="209"/>
        </w:trPr>
        <w:tc>
          <w:tcPr>
            <w:tcW w:w="3360" w:type="pct"/>
            <w:vAlign w:val="bottom"/>
          </w:tcPr>
          <w:p w14:paraId="377339D0" w14:textId="420FDE7D"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Net assets attributable to non-controlling interest</w:t>
            </w:r>
          </w:p>
        </w:tc>
        <w:tc>
          <w:tcPr>
            <w:tcW w:w="56" w:type="pct"/>
            <w:vAlign w:val="center"/>
          </w:tcPr>
          <w:p w14:paraId="5A7DA57F"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bottom w:val="double" w:sz="4" w:space="0" w:color="auto"/>
            </w:tcBorders>
          </w:tcPr>
          <w:p w14:paraId="2142D72D" w14:textId="5D33F5FB"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(0.6)</w:t>
            </w:r>
          </w:p>
        </w:tc>
        <w:tc>
          <w:tcPr>
            <w:tcW w:w="548" w:type="pct"/>
            <w:tcBorders>
              <w:top w:val="single" w:sz="4" w:space="0" w:color="auto"/>
              <w:bottom w:val="double" w:sz="4" w:space="0" w:color="auto"/>
            </w:tcBorders>
          </w:tcPr>
          <w:p w14:paraId="1C458B41" w14:textId="50E6F6C3"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6.0 </w:t>
            </w:r>
          </w:p>
        </w:tc>
        <w:tc>
          <w:tcPr>
            <w:tcW w:w="390" w:type="pct"/>
            <w:tcBorders>
              <w:top w:val="single" w:sz="4" w:space="0" w:color="auto"/>
              <w:bottom w:val="double" w:sz="4" w:space="0" w:color="auto"/>
            </w:tcBorders>
          </w:tcPr>
          <w:p w14:paraId="32FBEF0B" w14:textId="4BEB0B0E"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5.4 </w:t>
            </w:r>
          </w:p>
        </w:tc>
      </w:tr>
      <w:tr w:rsidR="00183130" w:rsidRPr="00183130" w14:paraId="559FCD21" w14:textId="77777777" w:rsidTr="00324A0B">
        <w:trPr>
          <w:trHeight w:val="209"/>
        </w:trPr>
        <w:tc>
          <w:tcPr>
            <w:tcW w:w="3360" w:type="pct"/>
            <w:vAlign w:val="bottom"/>
          </w:tcPr>
          <w:p w14:paraId="6A343F76" w14:textId="7E322E68"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Revenue</w:t>
            </w:r>
          </w:p>
        </w:tc>
        <w:tc>
          <w:tcPr>
            <w:tcW w:w="56" w:type="pct"/>
            <w:vAlign w:val="center"/>
          </w:tcPr>
          <w:p w14:paraId="71738135"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double" w:sz="4" w:space="0" w:color="auto"/>
            </w:tcBorders>
          </w:tcPr>
          <w:p w14:paraId="7730CB4E" w14:textId="2414EB0F"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0.5 </w:t>
            </w:r>
          </w:p>
        </w:tc>
        <w:tc>
          <w:tcPr>
            <w:tcW w:w="548" w:type="pct"/>
            <w:tcBorders>
              <w:top w:val="double" w:sz="4" w:space="0" w:color="auto"/>
            </w:tcBorders>
          </w:tcPr>
          <w:p w14:paraId="25F475AF" w14:textId="42E5DDB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11.1 </w:t>
            </w:r>
          </w:p>
        </w:tc>
        <w:tc>
          <w:tcPr>
            <w:tcW w:w="390" w:type="pct"/>
            <w:tcBorders>
              <w:top w:val="double" w:sz="4" w:space="0" w:color="auto"/>
            </w:tcBorders>
          </w:tcPr>
          <w:p w14:paraId="2E538847" w14:textId="20D93524"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11.6 </w:t>
            </w:r>
          </w:p>
        </w:tc>
      </w:tr>
      <w:tr w:rsidR="00183130" w:rsidRPr="00183130" w14:paraId="274542F7" w14:textId="77777777" w:rsidTr="00324A0B">
        <w:trPr>
          <w:trHeight w:val="209"/>
        </w:trPr>
        <w:tc>
          <w:tcPr>
            <w:tcW w:w="3360" w:type="pct"/>
            <w:vAlign w:val="bottom"/>
          </w:tcPr>
          <w:p w14:paraId="6E8D53CF" w14:textId="523E0AC4"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(Loss)/Profit</w:t>
            </w:r>
          </w:p>
        </w:tc>
        <w:tc>
          <w:tcPr>
            <w:tcW w:w="56" w:type="pct"/>
            <w:vAlign w:val="center"/>
          </w:tcPr>
          <w:p w14:paraId="3ED530D3"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Pr>
          <w:p w14:paraId="13BED59D" w14:textId="147460D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(0.6)</w:t>
            </w:r>
          </w:p>
        </w:tc>
        <w:tc>
          <w:tcPr>
            <w:tcW w:w="548" w:type="pct"/>
          </w:tcPr>
          <w:p w14:paraId="1B159C0A" w14:textId="51B833F0"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0.5 </w:t>
            </w:r>
          </w:p>
        </w:tc>
        <w:tc>
          <w:tcPr>
            <w:tcW w:w="390" w:type="pct"/>
          </w:tcPr>
          <w:p w14:paraId="270FE15C" w14:textId="71F994FA"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r>
      <w:tr w:rsidR="00183130" w:rsidRPr="00183130" w14:paraId="49ED6278" w14:textId="77777777" w:rsidTr="00324A0B">
        <w:trPr>
          <w:trHeight w:val="218"/>
        </w:trPr>
        <w:tc>
          <w:tcPr>
            <w:tcW w:w="3360" w:type="pct"/>
            <w:vAlign w:val="bottom"/>
          </w:tcPr>
          <w:p w14:paraId="2726CE94" w14:textId="21B6F000"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Total comprehensive income</w:t>
            </w:r>
          </w:p>
        </w:tc>
        <w:tc>
          <w:tcPr>
            <w:tcW w:w="56" w:type="pct"/>
            <w:vAlign w:val="center"/>
          </w:tcPr>
          <w:p w14:paraId="16CFDD3C"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bottom w:val="double" w:sz="4" w:space="0" w:color="auto"/>
            </w:tcBorders>
          </w:tcPr>
          <w:p w14:paraId="3F66F5A1" w14:textId="6B739638"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(0.6)</w:t>
            </w:r>
          </w:p>
        </w:tc>
        <w:tc>
          <w:tcPr>
            <w:tcW w:w="548" w:type="pct"/>
            <w:tcBorders>
              <w:top w:val="single" w:sz="4" w:space="0" w:color="auto"/>
              <w:bottom w:val="double" w:sz="4" w:space="0" w:color="auto"/>
            </w:tcBorders>
          </w:tcPr>
          <w:p w14:paraId="6BE9E91E" w14:textId="3AD0EE09"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0.5 </w:t>
            </w:r>
          </w:p>
        </w:tc>
        <w:tc>
          <w:tcPr>
            <w:tcW w:w="390" w:type="pct"/>
            <w:tcBorders>
              <w:top w:val="single" w:sz="4" w:space="0" w:color="auto"/>
              <w:bottom w:val="double" w:sz="4" w:space="0" w:color="auto"/>
            </w:tcBorders>
          </w:tcPr>
          <w:p w14:paraId="07A1169E" w14:textId="081CA4E9"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r>
      <w:tr w:rsidR="00183130" w:rsidRPr="00183130" w14:paraId="1F5B5389" w14:textId="77777777" w:rsidTr="00324A0B">
        <w:trPr>
          <w:trHeight w:val="209"/>
        </w:trPr>
        <w:tc>
          <w:tcPr>
            <w:tcW w:w="3360" w:type="pct"/>
            <w:vAlign w:val="bottom"/>
          </w:tcPr>
          <w:p w14:paraId="32E782D7" w14:textId="6E1D4D04"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(Loss)/Profit attributable to the non-controlling interest</w:t>
            </w:r>
          </w:p>
        </w:tc>
        <w:tc>
          <w:tcPr>
            <w:tcW w:w="56" w:type="pct"/>
            <w:vAlign w:val="center"/>
          </w:tcPr>
          <w:p w14:paraId="7693457F"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double" w:sz="4" w:space="0" w:color="auto"/>
            </w:tcBorders>
          </w:tcPr>
          <w:p w14:paraId="0ADE1FB6" w14:textId="7A76AD81"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(0.3)</w:t>
            </w:r>
          </w:p>
        </w:tc>
        <w:tc>
          <w:tcPr>
            <w:tcW w:w="548" w:type="pct"/>
            <w:tcBorders>
              <w:top w:val="double" w:sz="4" w:space="0" w:color="auto"/>
            </w:tcBorders>
          </w:tcPr>
          <w:p w14:paraId="0673454A" w14:textId="187BA922"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0.2 </w:t>
            </w:r>
          </w:p>
        </w:tc>
        <w:tc>
          <w:tcPr>
            <w:tcW w:w="390" w:type="pct"/>
            <w:tcBorders>
              <w:top w:val="double" w:sz="4" w:space="0" w:color="auto"/>
            </w:tcBorders>
          </w:tcPr>
          <w:p w14:paraId="0F35D5E4" w14:textId="35287292"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r>
      <w:tr w:rsidR="00183130" w:rsidRPr="00183130" w14:paraId="3A944091" w14:textId="77777777" w:rsidTr="00324A0B">
        <w:trPr>
          <w:trHeight w:val="128"/>
        </w:trPr>
        <w:tc>
          <w:tcPr>
            <w:tcW w:w="3360" w:type="pct"/>
            <w:vAlign w:val="bottom"/>
          </w:tcPr>
          <w:p w14:paraId="0DA08218" w14:textId="43961175"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Total comprehensive income attributable to non-controlling interest</w:t>
            </w:r>
          </w:p>
        </w:tc>
        <w:tc>
          <w:tcPr>
            <w:tcW w:w="56" w:type="pct"/>
            <w:vAlign w:val="center"/>
          </w:tcPr>
          <w:p w14:paraId="61AB8598"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bottom w:val="double" w:sz="4" w:space="0" w:color="auto"/>
            </w:tcBorders>
          </w:tcPr>
          <w:p w14:paraId="0C30FEE0" w14:textId="7FFF0C6F"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(0.3)</w:t>
            </w:r>
          </w:p>
        </w:tc>
        <w:tc>
          <w:tcPr>
            <w:tcW w:w="548" w:type="pct"/>
            <w:tcBorders>
              <w:top w:val="single" w:sz="4" w:space="0" w:color="auto"/>
              <w:bottom w:val="double" w:sz="4" w:space="0" w:color="auto"/>
            </w:tcBorders>
          </w:tcPr>
          <w:p w14:paraId="4EAE8501" w14:textId="18A8E2D4"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0.2 </w:t>
            </w:r>
          </w:p>
        </w:tc>
        <w:tc>
          <w:tcPr>
            <w:tcW w:w="390" w:type="pct"/>
            <w:tcBorders>
              <w:top w:val="single" w:sz="4" w:space="0" w:color="auto"/>
              <w:bottom w:val="double" w:sz="4" w:space="0" w:color="auto"/>
            </w:tcBorders>
          </w:tcPr>
          <w:p w14:paraId="183168F5" w14:textId="405F1CDB"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r>
      <w:tr w:rsidR="00183130" w:rsidRPr="00183130" w14:paraId="6E74034B" w14:textId="77777777" w:rsidTr="00324A0B">
        <w:trPr>
          <w:trHeight w:val="209"/>
        </w:trPr>
        <w:tc>
          <w:tcPr>
            <w:tcW w:w="3360" w:type="pct"/>
            <w:vAlign w:val="bottom"/>
          </w:tcPr>
          <w:p w14:paraId="647DD20A" w14:textId="67F57B28" w:rsidR="00856EF9" w:rsidRPr="005E7A81" w:rsidRDefault="00856EF9" w:rsidP="00856EF9">
            <w:pPr>
              <w:suppressAutoHyphens/>
              <w:spacing w:after="0" w:line="240" w:lineRule="auto"/>
              <w:rPr>
                <w:rFonts w:ascii="Arial" w:hAnsi="Arial" w:cs="Arial"/>
                <w:sz w:val="18"/>
                <w:szCs w:val="18"/>
              </w:rPr>
            </w:pPr>
            <w:r w:rsidRPr="005E7A81">
              <w:rPr>
                <w:rFonts w:ascii="Arial" w:hAnsi="Arial" w:cs="Arial"/>
                <w:sz w:val="18"/>
                <w:szCs w:val="18"/>
              </w:rPr>
              <w:t>Cash flows from operating activities</w:t>
            </w:r>
          </w:p>
        </w:tc>
        <w:tc>
          <w:tcPr>
            <w:tcW w:w="56" w:type="pct"/>
            <w:vAlign w:val="center"/>
          </w:tcPr>
          <w:p w14:paraId="49EFC1E4"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double" w:sz="4" w:space="0" w:color="auto"/>
            </w:tcBorders>
          </w:tcPr>
          <w:p w14:paraId="0DEE3620" w14:textId="606FF813"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c>
          <w:tcPr>
            <w:tcW w:w="548" w:type="pct"/>
            <w:tcBorders>
              <w:top w:val="double" w:sz="4" w:space="0" w:color="auto"/>
            </w:tcBorders>
          </w:tcPr>
          <w:p w14:paraId="069F2B7E" w14:textId="31194C5D"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1.3 </w:t>
            </w:r>
          </w:p>
        </w:tc>
        <w:tc>
          <w:tcPr>
            <w:tcW w:w="390" w:type="pct"/>
            <w:tcBorders>
              <w:top w:val="double" w:sz="4" w:space="0" w:color="auto"/>
            </w:tcBorders>
          </w:tcPr>
          <w:p w14:paraId="2354274A" w14:textId="5C71F400"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1.2 </w:t>
            </w:r>
          </w:p>
        </w:tc>
      </w:tr>
      <w:tr w:rsidR="00183130" w:rsidRPr="00183130" w14:paraId="65ACAB29" w14:textId="77777777" w:rsidTr="00324A0B">
        <w:trPr>
          <w:trHeight w:val="209"/>
        </w:trPr>
        <w:tc>
          <w:tcPr>
            <w:tcW w:w="3360" w:type="pct"/>
            <w:vAlign w:val="bottom"/>
          </w:tcPr>
          <w:p w14:paraId="73AF4409" w14:textId="1D988584"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sz w:val="18"/>
                <w:szCs w:val="18"/>
              </w:rPr>
              <w:t>Cash flows from investing activities</w:t>
            </w:r>
          </w:p>
        </w:tc>
        <w:tc>
          <w:tcPr>
            <w:tcW w:w="56" w:type="pct"/>
            <w:vAlign w:val="center"/>
          </w:tcPr>
          <w:p w14:paraId="25D20DC6"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Pr>
          <w:p w14:paraId="06672C31" w14:textId="5C5C4FC4"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 </w:t>
            </w:r>
          </w:p>
        </w:tc>
        <w:tc>
          <w:tcPr>
            <w:tcW w:w="548" w:type="pct"/>
          </w:tcPr>
          <w:p w14:paraId="3F16FD50" w14:textId="5C93920B"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(0.4)</w:t>
            </w:r>
          </w:p>
        </w:tc>
        <w:tc>
          <w:tcPr>
            <w:tcW w:w="390" w:type="pct"/>
          </w:tcPr>
          <w:p w14:paraId="7000B1AA" w14:textId="2748E489"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(0.4)</w:t>
            </w:r>
          </w:p>
        </w:tc>
      </w:tr>
      <w:tr w:rsidR="00183130" w:rsidRPr="00183130" w14:paraId="74841A1C" w14:textId="77777777" w:rsidTr="00324A0B">
        <w:trPr>
          <w:trHeight w:val="218"/>
        </w:trPr>
        <w:tc>
          <w:tcPr>
            <w:tcW w:w="3360" w:type="pct"/>
            <w:vAlign w:val="bottom"/>
          </w:tcPr>
          <w:p w14:paraId="1BCDAEFD" w14:textId="2DE082DD" w:rsidR="00856EF9" w:rsidRPr="005E7A81" w:rsidRDefault="00856EF9" w:rsidP="00856EF9">
            <w:pPr>
              <w:suppressAutoHyphens/>
              <w:spacing w:after="0" w:line="240" w:lineRule="auto"/>
              <w:rPr>
                <w:rFonts w:ascii="Arial" w:hAnsi="Arial" w:cs="Arial"/>
                <w:b/>
                <w:sz w:val="18"/>
                <w:szCs w:val="18"/>
              </w:rPr>
            </w:pPr>
            <w:r w:rsidRPr="005E7A81">
              <w:rPr>
                <w:rFonts w:ascii="Arial" w:hAnsi="Arial" w:cs="Arial"/>
                <w:b/>
                <w:sz w:val="18"/>
                <w:szCs w:val="18"/>
              </w:rPr>
              <w:t>Net increase in cash and cash equivalents</w:t>
            </w:r>
          </w:p>
        </w:tc>
        <w:tc>
          <w:tcPr>
            <w:tcW w:w="56" w:type="pct"/>
            <w:vAlign w:val="center"/>
          </w:tcPr>
          <w:p w14:paraId="3CBED809" w14:textId="77777777" w:rsidR="00856EF9" w:rsidRPr="005E7A81" w:rsidRDefault="00856EF9" w:rsidP="00856EF9">
            <w:pPr>
              <w:suppressAutoHyphens/>
              <w:spacing w:after="0" w:line="240" w:lineRule="auto"/>
              <w:jc w:val="right"/>
              <w:rPr>
                <w:rFonts w:ascii="Arial" w:hAnsi="Arial" w:cs="Arial"/>
                <w:sz w:val="18"/>
                <w:szCs w:val="18"/>
              </w:rPr>
            </w:pPr>
          </w:p>
        </w:tc>
        <w:tc>
          <w:tcPr>
            <w:tcW w:w="646" w:type="pct"/>
            <w:tcBorders>
              <w:top w:val="single" w:sz="4" w:space="0" w:color="auto"/>
              <w:bottom w:val="double" w:sz="4" w:space="0" w:color="auto"/>
            </w:tcBorders>
          </w:tcPr>
          <w:p w14:paraId="00729DA0" w14:textId="10228F51"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(0.1)</w:t>
            </w:r>
          </w:p>
        </w:tc>
        <w:tc>
          <w:tcPr>
            <w:tcW w:w="548" w:type="pct"/>
            <w:tcBorders>
              <w:top w:val="single" w:sz="4" w:space="0" w:color="auto"/>
              <w:bottom w:val="double" w:sz="4" w:space="0" w:color="auto"/>
            </w:tcBorders>
          </w:tcPr>
          <w:p w14:paraId="4815BA1F" w14:textId="0668C9A8"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0.9 </w:t>
            </w:r>
          </w:p>
        </w:tc>
        <w:tc>
          <w:tcPr>
            <w:tcW w:w="390" w:type="pct"/>
            <w:tcBorders>
              <w:top w:val="single" w:sz="4" w:space="0" w:color="auto"/>
              <w:bottom w:val="double" w:sz="4" w:space="0" w:color="auto"/>
            </w:tcBorders>
          </w:tcPr>
          <w:p w14:paraId="04921D8B" w14:textId="74AAA86D" w:rsidR="00856EF9" w:rsidRPr="005E7A81" w:rsidRDefault="00856EF9" w:rsidP="00856EF9">
            <w:pPr>
              <w:suppressAutoHyphens/>
              <w:spacing w:after="0" w:line="240" w:lineRule="auto"/>
              <w:jc w:val="right"/>
              <w:rPr>
                <w:rFonts w:ascii="Arial" w:hAnsi="Arial" w:cs="Arial"/>
                <w:sz w:val="18"/>
                <w:szCs w:val="18"/>
              </w:rPr>
            </w:pPr>
            <w:r w:rsidRPr="005E7A81">
              <w:rPr>
                <w:rFonts w:ascii="Arial" w:hAnsi="Arial" w:cs="Arial"/>
                <w:sz w:val="18"/>
                <w:szCs w:val="18"/>
              </w:rPr>
              <w:t xml:space="preserve">0.8 </w:t>
            </w:r>
          </w:p>
        </w:tc>
      </w:tr>
    </w:tbl>
    <w:p w14:paraId="02F724C8" w14:textId="77777777" w:rsidR="00294FD1" w:rsidRPr="00A44138" w:rsidRDefault="00294FD1" w:rsidP="00294FD1">
      <w:pPr>
        <w:suppressAutoHyphens/>
        <w:spacing w:before="240"/>
        <w:jc w:val="both"/>
        <w:rPr>
          <w:rFonts w:ascii="Arial" w:hAnsi="Arial" w:cs="Arial"/>
          <w:sz w:val="20"/>
          <w:szCs w:val="20"/>
        </w:rPr>
      </w:pPr>
      <w:r w:rsidRPr="00A44138">
        <w:rPr>
          <w:rFonts w:ascii="Arial" w:hAnsi="Arial" w:cs="Arial"/>
          <w:sz w:val="20"/>
          <w:szCs w:val="20"/>
        </w:rPr>
        <w:lastRenderedPageBreak/>
        <w:t xml:space="preserve">* </w:t>
      </w:r>
      <w:r w:rsidRPr="00A44138">
        <w:rPr>
          <w:rFonts w:ascii="Arial" w:hAnsi="Arial" w:cs="Arial"/>
          <w:i/>
          <w:iCs/>
          <w:sz w:val="20"/>
          <w:szCs w:val="20"/>
        </w:rPr>
        <w:t>Non-current assets for Travelsupermarket Limited include £7.4m of goodwill that was recognised on the Group’s balance sheet prior to the acquisition of ITG.</w:t>
      </w:r>
    </w:p>
    <w:p w14:paraId="5E4AC4A0" w14:textId="1313B9FF" w:rsidR="00294FD1" w:rsidRPr="00A44138" w:rsidRDefault="00294FD1" w:rsidP="008E7485">
      <w:pPr>
        <w:spacing w:line="240" w:lineRule="auto"/>
        <w:jc w:val="both"/>
        <w:rPr>
          <w:rFonts w:ascii="Arial" w:hAnsi="Arial" w:cs="Arial"/>
          <w:sz w:val="20"/>
          <w:szCs w:val="20"/>
        </w:rPr>
      </w:pPr>
      <w:r w:rsidRPr="00A44138">
        <w:rPr>
          <w:rFonts w:ascii="Arial" w:hAnsi="Arial" w:cs="Arial"/>
          <w:sz w:val="20"/>
          <w:szCs w:val="20"/>
        </w:rPr>
        <w:t xml:space="preserve">Profit and total comprehensive income for the period in respect of Podium Solutions Limited and Ice Travel Group includes amortisation of intangibles relating to the acquisition of these companies by the Group of </w:t>
      </w:r>
      <w:r w:rsidRPr="00DA53C4">
        <w:rPr>
          <w:rFonts w:ascii="Arial" w:hAnsi="Arial" w:cs="Arial"/>
          <w:sz w:val="20"/>
          <w:szCs w:val="20"/>
        </w:rPr>
        <w:t>£</w:t>
      </w:r>
      <w:r w:rsidR="00450461" w:rsidRPr="00450461">
        <w:rPr>
          <w:rFonts w:ascii="Arial" w:hAnsi="Arial" w:cs="Arial"/>
          <w:sz w:val="20"/>
          <w:szCs w:val="20"/>
        </w:rPr>
        <w:t>0.9</w:t>
      </w:r>
      <w:r w:rsidRPr="00A44138">
        <w:rPr>
          <w:rFonts w:ascii="Arial" w:hAnsi="Arial" w:cs="Arial"/>
          <w:sz w:val="20"/>
          <w:szCs w:val="20"/>
        </w:rPr>
        <w:t>m (</w:t>
      </w:r>
      <w:r w:rsidRPr="005E7A81">
        <w:rPr>
          <w:rFonts w:ascii="Arial" w:hAnsi="Arial" w:cs="Arial"/>
          <w:sz w:val="20"/>
          <w:szCs w:val="20"/>
        </w:rPr>
        <w:t>202</w:t>
      </w:r>
      <w:r w:rsidR="00856EF9" w:rsidRPr="005E7A81">
        <w:rPr>
          <w:rFonts w:ascii="Arial" w:hAnsi="Arial" w:cs="Arial"/>
          <w:sz w:val="20"/>
          <w:szCs w:val="20"/>
        </w:rPr>
        <w:t>4</w:t>
      </w:r>
      <w:r w:rsidRPr="005E7A81">
        <w:rPr>
          <w:rFonts w:ascii="Arial" w:hAnsi="Arial" w:cs="Arial"/>
          <w:sz w:val="20"/>
          <w:szCs w:val="20"/>
        </w:rPr>
        <w:t>: £0.</w:t>
      </w:r>
      <w:r w:rsidR="00856EF9" w:rsidRPr="005E7A81">
        <w:rPr>
          <w:rFonts w:ascii="Arial" w:hAnsi="Arial" w:cs="Arial"/>
          <w:sz w:val="20"/>
          <w:szCs w:val="20"/>
        </w:rPr>
        <w:t>9</w:t>
      </w:r>
      <w:r w:rsidRPr="005E7A81">
        <w:rPr>
          <w:rFonts w:ascii="Arial" w:hAnsi="Arial" w:cs="Arial"/>
          <w:sz w:val="20"/>
          <w:szCs w:val="20"/>
        </w:rPr>
        <w:t>m</w:t>
      </w:r>
      <w:r w:rsidRPr="00A44138">
        <w:rPr>
          <w:rFonts w:ascii="Arial" w:hAnsi="Arial" w:cs="Arial"/>
          <w:sz w:val="20"/>
          <w:szCs w:val="20"/>
        </w:rPr>
        <w:t xml:space="preserve">). Included in the profit and total comprehensive income attributable to the non-controlling interest is </w:t>
      </w:r>
      <w:r w:rsidRPr="00DA53C4">
        <w:rPr>
          <w:rFonts w:ascii="Arial" w:hAnsi="Arial" w:cs="Arial"/>
          <w:sz w:val="20"/>
          <w:szCs w:val="20"/>
        </w:rPr>
        <w:t>£</w:t>
      </w:r>
      <w:r w:rsidR="00450461" w:rsidRPr="00DA53C4">
        <w:rPr>
          <w:rFonts w:ascii="Arial" w:hAnsi="Arial" w:cs="Arial"/>
          <w:sz w:val="20"/>
          <w:szCs w:val="20"/>
        </w:rPr>
        <w:t>0.4</w:t>
      </w:r>
      <w:r w:rsidRPr="00A44138">
        <w:rPr>
          <w:rFonts w:ascii="Arial" w:hAnsi="Arial" w:cs="Arial"/>
          <w:sz w:val="20"/>
          <w:szCs w:val="20"/>
        </w:rPr>
        <w:t>m (</w:t>
      </w:r>
      <w:r w:rsidRPr="005E7A81">
        <w:rPr>
          <w:rFonts w:ascii="Arial" w:hAnsi="Arial" w:cs="Arial"/>
          <w:sz w:val="20"/>
          <w:szCs w:val="20"/>
        </w:rPr>
        <w:t>20</w:t>
      </w:r>
      <w:r w:rsidR="00846069" w:rsidRPr="005E7A81">
        <w:rPr>
          <w:rFonts w:ascii="Arial" w:hAnsi="Arial" w:cs="Arial"/>
          <w:sz w:val="20"/>
          <w:szCs w:val="20"/>
        </w:rPr>
        <w:t>2</w:t>
      </w:r>
      <w:r w:rsidR="00856EF9" w:rsidRPr="005E7A81">
        <w:rPr>
          <w:rFonts w:ascii="Arial" w:hAnsi="Arial" w:cs="Arial"/>
          <w:sz w:val="20"/>
          <w:szCs w:val="20"/>
        </w:rPr>
        <w:t>4</w:t>
      </w:r>
      <w:r w:rsidRPr="005E7A81">
        <w:rPr>
          <w:rFonts w:ascii="Arial" w:hAnsi="Arial" w:cs="Arial"/>
          <w:sz w:val="20"/>
          <w:szCs w:val="20"/>
        </w:rPr>
        <w:t>: £0.</w:t>
      </w:r>
      <w:r w:rsidR="00846069" w:rsidRPr="005E7A81">
        <w:rPr>
          <w:rFonts w:ascii="Arial" w:hAnsi="Arial" w:cs="Arial"/>
          <w:sz w:val="20"/>
          <w:szCs w:val="20"/>
        </w:rPr>
        <w:t>4</w:t>
      </w:r>
      <w:r w:rsidRPr="005E7A81">
        <w:rPr>
          <w:rFonts w:ascii="Arial" w:hAnsi="Arial" w:cs="Arial"/>
          <w:sz w:val="20"/>
          <w:szCs w:val="20"/>
        </w:rPr>
        <w:t>m</w:t>
      </w:r>
      <w:r w:rsidRPr="00A44138">
        <w:rPr>
          <w:rFonts w:ascii="Arial" w:hAnsi="Arial" w:cs="Arial"/>
          <w:sz w:val="20"/>
          <w:szCs w:val="20"/>
        </w:rPr>
        <w:t>) of amortisation of acquired intangibles.</w:t>
      </w:r>
    </w:p>
    <w:p w14:paraId="75662243" w14:textId="77777777" w:rsidR="00294FD1" w:rsidRPr="00A44138" w:rsidRDefault="00294FD1" w:rsidP="00294FD1">
      <w:pPr>
        <w:suppressAutoHyphens/>
        <w:spacing w:before="240"/>
        <w:jc w:val="both"/>
        <w:rPr>
          <w:rFonts w:ascii="Arial" w:hAnsi="Arial" w:cs="Arial"/>
          <w:sz w:val="20"/>
          <w:szCs w:val="20"/>
        </w:rPr>
      </w:pPr>
    </w:p>
    <w:p w14:paraId="6A3D6A02" w14:textId="77777777" w:rsidR="00294FD1" w:rsidRPr="00A44138" w:rsidRDefault="00294FD1" w:rsidP="00294FD1">
      <w:pPr>
        <w:rPr>
          <w:rFonts w:ascii="Arial" w:eastAsia="Batang" w:hAnsi="Arial" w:cs="Times New Roman"/>
          <w:b/>
          <w:bCs/>
          <w:color w:val="FF0000"/>
          <w:sz w:val="20"/>
          <w:szCs w:val="20"/>
        </w:rPr>
      </w:pPr>
      <w:r w:rsidRPr="00A44138">
        <w:rPr>
          <w:rFonts w:ascii="Arial" w:eastAsia="Batang" w:hAnsi="Arial" w:cs="Times New Roman"/>
          <w:b/>
          <w:bCs/>
          <w:color w:val="FF0000"/>
          <w:sz w:val="20"/>
          <w:szCs w:val="20"/>
        </w:rPr>
        <w:br w:type="page"/>
      </w:r>
      <w:r w:rsidRPr="00A44138">
        <w:rPr>
          <w:rFonts w:ascii="Arial" w:eastAsia="Batang" w:hAnsi="Arial" w:cs="Arial"/>
          <w:b/>
          <w:sz w:val="20"/>
          <w:szCs w:val="20"/>
          <w:lang w:eastAsia="ko-KR"/>
        </w:rPr>
        <w:lastRenderedPageBreak/>
        <w:t>Appendix</w:t>
      </w:r>
    </w:p>
    <w:p w14:paraId="5118D0BA"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60" w:lineRule="atLeast"/>
        <w:rPr>
          <w:rFonts w:ascii="Arial" w:eastAsia="Batang" w:hAnsi="Arial" w:cs="Arial"/>
          <w:b/>
          <w:sz w:val="20"/>
          <w:szCs w:val="20"/>
          <w:lang w:eastAsia="ko-KR"/>
        </w:rPr>
      </w:pPr>
    </w:p>
    <w:p w14:paraId="400C4F07" w14:textId="77777777" w:rsidR="00294FD1" w:rsidRPr="00A44138" w:rsidRDefault="00294FD1" w:rsidP="00CC04A5">
      <w:pPr>
        <w:tabs>
          <w:tab w:val="left" w:pos="709"/>
          <w:tab w:val="left" w:pos="1559"/>
          <w:tab w:val="left" w:pos="2268"/>
          <w:tab w:val="left" w:pos="2977"/>
          <w:tab w:val="left" w:pos="3686"/>
          <w:tab w:val="left" w:pos="4394"/>
          <w:tab w:val="right" w:pos="8789"/>
        </w:tabs>
        <w:spacing w:after="0" w:line="260" w:lineRule="atLeast"/>
        <w:jc w:val="both"/>
        <w:rPr>
          <w:rFonts w:ascii="Arial" w:eastAsia="Batang" w:hAnsi="Arial" w:cs="Arial"/>
          <w:b/>
          <w:sz w:val="20"/>
          <w:szCs w:val="20"/>
          <w:lang w:eastAsia="ko-KR"/>
        </w:rPr>
      </w:pPr>
      <w:r w:rsidRPr="00A44138">
        <w:rPr>
          <w:rFonts w:ascii="Arial" w:eastAsia="Batang" w:hAnsi="Arial" w:cs="Arial"/>
          <w:b/>
          <w:sz w:val="20"/>
          <w:szCs w:val="20"/>
          <w:lang w:eastAsia="ko-KR"/>
        </w:rPr>
        <w:t>Statutory Information</w:t>
      </w:r>
    </w:p>
    <w:p w14:paraId="3340A91E" w14:textId="77777777" w:rsidR="00294FD1" w:rsidRPr="00A44138" w:rsidRDefault="00294FD1" w:rsidP="00CC04A5">
      <w:pPr>
        <w:tabs>
          <w:tab w:val="left" w:pos="709"/>
          <w:tab w:val="left" w:pos="1559"/>
          <w:tab w:val="left" w:pos="2268"/>
          <w:tab w:val="left" w:pos="2977"/>
          <w:tab w:val="left" w:pos="3686"/>
          <w:tab w:val="left" w:pos="4394"/>
          <w:tab w:val="right" w:pos="8789"/>
        </w:tabs>
        <w:spacing w:after="0" w:line="260" w:lineRule="atLeast"/>
        <w:jc w:val="both"/>
        <w:rPr>
          <w:rFonts w:ascii="Arial" w:eastAsia="Batang" w:hAnsi="Arial" w:cs="Arial"/>
          <w:sz w:val="20"/>
          <w:szCs w:val="20"/>
          <w:lang w:eastAsia="ko-KR"/>
        </w:rPr>
      </w:pPr>
    </w:p>
    <w:p w14:paraId="52A4BB1D" w14:textId="594414F9" w:rsidR="00294FD1" w:rsidRPr="00A44138" w:rsidRDefault="00294FD1" w:rsidP="008264BE">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color w:val="FF0000"/>
          <w:sz w:val="20"/>
          <w:szCs w:val="20"/>
          <w:lang w:val="en-US" w:eastAsia="ko-KR"/>
        </w:rPr>
      </w:pPr>
      <w:r w:rsidRPr="00A44138">
        <w:rPr>
          <w:rFonts w:ascii="Arial" w:eastAsia="Batang" w:hAnsi="Arial" w:cs="Arial"/>
          <w:sz w:val="20"/>
          <w:szCs w:val="20"/>
          <w:lang w:val="en-US" w:eastAsia="ko-KR"/>
        </w:rPr>
        <w:t xml:space="preserve">The financial information set out above does not constitute the Company's statutory accounts for the six </w:t>
      </w:r>
      <w:r w:rsidRPr="0071684B">
        <w:rPr>
          <w:rFonts w:ascii="Arial" w:eastAsia="Batang" w:hAnsi="Arial" w:cs="Arial"/>
          <w:sz w:val="20"/>
          <w:szCs w:val="20"/>
          <w:lang w:val="en-US" w:eastAsia="ko-KR"/>
        </w:rPr>
        <w:t>months ended 3</w:t>
      </w:r>
      <w:r w:rsidRPr="005C13FE">
        <w:rPr>
          <w:rFonts w:ascii="Arial" w:eastAsia="Batang" w:hAnsi="Arial" w:cs="Arial"/>
          <w:sz w:val="20"/>
          <w:szCs w:val="20"/>
          <w:lang w:val="en-US" w:eastAsia="ko-KR"/>
        </w:rPr>
        <w:t>0 June 202</w:t>
      </w:r>
      <w:r w:rsidR="00856EF9" w:rsidRPr="005C13FE">
        <w:rPr>
          <w:rFonts w:ascii="Arial" w:eastAsia="Batang" w:hAnsi="Arial" w:cs="Arial"/>
          <w:sz w:val="20"/>
          <w:szCs w:val="20"/>
          <w:lang w:val="en-US" w:eastAsia="ko-KR"/>
        </w:rPr>
        <w:t>5</w:t>
      </w:r>
      <w:r w:rsidRPr="005C13FE">
        <w:rPr>
          <w:rFonts w:ascii="Arial" w:eastAsia="Batang" w:hAnsi="Arial" w:cs="Arial"/>
          <w:sz w:val="20"/>
          <w:szCs w:val="20"/>
          <w:lang w:val="en-US" w:eastAsia="ko-KR"/>
        </w:rPr>
        <w:t xml:space="preserve"> or 30 June 202</w:t>
      </w:r>
      <w:r w:rsidR="00856EF9" w:rsidRPr="005C13FE">
        <w:rPr>
          <w:rFonts w:ascii="Arial" w:eastAsia="Batang" w:hAnsi="Arial" w:cs="Arial"/>
          <w:sz w:val="20"/>
          <w:szCs w:val="20"/>
          <w:lang w:val="en-US" w:eastAsia="ko-KR"/>
        </w:rPr>
        <w:t>4</w:t>
      </w:r>
      <w:r w:rsidRPr="005C13FE">
        <w:rPr>
          <w:rFonts w:ascii="Arial" w:eastAsia="Batang" w:hAnsi="Arial" w:cs="Arial"/>
          <w:sz w:val="20"/>
          <w:szCs w:val="20"/>
          <w:lang w:val="en-US" w:eastAsia="ko-KR"/>
        </w:rPr>
        <w:t xml:space="preserve"> </w:t>
      </w:r>
      <w:r w:rsidRPr="0071684B">
        <w:rPr>
          <w:rFonts w:ascii="Arial" w:eastAsia="Batang" w:hAnsi="Arial" w:cs="Arial"/>
          <w:sz w:val="20"/>
          <w:szCs w:val="20"/>
          <w:lang w:val="en-US" w:eastAsia="ko-KR"/>
        </w:rPr>
        <w:t>but</w:t>
      </w:r>
      <w:r w:rsidRPr="00A44138">
        <w:rPr>
          <w:rFonts w:ascii="Arial" w:eastAsia="Batang" w:hAnsi="Arial" w:cs="Arial"/>
          <w:sz w:val="20"/>
          <w:szCs w:val="20"/>
          <w:lang w:val="en-US" w:eastAsia="ko-KR"/>
        </w:rPr>
        <w:t xml:space="preserve"> is derived from those accounts. The auditor has reported on those accounts; their reports were (</w:t>
      </w:r>
      <w:proofErr w:type="spellStart"/>
      <w:r w:rsidRPr="00A44138">
        <w:rPr>
          <w:rFonts w:ascii="Arial" w:eastAsia="Batang" w:hAnsi="Arial" w:cs="Arial"/>
          <w:sz w:val="20"/>
          <w:szCs w:val="20"/>
          <w:lang w:val="en-US" w:eastAsia="ko-KR"/>
        </w:rPr>
        <w:t>i</w:t>
      </w:r>
      <w:proofErr w:type="spellEnd"/>
      <w:r w:rsidRPr="00A44138">
        <w:rPr>
          <w:rFonts w:ascii="Arial" w:eastAsia="Batang" w:hAnsi="Arial" w:cs="Arial"/>
          <w:sz w:val="20"/>
          <w:szCs w:val="20"/>
          <w:lang w:val="en-US" w:eastAsia="ko-KR"/>
        </w:rPr>
        <w:t>) unqualified, (ii) did not include a reference to any matters to which the auditor drew attention by way of emphasis without qualifying their report and (iii) did not contain a statement under section 498 (2) or (3) of the Companies Act 2006.</w:t>
      </w:r>
    </w:p>
    <w:p w14:paraId="14AB31DD" w14:textId="77777777" w:rsidR="00294FD1" w:rsidRPr="00A44138" w:rsidRDefault="00294FD1" w:rsidP="008264BE">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val="en-US" w:eastAsia="ko-KR"/>
        </w:rPr>
      </w:pPr>
    </w:p>
    <w:p w14:paraId="06A49519" w14:textId="0B442F97" w:rsidR="00294FD1" w:rsidRPr="00A44138" w:rsidRDefault="00294FD1" w:rsidP="008264BE">
      <w:pPr>
        <w:tabs>
          <w:tab w:val="left" w:pos="709"/>
          <w:tab w:val="left" w:pos="1559"/>
          <w:tab w:val="left" w:pos="2268"/>
          <w:tab w:val="left" w:pos="2977"/>
          <w:tab w:val="left" w:pos="3686"/>
          <w:tab w:val="left" w:pos="4394"/>
          <w:tab w:val="right" w:pos="8789"/>
        </w:tabs>
        <w:spacing w:after="0" w:line="240" w:lineRule="auto"/>
        <w:jc w:val="both"/>
        <w:rPr>
          <w:rFonts w:ascii="Arial" w:eastAsia="Batang" w:hAnsi="Arial" w:cs="Arial"/>
          <w:sz w:val="20"/>
          <w:szCs w:val="20"/>
          <w:lang w:val="en-US" w:eastAsia="ko-KR"/>
        </w:rPr>
      </w:pPr>
      <w:r w:rsidRPr="005C13FE">
        <w:rPr>
          <w:rFonts w:ascii="Arial" w:eastAsia="Batang" w:hAnsi="Arial" w:cs="Arial"/>
          <w:sz w:val="20"/>
          <w:szCs w:val="20"/>
          <w:lang w:val="en-US" w:eastAsia="ko-KR"/>
        </w:rPr>
        <w:t xml:space="preserve">The Annual General Meeting took place on </w:t>
      </w:r>
      <w:r w:rsidR="00AC26C1" w:rsidRPr="005C13FE">
        <w:rPr>
          <w:rFonts w:ascii="Arial" w:eastAsia="Batang" w:hAnsi="Arial" w:cs="Arial"/>
          <w:sz w:val="20"/>
          <w:szCs w:val="20"/>
          <w:lang w:val="en-US" w:eastAsia="ko-KR"/>
        </w:rPr>
        <w:t>8 May 2025</w:t>
      </w:r>
      <w:r w:rsidRPr="005C13FE">
        <w:rPr>
          <w:rFonts w:ascii="Arial" w:eastAsia="Batang" w:hAnsi="Arial" w:cs="Arial"/>
          <w:sz w:val="20"/>
          <w:szCs w:val="20"/>
          <w:lang w:val="en-US" w:eastAsia="ko-KR"/>
        </w:rPr>
        <w:t xml:space="preserve">. The interim dividend will be paid on </w:t>
      </w:r>
      <w:r w:rsidR="00A75E36" w:rsidRPr="005C13FE">
        <w:rPr>
          <w:rFonts w:ascii="Arial" w:eastAsia="Batang" w:hAnsi="Arial" w:cs="Arial"/>
          <w:sz w:val="20"/>
          <w:szCs w:val="20"/>
          <w:lang w:val="en-US" w:eastAsia="ko-KR"/>
        </w:rPr>
        <w:t>8 September 2025</w:t>
      </w:r>
      <w:r w:rsidR="00600D66" w:rsidRPr="005C13FE">
        <w:rPr>
          <w:rFonts w:ascii="Arial" w:eastAsia="Batang" w:hAnsi="Arial" w:cs="Arial"/>
          <w:sz w:val="20"/>
          <w:szCs w:val="20"/>
          <w:lang w:val="en-US" w:eastAsia="ko-KR"/>
        </w:rPr>
        <w:t xml:space="preserve"> to</w:t>
      </w:r>
      <w:r w:rsidRPr="005C13FE">
        <w:rPr>
          <w:rFonts w:ascii="Arial" w:eastAsia="Batang" w:hAnsi="Arial" w:cs="Arial"/>
          <w:sz w:val="20"/>
          <w:szCs w:val="20"/>
          <w:lang w:val="en-US" w:eastAsia="ko-KR"/>
        </w:rPr>
        <w:t xml:space="preserve"> shareholders on the register at the close of business on </w:t>
      </w:r>
      <w:r w:rsidR="00A75E36" w:rsidRPr="005C13FE">
        <w:rPr>
          <w:rFonts w:ascii="Arial" w:eastAsia="Batang" w:hAnsi="Arial" w:cs="Arial"/>
          <w:sz w:val="20"/>
          <w:szCs w:val="20"/>
          <w:lang w:val="en-US" w:eastAsia="ko-KR"/>
        </w:rPr>
        <w:t>1 August 2025.</w:t>
      </w:r>
    </w:p>
    <w:p w14:paraId="72F8A131" w14:textId="77777777" w:rsidR="00294FD1" w:rsidRPr="00A44138" w:rsidRDefault="00294FD1" w:rsidP="00294FD1">
      <w:pPr>
        <w:tabs>
          <w:tab w:val="left" w:pos="709"/>
          <w:tab w:val="left" w:pos="1559"/>
          <w:tab w:val="left" w:pos="2268"/>
          <w:tab w:val="left" w:pos="2977"/>
          <w:tab w:val="left" w:pos="3686"/>
          <w:tab w:val="left" w:pos="4394"/>
          <w:tab w:val="right" w:pos="8789"/>
        </w:tabs>
        <w:spacing w:after="0" w:line="260" w:lineRule="atLeast"/>
        <w:jc w:val="both"/>
        <w:rPr>
          <w:rFonts w:ascii="Arial" w:eastAsia="Batang" w:hAnsi="Arial" w:cs="Arial"/>
          <w:b/>
          <w:color w:val="FF0000"/>
          <w:sz w:val="20"/>
          <w:szCs w:val="20"/>
          <w:lang w:eastAsia="ko-KR"/>
        </w:rPr>
      </w:pPr>
    </w:p>
    <w:p w14:paraId="474CCF15" w14:textId="77777777" w:rsidR="00294FD1" w:rsidRPr="00A44138" w:rsidRDefault="00294FD1" w:rsidP="00294FD1">
      <w:pPr>
        <w:jc w:val="both"/>
        <w:rPr>
          <w:rFonts w:ascii="Arial" w:eastAsia="Batang" w:hAnsi="Arial" w:cs="Arial"/>
          <w:b/>
          <w:sz w:val="20"/>
          <w:szCs w:val="20"/>
          <w:lang w:eastAsia="ko-KR"/>
        </w:rPr>
      </w:pPr>
      <w:r w:rsidRPr="00A44138">
        <w:rPr>
          <w:rFonts w:ascii="Arial" w:eastAsia="Batang" w:hAnsi="Arial" w:cs="Arial"/>
          <w:b/>
          <w:sz w:val="20"/>
          <w:szCs w:val="20"/>
          <w:lang w:eastAsia="ko-KR"/>
        </w:rPr>
        <w:t>Presentation of figures</w:t>
      </w:r>
    </w:p>
    <w:p w14:paraId="68B14340" w14:textId="77777777" w:rsidR="00294FD1" w:rsidRPr="00A44138" w:rsidRDefault="00294FD1" w:rsidP="00294FD1">
      <w:pPr>
        <w:pStyle w:val="ParaIMS"/>
        <w:jc w:val="both"/>
        <w:rPr>
          <w:rFonts w:ascii="Arial" w:eastAsia="Batang" w:hAnsi="Arial" w:cs="Arial"/>
          <w:lang w:eastAsia="ko-KR"/>
        </w:rPr>
      </w:pPr>
      <w:r w:rsidRPr="00A44138">
        <w:rPr>
          <w:rFonts w:ascii="Arial" w:eastAsia="Batang" w:hAnsi="Arial" w:cs="Arial"/>
          <w:lang w:eastAsia="ko-KR"/>
        </w:rPr>
        <w:t>Certain figures contained in this announcement, including financial information, have been subject to rounding adjustments. Accordingly, in certain instances, the sum or percentage change of the numbers contained in this announcement may not conform exactly with the total figure given.</w:t>
      </w:r>
    </w:p>
    <w:p w14:paraId="585C6C9A" w14:textId="77777777" w:rsidR="00294FD1" w:rsidRPr="00A44138" w:rsidRDefault="00294FD1" w:rsidP="00294FD1">
      <w:pPr>
        <w:rPr>
          <w:rFonts w:ascii="Arial" w:eastAsia="Batang" w:hAnsi="Arial" w:cs="Arial"/>
          <w:color w:val="FF0000"/>
          <w:sz w:val="20"/>
          <w:szCs w:val="20"/>
          <w:lang w:eastAsia="ko-KR"/>
        </w:rPr>
      </w:pPr>
    </w:p>
    <w:p w14:paraId="67543E32" w14:textId="77777777" w:rsidR="00DB268B" w:rsidRPr="00A44138" w:rsidRDefault="00DB268B">
      <w:pPr>
        <w:spacing w:after="160" w:line="259" w:lineRule="auto"/>
        <w:rPr>
          <w:rFonts w:ascii="Arial" w:eastAsia="Batang" w:hAnsi="Arial" w:cs="Arial"/>
          <w:b/>
          <w:sz w:val="20"/>
          <w:szCs w:val="20"/>
          <w:lang w:eastAsia="ko-KR"/>
        </w:rPr>
      </w:pPr>
      <w:r w:rsidRPr="00A44138">
        <w:rPr>
          <w:rFonts w:ascii="Arial" w:eastAsia="Batang" w:hAnsi="Arial" w:cs="Arial"/>
          <w:b/>
          <w:sz w:val="20"/>
          <w:szCs w:val="20"/>
          <w:lang w:eastAsia="ko-KR"/>
        </w:rPr>
        <w:br w:type="page"/>
      </w:r>
    </w:p>
    <w:p w14:paraId="6CBF2570" w14:textId="0A9FE5A5" w:rsidR="00294FD1" w:rsidRPr="00A44138" w:rsidRDefault="00294FD1" w:rsidP="00294FD1">
      <w:pPr>
        <w:jc w:val="center"/>
        <w:rPr>
          <w:rFonts w:ascii="Arial" w:hAnsi="Arial" w:cs="Arial"/>
          <w:b/>
          <w:sz w:val="20"/>
        </w:rPr>
      </w:pPr>
      <w:r w:rsidRPr="00A44138">
        <w:rPr>
          <w:rFonts w:ascii="Arial" w:eastAsia="Batang" w:hAnsi="Arial" w:cs="Arial"/>
          <w:b/>
          <w:sz w:val="20"/>
          <w:szCs w:val="20"/>
          <w:lang w:eastAsia="ko-KR"/>
        </w:rPr>
        <w:lastRenderedPageBreak/>
        <w:t xml:space="preserve">Independent Review Report to </w:t>
      </w:r>
      <w:r w:rsidR="00DB268B" w:rsidRPr="00A44138">
        <w:rPr>
          <w:rFonts w:ascii="Arial" w:eastAsia="Batang" w:hAnsi="Arial" w:cs="Arial"/>
          <w:b/>
          <w:sz w:val="20"/>
          <w:szCs w:val="20"/>
          <w:lang w:eastAsia="ko-KR"/>
        </w:rPr>
        <w:t>MONY</w:t>
      </w:r>
      <w:r w:rsidRPr="00A44138">
        <w:rPr>
          <w:rFonts w:ascii="Arial" w:eastAsia="Batang" w:hAnsi="Arial" w:cs="Arial"/>
          <w:b/>
          <w:sz w:val="20"/>
          <w:szCs w:val="20"/>
          <w:lang w:eastAsia="ko-KR"/>
        </w:rPr>
        <w:t xml:space="preserve"> Group </w:t>
      </w:r>
      <w:r w:rsidR="000E1ADB" w:rsidRPr="00A44138">
        <w:rPr>
          <w:rFonts w:ascii="Arial" w:eastAsia="Batang" w:hAnsi="Arial" w:cs="Arial"/>
          <w:b/>
          <w:sz w:val="20"/>
          <w:szCs w:val="20"/>
          <w:lang w:eastAsia="ko-KR"/>
        </w:rPr>
        <w:t>pl</w:t>
      </w:r>
      <w:r w:rsidRPr="00A44138">
        <w:rPr>
          <w:rFonts w:ascii="Arial" w:eastAsia="Batang" w:hAnsi="Arial" w:cs="Arial"/>
          <w:b/>
          <w:sz w:val="20"/>
          <w:szCs w:val="20"/>
          <w:lang w:eastAsia="ko-KR"/>
        </w:rPr>
        <w:t>c</w:t>
      </w:r>
    </w:p>
    <w:p w14:paraId="771E4F5D" w14:textId="77777777" w:rsidR="003E20F1" w:rsidRPr="00A44138" w:rsidRDefault="003E20F1" w:rsidP="008E7485">
      <w:pPr>
        <w:spacing w:after="0" w:line="240" w:lineRule="auto"/>
        <w:jc w:val="both"/>
        <w:rPr>
          <w:rFonts w:ascii="Arial" w:hAnsi="Arial" w:cs="Arial"/>
          <w:b/>
          <w:bCs/>
          <w:sz w:val="20"/>
          <w:szCs w:val="20"/>
        </w:rPr>
      </w:pPr>
      <w:r w:rsidRPr="00A44138">
        <w:rPr>
          <w:rFonts w:ascii="Arial" w:hAnsi="Arial" w:cs="Arial"/>
          <w:b/>
          <w:bCs/>
          <w:sz w:val="20"/>
          <w:szCs w:val="20"/>
        </w:rPr>
        <w:t>Conclusion</w:t>
      </w:r>
    </w:p>
    <w:p w14:paraId="60D7A10A" w14:textId="77777777" w:rsidR="003E20F1" w:rsidRPr="00A44138" w:rsidRDefault="003E20F1" w:rsidP="008E7485">
      <w:pPr>
        <w:spacing w:after="0" w:line="240" w:lineRule="auto"/>
        <w:jc w:val="both"/>
        <w:rPr>
          <w:rFonts w:ascii="Arial" w:hAnsi="Arial" w:cs="Arial"/>
          <w:sz w:val="20"/>
          <w:szCs w:val="20"/>
        </w:rPr>
      </w:pPr>
    </w:p>
    <w:p w14:paraId="0DF5C3FA" w14:textId="77777777" w:rsidR="00DD77A0" w:rsidRPr="008E7485" w:rsidRDefault="00DD77A0" w:rsidP="008E7485">
      <w:pPr>
        <w:spacing w:after="180" w:line="240" w:lineRule="auto"/>
        <w:jc w:val="both"/>
        <w:rPr>
          <w:rFonts w:ascii="Arial" w:hAnsi="Arial" w:cs="Arial"/>
          <w:sz w:val="20"/>
          <w:szCs w:val="20"/>
        </w:rPr>
      </w:pPr>
      <w:r w:rsidRPr="008E7485">
        <w:rPr>
          <w:rFonts w:ascii="Arial" w:hAnsi="Arial" w:cs="Arial"/>
          <w:sz w:val="20"/>
          <w:szCs w:val="20"/>
        </w:rPr>
        <w:t>We have been engaged by MONY Group plc (“the Company”) to review the condensed set of financial statements in the half-yearly financial report</w:t>
      </w:r>
      <w:r w:rsidRPr="008E7485">
        <w:rPr>
          <w:rFonts w:ascii="Arial" w:hAnsi="Arial" w:cs="Arial"/>
          <w:b/>
          <w:color w:val="FF0000"/>
          <w:sz w:val="20"/>
          <w:szCs w:val="20"/>
        </w:rPr>
        <w:t xml:space="preserve"> </w:t>
      </w:r>
      <w:r w:rsidRPr="008E7485">
        <w:rPr>
          <w:rFonts w:ascii="Arial" w:hAnsi="Arial" w:cs="Arial"/>
          <w:sz w:val="20"/>
          <w:szCs w:val="20"/>
        </w:rPr>
        <w:t>for the six months ended 30 June 2025</w:t>
      </w:r>
      <w:r w:rsidRPr="008E7485">
        <w:rPr>
          <w:rFonts w:ascii="Arial" w:hAnsi="Arial" w:cs="Arial"/>
          <w:color w:val="FF0000"/>
          <w:sz w:val="20"/>
          <w:szCs w:val="20"/>
        </w:rPr>
        <w:t xml:space="preserve"> </w:t>
      </w:r>
      <w:r w:rsidRPr="008E7485">
        <w:rPr>
          <w:rFonts w:ascii="Arial" w:hAnsi="Arial" w:cs="Arial"/>
          <w:sz w:val="20"/>
          <w:szCs w:val="20"/>
        </w:rPr>
        <w:t>which comprises the consolidated statement of comprehensive income, consolidated statement of financial position, consolidated statement of changes in equity, consolidated statement of cash flows and the related explanatory notes.</w:t>
      </w:r>
    </w:p>
    <w:p w14:paraId="286BFF6D" w14:textId="77777777" w:rsidR="00DD77A0" w:rsidRPr="008E7485" w:rsidRDefault="00DD77A0" w:rsidP="008E7485">
      <w:pPr>
        <w:spacing w:after="180" w:line="240" w:lineRule="auto"/>
        <w:jc w:val="both"/>
        <w:rPr>
          <w:rFonts w:ascii="Arial" w:hAnsi="Arial" w:cs="Arial"/>
          <w:sz w:val="20"/>
          <w:szCs w:val="20"/>
        </w:rPr>
      </w:pPr>
      <w:bookmarkStart w:id="24" w:name="_Hlk63100740"/>
      <w:r w:rsidRPr="008E7485">
        <w:rPr>
          <w:rFonts w:ascii="Arial" w:hAnsi="Arial" w:cs="Arial"/>
          <w:sz w:val="20"/>
          <w:szCs w:val="20"/>
        </w:rPr>
        <w:t xml:space="preserve">Based on our review, nothing has come to our attention that causes us to believe that the condensed set of financial statements in the half-yearly financial report for the six months ended 30 June 2025 is not prepared, in all material respects, in accordance with IAS 34 </w:t>
      </w:r>
      <w:r w:rsidRPr="008E7485">
        <w:rPr>
          <w:rFonts w:ascii="Arial" w:hAnsi="Arial" w:cs="Arial"/>
          <w:i/>
          <w:sz w:val="20"/>
          <w:szCs w:val="20"/>
        </w:rPr>
        <w:t>Interim Financial Reporting</w:t>
      </w:r>
      <w:r w:rsidRPr="008E7485">
        <w:rPr>
          <w:rFonts w:ascii="Arial" w:hAnsi="Arial" w:cs="Arial"/>
          <w:sz w:val="20"/>
          <w:szCs w:val="20"/>
        </w:rPr>
        <w:t xml:space="preserve"> </w:t>
      </w:r>
      <w:bookmarkEnd w:id="24"/>
      <w:r w:rsidRPr="008E7485">
        <w:rPr>
          <w:rFonts w:ascii="Arial" w:hAnsi="Arial" w:cs="Arial"/>
          <w:sz w:val="20"/>
          <w:szCs w:val="20"/>
        </w:rPr>
        <w:t xml:space="preserve">as adopted for use in the UK and the Disclosure Guidance and Transparency Rules (“the DTR”) of the UK’s Financial Conduct Authority (“the UK FCA”).    </w:t>
      </w:r>
    </w:p>
    <w:p w14:paraId="11E690FA" w14:textId="77777777" w:rsidR="00294FD1" w:rsidRPr="00285AC0" w:rsidRDefault="00294FD1" w:rsidP="008E7485">
      <w:pPr>
        <w:spacing w:after="0" w:line="240" w:lineRule="auto"/>
        <w:jc w:val="both"/>
        <w:rPr>
          <w:rFonts w:ascii="Arial" w:hAnsi="Arial" w:cs="Arial"/>
          <w:b/>
          <w:sz w:val="20"/>
          <w:szCs w:val="20"/>
        </w:rPr>
      </w:pPr>
      <w:r w:rsidRPr="00285AC0">
        <w:rPr>
          <w:rFonts w:ascii="Arial" w:hAnsi="Arial" w:cs="Arial"/>
          <w:b/>
          <w:sz w:val="20"/>
          <w:szCs w:val="20"/>
        </w:rPr>
        <w:t>Basis for conclusion</w:t>
      </w:r>
    </w:p>
    <w:p w14:paraId="55548B9A" w14:textId="77777777" w:rsidR="003E20F1" w:rsidRPr="00285AC0" w:rsidRDefault="003E20F1" w:rsidP="008E7485">
      <w:pPr>
        <w:spacing w:after="0" w:line="240" w:lineRule="auto"/>
        <w:jc w:val="both"/>
        <w:rPr>
          <w:rFonts w:ascii="Arial" w:hAnsi="Arial" w:cs="Arial"/>
          <w:sz w:val="20"/>
          <w:szCs w:val="20"/>
        </w:rPr>
      </w:pPr>
    </w:p>
    <w:p w14:paraId="5CD907B6" w14:textId="77777777" w:rsidR="00294FD1" w:rsidRPr="008E7485" w:rsidRDefault="003E20F1" w:rsidP="008E7485">
      <w:pPr>
        <w:spacing w:after="180" w:line="240" w:lineRule="auto"/>
        <w:jc w:val="both"/>
        <w:rPr>
          <w:rFonts w:ascii="Arial" w:hAnsi="Arial" w:cs="Arial"/>
          <w:sz w:val="20"/>
          <w:szCs w:val="20"/>
        </w:rPr>
      </w:pPr>
      <w:r w:rsidRPr="008E7485">
        <w:rPr>
          <w:rFonts w:ascii="Arial" w:hAnsi="Arial" w:cs="Arial"/>
          <w:sz w:val="20"/>
          <w:szCs w:val="20"/>
        </w:rPr>
        <w:t xml:space="preserve">We conducted our review in accordance with International Standard on Review Engagements (UK) 2410 </w:t>
      </w:r>
      <w:r w:rsidRPr="008E7485">
        <w:rPr>
          <w:rFonts w:ascii="Arial" w:hAnsi="Arial" w:cs="Arial"/>
          <w:i/>
          <w:sz w:val="20"/>
          <w:szCs w:val="20"/>
        </w:rPr>
        <w:t xml:space="preserve">Review of Interim Financial Information Performed by the Independent Auditor of the Entity </w:t>
      </w:r>
      <w:r w:rsidRPr="008E7485">
        <w:rPr>
          <w:rFonts w:ascii="Arial" w:hAnsi="Arial" w:cs="Arial"/>
          <w:sz w:val="20"/>
          <w:szCs w:val="20"/>
        </w:rPr>
        <w:t>(“ISRE (UK) 2410”)</w:t>
      </w:r>
      <w:r w:rsidRPr="008E7485">
        <w:rPr>
          <w:rFonts w:ascii="Arial" w:hAnsi="Arial" w:cs="Arial"/>
          <w:i/>
          <w:sz w:val="20"/>
          <w:szCs w:val="20"/>
        </w:rPr>
        <w:t xml:space="preserve"> </w:t>
      </w:r>
      <w:r w:rsidRPr="008E7485">
        <w:rPr>
          <w:rFonts w:ascii="Arial" w:hAnsi="Arial" w:cs="Arial"/>
          <w:sz w:val="20"/>
          <w:szCs w:val="20"/>
        </w:rPr>
        <w:t xml:space="preserve">issued for use in the UK. </w:t>
      </w:r>
      <w:r w:rsidR="008F0797" w:rsidRPr="008E7485">
        <w:rPr>
          <w:rFonts w:ascii="Arial" w:hAnsi="Arial" w:cs="Arial"/>
          <w:sz w:val="20"/>
          <w:szCs w:val="20"/>
        </w:rPr>
        <w:t xml:space="preserve"> </w:t>
      </w:r>
      <w:r w:rsidRPr="008E7485">
        <w:rPr>
          <w:rFonts w:ascii="Arial" w:hAnsi="Arial" w:cs="Arial"/>
          <w:sz w:val="20"/>
          <w:szCs w:val="20"/>
        </w:rPr>
        <w:t xml:space="preserve">A review of interim financial information consists of making enquiries, primarily of persons responsible for financial and accounting matters, and applying analytical and other review procedures. </w:t>
      </w:r>
      <w:r w:rsidR="008F0797" w:rsidRPr="008E7485">
        <w:rPr>
          <w:rFonts w:ascii="Arial" w:hAnsi="Arial" w:cs="Arial"/>
          <w:sz w:val="20"/>
          <w:szCs w:val="20"/>
        </w:rPr>
        <w:t xml:space="preserve"> </w:t>
      </w:r>
      <w:r w:rsidRPr="008E7485">
        <w:rPr>
          <w:rFonts w:ascii="Arial" w:hAnsi="Arial" w:cs="Arial"/>
          <w:sz w:val="20"/>
          <w:szCs w:val="20"/>
        </w:rPr>
        <w:t>We read the other information contained in the half-yearly financial report and consider whether it contains any apparent misstatements or material inconsistencies with the information in the condensed set of financial statements.</w:t>
      </w:r>
      <w:r w:rsidR="008F0797" w:rsidRPr="008E7485">
        <w:rPr>
          <w:rFonts w:ascii="Arial" w:hAnsi="Arial" w:cs="Arial"/>
          <w:sz w:val="20"/>
          <w:szCs w:val="20"/>
        </w:rPr>
        <w:t xml:space="preserve">  </w:t>
      </w:r>
    </w:p>
    <w:p w14:paraId="2A3F8CEB" w14:textId="77777777" w:rsidR="00294FD1" w:rsidRPr="008E7485" w:rsidRDefault="00294FD1" w:rsidP="000A73D0">
      <w:pPr>
        <w:spacing w:after="180" w:line="240" w:lineRule="auto"/>
        <w:jc w:val="both"/>
        <w:rPr>
          <w:rFonts w:ascii="Arial" w:hAnsi="Arial" w:cs="Arial"/>
          <w:sz w:val="20"/>
          <w:szCs w:val="20"/>
        </w:rPr>
      </w:pPr>
      <w:r w:rsidRPr="008E7485">
        <w:rPr>
          <w:rFonts w:ascii="Arial" w:hAnsi="Arial" w:cs="Arial"/>
          <w:sz w:val="20"/>
          <w:szCs w:val="20"/>
        </w:rPr>
        <w:t xml:space="preserve">A review is substantially less in scope than an audit conducted in accordance with International Standards on Auditing (UK) and consequently does not enable us to obtain assurance that we would become aware of all significant matters that might be identified in an audit. </w:t>
      </w:r>
      <w:r w:rsidR="008F0797" w:rsidRPr="008E7485">
        <w:rPr>
          <w:rFonts w:ascii="Arial" w:hAnsi="Arial" w:cs="Arial"/>
          <w:sz w:val="20"/>
          <w:szCs w:val="20"/>
        </w:rPr>
        <w:t xml:space="preserve"> Acco</w:t>
      </w:r>
    </w:p>
    <w:p w14:paraId="0D09B60D" w14:textId="77777777" w:rsidR="008F0797" w:rsidRPr="008E7485" w:rsidRDefault="008F0797" w:rsidP="008E7485">
      <w:pPr>
        <w:spacing w:after="180" w:line="240" w:lineRule="auto"/>
        <w:jc w:val="both"/>
        <w:rPr>
          <w:rFonts w:ascii="Arial" w:hAnsi="Arial" w:cs="Arial"/>
          <w:sz w:val="20"/>
          <w:szCs w:val="20"/>
        </w:rPr>
      </w:pPr>
      <w:r w:rsidRPr="008E7485">
        <w:rPr>
          <w:rFonts w:ascii="Arial" w:hAnsi="Arial" w:cs="Arial"/>
          <w:sz w:val="20"/>
          <w:szCs w:val="20"/>
        </w:rPr>
        <w:t xml:space="preserve">dingly, we do not express an audit opinion.   </w:t>
      </w:r>
    </w:p>
    <w:p w14:paraId="26523CA0" w14:textId="77777777" w:rsidR="00294FD1" w:rsidRPr="00285AC0" w:rsidRDefault="00294FD1" w:rsidP="003E20F1">
      <w:pPr>
        <w:spacing w:after="0"/>
        <w:jc w:val="both"/>
        <w:rPr>
          <w:rFonts w:ascii="Arial" w:hAnsi="Arial" w:cs="Arial"/>
          <w:b/>
          <w:sz w:val="20"/>
          <w:szCs w:val="20"/>
        </w:rPr>
      </w:pPr>
      <w:r w:rsidRPr="00285AC0">
        <w:rPr>
          <w:rFonts w:ascii="Arial" w:hAnsi="Arial" w:cs="Arial"/>
          <w:b/>
          <w:sz w:val="20"/>
          <w:szCs w:val="20"/>
        </w:rPr>
        <w:t>Conclusions relating to going concern</w:t>
      </w:r>
    </w:p>
    <w:p w14:paraId="3BEC873D" w14:textId="77777777" w:rsidR="003E20F1" w:rsidRPr="00856EF9" w:rsidRDefault="003E20F1" w:rsidP="008264BE">
      <w:pPr>
        <w:spacing w:after="0" w:line="240" w:lineRule="auto"/>
        <w:jc w:val="both"/>
        <w:rPr>
          <w:rFonts w:ascii="Arial" w:hAnsi="Arial" w:cs="Arial"/>
          <w:sz w:val="20"/>
          <w:szCs w:val="20"/>
          <w:highlight w:val="yellow"/>
        </w:rPr>
      </w:pPr>
    </w:p>
    <w:p w14:paraId="5747F813" w14:textId="77777777" w:rsidR="008E7485" w:rsidRPr="008E7485" w:rsidRDefault="008E7485" w:rsidP="00285AC0">
      <w:pPr>
        <w:spacing w:after="180" w:line="240" w:lineRule="auto"/>
        <w:jc w:val="both"/>
        <w:rPr>
          <w:rFonts w:ascii="Arial" w:hAnsi="Arial" w:cs="Arial"/>
          <w:sz w:val="20"/>
          <w:szCs w:val="20"/>
        </w:rPr>
      </w:pPr>
      <w:r w:rsidRPr="008E7485">
        <w:rPr>
          <w:rFonts w:ascii="Arial" w:hAnsi="Arial" w:cs="Arial"/>
          <w:sz w:val="20"/>
          <w:szCs w:val="20"/>
        </w:rPr>
        <w:t>Based on our review procedures, which are less extensive than those performed in an audit as described in the Basis for conclusion section of this report, nothing has come to our attention that causes us to believe that the directors have inappropriately adopted the going concern basis of accounting, or that the directors have identified material uncertainties relating to going concern that have not been appropriately disclosed.</w:t>
      </w:r>
    </w:p>
    <w:p w14:paraId="0AFAF097" w14:textId="77777777" w:rsidR="00294FD1" w:rsidRPr="008E7485" w:rsidRDefault="00294FD1" w:rsidP="00285AC0">
      <w:pPr>
        <w:spacing w:line="240" w:lineRule="auto"/>
        <w:jc w:val="both"/>
        <w:rPr>
          <w:rFonts w:ascii="Arial" w:hAnsi="Arial" w:cs="Arial"/>
          <w:sz w:val="20"/>
          <w:szCs w:val="20"/>
          <w:lang w:val="en-US"/>
        </w:rPr>
      </w:pPr>
      <w:r w:rsidRPr="008E7485">
        <w:rPr>
          <w:rFonts w:ascii="Arial" w:hAnsi="Arial" w:cs="Arial"/>
          <w:sz w:val="20"/>
          <w:szCs w:val="20"/>
          <w:lang w:val="en-US"/>
        </w:rPr>
        <w:t>This conclusion is based on the review procedures performed in accordance with ISRE (UK) 2410. However, future events or conditions may cause the Group to cease to continue as a going concern, and the above conclusions are not a guarantee that the Group will continue in operation.</w:t>
      </w:r>
    </w:p>
    <w:p w14:paraId="283B9B71" w14:textId="77777777" w:rsidR="003E20F1" w:rsidRPr="00F65EF1" w:rsidRDefault="00294FD1" w:rsidP="003E20F1">
      <w:pPr>
        <w:spacing w:after="0"/>
        <w:jc w:val="both"/>
        <w:rPr>
          <w:rFonts w:ascii="Arial" w:hAnsi="Arial" w:cs="Arial"/>
          <w:b/>
          <w:sz w:val="20"/>
          <w:szCs w:val="20"/>
        </w:rPr>
      </w:pPr>
      <w:r w:rsidRPr="00F65EF1">
        <w:rPr>
          <w:rFonts w:ascii="Arial" w:hAnsi="Arial" w:cs="Arial"/>
          <w:b/>
          <w:sz w:val="20"/>
          <w:szCs w:val="20"/>
        </w:rPr>
        <w:t>Directors’ responsibilities</w:t>
      </w:r>
    </w:p>
    <w:p w14:paraId="11C6F49A" w14:textId="77777777" w:rsidR="00294FD1" w:rsidRPr="00856EF9" w:rsidRDefault="00294FD1" w:rsidP="008264BE">
      <w:pPr>
        <w:spacing w:after="0" w:line="240" w:lineRule="auto"/>
        <w:jc w:val="both"/>
        <w:rPr>
          <w:rFonts w:ascii="Arial" w:hAnsi="Arial" w:cs="Arial"/>
          <w:sz w:val="20"/>
          <w:szCs w:val="20"/>
          <w:highlight w:val="yellow"/>
        </w:rPr>
      </w:pPr>
    </w:p>
    <w:p w14:paraId="5659D13A" w14:textId="77777777" w:rsidR="003C1F3C" w:rsidRPr="003C1F3C" w:rsidRDefault="003C1F3C" w:rsidP="003C1F3C">
      <w:pPr>
        <w:spacing w:after="180" w:line="240" w:lineRule="auto"/>
        <w:jc w:val="both"/>
        <w:rPr>
          <w:rFonts w:ascii="Arial" w:hAnsi="Arial" w:cs="Arial"/>
          <w:sz w:val="20"/>
          <w:szCs w:val="20"/>
        </w:rPr>
      </w:pPr>
      <w:r w:rsidRPr="003C1F3C">
        <w:rPr>
          <w:rFonts w:ascii="Arial" w:hAnsi="Arial" w:cs="Arial"/>
          <w:sz w:val="20"/>
          <w:szCs w:val="20"/>
        </w:rPr>
        <w:t xml:space="preserve">The half-yearly financial report is the responsibility of, and has been approved by, the directors.  The directors are responsible for preparing the half-yearly financial report in accordance with the DTR of the UK FCA.  </w:t>
      </w:r>
    </w:p>
    <w:p w14:paraId="4EBC86E5" w14:textId="77777777" w:rsidR="003E20F1" w:rsidRPr="003C1F3C" w:rsidRDefault="003E20F1" w:rsidP="003C1F3C">
      <w:pPr>
        <w:spacing w:after="180" w:line="240" w:lineRule="auto"/>
        <w:jc w:val="both"/>
        <w:rPr>
          <w:rFonts w:ascii="Arial" w:hAnsi="Arial" w:cs="Arial"/>
          <w:i/>
          <w:sz w:val="20"/>
          <w:szCs w:val="20"/>
        </w:rPr>
      </w:pPr>
      <w:bookmarkStart w:id="25" w:name="_Hlk62748980"/>
      <w:r w:rsidRPr="003C1F3C">
        <w:rPr>
          <w:rFonts w:ascii="Arial" w:hAnsi="Arial" w:cs="Arial"/>
          <w:sz w:val="20"/>
          <w:szCs w:val="20"/>
        </w:rPr>
        <w:t>The annual financial statements of the Group are prepared in accordance with UK-adopted international accounting standards.</w:t>
      </w:r>
      <w:r w:rsidR="003C1F3C" w:rsidRPr="003C1F3C">
        <w:rPr>
          <w:rFonts w:ascii="Arial" w:hAnsi="Arial" w:cs="Arial"/>
          <w:i/>
          <w:sz w:val="20"/>
          <w:szCs w:val="20"/>
        </w:rPr>
        <w:t xml:space="preserve">  </w:t>
      </w:r>
      <w:bookmarkEnd w:id="25"/>
    </w:p>
    <w:p w14:paraId="318FDD74" w14:textId="77777777" w:rsidR="003E20F1" w:rsidRPr="003C1F3C" w:rsidRDefault="00294FD1" w:rsidP="003C1F3C">
      <w:pPr>
        <w:spacing w:after="180" w:line="240" w:lineRule="auto"/>
        <w:jc w:val="both"/>
        <w:rPr>
          <w:rFonts w:ascii="Arial" w:hAnsi="Arial" w:cs="Arial"/>
          <w:i/>
          <w:sz w:val="20"/>
          <w:szCs w:val="20"/>
        </w:rPr>
      </w:pPr>
      <w:r w:rsidRPr="003C1F3C">
        <w:rPr>
          <w:rFonts w:ascii="Arial" w:hAnsi="Arial" w:cs="Arial"/>
          <w:sz w:val="20"/>
          <w:szCs w:val="20"/>
        </w:rPr>
        <w:t>The directors are responsible for preparing the condensed set of financial statements included in the half-yearly financial report in accordance with IAS 34</w:t>
      </w:r>
      <w:r w:rsidRPr="003C1F3C">
        <w:rPr>
          <w:rFonts w:ascii="Arial" w:hAnsi="Arial" w:cs="Arial"/>
          <w:i/>
          <w:sz w:val="20"/>
          <w:szCs w:val="20"/>
        </w:rPr>
        <w:t xml:space="preserve"> </w:t>
      </w:r>
      <w:r w:rsidRPr="003C1F3C">
        <w:rPr>
          <w:rFonts w:ascii="Arial" w:hAnsi="Arial" w:cs="Arial"/>
          <w:sz w:val="20"/>
          <w:szCs w:val="20"/>
        </w:rPr>
        <w:t>as adopted for use in the UK</w:t>
      </w:r>
      <w:r w:rsidRPr="003C1F3C">
        <w:rPr>
          <w:rFonts w:ascii="Arial" w:hAnsi="Arial" w:cs="Arial"/>
          <w:i/>
          <w:sz w:val="20"/>
          <w:szCs w:val="20"/>
        </w:rPr>
        <w:t>.</w:t>
      </w:r>
    </w:p>
    <w:p w14:paraId="772F71F2" w14:textId="77777777" w:rsidR="00294FD1" w:rsidRPr="003C1F3C" w:rsidRDefault="00294FD1" w:rsidP="003C1F3C">
      <w:pPr>
        <w:spacing w:line="240" w:lineRule="auto"/>
        <w:jc w:val="both"/>
        <w:rPr>
          <w:rFonts w:ascii="Arial" w:hAnsi="Arial" w:cs="Arial"/>
          <w:sz w:val="20"/>
          <w:szCs w:val="20"/>
        </w:rPr>
      </w:pPr>
      <w:r w:rsidRPr="003C1F3C">
        <w:rPr>
          <w:rFonts w:ascii="Arial" w:hAnsi="Arial" w:cs="Arial"/>
          <w:sz w:val="20"/>
          <w:szCs w:val="20"/>
        </w:rPr>
        <w:t>In preparing the condensed set of financial statements, the directors are responsible for assessing the Group’s ability to continue as a going concern, disclosing, as applicable, matters related to going concern and using the going concern basis of accounting unless the directors either intend to liquidate the Group or to cease operations, or have no realistic alternative but to do so.</w:t>
      </w:r>
    </w:p>
    <w:p w14:paraId="2FC81FC8" w14:textId="77777777" w:rsidR="003E20F1" w:rsidRPr="00856EF9" w:rsidRDefault="003E20F1" w:rsidP="003E20F1">
      <w:pPr>
        <w:spacing w:after="0"/>
        <w:jc w:val="both"/>
        <w:rPr>
          <w:rFonts w:ascii="Arial" w:hAnsi="Arial" w:cs="Arial"/>
          <w:sz w:val="20"/>
          <w:szCs w:val="20"/>
          <w:highlight w:val="yellow"/>
        </w:rPr>
      </w:pPr>
    </w:p>
    <w:p w14:paraId="2B77FEDE" w14:textId="77777777" w:rsidR="003E20F1" w:rsidRPr="008C1091" w:rsidRDefault="00294FD1" w:rsidP="003E20F1">
      <w:pPr>
        <w:spacing w:after="0"/>
        <w:jc w:val="both"/>
        <w:rPr>
          <w:rFonts w:ascii="Arial" w:hAnsi="Arial" w:cs="Arial"/>
          <w:b/>
          <w:sz w:val="20"/>
          <w:szCs w:val="20"/>
        </w:rPr>
      </w:pPr>
      <w:r w:rsidRPr="008C1091">
        <w:rPr>
          <w:rFonts w:ascii="Arial" w:hAnsi="Arial" w:cs="Arial"/>
          <w:b/>
          <w:sz w:val="20"/>
          <w:szCs w:val="20"/>
        </w:rPr>
        <w:t>Our responsibility</w:t>
      </w:r>
    </w:p>
    <w:p w14:paraId="357961DE" w14:textId="77777777" w:rsidR="00294FD1" w:rsidRPr="00856EF9" w:rsidRDefault="00294FD1" w:rsidP="008264BE">
      <w:pPr>
        <w:spacing w:after="0" w:line="240" w:lineRule="auto"/>
        <w:jc w:val="both"/>
        <w:rPr>
          <w:rFonts w:ascii="Arial" w:hAnsi="Arial" w:cs="Arial"/>
          <w:sz w:val="20"/>
          <w:szCs w:val="20"/>
          <w:highlight w:val="yellow"/>
        </w:rPr>
      </w:pPr>
    </w:p>
    <w:p w14:paraId="4AE63D9C" w14:textId="77777777" w:rsidR="00F91F5A" w:rsidRPr="008C1091" w:rsidRDefault="00F91F5A" w:rsidP="00791EA4">
      <w:pPr>
        <w:spacing w:after="180" w:line="240" w:lineRule="auto"/>
        <w:jc w:val="both"/>
        <w:rPr>
          <w:rFonts w:ascii="Arial" w:hAnsi="Arial" w:cs="Arial"/>
          <w:i/>
          <w:iCs/>
          <w:sz w:val="20"/>
          <w:szCs w:val="20"/>
        </w:rPr>
      </w:pPr>
      <w:r w:rsidRPr="008C1091">
        <w:rPr>
          <w:rFonts w:ascii="Arial" w:hAnsi="Arial" w:cs="Arial"/>
          <w:sz w:val="20"/>
          <w:szCs w:val="20"/>
        </w:rPr>
        <w:t xml:space="preserve">Our responsibility is to express to the Company a conclusion on the condensed set of financial statements in the half-yearly financial report based on our review.  Our conclusion, including our conclusions relating to going concern, are based on procedures that are less extensive than audit procedures, as described in the Basis for conclusion section of this report. </w:t>
      </w:r>
    </w:p>
    <w:p w14:paraId="73A5E2F1" w14:textId="77777777" w:rsidR="003E20F1" w:rsidRPr="00651D05" w:rsidRDefault="00294FD1" w:rsidP="003E20F1">
      <w:pPr>
        <w:spacing w:after="0"/>
        <w:jc w:val="both"/>
        <w:rPr>
          <w:rFonts w:ascii="Arial" w:hAnsi="Arial" w:cs="Arial"/>
          <w:b/>
          <w:sz w:val="20"/>
          <w:szCs w:val="20"/>
        </w:rPr>
      </w:pPr>
      <w:r w:rsidRPr="00651D05">
        <w:rPr>
          <w:rFonts w:ascii="Arial" w:hAnsi="Arial" w:cs="Arial"/>
          <w:b/>
          <w:sz w:val="20"/>
          <w:szCs w:val="20"/>
        </w:rPr>
        <w:t>The purpose of our review work and to whom we owe our responsibilities</w:t>
      </w:r>
      <w:r w:rsidR="003E20F1" w:rsidRPr="00651D05">
        <w:rPr>
          <w:rFonts w:ascii="Arial" w:hAnsi="Arial" w:cs="Arial"/>
          <w:b/>
          <w:sz w:val="20"/>
          <w:szCs w:val="20"/>
        </w:rPr>
        <w:t>.</w:t>
      </w:r>
    </w:p>
    <w:p w14:paraId="3E0031D6" w14:textId="77777777" w:rsidR="00294FD1" w:rsidRPr="00856EF9" w:rsidRDefault="00294FD1" w:rsidP="008264BE">
      <w:pPr>
        <w:spacing w:after="0" w:line="240" w:lineRule="auto"/>
        <w:jc w:val="both"/>
        <w:rPr>
          <w:rFonts w:ascii="Arial" w:hAnsi="Arial" w:cs="Arial"/>
          <w:sz w:val="20"/>
          <w:szCs w:val="20"/>
          <w:highlight w:val="yellow"/>
        </w:rPr>
      </w:pPr>
    </w:p>
    <w:p w14:paraId="08EAC1B9" w14:textId="77777777" w:rsidR="0080488B" w:rsidRPr="0080488B" w:rsidRDefault="0080488B" w:rsidP="0080488B">
      <w:pPr>
        <w:spacing w:line="240" w:lineRule="auto"/>
        <w:jc w:val="both"/>
        <w:rPr>
          <w:rFonts w:ascii="Arial" w:hAnsi="Arial" w:cs="Arial"/>
          <w:sz w:val="20"/>
          <w:szCs w:val="20"/>
        </w:rPr>
      </w:pPr>
      <w:r w:rsidRPr="0080488B">
        <w:rPr>
          <w:rFonts w:ascii="Arial" w:hAnsi="Arial" w:cs="Arial"/>
          <w:sz w:val="20"/>
          <w:szCs w:val="20"/>
        </w:rPr>
        <w:t xml:space="preserve">This report is made solely to the Company in accordance with the terms of our engagement to assist the Company in meeting the requirements of the DTR of the UK FCA.  Our review has been undertaken so that we might state to the Company those matters we are required to state to it in this report and for no other purpose.  To the fullest extent permitted by law, we do not accept or assume responsibility to anyone other than the Company for our review work, for this report, or for the conclusions we have reached.  </w:t>
      </w:r>
    </w:p>
    <w:p w14:paraId="6EEAEB8E" w14:textId="77777777" w:rsidR="003E20F1" w:rsidRPr="00651D05" w:rsidRDefault="003E20F1" w:rsidP="00294FD1">
      <w:pPr>
        <w:spacing w:after="0"/>
        <w:jc w:val="both"/>
        <w:rPr>
          <w:rFonts w:ascii="Arial" w:hAnsi="Arial" w:cs="Arial"/>
          <w:sz w:val="20"/>
          <w:szCs w:val="20"/>
        </w:rPr>
      </w:pPr>
    </w:p>
    <w:p w14:paraId="30D264C7" w14:textId="14DACB95" w:rsidR="00294FD1" w:rsidRPr="00651D05" w:rsidRDefault="00294FD1" w:rsidP="00294FD1">
      <w:pPr>
        <w:spacing w:after="0"/>
        <w:jc w:val="both"/>
        <w:rPr>
          <w:rFonts w:ascii="Arial" w:hAnsi="Arial" w:cs="Arial"/>
          <w:b/>
          <w:sz w:val="20"/>
          <w:szCs w:val="20"/>
        </w:rPr>
      </w:pPr>
      <w:r w:rsidRPr="00651D05">
        <w:rPr>
          <w:rFonts w:ascii="Arial" w:hAnsi="Arial" w:cs="Arial"/>
          <w:b/>
          <w:sz w:val="20"/>
          <w:szCs w:val="20"/>
        </w:rPr>
        <w:t>Jatin Patel</w:t>
      </w:r>
    </w:p>
    <w:p w14:paraId="1270FAF7" w14:textId="77777777" w:rsidR="00294FD1" w:rsidRPr="00651D05" w:rsidRDefault="00294FD1" w:rsidP="00294FD1">
      <w:pPr>
        <w:spacing w:after="0"/>
        <w:jc w:val="both"/>
        <w:rPr>
          <w:rFonts w:ascii="Arial" w:hAnsi="Arial" w:cs="Arial"/>
          <w:sz w:val="20"/>
          <w:szCs w:val="20"/>
        </w:rPr>
      </w:pPr>
      <w:r w:rsidRPr="00651D05">
        <w:rPr>
          <w:rFonts w:ascii="Arial" w:hAnsi="Arial" w:cs="Arial"/>
          <w:b/>
          <w:sz w:val="20"/>
          <w:szCs w:val="20"/>
        </w:rPr>
        <w:t xml:space="preserve">for and on behalf of KPMG LLP  </w:t>
      </w:r>
    </w:p>
    <w:p w14:paraId="580C91E9" w14:textId="77777777" w:rsidR="00165202" w:rsidRPr="00651D05" w:rsidRDefault="00294FD1" w:rsidP="00294FD1">
      <w:pPr>
        <w:spacing w:after="0" w:line="240" w:lineRule="auto"/>
        <w:jc w:val="both"/>
        <w:rPr>
          <w:rFonts w:ascii="Arial" w:hAnsi="Arial" w:cs="Arial"/>
          <w:sz w:val="20"/>
          <w:szCs w:val="20"/>
        </w:rPr>
      </w:pPr>
      <w:r w:rsidRPr="00651D05">
        <w:rPr>
          <w:rFonts w:ascii="Arial" w:hAnsi="Arial" w:cs="Arial"/>
          <w:i/>
          <w:sz w:val="20"/>
          <w:szCs w:val="20"/>
        </w:rPr>
        <w:t>Chartered Accountants</w:t>
      </w:r>
      <w:r w:rsidRPr="00651D05">
        <w:rPr>
          <w:rFonts w:ascii="Arial" w:hAnsi="Arial" w:cs="Arial"/>
          <w:sz w:val="20"/>
          <w:szCs w:val="20"/>
        </w:rPr>
        <w:t xml:space="preserve"> </w:t>
      </w:r>
    </w:p>
    <w:p w14:paraId="135892F3" w14:textId="09673944" w:rsidR="00294FD1" w:rsidRPr="00651D05" w:rsidRDefault="00294FD1" w:rsidP="00294FD1">
      <w:pPr>
        <w:spacing w:after="0" w:line="240" w:lineRule="auto"/>
        <w:jc w:val="both"/>
        <w:rPr>
          <w:rFonts w:ascii="Arial" w:hAnsi="Arial" w:cs="Arial"/>
          <w:sz w:val="20"/>
          <w:szCs w:val="20"/>
        </w:rPr>
      </w:pPr>
      <w:r w:rsidRPr="00651D05">
        <w:rPr>
          <w:rFonts w:ascii="Arial" w:hAnsi="Arial" w:cs="Arial"/>
          <w:sz w:val="20"/>
          <w:szCs w:val="20"/>
        </w:rPr>
        <w:t xml:space="preserve"> </w:t>
      </w:r>
    </w:p>
    <w:p w14:paraId="480A371D" w14:textId="77777777" w:rsidR="00294FD1" w:rsidRPr="00651D05" w:rsidRDefault="00294FD1" w:rsidP="00294FD1">
      <w:pPr>
        <w:spacing w:after="0" w:line="240" w:lineRule="auto"/>
        <w:jc w:val="both"/>
        <w:rPr>
          <w:rFonts w:ascii="Arial" w:hAnsi="Arial" w:cs="Arial"/>
          <w:sz w:val="20"/>
          <w:szCs w:val="20"/>
        </w:rPr>
      </w:pPr>
      <w:r w:rsidRPr="00651D05">
        <w:rPr>
          <w:rFonts w:ascii="Arial" w:hAnsi="Arial" w:cs="Arial"/>
          <w:sz w:val="20"/>
          <w:szCs w:val="20"/>
        </w:rPr>
        <w:t xml:space="preserve">15 Canada Square </w:t>
      </w:r>
    </w:p>
    <w:p w14:paraId="4AF12E46" w14:textId="77777777" w:rsidR="00294FD1" w:rsidRPr="00651D05" w:rsidRDefault="00294FD1" w:rsidP="00294FD1">
      <w:pPr>
        <w:spacing w:after="0" w:line="240" w:lineRule="auto"/>
        <w:jc w:val="both"/>
        <w:rPr>
          <w:rFonts w:ascii="Arial" w:hAnsi="Arial" w:cs="Arial"/>
          <w:sz w:val="20"/>
          <w:szCs w:val="20"/>
        </w:rPr>
      </w:pPr>
      <w:r w:rsidRPr="00651D05">
        <w:rPr>
          <w:rFonts w:ascii="Arial" w:hAnsi="Arial" w:cs="Arial"/>
          <w:sz w:val="20"/>
          <w:szCs w:val="20"/>
        </w:rPr>
        <w:t>London</w:t>
      </w:r>
    </w:p>
    <w:p w14:paraId="21890BFF" w14:textId="77777777" w:rsidR="00294FD1" w:rsidRPr="00651D05" w:rsidRDefault="00294FD1" w:rsidP="00294FD1">
      <w:pPr>
        <w:spacing w:after="0" w:line="240" w:lineRule="auto"/>
        <w:jc w:val="both"/>
        <w:rPr>
          <w:rFonts w:ascii="Arial" w:hAnsi="Arial" w:cs="Arial"/>
          <w:sz w:val="20"/>
          <w:szCs w:val="20"/>
        </w:rPr>
      </w:pPr>
      <w:r w:rsidRPr="00651D05">
        <w:rPr>
          <w:rFonts w:ascii="Arial" w:hAnsi="Arial" w:cs="Arial"/>
          <w:sz w:val="20"/>
          <w:szCs w:val="20"/>
        </w:rPr>
        <w:t>E14 5GL</w:t>
      </w:r>
    </w:p>
    <w:p w14:paraId="219E03F0" w14:textId="77777777" w:rsidR="00294FD1" w:rsidRPr="00651D05" w:rsidRDefault="00294FD1" w:rsidP="00294FD1">
      <w:pPr>
        <w:spacing w:after="0" w:line="240" w:lineRule="auto"/>
        <w:jc w:val="both"/>
        <w:rPr>
          <w:rFonts w:ascii="Arial" w:hAnsi="Arial" w:cs="Arial"/>
          <w:color w:val="FF0000"/>
          <w:sz w:val="20"/>
          <w:szCs w:val="20"/>
        </w:rPr>
      </w:pPr>
    </w:p>
    <w:p w14:paraId="4609E0E9" w14:textId="43D3440A" w:rsidR="00294FD1" w:rsidRPr="001E7EFE" w:rsidRDefault="00DB268B" w:rsidP="00294FD1">
      <w:pPr>
        <w:spacing w:after="0" w:line="240" w:lineRule="auto"/>
        <w:jc w:val="both"/>
        <w:rPr>
          <w:rFonts w:ascii="Arial" w:hAnsi="Arial" w:cs="Arial"/>
          <w:color w:val="000000" w:themeColor="text1"/>
          <w:sz w:val="20"/>
          <w:szCs w:val="20"/>
        </w:rPr>
      </w:pPr>
      <w:r w:rsidRPr="00651D05">
        <w:rPr>
          <w:rFonts w:ascii="Arial" w:hAnsi="Arial" w:cs="Arial"/>
          <w:color w:val="000000" w:themeColor="text1"/>
          <w:sz w:val="20"/>
          <w:szCs w:val="20"/>
        </w:rPr>
        <w:t>1</w:t>
      </w:r>
      <w:r w:rsidR="00651D05" w:rsidRPr="00651D05">
        <w:rPr>
          <w:rFonts w:ascii="Arial" w:hAnsi="Arial" w:cs="Arial"/>
          <w:color w:val="000000" w:themeColor="text1"/>
          <w:sz w:val="20"/>
          <w:szCs w:val="20"/>
        </w:rPr>
        <w:t>8</w:t>
      </w:r>
      <w:r w:rsidR="00294FD1" w:rsidRPr="00651D05">
        <w:rPr>
          <w:rFonts w:ascii="Arial" w:hAnsi="Arial" w:cs="Arial"/>
          <w:color w:val="000000" w:themeColor="text1"/>
          <w:sz w:val="20"/>
          <w:szCs w:val="20"/>
        </w:rPr>
        <w:t xml:space="preserve"> July 202</w:t>
      </w:r>
      <w:r w:rsidR="00651D05" w:rsidRPr="00651D05">
        <w:rPr>
          <w:rFonts w:ascii="Arial" w:hAnsi="Arial" w:cs="Arial"/>
          <w:color w:val="000000" w:themeColor="text1"/>
          <w:sz w:val="20"/>
          <w:szCs w:val="20"/>
        </w:rPr>
        <w:t>5</w:t>
      </w:r>
    </w:p>
    <w:p w14:paraId="04061281" w14:textId="77777777" w:rsidR="00294FD1" w:rsidRPr="0009412E" w:rsidRDefault="00294FD1" w:rsidP="00294FD1">
      <w:pPr>
        <w:jc w:val="both"/>
        <w:rPr>
          <w:rFonts w:ascii="Arial" w:eastAsia="Batang" w:hAnsi="Arial" w:cs="Arial"/>
          <w:sz w:val="18"/>
          <w:szCs w:val="18"/>
          <w:lang w:eastAsia="ko-KR"/>
        </w:rPr>
      </w:pPr>
    </w:p>
    <w:p w14:paraId="62BD54C8" w14:textId="77777777" w:rsidR="00F5101B" w:rsidRDefault="00F5101B"/>
    <w:sectPr w:rsidR="00F5101B" w:rsidSect="00803842">
      <w:headerReference w:type="default" r:id="rId14"/>
      <w:footerReference w:type="even" r:id="rId15"/>
      <w:footerReference w:type="default" r:id="rId16"/>
      <w:footerReference w:type="first" r:id="rId17"/>
      <w:pgSz w:w="11907" w:h="16840" w:code="9"/>
      <w:pgMar w:top="1276" w:right="1559" w:bottom="1758" w:left="1276"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37F1" w14:textId="77777777" w:rsidR="009C3EA6" w:rsidRDefault="009C3EA6" w:rsidP="00294FD1">
      <w:pPr>
        <w:spacing w:after="0" w:line="240" w:lineRule="auto"/>
      </w:pPr>
      <w:r>
        <w:separator/>
      </w:r>
    </w:p>
  </w:endnote>
  <w:endnote w:type="continuationSeparator" w:id="0">
    <w:p w14:paraId="37011D90" w14:textId="77777777" w:rsidR="009C3EA6" w:rsidRDefault="009C3EA6" w:rsidP="00294FD1">
      <w:pPr>
        <w:spacing w:after="0" w:line="240" w:lineRule="auto"/>
      </w:pPr>
      <w:r>
        <w:continuationSeparator/>
      </w:r>
    </w:p>
  </w:endnote>
  <w:endnote w:type="continuationNotice" w:id="1">
    <w:p w14:paraId="35F27EB5" w14:textId="77777777" w:rsidR="009C3EA6" w:rsidRDefault="009C3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albaum Heading">
    <w:charset w:val="00"/>
    <w:family w:val="roman"/>
    <w:pitch w:val="variable"/>
    <w:sig w:usb0="8000002F" w:usb1="0000000A" w:usb2="00000000" w:usb3="00000000" w:csb0="00000001"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Univers 45 Light">
    <w:altName w:val="Calibri"/>
    <w:charset w:val="00"/>
    <w:family w:val="auto"/>
    <w:pitch w:val="variable"/>
    <w:sig w:usb0="80000023" w:usb1="00000000" w:usb2="00000000" w:usb3="00000000" w:csb0="00000001" w:csb1="00000000"/>
  </w:font>
  <w:font w:name="KPMG Logos V0.92">
    <w:altName w:val="Calibri"/>
    <w:charset w:val="00"/>
    <w:family w:val="auto"/>
    <w:pitch w:val="variable"/>
    <w:sig w:usb0="00000003" w:usb1="00000000" w:usb2="00000000" w:usb3="00000000" w:csb0="00000001" w:csb1="00000000"/>
  </w:font>
  <w:font w:name="Open Sans Light">
    <w:panose1 w:val="020B03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B6596" w14:textId="49A5ED03" w:rsidR="001861AA" w:rsidRDefault="003C4F46">
    <w:pPr>
      <w:pStyle w:val="Footer"/>
      <w:framePr w:wrap="none" w:vAnchor="text" w:hAnchor="margin" w:xAlign="right" w:y="1"/>
      <w:rPr>
        <w:rStyle w:val="PageNumber"/>
      </w:rPr>
    </w:pPr>
    <w:r>
      <w:rPr>
        <w:noProof/>
        <w14:ligatures w14:val="standardContextual"/>
      </w:rPr>
      <mc:AlternateContent>
        <mc:Choice Requires="wps">
          <w:drawing>
            <wp:anchor distT="0" distB="0" distL="0" distR="0" simplePos="0" relativeHeight="251658241" behindDoc="0" locked="0" layoutInCell="1" allowOverlap="1" wp14:anchorId="7D825571" wp14:editId="00E5E2AA">
              <wp:simplePos x="635" y="635"/>
              <wp:positionH relativeFrom="page">
                <wp:align>center</wp:align>
              </wp:positionH>
              <wp:positionV relativeFrom="page">
                <wp:align>bottom</wp:align>
              </wp:positionV>
              <wp:extent cx="1742440" cy="368935"/>
              <wp:effectExtent l="0" t="0" r="10160" b="0"/>
              <wp:wrapNone/>
              <wp:docPr id="524174214" name="Text Box 2"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2440" cy="368935"/>
                      </a:xfrm>
                      <a:prstGeom prst="rect">
                        <a:avLst/>
                      </a:prstGeom>
                      <a:noFill/>
                      <a:ln>
                        <a:noFill/>
                      </a:ln>
                    </wps:spPr>
                    <wps:txbx>
                      <w:txbxContent>
                        <w:p w14:paraId="14864AF3" w14:textId="7EF5FC61"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25571" id="_x0000_t202" coordsize="21600,21600" o:spt="202" path="m,l,21600r21600,l21600,xe">
              <v:stroke joinstyle="miter"/>
              <v:path gradientshapeok="t" o:connecttype="rect"/>
            </v:shapetype>
            <v:shape id="Text Box 2" o:spid="_x0000_s1026" type="#_x0000_t202" alt="[CLASSIFICATION: CONFIDENTIAL]" style="position:absolute;margin-left:0;margin-top:0;width:137.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" filled="f" stroked="f">
              <v:textbox style="mso-fit-shape-to-text:t" inset="0,0,0,15pt">
                <w:txbxContent>
                  <w:p w14:paraId="14864AF3" w14:textId="7EF5FC61"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v:textbox>
              <w10:wrap anchorx="page" anchory="page"/>
            </v:shape>
          </w:pict>
        </mc:Fallback>
      </mc:AlternateContent>
    </w:r>
    <w:r w:rsidR="001861AA">
      <w:rPr>
        <w:rStyle w:val="PageNumber"/>
      </w:rPr>
      <w:fldChar w:fldCharType="begin"/>
    </w:r>
    <w:r w:rsidR="001861AA">
      <w:rPr>
        <w:rStyle w:val="PageNumber"/>
      </w:rPr>
      <w:instrText xml:space="preserve">PAGE  </w:instrText>
    </w:r>
    <w:r w:rsidR="001861AA">
      <w:rPr>
        <w:rStyle w:val="PageNumber"/>
      </w:rPr>
      <w:fldChar w:fldCharType="end"/>
    </w:r>
  </w:p>
  <w:p w14:paraId="68551810" w14:textId="77777777" w:rsidR="001861AA" w:rsidRDefault="001861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3E647" w14:textId="2EF1A3D7" w:rsidR="001861AA" w:rsidRDefault="003C4F46">
    <w:pPr>
      <w:pStyle w:val="Footer"/>
      <w:jc w:val="right"/>
    </w:pPr>
    <w:r>
      <w:rPr>
        <w:noProof/>
        <w14:ligatures w14:val="standardContextual"/>
      </w:rPr>
      <mc:AlternateContent>
        <mc:Choice Requires="wps">
          <w:drawing>
            <wp:anchor distT="0" distB="0" distL="0" distR="0" simplePos="0" relativeHeight="251658242" behindDoc="0" locked="0" layoutInCell="1" allowOverlap="1" wp14:anchorId="0727355B" wp14:editId="1159A139">
              <wp:simplePos x="814647" y="9917084"/>
              <wp:positionH relativeFrom="page">
                <wp:align>center</wp:align>
              </wp:positionH>
              <wp:positionV relativeFrom="page">
                <wp:align>bottom</wp:align>
              </wp:positionV>
              <wp:extent cx="1742440" cy="368935"/>
              <wp:effectExtent l="0" t="0" r="10160" b="0"/>
              <wp:wrapNone/>
              <wp:docPr id="1057141995" name="Text Box 3"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2440" cy="368935"/>
                      </a:xfrm>
                      <a:prstGeom prst="rect">
                        <a:avLst/>
                      </a:prstGeom>
                      <a:noFill/>
                      <a:ln>
                        <a:noFill/>
                      </a:ln>
                    </wps:spPr>
                    <wps:txbx>
                      <w:txbxContent>
                        <w:p w14:paraId="03F0CB4F" w14:textId="47B43B63"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27355B" id="_x0000_t202" coordsize="21600,21600" o:spt="202" path="m,l,21600r21600,l21600,xe">
              <v:stroke joinstyle="miter"/>
              <v:path gradientshapeok="t" o:connecttype="rect"/>
            </v:shapetype>
            <v:shape id="Text Box 3" o:spid="_x0000_s1027" type="#_x0000_t202" alt="[CLASSIFICATION: CONFIDENTIAL]" style="position:absolute;left:0;text-align:left;margin-left:0;margin-top:0;width:137.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" filled="f" stroked="f">
              <v:textbox style="mso-fit-shape-to-text:t" inset="0,0,0,15pt">
                <w:txbxContent>
                  <w:p w14:paraId="03F0CB4F" w14:textId="47B43B63"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v:textbox>
              <w10:wrap anchorx="page" anchory="page"/>
            </v:shape>
          </w:pict>
        </mc:Fallback>
      </mc:AlternateContent>
    </w:r>
    <w:sdt>
      <w:sdtPr>
        <w:id w:val="-1245802269"/>
        <w:docPartObj>
          <w:docPartGallery w:val="Page Numbers (Bottom of Page)"/>
          <w:docPartUnique/>
        </w:docPartObj>
      </w:sdtPr>
      <w:sdtEndPr>
        <w:rPr>
          <w:noProof/>
        </w:rPr>
      </w:sdtEndPr>
      <w:sdtContent>
        <w:r w:rsidR="001861AA">
          <w:fldChar w:fldCharType="begin"/>
        </w:r>
        <w:r w:rsidR="001861AA">
          <w:instrText xml:space="preserve"> PAGE   \* MERGEFORMAT </w:instrText>
        </w:r>
        <w:r w:rsidR="001861AA">
          <w:fldChar w:fldCharType="separate"/>
        </w:r>
        <w:r w:rsidR="001861AA">
          <w:rPr>
            <w:noProof/>
          </w:rPr>
          <w:t>2</w:t>
        </w:r>
        <w:r w:rsidR="001861AA">
          <w:rPr>
            <w:noProof/>
          </w:rPr>
          <w:fldChar w:fldCharType="end"/>
        </w:r>
      </w:sdtContent>
    </w:sdt>
  </w:p>
  <w:p w14:paraId="659610F3" w14:textId="77777777" w:rsidR="001861AA" w:rsidRPr="007735C2" w:rsidRDefault="001861AA">
    <w:pPr>
      <w:pStyle w:val="Footer"/>
      <w:tabs>
        <w:tab w:val="clear" w:pos="8789"/>
        <w:tab w:val="right" w:pos="8787"/>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A74E" w14:textId="56D1AFA9" w:rsidR="001861AA" w:rsidRDefault="003C4F46">
    <w:pPr>
      <w:pStyle w:val="Footer"/>
    </w:pPr>
    <w:r>
      <w:rPr>
        <w:noProof/>
        <w14:ligatures w14:val="standardContextual"/>
      </w:rPr>
      <mc:AlternateContent>
        <mc:Choice Requires="wps">
          <w:drawing>
            <wp:anchor distT="0" distB="0" distL="0" distR="0" simplePos="0" relativeHeight="251658240" behindDoc="0" locked="0" layoutInCell="1" allowOverlap="1" wp14:anchorId="454CDD75" wp14:editId="09DDC986">
              <wp:simplePos x="635" y="635"/>
              <wp:positionH relativeFrom="page">
                <wp:align>center</wp:align>
              </wp:positionH>
              <wp:positionV relativeFrom="page">
                <wp:align>bottom</wp:align>
              </wp:positionV>
              <wp:extent cx="1742440" cy="368935"/>
              <wp:effectExtent l="0" t="0" r="10160" b="0"/>
              <wp:wrapNone/>
              <wp:docPr id="1338369065" name="Text Box 1" descr="[CLASSIFICATION: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42440" cy="368935"/>
                      </a:xfrm>
                      <a:prstGeom prst="rect">
                        <a:avLst/>
                      </a:prstGeom>
                      <a:noFill/>
                      <a:ln>
                        <a:noFill/>
                      </a:ln>
                    </wps:spPr>
                    <wps:txbx>
                      <w:txbxContent>
                        <w:p w14:paraId="010D1959" w14:textId="6E920BD9"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4CDD75" id="_x0000_t202" coordsize="21600,21600" o:spt="202" path="m,l,21600r21600,l21600,xe">
              <v:stroke joinstyle="miter"/>
              <v:path gradientshapeok="t" o:connecttype="rect"/>
            </v:shapetype>
            <v:shape id="Text Box 1" o:spid="_x0000_s1028" type="#_x0000_t202" alt="[CLASSIFICATION: CONFIDENTIAL]" style="position:absolute;margin-left:0;margin-top:0;width:137.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" filled="f" stroked="f">
              <v:textbox style="mso-fit-shape-to-text:t" inset="0,0,0,15pt">
                <w:txbxContent>
                  <w:p w14:paraId="010D1959" w14:textId="6E920BD9" w:rsidR="003C4F46" w:rsidRPr="003C4F46" w:rsidRDefault="003C4F46" w:rsidP="003C4F46">
                    <w:pPr>
                      <w:spacing w:after="0"/>
                      <w:rPr>
                        <w:rFonts w:ascii="Calibri" w:eastAsia="Calibri" w:hAnsi="Calibri" w:cs="Calibri"/>
                        <w:noProof/>
                        <w:color w:val="000000"/>
                        <w:sz w:val="20"/>
                        <w:szCs w:val="20"/>
                      </w:rPr>
                    </w:pPr>
                    <w:r w:rsidRPr="003C4F46">
                      <w:rPr>
                        <w:rFonts w:ascii="Calibri" w:eastAsia="Calibri" w:hAnsi="Calibri" w:cs="Calibri"/>
                        <w:noProof/>
                        <w:color w:val="000000"/>
                        <w:sz w:val="20"/>
                        <w:szCs w:val="20"/>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7B2C" w14:textId="77777777" w:rsidR="009C3EA6" w:rsidRDefault="009C3EA6" w:rsidP="00294FD1">
      <w:pPr>
        <w:spacing w:after="0" w:line="240" w:lineRule="auto"/>
      </w:pPr>
      <w:r>
        <w:separator/>
      </w:r>
    </w:p>
  </w:footnote>
  <w:footnote w:type="continuationSeparator" w:id="0">
    <w:p w14:paraId="44F52E62" w14:textId="77777777" w:rsidR="009C3EA6" w:rsidRDefault="009C3EA6" w:rsidP="00294FD1">
      <w:pPr>
        <w:spacing w:after="0" w:line="240" w:lineRule="auto"/>
      </w:pPr>
      <w:r>
        <w:continuationSeparator/>
      </w:r>
    </w:p>
  </w:footnote>
  <w:footnote w:type="continuationNotice" w:id="1">
    <w:p w14:paraId="06166AC4" w14:textId="77777777" w:rsidR="009C3EA6" w:rsidRDefault="009C3EA6">
      <w:pPr>
        <w:spacing w:after="0" w:line="240" w:lineRule="auto"/>
      </w:pPr>
    </w:p>
  </w:footnote>
  <w:footnote w:id="2">
    <w:p w14:paraId="6470B486" w14:textId="76D96B95" w:rsidR="00987D59" w:rsidRPr="00F2049D" w:rsidRDefault="00987D59" w:rsidP="00987D59">
      <w:pPr>
        <w:spacing w:after="40" w:line="240" w:lineRule="auto"/>
        <w:rPr>
          <w:rFonts w:ascii="Arial" w:hAnsi="Arial" w:cs="Arial"/>
          <w:sz w:val="16"/>
          <w:szCs w:val="16"/>
        </w:rPr>
      </w:pPr>
      <w:r>
        <w:rPr>
          <w:rStyle w:val="FootnoteReference"/>
        </w:rPr>
        <w:footnoteRef/>
      </w:r>
      <w:r>
        <w:t xml:space="preserve"> </w:t>
      </w:r>
      <w:r>
        <w:rPr>
          <w:rFonts w:ascii="Arial" w:hAnsi="Arial" w:cs="Arial"/>
          <w:sz w:val="16"/>
          <w:szCs w:val="16"/>
        </w:rPr>
        <w:t>Market</w:t>
      </w:r>
      <w:r w:rsidRPr="00F2049D">
        <w:rPr>
          <w:rFonts w:ascii="Arial" w:hAnsi="Arial" w:cs="Arial"/>
          <w:sz w:val="16"/>
          <w:szCs w:val="16"/>
        </w:rPr>
        <w:t xml:space="preserve"> expectations for </w:t>
      </w:r>
      <w:r w:rsidR="00723687">
        <w:rPr>
          <w:rFonts w:ascii="Arial" w:hAnsi="Arial" w:cs="Arial"/>
          <w:sz w:val="16"/>
          <w:szCs w:val="16"/>
        </w:rPr>
        <w:t>A</w:t>
      </w:r>
      <w:r w:rsidRPr="00F2049D">
        <w:rPr>
          <w:rFonts w:ascii="Arial" w:hAnsi="Arial" w:cs="Arial"/>
          <w:sz w:val="16"/>
          <w:szCs w:val="16"/>
        </w:rPr>
        <w:t>djusted EBITDA for 202</w:t>
      </w:r>
      <w:r w:rsidR="00D435BA">
        <w:rPr>
          <w:rFonts w:ascii="Arial" w:hAnsi="Arial" w:cs="Arial"/>
          <w:sz w:val="16"/>
          <w:szCs w:val="16"/>
        </w:rPr>
        <w:t>5</w:t>
      </w:r>
      <w:r w:rsidRPr="00F2049D">
        <w:rPr>
          <w:rFonts w:ascii="Arial" w:hAnsi="Arial" w:cs="Arial"/>
          <w:sz w:val="16"/>
          <w:szCs w:val="16"/>
        </w:rPr>
        <w:t xml:space="preserve"> from the analyst consensus on our investor website is £143.</w:t>
      </w:r>
      <w:r>
        <w:rPr>
          <w:rFonts w:ascii="Arial" w:hAnsi="Arial" w:cs="Arial"/>
          <w:sz w:val="16"/>
          <w:szCs w:val="16"/>
        </w:rPr>
        <w:t>7</w:t>
      </w:r>
      <w:r w:rsidRPr="00F2049D">
        <w:rPr>
          <w:rFonts w:ascii="Arial" w:hAnsi="Arial" w:cs="Arial"/>
          <w:sz w:val="16"/>
          <w:szCs w:val="16"/>
        </w:rPr>
        <w:t>m with a range of £137m to £150m</w:t>
      </w:r>
      <w:r w:rsidR="00A56003">
        <w:rPr>
          <w:rFonts w:ascii="Arial" w:hAnsi="Arial" w:cs="Arial"/>
          <w:sz w:val="16"/>
          <w:szCs w:val="16"/>
        </w:rPr>
        <w:t>.</w:t>
      </w:r>
    </w:p>
    <w:p w14:paraId="0DFAF898" w14:textId="52CA54EA" w:rsidR="00987D59" w:rsidRDefault="00987D59">
      <w:pPr>
        <w:pStyle w:val="FootnoteText"/>
      </w:pPr>
    </w:p>
  </w:footnote>
  <w:footnote w:id="3">
    <w:p w14:paraId="5F27A1F1" w14:textId="2404E26F" w:rsidR="00815100" w:rsidRDefault="00815100">
      <w:pPr>
        <w:pStyle w:val="FootnoteText"/>
      </w:pPr>
      <w:r>
        <w:rPr>
          <w:rStyle w:val="FootnoteReference"/>
        </w:rPr>
        <w:footnoteRef/>
      </w:r>
      <w:r>
        <w:t xml:space="preserve"> </w:t>
      </w:r>
      <w:r w:rsidR="007A7371">
        <w:t xml:space="preserve">Source: YouGov </w:t>
      </w:r>
      <w:proofErr w:type="spellStart"/>
      <w:r w:rsidR="007A7371">
        <w:t>BrandIndex</w:t>
      </w:r>
      <w:proofErr w:type="spellEnd"/>
      <w:r w:rsidR="007A7371">
        <w:t xml:space="preserve"> – June 1 2024 – May 31 2025</w:t>
      </w:r>
      <w:r w:rsidR="00143212">
        <w:t>.</w:t>
      </w:r>
    </w:p>
  </w:footnote>
  <w:footnote w:id="4">
    <w:p w14:paraId="447D1F8F" w14:textId="21835845" w:rsidR="00BC559D" w:rsidRDefault="00BC559D">
      <w:pPr>
        <w:pStyle w:val="FootnoteText"/>
      </w:pPr>
      <w:r>
        <w:rPr>
          <w:rStyle w:val="FootnoteReference"/>
        </w:rPr>
        <w:footnoteRef/>
      </w:r>
      <w:r>
        <w:t xml:space="preserve"> </w:t>
      </w:r>
      <w:r w:rsidR="00862DCD" w:rsidRPr="00872F4D">
        <w:rPr>
          <w:sz w:val="14"/>
          <w:szCs w:val="14"/>
        </w:rPr>
        <w:t xml:space="preserve">Borrowings </w:t>
      </w:r>
      <w:r w:rsidR="00324989" w:rsidRPr="00872F4D">
        <w:rPr>
          <w:sz w:val="14"/>
          <w:szCs w:val="14"/>
        </w:rPr>
        <w:t xml:space="preserve">at 31 December and 30 June 2024 have been reclassified from current liabilities to non-current liabilities </w:t>
      </w:r>
      <w:r w:rsidR="00872F4D" w:rsidRPr="00872F4D">
        <w:rPr>
          <w:sz w:val="14"/>
          <w:szCs w:val="14"/>
        </w:rPr>
        <w:t>(see note 8)</w:t>
      </w:r>
      <w:r w:rsidR="00D35CE6">
        <w:rPr>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6077" w14:textId="244A2831" w:rsidR="00183130" w:rsidRPr="005E7A81" w:rsidRDefault="00183130">
    <w:pPr>
      <w:pStyle w:val="Header"/>
      <w:rPr>
        <w:b/>
        <w:bCs/>
      </w:rPr>
    </w:pPr>
  </w:p>
  <w:p w14:paraId="77023A9A" w14:textId="77777777" w:rsidR="005216AB" w:rsidRDefault="00521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5E9D"/>
    <w:multiLevelType w:val="hybridMultilevel"/>
    <w:tmpl w:val="795AD4E0"/>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Courier New" w:hAnsi="Courier New" w:hint="default"/>
      </w:rPr>
    </w:lvl>
    <w:lvl w:ilvl="2" w:tplc="FFFFFFFF">
      <w:start w:val="1"/>
      <w:numFmt w:val="bullet"/>
      <w:lvlText w:val=""/>
      <w:lvlJc w:val="left"/>
      <w:pPr>
        <w:ind w:left="-360" w:hanging="360"/>
      </w:pPr>
      <w:rPr>
        <w:rFonts w:ascii="Wingdings" w:hAnsi="Wingdings" w:hint="default"/>
      </w:rPr>
    </w:lvl>
    <w:lvl w:ilvl="3" w:tplc="FFFFFFFF">
      <w:start w:val="1"/>
      <w:numFmt w:val="bullet"/>
      <w:lvlText w:val=""/>
      <w:lvlJc w:val="left"/>
      <w:pPr>
        <w:ind w:left="360" w:hanging="360"/>
      </w:pPr>
      <w:rPr>
        <w:rFonts w:ascii="Symbol" w:hAnsi="Symbol" w:hint="default"/>
      </w:rPr>
    </w:lvl>
    <w:lvl w:ilvl="4" w:tplc="FFFFFFFF">
      <w:start w:val="1"/>
      <w:numFmt w:val="bullet"/>
      <w:lvlText w:val="o"/>
      <w:lvlJc w:val="left"/>
      <w:pPr>
        <w:ind w:left="1080" w:hanging="360"/>
      </w:pPr>
      <w:rPr>
        <w:rFonts w:ascii="Courier New" w:hAnsi="Courier New" w:cs="Courier New" w:hint="default"/>
      </w:rPr>
    </w:lvl>
    <w:lvl w:ilvl="5" w:tplc="FFFFFFFF" w:tentative="1">
      <w:start w:val="1"/>
      <w:numFmt w:val="bullet"/>
      <w:lvlText w:val=""/>
      <w:lvlJc w:val="left"/>
      <w:pPr>
        <w:ind w:left="1800" w:hanging="360"/>
      </w:pPr>
      <w:rPr>
        <w:rFonts w:ascii="Wingdings" w:hAnsi="Wingdings" w:hint="default"/>
      </w:rPr>
    </w:lvl>
    <w:lvl w:ilvl="6" w:tplc="FFFFFFFF" w:tentative="1">
      <w:start w:val="1"/>
      <w:numFmt w:val="bullet"/>
      <w:lvlText w:val=""/>
      <w:lvlJc w:val="left"/>
      <w:pPr>
        <w:ind w:left="2520" w:hanging="360"/>
      </w:pPr>
      <w:rPr>
        <w:rFonts w:ascii="Symbol" w:hAnsi="Symbol" w:hint="default"/>
      </w:rPr>
    </w:lvl>
    <w:lvl w:ilvl="7" w:tplc="FFFFFFFF" w:tentative="1">
      <w:start w:val="1"/>
      <w:numFmt w:val="bullet"/>
      <w:lvlText w:val="o"/>
      <w:lvlJc w:val="left"/>
      <w:pPr>
        <w:ind w:left="3240" w:hanging="360"/>
      </w:pPr>
      <w:rPr>
        <w:rFonts w:ascii="Courier New" w:hAnsi="Courier New" w:cs="Courier New" w:hint="default"/>
      </w:rPr>
    </w:lvl>
    <w:lvl w:ilvl="8" w:tplc="FFFFFFFF" w:tentative="1">
      <w:start w:val="1"/>
      <w:numFmt w:val="bullet"/>
      <w:lvlText w:val=""/>
      <w:lvlJc w:val="left"/>
      <w:pPr>
        <w:ind w:left="3960" w:hanging="360"/>
      </w:pPr>
      <w:rPr>
        <w:rFonts w:ascii="Wingdings" w:hAnsi="Wingdings" w:hint="default"/>
      </w:rPr>
    </w:lvl>
  </w:abstractNum>
  <w:abstractNum w:abstractNumId="1" w15:restartNumberingAfterBreak="0">
    <w:nsid w:val="04FF48BD"/>
    <w:multiLevelType w:val="hybridMultilevel"/>
    <w:tmpl w:val="82CA03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D42A79"/>
    <w:multiLevelType w:val="hybridMultilevel"/>
    <w:tmpl w:val="3500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B39CC"/>
    <w:multiLevelType w:val="hybridMultilevel"/>
    <w:tmpl w:val="2FE25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C75CA"/>
    <w:multiLevelType w:val="multilevel"/>
    <w:tmpl w:val="2498618C"/>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5" w15:restartNumberingAfterBreak="0">
    <w:nsid w:val="0EED3E9C"/>
    <w:multiLevelType w:val="hybridMultilevel"/>
    <w:tmpl w:val="728025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47760"/>
    <w:multiLevelType w:val="hybridMultilevel"/>
    <w:tmpl w:val="E140FD70"/>
    <w:lvl w:ilvl="0" w:tplc="5936E9A6">
      <w:start w:val="1"/>
      <w:numFmt w:val="decimal"/>
      <w:lvlText w:val="%1."/>
      <w:lvlJc w:val="left"/>
      <w:pPr>
        <w:tabs>
          <w:tab w:val="num" w:pos="360"/>
        </w:tabs>
        <w:ind w:left="360" w:hanging="360"/>
      </w:pPr>
      <w:rPr>
        <w:rFonts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D43A12"/>
    <w:multiLevelType w:val="hybridMultilevel"/>
    <w:tmpl w:val="0C3E2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221FC"/>
    <w:multiLevelType w:val="hybridMultilevel"/>
    <w:tmpl w:val="E0C6B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CFA5132"/>
    <w:multiLevelType w:val="hybridMultilevel"/>
    <w:tmpl w:val="C51A23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694FD2"/>
    <w:multiLevelType w:val="hybridMultilevel"/>
    <w:tmpl w:val="2B88567C"/>
    <w:lvl w:ilvl="0" w:tplc="5D6C5362">
      <w:start w:val="1"/>
      <w:numFmt w:val="bullet"/>
      <w:pStyle w:val="LBulletIMS"/>
      <w:lvlText w:val=""/>
      <w:lvlJc w:val="left"/>
      <w:pPr>
        <w:tabs>
          <w:tab w:val="num" w:pos="878"/>
        </w:tabs>
        <w:ind w:left="0" w:firstLine="51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692E06"/>
    <w:multiLevelType w:val="hybridMultilevel"/>
    <w:tmpl w:val="B72CB8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3E0186"/>
    <w:multiLevelType w:val="hybridMultilevel"/>
    <w:tmpl w:val="B326398C"/>
    <w:lvl w:ilvl="0" w:tplc="C8BC6F3C">
      <w:numFmt w:val="bullet"/>
      <w:lvlText w:val="-"/>
      <w:lvlJc w:val="left"/>
      <w:pPr>
        <w:ind w:left="2880" w:hanging="360"/>
      </w:pPr>
      <w:rPr>
        <w:rFonts w:ascii="Calibri" w:eastAsia="Calibri" w:hAnsi="Calibri" w:cs="Calibri" w:hint="default"/>
      </w:rPr>
    </w:lvl>
    <w:lvl w:ilvl="1" w:tplc="C5468026">
      <w:start w:val="1"/>
      <w:numFmt w:val="bullet"/>
      <w:lvlText w:val="-"/>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F86EC4"/>
    <w:multiLevelType w:val="hybridMultilevel"/>
    <w:tmpl w:val="2DAA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12059"/>
    <w:multiLevelType w:val="multilevel"/>
    <w:tmpl w:val="825440C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5" w15:restartNumberingAfterBreak="0">
    <w:nsid w:val="2FE21CD8"/>
    <w:multiLevelType w:val="hybridMultilevel"/>
    <w:tmpl w:val="812E6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0266C4E"/>
    <w:multiLevelType w:val="multilevel"/>
    <w:tmpl w:val="94D679B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7" w15:restartNumberingAfterBreak="0">
    <w:nsid w:val="326A560E"/>
    <w:multiLevelType w:val="hybridMultilevel"/>
    <w:tmpl w:val="54E2D6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773EBC"/>
    <w:multiLevelType w:val="hybridMultilevel"/>
    <w:tmpl w:val="EEDC027A"/>
    <w:lvl w:ilvl="0" w:tplc="D16A5A0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D20E97"/>
    <w:multiLevelType w:val="hybridMultilevel"/>
    <w:tmpl w:val="BF2A4420"/>
    <w:lvl w:ilvl="0" w:tplc="158A9EB2">
      <w:start w:val="1"/>
      <w:numFmt w:val="bullet"/>
      <w:lvlText w:val=""/>
      <w:lvlJc w:val="left"/>
      <w:pPr>
        <w:ind w:left="720" w:hanging="360"/>
      </w:pPr>
      <w:rPr>
        <w:rFonts w:ascii="Symbol" w:hAnsi="Symbol"/>
      </w:rPr>
    </w:lvl>
    <w:lvl w:ilvl="1" w:tplc="7D328032">
      <w:start w:val="1"/>
      <w:numFmt w:val="bullet"/>
      <w:lvlText w:val=""/>
      <w:lvlJc w:val="left"/>
      <w:pPr>
        <w:ind w:left="720" w:hanging="360"/>
      </w:pPr>
      <w:rPr>
        <w:rFonts w:ascii="Symbol" w:hAnsi="Symbol"/>
      </w:rPr>
    </w:lvl>
    <w:lvl w:ilvl="2" w:tplc="92D691A6">
      <w:start w:val="1"/>
      <w:numFmt w:val="bullet"/>
      <w:lvlText w:val=""/>
      <w:lvlJc w:val="left"/>
      <w:pPr>
        <w:ind w:left="720" w:hanging="360"/>
      </w:pPr>
      <w:rPr>
        <w:rFonts w:ascii="Symbol" w:hAnsi="Symbol"/>
      </w:rPr>
    </w:lvl>
    <w:lvl w:ilvl="3" w:tplc="FD4274D2">
      <w:start w:val="1"/>
      <w:numFmt w:val="bullet"/>
      <w:lvlText w:val=""/>
      <w:lvlJc w:val="left"/>
      <w:pPr>
        <w:ind w:left="720" w:hanging="360"/>
      </w:pPr>
      <w:rPr>
        <w:rFonts w:ascii="Symbol" w:hAnsi="Symbol"/>
      </w:rPr>
    </w:lvl>
    <w:lvl w:ilvl="4" w:tplc="FD42506E">
      <w:start w:val="1"/>
      <w:numFmt w:val="bullet"/>
      <w:lvlText w:val=""/>
      <w:lvlJc w:val="left"/>
      <w:pPr>
        <w:ind w:left="720" w:hanging="360"/>
      </w:pPr>
      <w:rPr>
        <w:rFonts w:ascii="Symbol" w:hAnsi="Symbol"/>
      </w:rPr>
    </w:lvl>
    <w:lvl w:ilvl="5" w:tplc="DBDE82D2">
      <w:start w:val="1"/>
      <w:numFmt w:val="bullet"/>
      <w:lvlText w:val=""/>
      <w:lvlJc w:val="left"/>
      <w:pPr>
        <w:ind w:left="720" w:hanging="360"/>
      </w:pPr>
      <w:rPr>
        <w:rFonts w:ascii="Symbol" w:hAnsi="Symbol"/>
      </w:rPr>
    </w:lvl>
    <w:lvl w:ilvl="6" w:tplc="55D89DFA">
      <w:start w:val="1"/>
      <w:numFmt w:val="bullet"/>
      <w:lvlText w:val=""/>
      <w:lvlJc w:val="left"/>
      <w:pPr>
        <w:ind w:left="720" w:hanging="360"/>
      </w:pPr>
      <w:rPr>
        <w:rFonts w:ascii="Symbol" w:hAnsi="Symbol"/>
      </w:rPr>
    </w:lvl>
    <w:lvl w:ilvl="7" w:tplc="29B8EA2C">
      <w:start w:val="1"/>
      <w:numFmt w:val="bullet"/>
      <w:lvlText w:val=""/>
      <w:lvlJc w:val="left"/>
      <w:pPr>
        <w:ind w:left="720" w:hanging="360"/>
      </w:pPr>
      <w:rPr>
        <w:rFonts w:ascii="Symbol" w:hAnsi="Symbol"/>
      </w:rPr>
    </w:lvl>
    <w:lvl w:ilvl="8" w:tplc="343A1ABE">
      <w:start w:val="1"/>
      <w:numFmt w:val="bullet"/>
      <w:lvlText w:val=""/>
      <w:lvlJc w:val="left"/>
      <w:pPr>
        <w:ind w:left="720" w:hanging="360"/>
      </w:pPr>
      <w:rPr>
        <w:rFonts w:ascii="Symbol" w:hAnsi="Symbol"/>
      </w:rPr>
    </w:lvl>
  </w:abstractNum>
  <w:abstractNum w:abstractNumId="20" w15:restartNumberingAfterBreak="0">
    <w:nsid w:val="39146110"/>
    <w:multiLevelType w:val="hybridMultilevel"/>
    <w:tmpl w:val="E1DC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9C7B48"/>
    <w:multiLevelType w:val="hybridMultilevel"/>
    <w:tmpl w:val="539866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6D2A60"/>
    <w:multiLevelType w:val="hybridMultilevel"/>
    <w:tmpl w:val="C2864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8C4B46"/>
    <w:multiLevelType w:val="hybridMultilevel"/>
    <w:tmpl w:val="54CA4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915020"/>
    <w:multiLevelType w:val="hybridMultilevel"/>
    <w:tmpl w:val="3E105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9A4A06"/>
    <w:multiLevelType w:val="hybridMultilevel"/>
    <w:tmpl w:val="08E45A82"/>
    <w:lvl w:ilvl="0" w:tplc="D16A5A08">
      <w:start w:val="1"/>
      <w:numFmt w:val="bullet"/>
      <w:lvlText w:val=""/>
      <w:lvlJc w:val="left"/>
      <w:pPr>
        <w:ind w:left="360" w:hanging="360"/>
      </w:pPr>
      <w:rPr>
        <w:rFonts w:ascii="Symbol" w:hAnsi="Symbol" w:hint="default"/>
        <w:color w:val="auto"/>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DC108C"/>
    <w:multiLevelType w:val="hybridMultilevel"/>
    <w:tmpl w:val="ED848B8A"/>
    <w:lvl w:ilvl="0" w:tplc="B1D6EB7C">
      <w:start w:val="1"/>
      <w:numFmt w:val="bullet"/>
      <w:lvlText w:val=""/>
      <w:lvlJc w:val="left"/>
      <w:pPr>
        <w:ind w:left="1020" w:hanging="360"/>
      </w:pPr>
      <w:rPr>
        <w:rFonts w:ascii="Symbol" w:hAnsi="Symbol"/>
      </w:rPr>
    </w:lvl>
    <w:lvl w:ilvl="1" w:tplc="9774E59C">
      <w:start w:val="1"/>
      <w:numFmt w:val="bullet"/>
      <w:lvlText w:val=""/>
      <w:lvlJc w:val="left"/>
      <w:pPr>
        <w:ind w:left="1020" w:hanging="360"/>
      </w:pPr>
      <w:rPr>
        <w:rFonts w:ascii="Symbol" w:hAnsi="Symbol"/>
      </w:rPr>
    </w:lvl>
    <w:lvl w:ilvl="2" w:tplc="3266D8A0">
      <w:start w:val="1"/>
      <w:numFmt w:val="bullet"/>
      <w:lvlText w:val=""/>
      <w:lvlJc w:val="left"/>
      <w:pPr>
        <w:ind w:left="1020" w:hanging="360"/>
      </w:pPr>
      <w:rPr>
        <w:rFonts w:ascii="Symbol" w:hAnsi="Symbol"/>
      </w:rPr>
    </w:lvl>
    <w:lvl w:ilvl="3" w:tplc="F7B0D1BE">
      <w:start w:val="1"/>
      <w:numFmt w:val="bullet"/>
      <w:lvlText w:val=""/>
      <w:lvlJc w:val="left"/>
      <w:pPr>
        <w:ind w:left="1020" w:hanging="360"/>
      </w:pPr>
      <w:rPr>
        <w:rFonts w:ascii="Symbol" w:hAnsi="Symbol"/>
      </w:rPr>
    </w:lvl>
    <w:lvl w:ilvl="4" w:tplc="FB9C58EE">
      <w:start w:val="1"/>
      <w:numFmt w:val="bullet"/>
      <w:lvlText w:val=""/>
      <w:lvlJc w:val="left"/>
      <w:pPr>
        <w:ind w:left="1020" w:hanging="360"/>
      </w:pPr>
      <w:rPr>
        <w:rFonts w:ascii="Symbol" w:hAnsi="Symbol"/>
      </w:rPr>
    </w:lvl>
    <w:lvl w:ilvl="5" w:tplc="33AEEA76">
      <w:start w:val="1"/>
      <w:numFmt w:val="bullet"/>
      <w:lvlText w:val=""/>
      <w:lvlJc w:val="left"/>
      <w:pPr>
        <w:ind w:left="1020" w:hanging="360"/>
      </w:pPr>
      <w:rPr>
        <w:rFonts w:ascii="Symbol" w:hAnsi="Symbol"/>
      </w:rPr>
    </w:lvl>
    <w:lvl w:ilvl="6" w:tplc="46300A70">
      <w:start w:val="1"/>
      <w:numFmt w:val="bullet"/>
      <w:lvlText w:val=""/>
      <w:lvlJc w:val="left"/>
      <w:pPr>
        <w:ind w:left="1020" w:hanging="360"/>
      </w:pPr>
      <w:rPr>
        <w:rFonts w:ascii="Symbol" w:hAnsi="Symbol"/>
      </w:rPr>
    </w:lvl>
    <w:lvl w:ilvl="7" w:tplc="B35EB1A6">
      <w:start w:val="1"/>
      <w:numFmt w:val="bullet"/>
      <w:lvlText w:val=""/>
      <w:lvlJc w:val="left"/>
      <w:pPr>
        <w:ind w:left="1020" w:hanging="360"/>
      </w:pPr>
      <w:rPr>
        <w:rFonts w:ascii="Symbol" w:hAnsi="Symbol"/>
      </w:rPr>
    </w:lvl>
    <w:lvl w:ilvl="8" w:tplc="D270B53C">
      <w:start w:val="1"/>
      <w:numFmt w:val="bullet"/>
      <w:lvlText w:val=""/>
      <w:lvlJc w:val="left"/>
      <w:pPr>
        <w:ind w:left="1020" w:hanging="360"/>
      </w:pPr>
      <w:rPr>
        <w:rFonts w:ascii="Symbol" w:hAnsi="Symbol"/>
      </w:rPr>
    </w:lvl>
  </w:abstractNum>
  <w:abstractNum w:abstractNumId="27" w15:restartNumberingAfterBreak="0">
    <w:nsid w:val="487279C1"/>
    <w:multiLevelType w:val="hybridMultilevel"/>
    <w:tmpl w:val="71AE8C3C"/>
    <w:lvl w:ilvl="0" w:tplc="683090E0">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67786"/>
    <w:multiLevelType w:val="multilevel"/>
    <w:tmpl w:val="94B69B30"/>
    <w:lvl w:ilvl="0">
      <w:start w:val="1"/>
      <w:numFmt w:val="decimal"/>
      <w:pStyle w:val="ScheduleHeading1"/>
      <w:lvlText w:val="%1."/>
      <w:lvlJc w:val="left"/>
      <w:pPr>
        <w:tabs>
          <w:tab w:val="num" w:pos="709"/>
        </w:tabs>
        <w:ind w:left="709" w:hanging="709"/>
      </w:pPr>
      <w:rPr>
        <w:rFonts w:cs="Times New Roman" w:hint="default"/>
        <w:b/>
        <w:i w:val="0"/>
      </w:rPr>
    </w:lvl>
    <w:lvl w:ilvl="1">
      <w:start w:val="1"/>
      <w:numFmt w:val="decimal"/>
      <w:pStyle w:val="ScheduleHeading2"/>
      <w:lvlText w:val="%1.%2"/>
      <w:lvlJc w:val="left"/>
      <w:pPr>
        <w:tabs>
          <w:tab w:val="num" w:pos="709"/>
        </w:tabs>
        <w:ind w:left="709" w:hanging="709"/>
      </w:pPr>
      <w:rPr>
        <w:rFonts w:cs="Times New Roman" w:hint="default"/>
        <w:b w:val="0"/>
        <w:i w:val="0"/>
      </w:rPr>
    </w:lvl>
    <w:lvl w:ilvl="2">
      <w:start w:val="1"/>
      <w:numFmt w:val="decimal"/>
      <w:pStyle w:val="ScheduleHeading3"/>
      <w:lvlText w:val="%1.%2.%3"/>
      <w:lvlJc w:val="left"/>
      <w:pPr>
        <w:tabs>
          <w:tab w:val="num" w:pos="1559"/>
        </w:tabs>
        <w:ind w:left="1559" w:hanging="850"/>
      </w:pPr>
      <w:rPr>
        <w:rFonts w:cs="Times New Roman" w:hint="default"/>
      </w:rPr>
    </w:lvl>
    <w:lvl w:ilvl="3">
      <w:start w:val="1"/>
      <w:numFmt w:val="upperLetter"/>
      <w:pStyle w:val="ScheduleHeading4"/>
      <w:lvlText w:val="(%4)"/>
      <w:lvlJc w:val="left"/>
      <w:pPr>
        <w:tabs>
          <w:tab w:val="num" w:pos="2268"/>
        </w:tabs>
        <w:ind w:left="2268" w:hanging="709"/>
      </w:pPr>
      <w:rPr>
        <w:rFonts w:cs="Times New Roman" w:hint="default"/>
      </w:rPr>
    </w:lvl>
    <w:lvl w:ilvl="4">
      <w:start w:val="1"/>
      <w:numFmt w:val="decimal"/>
      <w:pStyle w:val="ScheduleHeading5"/>
      <w:lvlText w:val="(%5)"/>
      <w:lvlJc w:val="left"/>
      <w:pPr>
        <w:tabs>
          <w:tab w:val="num" w:pos="2977"/>
        </w:tabs>
        <w:ind w:left="2977" w:hanging="709"/>
      </w:pPr>
      <w:rPr>
        <w:rFonts w:cs="Times New Roman" w:hint="default"/>
      </w:rPr>
    </w:lvl>
    <w:lvl w:ilvl="5">
      <w:start w:val="1"/>
      <w:numFmt w:val="lowerLetter"/>
      <w:pStyle w:val="ScheduleHeading6"/>
      <w:lvlText w:val="(%6)"/>
      <w:lvlJc w:val="left"/>
      <w:pPr>
        <w:tabs>
          <w:tab w:val="num" w:pos="3686"/>
        </w:tabs>
        <w:ind w:left="3686" w:hanging="709"/>
      </w:pPr>
      <w:rPr>
        <w:rFonts w:cs="Times New Roman" w:hint="default"/>
      </w:rPr>
    </w:lvl>
    <w:lvl w:ilvl="6">
      <w:start w:val="1"/>
      <w:numFmt w:val="lowerRoman"/>
      <w:pStyle w:val="ScheduleHeading7"/>
      <w:lvlText w:val="(%7)"/>
      <w:lvlJc w:val="left"/>
      <w:pPr>
        <w:tabs>
          <w:tab w:val="num" w:pos="4394"/>
        </w:tabs>
        <w:ind w:left="4394" w:hanging="70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4DF45FDA"/>
    <w:multiLevelType w:val="hybridMultilevel"/>
    <w:tmpl w:val="8F4A827C"/>
    <w:lvl w:ilvl="0" w:tplc="6B38E506">
      <w:start w:val="1"/>
      <w:numFmt w:val="bullet"/>
      <w:lvlText w:val=""/>
      <w:lvlJc w:val="left"/>
      <w:pPr>
        <w:ind w:left="720" w:hanging="360"/>
      </w:pPr>
      <w:rPr>
        <w:rFonts w:ascii="Symbol" w:hAnsi="Symbol" w:hint="default"/>
      </w:rPr>
    </w:lvl>
    <w:lvl w:ilvl="1" w:tplc="A74CB858">
      <w:start w:val="1"/>
      <w:numFmt w:val="bullet"/>
      <w:lvlText w:val="o"/>
      <w:lvlJc w:val="left"/>
      <w:pPr>
        <w:ind w:left="1440" w:hanging="360"/>
      </w:pPr>
      <w:rPr>
        <w:rFonts w:ascii="Courier New" w:hAnsi="Courier New" w:hint="default"/>
      </w:rPr>
    </w:lvl>
    <w:lvl w:ilvl="2" w:tplc="91FCE198">
      <w:start w:val="1"/>
      <w:numFmt w:val="bullet"/>
      <w:lvlText w:val=""/>
      <w:lvlJc w:val="left"/>
      <w:pPr>
        <w:ind w:left="2160" w:hanging="360"/>
      </w:pPr>
      <w:rPr>
        <w:rFonts w:ascii="Wingdings" w:hAnsi="Wingdings" w:hint="default"/>
      </w:rPr>
    </w:lvl>
    <w:lvl w:ilvl="3" w:tplc="2D185966">
      <w:start w:val="1"/>
      <w:numFmt w:val="bullet"/>
      <w:lvlText w:val=""/>
      <w:lvlJc w:val="left"/>
      <w:pPr>
        <w:ind w:left="2880" w:hanging="360"/>
      </w:pPr>
      <w:rPr>
        <w:rFonts w:ascii="Symbol" w:hAnsi="Symbol" w:hint="default"/>
      </w:rPr>
    </w:lvl>
    <w:lvl w:ilvl="4" w:tplc="0FA44500">
      <w:start w:val="1"/>
      <w:numFmt w:val="bullet"/>
      <w:lvlText w:val="o"/>
      <w:lvlJc w:val="left"/>
      <w:pPr>
        <w:ind w:left="3600" w:hanging="360"/>
      </w:pPr>
      <w:rPr>
        <w:rFonts w:ascii="Courier New" w:hAnsi="Courier New" w:hint="default"/>
      </w:rPr>
    </w:lvl>
    <w:lvl w:ilvl="5" w:tplc="5FD4ADCC">
      <w:start w:val="1"/>
      <w:numFmt w:val="bullet"/>
      <w:lvlText w:val=""/>
      <w:lvlJc w:val="left"/>
      <w:pPr>
        <w:ind w:left="4320" w:hanging="360"/>
      </w:pPr>
      <w:rPr>
        <w:rFonts w:ascii="Wingdings" w:hAnsi="Wingdings" w:hint="default"/>
      </w:rPr>
    </w:lvl>
    <w:lvl w:ilvl="6" w:tplc="F8AA32F6">
      <w:start w:val="1"/>
      <w:numFmt w:val="bullet"/>
      <w:lvlText w:val=""/>
      <w:lvlJc w:val="left"/>
      <w:pPr>
        <w:ind w:left="5040" w:hanging="360"/>
      </w:pPr>
      <w:rPr>
        <w:rFonts w:ascii="Symbol" w:hAnsi="Symbol" w:hint="default"/>
      </w:rPr>
    </w:lvl>
    <w:lvl w:ilvl="7" w:tplc="66A8D24E">
      <w:start w:val="1"/>
      <w:numFmt w:val="bullet"/>
      <w:lvlText w:val="o"/>
      <w:lvlJc w:val="left"/>
      <w:pPr>
        <w:ind w:left="5760" w:hanging="360"/>
      </w:pPr>
      <w:rPr>
        <w:rFonts w:ascii="Courier New" w:hAnsi="Courier New" w:hint="default"/>
      </w:rPr>
    </w:lvl>
    <w:lvl w:ilvl="8" w:tplc="B51EC856">
      <w:start w:val="1"/>
      <w:numFmt w:val="bullet"/>
      <w:lvlText w:val=""/>
      <w:lvlJc w:val="left"/>
      <w:pPr>
        <w:ind w:left="6480" w:hanging="360"/>
      </w:pPr>
      <w:rPr>
        <w:rFonts w:ascii="Wingdings" w:hAnsi="Wingdings" w:hint="default"/>
      </w:rPr>
    </w:lvl>
  </w:abstractNum>
  <w:abstractNum w:abstractNumId="30" w15:restartNumberingAfterBreak="0">
    <w:nsid w:val="4F5408AC"/>
    <w:multiLevelType w:val="hybridMultilevel"/>
    <w:tmpl w:val="C9380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A49DF"/>
    <w:multiLevelType w:val="hybridMultilevel"/>
    <w:tmpl w:val="5F50F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897553"/>
    <w:multiLevelType w:val="hybridMultilevel"/>
    <w:tmpl w:val="79C8678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335D9A"/>
    <w:multiLevelType w:val="hybridMultilevel"/>
    <w:tmpl w:val="5368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9A1FC2"/>
    <w:multiLevelType w:val="hybridMultilevel"/>
    <w:tmpl w:val="2A4E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142BC3"/>
    <w:multiLevelType w:val="hybridMultilevel"/>
    <w:tmpl w:val="3AE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FC5079"/>
    <w:multiLevelType w:val="hybridMultilevel"/>
    <w:tmpl w:val="D1B4A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0528B7"/>
    <w:multiLevelType w:val="hybridMultilevel"/>
    <w:tmpl w:val="8064EED6"/>
    <w:lvl w:ilvl="0" w:tplc="51D858D8">
      <w:start w:val="1"/>
      <w:numFmt w:val="bullet"/>
      <w:lvlText w:val="•"/>
      <w:lvlJc w:val="left"/>
      <w:pPr>
        <w:tabs>
          <w:tab w:val="num" w:pos="720"/>
        </w:tabs>
        <w:ind w:left="720" w:hanging="360"/>
      </w:pPr>
      <w:rPr>
        <w:rFonts w:ascii="Arial" w:hAnsi="Arial" w:hint="default"/>
      </w:rPr>
    </w:lvl>
    <w:lvl w:ilvl="1" w:tplc="EDF0AC3A" w:tentative="1">
      <w:start w:val="1"/>
      <w:numFmt w:val="bullet"/>
      <w:lvlText w:val="•"/>
      <w:lvlJc w:val="left"/>
      <w:pPr>
        <w:tabs>
          <w:tab w:val="num" w:pos="1440"/>
        </w:tabs>
        <w:ind w:left="1440" w:hanging="360"/>
      </w:pPr>
      <w:rPr>
        <w:rFonts w:ascii="Arial" w:hAnsi="Arial" w:hint="default"/>
      </w:rPr>
    </w:lvl>
    <w:lvl w:ilvl="2" w:tplc="A588DB9E">
      <w:start w:val="1"/>
      <w:numFmt w:val="bullet"/>
      <w:lvlText w:val="•"/>
      <w:lvlJc w:val="left"/>
      <w:pPr>
        <w:tabs>
          <w:tab w:val="num" w:pos="2160"/>
        </w:tabs>
        <w:ind w:left="2160" w:hanging="360"/>
      </w:pPr>
      <w:rPr>
        <w:rFonts w:ascii="Arial" w:hAnsi="Arial" w:hint="default"/>
      </w:rPr>
    </w:lvl>
    <w:lvl w:ilvl="3" w:tplc="DD0EE144" w:tentative="1">
      <w:start w:val="1"/>
      <w:numFmt w:val="bullet"/>
      <w:lvlText w:val="•"/>
      <w:lvlJc w:val="left"/>
      <w:pPr>
        <w:tabs>
          <w:tab w:val="num" w:pos="2880"/>
        </w:tabs>
        <w:ind w:left="2880" w:hanging="360"/>
      </w:pPr>
      <w:rPr>
        <w:rFonts w:ascii="Arial" w:hAnsi="Arial" w:hint="default"/>
      </w:rPr>
    </w:lvl>
    <w:lvl w:ilvl="4" w:tplc="79A66922" w:tentative="1">
      <w:start w:val="1"/>
      <w:numFmt w:val="bullet"/>
      <w:lvlText w:val="•"/>
      <w:lvlJc w:val="left"/>
      <w:pPr>
        <w:tabs>
          <w:tab w:val="num" w:pos="3600"/>
        </w:tabs>
        <w:ind w:left="3600" w:hanging="360"/>
      </w:pPr>
      <w:rPr>
        <w:rFonts w:ascii="Arial" w:hAnsi="Arial" w:hint="default"/>
      </w:rPr>
    </w:lvl>
    <w:lvl w:ilvl="5" w:tplc="D4BCBF46" w:tentative="1">
      <w:start w:val="1"/>
      <w:numFmt w:val="bullet"/>
      <w:lvlText w:val="•"/>
      <w:lvlJc w:val="left"/>
      <w:pPr>
        <w:tabs>
          <w:tab w:val="num" w:pos="4320"/>
        </w:tabs>
        <w:ind w:left="4320" w:hanging="360"/>
      </w:pPr>
      <w:rPr>
        <w:rFonts w:ascii="Arial" w:hAnsi="Arial" w:hint="default"/>
      </w:rPr>
    </w:lvl>
    <w:lvl w:ilvl="6" w:tplc="94B694BA" w:tentative="1">
      <w:start w:val="1"/>
      <w:numFmt w:val="bullet"/>
      <w:lvlText w:val="•"/>
      <w:lvlJc w:val="left"/>
      <w:pPr>
        <w:tabs>
          <w:tab w:val="num" w:pos="5040"/>
        </w:tabs>
        <w:ind w:left="5040" w:hanging="360"/>
      </w:pPr>
      <w:rPr>
        <w:rFonts w:ascii="Arial" w:hAnsi="Arial" w:hint="default"/>
      </w:rPr>
    </w:lvl>
    <w:lvl w:ilvl="7" w:tplc="292E380A" w:tentative="1">
      <w:start w:val="1"/>
      <w:numFmt w:val="bullet"/>
      <w:lvlText w:val="•"/>
      <w:lvlJc w:val="left"/>
      <w:pPr>
        <w:tabs>
          <w:tab w:val="num" w:pos="5760"/>
        </w:tabs>
        <w:ind w:left="5760" w:hanging="360"/>
      </w:pPr>
      <w:rPr>
        <w:rFonts w:ascii="Arial" w:hAnsi="Arial" w:hint="default"/>
      </w:rPr>
    </w:lvl>
    <w:lvl w:ilvl="8" w:tplc="3586B08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55424E8"/>
    <w:multiLevelType w:val="hybridMultilevel"/>
    <w:tmpl w:val="9E20A9D6"/>
    <w:lvl w:ilvl="0" w:tplc="1F00A318">
      <w:start w:val="1"/>
      <w:numFmt w:val="bullet"/>
      <w:lvlText w:val=""/>
      <w:lvlJc w:val="left"/>
      <w:pPr>
        <w:ind w:left="720" w:hanging="360"/>
      </w:pPr>
      <w:rPr>
        <w:rFonts w:ascii="Symbol" w:hAnsi="Symbol" w:hint="default"/>
        <w:color w:val="000000" w:themeColor="text1"/>
      </w:rPr>
    </w:lvl>
    <w:lvl w:ilvl="1" w:tplc="057482F6">
      <w:start w:val="1"/>
      <w:numFmt w:val="bullet"/>
      <w:lvlText w:val="o"/>
      <w:lvlJc w:val="left"/>
      <w:pPr>
        <w:ind w:left="1440" w:hanging="360"/>
      </w:pPr>
      <w:rPr>
        <w:rFonts w:ascii="Courier New" w:hAnsi="Courier New" w:hint="default"/>
      </w:rPr>
    </w:lvl>
    <w:lvl w:ilvl="2" w:tplc="8CC034E2">
      <w:start w:val="1"/>
      <w:numFmt w:val="bullet"/>
      <w:lvlText w:val=""/>
      <w:lvlJc w:val="left"/>
      <w:pPr>
        <w:ind w:left="2160" w:hanging="360"/>
      </w:pPr>
      <w:rPr>
        <w:rFonts w:ascii="Wingdings" w:hAnsi="Wingdings" w:hint="default"/>
      </w:rPr>
    </w:lvl>
    <w:lvl w:ilvl="3" w:tplc="2BD28120">
      <w:start w:val="1"/>
      <w:numFmt w:val="bullet"/>
      <w:lvlText w:val=""/>
      <w:lvlJc w:val="left"/>
      <w:pPr>
        <w:ind w:left="2880" w:hanging="360"/>
      </w:pPr>
      <w:rPr>
        <w:rFonts w:ascii="Symbol" w:hAnsi="Symbol" w:hint="default"/>
      </w:rPr>
    </w:lvl>
    <w:lvl w:ilvl="4" w:tplc="424CDD1E">
      <w:start w:val="1"/>
      <w:numFmt w:val="bullet"/>
      <w:lvlText w:val="o"/>
      <w:lvlJc w:val="left"/>
      <w:pPr>
        <w:ind w:left="3600" w:hanging="360"/>
      </w:pPr>
      <w:rPr>
        <w:rFonts w:ascii="Courier New" w:hAnsi="Courier New" w:hint="default"/>
      </w:rPr>
    </w:lvl>
    <w:lvl w:ilvl="5" w:tplc="697E6C44">
      <w:start w:val="1"/>
      <w:numFmt w:val="bullet"/>
      <w:lvlText w:val=""/>
      <w:lvlJc w:val="left"/>
      <w:pPr>
        <w:ind w:left="4320" w:hanging="360"/>
      </w:pPr>
      <w:rPr>
        <w:rFonts w:ascii="Wingdings" w:hAnsi="Wingdings" w:hint="default"/>
      </w:rPr>
    </w:lvl>
    <w:lvl w:ilvl="6" w:tplc="CF1AACCE">
      <w:start w:val="1"/>
      <w:numFmt w:val="bullet"/>
      <w:lvlText w:val=""/>
      <w:lvlJc w:val="left"/>
      <w:pPr>
        <w:ind w:left="5040" w:hanging="360"/>
      </w:pPr>
      <w:rPr>
        <w:rFonts w:ascii="Symbol" w:hAnsi="Symbol" w:hint="default"/>
      </w:rPr>
    </w:lvl>
    <w:lvl w:ilvl="7" w:tplc="EED4ED2C">
      <w:start w:val="1"/>
      <w:numFmt w:val="bullet"/>
      <w:lvlText w:val="o"/>
      <w:lvlJc w:val="left"/>
      <w:pPr>
        <w:ind w:left="5760" w:hanging="360"/>
      </w:pPr>
      <w:rPr>
        <w:rFonts w:ascii="Courier New" w:hAnsi="Courier New" w:hint="default"/>
      </w:rPr>
    </w:lvl>
    <w:lvl w:ilvl="8" w:tplc="6862DDA2">
      <w:start w:val="1"/>
      <w:numFmt w:val="bullet"/>
      <w:lvlText w:val=""/>
      <w:lvlJc w:val="left"/>
      <w:pPr>
        <w:ind w:left="6480" w:hanging="360"/>
      </w:pPr>
      <w:rPr>
        <w:rFonts w:ascii="Wingdings" w:hAnsi="Wingdings" w:hint="default"/>
      </w:rPr>
    </w:lvl>
  </w:abstractNum>
  <w:abstractNum w:abstractNumId="39" w15:restartNumberingAfterBreak="0">
    <w:nsid w:val="6E4C2BE8"/>
    <w:multiLevelType w:val="hybridMultilevel"/>
    <w:tmpl w:val="39ACD35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E6D205E"/>
    <w:multiLevelType w:val="hybridMultilevel"/>
    <w:tmpl w:val="39C00EC4"/>
    <w:lvl w:ilvl="0" w:tplc="9B98B924">
      <w:start w:val="1"/>
      <w:numFmt w:val="bullet"/>
      <w:lvlText w:val="–"/>
      <w:lvlJc w:val="left"/>
      <w:pPr>
        <w:ind w:left="2880" w:hanging="360"/>
      </w:pPr>
      <w:rPr>
        <w:rFonts w:ascii="Walbaum Heading" w:hAnsi="Walbaum Heading"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1919"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857718"/>
    <w:multiLevelType w:val="hybridMultilevel"/>
    <w:tmpl w:val="913AC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223585">
    <w:abstractNumId w:val="28"/>
  </w:num>
  <w:num w:numId="2" w16cid:durableId="278344373">
    <w:abstractNumId w:val="6"/>
  </w:num>
  <w:num w:numId="3" w16cid:durableId="282619332">
    <w:abstractNumId w:val="10"/>
  </w:num>
  <w:num w:numId="4" w16cid:durableId="511606241">
    <w:abstractNumId w:val="24"/>
  </w:num>
  <w:num w:numId="5" w16cid:durableId="32271883">
    <w:abstractNumId w:val="40"/>
  </w:num>
  <w:num w:numId="6" w16cid:durableId="549389928">
    <w:abstractNumId w:val="32"/>
  </w:num>
  <w:num w:numId="7" w16cid:durableId="999305288">
    <w:abstractNumId w:val="12"/>
  </w:num>
  <w:num w:numId="8" w16cid:durableId="1339426193">
    <w:abstractNumId w:val="17"/>
  </w:num>
  <w:num w:numId="9" w16cid:durableId="841818789">
    <w:abstractNumId w:val="26"/>
  </w:num>
  <w:num w:numId="10" w16cid:durableId="206721696">
    <w:abstractNumId w:val="1"/>
  </w:num>
  <w:num w:numId="11" w16cid:durableId="413551508">
    <w:abstractNumId w:val="22"/>
  </w:num>
  <w:num w:numId="12" w16cid:durableId="180166435">
    <w:abstractNumId w:val="0"/>
  </w:num>
  <w:num w:numId="13" w16cid:durableId="609431783">
    <w:abstractNumId w:val="19"/>
  </w:num>
  <w:num w:numId="14" w16cid:durableId="1014458085">
    <w:abstractNumId w:val="18"/>
  </w:num>
  <w:num w:numId="15" w16cid:durableId="1374690542">
    <w:abstractNumId w:val="25"/>
  </w:num>
  <w:num w:numId="16" w16cid:durableId="1643118826">
    <w:abstractNumId w:val="27"/>
  </w:num>
  <w:num w:numId="17" w16cid:durableId="1844515020">
    <w:abstractNumId w:val="2"/>
  </w:num>
  <w:num w:numId="18" w16cid:durableId="977689411">
    <w:abstractNumId w:val="9"/>
  </w:num>
  <w:num w:numId="19" w16cid:durableId="442892351">
    <w:abstractNumId w:val="39"/>
  </w:num>
  <w:num w:numId="20" w16cid:durableId="2001155806">
    <w:abstractNumId w:val="7"/>
  </w:num>
  <w:num w:numId="21" w16cid:durableId="1075475534">
    <w:abstractNumId w:val="21"/>
  </w:num>
  <w:num w:numId="22" w16cid:durableId="2028368133">
    <w:abstractNumId w:val="15"/>
  </w:num>
  <w:num w:numId="23" w16cid:durableId="154490917">
    <w:abstractNumId w:val="3"/>
  </w:num>
  <w:num w:numId="24" w16cid:durableId="1122267250">
    <w:abstractNumId w:val="29"/>
  </w:num>
  <w:num w:numId="25" w16cid:durableId="1992513374">
    <w:abstractNumId w:val="37"/>
  </w:num>
  <w:num w:numId="26" w16cid:durableId="1480269425">
    <w:abstractNumId w:val="41"/>
  </w:num>
  <w:num w:numId="27" w16cid:durableId="1130518656">
    <w:abstractNumId w:val="35"/>
  </w:num>
  <w:num w:numId="28" w16cid:durableId="1930693202">
    <w:abstractNumId w:val="16"/>
  </w:num>
  <w:num w:numId="29" w16cid:durableId="1780180212">
    <w:abstractNumId w:val="4"/>
  </w:num>
  <w:num w:numId="30" w16cid:durableId="1286042185">
    <w:abstractNumId w:val="14"/>
  </w:num>
  <w:num w:numId="31" w16cid:durableId="1553342898">
    <w:abstractNumId w:val="36"/>
  </w:num>
  <w:num w:numId="32" w16cid:durableId="697584115">
    <w:abstractNumId w:val="23"/>
  </w:num>
  <w:num w:numId="33" w16cid:durableId="403725235">
    <w:abstractNumId w:val="11"/>
  </w:num>
  <w:num w:numId="34" w16cid:durableId="124468438">
    <w:abstractNumId w:val="5"/>
  </w:num>
  <w:num w:numId="35" w16cid:durableId="432825778">
    <w:abstractNumId w:val="20"/>
  </w:num>
  <w:num w:numId="36" w16cid:durableId="1369182859">
    <w:abstractNumId w:val="13"/>
  </w:num>
  <w:num w:numId="37" w16cid:durableId="505946402">
    <w:abstractNumId w:val="33"/>
  </w:num>
  <w:num w:numId="38" w16cid:durableId="348336536">
    <w:abstractNumId w:val="31"/>
  </w:num>
  <w:num w:numId="39" w16cid:durableId="1583446179">
    <w:abstractNumId w:val="34"/>
  </w:num>
  <w:num w:numId="40" w16cid:durableId="475728034">
    <w:abstractNumId w:val="30"/>
  </w:num>
  <w:num w:numId="41" w16cid:durableId="1086682146">
    <w:abstractNumId w:val="38"/>
  </w:num>
  <w:num w:numId="42" w16cid:durableId="29583610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D1"/>
    <w:rsid w:val="00000267"/>
    <w:rsid w:val="00000624"/>
    <w:rsid w:val="000007FB"/>
    <w:rsid w:val="000008C0"/>
    <w:rsid w:val="00000A05"/>
    <w:rsid w:val="00000A32"/>
    <w:rsid w:val="00000CE1"/>
    <w:rsid w:val="00002012"/>
    <w:rsid w:val="000023AB"/>
    <w:rsid w:val="000027A2"/>
    <w:rsid w:val="00002866"/>
    <w:rsid w:val="0000298D"/>
    <w:rsid w:val="00002BF0"/>
    <w:rsid w:val="00003F68"/>
    <w:rsid w:val="00003FF8"/>
    <w:rsid w:val="000040B8"/>
    <w:rsid w:val="000042BA"/>
    <w:rsid w:val="0000432A"/>
    <w:rsid w:val="000043A3"/>
    <w:rsid w:val="00004456"/>
    <w:rsid w:val="000047F0"/>
    <w:rsid w:val="00004C90"/>
    <w:rsid w:val="00004D59"/>
    <w:rsid w:val="00004D66"/>
    <w:rsid w:val="00005382"/>
    <w:rsid w:val="000057E5"/>
    <w:rsid w:val="00005D41"/>
    <w:rsid w:val="00005E14"/>
    <w:rsid w:val="00006020"/>
    <w:rsid w:val="00006358"/>
    <w:rsid w:val="00006362"/>
    <w:rsid w:val="00007281"/>
    <w:rsid w:val="0000745F"/>
    <w:rsid w:val="000076F7"/>
    <w:rsid w:val="000077FA"/>
    <w:rsid w:val="00007D16"/>
    <w:rsid w:val="00007EEC"/>
    <w:rsid w:val="00010380"/>
    <w:rsid w:val="00010852"/>
    <w:rsid w:val="000109C3"/>
    <w:rsid w:val="000109C4"/>
    <w:rsid w:val="00010B7E"/>
    <w:rsid w:val="00011176"/>
    <w:rsid w:val="000111C8"/>
    <w:rsid w:val="0001128F"/>
    <w:rsid w:val="00011665"/>
    <w:rsid w:val="00011E78"/>
    <w:rsid w:val="000120A0"/>
    <w:rsid w:val="000124F5"/>
    <w:rsid w:val="00012722"/>
    <w:rsid w:val="000129F3"/>
    <w:rsid w:val="00012E2E"/>
    <w:rsid w:val="00013173"/>
    <w:rsid w:val="0001341D"/>
    <w:rsid w:val="000139CA"/>
    <w:rsid w:val="00013C9B"/>
    <w:rsid w:val="00013DA9"/>
    <w:rsid w:val="00014AED"/>
    <w:rsid w:val="000152EC"/>
    <w:rsid w:val="00015851"/>
    <w:rsid w:val="00015958"/>
    <w:rsid w:val="00015BDE"/>
    <w:rsid w:val="00015C27"/>
    <w:rsid w:val="00015D74"/>
    <w:rsid w:val="000160A7"/>
    <w:rsid w:val="0001613E"/>
    <w:rsid w:val="0001621F"/>
    <w:rsid w:val="0001633F"/>
    <w:rsid w:val="00016370"/>
    <w:rsid w:val="000168E7"/>
    <w:rsid w:val="000169DB"/>
    <w:rsid w:val="00017042"/>
    <w:rsid w:val="00017588"/>
    <w:rsid w:val="00017B9D"/>
    <w:rsid w:val="00020012"/>
    <w:rsid w:val="0002001B"/>
    <w:rsid w:val="000203A8"/>
    <w:rsid w:val="000204D8"/>
    <w:rsid w:val="00020616"/>
    <w:rsid w:val="000206D4"/>
    <w:rsid w:val="00020780"/>
    <w:rsid w:val="0002082C"/>
    <w:rsid w:val="0002093D"/>
    <w:rsid w:val="00020AD3"/>
    <w:rsid w:val="00020C61"/>
    <w:rsid w:val="00020E91"/>
    <w:rsid w:val="000211B7"/>
    <w:rsid w:val="00021710"/>
    <w:rsid w:val="0002171D"/>
    <w:rsid w:val="00021A6C"/>
    <w:rsid w:val="00021DC5"/>
    <w:rsid w:val="00021E50"/>
    <w:rsid w:val="00022505"/>
    <w:rsid w:val="000226AD"/>
    <w:rsid w:val="0002272C"/>
    <w:rsid w:val="00022B64"/>
    <w:rsid w:val="00022C7E"/>
    <w:rsid w:val="00022EDA"/>
    <w:rsid w:val="00023002"/>
    <w:rsid w:val="000230E8"/>
    <w:rsid w:val="000233A6"/>
    <w:rsid w:val="000235EF"/>
    <w:rsid w:val="0002390B"/>
    <w:rsid w:val="00023931"/>
    <w:rsid w:val="00023A21"/>
    <w:rsid w:val="00023AFA"/>
    <w:rsid w:val="00023CA6"/>
    <w:rsid w:val="000241C4"/>
    <w:rsid w:val="000242CD"/>
    <w:rsid w:val="000242D7"/>
    <w:rsid w:val="00024751"/>
    <w:rsid w:val="000247D8"/>
    <w:rsid w:val="00024985"/>
    <w:rsid w:val="00024D9B"/>
    <w:rsid w:val="00025104"/>
    <w:rsid w:val="00025331"/>
    <w:rsid w:val="000258E8"/>
    <w:rsid w:val="0002608F"/>
    <w:rsid w:val="0002629E"/>
    <w:rsid w:val="00026450"/>
    <w:rsid w:val="00026524"/>
    <w:rsid w:val="00026692"/>
    <w:rsid w:val="00026EB1"/>
    <w:rsid w:val="00026F79"/>
    <w:rsid w:val="00026FAD"/>
    <w:rsid w:val="00026FE5"/>
    <w:rsid w:val="000272D0"/>
    <w:rsid w:val="00027A66"/>
    <w:rsid w:val="00030183"/>
    <w:rsid w:val="000301CC"/>
    <w:rsid w:val="00030262"/>
    <w:rsid w:val="000303CF"/>
    <w:rsid w:val="0003075F"/>
    <w:rsid w:val="00030BC3"/>
    <w:rsid w:val="00030FF6"/>
    <w:rsid w:val="000310B1"/>
    <w:rsid w:val="000313F7"/>
    <w:rsid w:val="0003145D"/>
    <w:rsid w:val="000316C3"/>
    <w:rsid w:val="00031F41"/>
    <w:rsid w:val="00031FB8"/>
    <w:rsid w:val="00031FDE"/>
    <w:rsid w:val="000321B1"/>
    <w:rsid w:val="00032385"/>
    <w:rsid w:val="000323E7"/>
    <w:rsid w:val="00032606"/>
    <w:rsid w:val="000326B4"/>
    <w:rsid w:val="000326C7"/>
    <w:rsid w:val="0003279F"/>
    <w:rsid w:val="00032ADA"/>
    <w:rsid w:val="000334A2"/>
    <w:rsid w:val="0003360F"/>
    <w:rsid w:val="00033820"/>
    <w:rsid w:val="00033C28"/>
    <w:rsid w:val="00033E9B"/>
    <w:rsid w:val="000340E9"/>
    <w:rsid w:val="00034954"/>
    <w:rsid w:val="00034AFF"/>
    <w:rsid w:val="00034C00"/>
    <w:rsid w:val="00035396"/>
    <w:rsid w:val="00035569"/>
    <w:rsid w:val="0003562A"/>
    <w:rsid w:val="000358DB"/>
    <w:rsid w:val="00035AF4"/>
    <w:rsid w:val="00036728"/>
    <w:rsid w:val="00036853"/>
    <w:rsid w:val="00036A89"/>
    <w:rsid w:val="00036BB7"/>
    <w:rsid w:val="00036BBE"/>
    <w:rsid w:val="00036F55"/>
    <w:rsid w:val="0003711C"/>
    <w:rsid w:val="000375F5"/>
    <w:rsid w:val="00037E38"/>
    <w:rsid w:val="00037EB7"/>
    <w:rsid w:val="00037F32"/>
    <w:rsid w:val="00040014"/>
    <w:rsid w:val="0004004B"/>
    <w:rsid w:val="00040211"/>
    <w:rsid w:val="0004057E"/>
    <w:rsid w:val="00040A45"/>
    <w:rsid w:val="0004108A"/>
    <w:rsid w:val="0004120F"/>
    <w:rsid w:val="00041277"/>
    <w:rsid w:val="000415DC"/>
    <w:rsid w:val="00041C89"/>
    <w:rsid w:val="00041D02"/>
    <w:rsid w:val="00042178"/>
    <w:rsid w:val="00042566"/>
    <w:rsid w:val="000426AD"/>
    <w:rsid w:val="00042BD6"/>
    <w:rsid w:val="00042FAB"/>
    <w:rsid w:val="000430F2"/>
    <w:rsid w:val="00043425"/>
    <w:rsid w:val="0004381F"/>
    <w:rsid w:val="00043D3F"/>
    <w:rsid w:val="00043DCF"/>
    <w:rsid w:val="00043EE5"/>
    <w:rsid w:val="00044084"/>
    <w:rsid w:val="000441F6"/>
    <w:rsid w:val="00044673"/>
    <w:rsid w:val="0004476C"/>
    <w:rsid w:val="000447FD"/>
    <w:rsid w:val="0004486A"/>
    <w:rsid w:val="00044A35"/>
    <w:rsid w:val="00044D7E"/>
    <w:rsid w:val="000453D5"/>
    <w:rsid w:val="0004542F"/>
    <w:rsid w:val="00045602"/>
    <w:rsid w:val="000456B4"/>
    <w:rsid w:val="00045986"/>
    <w:rsid w:val="00046015"/>
    <w:rsid w:val="000462C5"/>
    <w:rsid w:val="00046374"/>
    <w:rsid w:val="0004648B"/>
    <w:rsid w:val="0004657E"/>
    <w:rsid w:val="000468FE"/>
    <w:rsid w:val="00046956"/>
    <w:rsid w:val="000469B5"/>
    <w:rsid w:val="00046CD3"/>
    <w:rsid w:val="00046DC1"/>
    <w:rsid w:val="0004709C"/>
    <w:rsid w:val="000471A5"/>
    <w:rsid w:val="00047BF4"/>
    <w:rsid w:val="00047C71"/>
    <w:rsid w:val="00047D41"/>
    <w:rsid w:val="00050612"/>
    <w:rsid w:val="00050E23"/>
    <w:rsid w:val="00050E8D"/>
    <w:rsid w:val="00051192"/>
    <w:rsid w:val="00051210"/>
    <w:rsid w:val="000513EC"/>
    <w:rsid w:val="000514E1"/>
    <w:rsid w:val="00051694"/>
    <w:rsid w:val="000516FD"/>
    <w:rsid w:val="00051E97"/>
    <w:rsid w:val="00052071"/>
    <w:rsid w:val="00052816"/>
    <w:rsid w:val="00052894"/>
    <w:rsid w:val="00052990"/>
    <w:rsid w:val="00052C96"/>
    <w:rsid w:val="00052EA1"/>
    <w:rsid w:val="00052F49"/>
    <w:rsid w:val="00053346"/>
    <w:rsid w:val="00053390"/>
    <w:rsid w:val="000534A4"/>
    <w:rsid w:val="0005374D"/>
    <w:rsid w:val="00053DAA"/>
    <w:rsid w:val="00053FCE"/>
    <w:rsid w:val="000542B4"/>
    <w:rsid w:val="00054628"/>
    <w:rsid w:val="000549CE"/>
    <w:rsid w:val="00054D97"/>
    <w:rsid w:val="00055558"/>
    <w:rsid w:val="0005585B"/>
    <w:rsid w:val="00055B25"/>
    <w:rsid w:val="00055B77"/>
    <w:rsid w:val="00056685"/>
    <w:rsid w:val="00056955"/>
    <w:rsid w:val="00056FFF"/>
    <w:rsid w:val="00057293"/>
    <w:rsid w:val="0005768F"/>
    <w:rsid w:val="00057B71"/>
    <w:rsid w:val="0006065F"/>
    <w:rsid w:val="00060763"/>
    <w:rsid w:val="00060847"/>
    <w:rsid w:val="00060B33"/>
    <w:rsid w:val="00060C6B"/>
    <w:rsid w:val="00060DCE"/>
    <w:rsid w:val="00060E58"/>
    <w:rsid w:val="00061145"/>
    <w:rsid w:val="0006168A"/>
    <w:rsid w:val="000616EA"/>
    <w:rsid w:val="00061719"/>
    <w:rsid w:val="00061C5D"/>
    <w:rsid w:val="00062061"/>
    <w:rsid w:val="000620CE"/>
    <w:rsid w:val="000620D7"/>
    <w:rsid w:val="000621DA"/>
    <w:rsid w:val="000623C0"/>
    <w:rsid w:val="0006291C"/>
    <w:rsid w:val="00062C0A"/>
    <w:rsid w:val="00062D93"/>
    <w:rsid w:val="00062EC8"/>
    <w:rsid w:val="0006374E"/>
    <w:rsid w:val="000638D0"/>
    <w:rsid w:val="00063AF8"/>
    <w:rsid w:val="00063B4A"/>
    <w:rsid w:val="00063B95"/>
    <w:rsid w:val="00063CC2"/>
    <w:rsid w:val="00063D0D"/>
    <w:rsid w:val="00063D6C"/>
    <w:rsid w:val="00063EFA"/>
    <w:rsid w:val="00064557"/>
    <w:rsid w:val="000645F7"/>
    <w:rsid w:val="00064A2C"/>
    <w:rsid w:val="00065814"/>
    <w:rsid w:val="0006588E"/>
    <w:rsid w:val="00065C88"/>
    <w:rsid w:val="0006604E"/>
    <w:rsid w:val="00066237"/>
    <w:rsid w:val="000663B3"/>
    <w:rsid w:val="0006678C"/>
    <w:rsid w:val="00066795"/>
    <w:rsid w:val="00066921"/>
    <w:rsid w:val="00066EC5"/>
    <w:rsid w:val="00067198"/>
    <w:rsid w:val="000675CD"/>
    <w:rsid w:val="000675FF"/>
    <w:rsid w:val="00067825"/>
    <w:rsid w:val="00067C3C"/>
    <w:rsid w:val="00067E7B"/>
    <w:rsid w:val="0007002A"/>
    <w:rsid w:val="0007039B"/>
    <w:rsid w:val="000707A4"/>
    <w:rsid w:val="00070F45"/>
    <w:rsid w:val="00070FB0"/>
    <w:rsid w:val="00071472"/>
    <w:rsid w:val="000715D3"/>
    <w:rsid w:val="00071DDB"/>
    <w:rsid w:val="00071E9E"/>
    <w:rsid w:val="00071FF3"/>
    <w:rsid w:val="00072289"/>
    <w:rsid w:val="00072375"/>
    <w:rsid w:val="000727B9"/>
    <w:rsid w:val="000729B8"/>
    <w:rsid w:val="00072E3F"/>
    <w:rsid w:val="0007309A"/>
    <w:rsid w:val="00073388"/>
    <w:rsid w:val="00073461"/>
    <w:rsid w:val="00073748"/>
    <w:rsid w:val="00073A9E"/>
    <w:rsid w:val="00073ABD"/>
    <w:rsid w:val="00073B97"/>
    <w:rsid w:val="00073BD7"/>
    <w:rsid w:val="00073FF0"/>
    <w:rsid w:val="000742B8"/>
    <w:rsid w:val="000742E5"/>
    <w:rsid w:val="00074388"/>
    <w:rsid w:val="0007475F"/>
    <w:rsid w:val="00074941"/>
    <w:rsid w:val="00074B55"/>
    <w:rsid w:val="00074E11"/>
    <w:rsid w:val="000751C9"/>
    <w:rsid w:val="000752D8"/>
    <w:rsid w:val="000754CC"/>
    <w:rsid w:val="0007551E"/>
    <w:rsid w:val="0007592A"/>
    <w:rsid w:val="0007650D"/>
    <w:rsid w:val="000771C4"/>
    <w:rsid w:val="000772B6"/>
    <w:rsid w:val="00077970"/>
    <w:rsid w:val="00077D35"/>
    <w:rsid w:val="00077F3B"/>
    <w:rsid w:val="000801B1"/>
    <w:rsid w:val="0008046E"/>
    <w:rsid w:val="000805A4"/>
    <w:rsid w:val="000806E3"/>
    <w:rsid w:val="0008071D"/>
    <w:rsid w:val="00080B04"/>
    <w:rsid w:val="00080FD9"/>
    <w:rsid w:val="00081305"/>
    <w:rsid w:val="00081C73"/>
    <w:rsid w:val="00081D4B"/>
    <w:rsid w:val="0008201A"/>
    <w:rsid w:val="00082658"/>
    <w:rsid w:val="000829F0"/>
    <w:rsid w:val="00082B9D"/>
    <w:rsid w:val="00082E64"/>
    <w:rsid w:val="00083555"/>
    <w:rsid w:val="00083741"/>
    <w:rsid w:val="00083800"/>
    <w:rsid w:val="00083C2F"/>
    <w:rsid w:val="00083DAF"/>
    <w:rsid w:val="00083F72"/>
    <w:rsid w:val="00084011"/>
    <w:rsid w:val="0008403E"/>
    <w:rsid w:val="000841CE"/>
    <w:rsid w:val="0008430A"/>
    <w:rsid w:val="00084797"/>
    <w:rsid w:val="00085615"/>
    <w:rsid w:val="00085950"/>
    <w:rsid w:val="0008595A"/>
    <w:rsid w:val="00085A05"/>
    <w:rsid w:val="00085B94"/>
    <w:rsid w:val="00085C16"/>
    <w:rsid w:val="00085D03"/>
    <w:rsid w:val="00086193"/>
    <w:rsid w:val="000863CD"/>
    <w:rsid w:val="000864CA"/>
    <w:rsid w:val="00086A85"/>
    <w:rsid w:val="00086EC2"/>
    <w:rsid w:val="00086F12"/>
    <w:rsid w:val="00087923"/>
    <w:rsid w:val="00087A03"/>
    <w:rsid w:val="00087A6A"/>
    <w:rsid w:val="00087C83"/>
    <w:rsid w:val="00087D55"/>
    <w:rsid w:val="00087E34"/>
    <w:rsid w:val="000901D0"/>
    <w:rsid w:val="000901F6"/>
    <w:rsid w:val="00090BEC"/>
    <w:rsid w:val="00090D2D"/>
    <w:rsid w:val="00091102"/>
    <w:rsid w:val="00091453"/>
    <w:rsid w:val="0009172D"/>
    <w:rsid w:val="000919F5"/>
    <w:rsid w:val="00091F6D"/>
    <w:rsid w:val="000924CA"/>
    <w:rsid w:val="0009256C"/>
    <w:rsid w:val="00092E7B"/>
    <w:rsid w:val="00092EE5"/>
    <w:rsid w:val="000932D1"/>
    <w:rsid w:val="000934F1"/>
    <w:rsid w:val="000941DB"/>
    <w:rsid w:val="00094AB2"/>
    <w:rsid w:val="00094AD5"/>
    <w:rsid w:val="00094BCB"/>
    <w:rsid w:val="00094E0F"/>
    <w:rsid w:val="00094F9B"/>
    <w:rsid w:val="0009513D"/>
    <w:rsid w:val="00095ECB"/>
    <w:rsid w:val="00095F09"/>
    <w:rsid w:val="000960E1"/>
    <w:rsid w:val="000961CC"/>
    <w:rsid w:val="000961DA"/>
    <w:rsid w:val="00096C72"/>
    <w:rsid w:val="00097361"/>
    <w:rsid w:val="00097389"/>
    <w:rsid w:val="0009799A"/>
    <w:rsid w:val="00097BA1"/>
    <w:rsid w:val="000A0533"/>
    <w:rsid w:val="000A0765"/>
    <w:rsid w:val="000A07F2"/>
    <w:rsid w:val="000A0CB9"/>
    <w:rsid w:val="000A0F8D"/>
    <w:rsid w:val="000A1339"/>
    <w:rsid w:val="000A13CE"/>
    <w:rsid w:val="000A14EE"/>
    <w:rsid w:val="000A17AC"/>
    <w:rsid w:val="000A1AE0"/>
    <w:rsid w:val="000A1FA7"/>
    <w:rsid w:val="000A21D7"/>
    <w:rsid w:val="000A2285"/>
    <w:rsid w:val="000A2911"/>
    <w:rsid w:val="000A2D63"/>
    <w:rsid w:val="000A2E43"/>
    <w:rsid w:val="000A2ED6"/>
    <w:rsid w:val="000A327F"/>
    <w:rsid w:val="000A33F2"/>
    <w:rsid w:val="000A34F9"/>
    <w:rsid w:val="000A3641"/>
    <w:rsid w:val="000A394F"/>
    <w:rsid w:val="000A3A64"/>
    <w:rsid w:val="000A3BEE"/>
    <w:rsid w:val="000A4228"/>
    <w:rsid w:val="000A45C4"/>
    <w:rsid w:val="000A495C"/>
    <w:rsid w:val="000A4B2A"/>
    <w:rsid w:val="000A4C9E"/>
    <w:rsid w:val="000A50C8"/>
    <w:rsid w:val="000A5573"/>
    <w:rsid w:val="000A589D"/>
    <w:rsid w:val="000A5CB7"/>
    <w:rsid w:val="000A5DCA"/>
    <w:rsid w:val="000A67CA"/>
    <w:rsid w:val="000A6953"/>
    <w:rsid w:val="000A6AEF"/>
    <w:rsid w:val="000A7102"/>
    <w:rsid w:val="000A73D0"/>
    <w:rsid w:val="000A7884"/>
    <w:rsid w:val="000A7A6A"/>
    <w:rsid w:val="000B019B"/>
    <w:rsid w:val="000B032F"/>
    <w:rsid w:val="000B0A85"/>
    <w:rsid w:val="000B0BA7"/>
    <w:rsid w:val="000B0D38"/>
    <w:rsid w:val="000B10A6"/>
    <w:rsid w:val="000B1858"/>
    <w:rsid w:val="000B1A61"/>
    <w:rsid w:val="000B1DF7"/>
    <w:rsid w:val="000B1EB5"/>
    <w:rsid w:val="000B2A11"/>
    <w:rsid w:val="000B2A51"/>
    <w:rsid w:val="000B2DA6"/>
    <w:rsid w:val="000B2E9C"/>
    <w:rsid w:val="000B41D8"/>
    <w:rsid w:val="000B4340"/>
    <w:rsid w:val="000B4459"/>
    <w:rsid w:val="000B44EC"/>
    <w:rsid w:val="000B4552"/>
    <w:rsid w:val="000B4588"/>
    <w:rsid w:val="000B4725"/>
    <w:rsid w:val="000B4A03"/>
    <w:rsid w:val="000B4ACB"/>
    <w:rsid w:val="000B4B22"/>
    <w:rsid w:val="000B4C42"/>
    <w:rsid w:val="000B4F72"/>
    <w:rsid w:val="000B4FDC"/>
    <w:rsid w:val="000B4FF6"/>
    <w:rsid w:val="000B5209"/>
    <w:rsid w:val="000B568D"/>
    <w:rsid w:val="000B5864"/>
    <w:rsid w:val="000B5AB3"/>
    <w:rsid w:val="000B5C69"/>
    <w:rsid w:val="000B5C78"/>
    <w:rsid w:val="000B5DA0"/>
    <w:rsid w:val="000B61CA"/>
    <w:rsid w:val="000B62C8"/>
    <w:rsid w:val="000B68EA"/>
    <w:rsid w:val="000B6957"/>
    <w:rsid w:val="000B69D1"/>
    <w:rsid w:val="000B6BB1"/>
    <w:rsid w:val="000B6ED8"/>
    <w:rsid w:val="000B6FF8"/>
    <w:rsid w:val="000B770E"/>
    <w:rsid w:val="000B7ABC"/>
    <w:rsid w:val="000C0589"/>
    <w:rsid w:val="000C089E"/>
    <w:rsid w:val="000C0A18"/>
    <w:rsid w:val="000C0A22"/>
    <w:rsid w:val="000C0B6D"/>
    <w:rsid w:val="000C0CBB"/>
    <w:rsid w:val="000C0D61"/>
    <w:rsid w:val="000C0F5A"/>
    <w:rsid w:val="000C13CD"/>
    <w:rsid w:val="000C13F1"/>
    <w:rsid w:val="000C1B5F"/>
    <w:rsid w:val="000C1F97"/>
    <w:rsid w:val="000C21AD"/>
    <w:rsid w:val="000C21CB"/>
    <w:rsid w:val="000C2308"/>
    <w:rsid w:val="000C248D"/>
    <w:rsid w:val="000C24C6"/>
    <w:rsid w:val="000C2A63"/>
    <w:rsid w:val="000C34C7"/>
    <w:rsid w:val="000C36A1"/>
    <w:rsid w:val="000C391F"/>
    <w:rsid w:val="000C3A8B"/>
    <w:rsid w:val="000C3C4F"/>
    <w:rsid w:val="000C484F"/>
    <w:rsid w:val="000C496B"/>
    <w:rsid w:val="000C4E81"/>
    <w:rsid w:val="000C5441"/>
    <w:rsid w:val="000C58C6"/>
    <w:rsid w:val="000C58F0"/>
    <w:rsid w:val="000C5BB8"/>
    <w:rsid w:val="000C5DF4"/>
    <w:rsid w:val="000C5E34"/>
    <w:rsid w:val="000C5F8A"/>
    <w:rsid w:val="000C63A1"/>
    <w:rsid w:val="000C64D9"/>
    <w:rsid w:val="000C70CD"/>
    <w:rsid w:val="000C70FB"/>
    <w:rsid w:val="000C71C7"/>
    <w:rsid w:val="000C782E"/>
    <w:rsid w:val="000C7D29"/>
    <w:rsid w:val="000C7D33"/>
    <w:rsid w:val="000D02B5"/>
    <w:rsid w:val="000D02D4"/>
    <w:rsid w:val="000D0333"/>
    <w:rsid w:val="000D0341"/>
    <w:rsid w:val="000D0749"/>
    <w:rsid w:val="000D0AEC"/>
    <w:rsid w:val="000D11BB"/>
    <w:rsid w:val="000D1427"/>
    <w:rsid w:val="000D1657"/>
    <w:rsid w:val="000D18CA"/>
    <w:rsid w:val="000D2032"/>
    <w:rsid w:val="000D209E"/>
    <w:rsid w:val="000D2568"/>
    <w:rsid w:val="000D2B9E"/>
    <w:rsid w:val="000D33E8"/>
    <w:rsid w:val="000D363B"/>
    <w:rsid w:val="000D396E"/>
    <w:rsid w:val="000D3E0E"/>
    <w:rsid w:val="000D41AC"/>
    <w:rsid w:val="000D435C"/>
    <w:rsid w:val="000D44AA"/>
    <w:rsid w:val="000D4589"/>
    <w:rsid w:val="000D4C01"/>
    <w:rsid w:val="000D4C3B"/>
    <w:rsid w:val="000D507C"/>
    <w:rsid w:val="000D54A0"/>
    <w:rsid w:val="000D5B31"/>
    <w:rsid w:val="000D6295"/>
    <w:rsid w:val="000D62B9"/>
    <w:rsid w:val="000D63A2"/>
    <w:rsid w:val="000D63D3"/>
    <w:rsid w:val="000D69D5"/>
    <w:rsid w:val="000D6E31"/>
    <w:rsid w:val="000D6F9C"/>
    <w:rsid w:val="000D71B8"/>
    <w:rsid w:val="000D7418"/>
    <w:rsid w:val="000D7579"/>
    <w:rsid w:val="000D79AE"/>
    <w:rsid w:val="000D7A05"/>
    <w:rsid w:val="000D7ECA"/>
    <w:rsid w:val="000E03AA"/>
    <w:rsid w:val="000E07B5"/>
    <w:rsid w:val="000E0DD5"/>
    <w:rsid w:val="000E0DF8"/>
    <w:rsid w:val="000E0F97"/>
    <w:rsid w:val="000E1446"/>
    <w:rsid w:val="000E1471"/>
    <w:rsid w:val="000E14D4"/>
    <w:rsid w:val="000E1ADB"/>
    <w:rsid w:val="000E1FF7"/>
    <w:rsid w:val="000E2005"/>
    <w:rsid w:val="000E2094"/>
    <w:rsid w:val="000E240F"/>
    <w:rsid w:val="000E2731"/>
    <w:rsid w:val="000E2AA4"/>
    <w:rsid w:val="000E2C4B"/>
    <w:rsid w:val="000E2C97"/>
    <w:rsid w:val="000E2F53"/>
    <w:rsid w:val="000E322E"/>
    <w:rsid w:val="000E32E3"/>
    <w:rsid w:val="000E3A0E"/>
    <w:rsid w:val="000E3B5B"/>
    <w:rsid w:val="000E3C28"/>
    <w:rsid w:val="000E4386"/>
    <w:rsid w:val="000E4479"/>
    <w:rsid w:val="000E45CA"/>
    <w:rsid w:val="000E46C3"/>
    <w:rsid w:val="000E49FC"/>
    <w:rsid w:val="000E4E73"/>
    <w:rsid w:val="000E4F50"/>
    <w:rsid w:val="000E57D0"/>
    <w:rsid w:val="000E5B40"/>
    <w:rsid w:val="000E611F"/>
    <w:rsid w:val="000E6626"/>
    <w:rsid w:val="000E6B2E"/>
    <w:rsid w:val="000E72F4"/>
    <w:rsid w:val="000E7619"/>
    <w:rsid w:val="000E7CC4"/>
    <w:rsid w:val="000E7FC2"/>
    <w:rsid w:val="000F04A3"/>
    <w:rsid w:val="000F07DC"/>
    <w:rsid w:val="000F1364"/>
    <w:rsid w:val="000F1D41"/>
    <w:rsid w:val="000F1ECC"/>
    <w:rsid w:val="000F1EDC"/>
    <w:rsid w:val="000F21E9"/>
    <w:rsid w:val="000F265D"/>
    <w:rsid w:val="000F2710"/>
    <w:rsid w:val="000F29C9"/>
    <w:rsid w:val="000F2A61"/>
    <w:rsid w:val="000F2A9F"/>
    <w:rsid w:val="000F2BEE"/>
    <w:rsid w:val="000F2BFD"/>
    <w:rsid w:val="000F2C53"/>
    <w:rsid w:val="000F2C6E"/>
    <w:rsid w:val="000F2DD5"/>
    <w:rsid w:val="000F322D"/>
    <w:rsid w:val="000F323B"/>
    <w:rsid w:val="000F377C"/>
    <w:rsid w:val="000F37E8"/>
    <w:rsid w:val="000F3D19"/>
    <w:rsid w:val="000F3DBB"/>
    <w:rsid w:val="000F471D"/>
    <w:rsid w:val="000F4AE5"/>
    <w:rsid w:val="000F4B3A"/>
    <w:rsid w:val="000F4D8F"/>
    <w:rsid w:val="000F5059"/>
    <w:rsid w:val="000F5280"/>
    <w:rsid w:val="000F5747"/>
    <w:rsid w:val="000F594A"/>
    <w:rsid w:val="000F5D01"/>
    <w:rsid w:val="000F63B2"/>
    <w:rsid w:val="000F64D1"/>
    <w:rsid w:val="000F66DF"/>
    <w:rsid w:val="000F66E0"/>
    <w:rsid w:val="000F69E9"/>
    <w:rsid w:val="000F6D2F"/>
    <w:rsid w:val="000F749B"/>
    <w:rsid w:val="000F75F3"/>
    <w:rsid w:val="000F76A4"/>
    <w:rsid w:val="000F7D6A"/>
    <w:rsid w:val="000F7EF7"/>
    <w:rsid w:val="0010064F"/>
    <w:rsid w:val="001006D3"/>
    <w:rsid w:val="0010102C"/>
    <w:rsid w:val="0010110D"/>
    <w:rsid w:val="00101282"/>
    <w:rsid w:val="00101CBA"/>
    <w:rsid w:val="00101CBB"/>
    <w:rsid w:val="00101EC6"/>
    <w:rsid w:val="00102504"/>
    <w:rsid w:val="0010258A"/>
    <w:rsid w:val="00102662"/>
    <w:rsid w:val="0010281A"/>
    <w:rsid w:val="0010342F"/>
    <w:rsid w:val="00103437"/>
    <w:rsid w:val="0010379A"/>
    <w:rsid w:val="00103836"/>
    <w:rsid w:val="00103B7B"/>
    <w:rsid w:val="00103F29"/>
    <w:rsid w:val="00103F8C"/>
    <w:rsid w:val="0010415C"/>
    <w:rsid w:val="00104899"/>
    <w:rsid w:val="00104998"/>
    <w:rsid w:val="00104B37"/>
    <w:rsid w:val="00104B66"/>
    <w:rsid w:val="00105051"/>
    <w:rsid w:val="001053EE"/>
    <w:rsid w:val="00105405"/>
    <w:rsid w:val="001059F9"/>
    <w:rsid w:val="00105C88"/>
    <w:rsid w:val="001061E8"/>
    <w:rsid w:val="001064B5"/>
    <w:rsid w:val="001066A5"/>
    <w:rsid w:val="00106F4D"/>
    <w:rsid w:val="00106FD5"/>
    <w:rsid w:val="00107292"/>
    <w:rsid w:val="001076AC"/>
    <w:rsid w:val="0010774E"/>
    <w:rsid w:val="00107A02"/>
    <w:rsid w:val="00107D83"/>
    <w:rsid w:val="00107EB3"/>
    <w:rsid w:val="001102B2"/>
    <w:rsid w:val="00110CB4"/>
    <w:rsid w:val="00110F29"/>
    <w:rsid w:val="00111132"/>
    <w:rsid w:val="0011146C"/>
    <w:rsid w:val="001114DE"/>
    <w:rsid w:val="0011175C"/>
    <w:rsid w:val="00111762"/>
    <w:rsid w:val="001117D3"/>
    <w:rsid w:val="00111C4E"/>
    <w:rsid w:val="00111E98"/>
    <w:rsid w:val="001123AE"/>
    <w:rsid w:val="001123EC"/>
    <w:rsid w:val="00112D3D"/>
    <w:rsid w:val="0011314F"/>
    <w:rsid w:val="001131D0"/>
    <w:rsid w:val="00113300"/>
    <w:rsid w:val="0011389B"/>
    <w:rsid w:val="00113AD7"/>
    <w:rsid w:val="00113D0F"/>
    <w:rsid w:val="001143A4"/>
    <w:rsid w:val="00114829"/>
    <w:rsid w:val="001149D7"/>
    <w:rsid w:val="00114FE0"/>
    <w:rsid w:val="00115283"/>
    <w:rsid w:val="001152A9"/>
    <w:rsid w:val="001155CB"/>
    <w:rsid w:val="001157E8"/>
    <w:rsid w:val="00115940"/>
    <w:rsid w:val="00115C63"/>
    <w:rsid w:val="00115CFC"/>
    <w:rsid w:val="001161CF"/>
    <w:rsid w:val="00116232"/>
    <w:rsid w:val="0011646E"/>
    <w:rsid w:val="001164EF"/>
    <w:rsid w:val="0011658A"/>
    <w:rsid w:val="00116C17"/>
    <w:rsid w:val="00116F40"/>
    <w:rsid w:val="00117298"/>
    <w:rsid w:val="00117859"/>
    <w:rsid w:val="00117A3A"/>
    <w:rsid w:val="00117ACC"/>
    <w:rsid w:val="00117D1A"/>
    <w:rsid w:val="00117F57"/>
    <w:rsid w:val="0012046D"/>
    <w:rsid w:val="001208C9"/>
    <w:rsid w:val="00120B34"/>
    <w:rsid w:val="00120B6D"/>
    <w:rsid w:val="00120CF9"/>
    <w:rsid w:val="0012105C"/>
    <w:rsid w:val="0012115D"/>
    <w:rsid w:val="0012125B"/>
    <w:rsid w:val="00121568"/>
    <w:rsid w:val="001218A8"/>
    <w:rsid w:val="00121A8B"/>
    <w:rsid w:val="00122645"/>
    <w:rsid w:val="0012264B"/>
    <w:rsid w:val="00122847"/>
    <w:rsid w:val="0012319E"/>
    <w:rsid w:val="00123877"/>
    <w:rsid w:val="00123CC3"/>
    <w:rsid w:val="00123DB5"/>
    <w:rsid w:val="00124129"/>
    <w:rsid w:val="001245E9"/>
    <w:rsid w:val="001249CE"/>
    <w:rsid w:val="00124CEA"/>
    <w:rsid w:val="00124D71"/>
    <w:rsid w:val="00125332"/>
    <w:rsid w:val="0012549F"/>
    <w:rsid w:val="00125512"/>
    <w:rsid w:val="001256F9"/>
    <w:rsid w:val="001259E4"/>
    <w:rsid w:val="00125A71"/>
    <w:rsid w:val="00126033"/>
    <w:rsid w:val="001268BD"/>
    <w:rsid w:val="00126CE7"/>
    <w:rsid w:val="00126E10"/>
    <w:rsid w:val="001270D6"/>
    <w:rsid w:val="0012729A"/>
    <w:rsid w:val="001276E2"/>
    <w:rsid w:val="001278D2"/>
    <w:rsid w:val="00127B61"/>
    <w:rsid w:val="00127D11"/>
    <w:rsid w:val="00130266"/>
    <w:rsid w:val="0013056E"/>
    <w:rsid w:val="001305F6"/>
    <w:rsid w:val="0013075E"/>
    <w:rsid w:val="00130991"/>
    <w:rsid w:val="00130F92"/>
    <w:rsid w:val="00131671"/>
    <w:rsid w:val="001317F4"/>
    <w:rsid w:val="00131B82"/>
    <w:rsid w:val="00131C69"/>
    <w:rsid w:val="001322EC"/>
    <w:rsid w:val="00132947"/>
    <w:rsid w:val="00132A8F"/>
    <w:rsid w:val="00132D2B"/>
    <w:rsid w:val="0013309F"/>
    <w:rsid w:val="00133282"/>
    <w:rsid w:val="00133432"/>
    <w:rsid w:val="001336A6"/>
    <w:rsid w:val="00133B27"/>
    <w:rsid w:val="00133C25"/>
    <w:rsid w:val="00133FFF"/>
    <w:rsid w:val="0013487C"/>
    <w:rsid w:val="00134897"/>
    <w:rsid w:val="00134BFF"/>
    <w:rsid w:val="00134D0C"/>
    <w:rsid w:val="00134DB6"/>
    <w:rsid w:val="0013513F"/>
    <w:rsid w:val="00135399"/>
    <w:rsid w:val="0013542E"/>
    <w:rsid w:val="00135472"/>
    <w:rsid w:val="00135B10"/>
    <w:rsid w:val="00135E05"/>
    <w:rsid w:val="00135E98"/>
    <w:rsid w:val="001360EE"/>
    <w:rsid w:val="001362C5"/>
    <w:rsid w:val="00136436"/>
    <w:rsid w:val="0013647B"/>
    <w:rsid w:val="0013722E"/>
    <w:rsid w:val="001373F6"/>
    <w:rsid w:val="001374DB"/>
    <w:rsid w:val="001374FE"/>
    <w:rsid w:val="001375A9"/>
    <w:rsid w:val="001377E5"/>
    <w:rsid w:val="00140257"/>
    <w:rsid w:val="00140378"/>
    <w:rsid w:val="001408A0"/>
    <w:rsid w:val="00140C17"/>
    <w:rsid w:val="00140D79"/>
    <w:rsid w:val="001410FD"/>
    <w:rsid w:val="001411A7"/>
    <w:rsid w:val="001415B3"/>
    <w:rsid w:val="00141B1B"/>
    <w:rsid w:val="00141DEF"/>
    <w:rsid w:val="0014202D"/>
    <w:rsid w:val="001423F4"/>
    <w:rsid w:val="0014282C"/>
    <w:rsid w:val="00142A98"/>
    <w:rsid w:val="00142B25"/>
    <w:rsid w:val="00143063"/>
    <w:rsid w:val="001430CC"/>
    <w:rsid w:val="00143212"/>
    <w:rsid w:val="00143C64"/>
    <w:rsid w:val="00144354"/>
    <w:rsid w:val="00144692"/>
    <w:rsid w:val="00144EFD"/>
    <w:rsid w:val="00144FA8"/>
    <w:rsid w:val="00145346"/>
    <w:rsid w:val="0014545B"/>
    <w:rsid w:val="00145DD5"/>
    <w:rsid w:val="0014609F"/>
    <w:rsid w:val="00146365"/>
    <w:rsid w:val="00146793"/>
    <w:rsid w:val="001467CA"/>
    <w:rsid w:val="00146870"/>
    <w:rsid w:val="001469EA"/>
    <w:rsid w:val="00146A07"/>
    <w:rsid w:val="00146EA2"/>
    <w:rsid w:val="00147175"/>
    <w:rsid w:val="001471A0"/>
    <w:rsid w:val="001471D3"/>
    <w:rsid w:val="00147352"/>
    <w:rsid w:val="00147755"/>
    <w:rsid w:val="00147832"/>
    <w:rsid w:val="00147911"/>
    <w:rsid w:val="00147C4F"/>
    <w:rsid w:val="00147CBC"/>
    <w:rsid w:val="00147E95"/>
    <w:rsid w:val="00150943"/>
    <w:rsid w:val="00150C25"/>
    <w:rsid w:val="0015105C"/>
    <w:rsid w:val="00151134"/>
    <w:rsid w:val="001515CF"/>
    <w:rsid w:val="00151836"/>
    <w:rsid w:val="00151924"/>
    <w:rsid w:val="00151BE5"/>
    <w:rsid w:val="00151DAD"/>
    <w:rsid w:val="00151FF6"/>
    <w:rsid w:val="001520B2"/>
    <w:rsid w:val="001522E2"/>
    <w:rsid w:val="001522E5"/>
    <w:rsid w:val="001522F8"/>
    <w:rsid w:val="00152894"/>
    <w:rsid w:val="00152CA7"/>
    <w:rsid w:val="00152DCB"/>
    <w:rsid w:val="001535A0"/>
    <w:rsid w:val="001539D8"/>
    <w:rsid w:val="00153A45"/>
    <w:rsid w:val="00153A88"/>
    <w:rsid w:val="00154040"/>
    <w:rsid w:val="001548ED"/>
    <w:rsid w:val="0015498D"/>
    <w:rsid w:val="00154BD1"/>
    <w:rsid w:val="00154E33"/>
    <w:rsid w:val="00154E89"/>
    <w:rsid w:val="00155890"/>
    <w:rsid w:val="00155E65"/>
    <w:rsid w:val="00155F5A"/>
    <w:rsid w:val="00156605"/>
    <w:rsid w:val="001567E0"/>
    <w:rsid w:val="001568C7"/>
    <w:rsid w:val="00156A45"/>
    <w:rsid w:val="00156F00"/>
    <w:rsid w:val="001576A0"/>
    <w:rsid w:val="0015771F"/>
    <w:rsid w:val="00157AC6"/>
    <w:rsid w:val="00157AF8"/>
    <w:rsid w:val="00157C6A"/>
    <w:rsid w:val="00157E61"/>
    <w:rsid w:val="00157EE7"/>
    <w:rsid w:val="0016010F"/>
    <w:rsid w:val="0016014E"/>
    <w:rsid w:val="001601E4"/>
    <w:rsid w:val="0016086E"/>
    <w:rsid w:val="00160E8F"/>
    <w:rsid w:val="00161009"/>
    <w:rsid w:val="0016122C"/>
    <w:rsid w:val="00161699"/>
    <w:rsid w:val="00161BC3"/>
    <w:rsid w:val="00161EFC"/>
    <w:rsid w:val="00162135"/>
    <w:rsid w:val="00162594"/>
    <w:rsid w:val="001627E0"/>
    <w:rsid w:val="001627FA"/>
    <w:rsid w:val="00162890"/>
    <w:rsid w:val="00162A0B"/>
    <w:rsid w:val="00162FB6"/>
    <w:rsid w:val="00163387"/>
    <w:rsid w:val="001639A4"/>
    <w:rsid w:val="00163A91"/>
    <w:rsid w:val="00163D97"/>
    <w:rsid w:val="00163FAF"/>
    <w:rsid w:val="00163FD5"/>
    <w:rsid w:val="0016426E"/>
    <w:rsid w:val="00164317"/>
    <w:rsid w:val="0016432C"/>
    <w:rsid w:val="001647A3"/>
    <w:rsid w:val="001649EE"/>
    <w:rsid w:val="00164D48"/>
    <w:rsid w:val="00164E22"/>
    <w:rsid w:val="00165202"/>
    <w:rsid w:val="001654BB"/>
    <w:rsid w:val="00165E14"/>
    <w:rsid w:val="00165E7B"/>
    <w:rsid w:val="00165EB6"/>
    <w:rsid w:val="001660A8"/>
    <w:rsid w:val="001667DF"/>
    <w:rsid w:val="001669C7"/>
    <w:rsid w:val="00166AF5"/>
    <w:rsid w:val="00166CBE"/>
    <w:rsid w:val="00166E9E"/>
    <w:rsid w:val="00166F06"/>
    <w:rsid w:val="00166F11"/>
    <w:rsid w:val="00166F31"/>
    <w:rsid w:val="00166FB3"/>
    <w:rsid w:val="00167219"/>
    <w:rsid w:val="00167677"/>
    <w:rsid w:val="001678E3"/>
    <w:rsid w:val="00167A4E"/>
    <w:rsid w:val="00167AB8"/>
    <w:rsid w:val="00167AFB"/>
    <w:rsid w:val="00167BC1"/>
    <w:rsid w:val="00167F92"/>
    <w:rsid w:val="00170009"/>
    <w:rsid w:val="00170135"/>
    <w:rsid w:val="00170376"/>
    <w:rsid w:val="001703A5"/>
    <w:rsid w:val="00170428"/>
    <w:rsid w:val="00170710"/>
    <w:rsid w:val="00170B5C"/>
    <w:rsid w:val="00171394"/>
    <w:rsid w:val="0017172D"/>
    <w:rsid w:val="00171C5E"/>
    <w:rsid w:val="00172736"/>
    <w:rsid w:val="0017289D"/>
    <w:rsid w:val="00172B85"/>
    <w:rsid w:val="00172FEA"/>
    <w:rsid w:val="00173361"/>
    <w:rsid w:val="00173626"/>
    <w:rsid w:val="0017384D"/>
    <w:rsid w:val="0017389C"/>
    <w:rsid w:val="00173C29"/>
    <w:rsid w:val="0017441C"/>
    <w:rsid w:val="0017444C"/>
    <w:rsid w:val="00174500"/>
    <w:rsid w:val="001746A0"/>
    <w:rsid w:val="00174844"/>
    <w:rsid w:val="0017486E"/>
    <w:rsid w:val="0017492D"/>
    <w:rsid w:val="00174B4C"/>
    <w:rsid w:val="00174B66"/>
    <w:rsid w:val="00174E12"/>
    <w:rsid w:val="001751BE"/>
    <w:rsid w:val="00175527"/>
    <w:rsid w:val="00175657"/>
    <w:rsid w:val="00175C48"/>
    <w:rsid w:val="00175E88"/>
    <w:rsid w:val="00176170"/>
    <w:rsid w:val="0017638A"/>
    <w:rsid w:val="00176D4B"/>
    <w:rsid w:val="001771C9"/>
    <w:rsid w:val="001773FE"/>
    <w:rsid w:val="00177A79"/>
    <w:rsid w:val="00177C1C"/>
    <w:rsid w:val="00177E72"/>
    <w:rsid w:val="00180050"/>
    <w:rsid w:val="00180265"/>
    <w:rsid w:val="0018059F"/>
    <w:rsid w:val="001807D8"/>
    <w:rsid w:val="00180AF5"/>
    <w:rsid w:val="00181055"/>
    <w:rsid w:val="001812FF"/>
    <w:rsid w:val="00181373"/>
    <w:rsid w:val="001814CC"/>
    <w:rsid w:val="0018192F"/>
    <w:rsid w:val="00181B0C"/>
    <w:rsid w:val="00181BD6"/>
    <w:rsid w:val="00181CF1"/>
    <w:rsid w:val="00183130"/>
    <w:rsid w:val="00183A72"/>
    <w:rsid w:val="00183F52"/>
    <w:rsid w:val="0018429F"/>
    <w:rsid w:val="00184B04"/>
    <w:rsid w:val="00184B21"/>
    <w:rsid w:val="0018505C"/>
    <w:rsid w:val="0018523C"/>
    <w:rsid w:val="00185640"/>
    <w:rsid w:val="00185B23"/>
    <w:rsid w:val="00185B48"/>
    <w:rsid w:val="00185F45"/>
    <w:rsid w:val="001861AA"/>
    <w:rsid w:val="00186337"/>
    <w:rsid w:val="001868D3"/>
    <w:rsid w:val="00186B64"/>
    <w:rsid w:val="00186B9E"/>
    <w:rsid w:val="001870B5"/>
    <w:rsid w:val="00187338"/>
    <w:rsid w:val="0018744D"/>
    <w:rsid w:val="001875EE"/>
    <w:rsid w:val="001876E7"/>
    <w:rsid w:val="001879B5"/>
    <w:rsid w:val="00187B29"/>
    <w:rsid w:val="00187B63"/>
    <w:rsid w:val="001900B0"/>
    <w:rsid w:val="0019064B"/>
    <w:rsid w:val="00190822"/>
    <w:rsid w:val="001908E6"/>
    <w:rsid w:val="001908FD"/>
    <w:rsid w:val="00190ADD"/>
    <w:rsid w:val="00190BAD"/>
    <w:rsid w:val="00190EA5"/>
    <w:rsid w:val="00190FCF"/>
    <w:rsid w:val="001910FA"/>
    <w:rsid w:val="00191284"/>
    <w:rsid w:val="00191652"/>
    <w:rsid w:val="00191CB2"/>
    <w:rsid w:val="00191E86"/>
    <w:rsid w:val="00191FF0"/>
    <w:rsid w:val="00192402"/>
    <w:rsid w:val="00192780"/>
    <w:rsid w:val="001931D2"/>
    <w:rsid w:val="001931E5"/>
    <w:rsid w:val="001932B0"/>
    <w:rsid w:val="0019340A"/>
    <w:rsid w:val="00193874"/>
    <w:rsid w:val="00193900"/>
    <w:rsid w:val="00193966"/>
    <w:rsid w:val="00193D64"/>
    <w:rsid w:val="00193DC0"/>
    <w:rsid w:val="00193EB4"/>
    <w:rsid w:val="001940F4"/>
    <w:rsid w:val="00194163"/>
    <w:rsid w:val="001942A5"/>
    <w:rsid w:val="001946E2"/>
    <w:rsid w:val="001946EE"/>
    <w:rsid w:val="00194AA7"/>
    <w:rsid w:val="00194C2B"/>
    <w:rsid w:val="00194DE2"/>
    <w:rsid w:val="00194F3D"/>
    <w:rsid w:val="00195A5F"/>
    <w:rsid w:val="00195B96"/>
    <w:rsid w:val="00195FC4"/>
    <w:rsid w:val="001964B8"/>
    <w:rsid w:val="0019655D"/>
    <w:rsid w:val="00196AC9"/>
    <w:rsid w:val="00197057"/>
    <w:rsid w:val="00197073"/>
    <w:rsid w:val="001A0569"/>
    <w:rsid w:val="001A0910"/>
    <w:rsid w:val="001A096A"/>
    <w:rsid w:val="001A0F94"/>
    <w:rsid w:val="001A12B0"/>
    <w:rsid w:val="001A19C2"/>
    <w:rsid w:val="001A1A65"/>
    <w:rsid w:val="001A1CD0"/>
    <w:rsid w:val="001A1DC9"/>
    <w:rsid w:val="001A2610"/>
    <w:rsid w:val="001A29B1"/>
    <w:rsid w:val="001A309D"/>
    <w:rsid w:val="001A3897"/>
    <w:rsid w:val="001A3BCE"/>
    <w:rsid w:val="001A5034"/>
    <w:rsid w:val="001A538D"/>
    <w:rsid w:val="001A5537"/>
    <w:rsid w:val="001A57FD"/>
    <w:rsid w:val="001A630D"/>
    <w:rsid w:val="001A637D"/>
    <w:rsid w:val="001A646C"/>
    <w:rsid w:val="001A6527"/>
    <w:rsid w:val="001A65A5"/>
    <w:rsid w:val="001A6669"/>
    <w:rsid w:val="001A6689"/>
    <w:rsid w:val="001A68A2"/>
    <w:rsid w:val="001A6934"/>
    <w:rsid w:val="001A6EC5"/>
    <w:rsid w:val="001A7089"/>
    <w:rsid w:val="001A7371"/>
    <w:rsid w:val="001A7615"/>
    <w:rsid w:val="001A7966"/>
    <w:rsid w:val="001A7B36"/>
    <w:rsid w:val="001A7E6E"/>
    <w:rsid w:val="001B03E8"/>
    <w:rsid w:val="001B0682"/>
    <w:rsid w:val="001B081B"/>
    <w:rsid w:val="001B08E1"/>
    <w:rsid w:val="001B09EC"/>
    <w:rsid w:val="001B09F6"/>
    <w:rsid w:val="001B0D06"/>
    <w:rsid w:val="001B0E99"/>
    <w:rsid w:val="001B10CC"/>
    <w:rsid w:val="001B13D2"/>
    <w:rsid w:val="001B1C84"/>
    <w:rsid w:val="001B1EFC"/>
    <w:rsid w:val="001B2429"/>
    <w:rsid w:val="001B2A62"/>
    <w:rsid w:val="001B2AD4"/>
    <w:rsid w:val="001B2EA7"/>
    <w:rsid w:val="001B362E"/>
    <w:rsid w:val="001B3691"/>
    <w:rsid w:val="001B374E"/>
    <w:rsid w:val="001B38CA"/>
    <w:rsid w:val="001B4088"/>
    <w:rsid w:val="001B42EC"/>
    <w:rsid w:val="001B43F1"/>
    <w:rsid w:val="001B51F2"/>
    <w:rsid w:val="001B529E"/>
    <w:rsid w:val="001B52AF"/>
    <w:rsid w:val="001B540F"/>
    <w:rsid w:val="001B5867"/>
    <w:rsid w:val="001B5B80"/>
    <w:rsid w:val="001B5FE0"/>
    <w:rsid w:val="001B608D"/>
    <w:rsid w:val="001B60C4"/>
    <w:rsid w:val="001B6120"/>
    <w:rsid w:val="001B6578"/>
    <w:rsid w:val="001B6D99"/>
    <w:rsid w:val="001B7203"/>
    <w:rsid w:val="001B720A"/>
    <w:rsid w:val="001B75FE"/>
    <w:rsid w:val="001B7730"/>
    <w:rsid w:val="001B78A1"/>
    <w:rsid w:val="001B7AB6"/>
    <w:rsid w:val="001B7B05"/>
    <w:rsid w:val="001B7BDA"/>
    <w:rsid w:val="001B7BFC"/>
    <w:rsid w:val="001C037D"/>
    <w:rsid w:val="001C0434"/>
    <w:rsid w:val="001C0AFC"/>
    <w:rsid w:val="001C0C73"/>
    <w:rsid w:val="001C1366"/>
    <w:rsid w:val="001C18E1"/>
    <w:rsid w:val="001C1F3F"/>
    <w:rsid w:val="001C23DE"/>
    <w:rsid w:val="001C2434"/>
    <w:rsid w:val="001C28BD"/>
    <w:rsid w:val="001C2DDD"/>
    <w:rsid w:val="001C3457"/>
    <w:rsid w:val="001C3A42"/>
    <w:rsid w:val="001C45C9"/>
    <w:rsid w:val="001C4C81"/>
    <w:rsid w:val="001C5372"/>
    <w:rsid w:val="001C560D"/>
    <w:rsid w:val="001C5890"/>
    <w:rsid w:val="001C58A6"/>
    <w:rsid w:val="001C5E16"/>
    <w:rsid w:val="001C65C6"/>
    <w:rsid w:val="001C6A6B"/>
    <w:rsid w:val="001C7086"/>
    <w:rsid w:val="001C751C"/>
    <w:rsid w:val="001C77C8"/>
    <w:rsid w:val="001C7B62"/>
    <w:rsid w:val="001C7EB7"/>
    <w:rsid w:val="001D0407"/>
    <w:rsid w:val="001D06E3"/>
    <w:rsid w:val="001D071E"/>
    <w:rsid w:val="001D087C"/>
    <w:rsid w:val="001D0A67"/>
    <w:rsid w:val="001D0C4F"/>
    <w:rsid w:val="001D0D8A"/>
    <w:rsid w:val="001D0DED"/>
    <w:rsid w:val="001D1375"/>
    <w:rsid w:val="001D1532"/>
    <w:rsid w:val="001D1E53"/>
    <w:rsid w:val="001D2151"/>
    <w:rsid w:val="001D248E"/>
    <w:rsid w:val="001D2AE7"/>
    <w:rsid w:val="001D3245"/>
    <w:rsid w:val="001D3809"/>
    <w:rsid w:val="001D3D0E"/>
    <w:rsid w:val="001D4542"/>
    <w:rsid w:val="001D4613"/>
    <w:rsid w:val="001D461F"/>
    <w:rsid w:val="001D4753"/>
    <w:rsid w:val="001D4867"/>
    <w:rsid w:val="001D4D66"/>
    <w:rsid w:val="001D53B7"/>
    <w:rsid w:val="001D5496"/>
    <w:rsid w:val="001D572D"/>
    <w:rsid w:val="001D583C"/>
    <w:rsid w:val="001D5B52"/>
    <w:rsid w:val="001D5DFA"/>
    <w:rsid w:val="001D5EAA"/>
    <w:rsid w:val="001D60A4"/>
    <w:rsid w:val="001D6138"/>
    <w:rsid w:val="001D6355"/>
    <w:rsid w:val="001D636B"/>
    <w:rsid w:val="001D6B44"/>
    <w:rsid w:val="001D6E53"/>
    <w:rsid w:val="001D7004"/>
    <w:rsid w:val="001D70FF"/>
    <w:rsid w:val="001D71D7"/>
    <w:rsid w:val="001D733B"/>
    <w:rsid w:val="001D77D3"/>
    <w:rsid w:val="001D7E52"/>
    <w:rsid w:val="001D7EFC"/>
    <w:rsid w:val="001E063D"/>
    <w:rsid w:val="001E06A7"/>
    <w:rsid w:val="001E0839"/>
    <w:rsid w:val="001E085F"/>
    <w:rsid w:val="001E0A32"/>
    <w:rsid w:val="001E1235"/>
    <w:rsid w:val="001E1631"/>
    <w:rsid w:val="001E164C"/>
    <w:rsid w:val="001E16B4"/>
    <w:rsid w:val="001E186E"/>
    <w:rsid w:val="001E18AD"/>
    <w:rsid w:val="001E1B28"/>
    <w:rsid w:val="001E1DA9"/>
    <w:rsid w:val="001E231E"/>
    <w:rsid w:val="001E245E"/>
    <w:rsid w:val="001E2479"/>
    <w:rsid w:val="001E26FD"/>
    <w:rsid w:val="001E2BB5"/>
    <w:rsid w:val="001E2D1C"/>
    <w:rsid w:val="001E394D"/>
    <w:rsid w:val="001E39CB"/>
    <w:rsid w:val="001E3A51"/>
    <w:rsid w:val="001E3AA1"/>
    <w:rsid w:val="001E3E9F"/>
    <w:rsid w:val="001E45BE"/>
    <w:rsid w:val="001E48AC"/>
    <w:rsid w:val="001E4998"/>
    <w:rsid w:val="001E4B27"/>
    <w:rsid w:val="001E4FF1"/>
    <w:rsid w:val="001E5349"/>
    <w:rsid w:val="001E547B"/>
    <w:rsid w:val="001E5698"/>
    <w:rsid w:val="001E5E4B"/>
    <w:rsid w:val="001E5FEB"/>
    <w:rsid w:val="001E6219"/>
    <w:rsid w:val="001E63FB"/>
    <w:rsid w:val="001E6582"/>
    <w:rsid w:val="001E66A7"/>
    <w:rsid w:val="001E698E"/>
    <w:rsid w:val="001E6B0E"/>
    <w:rsid w:val="001E7256"/>
    <w:rsid w:val="001E752E"/>
    <w:rsid w:val="001E7D7E"/>
    <w:rsid w:val="001E7DEC"/>
    <w:rsid w:val="001E7E74"/>
    <w:rsid w:val="001E7FE6"/>
    <w:rsid w:val="001F004A"/>
    <w:rsid w:val="001F0626"/>
    <w:rsid w:val="001F0886"/>
    <w:rsid w:val="001F0C32"/>
    <w:rsid w:val="001F0D71"/>
    <w:rsid w:val="001F0DE9"/>
    <w:rsid w:val="001F11F0"/>
    <w:rsid w:val="001F1FEF"/>
    <w:rsid w:val="001F2188"/>
    <w:rsid w:val="001F2207"/>
    <w:rsid w:val="001F263B"/>
    <w:rsid w:val="001F2990"/>
    <w:rsid w:val="001F29F9"/>
    <w:rsid w:val="001F2B4D"/>
    <w:rsid w:val="001F2BB8"/>
    <w:rsid w:val="001F2D56"/>
    <w:rsid w:val="001F2EA9"/>
    <w:rsid w:val="001F2F69"/>
    <w:rsid w:val="001F303C"/>
    <w:rsid w:val="001F3409"/>
    <w:rsid w:val="001F3421"/>
    <w:rsid w:val="001F3625"/>
    <w:rsid w:val="001F363F"/>
    <w:rsid w:val="001F3C4B"/>
    <w:rsid w:val="001F3E8A"/>
    <w:rsid w:val="001F3FFD"/>
    <w:rsid w:val="001F4064"/>
    <w:rsid w:val="001F426E"/>
    <w:rsid w:val="001F42CB"/>
    <w:rsid w:val="001F43B4"/>
    <w:rsid w:val="001F47C6"/>
    <w:rsid w:val="001F4AED"/>
    <w:rsid w:val="001F50DF"/>
    <w:rsid w:val="001F527D"/>
    <w:rsid w:val="001F528A"/>
    <w:rsid w:val="001F53C1"/>
    <w:rsid w:val="001F54AB"/>
    <w:rsid w:val="001F54D7"/>
    <w:rsid w:val="001F56D3"/>
    <w:rsid w:val="001F5FFC"/>
    <w:rsid w:val="001F62CA"/>
    <w:rsid w:val="001F62F1"/>
    <w:rsid w:val="001F68F1"/>
    <w:rsid w:val="001F6929"/>
    <w:rsid w:val="001F69E0"/>
    <w:rsid w:val="001F74C6"/>
    <w:rsid w:val="001F7739"/>
    <w:rsid w:val="001F77CB"/>
    <w:rsid w:val="001F7B25"/>
    <w:rsid w:val="001F7C35"/>
    <w:rsid w:val="001F7DB8"/>
    <w:rsid w:val="001F7FAF"/>
    <w:rsid w:val="00200012"/>
    <w:rsid w:val="002002D4"/>
    <w:rsid w:val="0020049B"/>
    <w:rsid w:val="00200551"/>
    <w:rsid w:val="00200678"/>
    <w:rsid w:val="002006A6"/>
    <w:rsid w:val="0020070A"/>
    <w:rsid w:val="0020072D"/>
    <w:rsid w:val="00200B35"/>
    <w:rsid w:val="00200D77"/>
    <w:rsid w:val="00200F77"/>
    <w:rsid w:val="002012F8"/>
    <w:rsid w:val="00201381"/>
    <w:rsid w:val="00201524"/>
    <w:rsid w:val="002018FD"/>
    <w:rsid w:val="00201BB8"/>
    <w:rsid w:val="002022B6"/>
    <w:rsid w:val="00202AA7"/>
    <w:rsid w:val="0020307F"/>
    <w:rsid w:val="002034A1"/>
    <w:rsid w:val="0020383A"/>
    <w:rsid w:val="00204000"/>
    <w:rsid w:val="00204037"/>
    <w:rsid w:val="002043E5"/>
    <w:rsid w:val="0020457F"/>
    <w:rsid w:val="00204CB2"/>
    <w:rsid w:val="00205265"/>
    <w:rsid w:val="002052A4"/>
    <w:rsid w:val="002052F0"/>
    <w:rsid w:val="0020619B"/>
    <w:rsid w:val="002064F8"/>
    <w:rsid w:val="0020669B"/>
    <w:rsid w:val="002069C9"/>
    <w:rsid w:val="002069EF"/>
    <w:rsid w:val="00206A4D"/>
    <w:rsid w:val="00206BF9"/>
    <w:rsid w:val="002071AF"/>
    <w:rsid w:val="002071FF"/>
    <w:rsid w:val="00207353"/>
    <w:rsid w:val="0020760F"/>
    <w:rsid w:val="00207724"/>
    <w:rsid w:val="002078DE"/>
    <w:rsid w:val="00207C48"/>
    <w:rsid w:val="00210152"/>
    <w:rsid w:val="002104BC"/>
    <w:rsid w:val="00210999"/>
    <w:rsid w:val="00211123"/>
    <w:rsid w:val="00211327"/>
    <w:rsid w:val="002113A1"/>
    <w:rsid w:val="00211FE4"/>
    <w:rsid w:val="002124A8"/>
    <w:rsid w:val="00212744"/>
    <w:rsid w:val="00212D82"/>
    <w:rsid w:val="00212D8D"/>
    <w:rsid w:val="00212E84"/>
    <w:rsid w:val="00212EA7"/>
    <w:rsid w:val="00212F07"/>
    <w:rsid w:val="00212FBA"/>
    <w:rsid w:val="0021382A"/>
    <w:rsid w:val="002139FC"/>
    <w:rsid w:val="00213ACD"/>
    <w:rsid w:val="00213C96"/>
    <w:rsid w:val="00215037"/>
    <w:rsid w:val="002151B1"/>
    <w:rsid w:val="002153FF"/>
    <w:rsid w:val="00215A9B"/>
    <w:rsid w:val="00215B9C"/>
    <w:rsid w:val="00215CDB"/>
    <w:rsid w:val="0021604E"/>
    <w:rsid w:val="00216179"/>
    <w:rsid w:val="002161A4"/>
    <w:rsid w:val="002167BA"/>
    <w:rsid w:val="00216B11"/>
    <w:rsid w:val="00216D07"/>
    <w:rsid w:val="002174B4"/>
    <w:rsid w:val="002176D1"/>
    <w:rsid w:val="002176F2"/>
    <w:rsid w:val="0021784B"/>
    <w:rsid w:val="00217B15"/>
    <w:rsid w:val="00217E43"/>
    <w:rsid w:val="002200FA"/>
    <w:rsid w:val="002203F0"/>
    <w:rsid w:val="0022041C"/>
    <w:rsid w:val="00220555"/>
    <w:rsid w:val="0022068D"/>
    <w:rsid w:val="00220A71"/>
    <w:rsid w:val="00220A7B"/>
    <w:rsid w:val="002213BB"/>
    <w:rsid w:val="00221526"/>
    <w:rsid w:val="0022170D"/>
    <w:rsid w:val="0022187C"/>
    <w:rsid w:val="0022286E"/>
    <w:rsid w:val="00223281"/>
    <w:rsid w:val="0022382D"/>
    <w:rsid w:val="00223A04"/>
    <w:rsid w:val="00223B32"/>
    <w:rsid w:val="00223C69"/>
    <w:rsid w:val="00223C7F"/>
    <w:rsid w:val="00223FC8"/>
    <w:rsid w:val="0022450D"/>
    <w:rsid w:val="00224D76"/>
    <w:rsid w:val="0022510A"/>
    <w:rsid w:val="00225808"/>
    <w:rsid w:val="00225830"/>
    <w:rsid w:val="00225931"/>
    <w:rsid w:val="00225E02"/>
    <w:rsid w:val="002262B6"/>
    <w:rsid w:val="00226899"/>
    <w:rsid w:val="00226972"/>
    <w:rsid w:val="00226AE5"/>
    <w:rsid w:val="00226BE1"/>
    <w:rsid w:val="0022729B"/>
    <w:rsid w:val="00227577"/>
    <w:rsid w:val="002275B6"/>
    <w:rsid w:val="00227F1F"/>
    <w:rsid w:val="002305D3"/>
    <w:rsid w:val="00230FF2"/>
    <w:rsid w:val="002311DC"/>
    <w:rsid w:val="002313FB"/>
    <w:rsid w:val="00231416"/>
    <w:rsid w:val="00231477"/>
    <w:rsid w:val="00231579"/>
    <w:rsid w:val="002319B9"/>
    <w:rsid w:val="00231B5B"/>
    <w:rsid w:val="00231D8C"/>
    <w:rsid w:val="00232113"/>
    <w:rsid w:val="0023213D"/>
    <w:rsid w:val="002323D9"/>
    <w:rsid w:val="00232C96"/>
    <w:rsid w:val="00232E2D"/>
    <w:rsid w:val="00232E2F"/>
    <w:rsid w:val="002330A4"/>
    <w:rsid w:val="00233460"/>
    <w:rsid w:val="0023370C"/>
    <w:rsid w:val="002337EB"/>
    <w:rsid w:val="002338FC"/>
    <w:rsid w:val="002340BF"/>
    <w:rsid w:val="0023437C"/>
    <w:rsid w:val="0023453B"/>
    <w:rsid w:val="00234834"/>
    <w:rsid w:val="00234874"/>
    <w:rsid w:val="00234FA0"/>
    <w:rsid w:val="002350D2"/>
    <w:rsid w:val="00235238"/>
    <w:rsid w:val="00235A24"/>
    <w:rsid w:val="00235AF3"/>
    <w:rsid w:val="00236042"/>
    <w:rsid w:val="002361C9"/>
    <w:rsid w:val="00236493"/>
    <w:rsid w:val="00236E03"/>
    <w:rsid w:val="00236E54"/>
    <w:rsid w:val="0023706C"/>
    <w:rsid w:val="00237276"/>
    <w:rsid w:val="002372A5"/>
    <w:rsid w:val="0023740A"/>
    <w:rsid w:val="002379CF"/>
    <w:rsid w:val="00237FD2"/>
    <w:rsid w:val="002400BD"/>
    <w:rsid w:val="00240522"/>
    <w:rsid w:val="002408A8"/>
    <w:rsid w:val="00240D6C"/>
    <w:rsid w:val="00240E15"/>
    <w:rsid w:val="00240E5E"/>
    <w:rsid w:val="00241B8A"/>
    <w:rsid w:val="00241EAD"/>
    <w:rsid w:val="00242422"/>
    <w:rsid w:val="002425B8"/>
    <w:rsid w:val="00242712"/>
    <w:rsid w:val="002429A4"/>
    <w:rsid w:val="00242F8E"/>
    <w:rsid w:val="002437A1"/>
    <w:rsid w:val="00243933"/>
    <w:rsid w:val="002441A7"/>
    <w:rsid w:val="002441DA"/>
    <w:rsid w:val="002448B0"/>
    <w:rsid w:val="00244E2A"/>
    <w:rsid w:val="00245062"/>
    <w:rsid w:val="00245499"/>
    <w:rsid w:val="002454AE"/>
    <w:rsid w:val="00245874"/>
    <w:rsid w:val="002458EE"/>
    <w:rsid w:val="00245A87"/>
    <w:rsid w:val="00245B66"/>
    <w:rsid w:val="00245CA6"/>
    <w:rsid w:val="00246462"/>
    <w:rsid w:val="00246882"/>
    <w:rsid w:val="002468E3"/>
    <w:rsid w:val="002469EA"/>
    <w:rsid w:val="00246F83"/>
    <w:rsid w:val="00247A79"/>
    <w:rsid w:val="00247BC5"/>
    <w:rsid w:val="00247C4E"/>
    <w:rsid w:val="00247FC8"/>
    <w:rsid w:val="002500AB"/>
    <w:rsid w:val="00250185"/>
    <w:rsid w:val="00250395"/>
    <w:rsid w:val="00250606"/>
    <w:rsid w:val="002507FD"/>
    <w:rsid w:val="00250B5A"/>
    <w:rsid w:val="00250F9B"/>
    <w:rsid w:val="00251290"/>
    <w:rsid w:val="002513B5"/>
    <w:rsid w:val="002513D2"/>
    <w:rsid w:val="00251A01"/>
    <w:rsid w:val="00251E90"/>
    <w:rsid w:val="00252098"/>
    <w:rsid w:val="00252106"/>
    <w:rsid w:val="00252122"/>
    <w:rsid w:val="00252442"/>
    <w:rsid w:val="0025287D"/>
    <w:rsid w:val="00252B17"/>
    <w:rsid w:val="002531CB"/>
    <w:rsid w:val="002534AE"/>
    <w:rsid w:val="00253664"/>
    <w:rsid w:val="00253710"/>
    <w:rsid w:val="0025388D"/>
    <w:rsid w:val="00253C84"/>
    <w:rsid w:val="002540A5"/>
    <w:rsid w:val="00254176"/>
    <w:rsid w:val="0025423D"/>
    <w:rsid w:val="002546E8"/>
    <w:rsid w:val="00254743"/>
    <w:rsid w:val="00254B36"/>
    <w:rsid w:val="00254C38"/>
    <w:rsid w:val="00254C52"/>
    <w:rsid w:val="002559AE"/>
    <w:rsid w:val="00255A9F"/>
    <w:rsid w:val="00255E81"/>
    <w:rsid w:val="002560B8"/>
    <w:rsid w:val="00256154"/>
    <w:rsid w:val="002563CF"/>
    <w:rsid w:val="00256710"/>
    <w:rsid w:val="00256965"/>
    <w:rsid w:val="00256ED8"/>
    <w:rsid w:val="00256F49"/>
    <w:rsid w:val="0025740C"/>
    <w:rsid w:val="002574C0"/>
    <w:rsid w:val="002578E8"/>
    <w:rsid w:val="00257A35"/>
    <w:rsid w:val="00257BE6"/>
    <w:rsid w:val="00257FF9"/>
    <w:rsid w:val="002602D6"/>
    <w:rsid w:val="0026097A"/>
    <w:rsid w:val="00260C5C"/>
    <w:rsid w:val="00261007"/>
    <w:rsid w:val="0026112B"/>
    <w:rsid w:val="002612B0"/>
    <w:rsid w:val="002613B2"/>
    <w:rsid w:val="0026159E"/>
    <w:rsid w:val="00261620"/>
    <w:rsid w:val="002618D5"/>
    <w:rsid w:val="00261C7B"/>
    <w:rsid w:val="00261E40"/>
    <w:rsid w:val="0026215D"/>
    <w:rsid w:val="002630A4"/>
    <w:rsid w:val="00263402"/>
    <w:rsid w:val="00263484"/>
    <w:rsid w:val="0026380C"/>
    <w:rsid w:val="002638CA"/>
    <w:rsid w:val="00263C21"/>
    <w:rsid w:val="00263D45"/>
    <w:rsid w:val="00263DC6"/>
    <w:rsid w:val="00264A69"/>
    <w:rsid w:val="00264C8D"/>
    <w:rsid w:val="00264E80"/>
    <w:rsid w:val="0026506D"/>
    <w:rsid w:val="00265308"/>
    <w:rsid w:val="002655C9"/>
    <w:rsid w:val="00265D50"/>
    <w:rsid w:val="00265E56"/>
    <w:rsid w:val="00265E94"/>
    <w:rsid w:val="002661EE"/>
    <w:rsid w:val="002668F2"/>
    <w:rsid w:val="00266CF0"/>
    <w:rsid w:val="00267225"/>
    <w:rsid w:val="0026781F"/>
    <w:rsid w:val="002678CF"/>
    <w:rsid w:val="00267B59"/>
    <w:rsid w:val="00267CCD"/>
    <w:rsid w:val="002701C1"/>
    <w:rsid w:val="002702B8"/>
    <w:rsid w:val="0027061B"/>
    <w:rsid w:val="0027077D"/>
    <w:rsid w:val="00270A3F"/>
    <w:rsid w:val="00270D53"/>
    <w:rsid w:val="00270EC0"/>
    <w:rsid w:val="00270EEE"/>
    <w:rsid w:val="00271166"/>
    <w:rsid w:val="0027190D"/>
    <w:rsid w:val="00272948"/>
    <w:rsid w:val="00272A1C"/>
    <w:rsid w:val="00272D42"/>
    <w:rsid w:val="00272F1E"/>
    <w:rsid w:val="0027317D"/>
    <w:rsid w:val="002734FA"/>
    <w:rsid w:val="00273C0B"/>
    <w:rsid w:val="00273DB1"/>
    <w:rsid w:val="00273EAD"/>
    <w:rsid w:val="00274064"/>
    <w:rsid w:val="00274853"/>
    <w:rsid w:val="00274BA0"/>
    <w:rsid w:val="00274C3D"/>
    <w:rsid w:val="00274EEB"/>
    <w:rsid w:val="00275040"/>
    <w:rsid w:val="00275240"/>
    <w:rsid w:val="00275440"/>
    <w:rsid w:val="002754C3"/>
    <w:rsid w:val="00275605"/>
    <w:rsid w:val="0027577C"/>
    <w:rsid w:val="00275C19"/>
    <w:rsid w:val="00275C68"/>
    <w:rsid w:val="00275CC0"/>
    <w:rsid w:val="002761D9"/>
    <w:rsid w:val="00276251"/>
    <w:rsid w:val="002762AF"/>
    <w:rsid w:val="00276AF0"/>
    <w:rsid w:val="00277649"/>
    <w:rsid w:val="0027793F"/>
    <w:rsid w:val="00277C42"/>
    <w:rsid w:val="002803D2"/>
    <w:rsid w:val="002804CB"/>
    <w:rsid w:val="00280644"/>
    <w:rsid w:val="0028080A"/>
    <w:rsid w:val="00280A3E"/>
    <w:rsid w:val="00280D21"/>
    <w:rsid w:val="00281350"/>
    <w:rsid w:val="002814C0"/>
    <w:rsid w:val="002816C6"/>
    <w:rsid w:val="002819D1"/>
    <w:rsid w:val="00281A46"/>
    <w:rsid w:val="00281ACA"/>
    <w:rsid w:val="002822AA"/>
    <w:rsid w:val="002823A7"/>
    <w:rsid w:val="002823CC"/>
    <w:rsid w:val="002824FB"/>
    <w:rsid w:val="00282A9B"/>
    <w:rsid w:val="00282E1F"/>
    <w:rsid w:val="00283373"/>
    <w:rsid w:val="002837A1"/>
    <w:rsid w:val="00284A59"/>
    <w:rsid w:val="00284AB3"/>
    <w:rsid w:val="00284B0A"/>
    <w:rsid w:val="00284E22"/>
    <w:rsid w:val="00284F16"/>
    <w:rsid w:val="00284FFA"/>
    <w:rsid w:val="002851F5"/>
    <w:rsid w:val="00285265"/>
    <w:rsid w:val="002858BA"/>
    <w:rsid w:val="0028595B"/>
    <w:rsid w:val="00285AC0"/>
    <w:rsid w:val="00285F75"/>
    <w:rsid w:val="00286298"/>
    <w:rsid w:val="00286458"/>
    <w:rsid w:val="002864CB"/>
    <w:rsid w:val="00286670"/>
    <w:rsid w:val="00286794"/>
    <w:rsid w:val="002867E5"/>
    <w:rsid w:val="00286F21"/>
    <w:rsid w:val="00287BDF"/>
    <w:rsid w:val="002904A7"/>
    <w:rsid w:val="002905D4"/>
    <w:rsid w:val="00290CF4"/>
    <w:rsid w:val="00290E5C"/>
    <w:rsid w:val="0029119F"/>
    <w:rsid w:val="00291706"/>
    <w:rsid w:val="00291B59"/>
    <w:rsid w:val="00291BA2"/>
    <w:rsid w:val="00291DA8"/>
    <w:rsid w:val="00292598"/>
    <w:rsid w:val="00292D4F"/>
    <w:rsid w:val="00292E18"/>
    <w:rsid w:val="00292EC3"/>
    <w:rsid w:val="0029334D"/>
    <w:rsid w:val="0029360C"/>
    <w:rsid w:val="00293BC7"/>
    <w:rsid w:val="00293C3A"/>
    <w:rsid w:val="00293D41"/>
    <w:rsid w:val="00293E42"/>
    <w:rsid w:val="002945CB"/>
    <w:rsid w:val="00294756"/>
    <w:rsid w:val="00294ACF"/>
    <w:rsid w:val="00294C8E"/>
    <w:rsid w:val="00294D51"/>
    <w:rsid w:val="00294DC2"/>
    <w:rsid w:val="00294FD1"/>
    <w:rsid w:val="002950DF"/>
    <w:rsid w:val="0029544D"/>
    <w:rsid w:val="00295D1C"/>
    <w:rsid w:val="00295E42"/>
    <w:rsid w:val="002960B8"/>
    <w:rsid w:val="00296156"/>
    <w:rsid w:val="002964E6"/>
    <w:rsid w:val="00296717"/>
    <w:rsid w:val="00296834"/>
    <w:rsid w:val="00296C91"/>
    <w:rsid w:val="00296D83"/>
    <w:rsid w:val="00296E1C"/>
    <w:rsid w:val="00296EED"/>
    <w:rsid w:val="0029716C"/>
    <w:rsid w:val="00297451"/>
    <w:rsid w:val="00297459"/>
    <w:rsid w:val="00297A30"/>
    <w:rsid w:val="002A05C4"/>
    <w:rsid w:val="002A0CCF"/>
    <w:rsid w:val="002A0D64"/>
    <w:rsid w:val="002A13B3"/>
    <w:rsid w:val="002A19F2"/>
    <w:rsid w:val="002A1B3A"/>
    <w:rsid w:val="002A1E23"/>
    <w:rsid w:val="002A1ED4"/>
    <w:rsid w:val="002A239F"/>
    <w:rsid w:val="002A250E"/>
    <w:rsid w:val="002A295B"/>
    <w:rsid w:val="002A2ABE"/>
    <w:rsid w:val="002A2BC9"/>
    <w:rsid w:val="002A2C37"/>
    <w:rsid w:val="002A2D6F"/>
    <w:rsid w:val="002A366C"/>
    <w:rsid w:val="002A3A81"/>
    <w:rsid w:val="002A3F34"/>
    <w:rsid w:val="002A3F5E"/>
    <w:rsid w:val="002A4327"/>
    <w:rsid w:val="002A45C2"/>
    <w:rsid w:val="002A4637"/>
    <w:rsid w:val="002A4667"/>
    <w:rsid w:val="002A4668"/>
    <w:rsid w:val="002A4F16"/>
    <w:rsid w:val="002A5107"/>
    <w:rsid w:val="002A562C"/>
    <w:rsid w:val="002A59B2"/>
    <w:rsid w:val="002A5B0B"/>
    <w:rsid w:val="002A5DDB"/>
    <w:rsid w:val="002A5F6E"/>
    <w:rsid w:val="002A60FD"/>
    <w:rsid w:val="002A67F4"/>
    <w:rsid w:val="002A68B4"/>
    <w:rsid w:val="002A6D44"/>
    <w:rsid w:val="002A6D7D"/>
    <w:rsid w:val="002A7202"/>
    <w:rsid w:val="002A7F53"/>
    <w:rsid w:val="002B030D"/>
    <w:rsid w:val="002B03F5"/>
    <w:rsid w:val="002B06FD"/>
    <w:rsid w:val="002B0DA6"/>
    <w:rsid w:val="002B0F71"/>
    <w:rsid w:val="002B144B"/>
    <w:rsid w:val="002B151C"/>
    <w:rsid w:val="002B1A05"/>
    <w:rsid w:val="002B22D1"/>
    <w:rsid w:val="002B24A6"/>
    <w:rsid w:val="002B2AC0"/>
    <w:rsid w:val="002B2F64"/>
    <w:rsid w:val="002B31A9"/>
    <w:rsid w:val="002B327C"/>
    <w:rsid w:val="002B32C5"/>
    <w:rsid w:val="002B3668"/>
    <w:rsid w:val="002B38A7"/>
    <w:rsid w:val="002B3B9B"/>
    <w:rsid w:val="002B3EB5"/>
    <w:rsid w:val="002B3F08"/>
    <w:rsid w:val="002B4036"/>
    <w:rsid w:val="002B4233"/>
    <w:rsid w:val="002B4705"/>
    <w:rsid w:val="002B56F3"/>
    <w:rsid w:val="002B5B47"/>
    <w:rsid w:val="002B5CE1"/>
    <w:rsid w:val="002B5E47"/>
    <w:rsid w:val="002B5FC4"/>
    <w:rsid w:val="002B60B2"/>
    <w:rsid w:val="002B6459"/>
    <w:rsid w:val="002B647E"/>
    <w:rsid w:val="002B6AB7"/>
    <w:rsid w:val="002B6DF7"/>
    <w:rsid w:val="002B6F89"/>
    <w:rsid w:val="002B7566"/>
    <w:rsid w:val="002B7CA5"/>
    <w:rsid w:val="002B7D92"/>
    <w:rsid w:val="002C08CC"/>
    <w:rsid w:val="002C151E"/>
    <w:rsid w:val="002C25AA"/>
    <w:rsid w:val="002C2626"/>
    <w:rsid w:val="002C27D8"/>
    <w:rsid w:val="002C28F0"/>
    <w:rsid w:val="002C2BAA"/>
    <w:rsid w:val="002C2BD9"/>
    <w:rsid w:val="002C2BEE"/>
    <w:rsid w:val="002C2F36"/>
    <w:rsid w:val="002C2F5D"/>
    <w:rsid w:val="002C32CE"/>
    <w:rsid w:val="002C3CC9"/>
    <w:rsid w:val="002C3DEC"/>
    <w:rsid w:val="002C3E62"/>
    <w:rsid w:val="002C4154"/>
    <w:rsid w:val="002C4207"/>
    <w:rsid w:val="002C4C8F"/>
    <w:rsid w:val="002C4E9C"/>
    <w:rsid w:val="002C4FD5"/>
    <w:rsid w:val="002C5163"/>
    <w:rsid w:val="002C53DA"/>
    <w:rsid w:val="002C57F5"/>
    <w:rsid w:val="002C58A2"/>
    <w:rsid w:val="002C5A46"/>
    <w:rsid w:val="002C5BEA"/>
    <w:rsid w:val="002C6052"/>
    <w:rsid w:val="002C6274"/>
    <w:rsid w:val="002C628D"/>
    <w:rsid w:val="002C6758"/>
    <w:rsid w:val="002C6924"/>
    <w:rsid w:val="002C6AD1"/>
    <w:rsid w:val="002C7308"/>
    <w:rsid w:val="002C756F"/>
    <w:rsid w:val="002C763C"/>
    <w:rsid w:val="002C7AFF"/>
    <w:rsid w:val="002C7E27"/>
    <w:rsid w:val="002D0009"/>
    <w:rsid w:val="002D012B"/>
    <w:rsid w:val="002D014B"/>
    <w:rsid w:val="002D02D5"/>
    <w:rsid w:val="002D050F"/>
    <w:rsid w:val="002D196C"/>
    <w:rsid w:val="002D1B47"/>
    <w:rsid w:val="002D1D07"/>
    <w:rsid w:val="002D1D4F"/>
    <w:rsid w:val="002D1F81"/>
    <w:rsid w:val="002D261B"/>
    <w:rsid w:val="002D2682"/>
    <w:rsid w:val="002D2896"/>
    <w:rsid w:val="002D2B75"/>
    <w:rsid w:val="002D2F3F"/>
    <w:rsid w:val="002D2FC7"/>
    <w:rsid w:val="002D3383"/>
    <w:rsid w:val="002D413F"/>
    <w:rsid w:val="002D416D"/>
    <w:rsid w:val="002D4263"/>
    <w:rsid w:val="002D4477"/>
    <w:rsid w:val="002D45F7"/>
    <w:rsid w:val="002D4A2B"/>
    <w:rsid w:val="002D4E6F"/>
    <w:rsid w:val="002D527C"/>
    <w:rsid w:val="002D53B9"/>
    <w:rsid w:val="002D57EC"/>
    <w:rsid w:val="002D65AA"/>
    <w:rsid w:val="002D7090"/>
    <w:rsid w:val="002D7E1B"/>
    <w:rsid w:val="002D7ED3"/>
    <w:rsid w:val="002D7F99"/>
    <w:rsid w:val="002E0610"/>
    <w:rsid w:val="002E0986"/>
    <w:rsid w:val="002E0E17"/>
    <w:rsid w:val="002E13A4"/>
    <w:rsid w:val="002E1821"/>
    <w:rsid w:val="002E1B8C"/>
    <w:rsid w:val="002E1C9A"/>
    <w:rsid w:val="002E2394"/>
    <w:rsid w:val="002E261B"/>
    <w:rsid w:val="002E27E4"/>
    <w:rsid w:val="002E2A1F"/>
    <w:rsid w:val="002E2BB8"/>
    <w:rsid w:val="002E2ED7"/>
    <w:rsid w:val="002E2F22"/>
    <w:rsid w:val="002E36A8"/>
    <w:rsid w:val="002E3919"/>
    <w:rsid w:val="002E39A7"/>
    <w:rsid w:val="002E3B6D"/>
    <w:rsid w:val="002E3C9C"/>
    <w:rsid w:val="002E3D72"/>
    <w:rsid w:val="002E3E20"/>
    <w:rsid w:val="002E3FB3"/>
    <w:rsid w:val="002E3FC6"/>
    <w:rsid w:val="002E3FD0"/>
    <w:rsid w:val="002E4286"/>
    <w:rsid w:val="002E4ADB"/>
    <w:rsid w:val="002E4CF6"/>
    <w:rsid w:val="002E4E6C"/>
    <w:rsid w:val="002E4FFB"/>
    <w:rsid w:val="002E5576"/>
    <w:rsid w:val="002E5A03"/>
    <w:rsid w:val="002E5B1F"/>
    <w:rsid w:val="002E5BCA"/>
    <w:rsid w:val="002E5D8E"/>
    <w:rsid w:val="002E5E50"/>
    <w:rsid w:val="002E663F"/>
    <w:rsid w:val="002E66F7"/>
    <w:rsid w:val="002E6AC0"/>
    <w:rsid w:val="002E70B2"/>
    <w:rsid w:val="002E711D"/>
    <w:rsid w:val="002E7F6C"/>
    <w:rsid w:val="002F011F"/>
    <w:rsid w:val="002F01C7"/>
    <w:rsid w:val="002F04C7"/>
    <w:rsid w:val="002F0CF2"/>
    <w:rsid w:val="002F0D87"/>
    <w:rsid w:val="002F0EAB"/>
    <w:rsid w:val="002F12CC"/>
    <w:rsid w:val="002F1658"/>
    <w:rsid w:val="002F1AC1"/>
    <w:rsid w:val="002F1B41"/>
    <w:rsid w:val="002F1C32"/>
    <w:rsid w:val="002F1EC4"/>
    <w:rsid w:val="002F2168"/>
    <w:rsid w:val="002F2302"/>
    <w:rsid w:val="002F2773"/>
    <w:rsid w:val="002F29B6"/>
    <w:rsid w:val="002F2AAA"/>
    <w:rsid w:val="002F2F29"/>
    <w:rsid w:val="002F2F42"/>
    <w:rsid w:val="002F36AA"/>
    <w:rsid w:val="002F37BD"/>
    <w:rsid w:val="002F3D61"/>
    <w:rsid w:val="002F3FE1"/>
    <w:rsid w:val="002F45FF"/>
    <w:rsid w:val="002F4623"/>
    <w:rsid w:val="002F4907"/>
    <w:rsid w:val="002F4A60"/>
    <w:rsid w:val="002F4B51"/>
    <w:rsid w:val="002F50DF"/>
    <w:rsid w:val="002F52C6"/>
    <w:rsid w:val="002F5785"/>
    <w:rsid w:val="002F5806"/>
    <w:rsid w:val="002F5A0E"/>
    <w:rsid w:val="002F618E"/>
    <w:rsid w:val="002F6488"/>
    <w:rsid w:val="002F658D"/>
    <w:rsid w:val="002F66EE"/>
    <w:rsid w:val="002F6C4A"/>
    <w:rsid w:val="002F7044"/>
    <w:rsid w:val="002F76A0"/>
    <w:rsid w:val="002F7707"/>
    <w:rsid w:val="002F7763"/>
    <w:rsid w:val="002F78C0"/>
    <w:rsid w:val="002F7C27"/>
    <w:rsid w:val="002F7E64"/>
    <w:rsid w:val="003000FE"/>
    <w:rsid w:val="00300264"/>
    <w:rsid w:val="00300512"/>
    <w:rsid w:val="003006B8"/>
    <w:rsid w:val="00300C8B"/>
    <w:rsid w:val="00300CDD"/>
    <w:rsid w:val="00300D46"/>
    <w:rsid w:val="00301116"/>
    <w:rsid w:val="00301D9D"/>
    <w:rsid w:val="00301E35"/>
    <w:rsid w:val="00302144"/>
    <w:rsid w:val="003021E5"/>
    <w:rsid w:val="00302346"/>
    <w:rsid w:val="003023E9"/>
    <w:rsid w:val="003028C0"/>
    <w:rsid w:val="00302A20"/>
    <w:rsid w:val="00302A3D"/>
    <w:rsid w:val="003030A5"/>
    <w:rsid w:val="003031FF"/>
    <w:rsid w:val="003039EE"/>
    <w:rsid w:val="00303EE5"/>
    <w:rsid w:val="0030439D"/>
    <w:rsid w:val="00304493"/>
    <w:rsid w:val="0030484C"/>
    <w:rsid w:val="00304E79"/>
    <w:rsid w:val="00304FE7"/>
    <w:rsid w:val="0030500E"/>
    <w:rsid w:val="00305B61"/>
    <w:rsid w:val="0030628F"/>
    <w:rsid w:val="003062FE"/>
    <w:rsid w:val="00306602"/>
    <w:rsid w:val="00306731"/>
    <w:rsid w:val="00306AAE"/>
    <w:rsid w:val="00306B22"/>
    <w:rsid w:val="00306DA1"/>
    <w:rsid w:val="003072DF"/>
    <w:rsid w:val="00307630"/>
    <w:rsid w:val="003077E2"/>
    <w:rsid w:val="003079FF"/>
    <w:rsid w:val="00307F61"/>
    <w:rsid w:val="003100FB"/>
    <w:rsid w:val="003106E3"/>
    <w:rsid w:val="003109AB"/>
    <w:rsid w:val="00310CFC"/>
    <w:rsid w:val="003111A1"/>
    <w:rsid w:val="003114D9"/>
    <w:rsid w:val="0031152F"/>
    <w:rsid w:val="00311608"/>
    <w:rsid w:val="003118AC"/>
    <w:rsid w:val="00311A87"/>
    <w:rsid w:val="00311EC3"/>
    <w:rsid w:val="00311FCE"/>
    <w:rsid w:val="003127FA"/>
    <w:rsid w:val="00312E11"/>
    <w:rsid w:val="00312EAD"/>
    <w:rsid w:val="00312FA1"/>
    <w:rsid w:val="00313357"/>
    <w:rsid w:val="0031412C"/>
    <w:rsid w:val="003143D0"/>
    <w:rsid w:val="00314655"/>
    <w:rsid w:val="00314799"/>
    <w:rsid w:val="00314915"/>
    <w:rsid w:val="00314B97"/>
    <w:rsid w:val="003154FB"/>
    <w:rsid w:val="003159B3"/>
    <w:rsid w:val="00315F97"/>
    <w:rsid w:val="0031614A"/>
    <w:rsid w:val="003162A7"/>
    <w:rsid w:val="00316CF9"/>
    <w:rsid w:val="00316E08"/>
    <w:rsid w:val="00316E34"/>
    <w:rsid w:val="00316FE4"/>
    <w:rsid w:val="0031791E"/>
    <w:rsid w:val="00317A09"/>
    <w:rsid w:val="00317CDB"/>
    <w:rsid w:val="003207CD"/>
    <w:rsid w:val="00320837"/>
    <w:rsid w:val="00320C68"/>
    <w:rsid w:val="0032166B"/>
    <w:rsid w:val="003216E5"/>
    <w:rsid w:val="00321A44"/>
    <w:rsid w:val="00321A7B"/>
    <w:rsid w:val="00321ECE"/>
    <w:rsid w:val="003222E5"/>
    <w:rsid w:val="00322347"/>
    <w:rsid w:val="0032267F"/>
    <w:rsid w:val="00322757"/>
    <w:rsid w:val="003228F0"/>
    <w:rsid w:val="0032305C"/>
    <w:rsid w:val="003230DD"/>
    <w:rsid w:val="00323307"/>
    <w:rsid w:val="00323389"/>
    <w:rsid w:val="00323685"/>
    <w:rsid w:val="003244FA"/>
    <w:rsid w:val="003246C0"/>
    <w:rsid w:val="00324883"/>
    <w:rsid w:val="00324989"/>
    <w:rsid w:val="00324A0B"/>
    <w:rsid w:val="00324B4E"/>
    <w:rsid w:val="00324C92"/>
    <w:rsid w:val="00324D6A"/>
    <w:rsid w:val="003258E6"/>
    <w:rsid w:val="00325B13"/>
    <w:rsid w:val="00325E77"/>
    <w:rsid w:val="003263EA"/>
    <w:rsid w:val="003266E3"/>
    <w:rsid w:val="00326AAC"/>
    <w:rsid w:val="00326C12"/>
    <w:rsid w:val="00326DDE"/>
    <w:rsid w:val="00326F33"/>
    <w:rsid w:val="00327827"/>
    <w:rsid w:val="0032783F"/>
    <w:rsid w:val="0033038D"/>
    <w:rsid w:val="003306B8"/>
    <w:rsid w:val="003308EE"/>
    <w:rsid w:val="00330B3A"/>
    <w:rsid w:val="00330FB8"/>
    <w:rsid w:val="003310C6"/>
    <w:rsid w:val="00331386"/>
    <w:rsid w:val="003314AF"/>
    <w:rsid w:val="0033195E"/>
    <w:rsid w:val="00331D98"/>
    <w:rsid w:val="00331E3D"/>
    <w:rsid w:val="00332527"/>
    <w:rsid w:val="003325B0"/>
    <w:rsid w:val="003326F8"/>
    <w:rsid w:val="0033270F"/>
    <w:rsid w:val="003327C8"/>
    <w:rsid w:val="00332A14"/>
    <w:rsid w:val="00332AFA"/>
    <w:rsid w:val="00332EEC"/>
    <w:rsid w:val="003330B2"/>
    <w:rsid w:val="003333BA"/>
    <w:rsid w:val="00333F2E"/>
    <w:rsid w:val="003346DF"/>
    <w:rsid w:val="00334ABD"/>
    <w:rsid w:val="00334E0D"/>
    <w:rsid w:val="00335735"/>
    <w:rsid w:val="003358BD"/>
    <w:rsid w:val="003358C1"/>
    <w:rsid w:val="00335A98"/>
    <w:rsid w:val="00335B4C"/>
    <w:rsid w:val="00335C40"/>
    <w:rsid w:val="00335D81"/>
    <w:rsid w:val="00335EF2"/>
    <w:rsid w:val="00335F7D"/>
    <w:rsid w:val="0033620F"/>
    <w:rsid w:val="00336374"/>
    <w:rsid w:val="003363CC"/>
    <w:rsid w:val="003363F6"/>
    <w:rsid w:val="00336614"/>
    <w:rsid w:val="0033681B"/>
    <w:rsid w:val="00336A4E"/>
    <w:rsid w:val="00336C31"/>
    <w:rsid w:val="00336DD0"/>
    <w:rsid w:val="0033720D"/>
    <w:rsid w:val="0033742D"/>
    <w:rsid w:val="0033744C"/>
    <w:rsid w:val="00337833"/>
    <w:rsid w:val="00337835"/>
    <w:rsid w:val="003378C2"/>
    <w:rsid w:val="00337C53"/>
    <w:rsid w:val="00337C8A"/>
    <w:rsid w:val="00337D8C"/>
    <w:rsid w:val="00337DA1"/>
    <w:rsid w:val="00337DB6"/>
    <w:rsid w:val="003408CB"/>
    <w:rsid w:val="003408E9"/>
    <w:rsid w:val="00340A6A"/>
    <w:rsid w:val="00341154"/>
    <w:rsid w:val="003412E4"/>
    <w:rsid w:val="003413CB"/>
    <w:rsid w:val="00341521"/>
    <w:rsid w:val="0034161D"/>
    <w:rsid w:val="0034182F"/>
    <w:rsid w:val="00341E19"/>
    <w:rsid w:val="00341E66"/>
    <w:rsid w:val="00341ED9"/>
    <w:rsid w:val="00342277"/>
    <w:rsid w:val="00342D05"/>
    <w:rsid w:val="00343428"/>
    <w:rsid w:val="00343737"/>
    <w:rsid w:val="003439BC"/>
    <w:rsid w:val="00343AA8"/>
    <w:rsid w:val="00343B11"/>
    <w:rsid w:val="00343EEF"/>
    <w:rsid w:val="00343F94"/>
    <w:rsid w:val="00344251"/>
    <w:rsid w:val="00344361"/>
    <w:rsid w:val="00344590"/>
    <w:rsid w:val="003448B5"/>
    <w:rsid w:val="003448F9"/>
    <w:rsid w:val="00344C4B"/>
    <w:rsid w:val="00345118"/>
    <w:rsid w:val="003453EB"/>
    <w:rsid w:val="00345966"/>
    <w:rsid w:val="00345B3A"/>
    <w:rsid w:val="00345DCF"/>
    <w:rsid w:val="0034601B"/>
    <w:rsid w:val="00346085"/>
    <w:rsid w:val="00346307"/>
    <w:rsid w:val="00346748"/>
    <w:rsid w:val="0034696F"/>
    <w:rsid w:val="00347290"/>
    <w:rsid w:val="00347364"/>
    <w:rsid w:val="00347752"/>
    <w:rsid w:val="003504D6"/>
    <w:rsid w:val="0035050A"/>
    <w:rsid w:val="003508E9"/>
    <w:rsid w:val="00350D48"/>
    <w:rsid w:val="00350DF3"/>
    <w:rsid w:val="00350E2E"/>
    <w:rsid w:val="0035107F"/>
    <w:rsid w:val="00351371"/>
    <w:rsid w:val="0035147C"/>
    <w:rsid w:val="0035150A"/>
    <w:rsid w:val="00351743"/>
    <w:rsid w:val="00351C2D"/>
    <w:rsid w:val="00351E48"/>
    <w:rsid w:val="00351E5A"/>
    <w:rsid w:val="00352683"/>
    <w:rsid w:val="00352C74"/>
    <w:rsid w:val="00352CB2"/>
    <w:rsid w:val="00352D8F"/>
    <w:rsid w:val="00353062"/>
    <w:rsid w:val="00353073"/>
    <w:rsid w:val="00353111"/>
    <w:rsid w:val="00353C5B"/>
    <w:rsid w:val="00353F56"/>
    <w:rsid w:val="0035457A"/>
    <w:rsid w:val="00354846"/>
    <w:rsid w:val="003548E2"/>
    <w:rsid w:val="0035535A"/>
    <w:rsid w:val="0035592D"/>
    <w:rsid w:val="00355F8F"/>
    <w:rsid w:val="00355FD5"/>
    <w:rsid w:val="0035677D"/>
    <w:rsid w:val="00356911"/>
    <w:rsid w:val="00356C5F"/>
    <w:rsid w:val="00356DD3"/>
    <w:rsid w:val="00356F68"/>
    <w:rsid w:val="0035741A"/>
    <w:rsid w:val="0035745A"/>
    <w:rsid w:val="003574EE"/>
    <w:rsid w:val="003575AB"/>
    <w:rsid w:val="00357F51"/>
    <w:rsid w:val="00360223"/>
    <w:rsid w:val="003602B0"/>
    <w:rsid w:val="003603AA"/>
    <w:rsid w:val="003604C1"/>
    <w:rsid w:val="0036077E"/>
    <w:rsid w:val="003609BD"/>
    <w:rsid w:val="00360A65"/>
    <w:rsid w:val="00360AA7"/>
    <w:rsid w:val="00361985"/>
    <w:rsid w:val="00361A0E"/>
    <w:rsid w:val="00361CEE"/>
    <w:rsid w:val="00361DFB"/>
    <w:rsid w:val="0036231E"/>
    <w:rsid w:val="0036238D"/>
    <w:rsid w:val="003625AE"/>
    <w:rsid w:val="003627E1"/>
    <w:rsid w:val="00362935"/>
    <w:rsid w:val="003629BA"/>
    <w:rsid w:val="00362D0F"/>
    <w:rsid w:val="00363151"/>
    <w:rsid w:val="003637C8"/>
    <w:rsid w:val="00363B25"/>
    <w:rsid w:val="00363B8E"/>
    <w:rsid w:val="00363E7A"/>
    <w:rsid w:val="003644E3"/>
    <w:rsid w:val="00364656"/>
    <w:rsid w:val="00364B63"/>
    <w:rsid w:val="00364C47"/>
    <w:rsid w:val="00364D38"/>
    <w:rsid w:val="00364D6F"/>
    <w:rsid w:val="00365488"/>
    <w:rsid w:val="003654F2"/>
    <w:rsid w:val="00365873"/>
    <w:rsid w:val="00365926"/>
    <w:rsid w:val="00365A74"/>
    <w:rsid w:val="00365AFF"/>
    <w:rsid w:val="00365C65"/>
    <w:rsid w:val="00365FD5"/>
    <w:rsid w:val="003667A9"/>
    <w:rsid w:val="00366997"/>
    <w:rsid w:val="003669A1"/>
    <w:rsid w:val="00366F19"/>
    <w:rsid w:val="0036710A"/>
    <w:rsid w:val="003674E4"/>
    <w:rsid w:val="003677DC"/>
    <w:rsid w:val="003678CD"/>
    <w:rsid w:val="00367AE3"/>
    <w:rsid w:val="00367E90"/>
    <w:rsid w:val="00367F56"/>
    <w:rsid w:val="00370465"/>
    <w:rsid w:val="00370595"/>
    <w:rsid w:val="0037069B"/>
    <w:rsid w:val="003706A8"/>
    <w:rsid w:val="00370914"/>
    <w:rsid w:val="00370C9B"/>
    <w:rsid w:val="00370E36"/>
    <w:rsid w:val="00370FDF"/>
    <w:rsid w:val="003711A4"/>
    <w:rsid w:val="00371369"/>
    <w:rsid w:val="0037191C"/>
    <w:rsid w:val="00371960"/>
    <w:rsid w:val="0037230A"/>
    <w:rsid w:val="003726FF"/>
    <w:rsid w:val="00372B18"/>
    <w:rsid w:val="00372CB2"/>
    <w:rsid w:val="00372EB8"/>
    <w:rsid w:val="00372F99"/>
    <w:rsid w:val="00372FFF"/>
    <w:rsid w:val="00373033"/>
    <w:rsid w:val="003731C5"/>
    <w:rsid w:val="003731DC"/>
    <w:rsid w:val="00373358"/>
    <w:rsid w:val="0037341D"/>
    <w:rsid w:val="00373728"/>
    <w:rsid w:val="0037376B"/>
    <w:rsid w:val="0037377D"/>
    <w:rsid w:val="003738AA"/>
    <w:rsid w:val="0037399E"/>
    <w:rsid w:val="00373ECE"/>
    <w:rsid w:val="0037430F"/>
    <w:rsid w:val="0037488F"/>
    <w:rsid w:val="00374D63"/>
    <w:rsid w:val="00374F73"/>
    <w:rsid w:val="003752F5"/>
    <w:rsid w:val="0037579E"/>
    <w:rsid w:val="00375831"/>
    <w:rsid w:val="00375A72"/>
    <w:rsid w:val="00375DEC"/>
    <w:rsid w:val="00375F6F"/>
    <w:rsid w:val="00376456"/>
    <w:rsid w:val="0037658B"/>
    <w:rsid w:val="00376613"/>
    <w:rsid w:val="003766FC"/>
    <w:rsid w:val="00376795"/>
    <w:rsid w:val="0037689B"/>
    <w:rsid w:val="0037696A"/>
    <w:rsid w:val="00376EAD"/>
    <w:rsid w:val="00377242"/>
    <w:rsid w:val="0037758F"/>
    <w:rsid w:val="00377703"/>
    <w:rsid w:val="003778F5"/>
    <w:rsid w:val="00377FB3"/>
    <w:rsid w:val="003801F9"/>
    <w:rsid w:val="00380288"/>
    <w:rsid w:val="003802C5"/>
    <w:rsid w:val="003803EA"/>
    <w:rsid w:val="0038071F"/>
    <w:rsid w:val="00380791"/>
    <w:rsid w:val="00380799"/>
    <w:rsid w:val="003807A3"/>
    <w:rsid w:val="00380822"/>
    <w:rsid w:val="00380A52"/>
    <w:rsid w:val="00381003"/>
    <w:rsid w:val="003810B5"/>
    <w:rsid w:val="0038178C"/>
    <w:rsid w:val="003818C1"/>
    <w:rsid w:val="00381C1D"/>
    <w:rsid w:val="00381FEC"/>
    <w:rsid w:val="003827FD"/>
    <w:rsid w:val="00382941"/>
    <w:rsid w:val="00382BA8"/>
    <w:rsid w:val="00383824"/>
    <w:rsid w:val="003839FD"/>
    <w:rsid w:val="00383C0D"/>
    <w:rsid w:val="00383F96"/>
    <w:rsid w:val="003840FA"/>
    <w:rsid w:val="003840FD"/>
    <w:rsid w:val="003844EF"/>
    <w:rsid w:val="003845F4"/>
    <w:rsid w:val="0038507D"/>
    <w:rsid w:val="00385592"/>
    <w:rsid w:val="00385927"/>
    <w:rsid w:val="003859BB"/>
    <w:rsid w:val="00385DA1"/>
    <w:rsid w:val="00385F19"/>
    <w:rsid w:val="00385F72"/>
    <w:rsid w:val="003866D1"/>
    <w:rsid w:val="003869C8"/>
    <w:rsid w:val="003869F6"/>
    <w:rsid w:val="003870A1"/>
    <w:rsid w:val="003879C0"/>
    <w:rsid w:val="00387AB7"/>
    <w:rsid w:val="0039006F"/>
    <w:rsid w:val="003901AF"/>
    <w:rsid w:val="003904CB"/>
    <w:rsid w:val="00391035"/>
    <w:rsid w:val="003910A1"/>
    <w:rsid w:val="003915B1"/>
    <w:rsid w:val="0039183D"/>
    <w:rsid w:val="00391944"/>
    <w:rsid w:val="0039197E"/>
    <w:rsid w:val="00391C5B"/>
    <w:rsid w:val="00391C5D"/>
    <w:rsid w:val="00391E56"/>
    <w:rsid w:val="00392105"/>
    <w:rsid w:val="0039245F"/>
    <w:rsid w:val="00392989"/>
    <w:rsid w:val="00392AFF"/>
    <w:rsid w:val="00392D2A"/>
    <w:rsid w:val="00392E75"/>
    <w:rsid w:val="00393190"/>
    <w:rsid w:val="0039319F"/>
    <w:rsid w:val="0039362B"/>
    <w:rsid w:val="003937F6"/>
    <w:rsid w:val="00393ABF"/>
    <w:rsid w:val="00393B8D"/>
    <w:rsid w:val="00393C3F"/>
    <w:rsid w:val="00393F43"/>
    <w:rsid w:val="003942E1"/>
    <w:rsid w:val="003943EB"/>
    <w:rsid w:val="00394421"/>
    <w:rsid w:val="003945A9"/>
    <w:rsid w:val="00394B5F"/>
    <w:rsid w:val="003957DA"/>
    <w:rsid w:val="003957F0"/>
    <w:rsid w:val="00395E67"/>
    <w:rsid w:val="00395E93"/>
    <w:rsid w:val="0039623A"/>
    <w:rsid w:val="003968FF"/>
    <w:rsid w:val="00396939"/>
    <w:rsid w:val="00396A2A"/>
    <w:rsid w:val="00396D75"/>
    <w:rsid w:val="00396D92"/>
    <w:rsid w:val="003970C0"/>
    <w:rsid w:val="003975B8"/>
    <w:rsid w:val="00397610"/>
    <w:rsid w:val="003976EF"/>
    <w:rsid w:val="00397A2A"/>
    <w:rsid w:val="00397D91"/>
    <w:rsid w:val="003A0298"/>
    <w:rsid w:val="003A09E3"/>
    <w:rsid w:val="003A1296"/>
    <w:rsid w:val="003A13AF"/>
    <w:rsid w:val="003A1907"/>
    <w:rsid w:val="003A1B39"/>
    <w:rsid w:val="003A1E8E"/>
    <w:rsid w:val="003A23DC"/>
    <w:rsid w:val="003A2463"/>
    <w:rsid w:val="003A2657"/>
    <w:rsid w:val="003A2A8E"/>
    <w:rsid w:val="003A2EC4"/>
    <w:rsid w:val="003A337F"/>
    <w:rsid w:val="003A35FA"/>
    <w:rsid w:val="003A3603"/>
    <w:rsid w:val="003A3782"/>
    <w:rsid w:val="003A37F4"/>
    <w:rsid w:val="003A39B1"/>
    <w:rsid w:val="003A3B44"/>
    <w:rsid w:val="003A3B75"/>
    <w:rsid w:val="003A41B0"/>
    <w:rsid w:val="003A4275"/>
    <w:rsid w:val="003A43C1"/>
    <w:rsid w:val="003A4623"/>
    <w:rsid w:val="003A4A00"/>
    <w:rsid w:val="003A4FC3"/>
    <w:rsid w:val="003A52E0"/>
    <w:rsid w:val="003A572D"/>
    <w:rsid w:val="003A58E3"/>
    <w:rsid w:val="003A5AE7"/>
    <w:rsid w:val="003A64E8"/>
    <w:rsid w:val="003A6812"/>
    <w:rsid w:val="003A68D2"/>
    <w:rsid w:val="003A6ABB"/>
    <w:rsid w:val="003A6FBD"/>
    <w:rsid w:val="003A7033"/>
    <w:rsid w:val="003A7171"/>
    <w:rsid w:val="003A73B6"/>
    <w:rsid w:val="003A7501"/>
    <w:rsid w:val="003A78A8"/>
    <w:rsid w:val="003A79AA"/>
    <w:rsid w:val="003B0146"/>
    <w:rsid w:val="003B0202"/>
    <w:rsid w:val="003B0238"/>
    <w:rsid w:val="003B06F5"/>
    <w:rsid w:val="003B075B"/>
    <w:rsid w:val="003B098B"/>
    <w:rsid w:val="003B0AAD"/>
    <w:rsid w:val="003B0D47"/>
    <w:rsid w:val="003B10A2"/>
    <w:rsid w:val="003B1361"/>
    <w:rsid w:val="003B1C3A"/>
    <w:rsid w:val="003B22A5"/>
    <w:rsid w:val="003B26A9"/>
    <w:rsid w:val="003B2931"/>
    <w:rsid w:val="003B2CC6"/>
    <w:rsid w:val="003B3044"/>
    <w:rsid w:val="003B3B62"/>
    <w:rsid w:val="003B3DF3"/>
    <w:rsid w:val="003B3F8C"/>
    <w:rsid w:val="003B407D"/>
    <w:rsid w:val="003B4464"/>
    <w:rsid w:val="003B475F"/>
    <w:rsid w:val="003B4975"/>
    <w:rsid w:val="003B4B20"/>
    <w:rsid w:val="003B50F4"/>
    <w:rsid w:val="003B58C0"/>
    <w:rsid w:val="003B5DA6"/>
    <w:rsid w:val="003B6535"/>
    <w:rsid w:val="003B67C6"/>
    <w:rsid w:val="003B6AF0"/>
    <w:rsid w:val="003B6B92"/>
    <w:rsid w:val="003B6F84"/>
    <w:rsid w:val="003B6FCE"/>
    <w:rsid w:val="003B745B"/>
    <w:rsid w:val="003B7537"/>
    <w:rsid w:val="003B7624"/>
    <w:rsid w:val="003B7D18"/>
    <w:rsid w:val="003C00FE"/>
    <w:rsid w:val="003C05F4"/>
    <w:rsid w:val="003C08A8"/>
    <w:rsid w:val="003C0B46"/>
    <w:rsid w:val="003C0BB3"/>
    <w:rsid w:val="003C0C49"/>
    <w:rsid w:val="003C0E5D"/>
    <w:rsid w:val="003C0EF3"/>
    <w:rsid w:val="003C1174"/>
    <w:rsid w:val="003C1676"/>
    <w:rsid w:val="003C1A74"/>
    <w:rsid w:val="003C1EAD"/>
    <w:rsid w:val="003C1F3C"/>
    <w:rsid w:val="003C231B"/>
    <w:rsid w:val="003C26A9"/>
    <w:rsid w:val="003C2B9A"/>
    <w:rsid w:val="003C2C25"/>
    <w:rsid w:val="003C2C47"/>
    <w:rsid w:val="003C2D27"/>
    <w:rsid w:val="003C2F17"/>
    <w:rsid w:val="003C2F46"/>
    <w:rsid w:val="003C32CE"/>
    <w:rsid w:val="003C3C82"/>
    <w:rsid w:val="003C3D9B"/>
    <w:rsid w:val="003C3FB0"/>
    <w:rsid w:val="003C40A6"/>
    <w:rsid w:val="003C44E7"/>
    <w:rsid w:val="003C4B94"/>
    <w:rsid w:val="003C4F46"/>
    <w:rsid w:val="003C4FD4"/>
    <w:rsid w:val="003C50CB"/>
    <w:rsid w:val="003C538D"/>
    <w:rsid w:val="003C5997"/>
    <w:rsid w:val="003C5C96"/>
    <w:rsid w:val="003C5D85"/>
    <w:rsid w:val="003C5E5B"/>
    <w:rsid w:val="003C5FE9"/>
    <w:rsid w:val="003C634E"/>
    <w:rsid w:val="003C63BB"/>
    <w:rsid w:val="003C6505"/>
    <w:rsid w:val="003C66B8"/>
    <w:rsid w:val="003C6848"/>
    <w:rsid w:val="003C6A08"/>
    <w:rsid w:val="003C6A46"/>
    <w:rsid w:val="003C6F9C"/>
    <w:rsid w:val="003C75B4"/>
    <w:rsid w:val="003C78A0"/>
    <w:rsid w:val="003C7E29"/>
    <w:rsid w:val="003D01AF"/>
    <w:rsid w:val="003D04AE"/>
    <w:rsid w:val="003D0AA6"/>
    <w:rsid w:val="003D0C3E"/>
    <w:rsid w:val="003D0DA7"/>
    <w:rsid w:val="003D0E40"/>
    <w:rsid w:val="003D132B"/>
    <w:rsid w:val="003D162B"/>
    <w:rsid w:val="003D16AB"/>
    <w:rsid w:val="003D171C"/>
    <w:rsid w:val="003D17B8"/>
    <w:rsid w:val="003D1B22"/>
    <w:rsid w:val="003D28C8"/>
    <w:rsid w:val="003D299C"/>
    <w:rsid w:val="003D2FC2"/>
    <w:rsid w:val="003D30F0"/>
    <w:rsid w:val="003D3B46"/>
    <w:rsid w:val="003D3C20"/>
    <w:rsid w:val="003D3EEF"/>
    <w:rsid w:val="003D3FAC"/>
    <w:rsid w:val="003D4860"/>
    <w:rsid w:val="003D49A7"/>
    <w:rsid w:val="003D4F9F"/>
    <w:rsid w:val="003D50DF"/>
    <w:rsid w:val="003D51FC"/>
    <w:rsid w:val="003D5202"/>
    <w:rsid w:val="003D5310"/>
    <w:rsid w:val="003D553A"/>
    <w:rsid w:val="003D58D5"/>
    <w:rsid w:val="003D5CB7"/>
    <w:rsid w:val="003D5DDC"/>
    <w:rsid w:val="003D5E78"/>
    <w:rsid w:val="003D5E79"/>
    <w:rsid w:val="003D5F91"/>
    <w:rsid w:val="003D67AA"/>
    <w:rsid w:val="003D6957"/>
    <w:rsid w:val="003D6C91"/>
    <w:rsid w:val="003D6ED3"/>
    <w:rsid w:val="003D73E2"/>
    <w:rsid w:val="003D745D"/>
    <w:rsid w:val="003D7771"/>
    <w:rsid w:val="003D7BE4"/>
    <w:rsid w:val="003D7CE0"/>
    <w:rsid w:val="003D7D61"/>
    <w:rsid w:val="003D7F3C"/>
    <w:rsid w:val="003E0F39"/>
    <w:rsid w:val="003E138D"/>
    <w:rsid w:val="003E149F"/>
    <w:rsid w:val="003E1A8C"/>
    <w:rsid w:val="003E1B18"/>
    <w:rsid w:val="003E1B4D"/>
    <w:rsid w:val="003E20F1"/>
    <w:rsid w:val="003E2242"/>
    <w:rsid w:val="003E23C6"/>
    <w:rsid w:val="003E256C"/>
    <w:rsid w:val="003E27ED"/>
    <w:rsid w:val="003E2848"/>
    <w:rsid w:val="003E2BF6"/>
    <w:rsid w:val="003E2DCA"/>
    <w:rsid w:val="003E2F46"/>
    <w:rsid w:val="003E3781"/>
    <w:rsid w:val="003E391F"/>
    <w:rsid w:val="003E3943"/>
    <w:rsid w:val="003E3B32"/>
    <w:rsid w:val="003E3C25"/>
    <w:rsid w:val="003E3DA4"/>
    <w:rsid w:val="003E3EBB"/>
    <w:rsid w:val="003E40F0"/>
    <w:rsid w:val="003E43C4"/>
    <w:rsid w:val="003E43D3"/>
    <w:rsid w:val="003E4899"/>
    <w:rsid w:val="003E4BBD"/>
    <w:rsid w:val="003E5035"/>
    <w:rsid w:val="003E508E"/>
    <w:rsid w:val="003E51DC"/>
    <w:rsid w:val="003E5353"/>
    <w:rsid w:val="003E5559"/>
    <w:rsid w:val="003E5628"/>
    <w:rsid w:val="003E58EA"/>
    <w:rsid w:val="003E5C7F"/>
    <w:rsid w:val="003E601C"/>
    <w:rsid w:val="003E684B"/>
    <w:rsid w:val="003E6E58"/>
    <w:rsid w:val="003E7553"/>
    <w:rsid w:val="003E7826"/>
    <w:rsid w:val="003E7B1B"/>
    <w:rsid w:val="003F0C26"/>
    <w:rsid w:val="003F11B2"/>
    <w:rsid w:val="003F11D1"/>
    <w:rsid w:val="003F122A"/>
    <w:rsid w:val="003F16F9"/>
    <w:rsid w:val="003F1CAD"/>
    <w:rsid w:val="003F25A6"/>
    <w:rsid w:val="003F26CE"/>
    <w:rsid w:val="003F29FB"/>
    <w:rsid w:val="003F2DAD"/>
    <w:rsid w:val="003F2DD9"/>
    <w:rsid w:val="003F3057"/>
    <w:rsid w:val="003F37C1"/>
    <w:rsid w:val="003F3958"/>
    <w:rsid w:val="003F3B6E"/>
    <w:rsid w:val="003F3DA8"/>
    <w:rsid w:val="003F3ED5"/>
    <w:rsid w:val="003F41A9"/>
    <w:rsid w:val="003F426F"/>
    <w:rsid w:val="003F450E"/>
    <w:rsid w:val="003F48D3"/>
    <w:rsid w:val="003F4C49"/>
    <w:rsid w:val="003F55CC"/>
    <w:rsid w:val="003F57CC"/>
    <w:rsid w:val="003F6182"/>
    <w:rsid w:val="003F660B"/>
    <w:rsid w:val="003F6630"/>
    <w:rsid w:val="003F66AA"/>
    <w:rsid w:val="003F6A44"/>
    <w:rsid w:val="003F71B3"/>
    <w:rsid w:val="003F763C"/>
    <w:rsid w:val="003F7D76"/>
    <w:rsid w:val="003F7D77"/>
    <w:rsid w:val="003F7E27"/>
    <w:rsid w:val="004001E6"/>
    <w:rsid w:val="0040026C"/>
    <w:rsid w:val="0040037A"/>
    <w:rsid w:val="00400648"/>
    <w:rsid w:val="004006E8"/>
    <w:rsid w:val="0040079F"/>
    <w:rsid w:val="00401003"/>
    <w:rsid w:val="004013D5"/>
    <w:rsid w:val="00401448"/>
    <w:rsid w:val="00401576"/>
    <w:rsid w:val="00401978"/>
    <w:rsid w:val="00401ADE"/>
    <w:rsid w:val="00401D28"/>
    <w:rsid w:val="00402561"/>
    <w:rsid w:val="004025EC"/>
    <w:rsid w:val="0040294A"/>
    <w:rsid w:val="004029EE"/>
    <w:rsid w:val="0040301B"/>
    <w:rsid w:val="0040306F"/>
    <w:rsid w:val="00403450"/>
    <w:rsid w:val="004034B3"/>
    <w:rsid w:val="00403AFF"/>
    <w:rsid w:val="00403B9C"/>
    <w:rsid w:val="00403C21"/>
    <w:rsid w:val="00403D8E"/>
    <w:rsid w:val="00403F42"/>
    <w:rsid w:val="004041F9"/>
    <w:rsid w:val="0040438B"/>
    <w:rsid w:val="004043A8"/>
    <w:rsid w:val="00404464"/>
    <w:rsid w:val="00404482"/>
    <w:rsid w:val="004046EA"/>
    <w:rsid w:val="0040492C"/>
    <w:rsid w:val="00404BB3"/>
    <w:rsid w:val="00404F00"/>
    <w:rsid w:val="004051D4"/>
    <w:rsid w:val="004056D9"/>
    <w:rsid w:val="004056E7"/>
    <w:rsid w:val="00405871"/>
    <w:rsid w:val="00405890"/>
    <w:rsid w:val="00405BDF"/>
    <w:rsid w:val="00406224"/>
    <w:rsid w:val="004062DD"/>
    <w:rsid w:val="0040658A"/>
    <w:rsid w:val="004066FA"/>
    <w:rsid w:val="004071A9"/>
    <w:rsid w:val="00407202"/>
    <w:rsid w:val="00407213"/>
    <w:rsid w:val="004078A8"/>
    <w:rsid w:val="004079F4"/>
    <w:rsid w:val="00407D4C"/>
    <w:rsid w:val="004100EF"/>
    <w:rsid w:val="00410546"/>
    <w:rsid w:val="004108C8"/>
    <w:rsid w:val="00411307"/>
    <w:rsid w:val="004114B9"/>
    <w:rsid w:val="00411BA8"/>
    <w:rsid w:val="00411FD1"/>
    <w:rsid w:val="00411FFB"/>
    <w:rsid w:val="00412556"/>
    <w:rsid w:val="00412BD3"/>
    <w:rsid w:val="00412BD5"/>
    <w:rsid w:val="00413061"/>
    <w:rsid w:val="0041323A"/>
    <w:rsid w:val="00413248"/>
    <w:rsid w:val="00413439"/>
    <w:rsid w:val="004136D9"/>
    <w:rsid w:val="00413E65"/>
    <w:rsid w:val="004143E2"/>
    <w:rsid w:val="004144BB"/>
    <w:rsid w:val="00414730"/>
    <w:rsid w:val="00414949"/>
    <w:rsid w:val="00414B62"/>
    <w:rsid w:val="00414EBE"/>
    <w:rsid w:val="0041533B"/>
    <w:rsid w:val="0041554D"/>
    <w:rsid w:val="004156A3"/>
    <w:rsid w:val="00415993"/>
    <w:rsid w:val="004159BA"/>
    <w:rsid w:val="00415F01"/>
    <w:rsid w:val="0041619A"/>
    <w:rsid w:val="00416276"/>
    <w:rsid w:val="004164F5"/>
    <w:rsid w:val="004166F2"/>
    <w:rsid w:val="00416714"/>
    <w:rsid w:val="00416957"/>
    <w:rsid w:val="00416C5B"/>
    <w:rsid w:val="00416CEA"/>
    <w:rsid w:val="00416FDF"/>
    <w:rsid w:val="00417560"/>
    <w:rsid w:val="004177DB"/>
    <w:rsid w:val="0041782E"/>
    <w:rsid w:val="004178EA"/>
    <w:rsid w:val="004179DD"/>
    <w:rsid w:val="00417D19"/>
    <w:rsid w:val="00417DBF"/>
    <w:rsid w:val="004200E1"/>
    <w:rsid w:val="004207D1"/>
    <w:rsid w:val="00420E63"/>
    <w:rsid w:val="00421011"/>
    <w:rsid w:val="00421436"/>
    <w:rsid w:val="004217B5"/>
    <w:rsid w:val="0042190E"/>
    <w:rsid w:val="004219A5"/>
    <w:rsid w:val="00421BA9"/>
    <w:rsid w:val="0042226C"/>
    <w:rsid w:val="00422A30"/>
    <w:rsid w:val="00422AE5"/>
    <w:rsid w:val="00423525"/>
    <w:rsid w:val="00423714"/>
    <w:rsid w:val="004237B7"/>
    <w:rsid w:val="00423A7C"/>
    <w:rsid w:val="00423CAC"/>
    <w:rsid w:val="00423F8D"/>
    <w:rsid w:val="0042450A"/>
    <w:rsid w:val="00424684"/>
    <w:rsid w:val="00424791"/>
    <w:rsid w:val="00424C54"/>
    <w:rsid w:val="00424CA2"/>
    <w:rsid w:val="00425169"/>
    <w:rsid w:val="00425557"/>
    <w:rsid w:val="0042568A"/>
    <w:rsid w:val="004259DB"/>
    <w:rsid w:val="00425D9C"/>
    <w:rsid w:val="00425DCF"/>
    <w:rsid w:val="00425E2E"/>
    <w:rsid w:val="00425E4E"/>
    <w:rsid w:val="004261BA"/>
    <w:rsid w:val="0042631C"/>
    <w:rsid w:val="004264DF"/>
    <w:rsid w:val="0042687D"/>
    <w:rsid w:val="00426BF9"/>
    <w:rsid w:val="0042734A"/>
    <w:rsid w:val="00427633"/>
    <w:rsid w:val="00427675"/>
    <w:rsid w:val="00427C51"/>
    <w:rsid w:val="00427CE7"/>
    <w:rsid w:val="00430524"/>
    <w:rsid w:val="00430629"/>
    <w:rsid w:val="00430939"/>
    <w:rsid w:val="00430D5B"/>
    <w:rsid w:val="0043137A"/>
    <w:rsid w:val="0043154B"/>
    <w:rsid w:val="004317AF"/>
    <w:rsid w:val="004318F0"/>
    <w:rsid w:val="00431A0D"/>
    <w:rsid w:val="00431CBC"/>
    <w:rsid w:val="00432133"/>
    <w:rsid w:val="004324BA"/>
    <w:rsid w:val="00432680"/>
    <w:rsid w:val="004326C1"/>
    <w:rsid w:val="00432B57"/>
    <w:rsid w:val="00432EE8"/>
    <w:rsid w:val="00433331"/>
    <w:rsid w:val="004334BE"/>
    <w:rsid w:val="004334F9"/>
    <w:rsid w:val="00434272"/>
    <w:rsid w:val="00434529"/>
    <w:rsid w:val="00434F6C"/>
    <w:rsid w:val="00434F83"/>
    <w:rsid w:val="0043520D"/>
    <w:rsid w:val="00435C91"/>
    <w:rsid w:val="0043662E"/>
    <w:rsid w:val="0043665B"/>
    <w:rsid w:val="0043699A"/>
    <w:rsid w:val="00436CD6"/>
    <w:rsid w:val="00436E1B"/>
    <w:rsid w:val="0043727C"/>
    <w:rsid w:val="00437C1A"/>
    <w:rsid w:val="00437ECA"/>
    <w:rsid w:val="004402D0"/>
    <w:rsid w:val="004407FC"/>
    <w:rsid w:val="00440800"/>
    <w:rsid w:val="00440950"/>
    <w:rsid w:val="004412FD"/>
    <w:rsid w:val="00441BD0"/>
    <w:rsid w:val="00441CE9"/>
    <w:rsid w:val="00441F93"/>
    <w:rsid w:val="0044202F"/>
    <w:rsid w:val="004421AD"/>
    <w:rsid w:val="004424BD"/>
    <w:rsid w:val="00443CA4"/>
    <w:rsid w:val="00443E70"/>
    <w:rsid w:val="0044409C"/>
    <w:rsid w:val="004440DC"/>
    <w:rsid w:val="00444113"/>
    <w:rsid w:val="004442A0"/>
    <w:rsid w:val="00444302"/>
    <w:rsid w:val="004445A6"/>
    <w:rsid w:val="004448A3"/>
    <w:rsid w:val="00444B72"/>
    <w:rsid w:val="00444E2C"/>
    <w:rsid w:val="00444E31"/>
    <w:rsid w:val="00444E84"/>
    <w:rsid w:val="00444FBA"/>
    <w:rsid w:val="00445163"/>
    <w:rsid w:val="00445314"/>
    <w:rsid w:val="00445327"/>
    <w:rsid w:val="0044571E"/>
    <w:rsid w:val="004457E4"/>
    <w:rsid w:val="0044589E"/>
    <w:rsid w:val="00446092"/>
    <w:rsid w:val="004462D2"/>
    <w:rsid w:val="00446558"/>
    <w:rsid w:val="004466A5"/>
    <w:rsid w:val="00446ADC"/>
    <w:rsid w:val="00446D12"/>
    <w:rsid w:val="00446FCB"/>
    <w:rsid w:val="0044715B"/>
    <w:rsid w:val="00447336"/>
    <w:rsid w:val="004474C5"/>
    <w:rsid w:val="004478BF"/>
    <w:rsid w:val="00447B00"/>
    <w:rsid w:val="00447C59"/>
    <w:rsid w:val="00447C6C"/>
    <w:rsid w:val="00447D90"/>
    <w:rsid w:val="00447E9F"/>
    <w:rsid w:val="00450176"/>
    <w:rsid w:val="00450332"/>
    <w:rsid w:val="00450372"/>
    <w:rsid w:val="00450461"/>
    <w:rsid w:val="00450816"/>
    <w:rsid w:val="0045084B"/>
    <w:rsid w:val="004508E0"/>
    <w:rsid w:val="00450B7A"/>
    <w:rsid w:val="00450BF9"/>
    <w:rsid w:val="00451070"/>
    <w:rsid w:val="00451A8B"/>
    <w:rsid w:val="00451F1A"/>
    <w:rsid w:val="00452766"/>
    <w:rsid w:val="00452AE7"/>
    <w:rsid w:val="0045301F"/>
    <w:rsid w:val="00453194"/>
    <w:rsid w:val="0045321D"/>
    <w:rsid w:val="00453312"/>
    <w:rsid w:val="00453705"/>
    <w:rsid w:val="00453B74"/>
    <w:rsid w:val="00453D6B"/>
    <w:rsid w:val="00454875"/>
    <w:rsid w:val="00454A24"/>
    <w:rsid w:val="00455363"/>
    <w:rsid w:val="0045569A"/>
    <w:rsid w:val="00455960"/>
    <w:rsid w:val="00455C0A"/>
    <w:rsid w:val="0045604A"/>
    <w:rsid w:val="00456100"/>
    <w:rsid w:val="00456158"/>
    <w:rsid w:val="0045664F"/>
    <w:rsid w:val="00456E07"/>
    <w:rsid w:val="00457142"/>
    <w:rsid w:val="004572BB"/>
    <w:rsid w:val="00457552"/>
    <w:rsid w:val="004577EC"/>
    <w:rsid w:val="004579DE"/>
    <w:rsid w:val="00457EA4"/>
    <w:rsid w:val="004606ED"/>
    <w:rsid w:val="0046072B"/>
    <w:rsid w:val="00460753"/>
    <w:rsid w:val="00460B78"/>
    <w:rsid w:val="00460C4D"/>
    <w:rsid w:val="00460CDA"/>
    <w:rsid w:val="00461083"/>
    <w:rsid w:val="0046110A"/>
    <w:rsid w:val="0046145C"/>
    <w:rsid w:val="00461611"/>
    <w:rsid w:val="00461764"/>
    <w:rsid w:val="00461AB2"/>
    <w:rsid w:val="00462BD4"/>
    <w:rsid w:val="00462BE2"/>
    <w:rsid w:val="00462D11"/>
    <w:rsid w:val="00463005"/>
    <w:rsid w:val="004630F7"/>
    <w:rsid w:val="004631F5"/>
    <w:rsid w:val="004634D3"/>
    <w:rsid w:val="00463A7D"/>
    <w:rsid w:val="00463D2D"/>
    <w:rsid w:val="00463E8F"/>
    <w:rsid w:val="00463F90"/>
    <w:rsid w:val="004645E1"/>
    <w:rsid w:val="00464699"/>
    <w:rsid w:val="004647F8"/>
    <w:rsid w:val="004649FA"/>
    <w:rsid w:val="00465349"/>
    <w:rsid w:val="0046565D"/>
    <w:rsid w:val="00465760"/>
    <w:rsid w:val="00465A1A"/>
    <w:rsid w:val="00465D12"/>
    <w:rsid w:val="00465F97"/>
    <w:rsid w:val="00466579"/>
    <w:rsid w:val="004666C7"/>
    <w:rsid w:val="0046689E"/>
    <w:rsid w:val="00466F80"/>
    <w:rsid w:val="00467031"/>
    <w:rsid w:val="00467B56"/>
    <w:rsid w:val="00467DC6"/>
    <w:rsid w:val="00470067"/>
    <w:rsid w:val="004700BA"/>
    <w:rsid w:val="004701ED"/>
    <w:rsid w:val="0047068A"/>
    <w:rsid w:val="00470AAE"/>
    <w:rsid w:val="00470C8A"/>
    <w:rsid w:val="00471295"/>
    <w:rsid w:val="00471368"/>
    <w:rsid w:val="00471542"/>
    <w:rsid w:val="00471760"/>
    <w:rsid w:val="00471AA8"/>
    <w:rsid w:val="00472137"/>
    <w:rsid w:val="00472A76"/>
    <w:rsid w:val="00472D87"/>
    <w:rsid w:val="004733AB"/>
    <w:rsid w:val="00473A49"/>
    <w:rsid w:val="00473BA1"/>
    <w:rsid w:val="00473D67"/>
    <w:rsid w:val="004741BF"/>
    <w:rsid w:val="00474623"/>
    <w:rsid w:val="00474DB2"/>
    <w:rsid w:val="00474DDD"/>
    <w:rsid w:val="00474E3B"/>
    <w:rsid w:val="00474EFB"/>
    <w:rsid w:val="004750D4"/>
    <w:rsid w:val="004750F6"/>
    <w:rsid w:val="004752FE"/>
    <w:rsid w:val="004753A4"/>
    <w:rsid w:val="00475608"/>
    <w:rsid w:val="00475972"/>
    <w:rsid w:val="004762A4"/>
    <w:rsid w:val="004765BA"/>
    <w:rsid w:val="0047718C"/>
    <w:rsid w:val="00477A62"/>
    <w:rsid w:val="00477B32"/>
    <w:rsid w:val="0048002A"/>
    <w:rsid w:val="004801BD"/>
    <w:rsid w:val="004801C8"/>
    <w:rsid w:val="00480923"/>
    <w:rsid w:val="00480C31"/>
    <w:rsid w:val="00480F2F"/>
    <w:rsid w:val="0048118A"/>
    <w:rsid w:val="0048144E"/>
    <w:rsid w:val="00481497"/>
    <w:rsid w:val="00481666"/>
    <w:rsid w:val="00481ED3"/>
    <w:rsid w:val="00482696"/>
    <w:rsid w:val="00482F69"/>
    <w:rsid w:val="00482FE6"/>
    <w:rsid w:val="004831E1"/>
    <w:rsid w:val="0048321F"/>
    <w:rsid w:val="00483407"/>
    <w:rsid w:val="00483696"/>
    <w:rsid w:val="00483B01"/>
    <w:rsid w:val="00483C6F"/>
    <w:rsid w:val="004840F2"/>
    <w:rsid w:val="0048459F"/>
    <w:rsid w:val="00484815"/>
    <w:rsid w:val="00484ECE"/>
    <w:rsid w:val="0048536F"/>
    <w:rsid w:val="00485573"/>
    <w:rsid w:val="00485A31"/>
    <w:rsid w:val="00485AB2"/>
    <w:rsid w:val="00485FAB"/>
    <w:rsid w:val="00485FD0"/>
    <w:rsid w:val="00486450"/>
    <w:rsid w:val="004864C9"/>
    <w:rsid w:val="0048663E"/>
    <w:rsid w:val="004867F2"/>
    <w:rsid w:val="00486953"/>
    <w:rsid w:val="00486DEB"/>
    <w:rsid w:val="00486F15"/>
    <w:rsid w:val="00486FA6"/>
    <w:rsid w:val="004872E6"/>
    <w:rsid w:val="0048732D"/>
    <w:rsid w:val="00487779"/>
    <w:rsid w:val="0048777E"/>
    <w:rsid w:val="00487884"/>
    <w:rsid w:val="00487AE8"/>
    <w:rsid w:val="00487D5A"/>
    <w:rsid w:val="00487D91"/>
    <w:rsid w:val="00487FCA"/>
    <w:rsid w:val="00490265"/>
    <w:rsid w:val="00490429"/>
    <w:rsid w:val="004906BF"/>
    <w:rsid w:val="004906C3"/>
    <w:rsid w:val="00490889"/>
    <w:rsid w:val="00490E9F"/>
    <w:rsid w:val="00490F0B"/>
    <w:rsid w:val="00491012"/>
    <w:rsid w:val="00491224"/>
    <w:rsid w:val="0049141E"/>
    <w:rsid w:val="004915C4"/>
    <w:rsid w:val="00491750"/>
    <w:rsid w:val="00491B3A"/>
    <w:rsid w:val="00491C3C"/>
    <w:rsid w:val="00492232"/>
    <w:rsid w:val="0049254B"/>
    <w:rsid w:val="0049290F"/>
    <w:rsid w:val="00492937"/>
    <w:rsid w:val="00493020"/>
    <w:rsid w:val="004934CC"/>
    <w:rsid w:val="00493782"/>
    <w:rsid w:val="004937E8"/>
    <w:rsid w:val="00494415"/>
    <w:rsid w:val="00494C9B"/>
    <w:rsid w:val="00494D31"/>
    <w:rsid w:val="00494D6B"/>
    <w:rsid w:val="004950E2"/>
    <w:rsid w:val="00495A07"/>
    <w:rsid w:val="00496120"/>
    <w:rsid w:val="004962E7"/>
    <w:rsid w:val="00496431"/>
    <w:rsid w:val="004965FA"/>
    <w:rsid w:val="00496AC8"/>
    <w:rsid w:val="00496B2D"/>
    <w:rsid w:val="00496CCB"/>
    <w:rsid w:val="00497203"/>
    <w:rsid w:val="004974EC"/>
    <w:rsid w:val="0049771D"/>
    <w:rsid w:val="0049784A"/>
    <w:rsid w:val="00497E53"/>
    <w:rsid w:val="00497EC1"/>
    <w:rsid w:val="004A01AB"/>
    <w:rsid w:val="004A02F8"/>
    <w:rsid w:val="004A051D"/>
    <w:rsid w:val="004A0B09"/>
    <w:rsid w:val="004A0E9B"/>
    <w:rsid w:val="004A1432"/>
    <w:rsid w:val="004A1AB8"/>
    <w:rsid w:val="004A1B63"/>
    <w:rsid w:val="004A1C8E"/>
    <w:rsid w:val="004A1CA2"/>
    <w:rsid w:val="004A214F"/>
    <w:rsid w:val="004A2811"/>
    <w:rsid w:val="004A2B1F"/>
    <w:rsid w:val="004A3494"/>
    <w:rsid w:val="004A3772"/>
    <w:rsid w:val="004A3DC4"/>
    <w:rsid w:val="004A3E1A"/>
    <w:rsid w:val="004A421F"/>
    <w:rsid w:val="004A44A9"/>
    <w:rsid w:val="004A47F6"/>
    <w:rsid w:val="004A4806"/>
    <w:rsid w:val="004A49AC"/>
    <w:rsid w:val="004A49D1"/>
    <w:rsid w:val="004A4C12"/>
    <w:rsid w:val="004A4F94"/>
    <w:rsid w:val="004A4FC7"/>
    <w:rsid w:val="004A53BC"/>
    <w:rsid w:val="004A5426"/>
    <w:rsid w:val="004A5441"/>
    <w:rsid w:val="004A568A"/>
    <w:rsid w:val="004A56D9"/>
    <w:rsid w:val="004A672A"/>
    <w:rsid w:val="004A69FC"/>
    <w:rsid w:val="004A6AE6"/>
    <w:rsid w:val="004A70E6"/>
    <w:rsid w:val="004A7177"/>
    <w:rsid w:val="004A7222"/>
    <w:rsid w:val="004A72BC"/>
    <w:rsid w:val="004A74F2"/>
    <w:rsid w:val="004B04D6"/>
    <w:rsid w:val="004B0909"/>
    <w:rsid w:val="004B0A36"/>
    <w:rsid w:val="004B0A3A"/>
    <w:rsid w:val="004B0B49"/>
    <w:rsid w:val="004B0BAF"/>
    <w:rsid w:val="004B1299"/>
    <w:rsid w:val="004B1488"/>
    <w:rsid w:val="004B158E"/>
    <w:rsid w:val="004B1BA7"/>
    <w:rsid w:val="004B2002"/>
    <w:rsid w:val="004B213B"/>
    <w:rsid w:val="004B23DB"/>
    <w:rsid w:val="004B27AC"/>
    <w:rsid w:val="004B2B66"/>
    <w:rsid w:val="004B2CC2"/>
    <w:rsid w:val="004B2D65"/>
    <w:rsid w:val="004B2F41"/>
    <w:rsid w:val="004B3886"/>
    <w:rsid w:val="004B3B49"/>
    <w:rsid w:val="004B3B76"/>
    <w:rsid w:val="004B3E3F"/>
    <w:rsid w:val="004B4478"/>
    <w:rsid w:val="004B49EB"/>
    <w:rsid w:val="004B4A24"/>
    <w:rsid w:val="004B4AC5"/>
    <w:rsid w:val="004B5906"/>
    <w:rsid w:val="004B5B25"/>
    <w:rsid w:val="004B5C82"/>
    <w:rsid w:val="004B5CA0"/>
    <w:rsid w:val="004B604D"/>
    <w:rsid w:val="004B60D7"/>
    <w:rsid w:val="004B61F9"/>
    <w:rsid w:val="004B63CA"/>
    <w:rsid w:val="004B64AD"/>
    <w:rsid w:val="004B65F1"/>
    <w:rsid w:val="004B6EBC"/>
    <w:rsid w:val="004B7549"/>
    <w:rsid w:val="004B77C0"/>
    <w:rsid w:val="004B791D"/>
    <w:rsid w:val="004B7CC1"/>
    <w:rsid w:val="004C0488"/>
    <w:rsid w:val="004C04F4"/>
    <w:rsid w:val="004C05D0"/>
    <w:rsid w:val="004C07A7"/>
    <w:rsid w:val="004C07E2"/>
    <w:rsid w:val="004C09AC"/>
    <w:rsid w:val="004C0EAC"/>
    <w:rsid w:val="004C1C95"/>
    <w:rsid w:val="004C1E21"/>
    <w:rsid w:val="004C1F5E"/>
    <w:rsid w:val="004C21E5"/>
    <w:rsid w:val="004C248A"/>
    <w:rsid w:val="004C2652"/>
    <w:rsid w:val="004C2985"/>
    <w:rsid w:val="004C39E5"/>
    <w:rsid w:val="004C407E"/>
    <w:rsid w:val="004C43CA"/>
    <w:rsid w:val="004C5169"/>
    <w:rsid w:val="004C54C3"/>
    <w:rsid w:val="004C5788"/>
    <w:rsid w:val="004C5BCE"/>
    <w:rsid w:val="004C5C74"/>
    <w:rsid w:val="004C5CE6"/>
    <w:rsid w:val="004C601B"/>
    <w:rsid w:val="004C64AF"/>
    <w:rsid w:val="004C6661"/>
    <w:rsid w:val="004C6A3C"/>
    <w:rsid w:val="004C6FE1"/>
    <w:rsid w:val="004C7592"/>
    <w:rsid w:val="004C75AC"/>
    <w:rsid w:val="004C7AA2"/>
    <w:rsid w:val="004D02F2"/>
    <w:rsid w:val="004D035A"/>
    <w:rsid w:val="004D0410"/>
    <w:rsid w:val="004D0A63"/>
    <w:rsid w:val="004D0F40"/>
    <w:rsid w:val="004D10E7"/>
    <w:rsid w:val="004D1311"/>
    <w:rsid w:val="004D15B5"/>
    <w:rsid w:val="004D1910"/>
    <w:rsid w:val="004D2497"/>
    <w:rsid w:val="004D2568"/>
    <w:rsid w:val="004D2768"/>
    <w:rsid w:val="004D2CB5"/>
    <w:rsid w:val="004D2D8C"/>
    <w:rsid w:val="004D37DF"/>
    <w:rsid w:val="004D3D8B"/>
    <w:rsid w:val="004D3EA7"/>
    <w:rsid w:val="004D4060"/>
    <w:rsid w:val="004D40F6"/>
    <w:rsid w:val="004D4477"/>
    <w:rsid w:val="004D4608"/>
    <w:rsid w:val="004D476A"/>
    <w:rsid w:val="004D48B0"/>
    <w:rsid w:val="004D492B"/>
    <w:rsid w:val="004D49BE"/>
    <w:rsid w:val="004D4F05"/>
    <w:rsid w:val="004D51E1"/>
    <w:rsid w:val="004D525C"/>
    <w:rsid w:val="004D5739"/>
    <w:rsid w:val="004D57C3"/>
    <w:rsid w:val="004D6026"/>
    <w:rsid w:val="004D619E"/>
    <w:rsid w:val="004D61FD"/>
    <w:rsid w:val="004D632C"/>
    <w:rsid w:val="004D641C"/>
    <w:rsid w:val="004D64C3"/>
    <w:rsid w:val="004D68F9"/>
    <w:rsid w:val="004D77E9"/>
    <w:rsid w:val="004D7A75"/>
    <w:rsid w:val="004E0191"/>
    <w:rsid w:val="004E024B"/>
    <w:rsid w:val="004E06EB"/>
    <w:rsid w:val="004E0821"/>
    <w:rsid w:val="004E09C4"/>
    <w:rsid w:val="004E0CE5"/>
    <w:rsid w:val="004E13FB"/>
    <w:rsid w:val="004E14F3"/>
    <w:rsid w:val="004E1916"/>
    <w:rsid w:val="004E19A1"/>
    <w:rsid w:val="004E1AD1"/>
    <w:rsid w:val="004E1DD9"/>
    <w:rsid w:val="004E1F5D"/>
    <w:rsid w:val="004E283F"/>
    <w:rsid w:val="004E29D6"/>
    <w:rsid w:val="004E2D80"/>
    <w:rsid w:val="004E2DAE"/>
    <w:rsid w:val="004E2FE5"/>
    <w:rsid w:val="004E3173"/>
    <w:rsid w:val="004E3345"/>
    <w:rsid w:val="004E36C6"/>
    <w:rsid w:val="004E3BB2"/>
    <w:rsid w:val="004E4349"/>
    <w:rsid w:val="004E46A2"/>
    <w:rsid w:val="004E4762"/>
    <w:rsid w:val="004E4847"/>
    <w:rsid w:val="004E489A"/>
    <w:rsid w:val="004E4A27"/>
    <w:rsid w:val="004E4C09"/>
    <w:rsid w:val="004E4C45"/>
    <w:rsid w:val="004E4DF7"/>
    <w:rsid w:val="004E5454"/>
    <w:rsid w:val="004E5751"/>
    <w:rsid w:val="004E57A0"/>
    <w:rsid w:val="004E5A0E"/>
    <w:rsid w:val="004E5B16"/>
    <w:rsid w:val="004E631D"/>
    <w:rsid w:val="004E66E2"/>
    <w:rsid w:val="004E6A4A"/>
    <w:rsid w:val="004E6FBD"/>
    <w:rsid w:val="004E73A4"/>
    <w:rsid w:val="004E7422"/>
    <w:rsid w:val="004E7571"/>
    <w:rsid w:val="004E7B39"/>
    <w:rsid w:val="004E7F15"/>
    <w:rsid w:val="004F0525"/>
    <w:rsid w:val="004F05DD"/>
    <w:rsid w:val="004F0628"/>
    <w:rsid w:val="004F0F57"/>
    <w:rsid w:val="004F1491"/>
    <w:rsid w:val="004F1716"/>
    <w:rsid w:val="004F18CF"/>
    <w:rsid w:val="004F1DDD"/>
    <w:rsid w:val="004F1EF1"/>
    <w:rsid w:val="004F1F56"/>
    <w:rsid w:val="004F26B5"/>
    <w:rsid w:val="004F28A1"/>
    <w:rsid w:val="004F2D9C"/>
    <w:rsid w:val="004F38BB"/>
    <w:rsid w:val="004F39E5"/>
    <w:rsid w:val="004F3AB0"/>
    <w:rsid w:val="004F3EFB"/>
    <w:rsid w:val="004F4033"/>
    <w:rsid w:val="004F42E4"/>
    <w:rsid w:val="004F4820"/>
    <w:rsid w:val="004F4F55"/>
    <w:rsid w:val="004F5639"/>
    <w:rsid w:val="004F5743"/>
    <w:rsid w:val="004F6562"/>
    <w:rsid w:val="004F66ED"/>
    <w:rsid w:val="004F67A0"/>
    <w:rsid w:val="004F6AB7"/>
    <w:rsid w:val="004F6E3A"/>
    <w:rsid w:val="004F6FF1"/>
    <w:rsid w:val="004F70B0"/>
    <w:rsid w:val="004F72F1"/>
    <w:rsid w:val="004F779A"/>
    <w:rsid w:val="004F7EAC"/>
    <w:rsid w:val="0050027A"/>
    <w:rsid w:val="0050050C"/>
    <w:rsid w:val="00500738"/>
    <w:rsid w:val="00500F62"/>
    <w:rsid w:val="005010E6"/>
    <w:rsid w:val="00501271"/>
    <w:rsid w:val="0050133D"/>
    <w:rsid w:val="00501440"/>
    <w:rsid w:val="005014DE"/>
    <w:rsid w:val="00501F9D"/>
    <w:rsid w:val="0050200E"/>
    <w:rsid w:val="00502934"/>
    <w:rsid w:val="00502FB5"/>
    <w:rsid w:val="00503274"/>
    <w:rsid w:val="005039B1"/>
    <w:rsid w:val="00503C7F"/>
    <w:rsid w:val="00503F33"/>
    <w:rsid w:val="0050456F"/>
    <w:rsid w:val="005048C9"/>
    <w:rsid w:val="00504C21"/>
    <w:rsid w:val="00505058"/>
    <w:rsid w:val="005053FC"/>
    <w:rsid w:val="0050544E"/>
    <w:rsid w:val="00505764"/>
    <w:rsid w:val="005059EB"/>
    <w:rsid w:val="00505C7F"/>
    <w:rsid w:val="00505DDA"/>
    <w:rsid w:val="0050602A"/>
    <w:rsid w:val="00506330"/>
    <w:rsid w:val="00507149"/>
    <w:rsid w:val="0050737E"/>
    <w:rsid w:val="005076D6"/>
    <w:rsid w:val="005078EA"/>
    <w:rsid w:val="0050798C"/>
    <w:rsid w:val="00507E37"/>
    <w:rsid w:val="005100FF"/>
    <w:rsid w:val="005105F8"/>
    <w:rsid w:val="00510773"/>
    <w:rsid w:val="005109A1"/>
    <w:rsid w:val="00511116"/>
    <w:rsid w:val="00511577"/>
    <w:rsid w:val="005116E8"/>
    <w:rsid w:val="005116F7"/>
    <w:rsid w:val="00511875"/>
    <w:rsid w:val="00511D33"/>
    <w:rsid w:val="0051208B"/>
    <w:rsid w:val="00512508"/>
    <w:rsid w:val="00512C51"/>
    <w:rsid w:val="00512E5A"/>
    <w:rsid w:val="005135D5"/>
    <w:rsid w:val="00513A4A"/>
    <w:rsid w:val="00513A97"/>
    <w:rsid w:val="00513DA0"/>
    <w:rsid w:val="0051419D"/>
    <w:rsid w:val="00514D97"/>
    <w:rsid w:val="00514F8E"/>
    <w:rsid w:val="00514F96"/>
    <w:rsid w:val="00515128"/>
    <w:rsid w:val="005151E9"/>
    <w:rsid w:val="0051523F"/>
    <w:rsid w:val="0051535E"/>
    <w:rsid w:val="00515393"/>
    <w:rsid w:val="00515447"/>
    <w:rsid w:val="0051581D"/>
    <w:rsid w:val="00515844"/>
    <w:rsid w:val="0051592B"/>
    <w:rsid w:val="00515D50"/>
    <w:rsid w:val="00515F49"/>
    <w:rsid w:val="00516115"/>
    <w:rsid w:val="00516908"/>
    <w:rsid w:val="00517026"/>
    <w:rsid w:val="005172F9"/>
    <w:rsid w:val="00517346"/>
    <w:rsid w:val="005174E3"/>
    <w:rsid w:val="00517E62"/>
    <w:rsid w:val="00517F3D"/>
    <w:rsid w:val="00520063"/>
    <w:rsid w:val="00520AF5"/>
    <w:rsid w:val="00520B2F"/>
    <w:rsid w:val="00520C85"/>
    <w:rsid w:val="00521130"/>
    <w:rsid w:val="005216AB"/>
    <w:rsid w:val="005217A6"/>
    <w:rsid w:val="005217E9"/>
    <w:rsid w:val="00521E77"/>
    <w:rsid w:val="00521ED7"/>
    <w:rsid w:val="00521F77"/>
    <w:rsid w:val="00521FC9"/>
    <w:rsid w:val="00522027"/>
    <w:rsid w:val="005228A0"/>
    <w:rsid w:val="005228C3"/>
    <w:rsid w:val="00522EFE"/>
    <w:rsid w:val="00523B57"/>
    <w:rsid w:val="00523C9B"/>
    <w:rsid w:val="00523E47"/>
    <w:rsid w:val="00523F21"/>
    <w:rsid w:val="0052445A"/>
    <w:rsid w:val="00524B3D"/>
    <w:rsid w:val="00524DD9"/>
    <w:rsid w:val="00525080"/>
    <w:rsid w:val="00525217"/>
    <w:rsid w:val="0052540D"/>
    <w:rsid w:val="00525669"/>
    <w:rsid w:val="00525B0C"/>
    <w:rsid w:val="00525B9A"/>
    <w:rsid w:val="00525CA7"/>
    <w:rsid w:val="005261D5"/>
    <w:rsid w:val="005261EF"/>
    <w:rsid w:val="00526DD7"/>
    <w:rsid w:val="00526F11"/>
    <w:rsid w:val="00526F75"/>
    <w:rsid w:val="00527065"/>
    <w:rsid w:val="005275A1"/>
    <w:rsid w:val="0052794E"/>
    <w:rsid w:val="00527B94"/>
    <w:rsid w:val="00527D18"/>
    <w:rsid w:val="0053005E"/>
    <w:rsid w:val="00530099"/>
    <w:rsid w:val="005300D9"/>
    <w:rsid w:val="0053013E"/>
    <w:rsid w:val="00530658"/>
    <w:rsid w:val="00530816"/>
    <w:rsid w:val="005308CF"/>
    <w:rsid w:val="005308DE"/>
    <w:rsid w:val="005315A3"/>
    <w:rsid w:val="0053173D"/>
    <w:rsid w:val="00531B92"/>
    <w:rsid w:val="00531F49"/>
    <w:rsid w:val="00532679"/>
    <w:rsid w:val="00532EED"/>
    <w:rsid w:val="0053309B"/>
    <w:rsid w:val="005330CE"/>
    <w:rsid w:val="005333DC"/>
    <w:rsid w:val="005335A2"/>
    <w:rsid w:val="00533AA1"/>
    <w:rsid w:val="00533BEE"/>
    <w:rsid w:val="00534148"/>
    <w:rsid w:val="005346EF"/>
    <w:rsid w:val="00534790"/>
    <w:rsid w:val="005348AE"/>
    <w:rsid w:val="0053497E"/>
    <w:rsid w:val="00534A2F"/>
    <w:rsid w:val="00534A9E"/>
    <w:rsid w:val="00534F67"/>
    <w:rsid w:val="005352FF"/>
    <w:rsid w:val="005355A0"/>
    <w:rsid w:val="0053566F"/>
    <w:rsid w:val="00535770"/>
    <w:rsid w:val="00535F98"/>
    <w:rsid w:val="005362A9"/>
    <w:rsid w:val="0053636B"/>
    <w:rsid w:val="005363DA"/>
    <w:rsid w:val="00536751"/>
    <w:rsid w:val="005367E6"/>
    <w:rsid w:val="0053696F"/>
    <w:rsid w:val="00536C02"/>
    <w:rsid w:val="00536CEF"/>
    <w:rsid w:val="00536F43"/>
    <w:rsid w:val="005370D0"/>
    <w:rsid w:val="00537153"/>
    <w:rsid w:val="005373CB"/>
    <w:rsid w:val="00537B54"/>
    <w:rsid w:val="00537B9E"/>
    <w:rsid w:val="00540425"/>
    <w:rsid w:val="00540514"/>
    <w:rsid w:val="0054061B"/>
    <w:rsid w:val="005406B3"/>
    <w:rsid w:val="0054098C"/>
    <w:rsid w:val="00540AFB"/>
    <w:rsid w:val="005410CB"/>
    <w:rsid w:val="00541192"/>
    <w:rsid w:val="00541977"/>
    <w:rsid w:val="00541BD7"/>
    <w:rsid w:val="00541CC3"/>
    <w:rsid w:val="00541CF2"/>
    <w:rsid w:val="00541D8E"/>
    <w:rsid w:val="0054208B"/>
    <w:rsid w:val="0054223F"/>
    <w:rsid w:val="00542424"/>
    <w:rsid w:val="00542A79"/>
    <w:rsid w:val="00542EA7"/>
    <w:rsid w:val="00543220"/>
    <w:rsid w:val="0054346B"/>
    <w:rsid w:val="00543893"/>
    <w:rsid w:val="00543DD1"/>
    <w:rsid w:val="00544111"/>
    <w:rsid w:val="00544667"/>
    <w:rsid w:val="0054483A"/>
    <w:rsid w:val="0054494A"/>
    <w:rsid w:val="00544BC4"/>
    <w:rsid w:val="00545104"/>
    <w:rsid w:val="005452EF"/>
    <w:rsid w:val="00545387"/>
    <w:rsid w:val="0054565A"/>
    <w:rsid w:val="0054565B"/>
    <w:rsid w:val="00545760"/>
    <w:rsid w:val="00545E06"/>
    <w:rsid w:val="00545F15"/>
    <w:rsid w:val="00546196"/>
    <w:rsid w:val="0054642B"/>
    <w:rsid w:val="00546578"/>
    <w:rsid w:val="0054663E"/>
    <w:rsid w:val="00546969"/>
    <w:rsid w:val="00546A32"/>
    <w:rsid w:val="00546AA0"/>
    <w:rsid w:val="00546B48"/>
    <w:rsid w:val="00546BF9"/>
    <w:rsid w:val="00546BFF"/>
    <w:rsid w:val="00546C28"/>
    <w:rsid w:val="00546E62"/>
    <w:rsid w:val="0054700E"/>
    <w:rsid w:val="005475D5"/>
    <w:rsid w:val="00547764"/>
    <w:rsid w:val="00547E12"/>
    <w:rsid w:val="00547FF5"/>
    <w:rsid w:val="00550C68"/>
    <w:rsid w:val="00550EFA"/>
    <w:rsid w:val="00550F32"/>
    <w:rsid w:val="00551433"/>
    <w:rsid w:val="005514F8"/>
    <w:rsid w:val="0055150E"/>
    <w:rsid w:val="00551775"/>
    <w:rsid w:val="00551902"/>
    <w:rsid w:val="005519CF"/>
    <w:rsid w:val="00551DBA"/>
    <w:rsid w:val="00551F8C"/>
    <w:rsid w:val="005524AE"/>
    <w:rsid w:val="0055253D"/>
    <w:rsid w:val="005525AE"/>
    <w:rsid w:val="00552DA2"/>
    <w:rsid w:val="00552DF9"/>
    <w:rsid w:val="0055370D"/>
    <w:rsid w:val="00553A12"/>
    <w:rsid w:val="00553AA8"/>
    <w:rsid w:val="00554074"/>
    <w:rsid w:val="005542C6"/>
    <w:rsid w:val="005548DB"/>
    <w:rsid w:val="00555226"/>
    <w:rsid w:val="00555409"/>
    <w:rsid w:val="005560D1"/>
    <w:rsid w:val="00556A90"/>
    <w:rsid w:val="00556C7E"/>
    <w:rsid w:val="00556F31"/>
    <w:rsid w:val="005570CC"/>
    <w:rsid w:val="00557C23"/>
    <w:rsid w:val="005600B9"/>
    <w:rsid w:val="005604CA"/>
    <w:rsid w:val="00560CA3"/>
    <w:rsid w:val="00560EF3"/>
    <w:rsid w:val="00561019"/>
    <w:rsid w:val="00561593"/>
    <w:rsid w:val="00561677"/>
    <w:rsid w:val="005618B1"/>
    <w:rsid w:val="00561943"/>
    <w:rsid w:val="00561E42"/>
    <w:rsid w:val="00561F9F"/>
    <w:rsid w:val="00562275"/>
    <w:rsid w:val="005626AD"/>
    <w:rsid w:val="005626ED"/>
    <w:rsid w:val="00562799"/>
    <w:rsid w:val="00562BB0"/>
    <w:rsid w:val="00562C94"/>
    <w:rsid w:val="005632BB"/>
    <w:rsid w:val="0056336D"/>
    <w:rsid w:val="00563848"/>
    <w:rsid w:val="005638E5"/>
    <w:rsid w:val="00563E51"/>
    <w:rsid w:val="00563F13"/>
    <w:rsid w:val="00564364"/>
    <w:rsid w:val="00564486"/>
    <w:rsid w:val="0056468B"/>
    <w:rsid w:val="00564E4D"/>
    <w:rsid w:val="00564F98"/>
    <w:rsid w:val="00565107"/>
    <w:rsid w:val="00565158"/>
    <w:rsid w:val="0056546C"/>
    <w:rsid w:val="005656B4"/>
    <w:rsid w:val="00565904"/>
    <w:rsid w:val="00565960"/>
    <w:rsid w:val="005659F5"/>
    <w:rsid w:val="00565BB0"/>
    <w:rsid w:val="00565E66"/>
    <w:rsid w:val="00565FBE"/>
    <w:rsid w:val="005667CC"/>
    <w:rsid w:val="00566A2C"/>
    <w:rsid w:val="00566AE3"/>
    <w:rsid w:val="00566E42"/>
    <w:rsid w:val="0056768F"/>
    <w:rsid w:val="00567AF0"/>
    <w:rsid w:val="00567CD8"/>
    <w:rsid w:val="00567F34"/>
    <w:rsid w:val="00567FFE"/>
    <w:rsid w:val="00570434"/>
    <w:rsid w:val="0057077F"/>
    <w:rsid w:val="00570AB9"/>
    <w:rsid w:val="00570BA7"/>
    <w:rsid w:val="005711E8"/>
    <w:rsid w:val="00571711"/>
    <w:rsid w:val="005717C3"/>
    <w:rsid w:val="005718A8"/>
    <w:rsid w:val="005721A8"/>
    <w:rsid w:val="0057257F"/>
    <w:rsid w:val="00572CF2"/>
    <w:rsid w:val="00572DEC"/>
    <w:rsid w:val="00572E0A"/>
    <w:rsid w:val="0057346E"/>
    <w:rsid w:val="0057387C"/>
    <w:rsid w:val="00573891"/>
    <w:rsid w:val="00573B82"/>
    <w:rsid w:val="00573FBB"/>
    <w:rsid w:val="00574942"/>
    <w:rsid w:val="00574E59"/>
    <w:rsid w:val="00575028"/>
    <w:rsid w:val="005750B9"/>
    <w:rsid w:val="0057516E"/>
    <w:rsid w:val="0057522C"/>
    <w:rsid w:val="0057524F"/>
    <w:rsid w:val="0057553F"/>
    <w:rsid w:val="00575B76"/>
    <w:rsid w:val="00576249"/>
    <w:rsid w:val="00576383"/>
    <w:rsid w:val="0057667C"/>
    <w:rsid w:val="00576C5D"/>
    <w:rsid w:val="005771E5"/>
    <w:rsid w:val="0057738E"/>
    <w:rsid w:val="00577940"/>
    <w:rsid w:val="00577A3C"/>
    <w:rsid w:val="00577E55"/>
    <w:rsid w:val="0058043A"/>
    <w:rsid w:val="005807F1"/>
    <w:rsid w:val="005809E0"/>
    <w:rsid w:val="00580D25"/>
    <w:rsid w:val="00580F0B"/>
    <w:rsid w:val="00581442"/>
    <w:rsid w:val="005818E3"/>
    <w:rsid w:val="00581C95"/>
    <w:rsid w:val="00581D5B"/>
    <w:rsid w:val="00581F1A"/>
    <w:rsid w:val="00581F58"/>
    <w:rsid w:val="005820C8"/>
    <w:rsid w:val="00582AB2"/>
    <w:rsid w:val="00582B7E"/>
    <w:rsid w:val="00582C1B"/>
    <w:rsid w:val="005832E6"/>
    <w:rsid w:val="00583376"/>
    <w:rsid w:val="00583641"/>
    <w:rsid w:val="00583C5E"/>
    <w:rsid w:val="00583F10"/>
    <w:rsid w:val="005846DA"/>
    <w:rsid w:val="00584C11"/>
    <w:rsid w:val="00584D16"/>
    <w:rsid w:val="00584F87"/>
    <w:rsid w:val="005850FC"/>
    <w:rsid w:val="00585C00"/>
    <w:rsid w:val="00585FA7"/>
    <w:rsid w:val="0058636C"/>
    <w:rsid w:val="0058651A"/>
    <w:rsid w:val="0058672B"/>
    <w:rsid w:val="00586B6A"/>
    <w:rsid w:val="00586C17"/>
    <w:rsid w:val="00586C44"/>
    <w:rsid w:val="00586F06"/>
    <w:rsid w:val="0058727F"/>
    <w:rsid w:val="005872D7"/>
    <w:rsid w:val="005873A3"/>
    <w:rsid w:val="00587A7F"/>
    <w:rsid w:val="00587C61"/>
    <w:rsid w:val="00587D08"/>
    <w:rsid w:val="00587DEB"/>
    <w:rsid w:val="005903DA"/>
    <w:rsid w:val="0059044C"/>
    <w:rsid w:val="00590686"/>
    <w:rsid w:val="00590807"/>
    <w:rsid w:val="0059089E"/>
    <w:rsid w:val="00590C18"/>
    <w:rsid w:val="00591500"/>
    <w:rsid w:val="00591608"/>
    <w:rsid w:val="0059188D"/>
    <w:rsid w:val="005919D4"/>
    <w:rsid w:val="00591C4B"/>
    <w:rsid w:val="00591D93"/>
    <w:rsid w:val="00591E58"/>
    <w:rsid w:val="005920B4"/>
    <w:rsid w:val="00592342"/>
    <w:rsid w:val="005923A7"/>
    <w:rsid w:val="005923ED"/>
    <w:rsid w:val="0059244D"/>
    <w:rsid w:val="00592462"/>
    <w:rsid w:val="005928CD"/>
    <w:rsid w:val="00592ABB"/>
    <w:rsid w:val="005936E1"/>
    <w:rsid w:val="00593C23"/>
    <w:rsid w:val="0059422A"/>
    <w:rsid w:val="00594351"/>
    <w:rsid w:val="005943E5"/>
    <w:rsid w:val="00594414"/>
    <w:rsid w:val="00594470"/>
    <w:rsid w:val="005945E8"/>
    <w:rsid w:val="00594D86"/>
    <w:rsid w:val="00594FF5"/>
    <w:rsid w:val="005954C3"/>
    <w:rsid w:val="0059597E"/>
    <w:rsid w:val="00595E33"/>
    <w:rsid w:val="00596097"/>
    <w:rsid w:val="00596440"/>
    <w:rsid w:val="005970B5"/>
    <w:rsid w:val="005975FA"/>
    <w:rsid w:val="00597861"/>
    <w:rsid w:val="005979B8"/>
    <w:rsid w:val="00597C58"/>
    <w:rsid w:val="005A08A0"/>
    <w:rsid w:val="005A08C4"/>
    <w:rsid w:val="005A08F8"/>
    <w:rsid w:val="005A092B"/>
    <w:rsid w:val="005A0B9E"/>
    <w:rsid w:val="005A0BBD"/>
    <w:rsid w:val="005A10A4"/>
    <w:rsid w:val="005A12B6"/>
    <w:rsid w:val="005A1BF1"/>
    <w:rsid w:val="005A2360"/>
    <w:rsid w:val="005A257F"/>
    <w:rsid w:val="005A3908"/>
    <w:rsid w:val="005A3BB4"/>
    <w:rsid w:val="005A3CFB"/>
    <w:rsid w:val="005A3E64"/>
    <w:rsid w:val="005A401B"/>
    <w:rsid w:val="005A41D2"/>
    <w:rsid w:val="005A4AAB"/>
    <w:rsid w:val="005A4C04"/>
    <w:rsid w:val="005A56CC"/>
    <w:rsid w:val="005A5858"/>
    <w:rsid w:val="005A5A70"/>
    <w:rsid w:val="005A5DBC"/>
    <w:rsid w:val="005A6203"/>
    <w:rsid w:val="005A67E2"/>
    <w:rsid w:val="005A6A32"/>
    <w:rsid w:val="005A6B21"/>
    <w:rsid w:val="005A75E5"/>
    <w:rsid w:val="005A7F44"/>
    <w:rsid w:val="005B018A"/>
    <w:rsid w:val="005B045F"/>
    <w:rsid w:val="005B0823"/>
    <w:rsid w:val="005B08FD"/>
    <w:rsid w:val="005B095F"/>
    <w:rsid w:val="005B0EA1"/>
    <w:rsid w:val="005B1335"/>
    <w:rsid w:val="005B171D"/>
    <w:rsid w:val="005B1C40"/>
    <w:rsid w:val="005B1D56"/>
    <w:rsid w:val="005B1D73"/>
    <w:rsid w:val="005B211C"/>
    <w:rsid w:val="005B217D"/>
    <w:rsid w:val="005B2869"/>
    <w:rsid w:val="005B2FF5"/>
    <w:rsid w:val="005B34C0"/>
    <w:rsid w:val="005B40DE"/>
    <w:rsid w:val="005B4241"/>
    <w:rsid w:val="005B4346"/>
    <w:rsid w:val="005B44DB"/>
    <w:rsid w:val="005B453E"/>
    <w:rsid w:val="005B4A5B"/>
    <w:rsid w:val="005B5296"/>
    <w:rsid w:val="005B5B1A"/>
    <w:rsid w:val="005B6075"/>
    <w:rsid w:val="005B6260"/>
    <w:rsid w:val="005B6807"/>
    <w:rsid w:val="005B6E27"/>
    <w:rsid w:val="005B767B"/>
    <w:rsid w:val="005B7758"/>
    <w:rsid w:val="005B78CD"/>
    <w:rsid w:val="005B796B"/>
    <w:rsid w:val="005B7DF3"/>
    <w:rsid w:val="005B7ED3"/>
    <w:rsid w:val="005C0080"/>
    <w:rsid w:val="005C00C3"/>
    <w:rsid w:val="005C0135"/>
    <w:rsid w:val="005C061E"/>
    <w:rsid w:val="005C0B1B"/>
    <w:rsid w:val="005C116B"/>
    <w:rsid w:val="005C139A"/>
    <w:rsid w:val="005C13A3"/>
    <w:rsid w:val="005C13FE"/>
    <w:rsid w:val="005C1422"/>
    <w:rsid w:val="005C1854"/>
    <w:rsid w:val="005C1B51"/>
    <w:rsid w:val="005C1C4F"/>
    <w:rsid w:val="005C209D"/>
    <w:rsid w:val="005C2610"/>
    <w:rsid w:val="005C293A"/>
    <w:rsid w:val="005C2FCB"/>
    <w:rsid w:val="005C380A"/>
    <w:rsid w:val="005C3826"/>
    <w:rsid w:val="005C38B7"/>
    <w:rsid w:val="005C3C2D"/>
    <w:rsid w:val="005C4238"/>
    <w:rsid w:val="005C43D9"/>
    <w:rsid w:val="005C47FB"/>
    <w:rsid w:val="005C497C"/>
    <w:rsid w:val="005C49A9"/>
    <w:rsid w:val="005C4FBA"/>
    <w:rsid w:val="005C5123"/>
    <w:rsid w:val="005C5C02"/>
    <w:rsid w:val="005C5DA9"/>
    <w:rsid w:val="005C63ED"/>
    <w:rsid w:val="005C666E"/>
    <w:rsid w:val="005C6881"/>
    <w:rsid w:val="005C69EB"/>
    <w:rsid w:val="005C6D6D"/>
    <w:rsid w:val="005C6F1C"/>
    <w:rsid w:val="005C78B9"/>
    <w:rsid w:val="005C7B06"/>
    <w:rsid w:val="005C7E17"/>
    <w:rsid w:val="005C7E41"/>
    <w:rsid w:val="005D0324"/>
    <w:rsid w:val="005D070C"/>
    <w:rsid w:val="005D079B"/>
    <w:rsid w:val="005D0B2F"/>
    <w:rsid w:val="005D0CB5"/>
    <w:rsid w:val="005D0DC3"/>
    <w:rsid w:val="005D10A1"/>
    <w:rsid w:val="005D129B"/>
    <w:rsid w:val="005D1A2D"/>
    <w:rsid w:val="005D1C55"/>
    <w:rsid w:val="005D1E96"/>
    <w:rsid w:val="005D24A8"/>
    <w:rsid w:val="005D25C1"/>
    <w:rsid w:val="005D286A"/>
    <w:rsid w:val="005D2C0F"/>
    <w:rsid w:val="005D2DFE"/>
    <w:rsid w:val="005D314D"/>
    <w:rsid w:val="005D371C"/>
    <w:rsid w:val="005D3783"/>
    <w:rsid w:val="005D3C73"/>
    <w:rsid w:val="005D3CB8"/>
    <w:rsid w:val="005D3E19"/>
    <w:rsid w:val="005D3E89"/>
    <w:rsid w:val="005D3EA4"/>
    <w:rsid w:val="005D4161"/>
    <w:rsid w:val="005D42DC"/>
    <w:rsid w:val="005D4958"/>
    <w:rsid w:val="005D4F22"/>
    <w:rsid w:val="005D53A1"/>
    <w:rsid w:val="005D5E12"/>
    <w:rsid w:val="005D60A3"/>
    <w:rsid w:val="005D6195"/>
    <w:rsid w:val="005D6312"/>
    <w:rsid w:val="005D668A"/>
    <w:rsid w:val="005D6A15"/>
    <w:rsid w:val="005D6B03"/>
    <w:rsid w:val="005D6F4A"/>
    <w:rsid w:val="005D7258"/>
    <w:rsid w:val="005D7553"/>
    <w:rsid w:val="005D7BA8"/>
    <w:rsid w:val="005D7BFE"/>
    <w:rsid w:val="005D7D49"/>
    <w:rsid w:val="005D7E89"/>
    <w:rsid w:val="005D7F94"/>
    <w:rsid w:val="005E04AC"/>
    <w:rsid w:val="005E0562"/>
    <w:rsid w:val="005E0995"/>
    <w:rsid w:val="005E0C29"/>
    <w:rsid w:val="005E0D91"/>
    <w:rsid w:val="005E0E23"/>
    <w:rsid w:val="005E0EBD"/>
    <w:rsid w:val="005E0FF6"/>
    <w:rsid w:val="005E1041"/>
    <w:rsid w:val="005E1481"/>
    <w:rsid w:val="005E15BA"/>
    <w:rsid w:val="005E1603"/>
    <w:rsid w:val="005E177A"/>
    <w:rsid w:val="005E1806"/>
    <w:rsid w:val="005E1AD0"/>
    <w:rsid w:val="005E1B25"/>
    <w:rsid w:val="005E1FA3"/>
    <w:rsid w:val="005E1FFB"/>
    <w:rsid w:val="005E2463"/>
    <w:rsid w:val="005E2579"/>
    <w:rsid w:val="005E2ACB"/>
    <w:rsid w:val="005E2D15"/>
    <w:rsid w:val="005E2ECA"/>
    <w:rsid w:val="005E3351"/>
    <w:rsid w:val="005E3510"/>
    <w:rsid w:val="005E3C5E"/>
    <w:rsid w:val="005E3E3C"/>
    <w:rsid w:val="005E459E"/>
    <w:rsid w:val="005E4631"/>
    <w:rsid w:val="005E475F"/>
    <w:rsid w:val="005E4A83"/>
    <w:rsid w:val="005E4D96"/>
    <w:rsid w:val="005E524C"/>
    <w:rsid w:val="005E5392"/>
    <w:rsid w:val="005E5524"/>
    <w:rsid w:val="005E5A80"/>
    <w:rsid w:val="005E5BB7"/>
    <w:rsid w:val="005E5C37"/>
    <w:rsid w:val="005E5D0F"/>
    <w:rsid w:val="005E5D86"/>
    <w:rsid w:val="005E5E57"/>
    <w:rsid w:val="005E64E6"/>
    <w:rsid w:val="005E64FD"/>
    <w:rsid w:val="005E65DF"/>
    <w:rsid w:val="005E65E9"/>
    <w:rsid w:val="005E69C5"/>
    <w:rsid w:val="005E6A71"/>
    <w:rsid w:val="005E6D8A"/>
    <w:rsid w:val="005E6FB4"/>
    <w:rsid w:val="005E7544"/>
    <w:rsid w:val="005E7A81"/>
    <w:rsid w:val="005E7F90"/>
    <w:rsid w:val="005F034F"/>
    <w:rsid w:val="005F11E1"/>
    <w:rsid w:val="005F1A8B"/>
    <w:rsid w:val="005F1B94"/>
    <w:rsid w:val="005F1C62"/>
    <w:rsid w:val="005F2B89"/>
    <w:rsid w:val="005F2DC0"/>
    <w:rsid w:val="005F2F7F"/>
    <w:rsid w:val="005F352E"/>
    <w:rsid w:val="005F38B3"/>
    <w:rsid w:val="005F4127"/>
    <w:rsid w:val="005F4509"/>
    <w:rsid w:val="005F459C"/>
    <w:rsid w:val="005F4A7F"/>
    <w:rsid w:val="005F4AD5"/>
    <w:rsid w:val="005F4D2C"/>
    <w:rsid w:val="005F4DDF"/>
    <w:rsid w:val="005F4EDC"/>
    <w:rsid w:val="005F4F06"/>
    <w:rsid w:val="005F5770"/>
    <w:rsid w:val="005F57E8"/>
    <w:rsid w:val="005F5A48"/>
    <w:rsid w:val="005F5BBB"/>
    <w:rsid w:val="005F5C9A"/>
    <w:rsid w:val="005F6068"/>
    <w:rsid w:val="005F62F5"/>
    <w:rsid w:val="005F63B1"/>
    <w:rsid w:val="005F65AF"/>
    <w:rsid w:val="005F665D"/>
    <w:rsid w:val="005F6D9A"/>
    <w:rsid w:val="005F6FEB"/>
    <w:rsid w:val="005F759E"/>
    <w:rsid w:val="005F76F2"/>
    <w:rsid w:val="005F78ED"/>
    <w:rsid w:val="005F7D37"/>
    <w:rsid w:val="005F7D80"/>
    <w:rsid w:val="005F7EE7"/>
    <w:rsid w:val="0060029B"/>
    <w:rsid w:val="00600411"/>
    <w:rsid w:val="00600924"/>
    <w:rsid w:val="00600A6A"/>
    <w:rsid w:val="00600D66"/>
    <w:rsid w:val="006012EB"/>
    <w:rsid w:val="00601BF0"/>
    <w:rsid w:val="00601C41"/>
    <w:rsid w:val="00601DF7"/>
    <w:rsid w:val="0060274C"/>
    <w:rsid w:val="006027C0"/>
    <w:rsid w:val="00602D68"/>
    <w:rsid w:val="006034F8"/>
    <w:rsid w:val="006037A8"/>
    <w:rsid w:val="006038CE"/>
    <w:rsid w:val="00603BF9"/>
    <w:rsid w:val="00603F25"/>
    <w:rsid w:val="006041DB"/>
    <w:rsid w:val="006049DD"/>
    <w:rsid w:val="00604E6D"/>
    <w:rsid w:val="006050AB"/>
    <w:rsid w:val="00605309"/>
    <w:rsid w:val="00605419"/>
    <w:rsid w:val="00605AA3"/>
    <w:rsid w:val="00605B38"/>
    <w:rsid w:val="00605DC5"/>
    <w:rsid w:val="00605EAF"/>
    <w:rsid w:val="00605F05"/>
    <w:rsid w:val="00605F99"/>
    <w:rsid w:val="006071B2"/>
    <w:rsid w:val="00607260"/>
    <w:rsid w:val="00607467"/>
    <w:rsid w:val="006101B9"/>
    <w:rsid w:val="0061070D"/>
    <w:rsid w:val="00610795"/>
    <w:rsid w:val="00610876"/>
    <w:rsid w:val="00610938"/>
    <w:rsid w:val="00610A81"/>
    <w:rsid w:val="00610F42"/>
    <w:rsid w:val="00611057"/>
    <w:rsid w:val="006112D0"/>
    <w:rsid w:val="00611437"/>
    <w:rsid w:val="006118EE"/>
    <w:rsid w:val="0061197E"/>
    <w:rsid w:val="00611A2B"/>
    <w:rsid w:val="00611BE5"/>
    <w:rsid w:val="00612159"/>
    <w:rsid w:val="0061278C"/>
    <w:rsid w:val="00612B91"/>
    <w:rsid w:val="00612B97"/>
    <w:rsid w:val="00612C44"/>
    <w:rsid w:val="00612EA5"/>
    <w:rsid w:val="00612EDA"/>
    <w:rsid w:val="006130B5"/>
    <w:rsid w:val="00613969"/>
    <w:rsid w:val="00613B2A"/>
    <w:rsid w:val="00613C0C"/>
    <w:rsid w:val="00613D04"/>
    <w:rsid w:val="00613EE0"/>
    <w:rsid w:val="00613FD3"/>
    <w:rsid w:val="00613FDC"/>
    <w:rsid w:val="0061401F"/>
    <w:rsid w:val="00614289"/>
    <w:rsid w:val="0061457F"/>
    <w:rsid w:val="0061477D"/>
    <w:rsid w:val="0061478C"/>
    <w:rsid w:val="0061509F"/>
    <w:rsid w:val="0061531D"/>
    <w:rsid w:val="006153E0"/>
    <w:rsid w:val="00616174"/>
    <w:rsid w:val="00616FFA"/>
    <w:rsid w:val="0061735F"/>
    <w:rsid w:val="00617724"/>
    <w:rsid w:val="006178E4"/>
    <w:rsid w:val="00617904"/>
    <w:rsid w:val="00617C43"/>
    <w:rsid w:val="00617DA0"/>
    <w:rsid w:val="0062094E"/>
    <w:rsid w:val="00620B2B"/>
    <w:rsid w:val="00620CEE"/>
    <w:rsid w:val="0062127A"/>
    <w:rsid w:val="00621672"/>
    <w:rsid w:val="00621878"/>
    <w:rsid w:val="00621CC8"/>
    <w:rsid w:val="006222C4"/>
    <w:rsid w:val="00622755"/>
    <w:rsid w:val="00622FF0"/>
    <w:rsid w:val="00623091"/>
    <w:rsid w:val="00623478"/>
    <w:rsid w:val="0062348A"/>
    <w:rsid w:val="00623868"/>
    <w:rsid w:val="00623A2E"/>
    <w:rsid w:val="00623A52"/>
    <w:rsid w:val="00623AB1"/>
    <w:rsid w:val="00623B59"/>
    <w:rsid w:val="00623CAA"/>
    <w:rsid w:val="00624279"/>
    <w:rsid w:val="006245D7"/>
    <w:rsid w:val="0062487A"/>
    <w:rsid w:val="00624B93"/>
    <w:rsid w:val="006250E2"/>
    <w:rsid w:val="006253A0"/>
    <w:rsid w:val="00625B4F"/>
    <w:rsid w:val="00626119"/>
    <w:rsid w:val="00626193"/>
    <w:rsid w:val="00626B9D"/>
    <w:rsid w:val="0062720C"/>
    <w:rsid w:val="006273CA"/>
    <w:rsid w:val="0062762F"/>
    <w:rsid w:val="006276D4"/>
    <w:rsid w:val="00627F81"/>
    <w:rsid w:val="00627F9E"/>
    <w:rsid w:val="00627FB8"/>
    <w:rsid w:val="0063039F"/>
    <w:rsid w:val="00630919"/>
    <w:rsid w:val="00630949"/>
    <w:rsid w:val="00630D6F"/>
    <w:rsid w:val="00630F78"/>
    <w:rsid w:val="00630FC2"/>
    <w:rsid w:val="00631082"/>
    <w:rsid w:val="006311D1"/>
    <w:rsid w:val="0063158C"/>
    <w:rsid w:val="006318BC"/>
    <w:rsid w:val="00631923"/>
    <w:rsid w:val="00631A55"/>
    <w:rsid w:val="00631AAC"/>
    <w:rsid w:val="00631F97"/>
    <w:rsid w:val="006323D5"/>
    <w:rsid w:val="006326B9"/>
    <w:rsid w:val="006329C9"/>
    <w:rsid w:val="00632EB0"/>
    <w:rsid w:val="006330DE"/>
    <w:rsid w:val="00633D0A"/>
    <w:rsid w:val="00633F85"/>
    <w:rsid w:val="00634022"/>
    <w:rsid w:val="00634146"/>
    <w:rsid w:val="006341B6"/>
    <w:rsid w:val="00634329"/>
    <w:rsid w:val="0063498D"/>
    <w:rsid w:val="00635257"/>
    <w:rsid w:val="006355EF"/>
    <w:rsid w:val="00635845"/>
    <w:rsid w:val="00635CCF"/>
    <w:rsid w:val="00635DAD"/>
    <w:rsid w:val="0063664E"/>
    <w:rsid w:val="0063668D"/>
    <w:rsid w:val="00636694"/>
    <w:rsid w:val="006367D2"/>
    <w:rsid w:val="00636ADE"/>
    <w:rsid w:val="00637352"/>
    <w:rsid w:val="00637F44"/>
    <w:rsid w:val="00637FBD"/>
    <w:rsid w:val="00640220"/>
    <w:rsid w:val="00640279"/>
    <w:rsid w:val="0064028B"/>
    <w:rsid w:val="00640361"/>
    <w:rsid w:val="00640578"/>
    <w:rsid w:val="0064084E"/>
    <w:rsid w:val="0064094A"/>
    <w:rsid w:val="00640BD2"/>
    <w:rsid w:val="0064109D"/>
    <w:rsid w:val="0064128E"/>
    <w:rsid w:val="0064164A"/>
    <w:rsid w:val="00641983"/>
    <w:rsid w:val="00641A50"/>
    <w:rsid w:val="00641AD2"/>
    <w:rsid w:val="00641E85"/>
    <w:rsid w:val="00642270"/>
    <w:rsid w:val="006426E6"/>
    <w:rsid w:val="00642F6B"/>
    <w:rsid w:val="00642FEC"/>
    <w:rsid w:val="00643097"/>
    <w:rsid w:val="006431C0"/>
    <w:rsid w:val="00643258"/>
    <w:rsid w:val="006434AE"/>
    <w:rsid w:val="00643566"/>
    <w:rsid w:val="00643620"/>
    <w:rsid w:val="006436BF"/>
    <w:rsid w:val="006438BD"/>
    <w:rsid w:val="00643A6A"/>
    <w:rsid w:val="00643C26"/>
    <w:rsid w:val="00643DD1"/>
    <w:rsid w:val="00644660"/>
    <w:rsid w:val="0064476D"/>
    <w:rsid w:val="00644829"/>
    <w:rsid w:val="00644D03"/>
    <w:rsid w:val="00645041"/>
    <w:rsid w:val="00645414"/>
    <w:rsid w:val="006455DA"/>
    <w:rsid w:val="00645E07"/>
    <w:rsid w:val="0064615A"/>
    <w:rsid w:val="00646492"/>
    <w:rsid w:val="006468BA"/>
    <w:rsid w:val="00646A58"/>
    <w:rsid w:val="00646AFE"/>
    <w:rsid w:val="00646DB1"/>
    <w:rsid w:val="006471BD"/>
    <w:rsid w:val="006473BD"/>
    <w:rsid w:val="006474A1"/>
    <w:rsid w:val="006478FB"/>
    <w:rsid w:val="00647DEB"/>
    <w:rsid w:val="00650304"/>
    <w:rsid w:val="00650C59"/>
    <w:rsid w:val="00650CE2"/>
    <w:rsid w:val="0065136D"/>
    <w:rsid w:val="006515BF"/>
    <w:rsid w:val="006515DB"/>
    <w:rsid w:val="00651633"/>
    <w:rsid w:val="00651674"/>
    <w:rsid w:val="006519EB"/>
    <w:rsid w:val="00651CA1"/>
    <w:rsid w:val="00651D05"/>
    <w:rsid w:val="00651DF8"/>
    <w:rsid w:val="00651E66"/>
    <w:rsid w:val="00651FE0"/>
    <w:rsid w:val="00651FF0"/>
    <w:rsid w:val="006521DD"/>
    <w:rsid w:val="0065309E"/>
    <w:rsid w:val="00653105"/>
    <w:rsid w:val="00653280"/>
    <w:rsid w:val="0065372C"/>
    <w:rsid w:val="00653B87"/>
    <w:rsid w:val="00654168"/>
    <w:rsid w:val="0065417C"/>
    <w:rsid w:val="0065449F"/>
    <w:rsid w:val="00654B6C"/>
    <w:rsid w:val="00654DBC"/>
    <w:rsid w:val="00655279"/>
    <w:rsid w:val="00655863"/>
    <w:rsid w:val="00655CB0"/>
    <w:rsid w:val="00655CD1"/>
    <w:rsid w:val="00656035"/>
    <w:rsid w:val="006565E2"/>
    <w:rsid w:val="006566DF"/>
    <w:rsid w:val="00656AF6"/>
    <w:rsid w:val="00656FC4"/>
    <w:rsid w:val="00656FD2"/>
    <w:rsid w:val="00657791"/>
    <w:rsid w:val="00657807"/>
    <w:rsid w:val="00657B3F"/>
    <w:rsid w:val="0066020B"/>
    <w:rsid w:val="00660419"/>
    <w:rsid w:val="00660816"/>
    <w:rsid w:val="00660A4D"/>
    <w:rsid w:val="00660ED3"/>
    <w:rsid w:val="0066163B"/>
    <w:rsid w:val="00661693"/>
    <w:rsid w:val="00661E12"/>
    <w:rsid w:val="00661E2A"/>
    <w:rsid w:val="0066235F"/>
    <w:rsid w:val="006623D7"/>
    <w:rsid w:val="0066266A"/>
    <w:rsid w:val="00662829"/>
    <w:rsid w:val="00662A4E"/>
    <w:rsid w:val="0066308C"/>
    <w:rsid w:val="006630D7"/>
    <w:rsid w:val="00663384"/>
    <w:rsid w:val="006634C6"/>
    <w:rsid w:val="00663EC2"/>
    <w:rsid w:val="0066401D"/>
    <w:rsid w:val="006643F6"/>
    <w:rsid w:val="006644D7"/>
    <w:rsid w:val="00664689"/>
    <w:rsid w:val="00665436"/>
    <w:rsid w:val="0066543F"/>
    <w:rsid w:val="00665AB8"/>
    <w:rsid w:val="00665CB3"/>
    <w:rsid w:val="00665D64"/>
    <w:rsid w:val="00665F5E"/>
    <w:rsid w:val="00666079"/>
    <w:rsid w:val="006661A6"/>
    <w:rsid w:val="00666357"/>
    <w:rsid w:val="00666464"/>
    <w:rsid w:val="006666BC"/>
    <w:rsid w:val="006667B1"/>
    <w:rsid w:val="006667ED"/>
    <w:rsid w:val="00666811"/>
    <w:rsid w:val="0066683A"/>
    <w:rsid w:val="00666C69"/>
    <w:rsid w:val="00666D1C"/>
    <w:rsid w:val="00666D5D"/>
    <w:rsid w:val="0066767B"/>
    <w:rsid w:val="00667972"/>
    <w:rsid w:val="00667ABA"/>
    <w:rsid w:val="006702BA"/>
    <w:rsid w:val="00670313"/>
    <w:rsid w:val="006707C0"/>
    <w:rsid w:val="006713BF"/>
    <w:rsid w:val="00671744"/>
    <w:rsid w:val="00671A29"/>
    <w:rsid w:val="00671A9B"/>
    <w:rsid w:val="00672225"/>
    <w:rsid w:val="00672387"/>
    <w:rsid w:val="00672809"/>
    <w:rsid w:val="006729A9"/>
    <w:rsid w:val="00672A01"/>
    <w:rsid w:val="00672C8B"/>
    <w:rsid w:val="0067303C"/>
    <w:rsid w:val="0067349D"/>
    <w:rsid w:val="006735DB"/>
    <w:rsid w:val="00673A17"/>
    <w:rsid w:val="00673C4B"/>
    <w:rsid w:val="00673D7C"/>
    <w:rsid w:val="00674133"/>
    <w:rsid w:val="0067418D"/>
    <w:rsid w:val="0067432B"/>
    <w:rsid w:val="00674365"/>
    <w:rsid w:val="006743ED"/>
    <w:rsid w:val="00674549"/>
    <w:rsid w:val="006749C1"/>
    <w:rsid w:val="00674EE7"/>
    <w:rsid w:val="00675A4B"/>
    <w:rsid w:val="00675B16"/>
    <w:rsid w:val="00675B61"/>
    <w:rsid w:val="00675CEC"/>
    <w:rsid w:val="00675D4F"/>
    <w:rsid w:val="00675E7B"/>
    <w:rsid w:val="006764DB"/>
    <w:rsid w:val="00676D72"/>
    <w:rsid w:val="006773F0"/>
    <w:rsid w:val="0067740E"/>
    <w:rsid w:val="00677C08"/>
    <w:rsid w:val="00677C41"/>
    <w:rsid w:val="00680386"/>
    <w:rsid w:val="006804FE"/>
    <w:rsid w:val="00680A3B"/>
    <w:rsid w:val="00680E14"/>
    <w:rsid w:val="00680ECE"/>
    <w:rsid w:val="00681E4B"/>
    <w:rsid w:val="00682168"/>
    <w:rsid w:val="006825DC"/>
    <w:rsid w:val="0068262E"/>
    <w:rsid w:val="006826B6"/>
    <w:rsid w:val="006826D4"/>
    <w:rsid w:val="006826F6"/>
    <w:rsid w:val="00682FDF"/>
    <w:rsid w:val="0068306D"/>
    <w:rsid w:val="00683169"/>
    <w:rsid w:val="00683454"/>
    <w:rsid w:val="006839B3"/>
    <w:rsid w:val="00683B96"/>
    <w:rsid w:val="00683E11"/>
    <w:rsid w:val="006845DA"/>
    <w:rsid w:val="00684605"/>
    <w:rsid w:val="00684630"/>
    <w:rsid w:val="00684998"/>
    <w:rsid w:val="00684FBF"/>
    <w:rsid w:val="0068516F"/>
    <w:rsid w:val="006851B5"/>
    <w:rsid w:val="006853B4"/>
    <w:rsid w:val="00685EBD"/>
    <w:rsid w:val="00685FC5"/>
    <w:rsid w:val="0068632E"/>
    <w:rsid w:val="00686367"/>
    <w:rsid w:val="006864D9"/>
    <w:rsid w:val="006865B3"/>
    <w:rsid w:val="0068691A"/>
    <w:rsid w:val="00686DDE"/>
    <w:rsid w:val="006872D5"/>
    <w:rsid w:val="0068731D"/>
    <w:rsid w:val="00687B4B"/>
    <w:rsid w:val="006903BA"/>
    <w:rsid w:val="00690AA0"/>
    <w:rsid w:val="00691126"/>
    <w:rsid w:val="00691160"/>
    <w:rsid w:val="00691306"/>
    <w:rsid w:val="006915A1"/>
    <w:rsid w:val="00691EA3"/>
    <w:rsid w:val="0069249B"/>
    <w:rsid w:val="0069280E"/>
    <w:rsid w:val="00692EA5"/>
    <w:rsid w:val="00693811"/>
    <w:rsid w:val="00693872"/>
    <w:rsid w:val="00693E39"/>
    <w:rsid w:val="00694648"/>
    <w:rsid w:val="006946A3"/>
    <w:rsid w:val="006955CC"/>
    <w:rsid w:val="006959A6"/>
    <w:rsid w:val="00695A7A"/>
    <w:rsid w:val="00695CEE"/>
    <w:rsid w:val="00695E48"/>
    <w:rsid w:val="00696019"/>
    <w:rsid w:val="00696122"/>
    <w:rsid w:val="0069619A"/>
    <w:rsid w:val="006964AA"/>
    <w:rsid w:val="006964C3"/>
    <w:rsid w:val="00696618"/>
    <w:rsid w:val="00696B32"/>
    <w:rsid w:val="00696CC0"/>
    <w:rsid w:val="00697115"/>
    <w:rsid w:val="00697163"/>
    <w:rsid w:val="006972F3"/>
    <w:rsid w:val="006973C4"/>
    <w:rsid w:val="006978F1"/>
    <w:rsid w:val="00697D31"/>
    <w:rsid w:val="00697ED9"/>
    <w:rsid w:val="006A039B"/>
    <w:rsid w:val="006A03A2"/>
    <w:rsid w:val="006A090C"/>
    <w:rsid w:val="006A0AEA"/>
    <w:rsid w:val="006A0B70"/>
    <w:rsid w:val="006A0C8E"/>
    <w:rsid w:val="006A1066"/>
    <w:rsid w:val="006A12CE"/>
    <w:rsid w:val="006A190B"/>
    <w:rsid w:val="006A1AA9"/>
    <w:rsid w:val="006A20DC"/>
    <w:rsid w:val="006A2273"/>
    <w:rsid w:val="006A228B"/>
    <w:rsid w:val="006A2667"/>
    <w:rsid w:val="006A2C5D"/>
    <w:rsid w:val="006A2D71"/>
    <w:rsid w:val="006A2DB5"/>
    <w:rsid w:val="006A313B"/>
    <w:rsid w:val="006A32B9"/>
    <w:rsid w:val="006A35CE"/>
    <w:rsid w:val="006A36DB"/>
    <w:rsid w:val="006A38B4"/>
    <w:rsid w:val="006A3A02"/>
    <w:rsid w:val="006A3F0E"/>
    <w:rsid w:val="006A40AD"/>
    <w:rsid w:val="006A41F0"/>
    <w:rsid w:val="006A4270"/>
    <w:rsid w:val="006A4D47"/>
    <w:rsid w:val="006A4EA3"/>
    <w:rsid w:val="006A5206"/>
    <w:rsid w:val="006A5B07"/>
    <w:rsid w:val="006A5CC4"/>
    <w:rsid w:val="006A5DCF"/>
    <w:rsid w:val="006A6189"/>
    <w:rsid w:val="006A6295"/>
    <w:rsid w:val="006A62E3"/>
    <w:rsid w:val="006A6376"/>
    <w:rsid w:val="006A6566"/>
    <w:rsid w:val="006A6614"/>
    <w:rsid w:val="006A6BA7"/>
    <w:rsid w:val="006A6CE0"/>
    <w:rsid w:val="006A7027"/>
    <w:rsid w:val="006A738C"/>
    <w:rsid w:val="006A794B"/>
    <w:rsid w:val="006A7A88"/>
    <w:rsid w:val="006A7B94"/>
    <w:rsid w:val="006A7EF2"/>
    <w:rsid w:val="006B0922"/>
    <w:rsid w:val="006B0923"/>
    <w:rsid w:val="006B0B1B"/>
    <w:rsid w:val="006B0CBE"/>
    <w:rsid w:val="006B12F2"/>
    <w:rsid w:val="006B1447"/>
    <w:rsid w:val="006B1FC4"/>
    <w:rsid w:val="006B20F8"/>
    <w:rsid w:val="006B22BC"/>
    <w:rsid w:val="006B2A20"/>
    <w:rsid w:val="006B2A27"/>
    <w:rsid w:val="006B2EF1"/>
    <w:rsid w:val="006B308A"/>
    <w:rsid w:val="006B335E"/>
    <w:rsid w:val="006B3A80"/>
    <w:rsid w:val="006B3C36"/>
    <w:rsid w:val="006B4089"/>
    <w:rsid w:val="006B4517"/>
    <w:rsid w:val="006B4ACC"/>
    <w:rsid w:val="006B4C18"/>
    <w:rsid w:val="006B4C7D"/>
    <w:rsid w:val="006B4C84"/>
    <w:rsid w:val="006B4FA8"/>
    <w:rsid w:val="006B5054"/>
    <w:rsid w:val="006B5392"/>
    <w:rsid w:val="006B54AE"/>
    <w:rsid w:val="006B559A"/>
    <w:rsid w:val="006B59EA"/>
    <w:rsid w:val="006B5DB5"/>
    <w:rsid w:val="006B5E36"/>
    <w:rsid w:val="006B691A"/>
    <w:rsid w:val="006B6959"/>
    <w:rsid w:val="006B6C4B"/>
    <w:rsid w:val="006B7689"/>
    <w:rsid w:val="006B7A33"/>
    <w:rsid w:val="006B7DF9"/>
    <w:rsid w:val="006B7F16"/>
    <w:rsid w:val="006C01F4"/>
    <w:rsid w:val="006C0738"/>
    <w:rsid w:val="006C08BC"/>
    <w:rsid w:val="006C0E28"/>
    <w:rsid w:val="006C110D"/>
    <w:rsid w:val="006C11F5"/>
    <w:rsid w:val="006C1540"/>
    <w:rsid w:val="006C1962"/>
    <w:rsid w:val="006C1A8D"/>
    <w:rsid w:val="006C1E0F"/>
    <w:rsid w:val="006C2295"/>
    <w:rsid w:val="006C2327"/>
    <w:rsid w:val="006C255D"/>
    <w:rsid w:val="006C295F"/>
    <w:rsid w:val="006C2A59"/>
    <w:rsid w:val="006C2A83"/>
    <w:rsid w:val="006C2E34"/>
    <w:rsid w:val="006C30C6"/>
    <w:rsid w:val="006C3207"/>
    <w:rsid w:val="006C34B2"/>
    <w:rsid w:val="006C3543"/>
    <w:rsid w:val="006C35B7"/>
    <w:rsid w:val="006C35DC"/>
    <w:rsid w:val="006C373F"/>
    <w:rsid w:val="006C3A8F"/>
    <w:rsid w:val="006C3A9E"/>
    <w:rsid w:val="006C3B74"/>
    <w:rsid w:val="006C3F55"/>
    <w:rsid w:val="006C3F83"/>
    <w:rsid w:val="006C42DE"/>
    <w:rsid w:val="006C453A"/>
    <w:rsid w:val="006C4780"/>
    <w:rsid w:val="006C520D"/>
    <w:rsid w:val="006C534C"/>
    <w:rsid w:val="006C566D"/>
    <w:rsid w:val="006C58AD"/>
    <w:rsid w:val="006C5931"/>
    <w:rsid w:val="006C594D"/>
    <w:rsid w:val="006C618F"/>
    <w:rsid w:val="006C6669"/>
    <w:rsid w:val="006C6773"/>
    <w:rsid w:val="006C6872"/>
    <w:rsid w:val="006C6B61"/>
    <w:rsid w:val="006C6B9B"/>
    <w:rsid w:val="006C6D00"/>
    <w:rsid w:val="006C6D91"/>
    <w:rsid w:val="006C6DDC"/>
    <w:rsid w:val="006C718A"/>
    <w:rsid w:val="006C7221"/>
    <w:rsid w:val="006C7496"/>
    <w:rsid w:val="006C7557"/>
    <w:rsid w:val="006C777E"/>
    <w:rsid w:val="006C77DC"/>
    <w:rsid w:val="006C77DF"/>
    <w:rsid w:val="006C7B8E"/>
    <w:rsid w:val="006C7C0E"/>
    <w:rsid w:val="006D002A"/>
    <w:rsid w:val="006D03A9"/>
    <w:rsid w:val="006D05E9"/>
    <w:rsid w:val="006D070F"/>
    <w:rsid w:val="006D09EB"/>
    <w:rsid w:val="006D0CF7"/>
    <w:rsid w:val="006D1020"/>
    <w:rsid w:val="006D1A63"/>
    <w:rsid w:val="006D1B78"/>
    <w:rsid w:val="006D1E99"/>
    <w:rsid w:val="006D1FDC"/>
    <w:rsid w:val="006D23CE"/>
    <w:rsid w:val="006D256F"/>
    <w:rsid w:val="006D268F"/>
    <w:rsid w:val="006D34C7"/>
    <w:rsid w:val="006D34DC"/>
    <w:rsid w:val="006D3555"/>
    <w:rsid w:val="006D3802"/>
    <w:rsid w:val="006D4300"/>
    <w:rsid w:val="006D444F"/>
    <w:rsid w:val="006D4CE6"/>
    <w:rsid w:val="006D4DA5"/>
    <w:rsid w:val="006D4E0B"/>
    <w:rsid w:val="006D4EE8"/>
    <w:rsid w:val="006D4F4D"/>
    <w:rsid w:val="006D53C1"/>
    <w:rsid w:val="006D54C7"/>
    <w:rsid w:val="006D56BE"/>
    <w:rsid w:val="006D5995"/>
    <w:rsid w:val="006D6208"/>
    <w:rsid w:val="006D6237"/>
    <w:rsid w:val="006D64C0"/>
    <w:rsid w:val="006D67F5"/>
    <w:rsid w:val="006D6F20"/>
    <w:rsid w:val="006D6F9B"/>
    <w:rsid w:val="006D70C7"/>
    <w:rsid w:val="006D70D2"/>
    <w:rsid w:val="006D7143"/>
    <w:rsid w:val="006D718E"/>
    <w:rsid w:val="006D74CC"/>
    <w:rsid w:val="006D785B"/>
    <w:rsid w:val="006D785C"/>
    <w:rsid w:val="006E06FA"/>
    <w:rsid w:val="006E07D1"/>
    <w:rsid w:val="006E0C3E"/>
    <w:rsid w:val="006E1304"/>
    <w:rsid w:val="006E131A"/>
    <w:rsid w:val="006E1468"/>
    <w:rsid w:val="006E154C"/>
    <w:rsid w:val="006E155B"/>
    <w:rsid w:val="006E172C"/>
    <w:rsid w:val="006E178C"/>
    <w:rsid w:val="006E1B45"/>
    <w:rsid w:val="006E1E0B"/>
    <w:rsid w:val="006E1F3A"/>
    <w:rsid w:val="006E1F70"/>
    <w:rsid w:val="006E216B"/>
    <w:rsid w:val="006E2173"/>
    <w:rsid w:val="006E224E"/>
    <w:rsid w:val="006E22C4"/>
    <w:rsid w:val="006E22E3"/>
    <w:rsid w:val="006E255A"/>
    <w:rsid w:val="006E26B0"/>
    <w:rsid w:val="006E2B9F"/>
    <w:rsid w:val="006E2E12"/>
    <w:rsid w:val="006E306C"/>
    <w:rsid w:val="006E33C7"/>
    <w:rsid w:val="006E3936"/>
    <w:rsid w:val="006E3A02"/>
    <w:rsid w:val="006E3E6B"/>
    <w:rsid w:val="006E3E71"/>
    <w:rsid w:val="006E40C8"/>
    <w:rsid w:val="006E40D6"/>
    <w:rsid w:val="006E41D0"/>
    <w:rsid w:val="006E4879"/>
    <w:rsid w:val="006E48F8"/>
    <w:rsid w:val="006E50E4"/>
    <w:rsid w:val="006E58B5"/>
    <w:rsid w:val="006E5B8D"/>
    <w:rsid w:val="006E5C23"/>
    <w:rsid w:val="006E61E9"/>
    <w:rsid w:val="006E6679"/>
    <w:rsid w:val="006E6697"/>
    <w:rsid w:val="006E687B"/>
    <w:rsid w:val="006E692F"/>
    <w:rsid w:val="006E6C9F"/>
    <w:rsid w:val="006E6FAE"/>
    <w:rsid w:val="006E6FDE"/>
    <w:rsid w:val="006E7621"/>
    <w:rsid w:val="006E773A"/>
    <w:rsid w:val="006E78FB"/>
    <w:rsid w:val="006E7BF1"/>
    <w:rsid w:val="006F0041"/>
    <w:rsid w:val="006F02C6"/>
    <w:rsid w:val="006F077B"/>
    <w:rsid w:val="006F0842"/>
    <w:rsid w:val="006F0F46"/>
    <w:rsid w:val="006F1071"/>
    <w:rsid w:val="006F1154"/>
    <w:rsid w:val="006F1162"/>
    <w:rsid w:val="006F127A"/>
    <w:rsid w:val="006F12E8"/>
    <w:rsid w:val="006F1DDA"/>
    <w:rsid w:val="006F1FFA"/>
    <w:rsid w:val="006F2145"/>
    <w:rsid w:val="006F22C9"/>
    <w:rsid w:val="006F2ADC"/>
    <w:rsid w:val="006F3342"/>
    <w:rsid w:val="006F40F1"/>
    <w:rsid w:val="006F4239"/>
    <w:rsid w:val="006F45C5"/>
    <w:rsid w:val="006F45D9"/>
    <w:rsid w:val="006F46BF"/>
    <w:rsid w:val="006F48AF"/>
    <w:rsid w:val="006F4932"/>
    <w:rsid w:val="006F4D01"/>
    <w:rsid w:val="006F4DCB"/>
    <w:rsid w:val="006F4F21"/>
    <w:rsid w:val="006F5004"/>
    <w:rsid w:val="006F52D2"/>
    <w:rsid w:val="006F54EE"/>
    <w:rsid w:val="006F56CD"/>
    <w:rsid w:val="006F5EEE"/>
    <w:rsid w:val="006F6A1D"/>
    <w:rsid w:val="006F6BA1"/>
    <w:rsid w:val="006F6C02"/>
    <w:rsid w:val="006F6C9F"/>
    <w:rsid w:val="006F6CFE"/>
    <w:rsid w:val="006F6D0A"/>
    <w:rsid w:val="006F6D26"/>
    <w:rsid w:val="006F6EFF"/>
    <w:rsid w:val="006F6F92"/>
    <w:rsid w:val="006F74E3"/>
    <w:rsid w:val="006F7834"/>
    <w:rsid w:val="0070013B"/>
    <w:rsid w:val="007001FA"/>
    <w:rsid w:val="00700A37"/>
    <w:rsid w:val="00700CAF"/>
    <w:rsid w:val="00700D2A"/>
    <w:rsid w:val="0070120A"/>
    <w:rsid w:val="007013C2"/>
    <w:rsid w:val="007014A3"/>
    <w:rsid w:val="007017E5"/>
    <w:rsid w:val="00701E13"/>
    <w:rsid w:val="007025B6"/>
    <w:rsid w:val="00702AAB"/>
    <w:rsid w:val="00702BCE"/>
    <w:rsid w:val="00702D7C"/>
    <w:rsid w:val="00703254"/>
    <w:rsid w:val="00703717"/>
    <w:rsid w:val="00703EA9"/>
    <w:rsid w:val="00703EBF"/>
    <w:rsid w:val="00704032"/>
    <w:rsid w:val="0070404D"/>
    <w:rsid w:val="007042D8"/>
    <w:rsid w:val="007047DE"/>
    <w:rsid w:val="00704840"/>
    <w:rsid w:val="00704BE7"/>
    <w:rsid w:val="00704C96"/>
    <w:rsid w:val="00704D4A"/>
    <w:rsid w:val="00704D70"/>
    <w:rsid w:val="00705716"/>
    <w:rsid w:val="00705EC3"/>
    <w:rsid w:val="00705FD4"/>
    <w:rsid w:val="007060C8"/>
    <w:rsid w:val="0070631E"/>
    <w:rsid w:val="0070639F"/>
    <w:rsid w:val="00706948"/>
    <w:rsid w:val="00706C36"/>
    <w:rsid w:val="00706C66"/>
    <w:rsid w:val="0070703C"/>
    <w:rsid w:val="0070785A"/>
    <w:rsid w:val="007079E3"/>
    <w:rsid w:val="007079E8"/>
    <w:rsid w:val="0071001B"/>
    <w:rsid w:val="0071046D"/>
    <w:rsid w:val="007107FE"/>
    <w:rsid w:val="00710916"/>
    <w:rsid w:val="007109C3"/>
    <w:rsid w:val="0071151F"/>
    <w:rsid w:val="0071195E"/>
    <w:rsid w:val="00711A0C"/>
    <w:rsid w:val="00711B66"/>
    <w:rsid w:val="00711B8D"/>
    <w:rsid w:val="0071284C"/>
    <w:rsid w:val="00712895"/>
    <w:rsid w:val="00712B49"/>
    <w:rsid w:val="00712CB7"/>
    <w:rsid w:val="0071367F"/>
    <w:rsid w:val="00713889"/>
    <w:rsid w:val="00713B98"/>
    <w:rsid w:val="00713CAB"/>
    <w:rsid w:val="00713EC5"/>
    <w:rsid w:val="00713FBB"/>
    <w:rsid w:val="007141C8"/>
    <w:rsid w:val="007145DD"/>
    <w:rsid w:val="00714BBA"/>
    <w:rsid w:val="00714DBC"/>
    <w:rsid w:val="00715165"/>
    <w:rsid w:val="007159C2"/>
    <w:rsid w:val="00715B9D"/>
    <w:rsid w:val="00716373"/>
    <w:rsid w:val="0071684B"/>
    <w:rsid w:val="00716A94"/>
    <w:rsid w:val="007172AF"/>
    <w:rsid w:val="00717661"/>
    <w:rsid w:val="007203A8"/>
    <w:rsid w:val="007205DC"/>
    <w:rsid w:val="00720639"/>
    <w:rsid w:val="00720A55"/>
    <w:rsid w:val="00720D4F"/>
    <w:rsid w:val="00720E2D"/>
    <w:rsid w:val="007210AD"/>
    <w:rsid w:val="007213DD"/>
    <w:rsid w:val="00721A63"/>
    <w:rsid w:val="00721AFE"/>
    <w:rsid w:val="00721BF2"/>
    <w:rsid w:val="0072227A"/>
    <w:rsid w:val="0072279B"/>
    <w:rsid w:val="007227F6"/>
    <w:rsid w:val="00722A56"/>
    <w:rsid w:val="00722B3F"/>
    <w:rsid w:val="00722F45"/>
    <w:rsid w:val="00723344"/>
    <w:rsid w:val="007234FD"/>
    <w:rsid w:val="0072353D"/>
    <w:rsid w:val="007235EB"/>
    <w:rsid w:val="00723687"/>
    <w:rsid w:val="00723952"/>
    <w:rsid w:val="00723B1B"/>
    <w:rsid w:val="00723D95"/>
    <w:rsid w:val="007243F8"/>
    <w:rsid w:val="007248DE"/>
    <w:rsid w:val="0072528E"/>
    <w:rsid w:val="00725744"/>
    <w:rsid w:val="00725E0C"/>
    <w:rsid w:val="00726229"/>
    <w:rsid w:val="00726592"/>
    <w:rsid w:val="0072679B"/>
    <w:rsid w:val="00726BB2"/>
    <w:rsid w:val="00726F77"/>
    <w:rsid w:val="00727483"/>
    <w:rsid w:val="00727CBF"/>
    <w:rsid w:val="00727F46"/>
    <w:rsid w:val="0073009C"/>
    <w:rsid w:val="00730660"/>
    <w:rsid w:val="0073072C"/>
    <w:rsid w:val="00730831"/>
    <w:rsid w:val="00730971"/>
    <w:rsid w:val="00730AC7"/>
    <w:rsid w:val="00730D4A"/>
    <w:rsid w:val="0073134E"/>
    <w:rsid w:val="00731531"/>
    <w:rsid w:val="00731D1E"/>
    <w:rsid w:val="00731DD9"/>
    <w:rsid w:val="00731EDD"/>
    <w:rsid w:val="00731EF6"/>
    <w:rsid w:val="00732092"/>
    <w:rsid w:val="007324AC"/>
    <w:rsid w:val="007325E5"/>
    <w:rsid w:val="00732810"/>
    <w:rsid w:val="00732D49"/>
    <w:rsid w:val="00732FBF"/>
    <w:rsid w:val="00733064"/>
    <w:rsid w:val="007332DC"/>
    <w:rsid w:val="0073330D"/>
    <w:rsid w:val="007334F5"/>
    <w:rsid w:val="007338E1"/>
    <w:rsid w:val="0073394F"/>
    <w:rsid w:val="00733A8E"/>
    <w:rsid w:val="00733CE2"/>
    <w:rsid w:val="0073401E"/>
    <w:rsid w:val="007340CF"/>
    <w:rsid w:val="00734248"/>
    <w:rsid w:val="007347A6"/>
    <w:rsid w:val="00734A8C"/>
    <w:rsid w:val="00734AB4"/>
    <w:rsid w:val="00734B5B"/>
    <w:rsid w:val="007353C0"/>
    <w:rsid w:val="0073558C"/>
    <w:rsid w:val="007359BE"/>
    <w:rsid w:val="00735AFF"/>
    <w:rsid w:val="00735C0E"/>
    <w:rsid w:val="00735C17"/>
    <w:rsid w:val="00735FB4"/>
    <w:rsid w:val="00736213"/>
    <w:rsid w:val="00736521"/>
    <w:rsid w:val="00736612"/>
    <w:rsid w:val="00736A8D"/>
    <w:rsid w:val="00736AE5"/>
    <w:rsid w:val="00737209"/>
    <w:rsid w:val="0073721E"/>
    <w:rsid w:val="00737445"/>
    <w:rsid w:val="0073755C"/>
    <w:rsid w:val="007377F8"/>
    <w:rsid w:val="00737973"/>
    <w:rsid w:val="00737CDD"/>
    <w:rsid w:val="00737DC9"/>
    <w:rsid w:val="0074005A"/>
    <w:rsid w:val="00740217"/>
    <w:rsid w:val="007402C0"/>
    <w:rsid w:val="00740C06"/>
    <w:rsid w:val="00740C4C"/>
    <w:rsid w:val="00740C88"/>
    <w:rsid w:val="00740D7B"/>
    <w:rsid w:val="00740E48"/>
    <w:rsid w:val="00740FFF"/>
    <w:rsid w:val="0074114F"/>
    <w:rsid w:val="007411FB"/>
    <w:rsid w:val="00741579"/>
    <w:rsid w:val="0074170C"/>
    <w:rsid w:val="007417FE"/>
    <w:rsid w:val="00741C22"/>
    <w:rsid w:val="007421D3"/>
    <w:rsid w:val="00742445"/>
    <w:rsid w:val="0074253B"/>
    <w:rsid w:val="00742815"/>
    <w:rsid w:val="00742DF6"/>
    <w:rsid w:val="007437D7"/>
    <w:rsid w:val="00743848"/>
    <w:rsid w:val="007439A4"/>
    <w:rsid w:val="00743ED2"/>
    <w:rsid w:val="00743F64"/>
    <w:rsid w:val="007443CA"/>
    <w:rsid w:val="00744751"/>
    <w:rsid w:val="007452DA"/>
    <w:rsid w:val="00745992"/>
    <w:rsid w:val="00745F6D"/>
    <w:rsid w:val="00746206"/>
    <w:rsid w:val="00746325"/>
    <w:rsid w:val="007463E4"/>
    <w:rsid w:val="00746E39"/>
    <w:rsid w:val="00746FA5"/>
    <w:rsid w:val="00747017"/>
    <w:rsid w:val="00747050"/>
    <w:rsid w:val="00747BD1"/>
    <w:rsid w:val="00747C4A"/>
    <w:rsid w:val="00747C7B"/>
    <w:rsid w:val="00747CE7"/>
    <w:rsid w:val="00747CF9"/>
    <w:rsid w:val="00747FBA"/>
    <w:rsid w:val="0075044C"/>
    <w:rsid w:val="00750812"/>
    <w:rsid w:val="00750AF2"/>
    <w:rsid w:val="00750F35"/>
    <w:rsid w:val="0075139E"/>
    <w:rsid w:val="00751843"/>
    <w:rsid w:val="00751FF3"/>
    <w:rsid w:val="007520E2"/>
    <w:rsid w:val="00752121"/>
    <w:rsid w:val="0075229B"/>
    <w:rsid w:val="00752918"/>
    <w:rsid w:val="0075294F"/>
    <w:rsid w:val="00752C0F"/>
    <w:rsid w:val="007536A5"/>
    <w:rsid w:val="00753EA1"/>
    <w:rsid w:val="00753F73"/>
    <w:rsid w:val="00754499"/>
    <w:rsid w:val="00754543"/>
    <w:rsid w:val="007554FF"/>
    <w:rsid w:val="00755642"/>
    <w:rsid w:val="00755657"/>
    <w:rsid w:val="007556EF"/>
    <w:rsid w:val="0075574A"/>
    <w:rsid w:val="00755958"/>
    <w:rsid w:val="00755C9F"/>
    <w:rsid w:val="007565F7"/>
    <w:rsid w:val="00756875"/>
    <w:rsid w:val="00756933"/>
    <w:rsid w:val="00756AC7"/>
    <w:rsid w:val="00757212"/>
    <w:rsid w:val="00757568"/>
    <w:rsid w:val="00757B63"/>
    <w:rsid w:val="00757BB6"/>
    <w:rsid w:val="00757F5E"/>
    <w:rsid w:val="00757FE9"/>
    <w:rsid w:val="0076026B"/>
    <w:rsid w:val="007604A9"/>
    <w:rsid w:val="00760A1D"/>
    <w:rsid w:val="00760BD7"/>
    <w:rsid w:val="0076148D"/>
    <w:rsid w:val="0076150D"/>
    <w:rsid w:val="007615D2"/>
    <w:rsid w:val="00761825"/>
    <w:rsid w:val="00761ACB"/>
    <w:rsid w:val="00761AD6"/>
    <w:rsid w:val="0076253A"/>
    <w:rsid w:val="007629A3"/>
    <w:rsid w:val="00762C1F"/>
    <w:rsid w:val="00762C20"/>
    <w:rsid w:val="00762DF8"/>
    <w:rsid w:val="00762E13"/>
    <w:rsid w:val="00762FDE"/>
    <w:rsid w:val="007633F1"/>
    <w:rsid w:val="0076344C"/>
    <w:rsid w:val="0076348E"/>
    <w:rsid w:val="007636A3"/>
    <w:rsid w:val="0076370A"/>
    <w:rsid w:val="007637C2"/>
    <w:rsid w:val="00763CC0"/>
    <w:rsid w:val="00764088"/>
    <w:rsid w:val="0076412D"/>
    <w:rsid w:val="0076415D"/>
    <w:rsid w:val="00764580"/>
    <w:rsid w:val="00764714"/>
    <w:rsid w:val="0076484C"/>
    <w:rsid w:val="007648E9"/>
    <w:rsid w:val="00764DB5"/>
    <w:rsid w:val="00765153"/>
    <w:rsid w:val="0076537B"/>
    <w:rsid w:val="0076554F"/>
    <w:rsid w:val="00765A42"/>
    <w:rsid w:val="00765BDE"/>
    <w:rsid w:val="00765E22"/>
    <w:rsid w:val="00766281"/>
    <w:rsid w:val="00766328"/>
    <w:rsid w:val="00766CFA"/>
    <w:rsid w:val="00766E5F"/>
    <w:rsid w:val="00766EA2"/>
    <w:rsid w:val="007672FA"/>
    <w:rsid w:val="00767547"/>
    <w:rsid w:val="00767B8F"/>
    <w:rsid w:val="00767BF7"/>
    <w:rsid w:val="00767E06"/>
    <w:rsid w:val="007702DD"/>
    <w:rsid w:val="007708DC"/>
    <w:rsid w:val="00770915"/>
    <w:rsid w:val="00770B4C"/>
    <w:rsid w:val="00770B8E"/>
    <w:rsid w:val="00770FB2"/>
    <w:rsid w:val="00771394"/>
    <w:rsid w:val="00771697"/>
    <w:rsid w:val="007716C1"/>
    <w:rsid w:val="0077178E"/>
    <w:rsid w:val="00771D04"/>
    <w:rsid w:val="0077214B"/>
    <w:rsid w:val="0077220D"/>
    <w:rsid w:val="00772278"/>
    <w:rsid w:val="00772398"/>
    <w:rsid w:val="00772784"/>
    <w:rsid w:val="0077333B"/>
    <w:rsid w:val="00773924"/>
    <w:rsid w:val="00773C6D"/>
    <w:rsid w:val="00773F89"/>
    <w:rsid w:val="007741F1"/>
    <w:rsid w:val="007742C7"/>
    <w:rsid w:val="0077470E"/>
    <w:rsid w:val="00774773"/>
    <w:rsid w:val="007747AC"/>
    <w:rsid w:val="007747ED"/>
    <w:rsid w:val="00774834"/>
    <w:rsid w:val="00774D09"/>
    <w:rsid w:val="00774E3F"/>
    <w:rsid w:val="007750F9"/>
    <w:rsid w:val="0077518B"/>
    <w:rsid w:val="0077536E"/>
    <w:rsid w:val="007757E7"/>
    <w:rsid w:val="00775DD5"/>
    <w:rsid w:val="00775FC7"/>
    <w:rsid w:val="0077672D"/>
    <w:rsid w:val="00777208"/>
    <w:rsid w:val="00777B74"/>
    <w:rsid w:val="0077E462"/>
    <w:rsid w:val="007800D5"/>
    <w:rsid w:val="00780468"/>
    <w:rsid w:val="007809F7"/>
    <w:rsid w:val="00780B0C"/>
    <w:rsid w:val="00780DD1"/>
    <w:rsid w:val="00780F99"/>
    <w:rsid w:val="00780FC5"/>
    <w:rsid w:val="00782503"/>
    <w:rsid w:val="00782679"/>
    <w:rsid w:val="0078296E"/>
    <w:rsid w:val="00782C1E"/>
    <w:rsid w:val="00782CA0"/>
    <w:rsid w:val="007830C3"/>
    <w:rsid w:val="00783979"/>
    <w:rsid w:val="00783E28"/>
    <w:rsid w:val="00783F64"/>
    <w:rsid w:val="007843D9"/>
    <w:rsid w:val="007846C2"/>
    <w:rsid w:val="007848CC"/>
    <w:rsid w:val="00784D36"/>
    <w:rsid w:val="00784DA1"/>
    <w:rsid w:val="00784E53"/>
    <w:rsid w:val="0078541A"/>
    <w:rsid w:val="007855D3"/>
    <w:rsid w:val="00785725"/>
    <w:rsid w:val="00785898"/>
    <w:rsid w:val="00786102"/>
    <w:rsid w:val="007866A7"/>
    <w:rsid w:val="00786C07"/>
    <w:rsid w:val="00786ED8"/>
    <w:rsid w:val="0078759D"/>
    <w:rsid w:val="007878E5"/>
    <w:rsid w:val="007900CD"/>
    <w:rsid w:val="00790114"/>
    <w:rsid w:val="0079025B"/>
    <w:rsid w:val="007903EE"/>
    <w:rsid w:val="007904A4"/>
    <w:rsid w:val="00790591"/>
    <w:rsid w:val="00790624"/>
    <w:rsid w:val="007906AE"/>
    <w:rsid w:val="007910B2"/>
    <w:rsid w:val="00791120"/>
    <w:rsid w:val="007915F3"/>
    <w:rsid w:val="00791900"/>
    <w:rsid w:val="00791A2B"/>
    <w:rsid w:val="00791AC3"/>
    <w:rsid w:val="00791B17"/>
    <w:rsid w:val="00791C49"/>
    <w:rsid w:val="00791EA4"/>
    <w:rsid w:val="007922BE"/>
    <w:rsid w:val="0079238B"/>
    <w:rsid w:val="00792DCB"/>
    <w:rsid w:val="00792DE6"/>
    <w:rsid w:val="00792E9D"/>
    <w:rsid w:val="00793148"/>
    <w:rsid w:val="00793744"/>
    <w:rsid w:val="00793797"/>
    <w:rsid w:val="0079381A"/>
    <w:rsid w:val="0079383D"/>
    <w:rsid w:val="00793B3C"/>
    <w:rsid w:val="00793C95"/>
    <w:rsid w:val="00793CAD"/>
    <w:rsid w:val="00793FF2"/>
    <w:rsid w:val="0079411F"/>
    <w:rsid w:val="00794395"/>
    <w:rsid w:val="007943D8"/>
    <w:rsid w:val="00794584"/>
    <w:rsid w:val="00794621"/>
    <w:rsid w:val="00794710"/>
    <w:rsid w:val="007947B4"/>
    <w:rsid w:val="00794AB0"/>
    <w:rsid w:val="00794C65"/>
    <w:rsid w:val="00794D00"/>
    <w:rsid w:val="00794EF1"/>
    <w:rsid w:val="00795551"/>
    <w:rsid w:val="007958A8"/>
    <w:rsid w:val="00795A1B"/>
    <w:rsid w:val="00795F6F"/>
    <w:rsid w:val="00796422"/>
    <w:rsid w:val="0079651C"/>
    <w:rsid w:val="00796A9E"/>
    <w:rsid w:val="0079704D"/>
    <w:rsid w:val="00797166"/>
    <w:rsid w:val="007971A9"/>
    <w:rsid w:val="007972B3"/>
    <w:rsid w:val="0079741E"/>
    <w:rsid w:val="007974BD"/>
    <w:rsid w:val="00797675"/>
    <w:rsid w:val="00797B19"/>
    <w:rsid w:val="007A005E"/>
    <w:rsid w:val="007A083B"/>
    <w:rsid w:val="007A0E5C"/>
    <w:rsid w:val="007A1166"/>
    <w:rsid w:val="007A1253"/>
    <w:rsid w:val="007A159C"/>
    <w:rsid w:val="007A2270"/>
    <w:rsid w:val="007A251A"/>
    <w:rsid w:val="007A2794"/>
    <w:rsid w:val="007A2AC6"/>
    <w:rsid w:val="007A2FE0"/>
    <w:rsid w:val="007A340A"/>
    <w:rsid w:val="007A39BB"/>
    <w:rsid w:val="007A3C79"/>
    <w:rsid w:val="007A3F0C"/>
    <w:rsid w:val="007A3FD8"/>
    <w:rsid w:val="007A41C7"/>
    <w:rsid w:val="007A469B"/>
    <w:rsid w:val="007A4725"/>
    <w:rsid w:val="007A4A71"/>
    <w:rsid w:val="007A4BE5"/>
    <w:rsid w:val="007A4D1E"/>
    <w:rsid w:val="007A4FB3"/>
    <w:rsid w:val="007A4FCB"/>
    <w:rsid w:val="007A518F"/>
    <w:rsid w:val="007A5BF6"/>
    <w:rsid w:val="007A62A3"/>
    <w:rsid w:val="007A6DC5"/>
    <w:rsid w:val="007A715F"/>
    <w:rsid w:val="007A7371"/>
    <w:rsid w:val="007A74D3"/>
    <w:rsid w:val="007A794D"/>
    <w:rsid w:val="007A7E83"/>
    <w:rsid w:val="007A7EDA"/>
    <w:rsid w:val="007B054B"/>
    <w:rsid w:val="007B06EB"/>
    <w:rsid w:val="007B0748"/>
    <w:rsid w:val="007B0D08"/>
    <w:rsid w:val="007B0D5D"/>
    <w:rsid w:val="007B0FA9"/>
    <w:rsid w:val="007B1234"/>
    <w:rsid w:val="007B143B"/>
    <w:rsid w:val="007B150D"/>
    <w:rsid w:val="007B1558"/>
    <w:rsid w:val="007B176D"/>
    <w:rsid w:val="007B1B95"/>
    <w:rsid w:val="007B206E"/>
    <w:rsid w:val="007B2385"/>
    <w:rsid w:val="007B276D"/>
    <w:rsid w:val="007B2A8E"/>
    <w:rsid w:val="007B2C7E"/>
    <w:rsid w:val="007B2E57"/>
    <w:rsid w:val="007B34C5"/>
    <w:rsid w:val="007B3555"/>
    <w:rsid w:val="007B3628"/>
    <w:rsid w:val="007B36B1"/>
    <w:rsid w:val="007B439F"/>
    <w:rsid w:val="007B44BB"/>
    <w:rsid w:val="007B4508"/>
    <w:rsid w:val="007B458B"/>
    <w:rsid w:val="007B4B8B"/>
    <w:rsid w:val="007B4BAA"/>
    <w:rsid w:val="007B4E54"/>
    <w:rsid w:val="007B51F2"/>
    <w:rsid w:val="007B548F"/>
    <w:rsid w:val="007B55F0"/>
    <w:rsid w:val="007B569A"/>
    <w:rsid w:val="007B5887"/>
    <w:rsid w:val="007B6206"/>
    <w:rsid w:val="007B63F2"/>
    <w:rsid w:val="007B689F"/>
    <w:rsid w:val="007B6B9B"/>
    <w:rsid w:val="007B6EA5"/>
    <w:rsid w:val="007B739A"/>
    <w:rsid w:val="007B7430"/>
    <w:rsid w:val="007B7461"/>
    <w:rsid w:val="007B74E8"/>
    <w:rsid w:val="007B77DF"/>
    <w:rsid w:val="007B7B86"/>
    <w:rsid w:val="007B7C5A"/>
    <w:rsid w:val="007C02A8"/>
    <w:rsid w:val="007C02C8"/>
    <w:rsid w:val="007C076B"/>
    <w:rsid w:val="007C0C0A"/>
    <w:rsid w:val="007C0D21"/>
    <w:rsid w:val="007C1398"/>
    <w:rsid w:val="007C18CF"/>
    <w:rsid w:val="007C1927"/>
    <w:rsid w:val="007C1B6E"/>
    <w:rsid w:val="007C1CBF"/>
    <w:rsid w:val="007C2B0A"/>
    <w:rsid w:val="007C337B"/>
    <w:rsid w:val="007C3932"/>
    <w:rsid w:val="007C3B6B"/>
    <w:rsid w:val="007C4BBA"/>
    <w:rsid w:val="007C4C2C"/>
    <w:rsid w:val="007C4CFB"/>
    <w:rsid w:val="007C4D00"/>
    <w:rsid w:val="007C4DEA"/>
    <w:rsid w:val="007C4F96"/>
    <w:rsid w:val="007C53E6"/>
    <w:rsid w:val="007C56EB"/>
    <w:rsid w:val="007C586B"/>
    <w:rsid w:val="007C5D84"/>
    <w:rsid w:val="007C6981"/>
    <w:rsid w:val="007C6BD7"/>
    <w:rsid w:val="007C76A9"/>
    <w:rsid w:val="007C76FA"/>
    <w:rsid w:val="007C7BE3"/>
    <w:rsid w:val="007C7CBE"/>
    <w:rsid w:val="007C7ECD"/>
    <w:rsid w:val="007D0637"/>
    <w:rsid w:val="007D0698"/>
    <w:rsid w:val="007D07DA"/>
    <w:rsid w:val="007D0BA9"/>
    <w:rsid w:val="007D12BE"/>
    <w:rsid w:val="007D1DDF"/>
    <w:rsid w:val="007D2192"/>
    <w:rsid w:val="007D2C66"/>
    <w:rsid w:val="007D2D88"/>
    <w:rsid w:val="007D2E85"/>
    <w:rsid w:val="007D2ECB"/>
    <w:rsid w:val="007D4132"/>
    <w:rsid w:val="007D41C5"/>
    <w:rsid w:val="007D4519"/>
    <w:rsid w:val="007D4AE2"/>
    <w:rsid w:val="007D4B27"/>
    <w:rsid w:val="007D4B93"/>
    <w:rsid w:val="007D4E7B"/>
    <w:rsid w:val="007D51AF"/>
    <w:rsid w:val="007D5231"/>
    <w:rsid w:val="007D53EC"/>
    <w:rsid w:val="007D58FC"/>
    <w:rsid w:val="007D5C1B"/>
    <w:rsid w:val="007D5D68"/>
    <w:rsid w:val="007D5F5B"/>
    <w:rsid w:val="007D5FB3"/>
    <w:rsid w:val="007D633A"/>
    <w:rsid w:val="007D6814"/>
    <w:rsid w:val="007D69FF"/>
    <w:rsid w:val="007D6C25"/>
    <w:rsid w:val="007D72AB"/>
    <w:rsid w:val="007D75C8"/>
    <w:rsid w:val="007D7960"/>
    <w:rsid w:val="007D7DFE"/>
    <w:rsid w:val="007E0187"/>
    <w:rsid w:val="007E0F0A"/>
    <w:rsid w:val="007E1421"/>
    <w:rsid w:val="007E1578"/>
    <w:rsid w:val="007E1641"/>
    <w:rsid w:val="007E1FCD"/>
    <w:rsid w:val="007E22E4"/>
    <w:rsid w:val="007E29ED"/>
    <w:rsid w:val="007E2A61"/>
    <w:rsid w:val="007E2DEF"/>
    <w:rsid w:val="007E2E05"/>
    <w:rsid w:val="007E2E5E"/>
    <w:rsid w:val="007E3148"/>
    <w:rsid w:val="007E3538"/>
    <w:rsid w:val="007E393C"/>
    <w:rsid w:val="007E3D34"/>
    <w:rsid w:val="007E4112"/>
    <w:rsid w:val="007E42CF"/>
    <w:rsid w:val="007E4621"/>
    <w:rsid w:val="007E47EB"/>
    <w:rsid w:val="007E4E25"/>
    <w:rsid w:val="007E4F43"/>
    <w:rsid w:val="007E518D"/>
    <w:rsid w:val="007E59AD"/>
    <w:rsid w:val="007E5BBA"/>
    <w:rsid w:val="007E5CD8"/>
    <w:rsid w:val="007E5DD6"/>
    <w:rsid w:val="007E60C4"/>
    <w:rsid w:val="007E6369"/>
    <w:rsid w:val="007E6D45"/>
    <w:rsid w:val="007E7742"/>
    <w:rsid w:val="007E78C6"/>
    <w:rsid w:val="007E7944"/>
    <w:rsid w:val="007E7B1A"/>
    <w:rsid w:val="007E7B71"/>
    <w:rsid w:val="007E7DAD"/>
    <w:rsid w:val="007F01BD"/>
    <w:rsid w:val="007F0233"/>
    <w:rsid w:val="007F0399"/>
    <w:rsid w:val="007F0511"/>
    <w:rsid w:val="007F0D61"/>
    <w:rsid w:val="007F0F17"/>
    <w:rsid w:val="007F1307"/>
    <w:rsid w:val="007F14B5"/>
    <w:rsid w:val="007F15E0"/>
    <w:rsid w:val="007F16A3"/>
    <w:rsid w:val="007F1703"/>
    <w:rsid w:val="007F1877"/>
    <w:rsid w:val="007F18E3"/>
    <w:rsid w:val="007F1E72"/>
    <w:rsid w:val="007F21BD"/>
    <w:rsid w:val="007F236B"/>
    <w:rsid w:val="007F2701"/>
    <w:rsid w:val="007F2795"/>
    <w:rsid w:val="007F2890"/>
    <w:rsid w:val="007F2ACF"/>
    <w:rsid w:val="007F2FD4"/>
    <w:rsid w:val="007F311C"/>
    <w:rsid w:val="007F355C"/>
    <w:rsid w:val="007F37D1"/>
    <w:rsid w:val="007F3885"/>
    <w:rsid w:val="007F427B"/>
    <w:rsid w:val="007F4613"/>
    <w:rsid w:val="007F4858"/>
    <w:rsid w:val="007F4D64"/>
    <w:rsid w:val="007F4F66"/>
    <w:rsid w:val="007F4F80"/>
    <w:rsid w:val="007F5052"/>
    <w:rsid w:val="007F541C"/>
    <w:rsid w:val="007F586C"/>
    <w:rsid w:val="007F5A91"/>
    <w:rsid w:val="007F5A9A"/>
    <w:rsid w:val="007F5B04"/>
    <w:rsid w:val="007F5B7E"/>
    <w:rsid w:val="007F5BF3"/>
    <w:rsid w:val="007F5C92"/>
    <w:rsid w:val="007F60C6"/>
    <w:rsid w:val="007F6148"/>
    <w:rsid w:val="007F6536"/>
    <w:rsid w:val="007F6648"/>
    <w:rsid w:val="007F6816"/>
    <w:rsid w:val="007F6B0E"/>
    <w:rsid w:val="007F6C44"/>
    <w:rsid w:val="007F6F00"/>
    <w:rsid w:val="007F768E"/>
    <w:rsid w:val="007F7739"/>
    <w:rsid w:val="007F787F"/>
    <w:rsid w:val="008002E5"/>
    <w:rsid w:val="00800389"/>
    <w:rsid w:val="008004F5"/>
    <w:rsid w:val="00800540"/>
    <w:rsid w:val="0080076E"/>
    <w:rsid w:val="0080091C"/>
    <w:rsid w:val="00800BFE"/>
    <w:rsid w:val="00801340"/>
    <w:rsid w:val="0080152E"/>
    <w:rsid w:val="008015BB"/>
    <w:rsid w:val="008015E3"/>
    <w:rsid w:val="008016D3"/>
    <w:rsid w:val="00801765"/>
    <w:rsid w:val="00801BA4"/>
    <w:rsid w:val="00801CE9"/>
    <w:rsid w:val="00802144"/>
    <w:rsid w:val="0080214F"/>
    <w:rsid w:val="008023C7"/>
    <w:rsid w:val="00802953"/>
    <w:rsid w:val="00802DD3"/>
    <w:rsid w:val="00802E1A"/>
    <w:rsid w:val="00803094"/>
    <w:rsid w:val="008033A2"/>
    <w:rsid w:val="00803604"/>
    <w:rsid w:val="00803842"/>
    <w:rsid w:val="00803AF1"/>
    <w:rsid w:val="00803E39"/>
    <w:rsid w:val="00803FCB"/>
    <w:rsid w:val="00804094"/>
    <w:rsid w:val="00804531"/>
    <w:rsid w:val="008045AA"/>
    <w:rsid w:val="00804624"/>
    <w:rsid w:val="008047E0"/>
    <w:rsid w:val="0080488B"/>
    <w:rsid w:val="00804A13"/>
    <w:rsid w:val="00804D1C"/>
    <w:rsid w:val="00804F17"/>
    <w:rsid w:val="008058E8"/>
    <w:rsid w:val="008058F1"/>
    <w:rsid w:val="00805C04"/>
    <w:rsid w:val="00805C08"/>
    <w:rsid w:val="008063D3"/>
    <w:rsid w:val="008065FC"/>
    <w:rsid w:val="00806CBD"/>
    <w:rsid w:val="00806DA5"/>
    <w:rsid w:val="00806E73"/>
    <w:rsid w:val="00806EA9"/>
    <w:rsid w:val="00807A01"/>
    <w:rsid w:val="0081048A"/>
    <w:rsid w:val="008105B9"/>
    <w:rsid w:val="0081066F"/>
    <w:rsid w:val="0081087B"/>
    <w:rsid w:val="00810A84"/>
    <w:rsid w:val="00810FF0"/>
    <w:rsid w:val="00811241"/>
    <w:rsid w:val="008112E0"/>
    <w:rsid w:val="00811861"/>
    <w:rsid w:val="00811ADC"/>
    <w:rsid w:val="00811C46"/>
    <w:rsid w:val="00811CEB"/>
    <w:rsid w:val="00812940"/>
    <w:rsid w:val="00812A89"/>
    <w:rsid w:val="008130EC"/>
    <w:rsid w:val="008131D3"/>
    <w:rsid w:val="008134A9"/>
    <w:rsid w:val="00813585"/>
    <w:rsid w:val="0081368F"/>
    <w:rsid w:val="00813AB7"/>
    <w:rsid w:val="00813D50"/>
    <w:rsid w:val="008142DC"/>
    <w:rsid w:val="008145AD"/>
    <w:rsid w:val="00814980"/>
    <w:rsid w:val="00814E0A"/>
    <w:rsid w:val="00814EC4"/>
    <w:rsid w:val="00815100"/>
    <w:rsid w:val="008151B4"/>
    <w:rsid w:val="00815289"/>
    <w:rsid w:val="008155DD"/>
    <w:rsid w:val="0081596C"/>
    <w:rsid w:val="00815E49"/>
    <w:rsid w:val="00816163"/>
    <w:rsid w:val="00816B07"/>
    <w:rsid w:val="00816B87"/>
    <w:rsid w:val="00816BE0"/>
    <w:rsid w:val="00816D42"/>
    <w:rsid w:val="008171C7"/>
    <w:rsid w:val="00817EEB"/>
    <w:rsid w:val="0082076B"/>
    <w:rsid w:val="00820A11"/>
    <w:rsid w:val="00820A30"/>
    <w:rsid w:val="00820E6F"/>
    <w:rsid w:val="0082102D"/>
    <w:rsid w:val="00822068"/>
    <w:rsid w:val="008220BF"/>
    <w:rsid w:val="008227F7"/>
    <w:rsid w:val="00822CDA"/>
    <w:rsid w:val="00822D27"/>
    <w:rsid w:val="0082317A"/>
    <w:rsid w:val="008232AF"/>
    <w:rsid w:val="008236B9"/>
    <w:rsid w:val="00824413"/>
    <w:rsid w:val="0082445A"/>
    <w:rsid w:val="008245AD"/>
    <w:rsid w:val="008246BD"/>
    <w:rsid w:val="0082542D"/>
    <w:rsid w:val="00825941"/>
    <w:rsid w:val="00825CBD"/>
    <w:rsid w:val="00825DF2"/>
    <w:rsid w:val="00825F54"/>
    <w:rsid w:val="008263AD"/>
    <w:rsid w:val="0082641E"/>
    <w:rsid w:val="008264BE"/>
    <w:rsid w:val="0082659E"/>
    <w:rsid w:val="008265F7"/>
    <w:rsid w:val="00826B61"/>
    <w:rsid w:val="00826E81"/>
    <w:rsid w:val="00826EC2"/>
    <w:rsid w:val="008272A1"/>
    <w:rsid w:val="008275FA"/>
    <w:rsid w:val="00827765"/>
    <w:rsid w:val="00827871"/>
    <w:rsid w:val="00827D27"/>
    <w:rsid w:val="00827D85"/>
    <w:rsid w:val="00830006"/>
    <w:rsid w:val="008309BC"/>
    <w:rsid w:val="00830A45"/>
    <w:rsid w:val="00830F22"/>
    <w:rsid w:val="00830FB8"/>
    <w:rsid w:val="0083138D"/>
    <w:rsid w:val="00831627"/>
    <w:rsid w:val="00831C17"/>
    <w:rsid w:val="00831F0F"/>
    <w:rsid w:val="00832358"/>
    <w:rsid w:val="008323C4"/>
    <w:rsid w:val="00832851"/>
    <w:rsid w:val="00832A6E"/>
    <w:rsid w:val="00832F15"/>
    <w:rsid w:val="008333AB"/>
    <w:rsid w:val="0083398E"/>
    <w:rsid w:val="00833AC3"/>
    <w:rsid w:val="00833DF8"/>
    <w:rsid w:val="008344A5"/>
    <w:rsid w:val="00834B12"/>
    <w:rsid w:val="00834D56"/>
    <w:rsid w:val="00835063"/>
    <w:rsid w:val="008350F2"/>
    <w:rsid w:val="008350FB"/>
    <w:rsid w:val="00835335"/>
    <w:rsid w:val="00835552"/>
    <w:rsid w:val="0083563C"/>
    <w:rsid w:val="0083599D"/>
    <w:rsid w:val="00835FEC"/>
    <w:rsid w:val="00836144"/>
    <w:rsid w:val="008366DC"/>
    <w:rsid w:val="0083690B"/>
    <w:rsid w:val="00836912"/>
    <w:rsid w:val="00836C30"/>
    <w:rsid w:val="00836E77"/>
    <w:rsid w:val="0083716D"/>
    <w:rsid w:val="00837238"/>
    <w:rsid w:val="0083755B"/>
    <w:rsid w:val="008378B4"/>
    <w:rsid w:val="00837D4F"/>
    <w:rsid w:val="00837D8B"/>
    <w:rsid w:val="00837F62"/>
    <w:rsid w:val="0084030D"/>
    <w:rsid w:val="0084068D"/>
    <w:rsid w:val="008406D1"/>
    <w:rsid w:val="00840CEB"/>
    <w:rsid w:val="00840D25"/>
    <w:rsid w:val="00840FC2"/>
    <w:rsid w:val="00841556"/>
    <w:rsid w:val="008420B2"/>
    <w:rsid w:val="008421FC"/>
    <w:rsid w:val="00842514"/>
    <w:rsid w:val="00842DC5"/>
    <w:rsid w:val="00842EE9"/>
    <w:rsid w:val="00843789"/>
    <w:rsid w:val="008438D5"/>
    <w:rsid w:val="00843994"/>
    <w:rsid w:val="00843C61"/>
    <w:rsid w:val="00843CE9"/>
    <w:rsid w:val="00844590"/>
    <w:rsid w:val="00844697"/>
    <w:rsid w:val="00844E7A"/>
    <w:rsid w:val="00845590"/>
    <w:rsid w:val="008457A1"/>
    <w:rsid w:val="00845A8A"/>
    <w:rsid w:val="00845B4B"/>
    <w:rsid w:val="00845B7F"/>
    <w:rsid w:val="00845CAC"/>
    <w:rsid w:val="00845ED9"/>
    <w:rsid w:val="00845F4E"/>
    <w:rsid w:val="00846069"/>
    <w:rsid w:val="008465DF"/>
    <w:rsid w:val="00846765"/>
    <w:rsid w:val="0084678A"/>
    <w:rsid w:val="00846A5E"/>
    <w:rsid w:val="00846D35"/>
    <w:rsid w:val="00847291"/>
    <w:rsid w:val="00847937"/>
    <w:rsid w:val="00847A8A"/>
    <w:rsid w:val="00847EC8"/>
    <w:rsid w:val="00850295"/>
    <w:rsid w:val="00850553"/>
    <w:rsid w:val="0085059A"/>
    <w:rsid w:val="0085097E"/>
    <w:rsid w:val="008510E3"/>
    <w:rsid w:val="008513A3"/>
    <w:rsid w:val="00851A2F"/>
    <w:rsid w:val="00851C39"/>
    <w:rsid w:val="00851DD7"/>
    <w:rsid w:val="00852060"/>
    <w:rsid w:val="0085247F"/>
    <w:rsid w:val="00852493"/>
    <w:rsid w:val="008526BD"/>
    <w:rsid w:val="008528CE"/>
    <w:rsid w:val="008529A3"/>
    <w:rsid w:val="00852BF1"/>
    <w:rsid w:val="00853394"/>
    <w:rsid w:val="00853552"/>
    <w:rsid w:val="008535A9"/>
    <w:rsid w:val="00853AD1"/>
    <w:rsid w:val="00853B4C"/>
    <w:rsid w:val="0085442A"/>
    <w:rsid w:val="0085462E"/>
    <w:rsid w:val="00854797"/>
    <w:rsid w:val="00854922"/>
    <w:rsid w:val="008551E5"/>
    <w:rsid w:val="0085527D"/>
    <w:rsid w:val="0085554E"/>
    <w:rsid w:val="008556F6"/>
    <w:rsid w:val="00855753"/>
    <w:rsid w:val="008557AD"/>
    <w:rsid w:val="008558A1"/>
    <w:rsid w:val="00855C7D"/>
    <w:rsid w:val="00855CDB"/>
    <w:rsid w:val="00855D4A"/>
    <w:rsid w:val="00855D9A"/>
    <w:rsid w:val="00855F7D"/>
    <w:rsid w:val="008561FA"/>
    <w:rsid w:val="0085620B"/>
    <w:rsid w:val="008566F6"/>
    <w:rsid w:val="00856DE7"/>
    <w:rsid w:val="00856EF9"/>
    <w:rsid w:val="00856F9C"/>
    <w:rsid w:val="00857165"/>
    <w:rsid w:val="0085723B"/>
    <w:rsid w:val="0085750E"/>
    <w:rsid w:val="008575C0"/>
    <w:rsid w:val="008576EB"/>
    <w:rsid w:val="00857B3E"/>
    <w:rsid w:val="00857D52"/>
    <w:rsid w:val="00857D90"/>
    <w:rsid w:val="00860101"/>
    <w:rsid w:val="0086022F"/>
    <w:rsid w:val="0086074C"/>
    <w:rsid w:val="00860B32"/>
    <w:rsid w:val="00860B98"/>
    <w:rsid w:val="00860DF0"/>
    <w:rsid w:val="0086128F"/>
    <w:rsid w:val="008616D0"/>
    <w:rsid w:val="008617F3"/>
    <w:rsid w:val="00861ED7"/>
    <w:rsid w:val="008620BE"/>
    <w:rsid w:val="008620E5"/>
    <w:rsid w:val="008625E4"/>
    <w:rsid w:val="008629A5"/>
    <w:rsid w:val="008629BA"/>
    <w:rsid w:val="008629CF"/>
    <w:rsid w:val="00862A39"/>
    <w:rsid w:val="00862C94"/>
    <w:rsid w:val="00862C9B"/>
    <w:rsid w:val="00862DCD"/>
    <w:rsid w:val="0086340F"/>
    <w:rsid w:val="00863459"/>
    <w:rsid w:val="008638A5"/>
    <w:rsid w:val="00863A5A"/>
    <w:rsid w:val="00863AA2"/>
    <w:rsid w:val="00863E2A"/>
    <w:rsid w:val="00863E82"/>
    <w:rsid w:val="008641FA"/>
    <w:rsid w:val="008643D1"/>
    <w:rsid w:val="00864509"/>
    <w:rsid w:val="00864829"/>
    <w:rsid w:val="00864F45"/>
    <w:rsid w:val="008651DF"/>
    <w:rsid w:val="00865270"/>
    <w:rsid w:val="00865CCA"/>
    <w:rsid w:val="00866289"/>
    <w:rsid w:val="00866417"/>
    <w:rsid w:val="0086662B"/>
    <w:rsid w:val="00866AC3"/>
    <w:rsid w:val="00866DF8"/>
    <w:rsid w:val="00867641"/>
    <w:rsid w:val="00867642"/>
    <w:rsid w:val="00867B37"/>
    <w:rsid w:val="00867BCD"/>
    <w:rsid w:val="00867EC7"/>
    <w:rsid w:val="00867F40"/>
    <w:rsid w:val="008703FE"/>
    <w:rsid w:val="00870416"/>
    <w:rsid w:val="00870595"/>
    <w:rsid w:val="00870690"/>
    <w:rsid w:val="00870735"/>
    <w:rsid w:val="0087080B"/>
    <w:rsid w:val="00870CCB"/>
    <w:rsid w:val="00870D5B"/>
    <w:rsid w:val="00870F2B"/>
    <w:rsid w:val="008710B6"/>
    <w:rsid w:val="008711B0"/>
    <w:rsid w:val="008714D1"/>
    <w:rsid w:val="00871586"/>
    <w:rsid w:val="008715EE"/>
    <w:rsid w:val="00871AD1"/>
    <w:rsid w:val="00871DEB"/>
    <w:rsid w:val="00871E1C"/>
    <w:rsid w:val="008722A4"/>
    <w:rsid w:val="00872329"/>
    <w:rsid w:val="008723C6"/>
    <w:rsid w:val="008725EE"/>
    <w:rsid w:val="00872F4D"/>
    <w:rsid w:val="00872FE3"/>
    <w:rsid w:val="00873302"/>
    <w:rsid w:val="00873802"/>
    <w:rsid w:val="0087387A"/>
    <w:rsid w:val="00873D45"/>
    <w:rsid w:val="00873FA1"/>
    <w:rsid w:val="0087417E"/>
    <w:rsid w:val="00874374"/>
    <w:rsid w:val="0087470B"/>
    <w:rsid w:val="00874933"/>
    <w:rsid w:val="00874B41"/>
    <w:rsid w:val="00874CC0"/>
    <w:rsid w:val="00874CFE"/>
    <w:rsid w:val="00874F3B"/>
    <w:rsid w:val="00875B0B"/>
    <w:rsid w:val="00875B23"/>
    <w:rsid w:val="00876465"/>
    <w:rsid w:val="00876711"/>
    <w:rsid w:val="00876712"/>
    <w:rsid w:val="008769FB"/>
    <w:rsid w:val="00876AAA"/>
    <w:rsid w:val="00876E9C"/>
    <w:rsid w:val="00876EE2"/>
    <w:rsid w:val="00877216"/>
    <w:rsid w:val="00880073"/>
    <w:rsid w:val="008800B9"/>
    <w:rsid w:val="00880565"/>
    <w:rsid w:val="008805A6"/>
    <w:rsid w:val="00880CB6"/>
    <w:rsid w:val="0088113D"/>
    <w:rsid w:val="00881238"/>
    <w:rsid w:val="0088128D"/>
    <w:rsid w:val="0088129F"/>
    <w:rsid w:val="0088177A"/>
    <w:rsid w:val="008817C5"/>
    <w:rsid w:val="00882150"/>
    <w:rsid w:val="00882336"/>
    <w:rsid w:val="00882789"/>
    <w:rsid w:val="00882913"/>
    <w:rsid w:val="008829F6"/>
    <w:rsid w:val="00882B72"/>
    <w:rsid w:val="008833AC"/>
    <w:rsid w:val="00883AF0"/>
    <w:rsid w:val="00883D3D"/>
    <w:rsid w:val="008846F9"/>
    <w:rsid w:val="008847A0"/>
    <w:rsid w:val="0088508B"/>
    <w:rsid w:val="008851AA"/>
    <w:rsid w:val="00885353"/>
    <w:rsid w:val="00885865"/>
    <w:rsid w:val="00885CBC"/>
    <w:rsid w:val="00886399"/>
    <w:rsid w:val="008864DE"/>
    <w:rsid w:val="008869AB"/>
    <w:rsid w:val="00886A39"/>
    <w:rsid w:val="00887538"/>
    <w:rsid w:val="00887673"/>
    <w:rsid w:val="008878AF"/>
    <w:rsid w:val="00887A79"/>
    <w:rsid w:val="00887A83"/>
    <w:rsid w:val="00887B81"/>
    <w:rsid w:val="00887E2C"/>
    <w:rsid w:val="008900A5"/>
    <w:rsid w:val="00890159"/>
    <w:rsid w:val="0089061E"/>
    <w:rsid w:val="00890729"/>
    <w:rsid w:val="00890821"/>
    <w:rsid w:val="008908B8"/>
    <w:rsid w:val="00891259"/>
    <w:rsid w:val="00891FE3"/>
    <w:rsid w:val="00892142"/>
    <w:rsid w:val="00892875"/>
    <w:rsid w:val="00892A40"/>
    <w:rsid w:val="0089344F"/>
    <w:rsid w:val="008937B7"/>
    <w:rsid w:val="00893E41"/>
    <w:rsid w:val="00894175"/>
    <w:rsid w:val="0089427E"/>
    <w:rsid w:val="0089459E"/>
    <w:rsid w:val="0089467F"/>
    <w:rsid w:val="00894744"/>
    <w:rsid w:val="00894FA0"/>
    <w:rsid w:val="00895044"/>
    <w:rsid w:val="0089506D"/>
    <w:rsid w:val="0089549A"/>
    <w:rsid w:val="0089584C"/>
    <w:rsid w:val="00895A39"/>
    <w:rsid w:val="00895C6E"/>
    <w:rsid w:val="00895D50"/>
    <w:rsid w:val="00895EA0"/>
    <w:rsid w:val="00896053"/>
    <w:rsid w:val="00896AB9"/>
    <w:rsid w:val="00896CAE"/>
    <w:rsid w:val="00896F5D"/>
    <w:rsid w:val="008975A2"/>
    <w:rsid w:val="00897BFF"/>
    <w:rsid w:val="008A01D9"/>
    <w:rsid w:val="008A04B0"/>
    <w:rsid w:val="008A060F"/>
    <w:rsid w:val="008A0709"/>
    <w:rsid w:val="008A0831"/>
    <w:rsid w:val="008A0A40"/>
    <w:rsid w:val="008A10BB"/>
    <w:rsid w:val="008A1229"/>
    <w:rsid w:val="008A135B"/>
    <w:rsid w:val="008A1614"/>
    <w:rsid w:val="008A175A"/>
    <w:rsid w:val="008A1805"/>
    <w:rsid w:val="008A1910"/>
    <w:rsid w:val="008A19E0"/>
    <w:rsid w:val="008A1A45"/>
    <w:rsid w:val="008A1B17"/>
    <w:rsid w:val="008A1DA4"/>
    <w:rsid w:val="008A2D13"/>
    <w:rsid w:val="008A3D2F"/>
    <w:rsid w:val="008A3E84"/>
    <w:rsid w:val="008A412B"/>
    <w:rsid w:val="008A42DB"/>
    <w:rsid w:val="008A43B6"/>
    <w:rsid w:val="008A4B59"/>
    <w:rsid w:val="008A4DA2"/>
    <w:rsid w:val="008A4E8F"/>
    <w:rsid w:val="008A4FB1"/>
    <w:rsid w:val="008A525B"/>
    <w:rsid w:val="008A543A"/>
    <w:rsid w:val="008A56E9"/>
    <w:rsid w:val="008A58C5"/>
    <w:rsid w:val="008A5998"/>
    <w:rsid w:val="008A5BEB"/>
    <w:rsid w:val="008A5DEA"/>
    <w:rsid w:val="008A60E5"/>
    <w:rsid w:val="008A62D2"/>
    <w:rsid w:val="008A6BB9"/>
    <w:rsid w:val="008A6CE0"/>
    <w:rsid w:val="008A6F31"/>
    <w:rsid w:val="008A706A"/>
    <w:rsid w:val="008A714B"/>
    <w:rsid w:val="008A7358"/>
    <w:rsid w:val="008A78A5"/>
    <w:rsid w:val="008A7AF5"/>
    <w:rsid w:val="008A7B5E"/>
    <w:rsid w:val="008A7FFC"/>
    <w:rsid w:val="008B0353"/>
    <w:rsid w:val="008B037D"/>
    <w:rsid w:val="008B0658"/>
    <w:rsid w:val="008B07DD"/>
    <w:rsid w:val="008B0BD0"/>
    <w:rsid w:val="008B0DAB"/>
    <w:rsid w:val="008B11CE"/>
    <w:rsid w:val="008B13D3"/>
    <w:rsid w:val="008B1EE3"/>
    <w:rsid w:val="008B2123"/>
    <w:rsid w:val="008B27F1"/>
    <w:rsid w:val="008B2A3C"/>
    <w:rsid w:val="008B2C71"/>
    <w:rsid w:val="008B2E61"/>
    <w:rsid w:val="008B31F4"/>
    <w:rsid w:val="008B35F4"/>
    <w:rsid w:val="008B37A0"/>
    <w:rsid w:val="008B39C3"/>
    <w:rsid w:val="008B3B02"/>
    <w:rsid w:val="008B4450"/>
    <w:rsid w:val="008B4481"/>
    <w:rsid w:val="008B4C77"/>
    <w:rsid w:val="008B4DDC"/>
    <w:rsid w:val="008B4FF2"/>
    <w:rsid w:val="008B531B"/>
    <w:rsid w:val="008B55CB"/>
    <w:rsid w:val="008B576B"/>
    <w:rsid w:val="008B598C"/>
    <w:rsid w:val="008B5A02"/>
    <w:rsid w:val="008B5B40"/>
    <w:rsid w:val="008B6037"/>
    <w:rsid w:val="008B696E"/>
    <w:rsid w:val="008B698B"/>
    <w:rsid w:val="008B6F5A"/>
    <w:rsid w:val="008B6F69"/>
    <w:rsid w:val="008B708A"/>
    <w:rsid w:val="008B7166"/>
    <w:rsid w:val="008B7877"/>
    <w:rsid w:val="008B78FB"/>
    <w:rsid w:val="008B7A16"/>
    <w:rsid w:val="008B7B1E"/>
    <w:rsid w:val="008B7BA7"/>
    <w:rsid w:val="008B7DF4"/>
    <w:rsid w:val="008B7EC1"/>
    <w:rsid w:val="008C00D3"/>
    <w:rsid w:val="008C028F"/>
    <w:rsid w:val="008C04A2"/>
    <w:rsid w:val="008C0E16"/>
    <w:rsid w:val="008C0F5E"/>
    <w:rsid w:val="008C100E"/>
    <w:rsid w:val="008C1038"/>
    <w:rsid w:val="008C1091"/>
    <w:rsid w:val="008C11F9"/>
    <w:rsid w:val="008C140B"/>
    <w:rsid w:val="008C1DFF"/>
    <w:rsid w:val="008C2D5D"/>
    <w:rsid w:val="008C302C"/>
    <w:rsid w:val="008C3871"/>
    <w:rsid w:val="008C43C7"/>
    <w:rsid w:val="008C45E2"/>
    <w:rsid w:val="008C45FC"/>
    <w:rsid w:val="008C46FF"/>
    <w:rsid w:val="008C4995"/>
    <w:rsid w:val="008C4AF4"/>
    <w:rsid w:val="008C4B48"/>
    <w:rsid w:val="008C4C7D"/>
    <w:rsid w:val="008C4D28"/>
    <w:rsid w:val="008C4E3C"/>
    <w:rsid w:val="008C58FC"/>
    <w:rsid w:val="008C5D04"/>
    <w:rsid w:val="008C62A6"/>
    <w:rsid w:val="008C6470"/>
    <w:rsid w:val="008C67F6"/>
    <w:rsid w:val="008C68B5"/>
    <w:rsid w:val="008C6CDF"/>
    <w:rsid w:val="008C6FBC"/>
    <w:rsid w:val="008C757E"/>
    <w:rsid w:val="008C78BC"/>
    <w:rsid w:val="008C7B25"/>
    <w:rsid w:val="008D0088"/>
    <w:rsid w:val="008D00CF"/>
    <w:rsid w:val="008D0408"/>
    <w:rsid w:val="008D0756"/>
    <w:rsid w:val="008D0A38"/>
    <w:rsid w:val="008D0E08"/>
    <w:rsid w:val="008D0F6B"/>
    <w:rsid w:val="008D1118"/>
    <w:rsid w:val="008D19BC"/>
    <w:rsid w:val="008D1FCB"/>
    <w:rsid w:val="008D20E8"/>
    <w:rsid w:val="008D238B"/>
    <w:rsid w:val="008D29EF"/>
    <w:rsid w:val="008D2A32"/>
    <w:rsid w:val="008D2AA2"/>
    <w:rsid w:val="008D2CE1"/>
    <w:rsid w:val="008D2DCC"/>
    <w:rsid w:val="008D2E01"/>
    <w:rsid w:val="008D2FD5"/>
    <w:rsid w:val="008D3268"/>
    <w:rsid w:val="008D32E9"/>
    <w:rsid w:val="008D3FAC"/>
    <w:rsid w:val="008D40E5"/>
    <w:rsid w:val="008D4887"/>
    <w:rsid w:val="008D4A01"/>
    <w:rsid w:val="008D4B30"/>
    <w:rsid w:val="008D4E56"/>
    <w:rsid w:val="008D5070"/>
    <w:rsid w:val="008D51BC"/>
    <w:rsid w:val="008D5538"/>
    <w:rsid w:val="008D5F65"/>
    <w:rsid w:val="008D624F"/>
    <w:rsid w:val="008D651B"/>
    <w:rsid w:val="008D688B"/>
    <w:rsid w:val="008D712D"/>
    <w:rsid w:val="008D7305"/>
    <w:rsid w:val="008D7389"/>
    <w:rsid w:val="008D76D4"/>
    <w:rsid w:val="008D7E06"/>
    <w:rsid w:val="008E0574"/>
    <w:rsid w:val="008E0B2A"/>
    <w:rsid w:val="008E0B83"/>
    <w:rsid w:val="008E0F53"/>
    <w:rsid w:val="008E0FC7"/>
    <w:rsid w:val="008E13AA"/>
    <w:rsid w:val="008E147D"/>
    <w:rsid w:val="008E148D"/>
    <w:rsid w:val="008E17D8"/>
    <w:rsid w:val="008E17E5"/>
    <w:rsid w:val="008E2204"/>
    <w:rsid w:val="008E253D"/>
    <w:rsid w:val="008E25CF"/>
    <w:rsid w:val="008E2950"/>
    <w:rsid w:val="008E2B9C"/>
    <w:rsid w:val="008E348C"/>
    <w:rsid w:val="008E376A"/>
    <w:rsid w:val="008E3A1F"/>
    <w:rsid w:val="008E3C42"/>
    <w:rsid w:val="008E3FB4"/>
    <w:rsid w:val="008E41CC"/>
    <w:rsid w:val="008E4338"/>
    <w:rsid w:val="008E4D27"/>
    <w:rsid w:val="008E516E"/>
    <w:rsid w:val="008E5217"/>
    <w:rsid w:val="008E56A7"/>
    <w:rsid w:val="008E5CED"/>
    <w:rsid w:val="008E64FB"/>
    <w:rsid w:val="008E6920"/>
    <w:rsid w:val="008E6D69"/>
    <w:rsid w:val="008E70F5"/>
    <w:rsid w:val="008E7485"/>
    <w:rsid w:val="008E7524"/>
    <w:rsid w:val="008E7E54"/>
    <w:rsid w:val="008E7EC4"/>
    <w:rsid w:val="008E7F26"/>
    <w:rsid w:val="008F022B"/>
    <w:rsid w:val="008F03A0"/>
    <w:rsid w:val="008F0797"/>
    <w:rsid w:val="008F0873"/>
    <w:rsid w:val="008F1075"/>
    <w:rsid w:val="008F1773"/>
    <w:rsid w:val="008F1C30"/>
    <w:rsid w:val="008F22E8"/>
    <w:rsid w:val="008F23F9"/>
    <w:rsid w:val="008F24B4"/>
    <w:rsid w:val="008F2583"/>
    <w:rsid w:val="008F2A9D"/>
    <w:rsid w:val="008F30B1"/>
    <w:rsid w:val="008F355E"/>
    <w:rsid w:val="008F4177"/>
    <w:rsid w:val="008F42EC"/>
    <w:rsid w:val="008F44B2"/>
    <w:rsid w:val="008F45A8"/>
    <w:rsid w:val="008F4A99"/>
    <w:rsid w:val="008F4AAF"/>
    <w:rsid w:val="008F4D21"/>
    <w:rsid w:val="008F4DB0"/>
    <w:rsid w:val="008F4E71"/>
    <w:rsid w:val="008F50CC"/>
    <w:rsid w:val="008F538E"/>
    <w:rsid w:val="008F53F0"/>
    <w:rsid w:val="008F55FD"/>
    <w:rsid w:val="008F5F2B"/>
    <w:rsid w:val="008F6B27"/>
    <w:rsid w:val="008F6BD8"/>
    <w:rsid w:val="008F6DAB"/>
    <w:rsid w:val="008F7070"/>
    <w:rsid w:val="008F73A7"/>
    <w:rsid w:val="008F74FC"/>
    <w:rsid w:val="008F7C7F"/>
    <w:rsid w:val="00900135"/>
    <w:rsid w:val="009004F5"/>
    <w:rsid w:val="009006A5"/>
    <w:rsid w:val="009009FE"/>
    <w:rsid w:val="00900A82"/>
    <w:rsid w:val="00900AE5"/>
    <w:rsid w:val="00900B60"/>
    <w:rsid w:val="00900BE5"/>
    <w:rsid w:val="00900C40"/>
    <w:rsid w:val="00901465"/>
    <w:rsid w:val="009014FD"/>
    <w:rsid w:val="00901BD5"/>
    <w:rsid w:val="00902371"/>
    <w:rsid w:val="0090257C"/>
    <w:rsid w:val="009029BC"/>
    <w:rsid w:val="00902C5A"/>
    <w:rsid w:val="00902CBF"/>
    <w:rsid w:val="0090300F"/>
    <w:rsid w:val="00903718"/>
    <w:rsid w:val="00903A6E"/>
    <w:rsid w:val="00903C2E"/>
    <w:rsid w:val="0090421D"/>
    <w:rsid w:val="0090454B"/>
    <w:rsid w:val="009045E2"/>
    <w:rsid w:val="009047D9"/>
    <w:rsid w:val="00904AC8"/>
    <w:rsid w:val="00904ACE"/>
    <w:rsid w:val="00904C8A"/>
    <w:rsid w:val="00905274"/>
    <w:rsid w:val="009052BC"/>
    <w:rsid w:val="009052BF"/>
    <w:rsid w:val="009053FC"/>
    <w:rsid w:val="00905B3D"/>
    <w:rsid w:val="00906024"/>
    <w:rsid w:val="009060D2"/>
    <w:rsid w:val="009061A3"/>
    <w:rsid w:val="0090620B"/>
    <w:rsid w:val="009062B1"/>
    <w:rsid w:val="00906456"/>
    <w:rsid w:val="009068E5"/>
    <w:rsid w:val="00906C02"/>
    <w:rsid w:val="00906D49"/>
    <w:rsid w:val="00906ECD"/>
    <w:rsid w:val="00906F43"/>
    <w:rsid w:val="00907347"/>
    <w:rsid w:val="00907504"/>
    <w:rsid w:val="0090779B"/>
    <w:rsid w:val="0090799A"/>
    <w:rsid w:val="00907B94"/>
    <w:rsid w:val="009100E9"/>
    <w:rsid w:val="009101CE"/>
    <w:rsid w:val="00910416"/>
    <w:rsid w:val="00910886"/>
    <w:rsid w:val="00910F97"/>
    <w:rsid w:val="0091128C"/>
    <w:rsid w:val="00911415"/>
    <w:rsid w:val="00911461"/>
    <w:rsid w:val="0091188B"/>
    <w:rsid w:val="00911B88"/>
    <w:rsid w:val="00912159"/>
    <w:rsid w:val="009123E4"/>
    <w:rsid w:val="00912865"/>
    <w:rsid w:val="00912922"/>
    <w:rsid w:val="00912A55"/>
    <w:rsid w:val="00912FE4"/>
    <w:rsid w:val="0091309D"/>
    <w:rsid w:val="00913566"/>
    <w:rsid w:val="009136EE"/>
    <w:rsid w:val="009138E7"/>
    <w:rsid w:val="00913DB2"/>
    <w:rsid w:val="00913EEA"/>
    <w:rsid w:val="00913F48"/>
    <w:rsid w:val="0091400E"/>
    <w:rsid w:val="009141B6"/>
    <w:rsid w:val="009143E4"/>
    <w:rsid w:val="009145A0"/>
    <w:rsid w:val="00914876"/>
    <w:rsid w:val="00914A10"/>
    <w:rsid w:val="00914A97"/>
    <w:rsid w:val="00914AA0"/>
    <w:rsid w:val="00915703"/>
    <w:rsid w:val="00915711"/>
    <w:rsid w:val="00915A97"/>
    <w:rsid w:val="00915C93"/>
    <w:rsid w:val="009160A1"/>
    <w:rsid w:val="00916A07"/>
    <w:rsid w:val="0091707E"/>
    <w:rsid w:val="00917807"/>
    <w:rsid w:val="00917ED1"/>
    <w:rsid w:val="00917FFA"/>
    <w:rsid w:val="00920505"/>
    <w:rsid w:val="00920638"/>
    <w:rsid w:val="009207E1"/>
    <w:rsid w:val="009211BC"/>
    <w:rsid w:val="00921376"/>
    <w:rsid w:val="00921491"/>
    <w:rsid w:val="009218A1"/>
    <w:rsid w:val="00921A72"/>
    <w:rsid w:val="00921ECA"/>
    <w:rsid w:val="00922160"/>
    <w:rsid w:val="009221C7"/>
    <w:rsid w:val="00922316"/>
    <w:rsid w:val="00922402"/>
    <w:rsid w:val="00922490"/>
    <w:rsid w:val="00922715"/>
    <w:rsid w:val="00922727"/>
    <w:rsid w:val="00922860"/>
    <w:rsid w:val="00922B9D"/>
    <w:rsid w:val="00922EC6"/>
    <w:rsid w:val="00923209"/>
    <w:rsid w:val="0092354D"/>
    <w:rsid w:val="009239A6"/>
    <w:rsid w:val="00924015"/>
    <w:rsid w:val="0092402E"/>
    <w:rsid w:val="009242E6"/>
    <w:rsid w:val="009243F2"/>
    <w:rsid w:val="009247E9"/>
    <w:rsid w:val="00924C2F"/>
    <w:rsid w:val="00924D4C"/>
    <w:rsid w:val="0092506A"/>
    <w:rsid w:val="00925771"/>
    <w:rsid w:val="00925996"/>
    <w:rsid w:val="00925B38"/>
    <w:rsid w:val="00925D9F"/>
    <w:rsid w:val="00926117"/>
    <w:rsid w:val="009263FB"/>
    <w:rsid w:val="00926720"/>
    <w:rsid w:val="00926735"/>
    <w:rsid w:val="00926A74"/>
    <w:rsid w:val="00926C3E"/>
    <w:rsid w:val="0092794B"/>
    <w:rsid w:val="00927C43"/>
    <w:rsid w:val="00927D4D"/>
    <w:rsid w:val="0093013A"/>
    <w:rsid w:val="00930459"/>
    <w:rsid w:val="00930726"/>
    <w:rsid w:val="009309EC"/>
    <w:rsid w:val="00930D8B"/>
    <w:rsid w:val="00930DE4"/>
    <w:rsid w:val="00930E33"/>
    <w:rsid w:val="00931445"/>
    <w:rsid w:val="00931A6C"/>
    <w:rsid w:val="00931BAD"/>
    <w:rsid w:val="00931D48"/>
    <w:rsid w:val="00931D56"/>
    <w:rsid w:val="00931D87"/>
    <w:rsid w:val="00931DDF"/>
    <w:rsid w:val="00931FB2"/>
    <w:rsid w:val="0093208C"/>
    <w:rsid w:val="0093239B"/>
    <w:rsid w:val="00932D51"/>
    <w:rsid w:val="0093319F"/>
    <w:rsid w:val="009338CC"/>
    <w:rsid w:val="009338FB"/>
    <w:rsid w:val="00933AD8"/>
    <w:rsid w:val="00933BB0"/>
    <w:rsid w:val="00933F0F"/>
    <w:rsid w:val="00933FB6"/>
    <w:rsid w:val="009340A9"/>
    <w:rsid w:val="00934BE8"/>
    <w:rsid w:val="009350FD"/>
    <w:rsid w:val="00935451"/>
    <w:rsid w:val="0093573D"/>
    <w:rsid w:val="009358F7"/>
    <w:rsid w:val="0093590C"/>
    <w:rsid w:val="00935C1E"/>
    <w:rsid w:val="00935DE1"/>
    <w:rsid w:val="009360B3"/>
    <w:rsid w:val="0093615D"/>
    <w:rsid w:val="009361F0"/>
    <w:rsid w:val="009367F7"/>
    <w:rsid w:val="009368EE"/>
    <w:rsid w:val="00936CCB"/>
    <w:rsid w:val="00937062"/>
    <w:rsid w:val="00937BFB"/>
    <w:rsid w:val="00937D41"/>
    <w:rsid w:val="00940579"/>
    <w:rsid w:val="00940623"/>
    <w:rsid w:val="009408A9"/>
    <w:rsid w:val="009408D4"/>
    <w:rsid w:val="00940966"/>
    <w:rsid w:val="00940ADD"/>
    <w:rsid w:val="00940AF0"/>
    <w:rsid w:val="00940D1F"/>
    <w:rsid w:val="00940D81"/>
    <w:rsid w:val="00940D89"/>
    <w:rsid w:val="009416EA"/>
    <w:rsid w:val="00941B81"/>
    <w:rsid w:val="00941C1E"/>
    <w:rsid w:val="009420E1"/>
    <w:rsid w:val="009421F1"/>
    <w:rsid w:val="009422E0"/>
    <w:rsid w:val="00942364"/>
    <w:rsid w:val="0094253D"/>
    <w:rsid w:val="009425BC"/>
    <w:rsid w:val="00942C24"/>
    <w:rsid w:val="0094304A"/>
    <w:rsid w:val="00943227"/>
    <w:rsid w:val="00943286"/>
    <w:rsid w:val="0094333F"/>
    <w:rsid w:val="00943637"/>
    <w:rsid w:val="00943766"/>
    <w:rsid w:val="00943905"/>
    <w:rsid w:val="00943F3D"/>
    <w:rsid w:val="00944358"/>
    <w:rsid w:val="009443F9"/>
    <w:rsid w:val="00944863"/>
    <w:rsid w:val="00944875"/>
    <w:rsid w:val="00944A0F"/>
    <w:rsid w:val="00944CE6"/>
    <w:rsid w:val="009450FC"/>
    <w:rsid w:val="0094587C"/>
    <w:rsid w:val="009459F3"/>
    <w:rsid w:val="00945C67"/>
    <w:rsid w:val="00945E45"/>
    <w:rsid w:val="00946025"/>
    <w:rsid w:val="00946057"/>
    <w:rsid w:val="009460BB"/>
    <w:rsid w:val="009462B3"/>
    <w:rsid w:val="00946F94"/>
    <w:rsid w:val="00947581"/>
    <w:rsid w:val="0094759A"/>
    <w:rsid w:val="00947B63"/>
    <w:rsid w:val="00947FE3"/>
    <w:rsid w:val="0095014B"/>
    <w:rsid w:val="00950724"/>
    <w:rsid w:val="0095077D"/>
    <w:rsid w:val="009509DE"/>
    <w:rsid w:val="00950C07"/>
    <w:rsid w:val="00950D10"/>
    <w:rsid w:val="009511D4"/>
    <w:rsid w:val="009512DF"/>
    <w:rsid w:val="009512FA"/>
    <w:rsid w:val="009514A6"/>
    <w:rsid w:val="009518DC"/>
    <w:rsid w:val="00951C96"/>
    <w:rsid w:val="00951EAC"/>
    <w:rsid w:val="00952075"/>
    <w:rsid w:val="00952580"/>
    <w:rsid w:val="00952688"/>
    <w:rsid w:val="00952748"/>
    <w:rsid w:val="00952919"/>
    <w:rsid w:val="00952C09"/>
    <w:rsid w:val="00953079"/>
    <w:rsid w:val="00953A86"/>
    <w:rsid w:val="00953DEA"/>
    <w:rsid w:val="00954115"/>
    <w:rsid w:val="0095429B"/>
    <w:rsid w:val="0095433D"/>
    <w:rsid w:val="00954606"/>
    <w:rsid w:val="009548D4"/>
    <w:rsid w:val="00954AEA"/>
    <w:rsid w:val="00954B3F"/>
    <w:rsid w:val="00954D89"/>
    <w:rsid w:val="00954DDC"/>
    <w:rsid w:val="00955548"/>
    <w:rsid w:val="00955571"/>
    <w:rsid w:val="009555F2"/>
    <w:rsid w:val="0095583D"/>
    <w:rsid w:val="00955B02"/>
    <w:rsid w:val="0095605F"/>
    <w:rsid w:val="009565B2"/>
    <w:rsid w:val="00956916"/>
    <w:rsid w:val="00957047"/>
    <w:rsid w:val="00957457"/>
    <w:rsid w:val="00957702"/>
    <w:rsid w:val="009577BF"/>
    <w:rsid w:val="009579B5"/>
    <w:rsid w:val="009579DA"/>
    <w:rsid w:val="00957CE1"/>
    <w:rsid w:val="00957D65"/>
    <w:rsid w:val="0096000E"/>
    <w:rsid w:val="00960138"/>
    <w:rsid w:val="00960655"/>
    <w:rsid w:val="00960699"/>
    <w:rsid w:val="009609DA"/>
    <w:rsid w:val="00960EEB"/>
    <w:rsid w:val="009612C3"/>
    <w:rsid w:val="00961384"/>
    <w:rsid w:val="009613E0"/>
    <w:rsid w:val="009619D8"/>
    <w:rsid w:val="00961A40"/>
    <w:rsid w:val="00961DAB"/>
    <w:rsid w:val="00961DC8"/>
    <w:rsid w:val="00961F06"/>
    <w:rsid w:val="0096281A"/>
    <w:rsid w:val="0096286B"/>
    <w:rsid w:val="00962E16"/>
    <w:rsid w:val="009631AA"/>
    <w:rsid w:val="0096345C"/>
    <w:rsid w:val="0096354A"/>
    <w:rsid w:val="009639FA"/>
    <w:rsid w:val="00963B0C"/>
    <w:rsid w:val="00963E34"/>
    <w:rsid w:val="00963E39"/>
    <w:rsid w:val="00964370"/>
    <w:rsid w:val="009644CA"/>
    <w:rsid w:val="0096462E"/>
    <w:rsid w:val="00964A98"/>
    <w:rsid w:val="00964C30"/>
    <w:rsid w:val="00965435"/>
    <w:rsid w:val="0096545A"/>
    <w:rsid w:val="009655E2"/>
    <w:rsid w:val="00965707"/>
    <w:rsid w:val="00965809"/>
    <w:rsid w:val="00965A31"/>
    <w:rsid w:val="00965B94"/>
    <w:rsid w:val="00965F53"/>
    <w:rsid w:val="0096673B"/>
    <w:rsid w:val="009667BA"/>
    <w:rsid w:val="0096681C"/>
    <w:rsid w:val="00966970"/>
    <w:rsid w:val="009669D7"/>
    <w:rsid w:val="00966D92"/>
    <w:rsid w:val="0096718B"/>
    <w:rsid w:val="00967A32"/>
    <w:rsid w:val="00967B03"/>
    <w:rsid w:val="00970143"/>
    <w:rsid w:val="00970148"/>
    <w:rsid w:val="009707EC"/>
    <w:rsid w:val="00970B43"/>
    <w:rsid w:val="00970CE8"/>
    <w:rsid w:val="0097110A"/>
    <w:rsid w:val="009711E6"/>
    <w:rsid w:val="00971D3D"/>
    <w:rsid w:val="00971D86"/>
    <w:rsid w:val="0097261C"/>
    <w:rsid w:val="0097267D"/>
    <w:rsid w:val="009729D9"/>
    <w:rsid w:val="0097336B"/>
    <w:rsid w:val="0097355C"/>
    <w:rsid w:val="00973AB0"/>
    <w:rsid w:val="00973B07"/>
    <w:rsid w:val="00973D00"/>
    <w:rsid w:val="009740C4"/>
    <w:rsid w:val="00974267"/>
    <w:rsid w:val="00974818"/>
    <w:rsid w:val="0097493A"/>
    <w:rsid w:val="00974B23"/>
    <w:rsid w:val="00974C38"/>
    <w:rsid w:val="00974FA2"/>
    <w:rsid w:val="00975339"/>
    <w:rsid w:val="0097537B"/>
    <w:rsid w:val="00975434"/>
    <w:rsid w:val="00975603"/>
    <w:rsid w:val="00975EF9"/>
    <w:rsid w:val="009761CC"/>
    <w:rsid w:val="0097627F"/>
    <w:rsid w:val="0097632B"/>
    <w:rsid w:val="009763B6"/>
    <w:rsid w:val="0097680C"/>
    <w:rsid w:val="00976888"/>
    <w:rsid w:val="0097692F"/>
    <w:rsid w:val="00976F52"/>
    <w:rsid w:val="00977143"/>
    <w:rsid w:val="00977795"/>
    <w:rsid w:val="009777EE"/>
    <w:rsid w:val="00977E85"/>
    <w:rsid w:val="00980156"/>
    <w:rsid w:val="009801A8"/>
    <w:rsid w:val="009804C3"/>
    <w:rsid w:val="00980518"/>
    <w:rsid w:val="00980576"/>
    <w:rsid w:val="00980695"/>
    <w:rsid w:val="0098070E"/>
    <w:rsid w:val="00980801"/>
    <w:rsid w:val="0098095A"/>
    <w:rsid w:val="00980BDD"/>
    <w:rsid w:val="00980BFB"/>
    <w:rsid w:val="00980D4C"/>
    <w:rsid w:val="009810CA"/>
    <w:rsid w:val="0098118A"/>
    <w:rsid w:val="00981218"/>
    <w:rsid w:val="0098123D"/>
    <w:rsid w:val="009812F3"/>
    <w:rsid w:val="00981A72"/>
    <w:rsid w:val="00981F23"/>
    <w:rsid w:val="009825EF"/>
    <w:rsid w:val="00982A27"/>
    <w:rsid w:val="00982AFF"/>
    <w:rsid w:val="00982B8F"/>
    <w:rsid w:val="00982E7F"/>
    <w:rsid w:val="0098314C"/>
    <w:rsid w:val="0098355F"/>
    <w:rsid w:val="0098366E"/>
    <w:rsid w:val="009836C9"/>
    <w:rsid w:val="00983989"/>
    <w:rsid w:val="00983A70"/>
    <w:rsid w:val="00983BEF"/>
    <w:rsid w:val="00983CD0"/>
    <w:rsid w:val="00983EA6"/>
    <w:rsid w:val="00984111"/>
    <w:rsid w:val="009844D4"/>
    <w:rsid w:val="009848D9"/>
    <w:rsid w:val="00985123"/>
    <w:rsid w:val="00985720"/>
    <w:rsid w:val="009858C5"/>
    <w:rsid w:val="0098595D"/>
    <w:rsid w:val="00985A4C"/>
    <w:rsid w:val="00985AF5"/>
    <w:rsid w:val="00985B3D"/>
    <w:rsid w:val="009862D5"/>
    <w:rsid w:val="009863C2"/>
    <w:rsid w:val="009866E2"/>
    <w:rsid w:val="009867F8"/>
    <w:rsid w:val="00986864"/>
    <w:rsid w:val="0098688C"/>
    <w:rsid w:val="00986C69"/>
    <w:rsid w:val="00986E76"/>
    <w:rsid w:val="00987017"/>
    <w:rsid w:val="00987114"/>
    <w:rsid w:val="0098725F"/>
    <w:rsid w:val="00987A25"/>
    <w:rsid w:val="00987BF1"/>
    <w:rsid w:val="00987CBA"/>
    <w:rsid w:val="00987CF7"/>
    <w:rsid w:val="00987D59"/>
    <w:rsid w:val="00987E60"/>
    <w:rsid w:val="00987F41"/>
    <w:rsid w:val="0099015B"/>
    <w:rsid w:val="0099031F"/>
    <w:rsid w:val="009906E8"/>
    <w:rsid w:val="009907FE"/>
    <w:rsid w:val="00990C8D"/>
    <w:rsid w:val="00990CB8"/>
    <w:rsid w:val="00990CEB"/>
    <w:rsid w:val="009913F1"/>
    <w:rsid w:val="0099193A"/>
    <w:rsid w:val="00991D0A"/>
    <w:rsid w:val="00991E2D"/>
    <w:rsid w:val="00991FBF"/>
    <w:rsid w:val="009924FC"/>
    <w:rsid w:val="00992613"/>
    <w:rsid w:val="00992EFD"/>
    <w:rsid w:val="0099308E"/>
    <w:rsid w:val="00993233"/>
    <w:rsid w:val="009937FA"/>
    <w:rsid w:val="00993B66"/>
    <w:rsid w:val="00993C28"/>
    <w:rsid w:val="00993D89"/>
    <w:rsid w:val="00993EB6"/>
    <w:rsid w:val="009940F8"/>
    <w:rsid w:val="00994337"/>
    <w:rsid w:val="00994591"/>
    <w:rsid w:val="0099465E"/>
    <w:rsid w:val="00994A71"/>
    <w:rsid w:val="00994BEB"/>
    <w:rsid w:val="00994FD0"/>
    <w:rsid w:val="009951A1"/>
    <w:rsid w:val="009953CB"/>
    <w:rsid w:val="0099546C"/>
    <w:rsid w:val="0099548B"/>
    <w:rsid w:val="00995841"/>
    <w:rsid w:val="00995C7E"/>
    <w:rsid w:val="00995F82"/>
    <w:rsid w:val="0099601B"/>
    <w:rsid w:val="009962CE"/>
    <w:rsid w:val="00996418"/>
    <w:rsid w:val="00996606"/>
    <w:rsid w:val="00996855"/>
    <w:rsid w:val="00996C11"/>
    <w:rsid w:val="00996EF6"/>
    <w:rsid w:val="00996FDA"/>
    <w:rsid w:val="0099714C"/>
    <w:rsid w:val="00997357"/>
    <w:rsid w:val="009A00D8"/>
    <w:rsid w:val="009A01DC"/>
    <w:rsid w:val="009A0200"/>
    <w:rsid w:val="009A0584"/>
    <w:rsid w:val="009A05CF"/>
    <w:rsid w:val="009A0EAC"/>
    <w:rsid w:val="009A0FA5"/>
    <w:rsid w:val="009A1734"/>
    <w:rsid w:val="009A1910"/>
    <w:rsid w:val="009A1EEF"/>
    <w:rsid w:val="009A2493"/>
    <w:rsid w:val="009A280C"/>
    <w:rsid w:val="009A2930"/>
    <w:rsid w:val="009A2C18"/>
    <w:rsid w:val="009A2EB2"/>
    <w:rsid w:val="009A31A3"/>
    <w:rsid w:val="009A34B1"/>
    <w:rsid w:val="009A36D2"/>
    <w:rsid w:val="009A378B"/>
    <w:rsid w:val="009A3EEE"/>
    <w:rsid w:val="009A3F0F"/>
    <w:rsid w:val="009A4308"/>
    <w:rsid w:val="009A43FD"/>
    <w:rsid w:val="009A46A1"/>
    <w:rsid w:val="009A4B3F"/>
    <w:rsid w:val="009A5189"/>
    <w:rsid w:val="009A5836"/>
    <w:rsid w:val="009A58C4"/>
    <w:rsid w:val="009A5BE7"/>
    <w:rsid w:val="009A5EDE"/>
    <w:rsid w:val="009A5F43"/>
    <w:rsid w:val="009A5FD2"/>
    <w:rsid w:val="009A609F"/>
    <w:rsid w:val="009A63C0"/>
    <w:rsid w:val="009A642B"/>
    <w:rsid w:val="009A6534"/>
    <w:rsid w:val="009A6DFA"/>
    <w:rsid w:val="009A703B"/>
    <w:rsid w:val="009A74DD"/>
    <w:rsid w:val="009A7681"/>
    <w:rsid w:val="009A77D0"/>
    <w:rsid w:val="009A7FD8"/>
    <w:rsid w:val="009B01B5"/>
    <w:rsid w:val="009B0576"/>
    <w:rsid w:val="009B05AD"/>
    <w:rsid w:val="009B089F"/>
    <w:rsid w:val="009B0DA6"/>
    <w:rsid w:val="009B0DAF"/>
    <w:rsid w:val="009B1B88"/>
    <w:rsid w:val="009B1C31"/>
    <w:rsid w:val="009B1CED"/>
    <w:rsid w:val="009B1D2A"/>
    <w:rsid w:val="009B2721"/>
    <w:rsid w:val="009B2A46"/>
    <w:rsid w:val="009B30FC"/>
    <w:rsid w:val="009B3186"/>
    <w:rsid w:val="009B37EE"/>
    <w:rsid w:val="009B3BC5"/>
    <w:rsid w:val="009B41D8"/>
    <w:rsid w:val="009B4291"/>
    <w:rsid w:val="009B45AF"/>
    <w:rsid w:val="009B4641"/>
    <w:rsid w:val="009B4949"/>
    <w:rsid w:val="009B4A15"/>
    <w:rsid w:val="009B4B8F"/>
    <w:rsid w:val="009B51AC"/>
    <w:rsid w:val="009B5856"/>
    <w:rsid w:val="009B5929"/>
    <w:rsid w:val="009B64FE"/>
    <w:rsid w:val="009B6503"/>
    <w:rsid w:val="009B6659"/>
    <w:rsid w:val="009B6F73"/>
    <w:rsid w:val="009B71F7"/>
    <w:rsid w:val="009B7619"/>
    <w:rsid w:val="009B7894"/>
    <w:rsid w:val="009B7A70"/>
    <w:rsid w:val="009B7C4F"/>
    <w:rsid w:val="009B7D98"/>
    <w:rsid w:val="009C00CF"/>
    <w:rsid w:val="009C01D6"/>
    <w:rsid w:val="009C0674"/>
    <w:rsid w:val="009C06D7"/>
    <w:rsid w:val="009C0E25"/>
    <w:rsid w:val="009C0F13"/>
    <w:rsid w:val="009C0F3C"/>
    <w:rsid w:val="009C0FE0"/>
    <w:rsid w:val="009C10E9"/>
    <w:rsid w:val="009C1ABB"/>
    <w:rsid w:val="009C23E7"/>
    <w:rsid w:val="009C254C"/>
    <w:rsid w:val="009C28CC"/>
    <w:rsid w:val="009C2E6F"/>
    <w:rsid w:val="009C2F6D"/>
    <w:rsid w:val="009C2FE3"/>
    <w:rsid w:val="009C3667"/>
    <w:rsid w:val="009C3802"/>
    <w:rsid w:val="009C395D"/>
    <w:rsid w:val="009C3CDE"/>
    <w:rsid w:val="009C3D8A"/>
    <w:rsid w:val="009C3EA6"/>
    <w:rsid w:val="009C4891"/>
    <w:rsid w:val="009C48CD"/>
    <w:rsid w:val="009C49DD"/>
    <w:rsid w:val="009C49EE"/>
    <w:rsid w:val="009C4D8C"/>
    <w:rsid w:val="009C4DE5"/>
    <w:rsid w:val="009C4F14"/>
    <w:rsid w:val="009C4F20"/>
    <w:rsid w:val="009C56F2"/>
    <w:rsid w:val="009C5B68"/>
    <w:rsid w:val="009C6566"/>
    <w:rsid w:val="009C673C"/>
    <w:rsid w:val="009C687C"/>
    <w:rsid w:val="009C6BCF"/>
    <w:rsid w:val="009C6E95"/>
    <w:rsid w:val="009C7131"/>
    <w:rsid w:val="009C7269"/>
    <w:rsid w:val="009C78A4"/>
    <w:rsid w:val="009C7B02"/>
    <w:rsid w:val="009C7E21"/>
    <w:rsid w:val="009C7EA9"/>
    <w:rsid w:val="009D03E6"/>
    <w:rsid w:val="009D0801"/>
    <w:rsid w:val="009D083D"/>
    <w:rsid w:val="009D0A68"/>
    <w:rsid w:val="009D199F"/>
    <w:rsid w:val="009D1BFC"/>
    <w:rsid w:val="009D1C2F"/>
    <w:rsid w:val="009D1C59"/>
    <w:rsid w:val="009D1CD8"/>
    <w:rsid w:val="009D1D2C"/>
    <w:rsid w:val="009D1DD3"/>
    <w:rsid w:val="009D1F9D"/>
    <w:rsid w:val="009D252F"/>
    <w:rsid w:val="009D297E"/>
    <w:rsid w:val="009D2B28"/>
    <w:rsid w:val="009D2F48"/>
    <w:rsid w:val="009D2FE6"/>
    <w:rsid w:val="009D30BF"/>
    <w:rsid w:val="009D3160"/>
    <w:rsid w:val="009D36ED"/>
    <w:rsid w:val="009D3B8A"/>
    <w:rsid w:val="009D4EBA"/>
    <w:rsid w:val="009D4FD1"/>
    <w:rsid w:val="009D50AE"/>
    <w:rsid w:val="009D51F4"/>
    <w:rsid w:val="009D53CF"/>
    <w:rsid w:val="009D5638"/>
    <w:rsid w:val="009D575E"/>
    <w:rsid w:val="009D5BBC"/>
    <w:rsid w:val="009D5CED"/>
    <w:rsid w:val="009D5F0A"/>
    <w:rsid w:val="009D5F8A"/>
    <w:rsid w:val="009D6831"/>
    <w:rsid w:val="009D6E4B"/>
    <w:rsid w:val="009D7588"/>
    <w:rsid w:val="009D7891"/>
    <w:rsid w:val="009D7C4F"/>
    <w:rsid w:val="009E03FB"/>
    <w:rsid w:val="009E080D"/>
    <w:rsid w:val="009E09D7"/>
    <w:rsid w:val="009E0B94"/>
    <w:rsid w:val="009E0C4E"/>
    <w:rsid w:val="009E0D5A"/>
    <w:rsid w:val="009E13D6"/>
    <w:rsid w:val="009E173C"/>
    <w:rsid w:val="009E1917"/>
    <w:rsid w:val="009E1973"/>
    <w:rsid w:val="009E1ABF"/>
    <w:rsid w:val="009E2072"/>
    <w:rsid w:val="009E2093"/>
    <w:rsid w:val="009E231C"/>
    <w:rsid w:val="009E2784"/>
    <w:rsid w:val="009E3340"/>
    <w:rsid w:val="009E338F"/>
    <w:rsid w:val="009E37AB"/>
    <w:rsid w:val="009E3D40"/>
    <w:rsid w:val="009E3FF3"/>
    <w:rsid w:val="009E41C9"/>
    <w:rsid w:val="009E4205"/>
    <w:rsid w:val="009E4246"/>
    <w:rsid w:val="009E4383"/>
    <w:rsid w:val="009E4876"/>
    <w:rsid w:val="009E48E3"/>
    <w:rsid w:val="009E4AD0"/>
    <w:rsid w:val="009E4C8E"/>
    <w:rsid w:val="009E5135"/>
    <w:rsid w:val="009E55BC"/>
    <w:rsid w:val="009E5607"/>
    <w:rsid w:val="009E5A8B"/>
    <w:rsid w:val="009E5E8B"/>
    <w:rsid w:val="009E614A"/>
    <w:rsid w:val="009E66E8"/>
    <w:rsid w:val="009E69D4"/>
    <w:rsid w:val="009E6C0E"/>
    <w:rsid w:val="009E7567"/>
    <w:rsid w:val="009E7661"/>
    <w:rsid w:val="009E77CC"/>
    <w:rsid w:val="009E77DE"/>
    <w:rsid w:val="009E78F0"/>
    <w:rsid w:val="009E79D2"/>
    <w:rsid w:val="009E7B89"/>
    <w:rsid w:val="009F0185"/>
    <w:rsid w:val="009F01A0"/>
    <w:rsid w:val="009F02F9"/>
    <w:rsid w:val="009F039F"/>
    <w:rsid w:val="009F03A4"/>
    <w:rsid w:val="009F069F"/>
    <w:rsid w:val="009F0868"/>
    <w:rsid w:val="009F0F29"/>
    <w:rsid w:val="009F10A7"/>
    <w:rsid w:val="009F16B6"/>
    <w:rsid w:val="009F176A"/>
    <w:rsid w:val="009F2BB9"/>
    <w:rsid w:val="009F30D6"/>
    <w:rsid w:val="009F3939"/>
    <w:rsid w:val="009F39D4"/>
    <w:rsid w:val="009F3EB0"/>
    <w:rsid w:val="009F4696"/>
    <w:rsid w:val="009F4707"/>
    <w:rsid w:val="009F4914"/>
    <w:rsid w:val="009F4B2F"/>
    <w:rsid w:val="009F4B48"/>
    <w:rsid w:val="009F50A3"/>
    <w:rsid w:val="009F562B"/>
    <w:rsid w:val="009F5900"/>
    <w:rsid w:val="009F59D2"/>
    <w:rsid w:val="009F5BD1"/>
    <w:rsid w:val="009F5F10"/>
    <w:rsid w:val="009F600C"/>
    <w:rsid w:val="009F6231"/>
    <w:rsid w:val="009F6D27"/>
    <w:rsid w:val="009F716D"/>
    <w:rsid w:val="009F7B22"/>
    <w:rsid w:val="00A00EA3"/>
    <w:rsid w:val="00A01373"/>
    <w:rsid w:val="00A0180B"/>
    <w:rsid w:val="00A01F31"/>
    <w:rsid w:val="00A0220A"/>
    <w:rsid w:val="00A024C9"/>
    <w:rsid w:val="00A02756"/>
    <w:rsid w:val="00A02A28"/>
    <w:rsid w:val="00A03478"/>
    <w:rsid w:val="00A03E37"/>
    <w:rsid w:val="00A03E4D"/>
    <w:rsid w:val="00A040DB"/>
    <w:rsid w:val="00A04339"/>
    <w:rsid w:val="00A046E5"/>
    <w:rsid w:val="00A0471A"/>
    <w:rsid w:val="00A04B9B"/>
    <w:rsid w:val="00A0504D"/>
    <w:rsid w:val="00A050D4"/>
    <w:rsid w:val="00A05160"/>
    <w:rsid w:val="00A052CF"/>
    <w:rsid w:val="00A053CA"/>
    <w:rsid w:val="00A057CE"/>
    <w:rsid w:val="00A05863"/>
    <w:rsid w:val="00A05B1F"/>
    <w:rsid w:val="00A0619E"/>
    <w:rsid w:val="00A0638A"/>
    <w:rsid w:val="00A063CF"/>
    <w:rsid w:val="00A066DE"/>
    <w:rsid w:val="00A0698C"/>
    <w:rsid w:val="00A06BCB"/>
    <w:rsid w:val="00A06CF1"/>
    <w:rsid w:val="00A070F6"/>
    <w:rsid w:val="00A0737B"/>
    <w:rsid w:val="00A07523"/>
    <w:rsid w:val="00A075F3"/>
    <w:rsid w:val="00A07B61"/>
    <w:rsid w:val="00A07B91"/>
    <w:rsid w:val="00A10322"/>
    <w:rsid w:val="00A104D2"/>
    <w:rsid w:val="00A108CC"/>
    <w:rsid w:val="00A10914"/>
    <w:rsid w:val="00A10DEB"/>
    <w:rsid w:val="00A12077"/>
    <w:rsid w:val="00A12379"/>
    <w:rsid w:val="00A12522"/>
    <w:rsid w:val="00A127FF"/>
    <w:rsid w:val="00A12A1A"/>
    <w:rsid w:val="00A12C21"/>
    <w:rsid w:val="00A12E0E"/>
    <w:rsid w:val="00A12ECF"/>
    <w:rsid w:val="00A12F74"/>
    <w:rsid w:val="00A132DC"/>
    <w:rsid w:val="00A13653"/>
    <w:rsid w:val="00A13920"/>
    <w:rsid w:val="00A13A9A"/>
    <w:rsid w:val="00A13B80"/>
    <w:rsid w:val="00A13C6E"/>
    <w:rsid w:val="00A13F0B"/>
    <w:rsid w:val="00A14493"/>
    <w:rsid w:val="00A1454A"/>
    <w:rsid w:val="00A1481E"/>
    <w:rsid w:val="00A14963"/>
    <w:rsid w:val="00A14C28"/>
    <w:rsid w:val="00A15488"/>
    <w:rsid w:val="00A1592B"/>
    <w:rsid w:val="00A15F46"/>
    <w:rsid w:val="00A162AE"/>
    <w:rsid w:val="00A163F3"/>
    <w:rsid w:val="00A16580"/>
    <w:rsid w:val="00A1665A"/>
    <w:rsid w:val="00A16DAA"/>
    <w:rsid w:val="00A1739C"/>
    <w:rsid w:val="00A17AC7"/>
    <w:rsid w:val="00A17CF6"/>
    <w:rsid w:val="00A17D7E"/>
    <w:rsid w:val="00A20011"/>
    <w:rsid w:val="00A2013E"/>
    <w:rsid w:val="00A20B87"/>
    <w:rsid w:val="00A20E1C"/>
    <w:rsid w:val="00A20F3E"/>
    <w:rsid w:val="00A212E2"/>
    <w:rsid w:val="00A2148B"/>
    <w:rsid w:val="00A215E1"/>
    <w:rsid w:val="00A21B5E"/>
    <w:rsid w:val="00A21C76"/>
    <w:rsid w:val="00A2213E"/>
    <w:rsid w:val="00A22246"/>
    <w:rsid w:val="00A22882"/>
    <w:rsid w:val="00A228DD"/>
    <w:rsid w:val="00A239B3"/>
    <w:rsid w:val="00A23BE9"/>
    <w:rsid w:val="00A23E8A"/>
    <w:rsid w:val="00A241D1"/>
    <w:rsid w:val="00A24244"/>
    <w:rsid w:val="00A24B60"/>
    <w:rsid w:val="00A252E6"/>
    <w:rsid w:val="00A25513"/>
    <w:rsid w:val="00A25554"/>
    <w:rsid w:val="00A25CF3"/>
    <w:rsid w:val="00A261C0"/>
    <w:rsid w:val="00A263A7"/>
    <w:rsid w:val="00A26478"/>
    <w:rsid w:val="00A26742"/>
    <w:rsid w:val="00A267CF"/>
    <w:rsid w:val="00A26AAB"/>
    <w:rsid w:val="00A26BF5"/>
    <w:rsid w:val="00A26C2B"/>
    <w:rsid w:val="00A26C6F"/>
    <w:rsid w:val="00A26C72"/>
    <w:rsid w:val="00A273CB"/>
    <w:rsid w:val="00A276B8"/>
    <w:rsid w:val="00A27847"/>
    <w:rsid w:val="00A27B20"/>
    <w:rsid w:val="00A30120"/>
    <w:rsid w:val="00A301BD"/>
    <w:rsid w:val="00A3037D"/>
    <w:rsid w:val="00A309E2"/>
    <w:rsid w:val="00A30B92"/>
    <w:rsid w:val="00A30D88"/>
    <w:rsid w:val="00A30F49"/>
    <w:rsid w:val="00A30FD5"/>
    <w:rsid w:val="00A30FDE"/>
    <w:rsid w:val="00A313B3"/>
    <w:rsid w:val="00A31627"/>
    <w:rsid w:val="00A31781"/>
    <w:rsid w:val="00A31890"/>
    <w:rsid w:val="00A31B8F"/>
    <w:rsid w:val="00A322F9"/>
    <w:rsid w:val="00A3233F"/>
    <w:rsid w:val="00A323CB"/>
    <w:rsid w:val="00A32DC6"/>
    <w:rsid w:val="00A33195"/>
    <w:rsid w:val="00A331E1"/>
    <w:rsid w:val="00A33397"/>
    <w:rsid w:val="00A33CD0"/>
    <w:rsid w:val="00A33E53"/>
    <w:rsid w:val="00A34137"/>
    <w:rsid w:val="00A341C9"/>
    <w:rsid w:val="00A3435A"/>
    <w:rsid w:val="00A34601"/>
    <w:rsid w:val="00A34764"/>
    <w:rsid w:val="00A347F4"/>
    <w:rsid w:val="00A348A4"/>
    <w:rsid w:val="00A34B3D"/>
    <w:rsid w:val="00A34FBF"/>
    <w:rsid w:val="00A35079"/>
    <w:rsid w:val="00A350AC"/>
    <w:rsid w:val="00A352E3"/>
    <w:rsid w:val="00A3582B"/>
    <w:rsid w:val="00A359C2"/>
    <w:rsid w:val="00A35A6B"/>
    <w:rsid w:val="00A35BE0"/>
    <w:rsid w:val="00A36760"/>
    <w:rsid w:val="00A368BE"/>
    <w:rsid w:val="00A36A84"/>
    <w:rsid w:val="00A36D1B"/>
    <w:rsid w:val="00A36E03"/>
    <w:rsid w:val="00A36EA1"/>
    <w:rsid w:val="00A36F98"/>
    <w:rsid w:val="00A3796B"/>
    <w:rsid w:val="00A40731"/>
    <w:rsid w:val="00A41453"/>
    <w:rsid w:val="00A41A67"/>
    <w:rsid w:val="00A41ED2"/>
    <w:rsid w:val="00A41FE1"/>
    <w:rsid w:val="00A42769"/>
    <w:rsid w:val="00A42CA8"/>
    <w:rsid w:val="00A42D0C"/>
    <w:rsid w:val="00A42E7E"/>
    <w:rsid w:val="00A43508"/>
    <w:rsid w:val="00A4354F"/>
    <w:rsid w:val="00A43689"/>
    <w:rsid w:val="00A43CEE"/>
    <w:rsid w:val="00A43D0F"/>
    <w:rsid w:val="00A43F9C"/>
    <w:rsid w:val="00A4401E"/>
    <w:rsid w:val="00A44138"/>
    <w:rsid w:val="00A4469C"/>
    <w:rsid w:val="00A448C6"/>
    <w:rsid w:val="00A44BF6"/>
    <w:rsid w:val="00A4504D"/>
    <w:rsid w:val="00A45112"/>
    <w:rsid w:val="00A45552"/>
    <w:rsid w:val="00A45837"/>
    <w:rsid w:val="00A458C7"/>
    <w:rsid w:val="00A45943"/>
    <w:rsid w:val="00A45AF3"/>
    <w:rsid w:val="00A45B66"/>
    <w:rsid w:val="00A46044"/>
    <w:rsid w:val="00A461F0"/>
    <w:rsid w:val="00A464B0"/>
    <w:rsid w:val="00A46879"/>
    <w:rsid w:val="00A46DC4"/>
    <w:rsid w:val="00A47082"/>
    <w:rsid w:val="00A47470"/>
    <w:rsid w:val="00A47B13"/>
    <w:rsid w:val="00A50103"/>
    <w:rsid w:val="00A506A2"/>
    <w:rsid w:val="00A50B6F"/>
    <w:rsid w:val="00A50BC7"/>
    <w:rsid w:val="00A50E50"/>
    <w:rsid w:val="00A50EDD"/>
    <w:rsid w:val="00A50F67"/>
    <w:rsid w:val="00A51016"/>
    <w:rsid w:val="00A51305"/>
    <w:rsid w:val="00A5149D"/>
    <w:rsid w:val="00A5154F"/>
    <w:rsid w:val="00A51598"/>
    <w:rsid w:val="00A51F31"/>
    <w:rsid w:val="00A5227B"/>
    <w:rsid w:val="00A526FD"/>
    <w:rsid w:val="00A52816"/>
    <w:rsid w:val="00A529F9"/>
    <w:rsid w:val="00A52EE3"/>
    <w:rsid w:val="00A53006"/>
    <w:rsid w:val="00A53932"/>
    <w:rsid w:val="00A53988"/>
    <w:rsid w:val="00A53CED"/>
    <w:rsid w:val="00A53D58"/>
    <w:rsid w:val="00A53EA3"/>
    <w:rsid w:val="00A53FAC"/>
    <w:rsid w:val="00A53FC3"/>
    <w:rsid w:val="00A5448F"/>
    <w:rsid w:val="00A546AE"/>
    <w:rsid w:val="00A547FB"/>
    <w:rsid w:val="00A549B7"/>
    <w:rsid w:val="00A54B8D"/>
    <w:rsid w:val="00A54D2B"/>
    <w:rsid w:val="00A5550D"/>
    <w:rsid w:val="00A55591"/>
    <w:rsid w:val="00A557BA"/>
    <w:rsid w:val="00A5591A"/>
    <w:rsid w:val="00A55953"/>
    <w:rsid w:val="00A55AA4"/>
    <w:rsid w:val="00A55B3A"/>
    <w:rsid w:val="00A55C0D"/>
    <w:rsid w:val="00A56003"/>
    <w:rsid w:val="00A5638A"/>
    <w:rsid w:val="00A563FD"/>
    <w:rsid w:val="00A56645"/>
    <w:rsid w:val="00A56CF4"/>
    <w:rsid w:val="00A56CF8"/>
    <w:rsid w:val="00A57137"/>
    <w:rsid w:val="00A57647"/>
    <w:rsid w:val="00A57759"/>
    <w:rsid w:val="00A57C11"/>
    <w:rsid w:val="00A600ED"/>
    <w:rsid w:val="00A600FA"/>
    <w:rsid w:val="00A60197"/>
    <w:rsid w:val="00A604F2"/>
    <w:rsid w:val="00A60963"/>
    <w:rsid w:val="00A60F1C"/>
    <w:rsid w:val="00A60F78"/>
    <w:rsid w:val="00A60FAA"/>
    <w:rsid w:val="00A61319"/>
    <w:rsid w:val="00A61435"/>
    <w:rsid w:val="00A61BF7"/>
    <w:rsid w:val="00A62014"/>
    <w:rsid w:val="00A62121"/>
    <w:rsid w:val="00A62698"/>
    <w:rsid w:val="00A62917"/>
    <w:rsid w:val="00A62BC8"/>
    <w:rsid w:val="00A633E4"/>
    <w:rsid w:val="00A63886"/>
    <w:rsid w:val="00A63927"/>
    <w:rsid w:val="00A63B0D"/>
    <w:rsid w:val="00A63C95"/>
    <w:rsid w:val="00A63F8D"/>
    <w:rsid w:val="00A6438C"/>
    <w:rsid w:val="00A6494B"/>
    <w:rsid w:val="00A64D3C"/>
    <w:rsid w:val="00A64D6E"/>
    <w:rsid w:val="00A64E18"/>
    <w:rsid w:val="00A64FDB"/>
    <w:rsid w:val="00A65A51"/>
    <w:rsid w:val="00A660CD"/>
    <w:rsid w:val="00A66171"/>
    <w:rsid w:val="00A661DF"/>
    <w:rsid w:val="00A66361"/>
    <w:rsid w:val="00A66378"/>
    <w:rsid w:val="00A66FA7"/>
    <w:rsid w:val="00A670F3"/>
    <w:rsid w:val="00A673FC"/>
    <w:rsid w:val="00A67728"/>
    <w:rsid w:val="00A67C14"/>
    <w:rsid w:val="00A67F6B"/>
    <w:rsid w:val="00A7018D"/>
    <w:rsid w:val="00A70328"/>
    <w:rsid w:val="00A7032F"/>
    <w:rsid w:val="00A704F4"/>
    <w:rsid w:val="00A7058C"/>
    <w:rsid w:val="00A7070F"/>
    <w:rsid w:val="00A7096D"/>
    <w:rsid w:val="00A70ADA"/>
    <w:rsid w:val="00A70D51"/>
    <w:rsid w:val="00A70E9A"/>
    <w:rsid w:val="00A70F1D"/>
    <w:rsid w:val="00A71294"/>
    <w:rsid w:val="00A71880"/>
    <w:rsid w:val="00A7259A"/>
    <w:rsid w:val="00A72FCE"/>
    <w:rsid w:val="00A7327F"/>
    <w:rsid w:val="00A73507"/>
    <w:rsid w:val="00A7374A"/>
    <w:rsid w:val="00A73AB2"/>
    <w:rsid w:val="00A73B1C"/>
    <w:rsid w:val="00A73D96"/>
    <w:rsid w:val="00A74619"/>
    <w:rsid w:val="00A74A36"/>
    <w:rsid w:val="00A753C7"/>
    <w:rsid w:val="00A75E36"/>
    <w:rsid w:val="00A7601A"/>
    <w:rsid w:val="00A764F1"/>
    <w:rsid w:val="00A769EC"/>
    <w:rsid w:val="00A76B84"/>
    <w:rsid w:val="00A76BE5"/>
    <w:rsid w:val="00A773B6"/>
    <w:rsid w:val="00A7743D"/>
    <w:rsid w:val="00A775E0"/>
    <w:rsid w:val="00A778CE"/>
    <w:rsid w:val="00A77A11"/>
    <w:rsid w:val="00A77B04"/>
    <w:rsid w:val="00A77F4B"/>
    <w:rsid w:val="00A77FE1"/>
    <w:rsid w:val="00A8002F"/>
    <w:rsid w:val="00A80702"/>
    <w:rsid w:val="00A8095F"/>
    <w:rsid w:val="00A81548"/>
    <w:rsid w:val="00A816CD"/>
    <w:rsid w:val="00A81A7F"/>
    <w:rsid w:val="00A81EF1"/>
    <w:rsid w:val="00A81F02"/>
    <w:rsid w:val="00A8224A"/>
    <w:rsid w:val="00A83036"/>
    <w:rsid w:val="00A839F0"/>
    <w:rsid w:val="00A83B4C"/>
    <w:rsid w:val="00A83CB7"/>
    <w:rsid w:val="00A84076"/>
    <w:rsid w:val="00A841D5"/>
    <w:rsid w:val="00A84637"/>
    <w:rsid w:val="00A8499A"/>
    <w:rsid w:val="00A84AD1"/>
    <w:rsid w:val="00A84E16"/>
    <w:rsid w:val="00A84FED"/>
    <w:rsid w:val="00A850AD"/>
    <w:rsid w:val="00A85772"/>
    <w:rsid w:val="00A8579C"/>
    <w:rsid w:val="00A85855"/>
    <w:rsid w:val="00A85C6D"/>
    <w:rsid w:val="00A85DDE"/>
    <w:rsid w:val="00A86455"/>
    <w:rsid w:val="00A86924"/>
    <w:rsid w:val="00A869DD"/>
    <w:rsid w:val="00A86D4F"/>
    <w:rsid w:val="00A86F75"/>
    <w:rsid w:val="00A870DA"/>
    <w:rsid w:val="00A8775C"/>
    <w:rsid w:val="00A87955"/>
    <w:rsid w:val="00A87F0A"/>
    <w:rsid w:val="00A906F6"/>
    <w:rsid w:val="00A90B10"/>
    <w:rsid w:val="00A90C64"/>
    <w:rsid w:val="00A91169"/>
    <w:rsid w:val="00A91296"/>
    <w:rsid w:val="00A91547"/>
    <w:rsid w:val="00A91736"/>
    <w:rsid w:val="00A91CB3"/>
    <w:rsid w:val="00A91F1C"/>
    <w:rsid w:val="00A92021"/>
    <w:rsid w:val="00A92717"/>
    <w:rsid w:val="00A92932"/>
    <w:rsid w:val="00A92FAF"/>
    <w:rsid w:val="00A93A9B"/>
    <w:rsid w:val="00A93AAB"/>
    <w:rsid w:val="00A93AAC"/>
    <w:rsid w:val="00A93D3A"/>
    <w:rsid w:val="00A94056"/>
    <w:rsid w:val="00A940B4"/>
    <w:rsid w:val="00A94427"/>
    <w:rsid w:val="00A9446B"/>
    <w:rsid w:val="00A94654"/>
    <w:rsid w:val="00A9497D"/>
    <w:rsid w:val="00A9514A"/>
    <w:rsid w:val="00A95A3C"/>
    <w:rsid w:val="00A95ED3"/>
    <w:rsid w:val="00A964EC"/>
    <w:rsid w:val="00A968B9"/>
    <w:rsid w:val="00A96ABA"/>
    <w:rsid w:val="00A96DAC"/>
    <w:rsid w:val="00A96E34"/>
    <w:rsid w:val="00A96F84"/>
    <w:rsid w:val="00A97308"/>
    <w:rsid w:val="00A973F9"/>
    <w:rsid w:val="00A977CF"/>
    <w:rsid w:val="00A97AC2"/>
    <w:rsid w:val="00A97E46"/>
    <w:rsid w:val="00AA08BF"/>
    <w:rsid w:val="00AA0DFA"/>
    <w:rsid w:val="00AA0E9D"/>
    <w:rsid w:val="00AA0F3E"/>
    <w:rsid w:val="00AA100E"/>
    <w:rsid w:val="00AA1129"/>
    <w:rsid w:val="00AA136B"/>
    <w:rsid w:val="00AA15F4"/>
    <w:rsid w:val="00AA1709"/>
    <w:rsid w:val="00AA1DB4"/>
    <w:rsid w:val="00AA232A"/>
    <w:rsid w:val="00AA239C"/>
    <w:rsid w:val="00AA258D"/>
    <w:rsid w:val="00AA2639"/>
    <w:rsid w:val="00AA26E3"/>
    <w:rsid w:val="00AA2C81"/>
    <w:rsid w:val="00AA2CBF"/>
    <w:rsid w:val="00AA2E64"/>
    <w:rsid w:val="00AA2F21"/>
    <w:rsid w:val="00AA2F80"/>
    <w:rsid w:val="00AA34D6"/>
    <w:rsid w:val="00AA370A"/>
    <w:rsid w:val="00AA3C68"/>
    <w:rsid w:val="00AA3F51"/>
    <w:rsid w:val="00AA3F7E"/>
    <w:rsid w:val="00AA449D"/>
    <w:rsid w:val="00AA46F8"/>
    <w:rsid w:val="00AA4737"/>
    <w:rsid w:val="00AA485C"/>
    <w:rsid w:val="00AA4C40"/>
    <w:rsid w:val="00AA4D86"/>
    <w:rsid w:val="00AA525A"/>
    <w:rsid w:val="00AA570A"/>
    <w:rsid w:val="00AA6403"/>
    <w:rsid w:val="00AA65BF"/>
    <w:rsid w:val="00AA689C"/>
    <w:rsid w:val="00AA68AE"/>
    <w:rsid w:val="00AA6E30"/>
    <w:rsid w:val="00AA7533"/>
    <w:rsid w:val="00AA7636"/>
    <w:rsid w:val="00AA79B1"/>
    <w:rsid w:val="00AA7BE6"/>
    <w:rsid w:val="00AA7EC7"/>
    <w:rsid w:val="00AB0385"/>
    <w:rsid w:val="00AB05C5"/>
    <w:rsid w:val="00AB0B0E"/>
    <w:rsid w:val="00AB0FB4"/>
    <w:rsid w:val="00AB102A"/>
    <w:rsid w:val="00AB1098"/>
    <w:rsid w:val="00AB18FF"/>
    <w:rsid w:val="00AB1978"/>
    <w:rsid w:val="00AB19EE"/>
    <w:rsid w:val="00AB1D02"/>
    <w:rsid w:val="00AB2132"/>
    <w:rsid w:val="00AB23E3"/>
    <w:rsid w:val="00AB254A"/>
    <w:rsid w:val="00AB276D"/>
    <w:rsid w:val="00AB2990"/>
    <w:rsid w:val="00AB2AD5"/>
    <w:rsid w:val="00AB2BAC"/>
    <w:rsid w:val="00AB2D9A"/>
    <w:rsid w:val="00AB2F5F"/>
    <w:rsid w:val="00AB321F"/>
    <w:rsid w:val="00AB3461"/>
    <w:rsid w:val="00AB40F6"/>
    <w:rsid w:val="00AB4F50"/>
    <w:rsid w:val="00AB52D4"/>
    <w:rsid w:val="00AB53FE"/>
    <w:rsid w:val="00AB54BB"/>
    <w:rsid w:val="00AB567B"/>
    <w:rsid w:val="00AB57AA"/>
    <w:rsid w:val="00AB598E"/>
    <w:rsid w:val="00AB59CB"/>
    <w:rsid w:val="00AB5A8F"/>
    <w:rsid w:val="00AB62CB"/>
    <w:rsid w:val="00AB63A2"/>
    <w:rsid w:val="00AB6C2A"/>
    <w:rsid w:val="00AB78DA"/>
    <w:rsid w:val="00AB7AD1"/>
    <w:rsid w:val="00AC0774"/>
    <w:rsid w:val="00AC0CFF"/>
    <w:rsid w:val="00AC0F78"/>
    <w:rsid w:val="00AC14D1"/>
    <w:rsid w:val="00AC23DB"/>
    <w:rsid w:val="00AC2639"/>
    <w:rsid w:val="00AC26C1"/>
    <w:rsid w:val="00AC2854"/>
    <w:rsid w:val="00AC298E"/>
    <w:rsid w:val="00AC29B6"/>
    <w:rsid w:val="00AC2BE1"/>
    <w:rsid w:val="00AC30FE"/>
    <w:rsid w:val="00AC3386"/>
    <w:rsid w:val="00AC390C"/>
    <w:rsid w:val="00AC3947"/>
    <w:rsid w:val="00AC3A70"/>
    <w:rsid w:val="00AC3B10"/>
    <w:rsid w:val="00AC3E9A"/>
    <w:rsid w:val="00AC404F"/>
    <w:rsid w:val="00AC43EA"/>
    <w:rsid w:val="00AC45AB"/>
    <w:rsid w:val="00AC4668"/>
    <w:rsid w:val="00AC46AC"/>
    <w:rsid w:val="00AC46B9"/>
    <w:rsid w:val="00AC51E9"/>
    <w:rsid w:val="00AC52A7"/>
    <w:rsid w:val="00AC5316"/>
    <w:rsid w:val="00AC5807"/>
    <w:rsid w:val="00AC598C"/>
    <w:rsid w:val="00AC5C14"/>
    <w:rsid w:val="00AC5CC1"/>
    <w:rsid w:val="00AC6020"/>
    <w:rsid w:val="00AC611C"/>
    <w:rsid w:val="00AC66D7"/>
    <w:rsid w:val="00AC6757"/>
    <w:rsid w:val="00AC6BB3"/>
    <w:rsid w:val="00AC7173"/>
    <w:rsid w:val="00AC7207"/>
    <w:rsid w:val="00AC770D"/>
    <w:rsid w:val="00AC777A"/>
    <w:rsid w:val="00AC79F1"/>
    <w:rsid w:val="00AC7B8B"/>
    <w:rsid w:val="00AC7CB4"/>
    <w:rsid w:val="00AD00A9"/>
    <w:rsid w:val="00AD0472"/>
    <w:rsid w:val="00AD0655"/>
    <w:rsid w:val="00AD08A1"/>
    <w:rsid w:val="00AD0A7D"/>
    <w:rsid w:val="00AD0FC5"/>
    <w:rsid w:val="00AD13D8"/>
    <w:rsid w:val="00AD146C"/>
    <w:rsid w:val="00AD15CD"/>
    <w:rsid w:val="00AD15FF"/>
    <w:rsid w:val="00AD16D2"/>
    <w:rsid w:val="00AD174D"/>
    <w:rsid w:val="00AD19DF"/>
    <w:rsid w:val="00AD239C"/>
    <w:rsid w:val="00AD2414"/>
    <w:rsid w:val="00AD29AA"/>
    <w:rsid w:val="00AD2A2A"/>
    <w:rsid w:val="00AD2AE7"/>
    <w:rsid w:val="00AD2BFB"/>
    <w:rsid w:val="00AD2CCE"/>
    <w:rsid w:val="00AD2EF6"/>
    <w:rsid w:val="00AD304C"/>
    <w:rsid w:val="00AD30D3"/>
    <w:rsid w:val="00AD3178"/>
    <w:rsid w:val="00AD362E"/>
    <w:rsid w:val="00AD3D11"/>
    <w:rsid w:val="00AD3DC5"/>
    <w:rsid w:val="00AD3F3F"/>
    <w:rsid w:val="00AD4051"/>
    <w:rsid w:val="00AD428A"/>
    <w:rsid w:val="00AD46F3"/>
    <w:rsid w:val="00AD4784"/>
    <w:rsid w:val="00AD49B2"/>
    <w:rsid w:val="00AD4A51"/>
    <w:rsid w:val="00AD4D94"/>
    <w:rsid w:val="00AD504D"/>
    <w:rsid w:val="00AD5650"/>
    <w:rsid w:val="00AD5666"/>
    <w:rsid w:val="00AD5801"/>
    <w:rsid w:val="00AD58B1"/>
    <w:rsid w:val="00AD5996"/>
    <w:rsid w:val="00AD5A9E"/>
    <w:rsid w:val="00AD5D59"/>
    <w:rsid w:val="00AD64CA"/>
    <w:rsid w:val="00AD653E"/>
    <w:rsid w:val="00AD66C6"/>
    <w:rsid w:val="00AD66FC"/>
    <w:rsid w:val="00AD69FC"/>
    <w:rsid w:val="00AD6C8A"/>
    <w:rsid w:val="00AD7092"/>
    <w:rsid w:val="00AD7604"/>
    <w:rsid w:val="00AD7832"/>
    <w:rsid w:val="00AD7C10"/>
    <w:rsid w:val="00AE0543"/>
    <w:rsid w:val="00AE077A"/>
    <w:rsid w:val="00AE0819"/>
    <w:rsid w:val="00AE0A37"/>
    <w:rsid w:val="00AE0BFD"/>
    <w:rsid w:val="00AE0C7E"/>
    <w:rsid w:val="00AE0DF5"/>
    <w:rsid w:val="00AE11BB"/>
    <w:rsid w:val="00AE1299"/>
    <w:rsid w:val="00AE1EEE"/>
    <w:rsid w:val="00AE1EF1"/>
    <w:rsid w:val="00AE217E"/>
    <w:rsid w:val="00AE22A5"/>
    <w:rsid w:val="00AE22C1"/>
    <w:rsid w:val="00AE25B4"/>
    <w:rsid w:val="00AE273D"/>
    <w:rsid w:val="00AE2DCE"/>
    <w:rsid w:val="00AE4120"/>
    <w:rsid w:val="00AE45E6"/>
    <w:rsid w:val="00AE4B0F"/>
    <w:rsid w:val="00AE4B9D"/>
    <w:rsid w:val="00AE51ED"/>
    <w:rsid w:val="00AE538D"/>
    <w:rsid w:val="00AE545F"/>
    <w:rsid w:val="00AE55BF"/>
    <w:rsid w:val="00AE5640"/>
    <w:rsid w:val="00AE5972"/>
    <w:rsid w:val="00AE5B89"/>
    <w:rsid w:val="00AE6205"/>
    <w:rsid w:val="00AE6574"/>
    <w:rsid w:val="00AE65A5"/>
    <w:rsid w:val="00AE680E"/>
    <w:rsid w:val="00AE68AF"/>
    <w:rsid w:val="00AE692A"/>
    <w:rsid w:val="00AE6936"/>
    <w:rsid w:val="00AE69E7"/>
    <w:rsid w:val="00AE6BB5"/>
    <w:rsid w:val="00AE6D96"/>
    <w:rsid w:val="00AE6FC1"/>
    <w:rsid w:val="00AE73B8"/>
    <w:rsid w:val="00AE77F3"/>
    <w:rsid w:val="00AE7826"/>
    <w:rsid w:val="00AE7A40"/>
    <w:rsid w:val="00AE7F9A"/>
    <w:rsid w:val="00AF0331"/>
    <w:rsid w:val="00AF0433"/>
    <w:rsid w:val="00AF0AAC"/>
    <w:rsid w:val="00AF0D08"/>
    <w:rsid w:val="00AF138E"/>
    <w:rsid w:val="00AF15D4"/>
    <w:rsid w:val="00AF1773"/>
    <w:rsid w:val="00AF19F5"/>
    <w:rsid w:val="00AF20C4"/>
    <w:rsid w:val="00AF2109"/>
    <w:rsid w:val="00AF257E"/>
    <w:rsid w:val="00AF258E"/>
    <w:rsid w:val="00AF2916"/>
    <w:rsid w:val="00AF2927"/>
    <w:rsid w:val="00AF2CA6"/>
    <w:rsid w:val="00AF3000"/>
    <w:rsid w:val="00AF3069"/>
    <w:rsid w:val="00AF31BD"/>
    <w:rsid w:val="00AF31DC"/>
    <w:rsid w:val="00AF31F6"/>
    <w:rsid w:val="00AF3266"/>
    <w:rsid w:val="00AF32B7"/>
    <w:rsid w:val="00AF3589"/>
    <w:rsid w:val="00AF387F"/>
    <w:rsid w:val="00AF396B"/>
    <w:rsid w:val="00AF3DA4"/>
    <w:rsid w:val="00AF4351"/>
    <w:rsid w:val="00AF48D9"/>
    <w:rsid w:val="00AF4C34"/>
    <w:rsid w:val="00AF4D14"/>
    <w:rsid w:val="00AF4DA6"/>
    <w:rsid w:val="00AF4F79"/>
    <w:rsid w:val="00AF50CF"/>
    <w:rsid w:val="00AF51D5"/>
    <w:rsid w:val="00AF53B4"/>
    <w:rsid w:val="00AF5547"/>
    <w:rsid w:val="00AF5685"/>
    <w:rsid w:val="00AF5724"/>
    <w:rsid w:val="00AF5B6E"/>
    <w:rsid w:val="00AF5C9C"/>
    <w:rsid w:val="00AF5CB3"/>
    <w:rsid w:val="00AF6088"/>
    <w:rsid w:val="00AF618B"/>
    <w:rsid w:val="00AF64E4"/>
    <w:rsid w:val="00AF672C"/>
    <w:rsid w:val="00AF6F0B"/>
    <w:rsid w:val="00AF7000"/>
    <w:rsid w:val="00AF7234"/>
    <w:rsid w:val="00AF786E"/>
    <w:rsid w:val="00AF7963"/>
    <w:rsid w:val="00AF79F0"/>
    <w:rsid w:val="00AF7A4A"/>
    <w:rsid w:val="00AF7AE0"/>
    <w:rsid w:val="00AF7EC5"/>
    <w:rsid w:val="00B002EE"/>
    <w:rsid w:val="00B00678"/>
    <w:rsid w:val="00B0086A"/>
    <w:rsid w:val="00B008EF"/>
    <w:rsid w:val="00B00BE1"/>
    <w:rsid w:val="00B00E42"/>
    <w:rsid w:val="00B01761"/>
    <w:rsid w:val="00B01B2F"/>
    <w:rsid w:val="00B01C3F"/>
    <w:rsid w:val="00B01FE1"/>
    <w:rsid w:val="00B022B2"/>
    <w:rsid w:val="00B022E4"/>
    <w:rsid w:val="00B02866"/>
    <w:rsid w:val="00B03135"/>
    <w:rsid w:val="00B03229"/>
    <w:rsid w:val="00B032B1"/>
    <w:rsid w:val="00B0350A"/>
    <w:rsid w:val="00B03968"/>
    <w:rsid w:val="00B03A84"/>
    <w:rsid w:val="00B03BF6"/>
    <w:rsid w:val="00B03F2D"/>
    <w:rsid w:val="00B03F55"/>
    <w:rsid w:val="00B03F5C"/>
    <w:rsid w:val="00B04461"/>
    <w:rsid w:val="00B0446D"/>
    <w:rsid w:val="00B04C5C"/>
    <w:rsid w:val="00B04CA6"/>
    <w:rsid w:val="00B053C4"/>
    <w:rsid w:val="00B053FC"/>
    <w:rsid w:val="00B05B39"/>
    <w:rsid w:val="00B05C18"/>
    <w:rsid w:val="00B05E50"/>
    <w:rsid w:val="00B062D9"/>
    <w:rsid w:val="00B062DA"/>
    <w:rsid w:val="00B06588"/>
    <w:rsid w:val="00B07051"/>
    <w:rsid w:val="00B07246"/>
    <w:rsid w:val="00B073CA"/>
    <w:rsid w:val="00B07579"/>
    <w:rsid w:val="00B077BC"/>
    <w:rsid w:val="00B07C85"/>
    <w:rsid w:val="00B07E95"/>
    <w:rsid w:val="00B10085"/>
    <w:rsid w:val="00B10101"/>
    <w:rsid w:val="00B10137"/>
    <w:rsid w:val="00B10162"/>
    <w:rsid w:val="00B10324"/>
    <w:rsid w:val="00B107C7"/>
    <w:rsid w:val="00B110E1"/>
    <w:rsid w:val="00B111BC"/>
    <w:rsid w:val="00B11DE8"/>
    <w:rsid w:val="00B12235"/>
    <w:rsid w:val="00B12236"/>
    <w:rsid w:val="00B1263B"/>
    <w:rsid w:val="00B1276D"/>
    <w:rsid w:val="00B12DDB"/>
    <w:rsid w:val="00B12E90"/>
    <w:rsid w:val="00B130DF"/>
    <w:rsid w:val="00B13260"/>
    <w:rsid w:val="00B1344A"/>
    <w:rsid w:val="00B13459"/>
    <w:rsid w:val="00B1367E"/>
    <w:rsid w:val="00B138AC"/>
    <w:rsid w:val="00B138FB"/>
    <w:rsid w:val="00B13CA4"/>
    <w:rsid w:val="00B1409E"/>
    <w:rsid w:val="00B140F3"/>
    <w:rsid w:val="00B14157"/>
    <w:rsid w:val="00B14333"/>
    <w:rsid w:val="00B146AE"/>
    <w:rsid w:val="00B14E21"/>
    <w:rsid w:val="00B15027"/>
    <w:rsid w:val="00B15251"/>
    <w:rsid w:val="00B152BE"/>
    <w:rsid w:val="00B1549B"/>
    <w:rsid w:val="00B15734"/>
    <w:rsid w:val="00B158E5"/>
    <w:rsid w:val="00B1599A"/>
    <w:rsid w:val="00B1599D"/>
    <w:rsid w:val="00B15DE1"/>
    <w:rsid w:val="00B15DF3"/>
    <w:rsid w:val="00B162C9"/>
    <w:rsid w:val="00B16589"/>
    <w:rsid w:val="00B165C0"/>
    <w:rsid w:val="00B16A27"/>
    <w:rsid w:val="00B16BA6"/>
    <w:rsid w:val="00B16D3D"/>
    <w:rsid w:val="00B16D8F"/>
    <w:rsid w:val="00B176A5"/>
    <w:rsid w:val="00B177B4"/>
    <w:rsid w:val="00B17879"/>
    <w:rsid w:val="00B201B0"/>
    <w:rsid w:val="00B20677"/>
    <w:rsid w:val="00B21189"/>
    <w:rsid w:val="00B2139E"/>
    <w:rsid w:val="00B21846"/>
    <w:rsid w:val="00B2198B"/>
    <w:rsid w:val="00B21A6E"/>
    <w:rsid w:val="00B21DBC"/>
    <w:rsid w:val="00B21FC5"/>
    <w:rsid w:val="00B22060"/>
    <w:rsid w:val="00B220B2"/>
    <w:rsid w:val="00B2223F"/>
    <w:rsid w:val="00B227D4"/>
    <w:rsid w:val="00B22B38"/>
    <w:rsid w:val="00B22C32"/>
    <w:rsid w:val="00B22CA7"/>
    <w:rsid w:val="00B2376C"/>
    <w:rsid w:val="00B23855"/>
    <w:rsid w:val="00B2396E"/>
    <w:rsid w:val="00B23E41"/>
    <w:rsid w:val="00B24434"/>
    <w:rsid w:val="00B2479F"/>
    <w:rsid w:val="00B24B51"/>
    <w:rsid w:val="00B24C91"/>
    <w:rsid w:val="00B24F56"/>
    <w:rsid w:val="00B250A2"/>
    <w:rsid w:val="00B25359"/>
    <w:rsid w:val="00B2558D"/>
    <w:rsid w:val="00B25AA3"/>
    <w:rsid w:val="00B260A2"/>
    <w:rsid w:val="00B26611"/>
    <w:rsid w:val="00B26BCB"/>
    <w:rsid w:val="00B26DBD"/>
    <w:rsid w:val="00B27666"/>
    <w:rsid w:val="00B2768D"/>
    <w:rsid w:val="00B27B17"/>
    <w:rsid w:val="00B27C46"/>
    <w:rsid w:val="00B27DD4"/>
    <w:rsid w:val="00B30040"/>
    <w:rsid w:val="00B304EF"/>
    <w:rsid w:val="00B30534"/>
    <w:rsid w:val="00B31215"/>
    <w:rsid w:val="00B31640"/>
    <w:rsid w:val="00B316A1"/>
    <w:rsid w:val="00B3170A"/>
    <w:rsid w:val="00B31718"/>
    <w:rsid w:val="00B3175D"/>
    <w:rsid w:val="00B31907"/>
    <w:rsid w:val="00B31C72"/>
    <w:rsid w:val="00B32420"/>
    <w:rsid w:val="00B3261A"/>
    <w:rsid w:val="00B327D3"/>
    <w:rsid w:val="00B328DB"/>
    <w:rsid w:val="00B33936"/>
    <w:rsid w:val="00B33C38"/>
    <w:rsid w:val="00B342DC"/>
    <w:rsid w:val="00B342FE"/>
    <w:rsid w:val="00B3464B"/>
    <w:rsid w:val="00B34ADE"/>
    <w:rsid w:val="00B34EAC"/>
    <w:rsid w:val="00B352A2"/>
    <w:rsid w:val="00B35301"/>
    <w:rsid w:val="00B3534D"/>
    <w:rsid w:val="00B35B37"/>
    <w:rsid w:val="00B35E7B"/>
    <w:rsid w:val="00B369AC"/>
    <w:rsid w:val="00B36A91"/>
    <w:rsid w:val="00B36C51"/>
    <w:rsid w:val="00B37172"/>
    <w:rsid w:val="00B37551"/>
    <w:rsid w:val="00B3770B"/>
    <w:rsid w:val="00B37800"/>
    <w:rsid w:val="00B379EF"/>
    <w:rsid w:val="00B37BE3"/>
    <w:rsid w:val="00B40AD0"/>
    <w:rsid w:val="00B40E8F"/>
    <w:rsid w:val="00B41153"/>
    <w:rsid w:val="00B4125E"/>
    <w:rsid w:val="00B41FB9"/>
    <w:rsid w:val="00B42020"/>
    <w:rsid w:val="00B4220D"/>
    <w:rsid w:val="00B429C1"/>
    <w:rsid w:val="00B429CA"/>
    <w:rsid w:val="00B42A72"/>
    <w:rsid w:val="00B42F38"/>
    <w:rsid w:val="00B43203"/>
    <w:rsid w:val="00B43628"/>
    <w:rsid w:val="00B437D3"/>
    <w:rsid w:val="00B43D75"/>
    <w:rsid w:val="00B444E9"/>
    <w:rsid w:val="00B447E1"/>
    <w:rsid w:val="00B44965"/>
    <w:rsid w:val="00B44CC3"/>
    <w:rsid w:val="00B44F1B"/>
    <w:rsid w:val="00B452D6"/>
    <w:rsid w:val="00B452E2"/>
    <w:rsid w:val="00B45324"/>
    <w:rsid w:val="00B45335"/>
    <w:rsid w:val="00B45369"/>
    <w:rsid w:val="00B464BC"/>
    <w:rsid w:val="00B46968"/>
    <w:rsid w:val="00B46D6E"/>
    <w:rsid w:val="00B47500"/>
    <w:rsid w:val="00B4762A"/>
    <w:rsid w:val="00B476A0"/>
    <w:rsid w:val="00B47C3B"/>
    <w:rsid w:val="00B5085D"/>
    <w:rsid w:val="00B50917"/>
    <w:rsid w:val="00B50BB4"/>
    <w:rsid w:val="00B5142B"/>
    <w:rsid w:val="00B51EC0"/>
    <w:rsid w:val="00B526BA"/>
    <w:rsid w:val="00B526DA"/>
    <w:rsid w:val="00B5298C"/>
    <w:rsid w:val="00B52FBA"/>
    <w:rsid w:val="00B53038"/>
    <w:rsid w:val="00B531CA"/>
    <w:rsid w:val="00B533F2"/>
    <w:rsid w:val="00B536BA"/>
    <w:rsid w:val="00B543C2"/>
    <w:rsid w:val="00B54561"/>
    <w:rsid w:val="00B5469D"/>
    <w:rsid w:val="00B54E2C"/>
    <w:rsid w:val="00B555E2"/>
    <w:rsid w:val="00B55623"/>
    <w:rsid w:val="00B55A91"/>
    <w:rsid w:val="00B55B83"/>
    <w:rsid w:val="00B55EDD"/>
    <w:rsid w:val="00B566C3"/>
    <w:rsid w:val="00B56E68"/>
    <w:rsid w:val="00B5704D"/>
    <w:rsid w:val="00B57459"/>
    <w:rsid w:val="00B57797"/>
    <w:rsid w:val="00B5785A"/>
    <w:rsid w:val="00B5794D"/>
    <w:rsid w:val="00B5797B"/>
    <w:rsid w:val="00B57A77"/>
    <w:rsid w:val="00B57ACC"/>
    <w:rsid w:val="00B57C4C"/>
    <w:rsid w:val="00B57C6D"/>
    <w:rsid w:val="00B6007D"/>
    <w:rsid w:val="00B60290"/>
    <w:rsid w:val="00B60370"/>
    <w:rsid w:val="00B6044B"/>
    <w:rsid w:val="00B60489"/>
    <w:rsid w:val="00B6072C"/>
    <w:rsid w:val="00B60744"/>
    <w:rsid w:val="00B60DDA"/>
    <w:rsid w:val="00B60F42"/>
    <w:rsid w:val="00B61931"/>
    <w:rsid w:val="00B61B6E"/>
    <w:rsid w:val="00B61BE7"/>
    <w:rsid w:val="00B61E49"/>
    <w:rsid w:val="00B62507"/>
    <w:rsid w:val="00B62650"/>
    <w:rsid w:val="00B6274B"/>
    <w:rsid w:val="00B63799"/>
    <w:rsid w:val="00B63FC1"/>
    <w:rsid w:val="00B6430E"/>
    <w:rsid w:val="00B643A4"/>
    <w:rsid w:val="00B64405"/>
    <w:rsid w:val="00B647F8"/>
    <w:rsid w:val="00B64A4B"/>
    <w:rsid w:val="00B64B40"/>
    <w:rsid w:val="00B64D51"/>
    <w:rsid w:val="00B650AE"/>
    <w:rsid w:val="00B652BF"/>
    <w:rsid w:val="00B652C7"/>
    <w:rsid w:val="00B6579A"/>
    <w:rsid w:val="00B65835"/>
    <w:rsid w:val="00B65D06"/>
    <w:rsid w:val="00B65D35"/>
    <w:rsid w:val="00B660C9"/>
    <w:rsid w:val="00B6629D"/>
    <w:rsid w:val="00B6633F"/>
    <w:rsid w:val="00B665AD"/>
    <w:rsid w:val="00B66859"/>
    <w:rsid w:val="00B6761E"/>
    <w:rsid w:val="00B6799D"/>
    <w:rsid w:val="00B67A66"/>
    <w:rsid w:val="00B70EDE"/>
    <w:rsid w:val="00B71127"/>
    <w:rsid w:val="00B7166A"/>
    <w:rsid w:val="00B7228D"/>
    <w:rsid w:val="00B72347"/>
    <w:rsid w:val="00B7243F"/>
    <w:rsid w:val="00B724F2"/>
    <w:rsid w:val="00B72F6F"/>
    <w:rsid w:val="00B73414"/>
    <w:rsid w:val="00B7358F"/>
    <w:rsid w:val="00B73D27"/>
    <w:rsid w:val="00B73E57"/>
    <w:rsid w:val="00B73ED8"/>
    <w:rsid w:val="00B74413"/>
    <w:rsid w:val="00B744D9"/>
    <w:rsid w:val="00B74540"/>
    <w:rsid w:val="00B74650"/>
    <w:rsid w:val="00B7498C"/>
    <w:rsid w:val="00B74C8B"/>
    <w:rsid w:val="00B750D0"/>
    <w:rsid w:val="00B751D2"/>
    <w:rsid w:val="00B7524C"/>
    <w:rsid w:val="00B757EB"/>
    <w:rsid w:val="00B75B6B"/>
    <w:rsid w:val="00B75BCF"/>
    <w:rsid w:val="00B75D39"/>
    <w:rsid w:val="00B75DAE"/>
    <w:rsid w:val="00B75F09"/>
    <w:rsid w:val="00B76022"/>
    <w:rsid w:val="00B7651A"/>
    <w:rsid w:val="00B76622"/>
    <w:rsid w:val="00B767FB"/>
    <w:rsid w:val="00B76832"/>
    <w:rsid w:val="00B76E2E"/>
    <w:rsid w:val="00B76EDE"/>
    <w:rsid w:val="00B77180"/>
    <w:rsid w:val="00B77248"/>
    <w:rsid w:val="00B7727D"/>
    <w:rsid w:val="00B77318"/>
    <w:rsid w:val="00B77EBD"/>
    <w:rsid w:val="00B80253"/>
    <w:rsid w:val="00B8083A"/>
    <w:rsid w:val="00B80970"/>
    <w:rsid w:val="00B80E32"/>
    <w:rsid w:val="00B80EAE"/>
    <w:rsid w:val="00B8114D"/>
    <w:rsid w:val="00B81402"/>
    <w:rsid w:val="00B81654"/>
    <w:rsid w:val="00B817B9"/>
    <w:rsid w:val="00B81959"/>
    <w:rsid w:val="00B81FD6"/>
    <w:rsid w:val="00B8235E"/>
    <w:rsid w:val="00B827C4"/>
    <w:rsid w:val="00B82A6F"/>
    <w:rsid w:val="00B83031"/>
    <w:rsid w:val="00B832D4"/>
    <w:rsid w:val="00B833C0"/>
    <w:rsid w:val="00B833D6"/>
    <w:rsid w:val="00B83767"/>
    <w:rsid w:val="00B837D7"/>
    <w:rsid w:val="00B837DC"/>
    <w:rsid w:val="00B8384C"/>
    <w:rsid w:val="00B83B46"/>
    <w:rsid w:val="00B83B74"/>
    <w:rsid w:val="00B83C72"/>
    <w:rsid w:val="00B8493D"/>
    <w:rsid w:val="00B84E6B"/>
    <w:rsid w:val="00B84F85"/>
    <w:rsid w:val="00B84FBC"/>
    <w:rsid w:val="00B85006"/>
    <w:rsid w:val="00B85AB9"/>
    <w:rsid w:val="00B86352"/>
    <w:rsid w:val="00B8635A"/>
    <w:rsid w:val="00B863D9"/>
    <w:rsid w:val="00B86581"/>
    <w:rsid w:val="00B869E2"/>
    <w:rsid w:val="00B86B61"/>
    <w:rsid w:val="00B87386"/>
    <w:rsid w:val="00B876E0"/>
    <w:rsid w:val="00B87A25"/>
    <w:rsid w:val="00B90480"/>
    <w:rsid w:val="00B90CAE"/>
    <w:rsid w:val="00B9142B"/>
    <w:rsid w:val="00B91475"/>
    <w:rsid w:val="00B917A4"/>
    <w:rsid w:val="00B9204C"/>
    <w:rsid w:val="00B92201"/>
    <w:rsid w:val="00B92657"/>
    <w:rsid w:val="00B9265A"/>
    <w:rsid w:val="00B927B5"/>
    <w:rsid w:val="00B928E6"/>
    <w:rsid w:val="00B92E4B"/>
    <w:rsid w:val="00B9302F"/>
    <w:rsid w:val="00B9331A"/>
    <w:rsid w:val="00B9353A"/>
    <w:rsid w:val="00B9375B"/>
    <w:rsid w:val="00B93A37"/>
    <w:rsid w:val="00B93E05"/>
    <w:rsid w:val="00B93E18"/>
    <w:rsid w:val="00B93F5F"/>
    <w:rsid w:val="00B94159"/>
    <w:rsid w:val="00B941C9"/>
    <w:rsid w:val="00B941E0"/>
    <w:rsid w:val="00B94606"/>
    <w:rsid w:val="00B94A15"/>
    <w:rsid w:val="00B94B51"/>
    <w:rsid w:val="00B9501C"/>
    <w:rsid w:val="00B950FD"/>
    <w:rsid w:val="00B951D2"/>
    <w:rsid w:val="00B95578"/>
    <w:rsid w:val="00B9570F"/>
    <w:rsid w:val="00B963FE"/>
    <w:rsid w:val="00B964CD"/>
    <w:rsid w:val="00B967C7"/>
    <w:rsid w:val="00B968CB"/>
    <w:rsid w:val="00B97093"/>
    <w:rsid w:val="00B97097"/>
    <w:rsid w:val="00B97778"/>
    <w:rsid w:val="00B97E0B"/>
    <w:rsid w:val="00B97E21"/>
    <w:rsid w:val="00BA019D"/>
    <w:rsid w:val="00BA0860"/>
    <w:rsid w:val="00BA08FB"/>
    <w:rsid w:val="00BA092B"/>
    <w:rsid w:val="00BA11F9"/>
    <w:rsid w:val="00BA149F"/>
    <w:rsid w:val="00BA1754"/>
    <w:rsid w:val="00BA1BD2"/>
    <w:rsid w:val="00BA1C20"/>
    <w:rsid w:val="00BA1FB3"/>
    <w:rsid w:val="00BA25BB"/>
    <w:rsid w:val="00BA2623"/>
    <w:rsid w:val="00BA280D"/>
    <w:rsid w:val="00BA29E8"/>
    <w:rsid w:val="00BA3040"/>
    <w:rsid w:val="00BA3194"/>
    <w:rsid w:val="00BA33A2"/>
    <w:rsid w:val="00BA36E5"/>
    <w:rsid w:val="00BA4716"/>
    <w:rsid w:val="00BA49CD"/>
    <w:rsid w:val="00BA4E32"/>
    <w:rsid w:val="00BA5299"/>
    <w:rsid w:val="00BA5674"/>
    <w:rsid w:val="00BA573F"/>
    <w:rsid w:val="00BA588F"/>
    <w:rsid w:val="00BA5F9E"/>
    <w:rsid w:val="00BA5FC3"/>
    <w:rsid w:val="00BA5FE1"/>
    <w:rsid w:val="00BA60A3"/>
    <w:rsid w:val="00BA61F0"/>
    <w:rsid w:val="00BA6307"/>
    <w:rsid w:val="00BA64FA"/>
    <w:rsid w:val="00BA6864"/>
    <w:rsid w:val="00BA6A42"/>
    <w:rsid w:val="00BA6B34"/>
    <w:rsid w:val="00BA6EE6"/>
    <w:rsid w:val="00BA6F50"/>
    <w:rsid w:val="00BA7135"/>
    <w:rsid w:val="00BA748D"/>
    <w:rsid w:val="00BA7C5D"/>
    <w:rsid w:val="00BA7F80"/>
    <w:rsid w:val="00BB0CA2"/>
    <w:rsid w:val="00BB13E0"/>
    <w:rsid w:val="00BB15B5"/>
    <w:rsid w:val="00BB15D8"/>
    <w:rsid w:val="00BB16FC"/>
    <w:rsid w:val="00BB1B38"/>
    <w:rsid w:val="00BB1B7B"/>
    <w:rsid w:val="00BB1FB6"/>
    <w:rsid w:val="00BB207D"/>
    <w:rsid w:val="00BB2544"/>
    <w:rsid w:val="00BB2726"/>
    <w:rsid w:val="00BB2997"/>
    <w:rsid w:val="00BB2A79"/>
    <w:rsid w:val="00BB2E50"/>
    <w:rsid w:val="00BB304C"/>
    <w:rsid w:val="00BB30F8"/>
    <w:rsid w:val="00BB345D"/>
    <w:rsid w:val="00BB3752"/>
    <w:rsid w:val="00BB37CD"/>
    <w:rsid w:val="00BB38FC"/>
    <w:rsid w:val="00BB3E87"/>
    <w:rsid w:val="00BB4281"/>
    <w:rsid w:val="00BB487B"/>
    <w:rsid w:val="00BB5080"/>
    <w:rsid w:val="00BB52D8"/>
    <w:rsid w:val="00BB533A"/>
    <w:rsid w:val="00BB5D8C"/>
    <w:rsid w:val="00BB5FB1"/>
    <w:rsid w:val="00BB6644"/>
    <w:rsid w:val="00BB690B"/>
    <w:rsid w:val="00BB6B33"/>
    <w:rsid w:val="00BB6D72"/>
    <w:rsid w:val="00BB7728"/>
    <w:rsid w:val="00BB7E50"/>
    <w:rsid w:val="00BC01C7"/>
    <w:rsid w:val="00BC03E2"/>
    <w:rsid w:val="00BC06DD"/>
    <w:rsid w:val="00BC09AF"/>
    <w:rsid w:val="00BC0ABB"/>
    <w:rsid w:val="00BC1451"/>
    <w:rsid w:val="00BC17D4"/>
    <w:rsid w:val="00BC1862"/>
    <w:rsid w:val="00BC2326"/>
    <w:rsid w:val="00BC2655"/>
    <w:rsid w:val="00BC272F"/>
    <w:rsid w:val="00BC297C"/>
    <w:rsid w:val="00BC2A68"/>
    <w:rsid w:val="00BC2CCD"/>
    <w:rsid w:val="00BC2D75"/>
    <w:rsid w:val="00BC2D92"/>
    <w:rsid w:val="00BC2EF7"/>
    <w:rsid w:val="00BC2F41"/>
    <w:rsid w:val="00BC3170"/>
    <w:rsid w:val="00BC36A7"/>
    <w:rsid w:val="00BC3BAC"/>
    <w:rsid w:val="00BC4356"/>
    <w:rsid w:val="00BC43F9"/>
    <w:rsid w:val="00BC4586"/>
    <w:rsid w:val="00BC4C46"/>
    <w:rsid w:val="00BC5046"/>
    <w:rsid w:val="00BC53FC"/>
    <w:rsid w:val="00BC559D"/>
    <w:rsid w:val="00BC5B0D"/>
    <w:rsid w:val="00BC5D8D"/>
    <w:rsid w:val="00BC65CA"/>
    <w:rsid w:val="00BC6ED3"/>
    <w:rsid w:val="00BC72F7"/>
    <w:rsid w:val="00BC75B8"/>
    <w:rsid w:val="00BC795F"/>
    <w:rsid w:val="00BC7E71"/>
    <w:rsid w:val="00BD00D2"/>
    <w:rsid w:val="00BD0F02"/>
    <w:rsid w:val="00BD13EB"/>
    <w:rsid w:val="00BD14AC"/>
    <w:rsid w:val="00BD156B"/>
    <w:rsid w:val="00BD1DC4"/>
    <w:rsid w:val="00BD20BA"/>
    <w:rsid w:val="00BD2570"/>
    <w:rsid w:val="00BD26AA"/>
    <w:rsid w:val="00BD2710"/>
    <w:rsid w:val="00BD27A3"/>
    <w:rsid w:val="00BD2B04"/>
    <w:rsid w:val="00BD2B40"/>
    <w:rsid w:val="00BD2EAD"/>
    <w:rsid w:val="00BD3088"/>
    <w:rsid w:val="00BD3449"/>
    <w:rsid w:val="00BD350A"/>
    <w:rsid w:val="00BD380A"/>
    <w:rsid w:val="00BD3AD2"/>
    <w:rsid w:val="00BD402D"/>
    <w:rsid w:val="00BD4351"/>
    <w:rsid w:val="00BD4D6D"/>
    <w:rsid w:val="00BD4EF0"/>
    <w:rsid w:val="00BD545B"/>
    <w:rsid w:val="00BD5972"/>
    <w:rsid w:val="00BD5ECD"/>
    <w:rsid w:val="00BD5ED6"/>
    <w:rsid w:val="00BD61C2"/>
    <w:rsid w:val="00BD6302"/>
    <w:rsid w:val="00BD660A"/>
    <w:rsid w:val="00BD6D1C"/>
    <w:rsid w:val="00BD6DE9"/>
    <w:rsid w:val="00BD7137"/>
    <w:rsid w:val="00BD7184"/>
    <w:rsid w:val="00BD71E7"/>
    <w:rsid w:val="00BD73C6"/>
    <w:rsid w:val="00BD7953"/>
    <w:rsid w:val="00BD7960"/>
    <w:rsid w:val="00BD79B1"/>
    <w:rsid w:val="00BD7D3E"/>
    <w:rsid w:val="00BE03FC"/>
    <w:rsid w:val="00BE0A2A"/>
    <w:rsid w:val="00BE1072"/>
    <w:rsid w:val="00BE15AF"/>
    <w:rsid w:val="00BE169E"/>
    <w:rsid w:val="00BE17F8"/>
    <w:rsid w:val="00BE1C58"/>
    <w:rsid w:val="00BE1CA7"/>
    <w:rsid w:val="00BE236B"/>
    <w:rsid w:val="00BE23CD"/>
    <w:rsid w:val="00BE25E1"/>
    <w:rsid w:val="00BE2932"/>
    <w:rsid w:val="00BE2A39"/>
    <w:rsid w:val="00BE2A43"/>
    <w:rsid w:val="00BE2EF7"/>
    <w:rsid w:val="00BE318E"/>
    <w:rsid w:val="00BE329C"/>
    <w:rsid w:val="00BE34F6"/>
    <w:rsid w:val="00BE3594"/>
    <w:rsid w:val="00BE3EE0"/>
    <w:rsid w:val="00BE3F27"/>
    <w:rsid w:val="00BE40AF"/>
    <w:rsid w:val="00BE427C"/>
    <w:rsid w:val="00BE4417"/>
    <w:rsid w:val="00BE48C7"/>
    <w:rsid w:val="00BE4F61"/>
    <w:rsid w:val="00BE5913"/>
    <w:rsid w:val="00BE59AC"/>
    <w:rsid w:val="00BE61B9"/>
    <w:rsid w:val="00BE6F2E"/>
    <w:rsid w:val="00BE7155"/>
    <w:rsid w:val="00BE71D5"/>
    <w:rsid w:val="00BE7810"/>
    <w:rsid w:val="00BE79AD"/>
    <w:rsid w:val="00BF011A"/>
    <w:rsid w:val="00BF0278"/>
    <w:rsid w:val="00BF0565"/>
    <w:rsid w:val="00BF05EB"/>
    <w:rsid w:val="00BF0665"/>
    <w:rsid w:val="00BF0C12"/>
    <w:rsid w:val="00BF0CB9"/>
    <w:rsid w:val="00BF1015"/>
    <w:rsid w:val="00BF2099"/>
    <w:rsid w:val="00BF26A6"/>
    <w:rsid w:val="00BF2A6C"/>
    <w:rsid w:val="00BF2C66"/>
    <w:rsid w:val="00BF2F26"/>
    <w:rsid w:val="00BF3064"/>
    <w:rsid w:val="00BF3561"/>
    <w:rsid w:val="00BF3A77"/>
    <w:rsid w:val="00BF3D36"/>
    <w:rsid w:val="00BF4080"/>
    <w:rsid w:val="00BF4E33"/>
    <w:rsid w:val="00BF51E7"/>
    <w:rsid w:val="00BF53D2"/>
    <w:rsid w:val="00BF557E"/>
    <w:rsid w:val="00BF5A1E"/>
    <w:rsid w:val="00BF5B13"/>
    <w:rsid w:val="00BF6138"/>
    <w:rsid w:val="00BF644C"/>
    <w:rsid w:val="00BF6846"/>
    <w:rsid w:val="00BF6CDB"/>
    <w:rsid w:val="00BF6EBC"/>
    <w:rsid w:val="00BF7245"/>
    <w:rsid w:val="00BF7DB4"/>
    <w:rsid w:val="00C00033"/>
    <w:rsid w:val="00C002A7"/>
    <w:rsid w:val="00C0032F"/>
    <w:rsid w:val="00C00450"/>
    <w:rsid w:val="00C009A9"/>
    <w:rsid w:val="00C00D53"/>
    <w:rsid w:val="00C00DDD"/>
    <w:rsid w:val="00C00E6A"/>
    <w:rsid w:val="00C01054"/>
    <w:rsid w:val="00C0120F"/>
    <w:rsid w:val="00C01D03"/>
    <w:rsid w:val="00C0217E"/>
    <w:rsid w:val="00C022DE"/>
    <w:rsid w:val="00C0239B"/>
    <w:rsid w:val="00C0280E"/>
    <w:rsid w:val="00C028A4"/>
    <w:rsid w:val="00C02A3E"/>
    <w:rsid w:val="00C02C8B"/>
    <w:rsid w:val="00C02E18"/>
    <w:rsid w:val="00C03229"/>
    <w:rsid w:val="00C03557"/>
    <w:rsid w:val="00C03580"/>
    <w:rsid w:val="00C03FFD"/>
    <w:rsid w:val="00C041AC"/>
    <w:rsid w:val="00C04236"/>
    <w:rsid w:val="00C04384"/>
    <w:rsid w:val="00C04AB7"/>
    <w:rsid w:val="00C04CC6"/>
    <w:rsid w:val="00C04D9C"/>
    <w:rsid w:val="00C05828"/>
    <w:rsid w:val="00C059E8"/>
    <w:rsid w:val="00C05A4C"/>
    <w:rsid w:val="00C06010"/>
    <w:rsid w:val="00C0603A"/>
    <w:rsid w:val="00C06422"/>
    <w:rsid w:val="00C065E8"/>
    <w:rsid w:val="00C0682B"/>
    <w:rsid w:val="00C06D60"/>
    <w:rsid w:val="00C06ED3"/>
    <w:rsid w:val="00C07B58"/>
    <w:rsid w:val="00C07B9B"/>
    <w:rsid w:val="00C07E70"/>
    <w:rsid w:val="00C100EB"/>
    <w:rsid w:val="00C10B39"/>
    <w:rsid w:val="00C10BAD"/>
    <w:rsid w:val="00C11C58"/>
    <w:rsid w:val="00C1216C"/>
    <w:rsid w:val="00C12216"/>
    <w:rsid w:val="00C1221A"/>
    <w:rsid w:val="00C12411"/>
    <w:rsid w:val="00C126D9"/>
    <w:rsid w:val="00C127B2"/>
    <w:rsid w:val="00C1282D"/>
    <w:rsid w:val="00C1287B"/>
    <w:rsid w:val="00C12AAC"/>
    <w:rsid w:val="00C12B85"/>
    <w:rsid w:val="00C12C41"/>
    <w:rsid w:val="00C12E64"/>
    <w:rsid w:val="00C13B4A"/>
    <w:rsid w:val="00C13CFC"/>
    <w:rsid w:val="00C14017"/>
    <w:rsid w:val="00C14410"/>
    <w:rsid w:val="00C1455F"/>
    <w:rsid w:val="00C14616"/>
    <w:rsid w:val="00C14696"/>
    <w:rsid w:val="00C14962"/>
    <w:rsid w:val="00C14B4E"/>
    <w:rsid w:val="00C1519F"/>
    <w:rsid w:val="00C15261"/>
    <w:rsid w:val="00C15BB8"/>
    <w:rsid w:val="00C15EFA"/>
    <w:rsid w:val="00C160F2"/>
    <w:rsid w:val="00C16B08"/>
    <w:rsid w:val="00C16E5C"/>
    <w:rsid w:val="00C16F62"/>
    <w:rsid w:val="00C175D9"/>
    <w:rsid w:val="00C1777F"/>
    <w:rsid w:val="00C17B26"/>
    <w:rsid w:val="00C17CC1"/>
    <w:rsid w:val="00C20317"/>
    <w:rsid w:val="00C203A7"/>
    <w:rsid w:val="00C203FF"/>
    <w:rsid w:val="00C20609"/>
    <w:rsid w:val="00C20754"/>
    <w:rsid w:val="00C209BB"/>
    <w:rsid w:val="00C20B23"/>
    <w:rsid w:val="00C20D6A"/>
    <w:rsid w:val="00C20D8E"/>
    <w:rsid w:val="00C2107B"/>
    <w:rsid w:val="00C215F6"/>
    <w:rsid w:val="00C217B5"/>
    <w:rsid w:val="00C21954"/>
    <w:rsid w:val="00C21999"/>
    <w:rsid w:val="00C21C82"/>
    <w:rsid w:val="00C224C6"/>
    <w:rsid w:val="00C22685"/>
    <w:rsid w:val="00C228C6"/>
    <w:rsid w:val="00C22982"/>
    <w:rsid w:val="00C22A6B"/>
    <w:rsid w:val="00C22BE3"/>
    <w:rsid w:val="00C234E8"/>
    <w:rsid w:val="00C2360A"/>
    <w:rsid w:val="00C23E05"/>
    <w:rsid w:val="00C23ED5"/>
    <w:rsid w:val="00C23FE5"/>
    <w:rsid w:val="00C240F5"/>
    <w:rsid w:val="00C244BB"/>
    <w:rsid w:val="00C245AF"/>
    <w:rsid w:val="00C24A4F"/>
    <w:rsid w:val="00C24CAC"/>
    <w:rsid w:val="00C24E5B"/>
    <w:rsid w:val="00C24EE7"/>
    <w:rsid w:val="00C25168"/>
    <w:rsid w:val="00C253D2"/>
    <w:rsid w:val="00C25D24"/>
    <w:rsid w:val="00C25DBD"/>
    <w:rsid w:val="00C26081"/>
    <w:rsid w:val="00C262E3"/>
    <w:rsid w:val="00C26D25"/>
    <w:rsid w:val="00C26E46"/>
    <w:rsid w:val="00C27014"/>
    <w:rsid w:val="00C270DA"/>
    <w:rsid w:val="00C273F2"/>
    <w:rsid w:val="00C2776E"/>
    <w:rsid w:val="00C27C91"/>
    <w:rsid w:val="00C300F7"/>
    <w:rsid w:val="00C30307"/>
    <w:rsid w:val="00C3055B"/>
    <w:rsid w:val="00C3068A"/>
    <w:rsid w:val="00C3070A"/>
    <w:rsid w:val="00C3097F"/>
    <w:rsid w:val="00C30A5E"/>
    <w:rsid w:val="00C30B5E"/>
    <w:rsid w:val="00C30EFD"/>
    <w:rsid w:val="00C31459"/>
    <w:rsid w:val="00C3156F"/>
    <w:rsid w:val="00C31B83"/>
    <w:rsid w:val="00C31CCE"/>
    <w:rsid w:val="00C31E7B"/>
    <w:rsid w:val="00C32292"/>
    <w:rsid w:val="00C329B3"/>
    <w:rsid w:val="00C32AFE"/>
    <w:rsid w:val="00C32F6B"/>
    <w:rsid w:val="00C33148"/>
    <w:rsid w:val="00C33345"/>
    <w:rsid w:val="00C333D9"/>
    <w:rsid w:val="00C3344D"/>
    <w:rsid w:val="00C3346B"/>
    <w:rsid w:val="00C337C4"/>
    <w:rsid w:val="00C337CE"/>
    <w:rsid w:val="00C33C3C"/>
    <w:rsid w:val="00C34307"/>
    <w:rsid w:val="00C34CF2"/>
    <w:rsid w:val="00C34F95"/>
    <w:rsid w:val="00C35193"/>
    <w:rsid w:val="00C35558"/>
    <w:rsid w:val="00C35628"/>
    <w:rsid w:val="00C3589D"/>
    <w:rsid w:val="00C35974"/>
    <w:rsid w:val="00C359E7"/>
    <w:rsid w:val="00C35B19"/>
    <w:rsid w:val="00C35C6E"/>
    <w:rsid w:val="00C36332"/>
    <w:rsid w:val="00C369A0"/>
    <w:rsid w:val="00C36DD9"/>
    <w:rsid w:val="00C372D9"/>
    <w:rsid w:val="00C3777D"/>
    <w:rsid w:val="00C3784E"/>
    <w:rsid w:val="00C3786B"/>
    <w:rsid w:val="00C378D3"/>
    <w:rsid w:val="00C37F12"/>
    <w:rsid w:val="00C40059"/>
    <w:rsid w:val="00C400F4"/>
    <w:rsid w:val="00C40136"/>
    <w:rsid w:val="00C404A8"/>
    <w:rsid w:val="00C406A9"/>
    <w:rsid w:val="00C40844"/>
    <w:rsid w:val="00C40AF8"/>
    <w:rsid w:val="00C41275"/>
    <w:rsid w:val="00C418D0"/>
    <w:rsid w:val="00C41CEB"/>
    <w:rsid w:val="00C42183"/>
    <w:rsid w:val="00C4220A"/>
    <w:rsid w:val="00C429B9"/>
    <w:rsid w:val="00C429D6"/>
    <w:rsid w:val="00C42B32"/>
    <w:rsid w:val="00C42D5C"/>
    <w:rsid w:val="00C42E95"/>
    <w:rsid w:val="00C4356A"/>
    <w:rsid w:val="00C4369E"/>
    <w:rsid w:val="00C4497A"/>
    <w:rsid w:val="00C44C4F"/>
    <w:rsid w:val="00C45013"/>
    <w:rsid w:val="00C45139"/>
    <w:rsid w:val="00C45356"/>
    <w:rsid w:val="00C45375"/>
    <w:rsid w:val="00C45952"/>
    <w:rsid w:val="00C45C84"/>
    <w:rsid w:val="00C45E82"/>
    <w:rsid w:val="00C45F0F"/>
    <w:rsid w:val="00C46099"/>
    <w:rsid w:val="00C4616E"/>
    <w:rsid w:val="00C461D8"/>
    <w:rsid w:val="00C4620D"/>
    <w:rsid w:val="00C4639F"/>
    <w:rsid w:val="00C4645D"/>
    <w:rsid w:val="00C46622"/>
    <w:rsid w:val="00C46665"/>
    <w:rsid w:val="00C46CCB"/>
    <w:rsid w:val="00C46E93"/>
    <w:rsid w:val="00C474CC"/>
    <w:rsid w:val="00C475D9"/>
    <w:rsid w:val="00C47775"/>
    <w:rsid w:val="00C4782A"/>
    <w:rsid w:val="00C47C94"/>
    <w:rsid w:val="00C47D1F"/>
    <w:rsid w:val="00C47DD8"/>
    <w:rsid w:val="00C50267"/>
    <w:rsid w:val="00C50799"/>
    <w:rsid w:val="00C50894"/>
    <w:rsid w:val="00C509B2"/>
    <w:rsid w:val="00C50CDE"/>
    <w:rsid w:val="00C50E47"/>
    <w:rsid w:val="00C51099"/>
    <w:rsid w:val="00C517DA"/>
    <w:rsid w:val="00C51A44"/>
    <w:rsid w:val="00C52110"/>
    <w:rsid w:val="00C522C4"/>
    <w:rsid w:val="00C52578"/>
    <w:rsid w:val="00C5304D"/>
    <w:rsid w:val="00C535FF"/>
    <w:rsid w:val="00C53C1C"/>
    <w:rsid w:val="00C54490"/>
    <w:rsid w:val="00C54743"/>
    <w:rsid w:val="00C54AE8"/>
    <w:rsid w:val="00C54EB3"/>
    <w:rsid w:val="00C5515E"/>
    <w:rsid w:val="00C55C5C"/>
    <w:rsid w:val="00C55D04"/>
    <w:rsid w:val="00C56F1A"/>
    <w:rsid w:val="00C56FD6"/>
    <w:rsid w:val="00C57009"/>
    <w:rsid w:val="00C5711D"/>
    <w:rsid w:val="00C576CA"/>
    <w:rsid w:val="00C578C1"/>
    <w:rsid w:val="00C57910"/>
    <w:rsid w:val="00C57AD3"/>
    <w:rsid w:val="00C57E6A"/>
    <w:rsid w:val="00C601FF"/>
    <w:rsid w:val="00C60323"/>
    <w:rsid w:val="00C603A4"/>
    <w:rsid w:val="00C60588"/>
    <w:rsid w:val="00C6062F"/>
    <w:rsid w:val="00C6077D"/>
    <w:rsid w:val="00C609D9"/>
    <w:rsid w:val="00C60A16"/>
    <w:rsid w:val="00C60E25"/>
    <w:rsid w:val="00C60E9B"/>
    <w:rsid w:val="00C610FF"/>
    <w:rsid w:val="00C611C6"/>
    <w:rsid w:val="00C61347"/>
    <w:rsid w:val="00C61602"/>
    <w:rsid w:val="00C61618"/>
    <w:rsid w:val="00C6232D"/>
    <w:rsid w:val="00C6237A"/>
    <w:rsid w:val="00C62802"/>
    <w:rsid w:val="00C631B4"/>
    <w:rsid w:val="00C63249"/>
    <w:rsid w:val="00C633E5"/>
    <w:rsid w:val="00C638DB"/>
    <w:rsid w:val="00C63ABB"/>
    <w:rsid w:val="00C63DEE"/>
    <w:rsid w:val="00C640BE"/>
    <w:rsid w:val="00C644A0"/>
    <w:rsid w:val="00C64555"/>
    <w:rsid w:val="00C64629"/>
    <w:rsid w:val="00C64CEE"/>
    <w:rsid w:val="00C660A3"/>
    <w:rsid w:val="00C6622A"/>
    <w:rsid w:val="00C6637B"/>
    <w:rsid w:val="00C667C6"/>
    <w:rsid w:val="00C66A80"/>
    <w:rsid w:val="00C66A87"/>
    <w:rsid w:val="00C67399"/>
    <w:rsid w:val="00C6741E"/>
    <w:rsid w:val="00C67455"/>
    <w:rsid w:val="00C6778D"/>
    <w:rsid w:val="00C67916"/>
    <w:rsid w:val="00C67CD9"/>
    <w:rsid w:val="00C67E1F"/>
    <w:rsid w:val="00C67F2C"/>
    <w:rsid w:val="00C70B54"/>
    <w:rsid w:val="00C70D3A"/>
    <w:rsid w:val="00C71504"/>
    <w:rsid w:val="00C7169B"/>
    <w:rsid w:val="00C71BA3"/>
    <w:rsid w:val="00C71E00"/>
    <w:rsid w:val="00C71EAF"/>
    <w:rsid w:val="00C71FD6"/>
    <w:rsid w:val="00C720CF"/>
    <w:rsid w:val="00C721F8"/>
    <w:rsid w:val="00C72795"/>
    <w:rsid w:val="00C72877"/>
    <w:rsid w:val="00C72A90"/>
    <w:rsid w:val="00C73169"/>
    <w:rsid w:val="00C73356"/>
    <w:rsid w:val="00C73651"/>
    <w:rsid w:val="00C73AE4"/>
    <w:rsid w:val="00C7415A"/>
    <w:rsid w:val="00C74240"/>
    <w:rsid w:val="00C744D5"/>
    <w:rsid w:val="00C74825"/>
    <w:rsid w:val="00C74D3A"/>
    <w:rsid w:val="00C75330"/>
    <w:rsid w:val="00C754A0"/>
    <w:rsid w:val="00C75547"/>
    <w:rsid w:val="00C756D7"/>
    <w:rsid w:val="00C75AAE"/>
    <w:rsid w:val="00C75B3A"/>
    <w:rsid w:val="00C75D6B"/>
    <w:rsid w:val="00C76543"/>
    <w:rsid w:val="00C7675C"/>
    <w:rsid w:val="00C768D5"/>
    <w:rsid w:val="00C76985"/>
    <w:rsid w:val="00C769DE"/>
    <w:rsid w:val="00C770C6"/>
    <w:rsid w:val="00C773C7"/>
    <w:rsid w:val="00C773CA"/>
    <w:rsid w:val="00C77CAB"/>
    <w:rsid w:val="00C77FAA"/>
    <w:rsid w:val="00C80ACB"/>
    <w:rsid w:val="00C80BA9"/>
    <w:rsid w:val="00C80E59"/>
    <w:rsid w:val="00C8114B"/>
    <w:rsid w:val="00C81415"/>
    <w:rsid w:val="00C818F7"/>
    <w:rsid w:val="00C81C76"/>
    <w:rsid w:val="00C81CAA"/>
    <w:rsid w:val="00C821E7"/>
    <w:rsid w:val="00C82519"/>
    <w:rsid w:val="00C82773"/>
    <w:rsid w:val="00C827E2"/>
    <w:rsid w:val="00C8294A"/>
    <w:rsid w:val="00C82BBE"/>
    <w:rsid w:val="00C83905"/>
    <w:rsid w:val="00C83B2D"/>
    <w:rsid w:val="00C83D6D"/>
    <w:rsid w:val="00C84461"/>
    <w:rsid w:val="00C84816"/>
    <w:rsid w:val="00C84886"/>
    <w:rsid w:val="00C8495B"/>
    <w:rsid w:val="00C84AAA"/>
    <w:rsid w:val="00C84BBE"/>
    <w:rsid w:val="00C84F19"/>
    <w:rsid w:val="00C852A9"/>
    <w:rsid w:val="00C856EF"/>
    <w:rsid w:val="00C85E0A"/>
    <w:rsid w:val="00C85E80"/>
    <w:rsid w:val="00C85FB5"/>
    <w:rsid w:val="00C86192"/>
    <w:rsid w:val="00C86389"/>
    <w:rsid w:val="00C8687E"/>
    <w:rsid w:val="00C86B76"/>
    <w:rsid w:val="00C87140"/>
    <w:rsid w:val="00C8781F"/>
    <w:rsid w:val="00C87AAB"/>
    <w:rsid w:val="00C87B30"/>
    <w:rsid w:val="00C87F2C"/>
    <w:rsid w:val="00C87F2E"/>
    <w:rsid w:val="00C90325"/>
    <w:rsid w:val="00C903BD"/>
    <w:rsid w:val="00C90521"/>
    <w:rsid w:val="00C90941"/>
    <w:rsid w:val="00C90BD5"/>
    <w:rsid w:val="00C90DCF"/>
    <w:rsid w:val="00C90E21"/>
    <w:rsid w:val="00C90E5D"/>
    <w:rsid w:val="00C912AF"/>
    <w:rsid w:val="00C9181A"/>
    <w:rsid w:val="00C91B2E"/>
    <w:rsid w:val="00C91C7E"/>
    <w:rsid w:val="00C923B2"/>
    <w:rsid w:val="00C92543"/>
    <w:rsid w:val="00C925A6"/>
    <w:rsid w:val="00C926C3"/>
    <w:rsid w:val="00C92781"/>
    <w:rsid w:val="00C927A2"/>
    <w:rsid w:val="00C92A4F"/>
    <w:rsid w:val="00C92C73"/>
    <w:rsid w:val="00C92EB1"/>
    <w:rsid w:val="00C92EF3"/>
    <w:rsid w:val="00C934DE"/>
    <w:rsid w:val="00C9371E"/>
    <w:rsid w:val="00C93ABA"/>
    <w:rsid w:val="00C93BA3"/>
    <w:rsid w:val="00C93DB4"/>
    <w:rsid w:val="00C93E83"/>
    <w:rsid w:val="00C94082"/>
    <w:rsid w:val="00C9424A"/>
    <w:rsid w:val="00C9468E"/>
    <w:rsid w:val="00C9514B"/>
    <w:rsid w:val="00C952BD"/>
    <w:rsid w:val="00C953AD"/>
    <w:rsid w:val="00C953CF"/>
    <w:rsid w:val="00C95586"/>
    <w:rsid w:val="00C964F6"/>
    <w:rsid w:val="00C9656A"/>
    <w:rsid w:val="00C96575"/>
    <w:rsid w:val="00C969F2"/>
    <w:rsid w:val="00C96D03"/>
    <w:rsid w:val="00C96E9E"/>
    <w:rsid w:val="00C975AD"/>
    <w:rsid w:val="00C975F9"/>
    <w:rsid w:val="00C97BBA"/>
    <w:rsid w:val="00C97C77"/>
    <w:rsid w:val="00C97E23"/>
    <w:rsid w:val="00CA0056"/>
    <w:rsid w:val="00CA0172"/>
    <w:rsid w:val="00CA0232"/>
    <w:rsid w:val="00CA0AC7"/>
    <w:rsid w:val="00CA0AEA"/>
    <w:rsid w:val="00CA1579"/>
    <w:rsid w:val="00CA18D6"/>
    <w:rsid w:val="00CA1940"/>
    <w:rsid w:val="00CA1CA5"/>
    <w:rsid w:val="00CA1F0E"/>
    <w:rsid w:val="00CA248B"/>
    <w:rsid w:val="00CA2A03"/>
    <w:rsid w:val="00CA30BE"/>
    <w:rsid w:val="00CA3203"/>
    <w:rsid w:val="00CA343B"/>
    <w:rsid w:val="00CA3440"/>
    <w:rsid w:val="00CA34A8"/>
    <w:rsid w:val="00CA37CD"/>
    <w:rsid w:val="00CA38F7"/>
    <w:rsid w:val="00CA3B50"/>
    <w:rsid w:val="00CA3DAD"/>
    <w:rsid w:val="00CA41C5"/>
    <w:rsid w:val="00CA44BE"/>
    <w:rsid w:val="00CA44CE"/>
    <w:rsid w:val="00CA457E"/>
    <w:rsid w:val="00CA5154"/>
    <w:rsid w:val="00CA5289"/>
    <w:rsid w:val="00CA581B"/>
    <w:rsid w:val="00CA5E08"/>
    <w:rsid w:val="00CA5FE0"/>
    <w:rsid w:val="00CA621B"/>
    <w:rsid w:val="00CA62E0"/>
    <w:rsid w:val="00CA6775"/>
    <w:rsid w:val="00CA6A7F"/>
    <w:rsid w:val="00CA6DE8"/>
    <w:rsid w:val="00CA6E79"/>
    <w:rsid w:val="00CA7823"/>
    <w:rsid w:val="00CA7A60"/>
    <w:rsid w:val="00CB03CA"/>
    <w:rsid w:val="00CB047D"/>
    <w:rsid w:val="00CB0AE9"/>
    <w:rsid w:val="00CB0CAF"/>
    <w:rsid w:val="00CB13AB"/>
    <w:rsid w:val="00CB13D6"/>
    <w:rsid w:val="00CB142D"/>
    <w:rsid w:val="00CB19A9"/>
    <w:rsid w:val="00CB1A37"/>
    <w:rsid w:val="00CB20F3"/>
    <w:rsid w:val="00CB28B7"/>
    <w:rsid w:val="00CB2914"/>
    <w:rsid w:val="00CB2A93"/>
    <w:rsid w:val="00CB2BC8"/>
    <w:rsid w:val="00CB2C2A"/>
    <w:rsid w:val="00CB2D5D"/>
    <w:rsid w:val="00CB2E27"/>
    <w:rsid w:val="00CB3032"/>
    <w:rsid w:val="00CB34F0"/>
    <w:rsid w:val="00CB397D"/>
    <w:rsid w:val="00CB3E12"/>
    <w:rsid w:val="00CB3E75"/>
    <w:rsid w:val="00CB3F06"/>
    <w:rsid w:val="00CB40EF"/>
    <w:rsid w:val="00CB4336"/>
    <w:rsid w:val="00CB4503"/>
    <w:rsid w:val="00CB45E1"/>
    <w:rsid w:val="00CB4A8C"/>
    <w:rsid w:val="00CB4F3E"/>
    <w:rsid w:val="00CB518C"/>
    <w:rsid w:val="00CB5296"/>
    <w:rsid w:val="00CB54F4"/>
    <w:rsid w:val="00CB5784"/>
    <w:rsid w:val="00CB5A74"/>
    <w:rsid w:val="00CB5D26"/>
    <w:rsid w:val="00CB5DD8"/>
    <w:rsid w:val="00CB5E82"/>
    <w:rsid w:val="00CB5EA8"/>
    <w:rsid w:val="00CB603E"/>
    <w:rsid w:val="00CB6204"/>
    <w:rsid w:val="00CB6632"/>
    <w:rsid w:val="00CB66DC"/>
    <w:rsid w:val="00CB6808"/>
    <w:rsid w:val="00CB76F9"/>
    <w:rsid w:val="00CB7AC3"/>
    <w:rsid w:val="00CB7B21"/>
    <w:rsid w:val="00CB7C33"/>
    <w:rsid w:val="00CB7C74"/>
    <w:rsid w:val="00CC010A"/>
    <w:rsid w:val="00CC04A5"/>
    <w:rsid w:val="00CC0705"/>
    <w:rsid w:val="00CC0A07"/>
    <w:rsid w:val="00CC0C98"/>
    <w:rsid w:val="00CC1319"/>
    <w:rsid w:val="00CC157E"/>
    <w:rsid w:val="00CC1BA2"/>
    <w:rsid w:val="00CC1C4D"/>
    <w:rsid w:val="00CC1F1B"/>
    <w:rsid w:val="00CC218D"/>
    <w:rsid w:val="00CC25B2"/>
    <w:rsid w:val="00CC27BB"/>
    <w:rsid w:val="00CC301C"/>
    <w:rsid w:val="00CC3774"/>
    <w:rsid w:val="00CC3798"/>
    <w:rsid w:val="00CC37B9"/>
    <w:rsid w:val="00CC419F"/>
    <w:rsid w:val="00CC4273"/>
    <w:rsid w:val="00CC4877"/>
    <w:rsid w:val="00CC4889"/>
    <w:rsid w:val="00CC49DA"/>
    <w:rsid w:val="00CC4FB6"/>
    <w:rsid w:val="00CC4FB9"/>
    <w:rsid w:val="00CC521F"/>
    <w:rsid w:val="00CC567F"/>
    <w:rsid w:val="00CC56F4"/>
    <w:rsid w:val="00CC5BEE"/>
    <w:rsid w:val="00CC5D06"/>
    <w:rsid w:val="00CC605B"/>
    <w:rsid w:val="00CC6197"/>
    <w:rsid w:val="00CC640D"/>
    <w:rsid w:val="00CC6448"/>
    <w:rsid w:val="00CC64E4"/>
    <w:rsid w:val="00CC663F"/>
    <w:rsid w:val="00CC668B"/>
    <w:rsid w:val="00CC6889"/>
    <w:rsid w:val="00CC68FC"/>
    <w:rsid w:val="00CC6C04"/>
    <w:rsid w:val="00CC6D57"/>
    <w:rsid w:val="00CC72CB"/>
    <w:rsid w:val="00CC779A"/>
    <w:rsid w:val="00CC7DF5"/>
    <w:rsid w:val="00CD002F"/>
    <w:rsid w:val="00CD0847"/>
    <w:rsid w:val="00CD0FF0"/>
    <w:rsid w:val="00CD106D"/>
    <w:rsid w:val="00CD1179"/>
    <w:rsid w:val="00CD1292"/>
    <w:rsid w:val="00CD1489"/>
    <w:rsid w:val="00CD199F"/>
    <w:rsid w:val="00CD1A26"/>
    <w:rsid w:val="00CD209F"/>
    <w:rsid w:val="00CD21EF"/>
    <w:rsid w:val="00CD250B"/>
    <w:rsid w:val="00CD275E"/>
    <w:rsid w:val="00CD2805"/>
    <w:rsid w:val="00CD28F5"/>
    <w:rsid w:val="00CD2CB6"/>
    <w:rsid w:val="00CD30A8"/>
    <w:rsid w:val="00CD3190"/>
    <w:rsid w:val="00CD3794"/>
    <w:rsid w:val="00CD39CD"/>
    <w:rsid w:val="00CD3A2F"/>
    <w:rsid w:val="00CD3CE1"/>
    <w:rsid w:val="00CD3E4F"/>
    <w:rsid w:val="00CD419B"/>
    <w:rsid w:val="00CD43A1"/>
    <w:rsid w:val="00CD48CF"/>
    <w:rsid w:val="00CD48E1"/>
    <w:rsid w:val="00CD4B7A"/>
    <w:rsid w:val="00CD4EE0"/>
    <w:rsid w:val="00CD520A"/>
    <w:rsid w:val="00CD5364"/>
    <w:rsid w:val="00CD53E0"/>
    <w:rsid w:val="00CD553E"/>
    <w:rsid w:val="00CD56A6"/>
    <w:rsid w:val="00CD5FE9"/>
    <w:rsid w:val="00CD6107"/>
    <w:rsid w:val="00CD658D"/>
    <w:rsid w:val="00CD67D1"/>
    <w:rsid w:val="00CD6921"/>
    <w:rsid w:val="00CD6A98"/>
    <w:rsid w:val="00CD6C32"/>
    <w:rsid w:val="00CD6CD2"/>
    <w:rsid w:val="00CD6E0B"/>
    <w:rsid w:val="00CD7036"/>
    <w:rsid w:val="00CD7074"/>
    <w:rsid w:val="00CD733C"/>
    <w:rsid w:val="00CD7378"/>
    <w:rsid w:val="00CD747B"/>
    <w:rsid w:val="00CD7994"/>
    <w:rsid w:val="00CE02D8"/>
    <w:rsid w:val="00CE03EB"/>
    <w:rsid w:val="00CE03FB"/>
    <w:rsid w:val="00CE08CB"/>
    <w:rsid w:val="00CE0A13"/>
    <w:rsid w:val="00CE141A"/>
    <w:rsid w:val="00CE1487"/>
    <w:rsid w:val="00CE16C6"/>
    <w:rsid w:val="00CE1752"/>
    <w:rsid w:val="00CE17F0"/>
    <w:rsid w:val="00CE1D9A"/>
    <w:rsid w:val="00CE21A0"/>
    <w:rsid w:val="00CE22EC"/>
    <w:rsid w:val="00CE26B0"/>
    <w:rsid w:val="00CE26C6"/>
    <w:rsid w:val="00CE2A2A"/>
    <w:rsid w:val="00CE2E9C"/>
    <w:rsid w:val="00CE300F"/>
    <w:rsid w:val="00CE329C"/>
    <w:rsid w:val="00CE32C5"/>
    <w:rsid w:val="00CE3925"/>
    <w:rsid w:val="00CE3A45"/>
    <w:rsid w:val="00CE3DA3"/>
    <w:rsid w:val="00CE3DD3"/>
    <w:rsid w:val="00CE425B"/>
    <w:rsid w:val="00CE4651"/>
    <w:rsid w:val="00CE4C62"/>
    <w:rsid w:val="00CE4E1D"/>
    <w:rsid w:val="00CE5365"/>
    <w:rsid w:val="00CE546F"/>
    <w:rsid w:val="00CE578E"/>
    <w:rsid w:val="00CE592C"/>
    <w:rsid w:val="00CE6697"/>
    <w:rsid w:val="00CE6A6F"/>
    <w:rsid w:val="00CE6CD5"/>
    <w:rsid w:val="00CE6D58"/>
    <w:rsid w:val="00CE6FD9"/>
    <w:rsid w:val="00CE6FE7"/>
    <w:rsid w:val="00CE7682"/>
    <w:rsid w:val="00CE770C"/>
    <w:rsid w:val="00CE7BF4"/>
    <w:rsid w:val="00CE7E30"/>
    <w:rsid w:val="00CF01B4"/>
    <w:rsid w:val="00CF0350"/>
    <w:rsid w:val="00CF03BB"/>
    <w:rsid w:val="00CF05B2"/>
    <w:rsid w:val="00CF0669"/>
    <w:rsid w:val="00CF091F"/>
    <w:rsid w:val="00CF0B00"/>
    <w:rsid w:val="00CF0BE1"/>
    <w:rsid w:val="00CF1238"/>
    <w:rsid w:val="00CF1BAA"/>
    <w:rsid w:val="00CF1CA2"/>
    <w:rsid w:val="00CF200B"/>
    <w:rsid w:val="00CF230B"/>
    <w:rsid w:val="00CF298E"/>
    <w:rsid w:val="00CF2BEC"/>
    <w:rsid w:val="00CF2C6D"/>
    <w:rsid w:val="00CF2F1E"/>
    <w:rsid w:val="00CF384D"/>
    <w:rsid w:val="00CF3B69"/>
    <w:rsid w:val="00CF3D9E"/>
    <w:rsid w:val="00CF4251"/>
    <w:rsid w:val="00CF449B"/>
    <w:rsid w:val="00CF455C"/>
    <w:rsid w:val="00CF457B"/>
    <w:rsid w:val="00CF45B9"/>
    <w:rsid w:val="00CF47B5"/>
    <w:rsid w:val="00CF4971"/>
    <w:rsid w:val="00CF4C34"/>
    <w:rsid w:val="00CF4C7A"/>
    <w:rsid w:val="00CF4DED"/>
    <w:rsid w:val="00CF528B"/>
    <w:rsid w:val="00CF57F5"/>
    <w:rsid w:val="00CF5826"/>
    <w:rsid w:val="00CF5D6F"/>
    <w:rsid w:val="00CF5EBA"/>
    <w:rsid w:val="00CF6195"/>
    <w:rsid w:val="00CF628B"/>
    <w:rsid w:val="00CF6447"/>
    <w:rsid w:val="00CF686F"/>
    <w:rsid w:val="00CF68CC"/>
    <w:rsid w:val="00CF7036"/>
    <w:rsid w:val="00CF7355"/>
    <w:rsid w:val="00CF73B1"/>
    <w:rsid w:val="00CF791A"/>
    <w:rsid w:val="00CF7BF6"/>
    <w:rsid w:val="00CF7C42"/>
    <w:rsid w:val="00CF7C5E"/>
    <w:rsid w:val="00CF7F45"/>
    <w:rsid w:val="00D000B2"/>
    <w:rsid w:val="00D000D4"/>
    <w:rsid w:val="00D00354"/>
    <w:rsid w:val="00D003E8"/>
    <w:rsid w:val="00D0060E"/>
    <w:rsid w:val="00D00B4D"/>
    <w:rsid w:val="00D00C73"/>
    <w:rsid w:val="00D00F19"/>
    <w:rsid w:val="00D019D3"/>
    <w:rsid w:val="00D01FAF"/>
    <w:rsid w:val="00D02649"/>
    <w:rsid w:val="00D029AC"/>
    <w:rsid w:val="00D02AF4"/>
    <w:rsid w:val="00D0314C"/>
    <w:rsid w:val="00D03201"/>
    <w:rsid w:val="00D039D0"/>
    <w:rsid w:val="00D03C1E"/>
    <w:rsid w:val="00D03E52"/>
    <w:rsid w:val="00D03F75"/>
    <w:rsid w:val="00D04A09"/>
    <w:rsid w:val="00D04AFB"/>
    <w:rsid w:val="00D04F96"/>
    <w:rsid w:val="00D06407"/>
    <w:rsid w:val="00D06651"/>
    <w:rsid w:val="00D0687C"/>
    <w:rsid w:val="00D06CCE"/>
    <w:rsid w:val="00D0702B"/>
    <w:rsid w:val="00D070C4"/>
    <w:rsid w:val="00D070CD"/>
    <w:rsid w:val="00D070F0"/>
    <w:rsid w:val="00D073D9"/>
    <w:rsid w:val="00D073FB"/>
    <w:rsid w:val="00D077D9"/>
    <w:rsid w:val="00D07847"/>
    <w:rsid w:val="00D07C0C"/>
    <w:rsid w:val="00D10966"/>
    <w:rsid w:val="00D10C85"/>
    <w:rsid w:val="00D10C9D"/>
    <w:rsid w:val="00D10FD2"/>
    <w:rsid w:val="00D11048"/>
    <w:rsid w:val="00D1123E"/>
    <w:rsid w:val="00D112AD"/>
    <w:rsid w:val="00D11307"/>
    <w:rsid w:val="00D11320"/>
    <w:rsid w:val="00D114BE"/>
    <w:rsid w:val="00D11E5C"/>
    <w:rsid w:val="00D11F90"/>
    <w:rsid w:val="00D12F24"/>
    <w:rsid w:val="00D12F25"/>
    <w:rsid w:val="00D12FC0"/>
    <w:rsid w:val="00D131F3"/>
    <w:rsid w:val="00D13739"/>
    <w:rsid w:val="00D13742"/>
    <w:rsid w:val="00D13882"/>
    <w:rsid w:val="00D13C96"/>
    <w:rsid w:val="00D13DF5"/>
    <w:rsid w:val="00D13E06"/>
    <w:rsid w:val="00D14275"/>
    <w:rsid w:val="00D15205"/>
    <w:rsid w:val="00D157F7"/>
    <w:rsid w:val="00D15AB4"/>
    <w:rsid w:val="00D15CD1"/>
    <w:rsid w:val="00D1684D"/>
    <w:rsid w:val="00D16B93"/>
    <w:rsid w:val="00D16E9B"/>
    <w:rsid w:val="00D16F4E"/>
    <w:rsid w:val="00D171EC"/>
    <w:rsid w:val="00D17519"/>
    <w:rsid w:val="00D1799B"/>
    <w:rsid w:val="00D17C2D"/>
    <w:rsid w:val="00D20094"/>
    <w:rsid w:val="00D203B8"/>
    <w:rsid w:val="00D203E1"/>
    <w:rsid w:val="00D20722"/>
    <w:rsid w:val="00D209D5"/>
    <w:rsid w:val="00D20A9A"/>
    <w:rsid w:val="00D20AAD"/>
    <w:rsid w:val="00D20B8A"/>
    <w:rsid w:val="00D20F62"/>
    <w:rsid w:val="00D20FA0"/>
    <w:rsid w:val="00D20FD8"/>
    <w:rsid w:val="00D210C0"/>
    <w:rsid w:val="00D2157A"/>
    <w:rsid w:val="00D21947"/>
    <w:rsid w:val="00D21981"/>
    <w:rsid w:val="00D21C17"/>
    <w:rsid w:val="00D222BE"/>
    <w:rsid w:val="00D22677"/>
    <w:rsid w:val="00D22921"/>
    <w:rsid w:val="00D22A31"/>
    <w:rsid w:val="00D22AB4"/>
    <w:rsid w:val="00D22FA3"/>
    <w:rsid w:val="00D2311D"/>
    <w:rsid w:val="00D23167"/>
    <w:rsid w:val="00D232E7"/>
    <w:rsid w:val="00D23412"/>
    <w:rsid w:val="00D23793"/>
    <w:rsid w:val="00D23AC1"/>
    <w:rsid w:val="00D23B0E"/>
    <w:rsid w:val="00D23D9C"/>
    <w:rsid w:val="00D24153"/>
    <w:rsid w:val="00D241DA"/>
    <w:rsid w:val="00D24431"/>
    <w:rsid w:val="00D2462F"/>
    <w:rsid w:val="00D24799"/>
    <w:rsid w:val="00D248DD"/>
    <w:rsid w:val="00D249A4"/>
    <w:rsid w:val="00D249DC"/>
    <w:rsid w:val="00D2570F"/>
    <w:rsid w:val="00D25E4D"/>
    <w:rsid w:val="00D25F91"/>
    <w:rsid w:val="00D26A6B"/>
    <w:rsid w:val="00D26B2A"/>
    <w:rsid w:val="00D26BF6"/>
    <w:rsid w:val="00D26CB5"/>
    <w:rsid w:val="00D2713D"/>
    <w:rsid w:val="00D27259"/>
    <w:rsid w:val="00D27264"/>
    <w:rsid w:val="00D273C6"/>
    <w:rsid w:val="00D279DB"/>
    <w:rsid w:val="00D27DC3"/>
    <w:rsid w:val="00D27F18"/>
    <w:rsid w:val="00D301CC"/>
    <w:rsid w:val="00D3050B"/>
    <w:rsid w:val="00D30735"/>
    <w:rsid w:val="00D30AAE"/>
    <w:rsid w:val="00D30FF8"/>
    <w:rsid w:val="00D3100E"/>
    <w:rsid w:val="00D312DA"/>
    <w:rsid w:val="00D31CB5"/>
    <w:rsid w:val="00D31FE0"/>
    <w:rsid w:val="00D323A2"/>
    <w:rsid w:val="00D32526"/>
    <w:rsid w:val="00D328C4"/>
    <w:rsid w:val="00D331EB"/>
    <w:rsid w:val="00D338D2"/>
    <w:rsid w:val="00D33D6D"/>
    <w:rsid w:val="00D3426E"/>
    <w:rsid w:val="00D34767"/>
    <w:rsid w:val="00D34ACA"/>
    <w:rsid w:val="00D34C01"/>
    <w:rsid w:val="00D34D15"/>
    <w:rsid w:val="00D34F95"/>
    <w:rsid w:val="00D3522F"/>
    <w:rsid w:val="00D35CE6"/>
    <w:rsid w:val="00D35D6A"/>
    <w:rsid w:val="00D35F05"/>
    <w:rsid w:val="00D35FE4"/>
    <w:rsid w:val="00D36126"/>
    <w:rsid w:val="00D36229"/>
    <w:rsid w:val="00D362C8"/>
    <w:rsid w:val="00D36371"/>
    <w:rsid w:val="00D40602"/>
    <w:rsid w:val="00D4072F"/>
    <w:rsid w:val="00D41063"/>
    <w:rsid w:val="00D41270"/>
    <w:rsid w:val="00D414BF"/>
    <w:rsid w:val="00D415A2"/>
    <w:rsid w:val="00D41820"/>
    <w:rsid w:val="00D41916"/>
    <w:rsid w:val="00D41B9C"/>
    <w:rsid w:val="00D41DE5"/>
    <w:rsid w:val="00D421BF"/>
    <w:rsid w:val="00D423D1"/>
    <w:rsid w:val="00D423F6"/>
    <w:rsid w:val="00D42B5B"/>
    <w:rsid w:val="00D42CFA"/>
    <w:rsid w:val="00D435BA"/>
    <w:rsid w:val="00D4372F"/>
    <w:rsid w:val="00D43A85"/>
    <w:rsid w:val="00D43B14"/>
    <w:rsid w:val="00D43EA2"/>
    <w:rsid w:val="00D43FE3"/>
    <w:rsid w:val="00D44047"/>
    <w:rsid w:val="00D44107"/>
    <w:rsid w:val="00D445E3"/>
    <w:rsid w:val="00D4461D"/>
    <w:rsid w:val="00D4469B"/>
    <w:rsid w:val="00D44B56"/>
    <w:rsid w:val="00D44C98"/>
    <w:rsid w:val="00D450A4"/>
    <w:rsid w:val="00D45181"/>
    <w:rsid w:val="00D45597"/>
    <w:rsid w:val="00D4562A"/>
    <w:rsid w:val="00D456D9"/>
    <w:rsid w:val="00D45892"/>
    <w:rsid w:val="00D46376"/>
    <w:rsid w:val="00D4671B"/>
    <w:rsid w:val="00D469CC"/>
    <w:rsid w:val="00D46A00"/>
    <w:rsid w:val="00D46A09"/>
    <w:rsid w:val="00D46CCB"/>
    <w:rsid w:val="00D46CCC"/>
    <w:rsid w:val="00D46E79"/>
    <w:rsid w:val="00D46F30"/>
    <w:rsid w:val="00D4731F"/>
    <w:rsid w:val="00D473EA"/>
    <w:rsid w:val="00D47C98"/>
    <w:rsid w:val="00D50005"/>
    <w:rsid w:val="00D5032D"/>
    <w:rsid w:val="00D50399"/>
    <w:rsid w:val="00D50432"/>
    <w:rsid w:val="00D504EE"/>
    <w:rsid w:val="00D50B6E"/>
    <w:rsid w:val="00D50E84"/>
    <w:rsid w:val="00D50EF3"/>
    <w:rsid w:val="00D51149"/>
    <w:rsid w:val="00D515F8"/>
    <w:rsid w:val="00D518DD"/>
    <w:rsid w:val="00D51C9E"/>
    <w:rsid w:val="00D52283"/>
    <w:rsid w:val="00D522EF"/>
    <w:rsid w:val="00D52306"/>
    <w:rsid w:val="00D52492"/>
    <w:rsid w:val="00D52B02"/>
    <w:rsid w:val="00D533A5"/>
    <w:rsid w:val="00D5348E"/>
    <w:rsid w:val="00D534D6"/>
    <w:rsid w:val="00D534EB"/>
    <w:rsid w:val="00D53B6C"/>
    <w:rsid w:val="00D53C78"/>
    <w:rsid w:val="00D53EEE"/>
    <w:rsid w:val="00D54039"/>
    <w:rsid w:val="00D5455E"/>
    <w:rsid w:val="00D54AC7"/>
    <w:rsid w:val="00D54B42"/>
    <w:rsid w:val="00D54C3F"/>
    <w:rsid w:val="00D552ED"/>
    <w:rsid w:val="00D557B2"/>
    <w:rsid w:val="00D5596B"/>
    <w:rsid w:val="00D55A22"/>
    <w:rsid w:val="00D55B03"/>
    <w:rsid w:val="00D55B63"/>
    <w:rsid w:val="00D55BA7"/>
    <w:rsid w:val="00D5602B"/>
    <w:rsid w:val="00D5620B"/>
    <w:rsid w:val="00D563CB"/>
    <w:rsid w:val="00D568A2"/>
    <w:rsid w:val="00D57597"/>
    <w:rsid w:val="00D57641"/>
    <w:rsid w:val="00D57740"/>
    <w:rsid w:val="00D577FE"/>
    <w:rsid w:val="00D5791D"/>
    <w:rsid w:val="00D57A2E"/>
    <w:rsid w:val="00D57BBF"/>
    <w:rsid w:val="00D57C02"/>
    <w:rsid w:val="00D57C17"/>
    <w:rsid w:val="00D57DD6"/>
    <w:rsid w:val="00D57FD7"/>
    <w:rsid w:val="00D600C9"/>
    <w:rsid w:val="00D605BA"/>
    <w:rsid w:val="00D60A12"/>
    <w:rsid w:val="00D60A5E"/>
    <w:rsid w:val="00D60AFA"/>
    <w:rsid w:val="00D60D58"/>
    <w:rsid w:val="00D60F22"/>
    <w:rsid w:val="00D6133C"/>
    <w:rsid w:val="00D61713"/>
    <w:rsid w:val="00D61A1A"/>
    <w:rsid w:val="00D61B1F"/>
    <w:rsid w:val="00D61ED1"/>
    <w:rsid w:val="00D61F08"/>
    <w:rsid w:val="00D622BF"/>
    <w:rsid w:val="00D62C82"/>
    <w:rsid w:val="00D62D8F"/>
    <w:rsid w:val="00D62EA1"/>
    <w:rsid w:val="00D63060"/>
    <w:rsid w:val="00D6331B"/>
    <w:rsid w:val="00D6346E"/>
    <w:rsid w:val="00D63632"/>
    <w:rsid w:val="00D63891"/>
    <w:rsid w:val="00D63FEC"/>
    <w:rsid w:val="00D6475C"/>
    <w:rsid w:val="00D64DAD"/>
    <w:rsid w:val="00D64E4C"/>
    <w:rsid w:val="00D64E75"/>
    <w:rsid w:val="00D6504D"/>
    <w:rsid w:val="00D65149"/>
    <w:rsid w:val="00D65175"/>
    <w:rsid w:val="00D65241"/>
    <w:rsid w:val="00D65384"/>
    <w:rsid w:val="00D65488"/>
    <w:rsid w:val="00D65687"/>
    <w:rsid w:val="00D656C8"/>
    <w:rsid w:val="00D65FEF"/>
    <w:rsid w:val="00D6612D"/>
    <w:rsid w:val="00D67351"/>
    <w:rsid w:val="00D6778E"/>
    <w:rsid w:val="00D67E65"/>
    <w:rsid w:val="00D70220"/>
    <w:rsid w:val="00D702FE"/>
    <w:rsid w:val="00D70338"/>
    <w:rsid w:val="00D7044A"/>
    <w:rsid w:val="00D70E51"/>
    <w:rsid w:val="00D70EB6"/>
    <w:rsid w:val="00D7121E"/>
    <w:rsid w:val="00D714C5"/>
    <w:rsid w:val="00D71709"/>
    <w:rsid w:val="00D71848"/>
    <w:rsid w:val="00D718E8"/>
    <w:rsid w:val="00D719C3"/>
    <w:rsid w:val="00D71BD0"/>
    <w:rsid w:val="00D72347"/>
    <w:rsid w:val="00D7236B"/>
    <w:rsid w:val="00D726A6"/>
    <w:rsid w:val="00D72A7E"/>
    <w:rsid w:val="00D72F74"/>
    <w:rsid w:val="00D732E8"/>
    <w:rsid w:val="00D73495"/>
    <w:rsid w:val="00D73936"/>
    <w:rsid w:val="00D739C8"/>
    <w:rsid w:val="00D73A5E"/>
    <w:rsid w:val="00D74016"/>
    <w:rsid w:val="00D74620"/>
    <w:rsid w:val="00D7480B"/>
    <w:rsid w:val="00D74BDF"/>
    <w:rsid w:val="00D74E18"/>
    <w:rsid w:val="00D74F17"/>
    <w:rsid w:val="00D75391"/>
    <w:rsid w:val="00D7556D"/>
    <w:rsid w:val="00D756BD"/>
    <w:rsid w:val="00D758C9"/>
    <w:rsid w:val="00D75AA1"/>
    <w:rsid w:val="00D75B38"/>
    <w:rsid w:val="00D760D6"/>
    <w:rsid w:val="00D765EB"/>
    <w:rsid w:val="00D767A3"/>
    <w:rsid w:val="00D76D9E"/>
    <w:rsid w:val="00D76DCA"/>
    <w:rsid w:val="00D77325"/>
    <w:rsid w:val="00D77578"/>
    <w:rsid w:val="00D77A00"/>
    <w:rsid w:val="00D77EC0"/>
    <w:rsid w:val="00D8034A"/>
    <w:rsid w:val="00D809C9"/>
    <w:rsid w:val="00D80A2E"/>
    <w:rsid w:val="00D80C84"/>
    <w:rsid w:val="00D80C9B"/>
    <w:rsid w:val="00D80CF0"/>
    <w:rsid w:val="00D80E34"/>
    <w:rsid w:val="00D80F37"/>
    <w:rsid w:val="00D81217"/>
    <w:rsid w:val="00D81374"/>
    <w:rsid w:val="00D81385"/>
    <w:rsid w:val="00D81901"/>
    <w:rsid w:val="00D81A7E"/>
    <w:rsid w:val="00D81E85"/>
    <w:rsid w:val="00D82225"/>
    <w:rsid w:val="00D82236"/>
    <w:rsid w:val="00D8240D"/>
    <w:rsid w:val="00D8274A"/>
    <w:rsid w:val="00D82BA2"/>
    <w:rsid w:val="00D82C5C"/>
    <w:rsid w:val="00D83338"/>
    <w:rsid w:val="00D84243"/>
    <w:rsid w:val="00D84899"/>
    <w:rsid w:val="00D84F7D"/>
    <w:rsid w:val="00D85109"/>
    <w:rsid w:val="00D85432"/>
    <w:rsid w:val="00D854E3"/>
    <w:rsid w:val="00D856F5"/>
    <w:rsid w:val="00D8582F"/>
    <w:rsid w:val="00D85CBD"/>
    <w:rsid w:val="00D85DB9"/>
    <w:rsid w:val="00D86507"/>
    <w:rsid w:val="00D866CE"/>
    <w:rsid w:val="00D86BBF"/>
    <w:rsid w:val="00D873C9"/>
    <w:rsid w:val="00D87785"/>
    <w:rsid w:val="00D87984"/>
    <w:rsid w:val="00D87ED2"/>
    <w:rsid w:val="00D87F25"/>
    <w:rsid w:val="00D87F72"/>
    <w:rsid w:val="00D902A2"/>
    <w:rsid w:val="00D9039F"/>
    <w:rsid w:val="00D9055E"/>
    <w:rsid w:val="00D907AA"/>
    <w:rsid w:val="00D90C77"/>
    <w:rsid w:val="00D912C9"/>
    <w:rsid w:val="00D9135D"/>
    <w:rsid w:val="00D915C2"/>
    <w:rsid w:val="00D916ED"/>
    <w:rsid w:val="00D917EC"/>
    <w:rsid w:val="00D9190B"/>
    <w:rsid w:val="00D9193B"/>
    <w:rsid w:val="00D91AAA"/>
    <w:rsid w:val="00D92133"/>
    <w:rsid w:val="00D924DB"/>
    <w:rsid w:val="00D926A4"/>
    <w:rsid w:val="00D926DF"/>
    <w:rsid w:val="00D9279F"/>
    <w:rsid w:val="00D929F2"/>
    <w:rsid w:val="00D93511"/>
    <w:rsid w:val="00D9354D"/>
    <w:rsid w:val="00D93612"/>
    <w:rsid w:val="00D93777"/>
    <w:rsid w:val="00D9402E"/>
    <w:rsid w:val="00D94647"/>
    <w:rsid w:val="00D94E8C"/>
    <w:rsid w:val="00D952D3"/>
    <w:rsid w:val="00D952F4"/>
    <w:rsid w:val="00D95878"/>
    <w:rsid w:val="00D96049"/>
    <w:rsid w:val="00D96251"/>
    <w:rsid w:val="00D96541"/>
    <w:rsid w:val="00D96B8F"/>
    <w:rsid w:val="00D96D2D"/>
    <w:rsid w:val="00D96D44"/>
    <w:rsid w:val="00D97082"/>
    <w:rsid w:val="00D97155"/>
    <w:rsid w:val="00D97206"/>
    <w:rsid w:val="00D97473"/>
    <w:rsid w:val="00D9760D"/>
    <w:rsid w:val="00D97943"/>
    <w:rsid w:val="00DA0217"/>
    <w:rsid w:val="00DA04D3"/>
    <w:rsid w:val="00DA0BC6"/>
    <w:rsid w:val="00DA1404"/>
    <w:rsid w:val="00DA1764"/>
    <w:rsid w:val="00DA17F1"/>
    <w:rsid w:val="00DA1CD6"/>
    <w:rsid w:val="00DA20C5"/>
    <w:rsid w:val="00DA20F4"/>
    <w:rsid w:val="00DA269F"/>
    <w:rsid w:val="00DA2A97"/>
    <w:rsid w:val="00DA2C08"/>
    <w:rsid w:val="00DA2EA9"/>
    <w:rsid w:val="00DA32B8"/>
    <w:rsid w:val="00DA339B"/>
    <w:rsid w:val="00DA350E"/>
    <w:rsid w:val="00DA3934"/>
    <w:rsid w:val="00DA3B47"/>
    <w:rsid w:val="00DA3FAC"/>
    <w:rsid w:val="00DA4128"/>
    <w:rsid w:val="00DA44DC"/>
    <w:rsid w:val="00DA4F20"/>
    <w:rsid w:val="00DA51AD"/>
    <w:rsid w:val="00DA5272"/>
    <w:rsid w:val="00DA53C4"/>
    <w:rsid w:val="00DA5449"/>
    <w:rsid w:val="00DA578B"/>
    <w:rsid w:val="00DA5ABF"/>
    <w:rsid w:val="00DA5E04"/>
    <w:rsid w:val="00DA6353"/>
    <w:rsid w:val="00DA6E4B"/>
    <w:rsid w:val="00DA6EB2"/>
    <w:rsid w:val="00DA701A"/>
    <w:rsid w:val="00DA7462"/>
    <w:rsid w:val="00DA75B1"/>
    <w:rsid w:val="00DA77B2"/>
    <w:rsid w:val="00DA799A"/>
    <w:rsid w:val="00DA7BED"/>
    <w:rsid w:val="00DB0114"/>
    <w:rsid w:val="00DB03E4"/>
    <w:rsid w:val="00DB0866"/>
    <w:rsid w:val="00DB0AA2"/>
    <w:rsid w:val="00DB0E9E"/>
    <w:rsid w:val="00DB1109"/>
    <w:rsid w:val="00DB16A3"/>
    <w:rsid w:val="00DB17D3"/>
    <w:rsid w:val="00DB19C7"/>
    <w:rsid w:val="00DB1A60"/>
    <w:rsid w:val="00DB1BF7"/>
    <w:rsid w:val="00DB1D85"/>
    <w:rsid w:val="00DB1DB1"/>
    <w:rsid w:val="00DB1F6C"/>
    <w:rsid w:val="00DB2298"/>
    <w:rsid w:val="00DB25AA"/>
    <w:rsid w:val="00DB268B"/>
    <w:rsid w:val="00DB273E"/>
    <w:rsid w:val="00DB2C60"/>
    <w:rsid w:val="00DB3095"/>
    <w:rsid w:val="00DB363F"/>
    <w:rsid w:val="00DB3706"/>
    <w:rsid w:val="00DB3A79"/>
    <w:rsid w:val="00DB3CFA"/>
    <w:rsid w:val="00DB3FF6"/>
    <w:rsid w:val="00DB422E"/>
    <w:rsid w:val="00DB4411"/>
    <w:rsid w:val="00DB45E2"/>
    <w:rsid w:val="00DB4C20"/>
    <w:rsid w:val="00DB59B0"/>
    <w:rsid w:val="00DB5F3F"/>
    <w:rsid w:val="00DB6994"/>
    <w:rsid w:val="00DB6FD7"/>
    <w:rsid w:val="00DB70E4"/>
    <w:rsid w:val="00DB77D5"/>
    <w:rsid w:val="00DB7808"/>
    <w:rsid w:val="00DB7C83"/>
    <w:rsid w:val="00DC0035"/>
    <w:rsid w:val="00DC02EA"/>
    <w:rsid w:val="00DC0342"/>
    <w:rsid w:val="00DC0393"/>
    <w:rsid w:val="00DC0410"/>
    <w:rsid w:val="00DC0565"/>
    <w:rsid w:val="00DC0644"/>
    <w:rsid w:val="00DC08CB"/>
    <w:rsid w:val="00DC12DA"/>
    <w:rsid w:val="00DC15CD"/>
    <w:rsid w:val="00DC18C0"/>
    <w:rsid w:val="00DC2110"/>
    <w:rsid w:val="00DC2283"/>
    <w:rsid w:val="00DC2365"/>
    <w:rsid w:val="00DC262E"/>
    <w:rsid w:val="00DC281E"/>
    <w:rsid w:val="00DC2840"/>
    <w:rsid w:val="00DC2B7B"/>
    <w:rsid w:val="00DC3114"/>
    <w:rsid w:val="00DC324C"/>
    <w:rsid w:val="00DC3757"/>
    <w:rsid w:val="00DC3A5D"/>
    <w:rsid w:val="00DC3D74"/>
    <w:rsid w:val="00DC3DFE"/>
    <w:rsid w:val="00DC4167"/>
    <w:rsid w:val="00DC48CC"/>
    <w:rsid w:val="00DC4A0C"/>
    <w:rsid w:val="00DC4B83"/>
    <w:rsid w:val="00DC5069"/>
    <w:rsid w:val="00DC54FF"/>
    <w:rsid w:val="00DC5696"/>
    <w:rsid w:val="00DC56BF"/>
    <w:rsid w:val="00DC5A93"/>
    <w:rsid w:val="00DC5C0C"/>
    <w:rsid w:val="00DC5D86"/>
    <w:rsid w:val="00DC5FBB"/>
    <w:rsid w:val="00DC6128"/>
    <w:rsid w:val="00DC62D1"/>
    <w:rsid w:val="00DC66E6"/>
    <w:rsid w:val="00DC6E79"/>
    <w:rsid w:val="00DC7094"/>
    <w:rsid w:val="00DC73F5"/>
    <w:rsid w:val="00DC77A9"/>
    <w:rsid w:val="00DC7E41"/>
    <w:rsid w:val="00DC7FDC"/>
    <w:rsid w:val="00DD016A"/>
    <w:rsid w:val="00DD02B3"/>
    <w:rsid w:val="00DD0471"/>
    <w:rsid w:val="00DD0A23"/>
    <w:rsid w:val="00DD0B16"/>
    <w:rsid w:val="00DD0BA3"/>
    <w:rsid w:val="00DD1AB9"/>
    <w:rsid w:val="00DD1AC2"/>
    <w:rsid w:val="00DD1D89"/>
    <w:rsid w:val="00DD1E44"/>
    <w:rsid w:val="00DD1F63"/>
    <w:rsid w:val="00DD20FB"/>
    <w:rsid w:val="00DD2146"/>
    <w:rsid w:val="00DD2619"/>
    <w:rsid w:val="00DD274D"/>
    <w:rsid w:val="00DD29AA"/>
    <w:rsid w:val="00DD2E8C"/>
    <w:rsid w:val="00DD35E2"/>
    <w:rsid w:val="00DD36D4"/>
    <w:rsid w:val="00DD3A8F"/>
    <w:rsid w:val="00DD3A9E"/>
    <w:rsid w:val="00DD3E58"/>
    <w:rsid w:val="00DD4066"/>
    <w:rsid w:val="00DD4497"/>
    <w:rsid w:val="00DD4723"/>
    <w:rsid w:val="00DD48DB"/>
    <w:rsid w:val="00DD4EE5"/>
    <w:rsid w:val="00DD51A6"/>
    <w:rsid w:val="00DD57B4"/>
    <w:rsid w:val="00DD5CEC"/>
    <w:rsid w:val="00DD5DDD"/>
    <w:rsid w:val="00DD678F"/>
    <w:rsid w:val="00DD687F"/>
    <w:rsid w:val="00DD759E"/>
    <w:rsid w:val="00DD77A0"/>
    <w:rsid w:val="00DE0098"/>
    <w:rsid w:val="00DE050E"/>
    <w:rsid w:val="00DE0B1D"/>
    <w:rsid w:val="00DE0DE3"/>
    <w:rsid w:val="00DE0F0F"/>
    <w:rsid w:val="00DE0FA7"/>
    <w:rsid w:val="00DE145A"/>
    <w:rsid w:val="00DE14A2"/>
    <w:rsid w:val="00DE1617"/>
    <w:rsid w:val="00DE1694"/>
    <w:rsid w:val="00DE16E1"/>
    <w:rsid w:val="00DE19D1"/>
    <w:rsid w:val="00DE1D22"/>
    <w:rsid w:val="00DE1D2C"/>
    <w:rsid w:val="00DE1DD9"/>
    <w:rsid w:val="00DE1EE5"/>
    <w:rsid w:val="00DE20A3"/>
    <w:rsid w:val="00DE245E"/>
    <w:rsid w:val="00DE25E5"/>
    <w:rsid w:val="00DE2653"/>
    <w:rsid w:val="00DE2668"/>
    <w:rsid w:val="00DE2765"/>
    <w:rsid w:val="00DE2789"/>
    <w:rsid w:val="00DE27FC"/>
    <w:rsid w:val="00DE2844"/>
    <w:rsid w:val="00DE2951"/>
    <w:rsid w:val="00DE3217"/>
    <w:rsid w:val="00DE3335"/>
    <w:rsid w:val="00DE33FB"/>
    <w:rsid w:val="00DE3413"/>
    <w:rsid w:val="00DE3500"/>
    <w:rsid w:val="00DE385F"/>
    <w:rsid w:val="00DE3B06"/>
    <w:rsid w:val="00DE3C9F"/>
    <w:rsid w:val="00DE3E99"/>
    <w:rsid w:val="00DE3EF9"/>
    <w:rsid w:val="00DE442E"/>
    <w:rsid w:val="00DE455B"/>
    <w:rsid w:val="00DE4935"/>
    <w:rsid w:val="00DE4A9C"/>
    <w:rsid w:val="00DE4CA6"/>
    <w:rsid w:val="00DE52B2"/>
    <w:rsid w:val="00DE5D1D"/>
    <w:rsid w:val="00DE5EE5"/>
    <w:rsid w:val="00DE61DC"/>
    <w:rsid w:val="00DE6446"/>
    <w:rsid w:val="00DE645D"/>
    <w:rsid w:val="00DE6497"/>
    <w:rsid w:val="00DE650A"/>
    <w:rsid w:val="00DE66D8"/>
    <w:rsid w:val="00DE6884"/>
    <w:rsid w:val="00DE68EE"/>
    <w:rsid w:val="00DE6AC1"/>
    <w:rsid w:val="00DE6ECA"/>
    <w:rsid w:val="00DE7655"/>
    <w:rsid w:val="00DE776F"/>
    <w:rsid w:val="00DE77C7"/>
    <w:rsid w:val="00DE7F91"/>
    <w:rsid w:val="00DF009B"/>
    <w:rsid w:val="00DF07AA"/>
    <w:rsid w:val="00DF0A17"/>
    <w:rsid w:val="00DF0EF4"/>
    <w:rsid w:val="00DF12C3"/>
    <w:rsid w:val="00DF18C8"/>
    <w:rsid w:val="00DF1C8F"/>
    <w:rsid w:val="00DF20DC"/>
    <w:rsid w:val="00DF2284"/>
    <w:rsid w:val="00DF23AE"/>
    <w:rsid w:val="00DF2643"/>
    <w:rsid w:val="00DF274B"/>
    <w:rsid w:val="00DF28FA"/>
    <w:rsid w:val="00DF28FD"/>
    <w:rsid w:val="00DF2E17"/>
    <w:rsid w:val="00DF2F40"/>
    <w:rsid w:val="00DF3047"/>
    <w:rsid w:val="00DF3B3B"/>
    <w:rsid w:val="00DF4049"/>
    <w:rsid w:val="00DF46F2"/>
    <w:rsid w:val="00DF49EB"/>
    <w:rsid w:val="00DF50E2"/>
    <w:rsid w:val="00DF522F"/>
    <w:rsid w:val="00DF527E"/>
    <w:rsid w:val="00DF540F"/>
    <w:rsid w:val="00DF54BE"/>
    <w:rsid w:val="00DF5691"/>
    <w:rsid w:val="00DF5BC6"/>
    <w:rsid w:val="00DF5C71"/>
    <w:rsid w:val="00DF5D9F"/>
    <w:rsid w:val="00DF5DA5"/>
    <w:rsid w:val="00DF5FBE"/>
    <w:rsid w:val="00DF6114"/>
    <w:rsid w:val="00DF6289"/>
    <w:rsid w:val="00DF65DA"/>
    <w:rsid w:val="00DF69C6"/>
    <w:rsid w:val="00DF6DB1"/>
    <w:rsid w:val="00DF6EF7"/>
    <w:rsid w:val="00DF7041"/>
    <w:rsid w:val="00DF7059"/>
    <w:rsid w:val="00DF718B"/>
    <w:rsid w:val="00DF75E9"/>
    <w:rsid w:val="00DF7794"/>
    <w:rsid w:val="00DF7CA9"/>
    <w:rsid w:val="00E00283"/>
    <w:rsid w:val="00E002AE"/>
    <w:rsid w:val="00E0061D"/>
    <w:rsid w:val="00E01184"/>
    <w:rsid w:val="00E018C5"/>
    <w:rsid w:val="00E01C6C"/>
    <w:rsid w:val="00E02146"/>
    <w:rsid w:val="00E028B7"/>
    <w:rsid w:val="00E02BEC"/>
    <w:rsid w:val="00E02CE9"/>
    <w:rsid w:val="00E02EC4"/>
    <w:rsid w:val="00E02EC8"/>
    <w:rsid w:val="00E034C2"/>
    <w:rsid w:val="00E034FF"/>
    <w:rsid w:val="00E03582"/>
    <w:rsid w:val="00E03BDA"/>
    <w:rsid w:val="00E042DA"/>
    <w:rsid w:val="00E04449"/>
    <w:rsid w:val="00E04CA3"/>
    <w:rsid w:val="00E04ED2"/>
    <w:rsid w:val="00E05054"/>
    <w:rsid w:val="00E05076"/>
    <w:rsid w:val="00E05542"/>
    <w:rsid w:val="00E055F8"/>
    <w:rsid w:val="00E05886"/>
    <w:rsid w:val="00E05A47"/>
    <w:rsid w:val="00E05BA6"/>
    <w:rsid w:val="00E06372"/>
    <w:rsid w:val="00E06578"/>
    <w:rsid w:val="00E06715"/>
    <w:rsid w:val="00E0685A"/>
    <w:rsid w:val="00E06CE3"/>
    <w:rsid w:val="00E06D79"/>
    <w:rsid w:val="00E06DC2"/>
    <w:rsid w:val="00E070D3"/>
    <w:rsid w:val="00E071EE"/>
    <w:rsid w:val="00E07628"/>
    <w:rsid w:val="00E07732"/>
    <w:rsid w:val="00E079C6"/>
    <w:rsid w:val="00E10562"/>
    <w:rsid w:val="00E10D02"/>
    <w:rsid w:val="00E10DFB"/>
    <w:rsid w:val="00E10E10"/>
    <w:rsid w:val="00E10F88"/>
    <w:rsid w:val="00E110E9"/>
    <w:rsid w:val="00E1142A"/>
    <w:rsid w:val="00E11641"/>
    <w:rsid w:val="00E1182F"/>
    <w:rsid w:val="00E11861"/>
    <w:rsid w:val="00E118F6"/>
    <w:rsid w:val="00E11C5C"/>
    <w:rsid w:val="00E11D66"/>
    <w:rsid w:val="00E11E30"/>
    <w:rsid w:val="00E11FCC"/>
    <w:rsid w:val="00E11FD5"/>
    <w:rsid w:val="00E12117"/>
    <w:rsid w:val="00E121EA"/>
    <w:rsid w:val="00E1284F"/>
    <w:rsid w:val="00E129A5"/>
    <w:rsid w:val="00E129D7"/>
    <w:rsid w:val="00E12A5F"/>
    <w:rsid w:val="00E12A93"/>
    <w:rsid w:val="00E12ABC"/>
    <w:rsid w:val="00E12D76"/>
    <w:rsid w:val="00E137A5"/>
    <w:rsid w:val="00E13D6C"/>
    <w:rsid w:val="00E14180"/>
    <w:rsid w:val="00E15BBA"/>
    <w:rsid w:val="00E16540"/>
    <w:rsid w:val="00E1659C"/>
    <w:rsid w:val="00E16846"/>
    <w:rsid w:val="00E1686B"/>
    <w:rsid w:val="00E16F71"/>
    <w:rsid w:val="00E170E3"/>
    <w:rsid w:val="00E17461"/>
    <w:rsid w:val="00E17852"/>
    <w:rsid w:val="00E17C14"/>
    <w:rsid w:val="00E20347"/>
    <w:rsid w:val="00E20379"/>
    <w:rsid w:val="00E2066D"/>
    <w:rsid w:val="00E20F0D"/>
    <w:rsid w:val="00E20FCE"/>
    <w:rsid w:val="00E211D3"/>
    <w:rsid w:val="00E211FC"/>
    <w:rsid w:val="00E212E7"/>
    <w:rsid w:val="00E212F8"/>
    <w:rsid w:val="00E22134"/>
    <w:rsid w:val="00E2234D"/>
    <w:rsid w:val="00E22479"/>
    <w:rsid w:val="00E22819"/>
    <w:rsid w:val="00E229C3"/>
    <w:rsid w:val="00E22C0D"/>
    <w:rsid w:val="00E22D15"/>
    <w:rsid w:val="00E230A3"/>
    <w:rsid w:val="00E23367"/>
    <w:rsid w:val="00E23518"/>
    <w:rsid w:val="00E235B9"/>
    <w:rsid w:val="00E23626"/>
    <w:rsid w:val="00E23925"/>
    <w:rsid w:val="00E24554"/>
    <w:rsid w:val="00E24601"/>
    <w:rsid w:val="00E2486C"/>
    <w:rsid w:val="00E24FD9"/>
    <w:rsid w:val="00E25216"/>
    <w:rsid w:val="00E254F8"/>
    <w:rsid w:val="00E254FA"/>
    <w:rsid w:val="00E2560B"/>
    <w:rsid w:val="00E2593D"/>
    <w:rsid w:val="00E25DC3"/>
    <w:rsid w:val="00E25F3F"/>
    <w:rsid w:val="00E264E6"/>
    <w:rsid w:val="00E264F7"/>
    <w:rsid w:val="00E266F6"/>
    <w:rsid w:val="00E266FE"/>
    <w:rsid w:val="00E26AE1"/>
    <w:rsid w:val="00E26C20"/>
    <w:rsid w:val="00E26CEF"/>
    <w:rsid w:val="00E27371"/>
    <w:rsid w:val="00E27AA2"/>
    <w:rsid w:val="00E27D3E"/>
    <w:rsid w:val="00E27DDE"/>
    <w:rsid w:val="00E27DFF"/>
    <w:rsid w:val="00E30449"/>
    <w:rsid w:val="00E30535"/>
    <w:rsid w:val="00E30565"/>
    <w:rsid w:val="00E305FB"/>
    <w:rsid w:val="00E307EB"/>
    <w:rsid w:val="00E30945"/>
    <w:rsid w:val="00E30AE8"/>
    <w:rsid w:val="00E3100B"/>
    <w:rsid w:val="00E3118F"/>
    <w:rsid w:val="00E311BA"/>
    <w:rsid w:val="00E31769"/>
    <w:rsid w:val="00E317A4"/>
    <w:rsid w:val="00E31984"/>
    <w:rsid w:val="00E31D3C"/>
    <w:rsid w:val="00E325A5"/>
    <w:rsid w:val="00E32BB8"/>
    <w:rsid w:val="00E3303A"/>
    <w:rsid w:val="00E334F3"/>
    <w:rsid w:val="00E33568"/>
    <w:rsid w:val="00E3381E"/>
    <w:rsid w:val="00E3396B"/>
    <w:rsid w:val="00E33BBB"/>
    <w:rsid w:val="00E33ED1"/>
    <w:rsid w:val="00E34231"/>
    <w:rsid w:val="00E343C8"/>
    <w:rsid w:val="00E34C0F"/>
    <w:rsid w:val="00E35A94"/>
    <w:rsid w:val="00E35C6D"/>
    <w:rsid w:val="00E36332"/>
    <w:rsid w:val="00E36614"/>
    <w:rsid w:val="00E369D4"/>
    <w:rsid w:val="00E36B22"/>
    <w:rsid w:val="00E376E4"/>
    <w:rsid w:val="00E37FFB"/>
    <w:rsid w:val="00E401ED"/>
    <w:rsid w:val="00E401F9"/>
    <w:rsid w:val="00E402AF"/>
    <w:rsid w:val="00E40D9D"/>
    <w:rsid w:val="00E41143"/>
    <w:rsid w:val="00E41305"/>
    <w:rsid w:val="00E41322"/>
    <w:rsid w:val="00E41445"/>
    <w:rsid w:val="00E418A8"/>
    <w:rsid w:val="00E41AE0"/>
    <w:rsid w:val="00E41EF0"/>
    <w:rsid w:val="00E42507"/>
    <w:rsid w:val="00E425F7"/>
    <w:rsid w:val="00E427C3"/>
    <w:rsid w:val="00E42DD7"/>
    <w:rsid w:val="00E43008"/>
    <w:rsid w:val="00E43076"/>
    <w:rsid w:val="00E435B0"/>
    <w:rsid w:val="00E43A19"/>
    <w:rsid w:val="00E43CE0"/>
    <w:rsid w:val="00E43D80"/>
    <w:rsid w:val="00E43E74"/>
    <w:rsid w:val="00E44277"/>
    <w:rsid w:val="00E448C2"/>
    <w:rsid w:val="00E448F3"/>
    <w:rsid w:val="00E44A48"/>
    <w:rsid w:val="00E44D57"/>
    <w:rsid w:val="00E44E23"/>
    <w:rsid w:val="00E44E37"/>
    <w:rsid w:val="00E44ECB"/>
    <w:rsid w:val="00E45027"/>
    <w:rsid w:val="00E450B1"/>
    <w:rsid w:val="00E451E6"/>
    <w:rsid w:val="00E455E3"/>
    <w:rsid w:val="00E4592F"/>
    <w:rsid w:val="00E45BF4"/>
    <w:rsid w:val="00E45D30"/>
    <w:rsid w:val="00E45E77"/>
    <w:rsid w:val="00E463EC"/>
    <w:rsid w:val="00E4672F"/>
    <w:rsid w:val="00E469F5"/>
    <w:rsid w:val="00E46A58"/>
    <w:rsid w:val="00E46B15"/>
    <w:rsid w:val="00E46E84"/>
    <w:rsid w:val="00E46FAC"/>
    <w:rsid w:val="00E476C0"/>
    <w:rsid w:val="00E4775A"/>
    <w:rsid w:val="00E47E70"/>
    <w:rsid w:val="00E47EB9"/>
    <w:rsid w:val="00E50643"/>
    <w:rsid w:val="00E50D2A"/>
    <w:rsid w:val="00E50E12"/>
    <w:rsid w:val="00E50E96"/>
    <w:rsid w:val="00E51691"/>
    <w:rsid w:val="00E51CED"/>
    <w:rsid w:val="00E52138"/>
    <w:rsid w:val="00E521CA"/>
    <w:rsid w:val="00E5275E"/>
    <w:rsid w:val="00E52917"/>
    <w:rsid w:val="00E52A9C"/>
    <w:rsid w:val="00E52AE6"/>
    <w:rsid w:val="00E52D46"/>
    <w:rsid w:val="00E5357B"/>
    <w:rsid w:val="00E53A7A"/>
    <w:rsid w:val="00E53EF4"/>
    <w:rsid w:val="00E54930"/>
    <w:rsid w:val="00E54AA5"/>
    <w:rsid w:val="00E54D12"/>
    <w:rsid w:val="00E54D24"/>
    <w:rsid w:val="00E54FD0"/>
    <w:rsid w:val="00E5500B"/>
    <w:rsid w:val="00E55631"/>
    <w:rsid w:val="00E559A8"/>
    <w:rsid w:val="00E55A1F"/>
    <w:rsid w:val="00E55C5F"/>
    <w:rsid w:val="00E56113"/>
    <w:rsid w:val="00E56382"/>
    <w:rsid w:val="00E5679C"/>
    <w:rsid w:val="00E56855"/>
    <w:rsid w:val="00E56B4C"/>
    <w:rsid w:val="00E56D06"/>
    <w:rsid w:val="00E57381"/>
    <w:rsid w:val="00E57482"/>
    <w:rsid w:val="00E57AD2"/>
    <w:rsid w:val="00E57C8B"/>
    <w:rsid w:val="00E57D95"/>
    <w:rsid w:val="00E57DDD"/>
    <w:rsid w:val="00E6066D"/>
    <w:rsid w:val="00E60998"/>
    <w:rsid w:val="00E60BCF"/>
    <w:rsid w:val="00E60C23"/>
    <w:rsid w:val="00E60E6A"/>
    <w:rsid w:val="00E60E9B"/>
    <w:rsid w:val="00E60F40"/>
    <w:rsid w:val="00E61264"/>
    <w:rsid w:val="00E61E52"/>
    <w:rsid w:val="00E61F48"/>
    <w:rsid w:val="00E625BB"/>
    <w:rsid w:val="00E62796"/>
    <w:rsid w:val="00E62990"/>
    <w:rsid w:val="00E62B97"/>
    <w:rsid w:val="00E630BF"/>
    <w:rsid w:val="00E63523"/>
    <w:rsid w:val="00E635A2"/>
    <w:rsid w:val="00E6378D"/>
    <w:rsid w:val="00E63BD1"/>
    <w:rsid w:val="00E63CC6"/>
    <w:rsid w:val="00E63D58"/>
    <w:rsid w:val="00E64089"/>
    <w:rsid w:val="00E64150"/>
    <w:rsid w:val="00E64175"/>
    <w:rsid w:val="00E644EA"/>
    <w:rsid w:val="00E64AF0"/>
    <w:rsid w:val="00E64EA4"/>
    <w:rsid w:val="00E6515A"/>
    <w:rsid w:val="00E653FB"/>
    <w:rsid w:val="00E655BE"/>
    <w:rsid w:val="00E65974"/>
    <w:rsid w:val="00E65F51"/>
    <w:rsid w:val="00E66A8B"/>
    <w:rsid w:val="00E66BAA"/>
    <w:rsid w:val="00E66BB1"/>
    <w:rsid w:val="00E66E29"/>
    <w:rsid w:val="00E6700A"/>
    <w:rsid w:val="00E67064"/>
    <w:rsid w:val="00E67101"/>
    <w:rsid w:val="00E67139"/>
    <w:rsid w:val="00E671D9"/>
    <w:rsid w:val="00E6732B"/>
    <w:rsid w:val="00E6757B"/>
    <w:rsid w:val="00E67CE5"/>
    <w:rsid w:val="00E67D88"/>
    <w:rsid w:val="00E7014D"/>
    <w:rsid w:val="00E702A6"/>
    <w:rsid w:val="00E7044E"/>
    <w:rsid w:val="00E7064F"/>
    <w:rsid w:val="00E70DD6"/>
    <w:rsid w:val="00E7160A"/>
    <w:rsid w:val="00E71B97"/>
    <w:rsid w:val="00E720CC"/>
    <w:rsid w:val="00E7280F"/>
    <w:rsid w:val="00E72BE8"/>
    <w:rsid w:val="00E73089"/>
    <w:rsid w:val="00E73226"/>
    <w:rsid w:val="00E733E3"/>
    <w:rsid w:val="00E73413"/>
    <w:rsid w:val="00E73427"/>
    <w:rsid w:val="00E7359C"/>
    <w:rsid w:val="00E73AA3"/>
    <w:rsid w:val="00E73D5F"/>
    <w:rsid w:val="00E73F7E"/>
    <w:rsid w:val="00E7429A"/>
    <w:rsid w:val="00E74481"/>
    <w:rsid w:val="00E7457F"/>
    <w:rsid w:val="00E746AD"/>
    <w:rsid w:val="00E74B01"/>
    <w:rsid w:val="00E74B8F"/>
    <w:rsid w:val="00E74D5F"/>
    <w:rsid w:val="00E74D9E"/>
    <w:rsid w:val="00E74E66"/>
    <w:rsid w:val="00E75798"/>
    <w:rsid w:val="00E7581B"/>
    <w:rsid w:val="00E75BCF"/>
    <w:rsid w:val="00E75C58"/>
    <w:rsid w:val="00E75EB4"/>
    <w:rsid w:val="00E75EDE"/>
    <w:rsid w:val="00E760C3"/>
    <w:rsid w:val="00E76839"/>
    <w:rsid w:val="00E76A89"/>
    <w:rsid w:val="00E76A8C"/>
    <w:rsid w:val="00E76FF0"/>
    <w:rsid w:val="00E7714C"/>
    <w:rsid w:val="00E775C5"/>
    <w:rsid w:val="00E77631"/>
    <w:rsid w:val="00E7791E"/>
    <w:rsid w:val="00E80059"/>
    <w:rsid w:val="00E802A4"/>
    <w:rsid w:val="00E80956"/>
    <w:rsid w:val="00E80EA3"/>
    <w:rsid w:val="00E80EE6"/>
    <w:rsid w:val="00E81541"/>
    <w:rsid w:val="00E818BF"/>
    <w:rsid w:val="00E81B19"/>
    <w:rsid w:val="00E81D40"/>
    <w:rsid w:val="00E82705"/>
    <w:rsid w:val="00E827DF"/>
    <w:rsid w:val="00E82B8D"/>
    <w:rsid w:val="00E82C28"/>
    <w:rsid w:val="00E82E97"/>
    <w:rsid w:val="00E82FBE"/>
    <w:rsid w:val="00E831AB"/>
    <w:rsid w:val="00E83617"/>
    <w:rsid w:val="00E83667"/>
    <w:rsid w:val="00E83748"/>
    <w:rsid w:val="00E83A93"/>
    <w:rsid w:val="00E83A9F"/>
    <w:rsid w:val="00E83EC8"/>
    <w:rsid w:val="00E84198"/>
    <w:rsid w:val="00E841A2"/>
    <w:rsid w:val="00E8454C"/>
    <w:rsid w:val="00E8489C"/>
    <w:rsid w:val="00E84C39"/>
    <w:rsid w:val="00E8598D"/>
    <w:rsid w:val="00E85A32"/>
    <w:rsid w:val="00E85A57"/>
    <w:rsid w:val="00E85EE0"/>
    <w:rsid w:val="00E86B79"/>
    <w:rsid w:val="00E86E1B"/>
    <w:rsid w:val="00E87071"/>
    <w:rsid w:val="00E87138"/>
    <w:rsid w:val="00E8726C"/>
    <w:rsid w:val="00E87768"/>
    <w:rsid w:val="00E878B3"/>
    <w:rsid w:val="00E900AB"/>
    <w:rsid w:val="00E900B8"/>
    <w:rsid w:val="00E9068B"/>
    <w:rsid w:val="00E90AAF"/>
    <w:rsid w:val="00E90B5B"/>
    <w:rsid w:val="00E90CE8"/>
    <w:rsid w:val="00E90D6A"/>
    <w:rsid w:val="00E91888"/>
    <w:rsid w:val="00E91ABD"/>
    <w:rsid w:val="00E91E40"/>
    <w:rsid w:val="00E91F70"/>
    <w:rsid w:val="00E9200E"/>
    <w:rsid w:val="00E920CD"/>
    <w:rsid w:val="00E92181"/>
    <w:rsid w:val="00E921F9"/>
    <w:rsid w:val="00E92322"/>
    <w:rsid w:val="00E92768"/>
    <w:rsid w:val="00E9322C"/>
    <w:rsid w:val="00E934C6"/>
    <w:rsid w:val="00E9350D"/>
    <w:rsid w:val="00E93F59"/>
    <w:rsid w:val="00E93F84"/>
    <w:rsid w:val="00E945D5"/>
    <w:rsid w:val="00E94879"/>
    <w:rsid w:val="00E94C49"/>
    <w:rsid w:val="00E94C5F"/>
    <w:rsid w:val="00E94D63"/>
    <w:rsid w:val="00E94FE9"/>
    <w:rsid w:val="00E9554B"/>
    <w:rsid w:val="00E95C4E"/>
    <w:rsid w:val="00E95C82"/>
    <w:rsid w:val="00E95E09"/>
    <w:rsid w:val="00E95E33"/>
    <w:rsid w:val="00E95EA4"/>
    <w:rsid w:val="00E96101"/>
    <w:rsid w:val="00E96130"/>
    <w:rsid w:val="00E9669F"/>
    <w:rsid w:val="00E96B31"/>
    <w:rsid w:val="00E96CD3"/>
    <w:rsid w:val="00E96FD1"/>
    <w:rsid w:val="00E970FE"/>
    <w:rsid w:val="00E97169"/>
    <w:rsid w:val="00E9720A"/>
    <w:rsid w:val="00E9778D"/>
    <w:rsid w:val="00E977A3"/>
    <w:rsid w:val="00E97839"/>
    <w:rsid w:val="00E97A42"/>
    <w:rsid w:val="00E97B39"/>
    <w:rsid w:val="00E97C44"/>
    <w:rsid w:val="00E97F21"/>
    <w:rsid w:val="00EA0462"/>
    <w:rsid w:val="00EA07D8"/>
    <w:rsid w:val="00EA0B55"/>
    <w:rsid w:val="00EA0BAB"/>
    <w:rsid w:val="00EA0C38"/>
    <w:rsid w:val="00EA14DA"/>
    <w:rsid w:val="00EA18EC"/>
    <w:rsid w:val="00EA1947"/>
    <w:rsid w:val="00EA2055"/>
    <w:rsid w:val="00EA210B"/>
    <w:rsid w:val="00EA26A8"/>
    <w:rsid w:val="00EA2748"/>
    <w:rsid w:val="00EA2C3B"/>
    <w:rsid w:val="00EA3136"/>
    <w:rsid w:val="00EA3142"/>
    <w:rsid w:val="00EA33D5"/>
    <w:rsid w:val="00EA373C"/>
    <w:rsid w:val="00EA3CD8"/>
    <w:rsid w:val="00EA41BB"/>
    <w:rsid w:val="00EA455D"/>
    <w:rsid w:val="00EA4644"/>
    <w:rsid w:val="00EA47F5"/>
    <w:rsid w:val="00EA4BD9"/>
    <w:rsid w:val="00EA4DCB"/>
    <w:rsid w:val="00EA4FEA"/>
    <w:rsid w:val="00EA575E"/>
    <w:rsid w:val="00EA5B75"/>
    <w:rsid w:val="00EA5D79"/>
    <w:rsid w:val="00EA5E08"/>
    <w:rsid w:val="00EA5F76"/>
    <w:rsid w:val="00EA616F"/>
    <w:rsid w:val="00EA6488"/>
    <w:rsid w:val="00EA6E21"/>
    <w:rsid w:val="00EA6E2E"/>
    <w:rsid w:val="00EA70C3"/>
    <w:rsid w:val="00EA7637"/>
    <w:rsid w:val="00EA766C"/>
    <w:rsid w:val="00EA78C0"/>
    <w:rsid w:val="00EA7B31"/>
    <w:rsid w:val="00EB00AD"/>
    <w:rsid w:val="00EB0439"/>
    <w:rsid w:val="00EB0781"/>
    <w:rsid w:val="00EB0C2E"/>
    <w:rsid w:val="00EB0CB4"/>
    <w:rsid w:val="00EB0DBD"/>
    <w:rsid w:val="00EB1000"/>
    <w:rsid w:val="00EB18D6"/>
    <w:rsid w:val="00EB199D"/>
    <w:rsid w:val="00EB1AB1"/>
    <w:rsid w:val="00EB1CB6"/>
    <w:rsid w:val="00EB1EB6"/>
    <w:rsid w:val="00EB2182"/>
    <w:rsid w:val="00EB21C4"/>
    <w:rsid w:val="00EB2597"/>
    <w:rsid w:val="00EB26DB"/>
    <w:rsid w:val="00EB286E"/>
    <w:rsid w:val="00EB2BE5"/>
    <w:rsid w:val="00EB2DE7"/>
    <w:rsid w:val="00EB30B2"/>
    <w:rsid w:val="00EB31E0"/>
    <w:rsid w:val="00EB36FA"/>
    <w:rsid w:val="00EB3852"/>
    <w:rsid w:val="00EB3B9C"/>
    <w:rsid w:val="00EB3C74"/>
    <w:rsid w:val="00EB3F72"/>
    <w:rsid w:val="00EB441D"/>
    <w:rsid w:val="00EB4579"/>
    <w:rsid w:val="00EB4B0B"/>
    <w:rsid w:val="00EB5221"/>
    <w:rsid w:val="00EB531B"/>
    <w:rsid w:val="00EB5594"/>
    <w:rsid w:val="00EB5867"/>
    <w:rsid w:val="00EB5936"/>
    <w:rsid w:val="00EB59AC"/>
    <w:rsid w:val="00EB5A44"/>
    <w:rsid w:val="00EB5C47"/>
    <w:rsid w:val="00EB5D82"/>
    <w:rsid w:val="00EB5DBA"/>
    <w:rsid w:val="00EB5EBA"/>
    <w:rsid w:val="00EB5FE3"/>
    <w:rsid w:val="00EB61C2"/>
    <w:rsid w:val="00EB6515"/>
    <w:rsid w:val="00EB6542"/>
    <w:rsid w:val="00EB6A4E"/>
    <w:rsid w:val="00EB6AB8"/>
    <w:rsid w:val="00EB6F8B"/>
    <w:rsid w:val="00EB707C"/>
    <w:rsid w:val="00EB7A32"/>
    <w:rsid w:val="00EB7FD2"/>
    <w:rsid w:val="00EC03D8"/>
    <w:rsid w:val="00EC0603"/>
    <w:rsid w:val="00EC092C"/>
    <w:rsid w:val="00EC0F58"/>
    <w:rsid w:val="00EC12ED"/>
    <w:rsid w:val="00EC1310"/>
    <w:rsid w:val="00EC13C3"/>
    <w:rsid w:val="00EC140C"/>
    <w:rsid w:val="00EC1908"/>
    <w:rsid w:val="00EC1CB2"/>
    <w:rsid w:val="00EC1D96"/>
    <w:rsid w:val="00EC1DAF"/>
    <w:rsid w:val="00EC1F34"/>
    <w:rsid w:val="00EC1FF2"/>
    <w:rsid w:val="00EC21DA"/>
    <w:rsid w:val="00EC2538"/>
    <w:rsid w:val="00EC283B"/>
    <w:rsid w:val="00EC2B02"/>
    <w:rsid w:val="00EC2CDC"/>
    <w:rsid w:val="00EC3272"/>
    <w:rsid w:val="00EC3957"/>
    <w:rsid w:val="00EC3C95"/>
    <w:rsid w:val="00EC4377"/>
    <w:rsid w:val="00EC4675"/>
    <w:rsid w:val="00EC4B09"/>
    <w:rsid w:val="00EC4E5F"/>
    <w:rsid w:val="00EC4FC7"/>
    <w:rsid w:val="00EC5653"/>
    <w:rsid w:val="00EC5882"/>
    <w:rsid w:val="00EC5951"/>
    <w:rsid w:val="00EC5CF0"/>
    <w:rsid w:val="00EC6214"/>
    <w:rsid w:val="00EC6313"/>
    <w:rsid w:val="00EC6A5D"/>
    <w:rsid w:val="00EC6B0C"/>
    <w:rsid w:val="00EC6D5C"/>
    <w:rsid w:val="00EC6E15"/>
    <w:rsid w:val="00EC6FCB"/>
    <w:rsid w:val="00EC6FF2"/>
    <w:rsid w:val="00EC716E"/>
    <w:rsid w:val="00EC72DD"/>
    <w:rsid w:val="00EC762E"/>
    <w:rsid w:val="00EC77DB"/>
    <w:rsid w:val="00EC7D23"/>
    <w:rsid w:val="00ED009B"/>
    <w:rsid w:val="00ED0689"/>
    <w:rsid w:val="00ED07F6"/>
    <w:rsid w:val="00ED0C52"/>
    <w:rsid w:val="00ED0FFE"/>
    <w:rsid w:val="00ED1345"/>
    <w:rsid w:val="00ED147E"/>
    <w:rsid w:val="00ED1587"/>
    <w:rsid w:val="00ED18CF"/>
    <w:rsid w:val="00ED1D6A"/>
    <w:rsid w:val="00ED26E5"/>
    <w:rsid w:val="00ED32D1"/>
    <w:rsid w:val="00ED3508"/>
    <w:rsid w:val="00ED3846"/>
    <w:rsid w:val="00ED3914"/>
    <w:rsid w:val="00ED3BA4"/>
    <w:rsid w:val="00ED3BB1"/>
    <w:rsid w:val="00ED40D5"/>
    <w:rsid w:val="00ED428D"/>
    <w:rsid w:val="00ED477F"/>
    <w:rsid w:val="00ED47F1"/>
    <w:rsid w:val="00ED4A05"/>
    <w:rsid w:val="00ED4AF1"/>
    <w:rsid w:val="00ED4BAC"/>
    <w:rsid w:val="00ED4DB0"/>
    <w:rsid w:val="00ED4E0D"/>
    <w:rsid w:val="00ED5C83"/>
    <w:rsid w:val="00ED6129"/>
    <w:rsid w:val="00ED65B2"/>
    <w:rsid w:val="00ED65CA"/>
    <w:rsid w:val="00ED6856"/>
    <w:rsid w:val="00ED68E2"/>
    <w:rsid w:val="00ED70BD"/>
    <w:rsid w:val="00ED72D2"/>
    <w:rsid w:val="00ED7AEE"/>
    <w:rsid w:val="00ED7BB4"/>
    <w:rsid w:val="00ED7D1C"/>
    <w:rsid w:val="00ED7F89"/>
    <w:rsid w:val="00EE0119"/>
    <w:rsid w:val="00EE02C1"/>
    <w:rsid w:val="00EE0333"/>
    <w:rsid w:val="00EE06C3"/>
    <w:rsid w:val="00EE0812"/>
    <w:rsid w:val="00EE084E"/>
    <w:rsid w:val="00EE08EB"/>
    <w:rsid w:val="00EE0918"/>
    <w:rsid w:val="00EE0F30"/>
    <w:rsid w:val="00EE1156"/>
    <w:rsid w:val="00EE16E0"/>
    <w:rsid w:val="00EE18C9"/>
    <w:rsid w:val="00EE1968"/>
    <w:rsid w:val="00EE2401"/>
    <w:rsid w:val="00EE2626"/>
    <w:rsid w:val="00EE2A72"/>
    <w:rsid w:val="00EE31CB"/>
    <w:rsid w:val="00EE35D8"/>
    <w:rsid w:val="00EE4636"/>
    <w:rsid w:val="00EE4662"/>
    <w:rsid w:val="00EE4702"/>
    <w:rsid w:val="00EE4815"/>
    <w:rsid w:val="00EE4953"/>
    <w:rsid w:val="00EE4B04"/>
    <w:rsid w:val="00EE5734"/>
    <w:rsid w:val="00EE6054"/>
    <w:rsid w:val="00EE65C0"/>
    <w:rsid w:val="00EE6A10"/>
    <w:rsid w:val="00EE77B0"/>
    <w:rsid w:val="00EE78EA"/>
    <w:rsid w:val="00EE7A31"/>
    <w:rsid w:val="00EE7DB2"/>
    <w:rsid w:val="00EE7E78"/>
    <w:rsid w:val="00EF005E"/>
    <w:rsid w:val="00EF00A8"/>
    <w:rsid w:val="00EF077B"/>
    <w:rsid w:val="00EF0A8B"/>
    <w:rsid w:val="00EF0EA5"/>
    <w:rsid w:val="00EF103E"/>
    <w:rsid w:val="00EF10FA"/>
    <w:rsid w:val="00EF17BC"/>
    <w:rsid w:val="00EF2048"/>
    <w:rsid w:val="00EF2093"/>
    <w:rsid w:val="00EF2589"/>
    <w:rsid w:val="00EF2D4D"/>
    <w:rsid w:val="00EF2D50"/>
    <w:rsid w:val="00EF2D7C"/>
    <w:rsid w:val="00EF342E"/>
    <w:rsid w:val="00EF3549"/>
    <w:rsid w:val="00EF3F9B"/>
    <w:rsid w:val="00EF434E"/>
    <w:rsid w:val="00EF4379"/>
    <w:rsid w:val="00EF4468"/>
    <w:rsid w:val="00EF4D7B"/>
    <w:rsid w:val="00EF4D94"/>
    <w:rsid w:val="00EF5045"/>
    <w:rsid w:val="00EF54EC"/>
    <w:rsid w:val="00EF5927"/>
    <w:rsid w:val="00EF5B20"/>
    <w:rsid w:val="00EF6145"/>
    <w:rsid w:val="00EF68E4"/>
    <w:rsid w:val="00EF6AB0"/>
    <w:rsid w:val="00EF6B89"/>
    <w:rsid w:val="00EF6DA9"/>
    <w:rsid w:val="00EF718F"/>
    <w:rsid w:val="00EF7204"/>
    <w:rsid w:val="00EF755C"/>
    <w:rsid w:val="00EF7B79"/>
    <w:rsid w:val="00EF7CA1"/>
    <w:rsid w:val="00EF7CD1"/>
    <w:rsid w:val="00EF7D15"/>
    <w:rsid w:val="00EF7F47"/>
    <w:rsid w:val="00F00222"/>
    <w:rsid w:val="00F007D9"/>
    <w:rsid w:val="00F00D13"/>
    <w:rsid w:val="00F017D9"/>
    <w:rsid w:val="00F01FD8"/>
    <w:rsid w:val="00F02578"/>
    <w:rsid w:val="00F02579"/>
    <w:rsid w:val="00F028D2"/>
    <w:rsid w:val="00F02C4D"/>
    <w:rsid w:val="00F02EC2"/>
    <w:rsid w:val="00F032AB"/>
    <w:rsid w:val="00F032BC"/>
    <w:rsid w:val="00F03448"/>
    <w:rsid w:val="00F036F5"/>
    <w:rsid w:val="00F04430"/>
    <w:rsid w:val="00F04729"/>
    <w:rsid w:val="00F048D4"/>
    <w:rsid w:val="00F04F74"/>
    <w:rsid w:val="00F05168"/>
    <w:rsid w:val="00F0526D"/>
    <w:rsid w:val="00F052EA"/>
    <w:rsid w:val="00F057BF"/>
    <w:rsid w:val="00F05CB9"/>
    <w:rsid w:val="00F06143"/>
    <w:rsid w:val="00F06598"/>
    <w:rsid w:val="00F06B5B"/>
    <w:rsid w:val="00F071AD"/>
    <w:rsid w:val="00F07489"/>
    <w:rsid w:val="00F07703"/>
    <w:rsid w:val="00F10223"/>
    <w:rsid w:val="00F10A40"/>
    <w:rsid w:val="00F1118E"/>
    <w:rsid w:val="00F11258"/>
    <w:rsid w:val="00F1183F"/>
    <w:rsid w:val="00F118A1"/>
    <w:rsid w:val="00F118F0"/>
    <w:rsid w:val="00F11B49"/>
    <w:rsid w:val="00F11C45"/>
    <w:rsid w:val="00F11F94"/>
    <w:rsid w:val="00F120EC"/>
    <w:rsid w:val="00F12509"/>
    <w:rsid w:val="00F125BD"/>
    <w:rsid w:val="00F12FC3"/>
    <w:rsid w:val="00F1309F"/>
    <w:rsid w:val="00F132C1"/>
    <w:rsid w:val="00F13BBB"/>
    <w:rsid w:val="00F13C1B"/>
    <w:rsid w:val="00F1464C"/>
    <w:rsid w:val="00F147C3"/>
    <w:rsid w:val="00F149A4"/>
    <w:rsid w:val="00F14AEB"/>
    <w:rsid w:val="00F1563B"/>
    <w:rsid w:val="00F1599C"/>
    <w:rsid w:val="00F15F16"/>
    <w:rsid w:val="00F16052"/>
    <w:rsid w:val="00F16108"/>
    <w:rsid w:val="00F1621E"/>
    <w:rsid w:val="00F1641A"/>
    <w:rsid w:val="00F165D8"/>
    <w:rsid w:val="00F16764"/>
    <w:rsid w:val="00F16808"/>
    <w:rsid w:val="00F16BDD"/>
    <w:rsid w:val="00F16D21"/>
    <w:rsid w:val="00F17043"/>
    <w:rsid w:val="00F17384"/>
    <w:rsid w:val="00F175FE"/>
    <w:rsid w:val="00F17E17"/>
    <w:rsid w:val="00F200B4"/>
    <w:rsid w:val="00F20103"/>
    <w:rsid w:val="00F20201"/>
    <w:rsid w:val="00F20227"/>
    <w:rsid w:val="00F20335"/>
    <w:rsid w:val="00F20371"/>
    <w:rsid w:val="00F2049D"/>
    <w:rsid w:val="00F205E2"/>
    <w:rsid w:val="00F20AA9"/>
    <w:rsid w:val="00F20B6A"/>
    <w:rsid w:val="00F21056"/>
    <w:rsid w:val="00F2120F"/>
    <w:rsid w:val="00F21244"/>
    <w:rsid w:val="00F21581"/>
    <w:rsid w:val="00F217A6"/>
    <w:rsid w:val="00F223AA"/>
    <w:rsid w:val="00F22937"/>
    <w:rsid w:val="00F22B5A"/>
    <w:rsid w:val="00F23206"/>
    <w:rsid w:val="00F23602"/>
    <w:rsid w:val="00F238D4"/>
    <w:rsid w:val="00F24188"/>
    <w:rsid w:val="00F241BD"/>
    <w:rsid w:val="00F2453A"/>
    <w:rsid w:val="00F247B9"/>
    <w:rsid w:val="00F24A80"/>
    <w:rsid w:val="00F24C62"/>
    <w:rsid w:val="00F24E53"/>
    <w:rsid w:val="00F25565"/>
    <w:rsid w:val="00F25647"/>
    <w:rsid w:val="00F25750"/>
    <w:rsid w:val="00F258B1"/>
    <w:rsid w:val="00F25BEA"/>
    <w:rsid w:val="00F25C46"/>
    <w:rsid w:val="00F25C52"/>
    <w:rsid w:val="00F25D6E"/>
    <w:rsid w:val="00F25F67"/>
    <w:rsid w:val="00F261A0"/>
    <w:rsid w:val="00F263DF"/>
    <w:rsid w:val="00F2644E"/>
    <w:rsid w:val="00F2661F"/>
    <w:rsid w:val="00F26B5A"/>
    <w:rsid w:val="00F26F6B"/>
    <w:rsid w:val="00F2733E"/>
    <w:rsid w:val="00F275FF"/>
    <w:rsid w:val="00F27766"/>
    <w:rsid w:val="00F278E3"/>
    <w:rsid w:val="00F279D9"/>
    <w:rsid w:val="00F30268"/>
    <w:rsid w:val="00F303E3"/>
    <w:rsid w:val="00F30BB9"/>
    <w:rsid w:val="00F30C07"/>
    <w:rsid w:val="00F30DE6"/>
    <w:rsid w:val="00F30F63"/>
    <w:rsid w:val="00F31202"/>
    <w:rsid w:val="00F31C7E"/>
    <w:rsid w:val="00F31CC3"/>
    <w:rsid w:val="00F31D92"/>
    <w:rsid w:val="00F325CC"/>
    <w:rsid w:val="00F32694"/>
    <w:rsid w:val="00F32F58"/>
    <w:rsid w:val="00F33123"/>
    <w:rsid w:val="00F33513"/>
    <w:rsid w:val="00F335D1"/>
    <w:rsid w:val="00F33A58"/>
    <w:rsid w:val="00F33E3C"/>
    <w:rsid w:val="00F34306"/>
    <w:rsid w:val="00F343D0"/>
    <w:rsid w:val="00F34705"/>
    <w:rsid w:val="00F34BD2"/>
    <w:rsid w:val="00F35053"/>
    <w:rsid w:val="00F35347"/>
    <w:rsid w:val="00F3535A"/>
    <w:rsid w:val="00F354AF"/>
    <w:rsid w:val="00F35959"/>
    <w:rsid w:val="00F35B0D"/>
    <w:rsid w:val="00F362B9"/>
    <w:rsid w:val="00F36635"/>
    <w:rsid w:val="00F3694D"/>
    <w:rsid w:val="00F36D73"/>
    <w:rsid w:val="00F36ED9"/>
    <w:rsid w:val="00F36FB5"/>
    <w:rsid w:val="00F372F1"/>
    <w:rsid w:val="00F37456"/>
    <w:rsid w:val="00F378BC"/>
    <w:rsid w:val="00F37EC4"/>
    <w:rsid w:val="00F40014"/>
    <w:rsid w:val="00F400CE"/>
    <w:rsid w:val="00F4031D"/>
    <w:rsid w:val="00F404A2"/>
    <w:rsid w:val="00F40513"/>
    <w:rsid w:val="00F40641"/>
    <w:rsid w:val="00F40D89"/>
    <w:rsid w:val="00F4118B"/>
    <w:rsid w:val="00F4120D"/>
    <w:rsid w:val="00F41311"/>
    <w:rsid w:val="00F41B02"/>
    <w:rsid w:val="00F41BE5"/>
    <w:rsid w:val="00F42015"/>
    <w:rsid w:val="00F4223B"/>
    <w:rsid w:val="00F42B5C"/>
    <w:rsid w:val="00F43548"/>
    <w:rsid w:val="00F43DDB"/>
    <w:rsid w:val="00F43E40"/>
    <w:rsid w:val="00F441A4"/>
    <w:rsid w:val="00F441C1"/>
    <w:rsid w:val="00F44870"/>
    <w:rsid w:val="00F44949"/>
    <w:rsid w:val="00F44BA6"/>
    <w:rsid w:val="00F44C41"/>
    <w:rsid w:val="00F44C46"/>
    <w:rsid w:val="00F44EDC"/>
    <w:rsid w:val="00F44F36"/>
    <w:rsid w:val="00F44FA9"/>
    <w:rsid w:val="00F4531B"/>
    <w:rsid w:val="00F45634"/>
    <w:rsid w:val="00F457F9"/>
    <w:rsid w:val="00F45A01"/>
    <w:rsid w:val="00F462B2"/>
    <w:rsid w:val="00F46D30"/>
    <w:rsid w:val="00F46FCC"/>
    <w:rsid w:val="00F47132"/>
    <w:rsid w:val="00F478F5"/>
    <w:rsid w:val="00F479BE"/>
    <w:rsid w:val="00F47ACD"/>
    <w:rsid w:val="00F47DBA"/>
    <w:rsid w:val="00F47E8C"/>
    <w:rsid w:val="00F503C7"/>
    <w:rsid w:val="00F5046E"/>
    <w:rsid w:val="00F50938"/>
    <w:rsid w:val="00F50F10"/>
    <w:rsid w:val="00F50FFD"/>
    <w:rsid w:val="00F5101B"/>
    <w:rsid w:val="00F511A4"/>
    <w:rsid w:val="00F51895"/>
    <w:rsid w:val="00F51D4B"/>
    <w:rsid w:val="00F52519"/>
    <w:rsid w:val="00F527B6"/>
    <w:rsid w:val="00F52912"/>
    <w:rsid w:val="00F52D60"/>
    <w:rsid w:val="00F53010"/>
    <w:rsid w:val="00F531D2"/>
    <w:rsid w:val="00F536CF"/>
    <w:rsid w:val="00F53A6D"/>
    <w:rsid w:val="00F53F72"/>
    <w:rsid w:val="00F542DD"/>
    <w:rsid w:val="00F54306"/>
    <w:rsid w:val="00F54421"/>
    <w:rsid w:val="00F5447C"/>
    <w:rsid w:val="00F548E3"/>
    <w:rsid w:val="00F54DA7"/>
    <w:rsid w:val="00F550BE"/>
    <w:rsid w:val="00F553C8"/>
    <w:rsid w:val="00F55475"/>
    <w:rsid w:val="00F558BC"/>
    <w:rsid w:val="00F55AB0"/>
    <w:rsid w:val="00F56306"/>
    <w:rsid w:val="00F56CA6"/>
    <w:rsid w:val="00F5706B"/>
    <w:rsid w:val="00F5761B"/>
    <w:rsid w:val="00F578D9"/>
    <w:rsid w:val="00F578FC"/>
    <w:rsid w:val="00F57983"/>
    <w:rsid w:val="00F57BBE"/>
    <w:rsid w:val="00F57EBB"/>
    <w:rsid w:val="00F57FBF"/>
    <w:rsid w:val="00F60271"/>
    <w:rsid w:val="00F603A7"/>
    <w:rsid w:val="00F60C99"/>
    <w:rsid w:val="00F60E13"/>
    <w:rsid w:val="00F6104B"/>
    <w:rsid w:val="00F61410"/>
    <w:rsid w:val="00F61584"/>
    <w:rsid w:val="00F617AF"/>
    <w:rsid w:val="00F618A0"/>
    <w:rsid w:val="00F6191A"/>
    <w:rsid w:val="00F619B0"/>
    <w:rsid w:val="00F619B4"/>
    <w:rsid w:val="00F61D74"/>
    <w:rsid w:val="00F622E6"/>
    <w:rsid w:val="00F6252F"/>
    <w:rsid w:val="00F62AB0"/>
    <w:rsid w:val="00F62AF5"/>
    <w:rsid w:val="00F62CDD"/>
    <w:rsid w:val="00F62D76"/>
    <w:rsid w:val="00F62E1C"/>
    <w:rsid w:val="00F6300F"/>
    <w:rsid w:val="00F63895"/>
    <w:rsid w:val="00F64119"/>
    <w:rsid w:val="00F642D2"/>
    <w:rsid w:val="00F64CB2"/>
    <w:rsid w:val="00F64D99"/>
    <w:rsid w:val="00F64ECE"/>
    <w:rsid w:val="00F64EEE"/>
    <w:rsid w:val="00F6546A"/>
    <w:rsid w:val="00F6551E"/>
    <w:rsid w:val="00F65570"/>
    <w:rsid w:val="00F6569D"/>
    <w:rsid w:val="00F65B89"/>
    <w:rsid w:val="00F65E65"/>
    <w:rsid w:val="00F65EF1"/>
    <w:rsid w:val="00F663B8"/>
    <w:rsid w:val="00F664CB"/>
    <w:rsid w:val="00F66519"/>
    <w:rsid w:val="00F66815"/>
    <w:rsid w:val="00F6696A"/>
    <w:rsid w:val="00F66C76"/>
    <w:rsid w:val="00F66E3F"/>
    <w:rsid w:val="00F66F4A"/>
    <w:rsid w:val="00F6710F"/>
    <w:rsid w:val="00F67438"/>
    <w:rsid w:val="00F67455"/>
    <w:rsid w:val="00F674FA"/>
    <w:rsid w:val="00F6750A"/>
    <w:rsid w:val="00F67569"/>
    <w:rsid w:val="00F675FC"/>
    <w:rsid w:val="00F679F7"/>
    <w:rsid w:val="00F70111"/>
    <w:rsid w:val="00F7017C"/>
    <w:rsid w:val="00F703C7"/>
    <w:rsid w:val="00F706AC"/>
    <w:rsid w:val="00F709AE"/>
    <w:rsid w:val="00F70AB8"/>
    <w:rsid w:val="00F70B2D"/>
    <w:rsid w:val="00F714D8"/>
    <w:rsid w:val="00F717DC"/>
    <w:rsid w:val="00F724F7"/>
    <w:rsid w:val="00F72A25"/>
    <w:rsid w:val="00F73AF8"/>
    <w:rsid w:val="00F73DA9"/>
    <w:rsid w:val="00F740B8"/>
    <w:rsid w:val="00F748F3"/>
    <w:rsid w:val="00F74A99"/>
    <w:rsid w:val="00F74AD1"/>
    <w:rsid w:val="00F74E05"/>
    <w:rsid w:val="00F7527D"/>
    <w:rsid w:val="00F753A8"/>
    <w:rsid w:val="00F7558D"/>
    <w:rsid w:val="00F757AE"/>
    <w:rsid w:val="00F759B9"/>
    <w:rsid w:val="00F75D08"/>
    <w:rsid w:val="00F75DB6"/>
    <w:rsid w:val="00F76243"/>
    <w:rsid w:val="00F7658A"/>
    <w:rsid w:val="00F76627"/>
    <w:rsid w:val="00F7664B"/>
    <w:rsid w:val="00F7676D"/>
    <w:rsid w:val="00F767A1"/>
    <w:rsid w:val="00F76B30"/>
    <w:rsid w:val="00F76DD7"/>
    <w:rsid w:val="00F772A5"/>
    <w:rsid w:val="00F772C0"/>
    <w:rsid w:val="00F7734B"/>
    <w:rsid w:val="00F7746C"/>
    <w:rsid w:val="00F7783B"/>
    <w:rsid w:val="00F77A71"/>
    <w:rsid w:val="00F77BC1"/>
    <w:rsid w:val="00F77FFA"/>
    <w:rsid w:val="00F801C2"/>
    <w:rsid w:val="00F804F7"/>
    <w:rsid w:val="00F80C9A"/>
    <w:rsid w:val="00F81032"/>
    <w:rsid w:val="00F815F9"/>
    <w:rsid w:val="00F816A2"/>
    <w:rsid w:val="00F8172B"/>
    <w:rsid w:val="00F81EE6"/>
    <w:rsid w:val="00F8219E"/>
    <w:rsid w:val="00F824EA"/>
    <w:rsid w:val="00F830BC"/>
    <w:rsid w:val="00F83169"/>
    <w:rsid w:val="00F83E98"/>
    <w:rsid w:val="00F8441C"/>
    <w:rsid w:val="00F8474B"/>
    <w:rsid w:val="00F84843"/>
    <w:rsid w:val="00F8492C"/>
    <w:rsid w:val="00F84E69"/>
    <w:rsid w:val="00F856EB"/>
    <w:rsid w:val="00F85CB7"/>
    <w:rsid w:val="00F860B1"/>
    <w:rsid w:val="00F8616A"/>
    <w:rsid w:val="00F8690D"/>
    <w:rsid w:val="00F869B8"/>
    <w:rsid w:val="00F86AF6"/>
    <w:rsid w:val="00F86D87"/>
    <w:rsid w:val="00F86F83"/>
    <w:rsid w:val="00F8740A"/>
    <w:rsid w:val="00F87A52"/>
    <w:rsid w:val="00F90324"/>
    <w:rsid w:val="00F90716"/>
    <w:rsid w:val="00F908DD"/>
    <w:rsid w:val="00F90947"/>
    <w:rsid w:val="00F90F4C"/>
    <w:rsid w:val="00F91715"/>
    <w:rsid w:val="00F91F5A"/>
    <w:rsid w:val="00F91F69"/>
    <w:rsid w:val="00F92863"/>
    <w:rsid w:val="00F92CE3"/>
    <w:rsid w:val="00F933B1"/>
    <w:rsid w:val="00F93495"/>
    <w:rsid w:val="00F934B3"/>
    <w:rsid w:val="00F93F53"/>
    <w:rsid w:val="00F9451C"/>
    <w:rsid w:val="00F95107"/>
    <w:rsid w:val="00F95221"/>
    <w:rsid w:val="00F952E7"/>
    <w:rsid w:val="00F953AC"/>
    <w:rsid w:val="00F95661"/>
    <w:rsid w:val="00F95D6F"/>
    <w:rsid w:val="00F95F02"/>
    <w:rsid w:val="00F962B8"/>
    <w:rsid w:val="00F9636E"/>
    <w:rsid w:val="00F96443"/>
    <w:rsid w:val="00F965C3"/>
    <w:rsid w:val="00F96760"/>
    <w:rsid w:val="00F968D2"/>
    <w:rsid w:val="00F9693F"/>
    <w:rsid w:val="00F979E7"/>
    <w:rsid w:val="00F97B0B"/>
    <w:rsid w:val="00F97BDB"/>
    <w:rsid w:val="00FA0631"/>
    <w:rsid w:val="00FA0691"/>
    <w:rsid w:val="00FA0B75"/>
    <w:rsid w:val="00FA0C63"/>
    <w:rsid w:val="00FA131E"/>
    <w:rsid w:val="00FA1400"/>
    <w:rsid w:val="00FA15E2"/>
    <w:rsid w:val="00FA1855"/>
    <w:rsid w:val="00FA1860"/>
    <w:rsid w:val="00FA1862"/>
    <w:rsid w:val="00FA1BEC"/>
    <w:rsid w:val="00FA1CBB"/>
    <w:rsid w:val="00FA1D9F"/>
    <w:rsid w:val="00FA28F7"/>
    <w:rsid w:val="00FA3CDA"/>
    <w:rsid w:val="00FA4311"/>
    <w:rsid w:val="00FA4B80"/>
    <w:rsid w:val="00FA4E83"/>
    <w:rsid w:val="00FA513B"/>
    <w:rsid w:val="00FA547F"/>
    <w:rsid w:val="00FA5519"/>
    <w:rsid w:val="00FA5A3B"/>
    <w:rsid w:val="00FA5B6D"/>
    <w:rsid w:val="00FA5CCA"/>
    <w:rsid w:val="00FA5D7E"/>
    <w:rsid w:val="00FA5DE9"/>
    <w:rsid w:val="00FA5F57"/>
    <w:rsid w:val="00FA61A2"/>
    <w:rsid w:val="00FA62A4"/>
    <w:rsid w:val="00FA633C"/>
    <w:rsid w:val="00FA683B"/>
    <w:rsid w:val="00FA69FB"/>
    <w:rsid w:val="00FA6D9D"/>
    <w:rsid w:val="00FA6E57"/>
    <w:rsid w:val="00FB0577"/>
    <w:rsid w:val="00FB0AA2"/>
    <w:rsid w:val="00FB0ADA"/>
    <w:rsid w:val="00FB0CAD"/>
    <w:rsid w:val="00FB108E"/>
    <w:rsid w:val="00FB157C"/>
    <w:rsid w:val="00FB1709"/>
    <w:rsid w:val="00FB1763"/>
    <w:rsid w:val="00FB1A87"/>
    <w:rsid w:val="00FB1D03"/>
    <w:rsid w:val="00FB2228"/>
    <w:rsid w:val="00FB22B7"/>
    <w:rsid w:val="00FB28C0"/>
    <w:rsid w:val="00FB397C"/>
    <w:rsid w:val="00FB39CC"/>
    <w:rsid w:val="00FB3DB1"/>
    <w:rsid w:val="00FB42CD"/>
    <w:rsid w:val="00FB4451"/>
    <w:rsid w:val="00FB4461"/>
    <w:rsid w:val="00FB446E"/>
    <w:rsid w:val="00FB47BB"/>
    <w:rsid w:val="00FB4DA5"/>
    <w:rsid w:val="00FB52CD"/>
    <w:rsid w:val="00FB542A"/>
    <w:rsid w:val="00FB54FC"/>
    <w:rsid w:val="00FB5936"/>
    <w:rsid w:val="00FB6105"/>
    <w:rsid w:val="00FB633D"/>
    <w:rsid w:val="00FB66C0"/>
    <w:rsid w:val="00FB7CD1"/>
    <w:rsid w:val="00FB7D4C"/>
    <w:rsid w:val="00FC010F"/>
    <w:rsid w:val="00FC019C"/>
    <w:rsid w:val="00FC02A8"/>
    <w:rsid w:val="00FC0335"/>
    <w:rsid w:val="00FC044E"/>
    <w:rsid w:val="00FC06F3"/>
    <w:rsid w:val="00FC0771"/>
    <w:rsid w:val="00FC07AD"/>
    <w:rsid w:val="00FC0EBE"/>
    <w:rsid w:val="00FC1012"/>
    <w:rsid w:val="00FC10D5"/>
    <w:rsid w:val="00FC15C8"/>
    <w:rsid w:val="00FC17B8"/>
    <w:rsid w:val="00FC1B99"/>
    <w:rsid w:val="00FC1C07"/>
    <w:rsid w:val="00FC219A"/>
    <w:rsid w:val="00FC2453"/>
    <w:rsid w:val="00FC24DB"/>
    <w:rsid w:val="00FC28C3"/>
    <w:rsid w:val="00FC296F"/>
    <w:rsid w:val="00FC2C53"/>
    <w:rsid w:val="00FC2CAF"/>
    <w:rsid w:val="00FC3195"/>
    <w:rsid w:val="00FC3351"/>
    <w:rsid w:val="00FC34E0"/>
    <w:rsid w:val="00FC36E3"/>
    <w:rsid w:val="00FC3B7E"/>
    <w:rsid w:val="00FC3BF2"/>
    <w:rsid w:val="00FC3D27"/>
    <w:rsid w:val="00FC3DD8"/>
    <w:rsid w:val="00FC43F0"/>
    <w:rsid w:val="00FC444E"/>
    <w:rsid w:val="00FC44C0"/>
    <w:rsid w:val="00FC44E4"/>
    <w:rsid w:val="00FC4511"/>
    <w:rsid w:val="00FC4B7B"/>
    <w:rsid w:val="00FC5311"/>
    <w:rsid w:val="00FC581E"/>
    <w:rsid w:val="00FC5A2D"/>
    <w:rsid w:val="00FC5BB8"/>
    <w:rsid w:val="00FC5C38"/>
    <w:rsid w:val="00FC5CED"/>
    <w:rsid w:val="00FC60C5"/>
    <w:rsid w:val="00FC62EA"/>
    <w:rsid w:val="00FC689F"/>
    <w:rsid w:val="00FC68D3"/>
    <w:rsid w:val="00FC6DF8"/>
    <w:rsid w:val="00FC6E15"/>
    <w:rsid w:val="00FC7031"/>
    <w:rsid w:val="00FC72D8"/>
    <w:rsid w:val="00FC7685"/>
    <w:rsid w:val="00FC7A11"/>
    <w:rsid w:val="00FC7BC6"/>
    <w:rsid w:val="00FC7F34"/>
    <w:rsid w:val="00FD0494"/>
    <w:rsid w:val="00FD058B"/>
    <w:rsid w:val="00FD0F93"/>
    <w:rsid w:val="00FD1084"/>
    <w:rsid w:val="00FD1192"/>
    <w:rsid w:val="00FD1655"/>
    <w:rsid w:val="00FD1A60"/>
    <w:rsid w:val="00FD1E22"/>
    <w:rsid w:val="00FD20A6"/>
    <w:rsid w:val="00FD2220"/>
    <w:rsid w:val="00FD23A4"/>
    <w:rsid w:val="00FD2743"/>
    <w:rsid w:val="00FD2799"/>
    <w:rsid w:val="00FD2848"/>
    <w:rsid w:val="00FD28F1"/>
    <w:rsid w:val="00FD3273"/>
    <w:rsid w:val="00FD366F"/>
    <w:rsid w:val="00FD39A9"/>
    <w:rsid w:val="00FD3AFF"/>
    <w:rsid w:val="00FD49F2"/>
    <w:rsid w:val="00FD4EA9"/>
    <w:rsid w:val="00FD4FF8"/>
    <w:rsid w:val="00FD57FF"/>
    <w:rsid w:val="00FD5815"/>
    <w:rsid w:val="00FD5830"/>
    <w:rsid w:val="00FD58CA"/>
    <w:rsid w:val="00FD5B76"/>
    <w:rsid w:val="00FD63D5"/>
    <w:rsid w:val="00FD6476"/>
    <w:rsid w:val="00FD6491"/>
    <w:rsid w:val="00FD64D8"/>
    <w:rsid w:val="00FD66CF"/>
    <w:rsid w:val="00FD6923"/>
    <w:rsid w:val="00FD69B0"/>
    <w:rsid w:val="00FD6D23"/>
    <w:rsid w:val="00FD740C"/>
    <w:rsid w:val="00FD77CE"/>
    <w:rsid w:val="00FD7D53"/>
    <w:rsid w:val="00FD7D64"/>
    <w:rsid w:val="00FD7EB4"/>
    <w:rsid w:val="00FE01ED"/>
    <w:rsid w:val="00FE04FF"/>
    <w:rsid w:val="00FE0741"/>
    <w:rsid w:val="00FE176B"/>
    <w:rsid w:val="00FE1F5C"/>
    <w:rsid w:val="00FE20D2"/>
    <w:rsid w:val="00FE26A0"/>
    <w:rsid w:val="00FE2CDB"/>
    <w:rsid w:val="00FE2DDE"/>
    <w:rsid w:val="00FE32E5"/>
    <w:rsid w:val="00FE33BA"/>
    <w:rsid w:val="00FE378A"/>
    <w:rsid w:val="00FE3A78"/>
    <w:rsid w:val="00FE41A2"/>
    <w:rsid w:val="00FE4212"/>
    <w:rsid w:val="00FE4593"/>
    <w:rsid w:val="00FE49DF"/>
    <w:rsid w:val="00FE5071"/>
    <w:rsid w:val="00FE545F"/>
    <w:rsid w:val="00FE5A9A"/>
    <w:rsid w:val="00FE6176"/>
    <w:rsid w:val="00FE62B8"/>
    <w:rsid w:val="00FE6539"/>
    <w:rsid w:val="00FE66A4"/>
    <w:rsid w:val="00FE6836"/>
    <w:rsid w:val="00FE68B5"/>
    <w:rsid w:val="00FE6958"/>
    <w:rsid w:val="00FE6B2D"/>
    <w:rsid w:val="00FE6D9A"/>
    <w:rsid w:val="00FE6DC1"/>
    <w:rsid w:val="00FE6EC2"/>
    <w:rsid w:val="00FE6FD2"/>
    <w:rsid w:val="00FE713D"/>
    <w:rsid w:val="00FE7248"/>
    <w:rsid w:val="00FE75F3"/>
    <w:rsid w:val="00FE77A1"/>
    <w:rsid w:val="00FE7913"/>
    <w:rsid w:val="00FE7960"/>
    <w:rsid w:val="00FF0649"/>
    <w:rsid w:val="00FF0B26"/>
    <w:rsid w:val="00FF0C49"/>
    <w:rsid w:val="00FF0E8C"/>
    <w:rsid w:val="00FF0EC4"/>
    <w:rsid w:val="00FF10A0"/>
    <w:rsid w:val="00FF1132"/>
    <w:rsid w:val="00FF11AA"/>
    <w:rsid w:val="00FF17C5"/>
    <w:rsid w:val="00FF1BFC"/>
    <w:rsid w:val="00FF1C40"/>
    <w:rsid w:val="00FF1F74"/>
    <w:rsid w:val="00FF269F"/>
    <w:rsid w:val="00FF29F3"/>
    <w:rsid w:val="00FF29FD"/>
    <w:rsid w:val="00FF2E7A"/>
    <w:rsid w:val="00FF3656"/>
    <w:rsid w:val="00FF39B7"/>
    <w:rsid w:val="00FF39B9"/>
    <w:rsid w:val="00FF3B3B"/>
    <w:rsid w:val="00FF3B63"/>
    <w:rsid w:val="00FF3E03"/>
    <w:rsid w:val="00FF4481"/>
    <w:rsid w:val="00FF456C"/>
    <w:rsid w:val="00FF4C0C"/>
    <w:rsid w:val="00FF4FA9"/>
    <w:rsid w:val="00FF504B"/>
    <w:rsid w:val="00FF5198"/>
    <w:rsid w:val="00FF541E"/>
    <w:rsid w:val="00FF54ED"/>
    <w:rsid w:val="00FF59CF"/>
    <w:rsid w:val="00FF64CA"/>
    <w:rsid w:val="00FF6D5B"/>
    <w:rsid w:val="03C76DAE"/>
    <w:rsid w:val="04DF464F"/>
    <w:rsid w:val="0516E720"/>
    <w:rsid w:val="07246928"/>
    <w:rsid w:val="0756F1F0"/>
    <w:rsid w:val="0886122F"/>
    <w:rsid w:val="0ADA17B8"/>
    <w:rsid w:val="0B5D9A81"/>
    <w:rsid w:val="0BB74CB1"/>
    <w:rsid w:val="0E39911F"/>
    <w:rsid w:val="0E535BCF"/>
    <w:rsid w:val="0E94873F"/>
    <w:rsid w:val="0F781754"/>
    <w:rsid w:val="11549A4B"/>
    <w:rsid w:val="124A25A9"/>
    <w:rsid w:val="14ABF18A"/>
    <w:rsid w:val="14B5303A"/>
    <w:rsid w:val="159D86B3"/>
    <w:rsid w:val="17BE229D"/>
    <w:rsid w:val="198B0BAD"/>
    <w:rsid w:val="1B15E843"/>
    <w:rsid w:val="1C19CFEF"/>
    <w:rsid w:val="1D390C01"/>
    <w:rsid w:val="1D3B93DC"/>
    <w:rsid w:val="1D53F359"/>
    <w:rsid w:val="1D6B0437"/>
    <w:rsid w:val="1DEB049C"/>
    <w:rsid w:val="1EA2B2FB"/>
    <w:rsid w:val="1F0D81AE"/>
    <w:rsid w:val="22051481"/>
    <w:rsid w:val="23371AA2"/>
    <w:rsid w:val="23F0F639"/>
    <w:rsid w:val="25C284F2"/>
    <w:rsid w:val="27AD5981"/>
    <w:rsid w:val="27DF8D3D"/>
    <w:rsid w:val="28753260"/>
    <w:rsid w:val="2C5D7934"/>
    <w:rsid w:val="2ECE4032"/>
    <w:rsid w:val="30372D9A"/>
    <w:rsid w:val="32793BBC"/>
    <w:rsid w:val="33113739"/>
    <w:rsid w:val="33588B82"/>
    <w:rsid w:val="33DF48BF"/>
    <w:rsid w:val="37CF89A2"/>
    <w:rsid w:val="39A32B21"/>
    <w:rsid w:val="3C596EAC"/>
    <w:rsid w:val="3D040A70"/>
    <w:rsid w:val="3EC2C778"/>
    <w:rsid w:val="4161A39E"/>
    <w:rsid w:val="41A85BDC"/>
    <w:rsid w:val="4226FB9E"/>
    <w:rsid w:val="42610E8E"/>
    <w:rsid w:val="43428200"/>
    <w:rsid w:val="4612395D"/>
    <w:rsid w:val="46944E0E"/>
    <w:rsid w:val="469BEA75"/>
    <w:rsid w:val="47EDC324"/>
    <w:rsid w:val="4AE7C061"/>
    <w:rsid w:val="4B40F045"/>
    <w:rsid w:val="4B7D07BD"/>
    <w:rsid w:val="4CE3F46D"/>
    <w:rsid w:val="4D6037C3"/>
    <w:rsid w:val="4E3A94AA"/>
    <w:rsid w:val="4E52DBCE"/>
    <w:rsid w:val="4F64A050"/>
    <w:rsid w:val="50E218E5"/>
    <w:rsid w:val="5793353F"/>
    <w:rsid w:val="5825636C"/>
    <w:rsid w:val="58637378"/>
    <w:rsid w:val="59EC9507"/>
    <w:rsid w:val="5AEC3A0A"/>
    <w:rsid w:val="5E4B4F2F"/>
    <w:rsid w:val="611EC318"/>
    <w:rsid w:val="62F1E3B0"/>
    <w:rsid w:val="645799BD"/>
    <w:rsid w:val="65C8FFCA"/>
    <w:rsid w:val="65E1CDC6"/>
    <w:rsid w:val="6693FF12"/>
    <w:rsid w:val="6841C125"/>
    <w:rsid w:val="68CEC39B"/>
    <w:rsid w:val="6AC437C2"/>
    <w:rsid w:val="6E4B0EBA"/>
    <w:rsid w:val="6F947F3E"/>
    <w:rsid w:val="7337AE6F"/>
    <w:rsid w:val="73BBD0F5"/>
    <w:rsid w:val="73DDF777"/>
    <w:rsid w:val="76E8042E"/>
    <w:rsid w:val="77974ABE"/>
    <w:rsid w:val="782A344C"/>
    <w:rsid w:val="78C8368D"/>
    <w:rsid w:val="7A5FD2B9"/>
    <w:rsid w:val="7BD03D9B"/>
    <w:rsid w:val="7BE87FFD"/>
    <w:rsid w:val="7C907066"/>
    <w:rsid w:val="7EA92E1C"/>
    <w:rsid w:val="7F34CB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CE6E6"/>
  <w15:chartTrackingRefBased/>
  <w15:docId w15:val="{E1CE6611-2100-4416-97AF-1FCB0884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FD1"/>
    <w:pPr>
      <w:spacing w:after="200" w:line="276" w:lineRule="auto"/>
    </w:pPr>
    <w:rPr>
      <w:kern w:val="0"/>
      <w14:ligatures w14:val="none"/>
    </w:rPr>
  </w:style>
  <w:style w:type="paragraph" w:styleId="Heading1">
    <w:name w:val="heading 1"/>
    <w:basedOn w:val="Normal"/>
    <w:next w:val="Normal"/>
    <w:link w:val="Heading1Char"/>
    <w:qFormat/>
    <w:rsid w:val="00294F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94F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94F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94F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9"/>
    <w:unhideWhenUsed/>
    <w:qFormat/>
    <w:rsid w:val="00294F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9"/>
    <w:unhideWhenUsed/>
    <w:qFormat/>
    <w:rsid w:val="00294F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94F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94F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94F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F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294F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rsid w:val="00294F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rsid w:val="00294F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9"/>
    <w:rsid w:val="00294FD1"/>
    <w:rPr>
      <w:rFonts w:eastAsiaTheme="majorEastAsia" w:cstheme="majorBidi"/>
      <w:color w:val="0F4761" w:themeColor="accent1" w:themeShade="BF"/>
    </w:rPr>
  </w:style>
  <w:style w:type="character" w:customStyle="1" w:styleId="Heading6Char">
    <w:name w:val="Heading 6 Char"/>
    <w:basedOn w:val="DefaultParagraphFont"/>
    <w:link w:val="Heading6"/>
    <w:uiPriority w:val="99"/>
    <w:rsid w:val="00294F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294FD1"/>
    <w:rPr>
      <w:rFonts w:eastAsiaTheme="majorEastAsia" w:cstheme="majorBidi"/>
      <w:color w:val="595959" w:themeColor="text1" w:themeTint="A6"/>
    </w:rPr>
  </w:style>
  <w:style w:type="character" w:customStyle="1" w:styleId="Heading8Char">
    <w:name w:val="Heading 8 Char"/>
    <w:basedOn w:val="DefaultParagraphFont"/>
    <w:link w:val="Heading8"/>
    <w:uiPriority w:val="99"/>
    <w:rsid w:val="00294F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9"/>
    <w:rsid w:val="00294FD1"/>
    <w:rPr>
      <w:rFonts w:eastAsiaTheme="majorEastAsia" w:cstheme="majorBidi"/>
      <w:color w:val="272727" w:themeColor="text1" w:themeTint="D8"/>
    </w:rPr>
  </w:style>
  <w:style w:type="paragraph" w:styleId="Title">
    <w:name w:val="Title"/>
    <w:basedOn w:val="Normal"/>
    <w:next w:val="Normal"/>
    <w:link w:val="TitleChar"/>
    <w:uiPriority w:val="10"/>
    <w:qFormat/>
    <w:rsid w:val="00294F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F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F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F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FD1"/>
    <w:pPr>
      <w:spacing w:before="160"/>
      <w:jc w:val="center"/>
    </w:pPr>
    <w:rPr>
      <w:i/>
      <w:iCs/>
      <w:color w:val="404040" w:themeColor="text1" w:themeTint="BF"/>
    </w:rPr>
  </w:style>
  <w:style w:type="character" w:customStyle="1" w:styleId="QuoteChar">
    <w:name w:val="Quote Char"/>
    <w:basedOn w:val="DefaultParagraphFont"/>
    <w:link w:val="Quote"/>
    <w:uiPriority w:val="29"/>
    <w:rsid w:val="00294FD1"/>
    <w:rPr>
      <w:i/>
      <w:iCs/>
      <w:color w:val="404040" w:themeColor="text1" w:themeTint="BF"/>
    </w:rPr>
  </w:style>
  <w:style w:type="paragraph" w:styleId="ListParagraph">
    <w:name w:val="List Paragraph"/>
    <w:basedOn w:val="Normal"/>
    <w:link w:val="ListParagraphChar"/>
    <w:uiPriority w:val="34"/>
    <w:qFormat/>
    <w:rsid w:val="00294FD1"/>
    <w:pPr>
      <w:ind w:left="720"/>
      <w:contextualSpacing/>
    </w:pPr>
  </w:style>
  <w:style w:type="character" w:styleId="IntenseEmphasis">
    <w:name w:val="Intense Emphasis"/>
    <w:basedOn w:val="DefaultParagraphFont"/>
    <w:uiPriority w:val="21"/>
    <w:qFormat/>
    <w:rsid w:val="00294FD1"/>
    <w:rPr>
      <w:i/>
      <w:iCs/>
      <w:color w:val="0F4761" w:themeColor="accent1" w:themeShade="BF"/>
    </w:rPr>
  </w:style>
  <w:style w:type="paragraph" w:styleId="IntenseQuote">
    <w:name w:val="Intense Quote"/>
    <w:basedOn w:val="Normal"/>
    <w:next w:val="Normal"/>
    <w:link w:val="IntenseQuoteChar"/>
    <w:uiPriority w:val="30"/>
    <w:qFormat/>
    <w:rsid w:val="00294F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FD1"/>
    <w:rPr>
      <w:i/>
      <w:iCs/>
      <w:color w:val="0F4761" w:themeColor="accent1" w:themeShade="BF"/>
    </w:rPr>
  </w:style>
  <w:style w:type="character" w:styleId="IntenseReference">
    <w:name w:val="Intense Reference"/>
    <w:basedOn w:val="DefaultParagraphFont"/>
    <w:uiPriority w:val="32"/>
    <w:qFormat/>
    <w:rsid w:val="00294FD1"/>
    <w:rPr>
      <w:b/>
      <w:bCs/>
      <w:smallCaps/>
      <w:color w:val="0F4761" w:themeColor="accent1" w:themeShade="BF"/>
      <w:spacing w:val="5"/>
    </w:rPr>
  </w:style>
  <w:style w:type="paragraph" w:styleId="BodyText">
    <w:name w:val="Body Text"/>
    <w:basedOn w:val="Normal"/>
    <w:link w:val="BodyTextChar"/>
    <w:uiPriority w:val="99"/>
    <w:rsid w:val="00294FD1"/>
    <w:pPr>
      <w:tabs>
        <w:tab w:val="left" w:pos="709"/>
        <w:tab w:val="left" w:pos="1559"/>
        <w:tab w:val="left" w:pos="2268"/>
        <w:tab w:val="left" w:pos="2977"/>
        <w:tab w:val="left" w:pos="3686"/>
        <w:tab w:val="left" w:pos="4394"/>
        <w:tab w:val="right" w:pos="8789"/>
      </w:tabs>
      <w:spacing w:after="0" w:line="240" w:lineRule="auto"/>
      <w:jc w:val="both"/>
    </w:pPr>
    <w:rPr>
      <w:rFonts w:ascii="Arial" w:eastAsia="Batang" w:hAnsi="Arial" w:cs="Times New Roman"/>
      <w:sz w:val="20"/>
      <w:szCs w:val="20"/>
      <w:lang w:eastAsia="ko-KR"/>
    </w:rPr>
  </w:style>
  <w:style w:type="character" w:customStyle="1" w:styleId="BodyTextChar">
    <w:name w:val="Body Text Char"/>
    <w:basedOn w:val="DefaultParagraphFont"/>
    <w:link w:val="BodyText"/>
    <w:uiPriority w:val="99"/>
    <w:rsid w:val="00294FD1"/>
    <w:rPr>
      <w:rFonts w:ascii="Arial" w:eastAsia="Batang" w:hAnsi="Arial" w:cs="Times New Roman"/>
      <w:kern w:val="0"/>
      <w:sz w:val="20"/>
      <w:szCs w:val="20"/>
      <w:lang w:eastAsia="ko-KR"/>
      <w14:ligatures w14:val="none"/>
    </w:rPr>
  </w:style>
  <w:style w:type="paragraph" w:customStyle="1" w:styleId="Alpha">
    <w:name w:val="Alpha"/>
    <w:basedOn w:val="Normal"/>
    <w:next w:val="BodyText"/>
    <w:uiPriority w:val="99"/>
    <w:rsid w:val="00294FD1"/>
    <w:pPr>
      <w:tabs>
        <w:tab w:val="left" w:pos="709"/>
        <w:tab w:val="left" w:pos="1559"/>
        <w:tab w:val="left" w:pos="2268"/>
        <w:tab w:val="left" w:pos="2977"/>
        <w:tab w:val="left" w:pos="3686"/>
        <w:tab w:val="left" w:pos="4394"/>
        <w:tab w:val="right" w:pos="8789"/>
      </w:tabs>
      <w:spacing w:before="100" w:after="100" w:line="260" w:lineRule="atLeast"/>
      <w:ind w:left="709" w:hanging="709"/>
    </w:pPr>
    <w:rPr>
      <w:rFonts w:ascii="Times New Roman" w:eastAsia="Batang" w:hAnsi="Times New Roman" w:cs="Times New Roman"/>
      <w:szCs w:val="20"/>
    </w:rPr>
  </w:style>
  <w:style w:type="paragraph" w:customStyle="1" w:styleId="AlphaBrackets">
    <w:name w:val="AlphaBrackets"/>
    <w:basedOn w:val="BodyText"/>
    <w:next w:val="BodyText"/>
    <w:uiPriority w:val="99"/>
    <w:rsid w:val="00294FD1"/>
    <w:pPr>
      <w:ind w:left="709" w:hanging="709"/>
    </w:pPr>
    <w:rPr>
      <w:lang w:eastAsia="en-US"/>
    </w:rPr>
  </w:style>
  <w:style w:type="paragraph" w:styleId="Footer">
    <w:name w:val="footer"/>
    <w:basedOn w:val="Normal"/>
    <w:link w:val="FooterChar"/>
    <w:uiPriority w:val="99"/>
    <w:rsid w:val="00294FD1"/>
    <w:pPr>
      <w:tabs>
        <w:tab w:val="right" w:pos="8789"/>
      </w:tabs>
      <w:spacing w:after="0" w:line="260" w:lineRule="atLeast"/>
    </w:pPr>
    <w:rPr>
      <w:rFonts w:ascii="Times New Roman" w:eastAsia="Batang" w:hAnsi="Times New Roman" w:cs="Times New Roman"/>
      <w:sz w:val="14"/>
      <w:szCs w:val="20"/>
      <w:lang w:eastAsia="ko-KR"/>
    </w:rPr>
  </w:style>
  <w:style w:type="character" w:customStyle="1" w:styleId="FooterChar">
    <w:name w:val="Footer Char"/>
    <w:basedOn w:val="DefaultParagraphFont"/>
    <w:link w:val="Footer"/>
    <w:uiPriority w:val="99"/>
    <w:rsid w:val="00294FD1"/>
    <w:rPr>
      <w:rFonts w:ascii="Times New Roman" w:eastAsia="Batang" w:hAnsi="Times New Roman" w:cs="Times New Roman"/>
      <w:kern w:val="0"/>
      <w:sz w:val="14"/>
      <w:szCs w:val="20"/>
      <w:lang w:eastAsia="ko-KR"/>
      <w14:ligatures w14:val="none"/>
    </w:rPr>
  </w:style>
  <w:style w:type="paragraph" w:styleId="TOC5">
    <w:name w:val="toc 5"/>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customStyle="1" w:styleId="Numeric">
    <w:name w:val="Numeric"/>
    <w:basedOn w:val="BodyText"/>
    <w:next w:val="BodyText"/>
    <w:uiPriority w:val="99"/>
    <w:rsid w:val="00294FD1"/>
    <w:pPr>
      <w:ind w:left="709" w:hanging="709"/>
    </w:pPr>
    <w:rPr>
      <w:lang w:eastAsia="en-US"/>
    </w:rPr>
  </w:style>
  <w:style w:type="paragraph" w:customStyle="1" w:styleId="NumericBrackets">
    <w:name w:val="NumericBrackets"/>
    <w:basedOn w:val="BodyText"/>
    <w:next w:val="BodyText"/>
    <w:uiPriority w:val="99"/>
    <w:rsid w:val="00294FD1"/>
    <w:pPr>
      <w:ind w:left="709" w:hanging="709"/>
    </w:pPr>
    <w:rPr>
      <w:lang w:eastAsia="en-US"/>
    </w:rPr>
  </w:style>
  <w:style w:type="paragraph" w:customStyle="1" w:styleId="ScheduleHeading1">
    <w:name w:val="Schedule Heading 1"/>
    <w:basedOn w:val="BodyText"/>
    <w:next w:val="BodyText"/>
    <w:uiPriority w:val="99"/>
    <w:rsid w:val="00294FD1"/>
    <w:pPr>
      <w:keepNext/>
      <w:numPr>
        <w:numId w:val="1"/>
      </w:numPr>
      <w:spacing w:before="200"/>
    </w:pPr>
    <w:rPr>
      <w:b/>
      <w:caps/>
    </w:rPr>
  </w:style>
  <w:style w:type="paragraph" w:customStyle="1" w:styleId="ScheduleHeading2">
    <w:name w:val="Schedule Heading 2"/>
    <w:basedOn w:val="BodyText"/>
    <w:next w:val="BodyText"/>
    <w:uiPriority w:val="99"/>
    <w:rsid w:val="00294FD1"/>
    <w:pPr>
      <w:keepNext/>
      <w:numPr>
        <w:ilvl w:val="1"/>
        <w:numId w:val="1"/>
      </w:numPr>
    </w:pPr>
    <w:rPr>
      <w:b/>
    </w:rPr>
  </w:style>
  <w:style w:type="paragraph" w:customStyle="1" w:styleId="ScheduleHeading3">
    <w:name w:val="Schedule Heading 3"/>
    <w:basedOn w:val="BodyText"/>
    <w:next w:val="BodyText"/>
    <w:uiPriority w:val="99"/>
    <w:rsid w:val="00294FD1"/>
    <w:pPr>
      <w:numPr>
        <w:ilvl w:val="2"/>
        <w:numId w:val="1"/>
      </w:numPr>
      <w:tabs>
        <w:tab w:val="clear" w:pos="709"/>
      </w:tabs>
    </w:pPr>
  </w:style>
  <w:style w:type="paragraph" w:styleId="TOC1">
    <w:name w:val="toc 1"/>
    <w:basedOn w:val="BodyText"/>
    <w:next w:val="BodyText"/>
    <w:uiPriority w:val="99"/>
    <w:rsid w:val="00294FD1"/>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99"/>
    <w:rsid w:val="00294FD1"/>
    <w:pPr>
      <w:tabs>
        <w:tab w:val="clear" w:pos="709"/>
        <w:tab w:val="clear" w:pos="1559"/>
        <w:tab w:val="clear" w:pos="2268"/>
        <w:tab w:val="clear" w:pos="2977"/>
        <w:tab w:val="clear" w:pos="3686"/>
        <w:tab w:val="clear" w:pos="4394"/>
        <w:tab w:val="left" w:leader="dot" w:pos="1701"/>
        <w:tab w:val="right" w:leader="dot" w:pos="8789"/>
      </w:tabs>
      <w:ind w:left="1134" w:right="992" w:hanging="1134"/>
    </w:pPr>
    <w:rPr>
      <w:noProof/>
    </w:rPr>
  </w:style>
  <w:style w:type="paragraph" w:styleId="TOC3">
    <w:name w:val="toc 3"/>
    <w:basedOn w:val="BodyText"/>
    <w:next w:val="BodyText"/>
    <w:uiPriority w:val="99"/>
    <w:rsid w:val="00294FD1"/>
    <w:pPr>
      <w:tabs>
        <w:tab w:val="clear" w:pos="709"/>
        <w:tab w:val="clear" w:pos="1559"/>
        <w:tab w:val="clear" w:pos="2268"/>
        <w:tab w:val="clear" w:pos="2977"/>
        <w:tab w:val="clear" w:pos="3686"/>
        <w:tab w:val="clear" w:pos="4394"/>
        <w:tab w:val="left" w:pos="1134"/>
        <w:tab w:val="right" w:leader="dot" w:pos="8789"/>
      </w:tabs>
      <w:adjustRightInd w:val="0"/>
      <w:ind w:left="1985" w:right="992" w:hanging="851"/>
    </w:pPr>
  </w:style>
  <w:style w:type="paragraph" w:styleId="TOC4">
    <w:name w:val="toc 4"/>
    <w:basedOn w:val="BodyText"/>
    <w:next w:val="BodyText"/>
    <w:uiPriority w:val="99"/>
    <w:rsid w:val="00294FD1"/>
    <w:pPr>
      <w:tabs>
        <w:tab w:val="clear" w:pos="709"/>
        <w:tab w:val="clear" w:pos="1559"/>
        <w:tab w:val="clear" w:pos="2268"/>
        <w:tab w:val="clear" w:pos="2977"/>
        <w:tab w:val="clear" w:pos="3686"/>
        <w:tab w:val="clear" w:pos="4394"/>
        <w:tab w:val="right" w:leader="dot" w:pos="8789"/>
      </w:tabs>
      <w:ind w:left="851" w:right="992"/>
    </w:pPr>
  </w:style>
  <w:style w:type="paragraph" w:styleId="TOC6">
    <w:name w:val="toc 6"/>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7">
    <w:name w:val="toc 7"/>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8">
    <w:name w:val="toc 8"/>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styleId="TOC9">
    <w:name w:val="toc 9"/>
    <w:basedOn w:val="Normal"/>
    <w:next w:val="Normal"/>
    <w:uiPriority w:val="99"/>
    <w:rsid w:val="00294FD1"/>
    <w:pPr>
      <w:spacing w:after="0" w:line="240" w:lineRule="auto"/>
    </w:pPr>
    <w:rPr>
      <w:rFonts w:ascii="Times New Roman" w:eastAsia="Batang" w:hAnsi="Times New Roman" w:cs="Times New Roman"/>
      <w:szCs w:val="20"/>
      <w:lang w:eastAsia="ko-KR"/>
    </w:rPr>
  </w:style>
  <w:style w:type="paragraph" w:customStyle="1" w:styleId="ScheduleHeading4">
    <w:name w:val="Schedule Heading 4"/>
    <w:basedOn w:val="BodyText"/>
    <w:next w:val="BodyText"/>
    <w:uiPriority w:val="99"/>
    <w:rsid w:val="00294FD1"/>
    <w:pPr>
      <w:numPr>
        <w:ilvl w:val="3"/>
        <w:numId w:val="1"/>
      </w:numPr>
      <w:tabs>
        <w:tab w:val="clear" w:pos="709"/>
        <w:tab w:val="clear" w:pos="1559"/>
      </w:tabs>
    </w:pPr>
  </w:style>
  <w:style w:type="character" w:styleId="FootnoteReference">
    <w:name w:val="footnote reference"/>
    <w:basedOn w:val="DefaultParagraphFont"/>
    <w:uiPriority w:val="99"/>
    <w:rsid w:val="00294FD1"/>
    <w:rPr>
      <w:rFonts w:cs="Times New Roman"/>
      <w:vertAlign w:val="superscript"/>
    </w:rPr>
  </w:style>
  <w:style w:type="paragraph" w:customStyle="1" w:styleId="ScheduleHeading5">
    <w:name w:val="Schedule Heading 5"/>
    <w:basedOn w:val="BodyText"/>
    <w:next w:val="BodyText"/>
    <w:uiPriority w:val="99"/>
    <w:rsid w:val="00294FD1"/>
    <w:pPr>
      <w:numPr>
        <w:ilvl w:val="4"/>
        <w:numId w:val="1"/>
      </w:numPr>
      <w:tabs>
        <w:tab w:val="clear" w:pos="709"/>
        <w:tab w:val="clear" w:pos="1559"/>
        <w:tab w:val="clear" w:pos="2268"/>
      </w:tabs>
    </w:pPr>
  </w:style>
  <w:style w:type="paragraph" w:styleId="BlockText">
    <w:name w:val="Block Text"/>
    <w:basedOn w:val="Normal"/>
    <w:uiPriority w:val="99"/>
    <w:rsid w:val="00294FD1"/>
    <w:pPr>
      <w:tabs>
        <w:tab w:val="left" w:pos="709"/>
        <w:tab w:val="left" w:pos="1559"/>
        <w:tab w:val="left" w:pos="2268"/>
        <w:tab w:val="left" w:pos="2977"/>
        <w:tab w:val="left" w:pos="3686"/>
        <w:tab w:val="left" w:pos="4394"/>
        <w:tab w:val="right" w:pos="8789"/>
      </w:tabs>
      <w:spacing w:after="120" w:line="260" w:lineRule="atLeast"/>
      <w:ind w:left="1440" w:right="1440"/>
    </w:pPr>
    <w:rPr>
      <w:rFonts w:ascii="Times New Roman" w:eastAsia="Batang" w:hAnsi="Times New Roman" w:cs="Times New Roman"/>
      <w:szCs w:val="20"/>
      <w:lang w:eastAsia="ko-KR"/>
    </w:rPr>
  </w:style>
  <w:style w:type="paragraph" w:customStyle="1" w:styleId="ScheduleHeading6">
    <w:name w:val="Schedule Heading 6"/>
    <w:basedOn w:val="BodyText"/>
    <w:next w:val="BodyText"/>
    <w:uiPriority w:val="99"/>
    <w:rsid w:val="00294FD1"/>
    <w:pPr>
      <w:numPr>
        <w:ilvl w:val="5"/>
        <w:numId w:val="1"/>
      </w:numPr>
      <w:tabs>
        <w:tab w:val="clear" w:pos="709"/>
        <w:tab w:val="clear" w:pos="1559"/>
        <w:tab w:val="clear" w:pos="2268"/>
        <w:tab w:val="clear" w:pos="2977"/>
      </w:tabs>
    </w:pPr>
  </w:style>
  <w:style w:type="paragraph" w:customStyle="1" w:styleId="ScheduleHeading7">
    <w:name w:val="Schedule Heading 7"/>
    <w:basedOn w:val="BodyText"/>
    <w:next w:val="BodyText"/>
    <w:uiPriority w:val="99"/>
    <w:rsid w:val="00294FD1"/>
    <w:pPr>
      <w:numPr>
        <w:ilvl w:val="6"/>
        <w:numId w:val="1"/>
      </w:numPr>
      <w:tabs>
        <w:tab w:val="clear" w:pos="709"/>
        <w:tab w:val="clear" w:pos="1559"/>
        <w:tab w:val="clear" w:pos="2268"/>
        <w:tab w:val="clear" w:pos="2977"/>
        <w:tab w:val="clear" w:pos="3686"/>
      </w:tabs>
    </w:pPr>
  </w:style>
  <w:style w:type="paragraph" w:styleId="FootnoteText">
    <w:name w:val="footnote text"/>
    <w:basedOn w:val="Normal"/>
    <w:next w:val="FootnoteTextContinue"/>
    <w:link w:val="FootnoteTextChar"/>
    <w:autoRedefine/>
    <w:uiPriority w:val="99"/>
    <w:rsid w:val="00294FD1"/>
    <w:pPr>
      <w:spacing w:after="0" w:line="240" w:lineRule="auto"/>
      <w:ind w:left="119" w:hanging="119"/>
    </w:pPr>
    <w:rPr>
      <w:rFonts w:ascii="Arial" w:eastAsia="Batang" w:hAnsi="Arial" w:cs="Arial"/>
      <w:sz w:val="16"/>
      <w:szCs w:val="16"/>
      <w:lang w:eastAsia="ko-KR"/>
    </w:rPr>
  </w:style>
  <w:style w:type="character" w:customStyle="1" w:styleId="FootnoteTextChar">
    <w:name w:val="Footnote Text Char"/>
    <w:basedOn w:val="DefaultParagraphFont"/>
    <w:link w:val="FootnoteText"/>
    <w:uiPriority w:val="99"/>
    <w:rsid w:val="00294FD1"/>
    <w:rPr>
      <w:rFonts w:ascii="Arial" w:eastAsia="Batang" w:hAnsi="Arial" w:cs="Arial"/>
      <w:kern w:val="0"/>
      <w:sz w:val="16"/>
      <w:szCs w:val="16"/>
      <w:lang w:eastAsia="ko-KR"/>
      <w14:ligatures w14:val="none"/>
    </w:rPr>
  </w:style>
  <w:style w:type="paragraph" w:customStyle="1" w:styleId="FootnoteTextContinue">
    <w:name w:val="Footnote Text Continue"/>
    <w:basedOn w:val="Normal"/>
    <w:autoRedefine/>
    <w:uiPriority w:val="99"/>
    <w:rsid w:val="00294FD1"/>
    <w:pPr>
      <w:spacing w:after="0" w:line="240" w:lineRule="auto"/>
      <w:ind w:left="119"/>
    </w:pPr>
    <w:rPr>
      <w:rFonts w:ascii="Times New Roman" w:eastAsia="Batang" w:hAnsi="Times New Roman" w:cs="Times New Roman"/>
      <w:sz w:val="20"/>
      <w:szCs w:val="20"/>
      <w:lang w:eastAsia="ko-KR"/>
    </w:rPr>
  </w:style>
  <w:style w:type="paragraph" w:customStyle="1" w:styleId="Notetext">
    <w:name w:val="Note text"/>
    <w:basedOn w:val="BodyText"/>
    <w:uiPriority w:val="99"/>
    <w:rsid w:val="00294FD1"/>
    <w:rPr>
      <w:sz w:val="16"/>
    </w:rPr>
  </w:style>
  <w:style w:type="paragraph" w:styleId="Header">
    <w:name w:val="header"/>
    <w:basedOn w:val="Normal"/>
    <w:link w:val="HeaderChar"/>
    <w:uiPriority w:val="99"/>
    <w:rsid w:val="00294FD1"/>
    <w:pPr>
      <w:tabs>
        <w:tab w:val="center" w:pos="4153"/>
        <w:tab w:val="right" w:pos="8306"/>
      </w:tabs>
      <w:spacing w:after="0" w:line="260" w:lineRule="atLeast"/>
    </w:pPr>
    <w:rPr>
      <w:rFonts w:ascii="Times New Roman" w:eastAsia="Batang" w:hAnsi="Times New Roman" w:cs="Times New Roman"/>
      <w:szCs w:val="20"/>
      <w:lang w:eastAsia="ko-KR"/>
    </w:rPr>
  </w:style>
  <w:style w:type="character" w:customStyle="1" w:styleId="HeaderChar">
    <w:name w:val="Header Char"/>
    <w:basedOn w:val="DefaultParagraphFont"/>
    <w:link w:val="Header"/>
    <w:uiPriority w:val="99"/>
    <w:rsid w:val="00294FD1"/>
    <w:rPr>
      <w:rFonts w:ascii="Times New Roman" w:eastAsia="Batang" w:hAnsi="Times New Roman" w:cs="Times New Roman"/>
      <w:kern w:val="0"/>
      <w:szCs w:val="20"/>
      <w:lang w:eastAsia="ko-KR"/>
      <w14:ligatures w14:val="none"/>
    </w:rPr>
  </w:style>
  <w:style w:type="paragraph" w:styleId="Date">
    <w:name w:val="Date"/>
    <w:basedOn w:val="Normal"/>
    <w:next w:val="Normal"/>
    <w:link w:val="DateChar"/>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szCs w:val="20"/>
      <w:lang w:eastAsia="ko-KR"/>
    </w:rPr>
  </w:style>
  <w:style w:type="character" w:customStyle="1" w:styleId="DateChar">
    <w:name w:val="Date Char"/>
    <w:basedOn w:val="DefaultParagraphFont"/>
    <w:link w:val="Date"/>
    <w:uiPriority w:val="99"/>
    <w:rsid w:val="00294FD1"/>
    <w:rPr>
      <w:rFonts w:ascii="Times New Roman" w:eastAsia="Batang" w:hAnsi="Times New Roman" w:cs="Times New Roman"/>
      <w:kern w:val="0"/>
      <w:szCs w:val="20"/>
      <w:lang w:eastAsia="ko-KR"/>
      <w14:ligatures w14:val="none"/>
    </w:rPr>
  </w:style>
  <w:style w:type="table" w:styleId="TableGrid">
    <w:name w:val="Table Grid"/>
    <w:basedOn w:val="TableNormal"/>
    <w:uiPriority w:val="3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94FD1"/>
    <w:rPr>
      <w:rFonts w:cs="Times New Roman"/>
      <w:color w:val="0000FF"/>
      <w:u w:val="single"/>
    </w:rPr>
  </w:style>
  <w:style w:type="paragraph" w:styleId="BalloonText">
    <w:name w:val="Balloon Text"/>
    <w:basedOn w:val="Normal"/>
    <w:link w:val="BalloonTextChar"/>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ahoma" w:eastAsia="Batang" w:hAnsi="Tahoma" w:cs="Tahoma"/>
      <w:sz w:val="16"/>
      <w:szCs w:val="16"/>
      <w:lang w:eastAsia="ko-KR"/>
    </w:rPr>
  </w:style>
  <w:style w:type="character" w:customStyle="1" w:styleId="BalloonTextChar">
    <w:name w:val="Balloon Text Char"/>
    <w:basedOn w:val="DefaultParagraphFont"/>
    <w:link w:val="BalloonText"/>
    <w:uiPriority w:val="99"/>
    <w:rsid w:val="00294FD1"/>
    <w:rPr>
      <w:rFonts w:ascii="Tahoma" w:eastAsia="Batang" w:hAnsi="Tahoma" w:cs="Tahoma"/>
      <w:kern w:val="0"/>
      <w:sz w:val="16"/>
      <w:szCs w:val="16"/>
      <w:lang w:eastAsia="ko-KR"/>
      <w14:ligatures w14:val="none"/>
    </w:rPr>
  </w:style>
  <w:style w:type="paragraph" w:styleId="NormalWeb">
    <w:name w:val="Normal (Web)"/>
    <w:basedOn w:val="Normal"/>
    <w:uiPriority w:val="99"/>
    <w:rsid w:val="00294FD1"/>
    <w:pPr>
      <w:spacing w:before="100" w:beforeAutospacing="1" w:after="100" w:afterAutospacing="1" w:line="240" w:lineRule="auto"/>
    </w:pPr>
    <w:rPr>
      <w:rFonts w:ascii="Times New Roman" w:eastAsia="Batang" w:hAnsi="Times New Roman" w:cs="Times New Roman"/>
      <w:sz w:val="24"/>
      <w:szCs w:val="24"/>
      <w:lang w:eastAsia="en-GB"/>
    </w:rPr>
  </w:style>
  <w:style w:type="paragraph" w:customStyle="1" w:styleId="ACNotesText">
    <w:name w:val="AC Notes Text"/>
    <w:basedOn w:val="Normal"/>
    <w:uiPriority w:val="99"/>
    <w:rsid w:val="00294FD1"/>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Batang" w:hAnsi="Times New Roman" w:cs="Times New Roman"/>
      <w:sz w:val="20"/>
      <w:szCs w:val="20"/>
    </w:rPr>
  </w:style>
  <w:style w:type="paragraph" w:customStyle="1" w:styleId="Bracketalign">
    <w:name w:val="Bracketalign"/>
    <w:basedOn w:val="Normal"/>
    <w:uiPriority w:val="99"/>
    <w:rsid w:val="00294FD1"/>
    <w:pPr>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Bullet">
    <w:name w:val="Bullet"/>
    <w:basedOn w:val="Normal"/>
    <w:uiPriority w:val="99"/>
    <w:rsid w:val="00294FD1"/>
    <w:pPr>
      <w:tabs>
        <w:tab w:val="left" w:pos="284"/>
        <w:tab w:val="num" w:pos="643"/>
        <w:tab w:val="num" w:pos="720"/>
      </w:tabs>
      <w:overflowPunct w:val="0"/>
      <w:autoSpaceDE w:val="0"/>
      <w:autoSpaceDN w:val="0"/>
      <w:adjustRightInd w:val="0"/>
      <w:spacing w:before="130" w:after="0" w:line="240" w:lineRule="auto"/>
      <w:ind w:left="720" w:hanging="360"/>
      <w:jc w:val="both"/>
      <w:textAlignment w:val="baseline"/>
    </w:pPr>
    <w:rPr>
      <w:rFonts w:ascii="Times New Roman" w:eastAsia="Batang" w:hAnsi="Times New Roman" w:cs="Times New Roman"/>
      <w:sz w:val="18"/>
      <w:szCs w:val="20"/>
    </w:rPr>
  </w:style>
  <w:style w:type="paragraph" w:customStyle="1" w:styleId="ContentsHeader">
    <w:name w:val="Contents Header"/>
    <w:basedOn w:val="Heading1"/>
    <w:next w:val="TOC1"/>
    <w:uiPriority w:val="99"/>
    <w:rsid w:val="00294FD1"/>
    <w:pPr>
      <w:keepLines w:val="0"/>
      <w:overflowPunct w:val="0"/>
      <w:autoSpaceDE w:val="0"/>
      <w:autoSpaceDN w:val="0"/>
      <w:adjustRightInd w:val="0"/>
      <w:spacing w:before="0" w:after="0" w:line="240" w:lineRule="auto"/>
      <w:ind w:left="709" w:hanging="709"/>
      <w:textAlignment w:val="baseline"/>
      <w:outlineLvl w:val="9"/>
    </w:pPr>
    <w:rPr>
      <w:rFonts w:ascii="Times New Roman" w:eastAsia="Batang" w:hAnsi="Times New Roman" w:cs="Times New Roman"/>
      <w:color w:val="auto"/>
      <w:sz w:val="36"/>
      <w:szCs w:val="20"/>
    </w:rPr>
  </w:style>
  <w:style w:type="character" w:customStyle="1" w:styleId="ContentsPageNumber">
    <w:name w:val="Contents Page Number"/>
    <w:basedOn w:val="DefaultParagraphFont"/>
    <w:uiPriority w:val="99"/>
    <w:rsid w:val="00294FD1"/>
    <w:rPr>
      <w:rFonts w:ascii="Times New Roman" w:hAnsi="Times New Roman" w:cs="Times New Roman"/>
      <w:sz w:val="22"/>
    </w:rPr>
  </w:style>
  <w:style w:type="paragraph" w:customStyle="1" w:styleId="CompanyTitle">
    <w:name w:val="Company_Title"/>
    <w:next w:val="Normal"/>
    <w:uiPriority w:val="99"/>
    <w:rsid w:val="00294FD1"/>
    <w:pPr>
      <w:framePr w:w="5670" w:h="2948" w:hRule="exact" w:vSpace="181" w:wrap="notBeside" w:vAnchor="page" w:hAnchor="page" w:x="3171" w:y="5671" w:anchorLock="1"/>
      <w:widowControl w:val="0"/>
      <w:overflowPunct w:val="0"/>
      <w:autoSpaceDE w:val="0"/>
      <w:autoSpaceDN w:val="0"/>
      <w:adjustRightInd w:val="0"/>
      <w:spacing w:after="0" w:line="240" w:lineRule="auto"/>
      <w:ind w:left="113"/>
      <w:textAlignment w:val="baseline"/>
    </w:pPr>
    <w:rPr>
      <w:rFonts w:ascii="Tms Rmn" w:eastAsia="Batang" w:hAnsi="Tms Rmn" w:cs="Times New Roman"/>
      <w:b/>
      <w:noProof/>
      <w:spacing w:val="-4"/>
      <w:kern w:val="0"/>
      <w:sz w:val="26"/>
      <w:szCs w:val="20"/>
      <w14:ligatures w14:val="none"/>
    </w:rPr>
  </w:style>
  <w:style w:type="paragraph" w:customStyle="1" w:styleId="CoverInformation">
    <w:name w:val="Cover Information"/>
    <w:basedOn w:val="Normal"/>
    <w:uiPriority w:val="99"/>
    <w:rsid w:val="00294FD1"/>
    <w:pPr>
      <w:framePr w:w="4536" w:hSpace="180" w:vSpace="180" w:wrap="auto" w:vAnchor="page" w:hAnchor="page" w:x="3601" w:y="14176"/>
      <w:overflowPunct w:val="0"/>
      <w:autoSpaceDE w:val="0"/>
      <w:autoSpaceDN w:val="0"/>
      <w:adjustRightInd w:val="0"/>
      <w:spacing w:after="0" w:line="260" w:lineRule="exact"/>
      <w:ind w:left="284"/>
      <w:jc w:val="both"/>
      <w:textAlignment w:val="baseline"/>
    </w:pPr>
    <w:rPr>
      <w:rFonts w:ascii="Times New Roman" w:eastAsia="Batang" w:hAnsi="Times New Roman" w:cs="Times New Roman"/>
      <w:szCs w:val="20"/>
    </w:rPr>
  </w:style>
  <w:style w:type="paragraph" w:customStyle="1" w:styleId="CoverTitle">
    <w:name w:val="Cover Title"/>
    <w:basedOn w:val="Normal"/>
    <w:uiPriority w:val="99"/>
    <w:rsid w:val="00294FD1"/>
    <w:pPr>
      <w:overflowPunct w:val="0"/>
      <w:autoSpaceDE w:val="0"/>
      <w:autoSpaceDN w:val="0"/>
      <w:adjustRightInd w:val="0"/>
      <w:spacing w:after="0" w:line="440" w:lineRule="exact"/>
      <w:jc w:val="both"/>
      <w:textAlignment w:val="baseline"/>
    </w:pPr>
    <w:rPr>
      <w:rFonts w:ascii="Times New Roman" w:eastAsia="Batang" w:hAnsi="Times New Roman" w:cs="Times New Roman"/>
      <w:sz w:val="36"/>
      <w:szCs w:val="20"/>
    </w:rPr>
  </w:style>
  <w:style w:type="paragraph" w:customStyle="1" w:styleId="Denomination">
    <w:name w:val="Denomination"/>
    <w:basedOn w:val="Normal"/>
    <w:uiPriority w:val="99"/>
    <w:rsid w:val="00294FD1"/>
    <w:pPr>
      <w:overflowPunct w:val="0"/>
      <w:autoSpaceDE w:val="0"/>
      <w:autoSpaceDN w:val="0"/>
      <w:adjustRightInd w:val="0"/>
      <w:spacing w:after="0" w:line="240" w:lineRule="auto"/>
      <w:jc w:val="right"/>
      <w:textAlignment w:val="baseline"/>
    </w:pPr>
    <w:rPr>
      <w:rFonts w:ascii="Times New Roman" w:eastAsia="Batang" w:hAnsi="Times New Roman" w:cs="Times New Roman"/>
      <w:sz w:val="18"/>
      <w:szCs w:val="20"/>
    </w:rPr>
  </w:style>
  <w:style w:type="paragraph" w:customStyle="1" w:styleId="Double">
    <w:name w:val="Double"/>
    <w:basedOn w:val="Normal"/>
    <w:uiPriority w:val="99"/>
    <w:rsid w:val="00294FD1"/>
    <w:pPr>
      <w:overflowPunct w:val="0"/>
      <w:autoSpaceDE w:val="0"/>
      <w:autoSpaceDN w:val="0"/>
      <w:adjustRightInd w:val="0"/>
      <w:spacing w:after="130" w:line="240" w:lineRule="auto"/>
      <w:jc w:val="both"/>
      <w:textAlignment w:val="baseline"/>
    </w:pPr>
    <w:rPr>
      <w:rFonts w:ascii="Times New Roman" w:eastAsia="Batang" w:hAnsi="Times New Roman" w:cs="Times New Roman"/>
      <w:sz w:val="18"/>
      <w:szCs w:val="20"/>
      <w:u w:val="double"/>
    </w:rPr>
  </w:style>
  <w:style w:type="paragraph" w:customStyle="1" w:styleId="Graphic">
    <w:name w:val="Graphic"/>
    <w:basedOn w:val="Normal"/>
    <w:uiPriority w:val="99"/>
    <w:rsid w:val="00294FD1"/>
    <w:pPr>
      <w:keepNext/>
      <w:overflowPunct w:val="0"/>
      <w:autoSpaceDE w:val="0"/>
      <w:autoSpaceDN w:val="0"/>
      <w:adjustRightInd w:val="0"/>
      <w:spacing w:before="130" w:after="130" w:line="240" w:lineRule="auto"/>
      <w:jc w:val="center"/>
      <w:textAlignment w:val="baseline"/>
    </w:pPr>
    <w:rPr>
      <w:rFonts w:ascii="Times New Roman" w:eastAsia="Batang" w:hAnsi="Times New Roman" w:cs="Times New Roman"/>
      <w:szCs w:val="20"/>
    </w:rPr>
  </w:style>
  <w:style w:type="paragraph" w:customStyle="1" w:styleId="NoDecAlign">
    <w:name w:val="NoDecAlign"/>
    <w:basedOn w:val="Normal"/>
    <w:uiPriority w:val="99"/>
    <w:rsid w:val="00294FD1"/>
    <w:pPr>
      <w:tabs>
        <w:tab w:val="decimal" w:pos="1021"/>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Numbering">
    <w:name w:val="Numbering"/>
    <w:basedOn w:val="Normal"/>
    <w:uiPriority w:val="99"/>
    <w:rsid w:val="00294FD1"/>
    <w:pPr>
      <w:overflowPunct w:val="0"/>
      <w:autoSpaceDE w:val="0"/>
      <w:autoSpaceDN w:val="0"/>
      <w:adjustRightInd w:val="0"/>
      <w:spacing w:after="130" w:line="260" w:lineRule="exact"/>
      <w:ind w:left="284" w:hanging="284"/>
      <w:jc w:val="both"/>
      <w:textAlignment w:val="baseline"/>
    </w:pPr>
    <w:rPr>
      <w:rFonts w:ascii="Times New Roman" w:eastAsia="Batang" w:hAnsi="Times New Roman" w:cs="Times New Roman"/>
      <w:szCs w:val="20"/>
    </w:rPr>
  </w:style>
  <w:style w:type="paragraph" w:customStyle="1" w:styleId="OneDecAlign">
    <w:name w:val="OneDecAlign"/>
    <w:basedOn w:val="Normal"/>
    <w:uiPriority w:val="99"/>
    <w:rsid w:val="00294FD1"/>
    <w:pPr>
      <w:tabs>
        <w:tab w:val="decimal" w:pos="879"/>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character" w:styleId="PageNumber">
    <w:name w:val="page number"/>
    <w:basedOn w:val="DefaultParagraphFont"/>
    <w:uiPriority w:val="99"/>
    <w:rsid w:val="00294FD1"/>
    <w:rPr>
      <w:rFonts w:cs="Times New Roman"/>
    </w:rPr>
  </w:style>
  <w:style w:type="paragraph" w:customStyle="1" w:styleId="PageNumber1">
    <w:name w:val="Page Number1"/>
    <w:basedOn w:val="Normal"/>
    <w:uiPriority w:val="99"/>
    <w:rsid w:val="00294FD1"/>
    <w:pPr>
      <w:tabs>
        <w:tab w:val="center" w:pos="4320"/>
        <w:tab w:val="right" w:pos="8640"/>
      </w:tabs>
      <w:overflowPunct w:val="0"/>
      <w:autoSpaceDE w:val="0"/>
      <w:autoSpaceDN w:val="0"/>
      <w:adjustRightInd w:val="0"/>
      <w:spacing w:after="0" w:line="240" w:lineRule="auto"/>
      <w:jc w:val="center"/>
      <w:textAlignment w:val="baseline"/>
    </w:pPr>
    <w:rPr>
      <w:rFonts w:ascii="Times New Roman" w:eastAsia="Batang" w:hAnsi="Times New Roman" w:cs="Times New Roman"/>
      <w:sz w:val="18"/>
      <w:szCs w:val="20"/>
    </w:rPr>
  </w:style>
  <w:style w:type="paragraph" w:customStyle="1" w:styleId="RunningTitle">
    <w:name w:val="Running Title"/>
    <w:basedOn w:val="Normal"/>
    <w:uiPriority w:val="99"/>
    <w:rsid w:val="00294FD1"/>
    <w:pPr>
      <w:overflowPunct w:val="0"/>
      <w:autoSpaceDE w:val="0"/>
      <w:autoSpaceDN w:val="0"/>
      <w:adjustRightInd w:val="0"/>
      <w:spacing w:after="0" w:line="220" w:lineRule="exact"/>
      <w:jc w:val="right"/>
      <w:textAlignment w:val="baseline"/>
    </w:pPr>
    <w:rPr>
      <w:rFonts w:ascii="Times New Roman" w:eastAsia="Batang" w:hAnsi="Times New Roman" w:cs="Times New Roman"/>
      <w:i/>
      <w:sz w:val="18"/>
      <w:szCs w:val="20"/>
    </w:rPr>
  </w:style>
  <w:style w:type="paragraph" w:customStyle="1" w:styleId="Single">
    <w:name w:val="Single"/>
    <w:basedOn w:val="Normal"/>
    <w:uiPriority w:val="99"/>
    <w:rsid w:val="00294FD1"/>
    <w:pPr>
      <w:overflowPunct w:val="0"/>
      <w:autoSpaceDE w:val="0"/>
      <w:autoSpaceDN w:val="0"/>
      <w:adjustRightInd w:val="0"/>
      <w:spacing w:after="130" w:line="240" w:lineRule="auto"/>
      <w:jc w:val="both"/>
      <w:textAlignment w:val="baseline"/>
    </w:pPr>
    <w:rPr>
      <w:rFonts w:ascii="Times New Roman" w:eastAsia="Batang" w:hAnsi="Times New Roman" w:cs="Times New Roman"/>
      <w:sz w:val="18"/>
      <w:szCs w:val="20"/>
      <w:u w:val="single"/>
    </w:rPr>
  </w:style>
  <w:style w:type="paragraph" w:customStyle="1" w:styleId="Source">
    <w:name w:val="Source"/>
    <w:basedOn w:val="Normal"/>
    <w:next w:val="Normal"/>
    <w:uiPriority w:val="99"/>
    <w:rsid w:val="00294FD1"/>
    <w:pPr>
      <w:keepLines/>
      <w:overflowPunct w:val="0"/>
      <w:autoSpaceDE w:val="0"/>
      <w:autoSpaceDN w:val="0"/>
      <w:adjustRightInd w:val="0"/>
      <w:spacing w:after="130" w:line="260" w:lineRule="exact"/>
      <w:jc w:val="both"/>
      <w:textAlignment w:val="baseline"/>
    </w:pPr>
    <w:rPr>
      <w:rFonts w:ascii="Times New Roman" w:eastAsia="Batang" w:hAnsi="Times New Roman" w:cs="Times New Roman"/>
      <w:i/>
      <w:sz w:val="18"/>
      <w:szCs w:val="20"/>
    </w:rPr>
  </w:style>
  <w:style w:type="paragraph" w:customStyle="1" w:styleId="SubCoverTitle">
    <w:name w:val="Sub Cover Title"/>
    <w:basedOn w:val="CoverTitle"/>
    <w:uiPriority w:val="99"/>
    <w:rsid w:val="00294FD1"/>
    <w:rPr>
      <w:sz w:val="26"/>
    </w:rPr>
  </w:style>
  <w:style w:type="paragraph" w:customStyle="1" w:styleId="Tablehead">
    <w:name w:val="Tablehead"/>
    <w:basedOn w:val="Normal"/>
    <w:uiPriority w:val="99"/>
    <w:rsid w:val="00294FD1"/>
    <w:pPr>
      <w:overflowPunct w:val="0"/>
      <w:autoSpaceDE w:val="0"/>
      <w:autoSpaceDN w:val="0"/>
      <w:adjustRightInd w:val="0"/>
      <w:spacing w:before="130" w:after="0" w:line="240" w:lineRule="auto"/>
      <w:jc w:val="right"/>
      <w:textAlignment w:val="baseline"/>
    </w:pPr>
    <w:rPr>
      <w:rFonts w:ascii="Times New Roman" w:eastAsia="Batang" w:hAnsi="Times New Roman" w:cs="Times New Roman"/>
      <w:sz w:val="18"/>
      <w:szCs w:val="20"/>
    </w:rPr>
  </w:style>
  <w:style w:type="paragraph" w:customStyle="1" w:styleId="Tablenums">
    <w:name w:val="Tablenums"/>
    <w:basedOn w:val="Normal"/>
    <w:uiPriority w:val="99"/>
    <w:rsid w:val="00294FD1"/>
    <w:pPr>
      <w:tabs>
        <w:tab w:val="decimal" w:pos="794"/>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Tabletext">
    <w:name w:val="Tabletext"/>
    <w:basedOn w:val="Normal"/>
    <w:uiPriority w:val="99"/>
    <w:rsid w:val="00294FD1"/>
    <w:pPr>
      <w:overflowPunct w:val="0"/>
      <w:autoSpaceDE w:val="0"/>
      <w:autoSpaceDN w:val="0"/>
      <w:adjustRightInd w:val="0"/>
      <w:spacing w:after="0" w:line="240" w:lineRule="auto"/>
      <w:ind w:left="153" w:hanging="153"/>
      <w:jc w:val="both"/>
      <w:textAlignment w:val="baseline"/>
    </w:pPr>
    <w:rPr>
      <w:rFonts w:ascii="Times New Roman" w:eastAsia="Batang" w:hAnsi="Times New Roman" w:cs="Times New Roman"/>
      <w:sz w:val="18"/>
      <w:szCs w:val="20"/>
    </w:rPr>
  </w:style>
  <w:style w:type="paragraph" w:customStyle="1" w:styleId="Text">
    <w:name w:val="Text"/>
    <w:aliases w:val="t1"/>
    <w:basedOn w:val="Normal"/>
    <w:link w:val="TextChar"/>
    <w:uiPriority w:val="99"/>
    <w:rsid w:val="00294FD1"/>
    <w:pPr>
      <w:tabs>
        <w:tab w:val="left" w:pos="284"/>
      </w:tabs>
      <w:overflowPunct w:val="0"/>
      <w:autoSpaceDE w:val="0"/>
      <w:autoSpaceDN w:val="0"/>
      <w:adjustRightInd w:val="0"/>
      <w:spacing w:after="130" w:line="260" w:lineRule="exact"/>
      <w:jc w:val="both"/>
      <w:textAlignment w:val="baseline"/>
    </w:pPr>
    <w:rPr>
      <w:rFonts w:ascii="Times New Roman" w:eastAsia="Batang" w:hAnsi="Times New Roman" w:cs="Times New Roman"/>
      <w:szCs w:val="20"/>
    </w:rPr>
  </w:style>
  <w:style w:type="character" w:customStyle="1" w:styleId="TextChar">
    <w:name w:val="Text Char"/>
    <w:basedOn w:val="DefaultParagraphFont"/>
    <w:link w:val="Text"/>
    <w:uiPriority w:val="99"/>
    <w:locked/>
    <w:rsid w:val="00294FD1"/>
    <w:rPr>
      <w:rFonts w:ascii="Times New Roman" w:eastAsia="Batang" w:hAnsi="Times New Roman" w:cs="Times New Roman"/>
      <w:kern w:val="0"/>
      <w:szCs w:val="20"/>
      <w14:ligatures w14:val="none"/>
    </w:rPr>
  </w:style>
  <w:style w:type="paragraph" w:customStyle="1" w:styleId="TwoDecAlign">
    <w:name w:val="TwoDecAlign"/>
    <w:basedOn w:val="Normal"/>
    <w:uiPriority w:val="99"/>
    <w:rsid w:val="00294FD1"/>
    <w:pPr>
      <w:tabs>
        <w:tab w:val="decimal" w:pos="794"/>
      </w:tabs>
      <w:overflowPunct w:val="0"/>
      <w:autoSpaceDE w:val="0"/>
      <w:autoSpaceDN w:val="0"/>
      <w:adjustRightInd w:val="0"/>
      <w:spacing w:after="0" w:line="240" w:lineRule="auto"/>
      <w:jc w:val="both"/>
      <w:textAlignment w:val="baseline"/>
    </w:pPr>
    <w:rPr>
      <w:rFonts w:ascii="Times New Roman" w:eastAsia="Batang" w:hAnsi="Times New Roman" w:cs="Times New Roman"/>
      <w:sz w:val="18"/>
      <w:szCs w:val="20"/>
    </w:rPr>
  </w:style>
  <w:style w:type="paragraph" w:customStyle="1" w:styleId="ACPageHeading">
    <w:name w:val="AC Page Heading"/>
    <w:basedOn w:val="Normal"/>
    <w:uiPriority w:val="99"/>
    <w:rsid w:val="00294FD1"/>
    <w:pPr>
      <w:pageBreakBefore/>
      <w:suppressAutoHyphens/>
      <w:overflowPunct w:val="0"/>
      <w:autoSpaceDE w:val="0"/>
      <w:autoSpaceDN w:val="0"/>
      <w:adjustRightInd w:val="0"/>
      <w:spacing w:after="0" w:line="240" w:lineRule="auto"/>
      <w:jc w:val="both"/>
      <w:textAlignment w:val="baseline"/>
    </w:pPr>
    <w:rPr>
      <w:rFonts w:ascii="Times New Roman" w:eastAsia="Batang" w:hAnsi="Times New Roman" w:cs="Times New Roman"/>
      <w:b/>
      <w:sz w:val="26"/>
      <w:szCs w:val="20"/>
    </w:rPr>
  </w:style>
  <w:style w:type="paragraph" w:customStyle="1" w:styleId="ACSub-head">
    <w:name w:val="AC Sub-head"/>
    <w:basedOn w:val="Normal"/>
    <w:uiPriority w:val="99"/>
    <w:rsid w:val="00294FD1"/>
    <w:pPr>
      <w:widowControl w:val="0"/>
      <w:suppressAutoHyphens/>
      <w:overflowPunct w:val="0"/>
      <w:autoSpaceDE w:val="0"/>
      <w:autoSpaceDN w:val="0"/>
      <w:adjustRightInd w:val="0"/>
      <w:spacing w:after="0" w:line="240" w:lineRule="auto"/>
      <w:textAlignment w:val="baseline"/>
    </w:pPr>
    <w:rPr>
      <w:rFonts w:ascii="Times New Roman" w:eastAsia="Batang" w:hAnsi="Times New Roman" w:cs="Times New Roman"/>
      <w:b/>
      <w:i/>
      <w:sz w:val="20"/>
      <w:szCs w:val="20"/>
    </w:rPr>
  </w:style>
  <w:style w:type="paragraph" w:customStyle="1" w:styleId="ACContents">
    <w:name w:val="AC Contents"/>
    <w:basedOn w:val="Normal"/>
    <w:uiPriority w:val="99"/>
    <w:rsid w:val="00294FD1"/>
    <w:pPr>
      <w:tabs>
        <w:tab w:val="left" w:pos="7488"/>
      </w:tabs>
      <w:suppressAutoHyphens/>
      <w:overflowPunct w:val="0"/>
      <w:autoSpaceDE w:val="0"/>
      <w:autoSpaceDN w:val="0"/>
      <w:adjustRightInd w:val="0"/>
      <w:spacing w:after="0" w:line="240" w:lineRule="auto"/>
      <w:jc w:val="both"/>
      <w:textAlignment w:val="baseline"/>
    </w:pPr>
    <w:rPr>
      <w:rFonts w:ascii="Times New Roman" w:eastAsia="Batang" w:hAnsi="Times New Roman" w:cs="Times New Roman"/>
      <w:i/>
      <w:sz w:val="18"/>
      <w:szCs w:val="20"/>
    </w:rPr>
  </w:style>
  <w:style w:type="paragraph" w:customStyle="1" w:styleId="ACSectionHeading">
    <w:name w:val="AC Section Heading"/>
    <w:basedOn w:val="Normal"/>
    <w:next w:val="Normal"/>
    <w:link w:val="ACSectionHeadingChar"/>
    <w:uiPriority w:val="99"/>
    <w:rsid w:val="00294FD1"/>
    <w:pPr>
      <w:pageBreakBefore/>
      <w:overflowPunct w:val="0"/>
      <w:autoSpaceDE w:val="0"/>
      <w:autoSpaceDN w:val="0"/>
      <w:adjustRightInd w:val="0"/>
      <w:spacing w:after="0" w:line="240" w:lineRule="auto"/>
      <w:jc w:val="both"/>
      <w:textAlignment w:val="baseline"/>
    </w:pPr>
    <w:rPr>
      <w:rFonts w:ascii="Times New Roman" w:eastAsia="Batang" w:hAnsi="Times New Roman" w:cs="Times New Roman"/>
      <w:b/>
      <w:sz w:val="26"/>
      <w:szCs w:val="20"/>
    </w:rPr>
  </w:style>
  <w:style w:type="character" w:customStyle="1" w:styleId="ACSectionHeadingChar">
    <w:name w:val="AC Section Heading Char"/>
    <w:basedOn w:val="DefaultParagraphFont"/>
    <w:link w:val="ACSectionHeading"/>
    <w:uiPriority w:val="99"/>
    <w:locked/>
    <w:rsid w:val="00294FD1"/>
    <w:rPr>
      <w:rFonts w:ascii="Times New Roman" w:eastAsia="Batang" w:hAnsi="Times New Roman" w:cs="Times New Roman"/>
      <w:b/>
      <w:kern w:val="0"/>
      <w:sz w:val="26"/>
      <w:szCs w:val="20"/>
      <w14:ligatures w14:val="none"/>
    </w:rPr>
  </w:style>
  <w:style w:type="paragraph" w:customStyle="1" w:styleId="ACText">
    <w:name w:val="AC Text"/>
    <w:basedOn w:val="Normal"/>
    <w:link w:val="ACTextChar"/>
    <w:rsid w:val="00294FD1"/>
    <w:pPr>
      <w:tabs>
        <w:tab w:val="left" w:pos="0"/>
      </w:tabs>
      <w:suppressAutoHyphens/>
      <w:overflowPunct w:val="0"/>
      <w:autoSpaceDE w:val="0"/>
      <w:autoSpaceDN w:val="0"/>
      <w:adjustRightInd w:val="0"/>
      <w:spacing w:before="130" w:after="0" w:line="240" w:lineRule="auto"/>
      <w:jc w:val="both"/>
      <w:textAlignment w:val="baseline"/>
    </w:pPr>
    <w:rPr>
      <w:rFonts w:ascii="Times New Roman" w:eastAsia="Batang" w:hAnsi="Times New Roman" w:cs="Times New Roman"/>
      <w:sz w:val="20"/>
      <w:szCs w:val="20"/>
    </w:rPr>
  </w:style>
  <w:style w:type="character" w:customStyle="1" w:styleId="ACTextChar">
    <w:name w:val="AC Text Char"/>
    <w:basedOn w:val="DefaultParagraphFont"/>
    <w:link w:val="ACText"/>
    <w:locked/>
    <w:rsid w:val="00294FD1"/>
    <w:rPr>
      <w:rFonts w:ascii="Times New Roman" w:eastAsia="Batang" w:hAnsi="Times New Roman" w:cs="Times New Roman"/>
      <w:kern w:val="0"/>
      <w:sz w:val="20"/>
      <w:szCs w:val="20"/>
      <w14:ligatures w14:val="none"/>
    </w:rPr>
  </w:style>
  <w:style w:type="paragraph" w:customStyle="1" w:styleId="ACHeadingcontinue">
    <w:name w:val="AC Heading continue"/>
    <w:basedOn w:val="Heading1"/>
    <w:uiPriority w:val="99"/>
    <w:rsid w:val="00294FD1"/>
    <w:pPr>
      <w:keepLines w:val="0"/>
      <w:overflowPunct w:val="0"/>
      <w:autoSpaceDE w:val="0"/>
      <w:autoSpaceDN w:val="0"/>
      <w:adjustRightInd w:val="0"/>
      <w:spacing w:before="240" w:after="260" w:line="260" w:lineRule="exact"/>
      <w:ind w:left="709" w:hanging="709"/>
      <w:jc w:val="both"/>
      <w:textAlignment w:val="baseline"/>
      <w:outlineLvl w:val="9"/>
    </w:pPr>
    <w:rPr>
      <w:rFonts w:ascii="Times New Roman" w:eastAsia="Batang" w:hAnsi="Times New Roman" w:cs="Times New Roman"/>
      <w:color w:val="auto"/>
      <w:sz w:val="20"/>
      <w:szCs w:val="20"/>
    </w:rPr>
  </w:style>
  <w:style w:type="paragraph" w:customStyle="1" w:styleId="ACContentsDetails">
    <w:name w:val="AC Contents Details"/>
    <w:basedOn w:val="ACContents"/>
    <w:next w:val="Normal"/>
    <w:uiPriority w:val="99"/>
    <w:rsid w:val="00294FD1"/>
    <w:pPr>
      <w:spacing w:line="360" w:lineRule="auto"/>
    </w:pPr>
    <w:rPr>
      <w:i w:val="0"/>
      <w:kern w:val="56"/>
    </w:rPr>
  </w:style>
  <w:style w:type="paragraph" w:customStyle="1" w:styleId="ACSectionTOCHeading">
    <w:name w:val="AC Section TOC Heading"/>
    <w:basedOn w:val="ACSectionHeading"/>
    <w:next w:val="ACText"/>
    <w:link w:val="ACSectionTOCHeadingChar"/>
    <w:uiPriority w:val="99"/>
    <w:rsid w:val="00294FD1"/>
    <w:pPr>
      <w:pageBreakBefore w:val="0"/>
    </w:pPr>
  </w:style>
  <w:style w:type="character" w:customStyle="1" w:styleId="ACSectionTOCHeadingChar">
    <w:name w:val="AC Section TOC Heading Char"/>
    <w:basedOn w:val="DefaultParagraphFont"/>
    <w:link w:val="ACSectionTOCHeading"/>
    <w:uiPriority w:val="99"/>
    <w:locked/>
    <w:rsid w:val="00294FD1"/>
    <w:rPr>
      <w:rFonts w:ascii="Times New Roman" w:eastAsia="Batang" w:hAnsi="Times New Roman" w:cs="Times New Roman"/>
      <w:b/>
      <w:kern w:val="0"/>
      <w:sz w:val="26"/>
      <w:szCs w:val="20"/>
      <w14:ligatures w14:val="none"/>
    </w:rPr>
  </w:style>
  <w:style w:type="paragraph" w:styleId="ListBullet">
    <w:name w:val="List Bullet"/>
    <w:basedOn w:val="Normal"/>
    <w:uiPriority w:val="99"/>
    <w:rsid w:val="00294FD1"/>
    <w:pPr>
      <w:overflowPunct w:val="0"/>
      <w:autoSpaceDE w:val="0"/>
      <w:autoSpaceDN w:val="0"/>
      <w:adjustRightInd w:val="0"/>
      <w:spacing w:after="130" w:line="260" w:lineRule="exact"/>
      <w:ind w:left="284" w:hanging="284"/>
      <w:jc w:val="both"/>
      <w:textAlignment w:val="baseline"/>
    </w:pPr>
    <w:rPr>
      <w:rFonts w:ascii="Times New Roman" w:eastAsia="Batang" w:hAnsi="Times New Roman" w:cs="Times New Roman"/>
      <w:szCs w:val="20"/>
    </w:rPr>
  </w:style>
  <w:style w:type="paragraph" w:styleId="ListBullet2">
    <w:name w:val="List Bullet 2"/>
    <w:basedOn w:val="Normal"/>
    <w:uiPriority w:val="99"/>
    <w:rsid w:val="00294FD1"/>
    <w:pPr>
      <w:overflowPunct w:val="0"/>
      <w:autoSpaceDE w:val="0"/>
      <w:autoSpaceDN w:val="0"/>
      <w:adjustRightInd w:val="0"/>
      <w:spacing w:after="130" w:line="260" w:lineRule="exact"/>
      <w:ind w:left="641" w:hanging="357"/>
      <w:jc w:val="both"/>
      <w:textAlignment w:val="baseline"/>
    </w:pPr>
    <w:rPr>
      <w:rFonts w:ascii="Times New Roman" w:eastAsia="Batang" w:hAnsi="Times New Roman" w:cs="Times New Roman"/>
      <w:szCs w:val="20"/>
    </w:rPr>
  </w:style>
  <w:style w:type="paragraph" w:styleId="ListNumber2">
    <w:name w:val="List Number 2"/>
    <w:basedOn w:val="ListBullet2"/>
    <w:uiPriority w:val="99"/>
    <w:rsid w:val="00294FD1"/>
    <w:pPr>
      <w:ind w:left="566" w:hanging="283"/>
    </w:pPr>
  </w:style>
  <w:style w:type="paragraph" w:customStyle="1" w:styleId="FinancialDate">
    <w:name w:val="Financial_Date"/>
    <w:next w:val="Normal"/>
    <w:uiPriority w:val="99"/>
    <w:rsid w:val="00294FD1"/>
    <w:pPr>
      <w:framePr w:w="5670" w:h="2948" w:hRule="exact" w:vSpace="181" w:wrap="notBeside" w:vAnchor="page" w:hAnchor="page" w:x="3171" w:y="5671" w:anchorLock="1"/>
      <w:suppressAutoHyphens/>
      <w:overflowPunct w:val="0"/>
      <w:autoSpaceDE w:val="0"/>
      <w:autoSpaceDN w:val="0"/>
      <w:adjustRightInd w:val="0"/>
      <w:spacing w:after="0" w:line="440" w:lineRule="exact"/>
      <w:ind w:left="284"/>
      <w:textAlignment w:val="baseline"/>
    </w:pPr>
    <w:rPr>
      <w:rFonts w:ascii="Tms Rmn" w:eastAsia="Batang" w:hAnsi="Tms Rmn" w:cs="Times New Roman"/>
      <w:noProof/>
      <w:kern w:val="0"/>
      <w:sz w:val="20"/>
      <w:szCs w:val="20"/>
      <w14:ligatures w14:val="none"/>
    </w:rPr>
  </w:style>
  <w:style w:type="paragraph" w:customStyle="1" w:styleId="AlignBrackets">
    <w:name w:val="AlignBrackets"/>
    <w:basedOn w:val="Normal"/>
    <w:uiPriority w:val="99"/>
    <w:rsid w:val="00294FD1"/>
    <w:pPr>
      <w:overflowPunct w:val="0"/>
      <w:autoSpaceDE w:val="0"/>
      <w:autoSpaceDN w:val="0"/>
      <w:adjustRightInd w:val="0"/>
      <w:spacing w:after="0" w:line="240" w:lineRule="auto"/>
      <w:ind w:left="153" w:right="170" w:hanging="153"/>
      <w:jc w:val="right"/>
      <w:textAlignment w:val="baseline"/>
    </w:pPr>
    <w:rPr>
      <w:rFonts w:ascii="Times New Roman" w:eastAsia="Batang" w:hAnsi="Times New Roman" w:cs="Times New Roman"/>
      <w:sz w:val="18"/>
      <w:szCs w:val="20"/>
    </w:rPr>
  </w:style>
  <w:style w:type="paragraph" w:customStyle="1" w:styleId="AlignBracketsOne">
    <w:name w:val="AlignBracketsOne"/>
    <w:basedOn w:val="Normal"/>
    <w:uiPriority w:val="99"/>
    <w:rsid w:val="00294FD1"/>
    <w:pPr>
      <w:overflowPunct w:val="0"/>
      <w:autoSpaceDE w:val="0"/>
      <w:autoSpaceDN w:val="0"/>
      <w:adjustRightInd w:val="0"/>
      <w:spacing w:after="0" w:line="240" w:lineRule="auto"/>
      <w:ind w:left="153" w:hanging="153"/>
      <w:jc w:val="right"/>
      <w:textAlignment w:val="baseline"/>
    </w:pPr>
    <w:rPr>
      <w:rFonts w:ascii="Times New Roman" w:eastAsia="Batang" w:hAnsi="Times New Roman" w:cs="Times New Roman"/>
      <w:sz w:val="18"/>
      <w:szCs w:val="20"/>
    </w:rPr>
  </w:style>
  <w:style w:type="paragraph" w:customStyle="1" w:styleId="AlignWithoutBrackets">
    <w:name w:val="AlignWithoutBrackets"/>
    <w:basedOn w:val="Tabletext"/>
    <w:uiPriority w:val="99"/>
    <w:rsid w:val="00294FD1"/>
    <w:pPr>
      <w:jc w:val="right"/>
    </w:pPr>
  </w:style>
  <w:style w:type="paragraph" w:customStyle="1" w:styleId="AlignBracketsTwo">
    <w:name w:val="AlignBracketsTwo"/>
    <w:basedOn w:val="Normal"/>
    <w:uiPriority w:val="99"/>
    <w:rsid w:val="00294FD1"/>
    <w:pPr>
      <w:overflowPunct w:val="0"/>
      <w:autoSpaceDE w:val="0"/>
      <w:autoSpaceDN w:val="0"/>
      <w:adjustRightInd w:val="0"/>
      <w:spacing w:after="0" w:line="240" w:lineRule="auto"/>
      <w:ind w:left="153" w:right="57" w:hanging="153"/>
      <w:jc w:val="right"/>
      <w:textAlignment w:val="baseline"/>
    </w:pPr>
    <w:rPr>
      <w:rFonts w:ascii="Times New Roman" w:eastAsia="Batang" w:hAnsi="Times New Roman" w:cs="Times New Roman"/>
      <w:sz w:val="18"/>
      <w:szCs w:val="20"/>
    </w:rPr>
  </w:style>
  <w:style w:type="paragraph" w:customStyle="1" w:styleId="AlignWithoutOne">
    <w:name w:val="AlignWithoutOne"/>
    <w:basedOn w:val="Normal"/>
    <w:uiPriority w:val="99"/>
    <w:rsid w:val="00294FD1"/>
    <w:pPr>
      <w:overflowPunct w:val="0"/>
      <w:autoSpaceDE w:val="0"/>
      <w:autoSpaceDN w:val="0"/>
      <w:adjustRightInd w:val="0"/>
      <w:spacing w:after="0" w:line="240" w:lineRule="auto"/>
      <w:ind w:left="153" w:right="57" w:hanging="153"/>
      <w:jc w:val="right"/>
      <w:textAlignment w:val="baseline"/>
    </w:pPr>
    <w:rPr>
      <w:rFonts w:ascii="Times New Roman" w:eastAsia="Batang" w:hAnsi="Times New Roman" w:cs="Times New Roman"/>
      <w:sz w:val="18"/>
      <w:szCs w:val="20"/>
    </w:rPr>
  </w:style>
  <w:style w:type="paragraph" w:customStyle="1" w:styleId="AlignWithoutTwo">
    <w:name w:val="AlignWithoutTwo"/>
    <w:basedOn w:val="Normal"/>
    <w:uiPriority w:val="99"/>
    <w:rsid w:val="00294FD1"/>
    <w:pPr>
      <w:overflowPunct w:val="0"/>
      <w:autoSpaceDE w:val="0"/>
      <w:autoSpaceDN w:val="0"/>
      <w:adjustRightInd w:val="0"/>
      <w:spacing w:after="0" w:line="240" w:lineRule="auto"/>
      <w:ind w:left="153" w:right="113" w:hanging="153"/>
      <w:jc w:val="right"/>
      <w:textAlignment w:val="baseline"/>
    </w:pPr>
    <w:rPr>
      <w:rFonts w:ascii="Times New Roman" w:eastAsia="Batang" w:hAnsi="Times New Roman" w:cs="Times New Roman"/>
      <w:sz w:val="18"/>
      <w:szCs w:val="20"/>
    </w:rPr>
  </w:style>
  <w:style w:type="paragraph" w:customStyle="1" w:styleId="LetTLH">
    <w:name w:val="LetTLH"/>
    <w:basedOn w:val="Normal"/>
    <w:next w:val="Normal"/>
    <w:uiPriority w:val="99"/>
    <w:rsid w:val="00294FD1"/>
    <w:pPr>
      <w:keepLines/>
      <w:tabs>
        <w:tab w:val="left" w:pos="1463"/>
        <w:tab w:val="left" w:pos="4445"/>
        <w:tab w:val="left" w:pos="7326"/>
      </w:tabs>
      <w:overflowPunct w:val="0"/>
      <w:autoSpaceDE w:val="0"/>
      <w:autoSpaceDN w:val="0"/>
      <w:adjustRightInd w:val="0"/>
      <w:spacing w:after="260" w:line="240" w:lineRule="exact"/>
      <w:textAlignment w:val="baseline"/>
    </w:pPr>
    <w:rPr>
      <w:rFonts w:ascii="Univers 45 Light" w:eastAsia="Batang" w:hAnsi="Univers 45 Light" w:cs="Times New Roman"/>
      <w:sz w:val="16"/>
      <w:szCs w:val="20"/>
    </w:rPr>
  </w:style>
  <w:style w:type="paragraph" w:customStyle="1" w:styleId="CoverClientName">
    <w:name w:val="Cover Client Name"/>
    <w:basedOn w:val="Normal"/>
    <w:uiPriority w:val="99"/>
    <w:rsid w:val="00294FD1"/>
    <w:pPr>
      <w:tabs>
        <w:tab w:val="left" w:pos="-140"/>
      </w:tabs>
      <w:overflowPunct w:val="0"/>
      <w:autoSpaceDE w:val="0"/>
      <w:autoSpaceDN w:val="0"/>
      <w:adjustRightInd w:val="0"/>
      <w:spacing w:before="80" w:after="520" w:line="240" w:lineRule="auto"/>
      <w:jc w:val="both"/>
      <w:textAlignment w:val="baseline"/>
    </w:pPr>
    <w:rPr>
      <w:rFonts w:ascii="Times New Roman" w:eastAsia="Batang" w:hAnsi="Times New Roman" w:cs="Times New Roman"/>
      <w:b/>
      <w:sz w:val="26"/>
      <w:szCs w:val="20"/>
    </w:rPr>
  </w:style>
  <w:style w:type="paragraph" w:customStyle="1" w:styleId="Tabletext1">
    <w:name w:val="Tabletext1"/>
    <w:basedOn w:val="Normal"/>
    <w:uiPriority w:val="99"/>
    <w:rsid w:val="00294FD1"/>
    <w:pPr>
      <w:overflowPunct w:val="0"/>
      <w:autoSpaceDE w:val="0"/>
      <w:autoSpaceDN w:val="0"/>
      <w:adjustRightInd w:val="0"/>
      <w:spacing w:before="130" w:after="0" w:line="240" w:lineRule="auto"/>
      <w:ind w:left="360" w:right="57" w:hanging="360"/>
      <w:jc w:val="right"/>
      <w:textAlignment w:val="baseline"/>
    </w:pPr>
    <w:rPr>
      <w:rFonts w:ascii="Times New Roman" w:eastAsia="Batang" w:hAnsi="Times New Roman" w:cs="Times New Roman"/>
      <w:sz w:val="18"/>
      <w:szCs w:val="20"/>
    </w:rPr>
  </w:style>
  <w:style w:type="paragraph" w:customStyle="1" w:styleId="Tabletext2">
    <w:name w:val="Tabletext2"/>
    <w:basedOn w:val="Normal"/>
    <w:uiPriority w:val="99"/>
    <w:rsid w:val="00294FD1"/>
    <w:pPr>
      <w:overflowPunct w:val="0"/>
      <w:autoSpaceDE w:val="0"/>
      <w:autoSpaceDN w:val="0"/>
      <w:adjustRightInd w:val="0"/>
      <w:spacing w:before="130" w:after="0" w:line="240" w:lineRule="auto"/>
      <w:ind w:right="113"/>
      <w:jc w:val="right"/>
      <w:textAlignment w:val="baseline"/>
    </w:pPr>
    <w:rPr>
      <w:rFonts w:ascii="Times New Roman" w:eastAsia="Batang" w:hAnsi="Times New Roman" w:cs="Times New Roman"/>
      <w:sz w:val="18"/>
      <w:szCs w:val="20"/>
    </w:rPr>
  </w:style>
  <w:style w:type="paragraph" w:customStyle="1" w:styleId="ACBullet">
    <w:name w:val="AC Bullet"/>
    <w:basedOn w:val="Normal"/>
    <w:autoRedefine/>
    <w:uiPriority w:val="99"/>
    <w:rsid w:val="00294FD1"/>
    <w:pPr>
      <w:tabs>
        <w:tab w:val="left" w:pos="284"/>
      </w:tabs>
      <w:overflowPunct w:val="0"/>
      <w:autoSpaceDE w:val="0"/>
      <w:autoSpaceDN w:val="0"/>
      <w:adjustRightInd w:val="0"/>
      <w:spacing w:before="130" w:after="0" w:line="240" w:lineRule="auto"/>
      <w:ind w:left="284" w:hanging="284"/>
      <w:jc w:val="both"/>
      <w:textAlignment w:val="baseline"/>
    </w:pPr>
    <w:rPr>
      <w:rFonts w:ascii="Times New Roman" w:eastAsia="Batang" w:hAnsi="Times New Roman" w:cs="Times New Roman"/>
      <w:sz w:val="20"/>
      <w:szCs w:val="20"/>
    </w:rPr>
  </w:style>
  <w:style w:type="paragraph" w:customStyle="1" w:styleId="CoverSubTitle">
    <w:name w:val="Cover SubTitle"/>
    <w:basedOn w:val="Single"/>
    <w:uiPriority w:val="99"/>
    <w:rsid w:val="00294FD1"/>
    <w:pPr>
      <w:spacing w:after="0" w:line="440" w:lineRule="exact"/>
      <w:jc w:val="center"/>
    </w:pPr>
    <w:rPr>
      <w:sz w:val="32"/>
      <w:u w:val="none"/>
    </w:rPr>
  </w:style>
  <w:style w:type="paragraph" w:customStyle="1" w:styleId="CoverDate">
    <w:name w:val="Cover Date"/>
    <w:basedOn w:val="Single"/>
    <w:uiPriority w:val="99"/>
    <w:rsid w:val="00294FD1"/>
    <w:pPr>
      <w:spacing w:after="0" w:line="440" w:lineRule="exact"/>
      <w:jc w:val="center"/>
    </w:pPr>
    <w:rPr>
      <w:sz w:val="32"/>
      <w:u w:val="none"/>
    </w:rPr>
  </w:style>
  <w:style w:type="paragraph" w:customStyle="1" w:styleId="KPMGSmalllogo">
    <w:name w:val="KPMG Small logo"/>
    <w:basedOn w:val="Normal"/>
    <w:uiPriority w:val="99"/>
    <w:rsid w:val="00294FD1"/>
    <w:pPr>
      <w:overflowPunct w:val="0"/>
      <w:autoSpaceDE w:val="0"/>
      <w:autoSpaceDN w:val="0"/>
      <w:adjustRightInd w:val="0"/>
      <w:spacing w:before="360" w:after="0" w:line="240" w:lineRule="auto"/>
      <w:textAlignment w:val="baseline"/>
    </w:pPr>
    <w:rPr>
      <w:rFonts w:ascii="KPMG Logos V0.92" w:eastAsia="Batang" w:hAnsi="KPMG Logos V0.92" w:cs="Times New Roman"/>
      <w:sz w:val="20"/>
      <w:szCs w:val="20"/>
    </w:rPr>
  </w:style>
  <w:style w:type="paragraph" w:styleId="ListBullet3">
    <w:name w:val="List Bullet 3"/>
    <w:basedOn w:val="Normal"/>
    <w:autoRedefine/>
    <w:uiPriority w:val="99"/>
    <w:rsid w:val="00294FD1"/>
    <w:pPr>
      <w:tabs>
        <w:tab w:val="num" w:pos="643"/>
        <w:tab w:val="num" w:pos="926"/>
      </w:tabs>
      <w:overflowPunct w:val="0"/>
      <w:autoSpaceDE w:val="0"/>
      <w:autoSpaceDN w:val="0"/>
      <w:adjustRightInd w:val="0"/>
      <w:spacing w:after="0" w:line="240" w:lineRule="auto"/>
      <w:ind w:left="926" w:hanging="360"/>
      <w:jc w:val="both"/>
      <w:textAlignment w:val="baseline"/>
    </w:pPr>
    <w:rPr>
      <w:rFonts w:ascii="Times New Roman" w:eastAsia="Batang" w:hAnsi="Times New Roman" w:cs="Times New Roman"/>
      <w:sz w:val="18"/>
      <w:szCs w:val="20"/>
    </w:rPr>
  </w:style>
  <w:style w:type="paragraph" w:styleId="ListBullet4">
    <w:name w:val="List Bullet 4"/>
    <w:basedOn w:val="Normal"/>
    <w:autoRedefine/>
    <w:uiPriority w:val="99"/>
    <w:rsid w:val="00294FD1"/>
    <w:pPr>
      <w:tabs>
        <w:tab w:val="num" w:pos="926"/>
        <w:tab w:val="num" w:pos="1209"/>
      </w:tabs>
      <w:overflowPunct w:val="0"/>
      <w:autoSpaceDE w:val="0"/>
      <w:autoSpaceDN w:val="0"/>
      <w:adjustRightInd w:val="0"/>
      <w:spacing w:after="0" w:line="240" w:lineRule="auto"/>
      <w:ind w:left="1209" w:hanging="360"/>
      <w:jc w:val="both"/>
      <w:textAlignment w:val="baseline"/>
    </w:pPr>
    <w:rPr>
      <w:rFonts w:ascii="Times New Roman" w:eastAsia="Batang" w:hAnsi="Times New Roman" w:cs="Times New Roman"/>
      <w:sz w:val="18"/>
      <w:szCs w:val="20"/>
    </w:rPr>
  </w:style>
  <w:style w:type="paragraph" w:styleId="ListBullet5">
    <w:name w:val="List Bullet 5"/>
    <w:basedOn w:val="Normal"/>
    <w:autoRedefine/>
    <w:uiPriority w:val="99"/>
    <w:rsid w:val="00294FD1"/>
    <w:pPr>
      <w:tabs>
        <w:tab w:val="num" w:pos="1209"/>
        <w:tab w:val="num" w:pos="1492"/>
      </w:tabs>
      <w:overflowPunct w:val="0"/>
      <w:autoSpaceDE w:val="0"/>
      <w:autoSpaceDN w:val="0"/>
      <w:adjustRightInd w:val="0"/>
      <w:spacing w:after="0" w:line="240" w:lineRule="auto"/>
      <w:ind w:left="1492" w:hanging="360"/>
      <w:jc w:val="both"/>
      <w:textAlignment w:val="baseline"/>
    </w:pPr>
    <w:rPr>
      <w:rFonts w:ascii="Times New Roman" w:eastAsia="Batang" w:hAnsi="Times New Roman" w:cs="Times New Roman"/>
      <w:sz w:val="18"/>
      <w:szCs w:val="20"/>
    </w:rPr>
  </w:style>
  <w:style w:type="paragraph" w:styleId="ListNumber">
    <w:name w:val="List Number"/>
    <w:basedOn w:val="Normal"/>
    <w:uiPriority w:val="99"/>
    <w:rsid w:val="00294FD1"/>
    <w:pPr>
      <w:tabs>
        <w:tab w:val="num" w:pos="1492"/>
      </w:tabs>
      <w:overflowPunct w:val="0"/>
      <w:autoSpaceDE w:val="0"/>
      <w:autoSpaceDN w:val="0"/>
      <w:adjustRightInd w:val="0"/>
      <w:spacing w:after="0" w:line="240" w:lineRule="auto"/>
      <w:ind w:left="360" w:hanging="360"/>
      <w:jc w:val="both"/>
      <w:textAlignment w:val="baseline"/>
    </w:pPr>
    <w:rPr>
      <w:rFonts w:ascii="Times New Roman" w:eastAsia="Batang" w:hAnsi="Times New Roman" w:cs="Times New Roman"/>
      <w:sz w:val="18"/>
      <w:szCs w:val="20"/>
    </w:rPr>
  </w:style>
  <w:style w:type="paragraph" w:styleId="ListNumber3">
    <w:name w:val="List Number 3"/>
    <w:basedOn w:val="Normal"/>
    <w:uiPriority w:val="99"/>
    <w:rsid w:val="00294FD1"/>
    <w:pPr>
      <w:tabs>
        <w:tab w:val="num" w:pos="926"/>
      </w:tabs>
      <w:overflowPunct w:val="0"/>
      <w:autoSpaceDE w:val="0"/>
      <w:autoSpaceDN w:val="0"/>
      <w:adjustRightInd w:val="0"/>
      <w:spacing w:after="0" w:line="240" w:lineRule="auto"/>
      <w:ind w:left="926" w:hanging="360"/>
      <w:jc w:val="both"/>
      <w:textAlignment w:val="baseline"/>
    </w:pPr>
    <w:rPr>
      <w:rFonts w:ascii="Times New Roman" w:eastAsia="Batang" w:hAnsi="Times New Roman" w:cs="Times New Roman"/>
      <w:sz w:val="18"/>
      <w:szCs w:val="20"/>
    </w:rPr>
  </w:style>
  <w:style w:type="paragraph" w:styleId="ListNumber4">
    <w:name w:val="List Number 4"/>
    <w:basedOn w:val="Normal"/>
    <w:uiPriority w:val="99"/>
    <w:rsid w:val="00294FD1"/>
    <w:pPr>
      <w:tabs>
        <w:tab w:val="num" w:pos="926"/>
        <w:tab w:val="num" w:pos="1209"/>
      </w:tabs>
      <w:overflowPunct w:val="0"/>
      <w:autoSpaceDE w:val="0"/>
      <w:autoSpaceDN w:val="0"/>
      <w:adjustRightInd w:val="0"/>
      <w:spacing w:after="0" w:line="240" w:lineRule="auto"/>
      <w:ind w:left="1209" w:hanging="360"/>
      <w:jc w:val="both"/>
      <w:textAlignment w:val="baseline"/>
    </w:pPr>
    <w:rPr>
      <w:rFonts w:ascii="Times New Roman" w:eastAsia="Batang" w:hAnsi="Times New Roman" w:cs="Times New Roman"/>
      <w:sz w:val="18"/>
      <w:szCs w:val="20"/>
    </w:rPr>
  </w:style>
  <w:style w:type="paragraph" w:styleId="ListNumber5">
    <w:name w:val="List Number 5"/>
    <w:basedOn w:val="Normal"/>
    <w:uiPriority w:val="99"/>
    <w:rsid w:val="00294FD1"/>
    <w:pPr>
      <w:tabs>
        <w:tab w:val="num" w:pos="1209"/>
        <w:tab w:val="num" w:pos="1492"/>
      </w:tabs>
      <w:overflowPunct w:val="0"/>
      <w:autoSpaceDE w:val="0"/>
      <w:autoSpaceDN w:val="0"/>
      <w:adjustRightInd w:val="0"/>
      <w:spacing w:after="0" w:line="240" w:lineRule="auto"/>
      <w:ind w:left="1492" w:hanging="360"/>
      <w:jc w:val="both"/>
      <w:textAlignment w:val="baseline"/>
    </w:pPr>
    <w:rPr>
      <w:rFonts w:ascii="Times New Roman" w:eastAsia="Batang" w:hAnsi="Times New Roman" w:cs="Times New Roman"/>
      <w:sz w:val="18"/>
      <w:szCs w:val="20"/>
    </w:rPr>
  </w:style>
  <w:style w:type="paragraph" w:customStyle="1" w:styleId="AccountingPolicy">
    <w:name w:val="Accounting Policy"/>
    <w:basedOn w:val="BodyText"/>
    <w:link w:val="AccountingPolicyChar"/>
    <w:uiPriority w:val="99"/>
    <w:rsid w:val="00294FD1"/>
    <w:pPr>
      <w:tabs>
        <w:tab w:val="clear" w:pos="709"/>
        <w:tab w:val="clear" w:pos="1559"/>
        <w:tab w:val="clear" w:pos="2268"/>
        <w:tab w:val="clear" w:pos="2977"/>
        <w:tab w:val="clear" w:pos="3686"/>
        <w:tab w:val="clear" w:pos="4394"/>
        <w:tab w:val="clear" w:pos="8789"/>
        <w:tab w:val="left" w:pos="1106"/>
        <w:tab w:val="left" w:pos="1502"/>
        <w:tab w:val="left" w:pos="1786"/>
      </w:tabs>
      <w:autoSpaceDE w:val="0"/>
      <w:autoSpaceDN w:val="0"/>
      <w:adjustRightInd w:val="0"/>
      <w:spacing w:line="260" w:lineRule="atLeast"/>
      <w:ind w:left="1502" w:hanging="1502"/>
    </w:pPr>
    <w:rPr>
      <w:rFonts w:ascii="Times New Roman" w:hAnsi="Times New Roman"/>
      <w:color w:val="0C2D83"/>
      <w:lang w:val="en-NZ" w:eastAsia="en-NZ"/>
    </w:rPr>
  </w:style>
  <w:style w:type="character" w:customStyle="1" w:styleId="AccountingPolicyChar">
    <w:name w:val="Accounting Policy Char"/>
    <w:basedOn w:val="DefaultParagraphFont"/>
    <w:link w:val="AccountingPolicy"/>
    <w:uiPriority w:val="99"/>
    <w:locked/>
    <w:rsid w:val="00294FD1"/>
    <w:rPr>
      <w:rFonts w:ascii="Times New Roman" w:eastAsia="Batang" w:hAnsi="Times New Roman" w:cs="Times New Roman"/>
      <w:color w:val="0C2D83"/>
      <w:kern w:val="0"/>
      <w:sz w:val="20"/>
      <w:szCs w:val="20"/>
      <w:lang w:val="en-NZ" w:eastAsia="en-NZ"/>
      <w14:ligatures w14:val="none"/>
    </w:rPr>
  </w:style>
  <w:style w:type="paragraph" w:customStyle="1" w:styleId="AccountHD">
    <w:name w:val="AccountHD"/>
    <w:basedOn w:val="Normal"/>
    <w:next w:val="Normal"/>
    <w:uiPriority w:val="99"/>
    <w:rsid w:val="00294FD1"/>
    <w:pPr>
      <w:tabs>
        <w:tab w:val="decimal" w:pos="709"/>
        <w:tab w:val="center" w:pos="5953"/>
        <w:tab w:val="center" w:pos="7427"/>
        <w:tab w:val="center" w:pos="8901"/>
      </w:tabs>
      <w:autoSpaceDE w:val="0"/>
      <w:autoSpaceDN w:val="0"/>
      <w:adjustRightInd w:val="0"/>
      <w:spacing w:after="0" w:line="260" w:lineRule="atLeast"/>
    </w:pPr>
    <w:rPr>
      <w:rFonts w:ascii="Times New Roman" w:eastAsia="Batang" w:hAnsi="Times New Roman" w:cs="Times New Roman"/>
      <w:b/>
      <w:bCs/>
      <w:color w:val="0C2D83"/>
      <w:sz w:val="18"/>
      <w:szCs w:val="18"/>
      <w:lang w:val="en-NZ" w:eastAsia="en-NZ"/>
    </w:rPr>
  </w:style>
  <w:style w:type="paragraph" w:customStyle="1" w:styleId="AccountBody1">
    <w:name w:val="AccountBody1"/>
    <w:uiPriority w:val="99"/>
    <w:rsid w:val="00294FD1"/>
    <w:pPr>
      <w:tabs>
        <w:tab w:val="decimal" w:pos="709"/>
      </w:tabs>
      <w:autoSpaceDE w:val="0"/>
      <w:autoSpaceDN w:val="0"/>
      <w:adjustRightInd w:val="0"/>
      <w:spacing w:after="0" w:line="260" w:lineRule="atLeast"/>
    </w:pPr>
    <w:rPr>
      <w:rFonts w:ascii="Times New Roman" w:eastAsia="Batang" w:hAnsi="Times New Roman" w:cs="Times New Roman"/>
      <w:color w:val="0C2D83"/>
      <w:kern w:val="0"/>
      <w:sz w:val="20"/>
      <w:szCs w:val="20"/>
      <w:lang w:val="en-NZ" w:eastAsia="en-NZ"/>
      <w14:ligatures w14:val="none"/>
    </w:rPr>
  </w:style>
  <w:style w:type="paragraph" w:customStyle="1" w:styleId="Notebody">
    <w:name w:val="Notebody"/>
    <w:basedOn w:val="Normal"/>
    <w:next w:val="Normal"/>
    <w:uiPriority w:val="99"/>
    <w:rsid w:val="00294FD1"/>
    <w:pPr>
      <w:tabs>
        <w:tab w:val="left" w:pos="1077"/>
        <w:tab w:val="left" w:pos="1502"/>
        <w:tab w:val="left" w:pos="1786"/>
      </w:tabs>
      <w:autoSpaceDE w:val="0"/>
      <w:autoSpaceDN w:val="0"/>
      <w:adjustRightInd w:val="0"/>
      <w:spacing w:after="0" w:line="260" w:lineRule="exact"/>
      <w:ind w:right="113"/>
      <w:jc w:val="both"/>
    </w:pPr>
    <w:rPr>
      <w:rFonts w:ascii="Times New Roman" w:eastAsia="Batang" w:hAnsi="Times New Roman" w:cs="Times New Roman"/>
      <w:color w:val="0C2D83"/>
      <w:sz w:val="20"/>
      <w:szCs w:val="20"/>
      <w:lang w:val="en-NZ" w:eastAsia="en-NZ"/>
    </w:rPr>
  </w:style>
  <w:style w:type="paragraph" w:customStyle="1" w:styleId="NormalLeft024cm">
    <w:name w:val="Normal + Left:  0.24 cm"/>
    <w:basedOn w:val="Normal"/>
    <w:uiPriority w:val="99"/>
    <w:rsid w:val="00294FD1"/>
    <w:pPr>
      <w:overflowPunct w:val="0"/>
      <w:autoSpaceDE w:val="0"/>
      <w:autoSpaceDN w:val="0"/>
      <w:adjustRightInd w:val="0"/>
      <w:spacing w:after="0" w:line="240" w:lineRule="auto"/>
      <w:ind w:left="134"/>
      <w:jc w:val="both"/>
      <w:textAlignment w:val="baseline"/>
    </w:pPr>
    <w:rPr>
      <w:rFonts w:ascii="Times New Roman" w:eastAsia="Batang" w:hAnsi="Times New Roman" w:cs="Times New Roman"/>
      <w:sz w:val="18"/>
      <w:szCs w:val="20"/>
    </w:rPr>
  </w:style>
  <w:style w:type="paragraph" w:customStyle="1" w:styleId="NormalLeft">
    <w:name w:val="Normal + Left"/>
    <w:aliases w:val="Left"/>
    <w:basedOn w:val="Normal"/>
    <w:uiPriority w:val="99"/>
    <w:rsid w:val="00294FD1"/>
    <w:pPr>
      <w:overflowPunct w:val="0"/>
      <w:autoSpaceDE w:val="0"/>
      <w:autoSpaceDN w:val="0"/>
      <w:adjustRightInd w:val="0"/>
      <w:spacing w:after="0" w:line="240" w:lineRule="auto"/>
      <w:ind w:left="134"/>
      <w:textAlignment w:val="baseline"/>
    </w:pPr>
    <w:rPr>
      <w:rFonts w:ascii="Times New Roman" w:eastAsia="Batang" w:hAnsi="Times New Roman" w:cs="Times New Roman"/>
      <w:sz w:val="18"/>
      <w:szCs w:val="20"/>
    </w:rPr>
  </w:style>
  <w:style w:type="paragraph" w:customStyle="1" w:styleId="NormalBold">
    <w:name w:val="Normal + Bold"/>
    <w:basedOn w:val="NoDecAlign"/>
    <w:uiPriority w:val="99"/>
    <w:rsid w:val="00294FD1"/>
    <w:pPr>
      <w:tabs>
        <w:tab w:val="clear" w:pos="1021"/>
      </w:tabs>
    </w:pPr>
    <w:rPr>
      <w:b/>
    </w:rPr>
  </w:style>
  <w:style w:type="paragraph" w:customStyle="1" w:styleId="Normal10pt">
    <w:name w:val="Normal + 10 pt"/>
    <w:aliases w:val="Right"/>
    <w:basedOn w:val="Normal"/>
    <w:uiPriority w:val="99"/>
    <w:rsid w:val="00294FD1"/>
    <w:pPr>
      <w:spacing w:after="0" w:line="240" w:lineRule="auto"/>
      <w:jc w:val="right"/>
    </w:pPr>
    <w:rPr>
      <w:rFonts w:ascii="Times New Roman" w:eastAsia="Batang" w:hAnsi="Times New Roman" w:cs="Times New Roman"/>
      <w:sz w:val="20"/>
      <w:szCs w:val="20"/>
      <w:lang w:val="en-US"/>
    </w:rPr>
  </w:style>
  <w:style w:type="paragraph" w:customStyle="1" w:styleId="NormalRight">
    <w:name w:val="Normal + Right"/>
    <w:basedOn w:val="Normal"/>
    <w:uiPriority w:val="99"/>
    <w:rsid w:val="00294FD1"/>
    <w:pPr>
      <w:tabs>
        <w:tab w:val="decimal" w:pos="598"/>
      </w:tabs>
      <w:spacing w:after="0" w:line="240" w:lineRule="auto"/>
      <w:jc w:val="both"/>
    </w:pPr>
    <w:rPr>
      <w:rFonts w:ascii="Times New Roman" w:eastAsia="Batang" w:hAnsi="Times New Roman" w:cs="Times New Roman"/>
      <w:sz w:val="18"/>
      <w:szCs w:val="18"/>
      <w:lang w:val="en-US"/>
    </w:rPr>
  </w:style>
  <w:style w:type="character" w:customStyle="1" w:styleId="displayanchors1">
    <w:name w:val="displayanchors1"/>
    <w:basedOn w:val="DefaultParagraphFont"/>
    <w:uiPriority w:val="99"/>
    <w:rsid w:val="00294FD1"/>
    <w:rPr>
      <w:rFonts w:cs="Times New Roman"/>
      <w:b/>
      <w:bCs/>
      <w:vanish/>
      <w:color w:val="FF0000"/>
    </w:rPr>
  </w:style>
  <w:style w:type="character" w:customStyle="1" w:styleId="marker">
    <w:name w:val="marker"/>
    <w:basedOn w:val="DefaultParagraphFont"/>
    <w:uiPriority w:val="99"/>
    <w:rsid w:val="00294FD1"/>
    <w:rPr>
      <w:rFonts w:cs="Times New Roman"/>
    </w:rPr>
  </w:style>
  <w:style w:type="character" w:customStyle="1" w:styleId="block">
    <w:name w:val="block"/>
    <w:basedOn w:val="DefaultParagraphFont"/>
    <w:uiPriority w:val="99"/>
    <w:rsid w:val="00294FD1"/>
    <w:rPr>
      <w:rFonts w:cs="Times New Roman"/>
    </w:rPr>
  </w:style>
  <w:style w:type="character" w:customStyle="1" w:styleId="larger1">
    <w:name w:val="larger1"/>
    <w:basedOn w:val="DefaultParagraphFont"/>
    <w:uiPriority w:val="99"/>
    <w:rsid w:val="00294FD1"/>
    <w:rPr>
      <w:rFonts w:cs="Times New Roman"/>
      <w:sz w:val="23"/>
      <w:szCs w:val="23"/>
    </w:rPr>
  </w:style>
  <w:style w:type="paragraph" w:customStyle="1" w:styleId="NormalLatinArial">
    <w:name w:val="Normal + (Latin) Arial"/>
    <w:aliases w:val="9pt"/>
    <w:basedOn w:val="NormalLeft"/>
    <w:uiPriority w:val="99"/>
    <w:rsid w:val="00294FD1"/>
    <w:rPr>
      <w:rFonts w:ascii="Arial" w:hAnsi="Arial"/>
      <w:u w:val="single"/>
    </w:rPr>
  </w:style>
  <w:style w:type="paragraph" w:styleId="PlainText">
    <w:name w:val="Plain Text"/>
    <w:basedOn w:val="Normal"/>
    <w:link w:val="PlainTextChar"/>
    <w:uiPriority w:val="99"/>
    <w:unhideWhenUsed/>
    <w:rsid w:val="00294FD1"/>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294FD1"/>
    <w:rPr>
      <w:rFonts w:ascii="Arial" w:hAnsi="Arial"/>
      <w:kern w:val="0"/>
      <w:sz w:val="20"/>
      <w:szCs w:val="21"/>
      <w14:ligatures w14:val="none"/>
    </w:rPr>
  </w:style>
  <w:style w:type="character" w:styleId="Strong">
    <w:name w:val="Strong"/>
    <w:basedOn w:val="DefaultParagraphFont"/>
    <w:uiPriority w:val="22"/>
    <w:qFormat/>
    <w:rsid w:val="00294FD1"/>
    <w:rPr>
      <w:b/>
      <w:bCs/>
    </w:rPr>
  </w:style>
  <w:style w:type="character" w:styleId="CommentReference">
    <w:name w:val="annotation reference"/>
    <w:basedOn w:val="DefaultParagraphFont"/>
    <w:uiPriority w:val="99"/>
    <w:semiHidden/>
    <w:unhideWhenUsed/>
    <w:rsid w:val="00294FD1"/>
    <w:rPr>
      <w:sz w:val="16"/>
      <w:szCs w:val="16"/>
    </w:rPr>
  </w:style>
  <w:style w:type="paragraph" w:styleId="CommentText">
    <w:name w:val="annotation text"/>
    <w:basedOn w:val="Normal"/>
    <w:link w:val="CommentTextChar"/>
    <w:uiPriority w:val="99"/>
    <w:unhideWhenUsed/>
    <w:rsid w:val="00294FD1"/>
    <w:pPr>
      <w:tabs>
        <w:tab w:val="left" w:pos="709"/>
        <w:tab w:val="left" w:pos="1559"/>
        <w:tab w:val="left" w:pos="2268"/>
        <w:tab w:val="left" w:pos="2977"/>
        <w:tab w:val="left" w:pos="3686"/>
        <w:tab w:val="left" w:pos="4394"/>
        <w:tab w:val="right" w:pos="8789"/>
      </w:tabs>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uiPriority w:val="99"/>
    <w:rsid w:val="00294FD1"/>
    <w:rPr>
      <w:rFonts w:ascii="Times New Roman" w:eastAsia="Batang" w:hAnsi="Times New Roman" w:cs="Times New Roman"/>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294FD1"/>
    <w:rPr>
      <w:b/>
      <w:bCs/>
    </w:rPr>
  </w:style>
  <w:style w:type="character" w:customStyle="1" w:styleId="CommentSubjectChar">
    <w:name w:val="Comment Subject Char"/>
    <w:basedOn w:val="CommentTextChar"/>
    <w:link w:val="CommentSubject"/>
    <w:uiPriority w:val="99"/>
    <w:semiHidden/>
    <w:rsid w:val="00294FD1"/>
    <w:rPr>
      <w:rFonts w:ascii="Times New Roman" w:eastAsia="Batang" w:hAnsi="Times New Roman" w:cs="Times New Roman"/>
      <w:b/>
      <w:bCs/>
      <w:kern w:val="0"/>
      <w:sz w:val="20"/>
      <w:szCs w:val="20"/>
      <w:lang w:eastAsia="ko-KR"/>
      <w14:ligatures w14:val="none"/>
    </w:rPr>
  </w:style>
  <w:style w:type="paragraph" w:styleId="Revision">
    <w:name w:val="Revision"/>
    <w:hidden/>
    <w:uiPriority w:val="99"/>
    <w:semiHidden/>
    <w:rsid w:val="00294FD1"/>
    <w:pPr>
      <w:spacing w:after="0" w:line="240" w:lineRule="auto"/>
    </w:pPr>
    <w:rPr>
      <w:rFonts w:ascii="Times New Roman" w:eastAsia="Batang" w:hAnsi="Times New Roman" w:cs="Times New Roman"/>
      <w:kern w:val="0"/>
      <w:szCs w:val="20"/>
      <w:lang w:eastAsia="ko-KR"/>
      <w14:ligatures w14:val="none"/>
    </w:rPr>
  </w:style>
  <w:style w:type="paragraph" w:customStyle="1" w:styleId="Default">
    <w:name w:val="Default"/>
    <w:basedOn w:val="Normal"/>
    <w:rsid w:val="00294FD1"/>
    <w:pPr>
      <w:autoSpaceDE w:val="0"/>
      <w:autoSpaceDN w:val="0"/>
      <w:spacing w:after="0" w:line="240" w:lineRule="auto"/>
    </w:pPr>
    <w:rPr>
      <w:rFonts w:ascii="Times New Roman" w:hAnsi="Times New Roman" w:cs="Times New Roman"/>
      <w:color w:val="000000"/>
      <w:sz w:val="24"/>
      <w:szCs w:val="24"/>
      <w:lang w:eastAsia="en-GB"/>
    </w:rPr>
  </w:style>
  <w:style w:type="paragraph" w:customStyle="1" w:styleId="ahw">
    <w:name w:val="ahw"/>
    <w:basedOn w:val="Normal"/>
    <w:rsid w:val="00294FD1"/>
    <w:pPr>
      <w:spacing w:before="100" w:beforeAutospacing="1" w:after="100" w:afterAutospacing="1" w:line="240" w:lineRule="auto"/>
    </w:pPr>
    <w:rPr>
      <w:rFonts w:ascii="Times New Roman" w:hAnsi="Times New Roman" w:cs="Times New Roman"/>
      <w:sz w:val="24"/>
      <w:szCs w:val="24"/>
      <w:lang w:eastAsia="en-GB"/>
    </w:rPr>
  </w:style>
  <w:style w:type="character" w:customStyle="1" w:styleId="adg">
    <w:name w:val="adg"/>
    <w:basedOn w:val="DefaultParagraphFont"/>
    <w:rsid w:val="00294FD1"/>
  </w:style>
  <w:style w:type="character" w:customStyle="1" w:styleId="qf">
    <w:name w:val="qf"/>
    <w:basedOn w:val="DefaultParagraphFont"/>
    <w:rsid w:val="00294FD1"/>
  </w:style>
  <w:style w:type="character" w:customStyle="1" w:styleId="qa">
    <w:name w:val="qa"/>
    <w:basedOn w:val="DefaultParagraphFont"/>
    <w:rsid w:val="00294FD1"/>
  </w:style>
  <w:style w:type="character" w:customStyle="1" w:styleId="pv">
    <w:name w:val="pv"/>
    <w:basedOn w:val="DefaultParagraphFont"/>
    <w:rsid w:val="00294FD1"/>
  </w:style>
  <w:style w:type="character" w:customStyle="1" w:styleId="pi">
    <w:name w:val="pi"/>
    <w:basedOn w:val="DefaultParagraphFont"/>
    <w:rsid w:val="00294FD1"/>
  </w:style>
  <w:style w:type="character" w:customStyle="1" w:styleId="iz">
    <w:name w:val="iz"/>
    <w:basedOn w:val="DefaultParagraphFont"/>
    <w:rsid w:val="00294FD1"/>
  </w:style>
  <w:style w:type="paragraph" w:customStyle="1" w:styleId="ParaIMS">
    <w:name w:val="Para/IMS"/>
    <w:basedOn w:val="Normal"/>
    <w:rsid w:val="00294FD1"/>
    <w:pPr>
      <w:spacing w:before="160" w:after="0" w:line="240" w:lineRule="auto"/>
    </w:pPr>
    <w:rPr>
      <w:rFonts w:ascii="Times New Roman" w:eastAsia="Times New Roman" w:hAnsi="Times New Roman" w:cs="Times New Roman"/>
      <w:sz w:val="20"/>
      <w:szCs w:val="20"/>
      <w:lang w:val="en-US"/>
    </w:rPr>
  </w:style>
  <w:style w:type="paragraph" w:customStyle="1" w:styleId="TableColumnIMS">
    <w:name w:val="Table Column/IMS"/>
    <w:basedOn w:val="Normal"/>
    <w:rsid w:val="00294FD1"/>
    <w:pPr>
      <w:spacing w:before="40" w:after="0" w:line="240" w:lineRule="auto"/>
      <w:jc w:val="right"/>
    </w:pPr>
    <w:rPr>
      <w:rFonts w:ascii="Times New Roman" w:eastAsia="Times New Roman" w:hAnsi="Times New Roman" w:cs="Times New Roman"/>
      <w:sz w:val="20"/>
      <w:szCs w:val="20"/>
      <w:lang w:val="en-US"/>
    </w:rPr>
  </w:style>
  <w:style w:type="paragraph" w:customStyle="1" w:styleId="TableStubIMS">
    <w:name w:val="Table Stub/IMS"/>
    <w:basedOn w:val="Normal"/>
    <w:rsid w:val="00294FD1"/>
    <w:pPr>
      <w:spacing w:before="40" w:after="0" w:line="240" w:lineRule="auto"/>
    </w:pPr>
    <w:rPr>
      <w:rFonts w:ascii="Times New Roman" w:eastAsia="Times New Roman" w:hAnsi="Times New Roman" w:cs="Times New Roman"/>
      <w:sz w:val="20"/>
      <w:szCs w:val="20"/>
      <w:lang w:val="en-US"/>
    </w:rPr>
  </w:style>
  <w:style w:type="paragraph" w:customStyle="1" w:styleId="TableColumnHeadingIMS">
    <w:name w:val="Table Column Heading/IMS"/>
    <w:basedOn w:val="Normal"/>
    <w:rsid w:val="00294FD1"/>
    <w:pPr>
      <w:spacing w:before="40" w:after="0" w:line="240" w:lineRule="auto"/>
      <w:jc w:val="center"/>
    </w:pPr>
    <w:rPr>
      <w:rFonts w:ascii="Times New Roman" w:eastAsia="Times New Roman" w:hAnsi="Times New Roman" w:cs="Times New Roman"/>
      <w:b/>
      <w:sz w:val="16"/>
      <w:szCs w:val="20"/>
      <w:lang w:val="en-US"/>
    </w:rPr>
  </w:style>
  <w:style w:type="paragraph" w:customStyle="1" w:styleId="LstRomanIMS">
    <w:name w:val="LstRoman/IMS"/>
    <w:basedOn w:val="Normal"/>
    <w:rsid w:val="00294FD1"/>
    <w:pPr>
      <w:spacing w:before="120" w:after="0" w:line="240" w:lineRule="auto"/>
      <w:ind w:left="518" w:hanging="518"/>
    </w:pPr>
    <w:rPr>
      <w:rFonts w:ascii="Times New Roman" w:eastAsia="Times New Roman" w:hAnsi="Times New Roman" w:cs="Times New Roman"/>
      <w:sz w:val="20"/>
      <w:szCs w:val="20"/>
      <w:lang w:val="en-US"/>
    </w:rPr>
  </w:style>
  <w:style w:type="paragraph" w:customStyle="1" w:styleId="GenericIMS">
    <w:name w:val="Generic/IMS"/>
    <w:basedOn w:val="Normal"/>
    <w:rsid w:val="00294FD1"/>
    <w:pPr>
      <w:spacing w:after="0" w:line="240" w:lineRule="auto"/>
    </w:pPr>
    <w:rPr>
      <w:rFonts w:ascii="Times New Roman" w:eastAsia="Times New Roman" w:hAnsi="Times New Roman" w:cs="Times New Roman"/>
      <w:sz w:val="20"/>
      <w:szCs w:val="20"/>
      <w:lang w:val="en-US"/>
    </w:rPr>
  </w:style>
  <w:style w:type="paragraph" w:customStyle="1" w:styleId="LBulletIMS">
    <w:name w:val="LBullet/IMS"/>
    <w:basedOn w:val="Normal"/>
    <w:rsid w:val="00294FD1"/>
    <w:pPr>
      <w:numPr>
        <w:numId w:val="3"/>
      </w:numPr>
      <w:spacing w:before="120" w:after="0" w:line="240" w:lineRule="auto"/>
    </w:pPr>
    <w:rPr>
      <w:rFonts w:ascii="Times New Roman" w:eastAsia="Times New Roman" w:hAnsi="Times New Roman" w:cs="Times New Roman"/>
      <w:sz w:val="20"/>
      <w:szCs w:val="20"/>
      <w:lang w:val="en-US"/>
    </w:rPr>
  </w:style>
  <w:style w:type="paragraph" w:customStyle="1" w:styleId="TableEndParenIMS">
    <w:name w:val="Table EndParen/IMS"/>
    <w:basedOn w:val="Normal"/>
    <w:rsid w:val="00294FD1"/>
    <w:pPr>
      <w:spacing w:before="40" w:after="0" w:line="240" w:lineRule="auto"/>
      <w:ind w:left="-14"/>
    </w:pPr>
    <w:rPr>
      <w:rFonts w:ascii="Times New Roman" w:eastAsia="Times New Roman" w:hAnsi="Times New Roman" w:cs="Times New Roman"/>
      <w:sz w:val="20"/>
      <w:szCs w:val="20"/>
      <w:lang w:val="en-US"/>
    </w:rPr>
  </w:style>
  <w:style w:type="table" w:customStyle="1" w:styleId="TableGrid1">
    <w:name w:val="Table Grid1"/>
    <w:basedOn w:val="TableNormal"/>
    <w:next w:val="TableGrid"/>
    <w:uiPriority w:val="3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294FD1"/>
    <w:pPr>
      <w:tabs>
        <w:tab w:val="left" w:pos="709"/>
        <w:tab w:val="left" w:pos="1559"/>
        <w:tab w:val="left" w:pos="2268"/>
        <w:tab w:val="left" w:pos="2977"/>
        <w:tab w:val="left" w:pos="3686"/>
        <w:tab w:val="left" w:pos="4394"/>
        <w:tab w:val="right" w:pos="8789"/>
      </w:tabs>
      <w:spacing w:after="0" w:line="260" w:lineRule="atLeast"/>
    </w:pPr>
    <w:rPr>
      <w:rFonts w:ascii="Times New Roman" w:eastAsia="Batang"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94FD1"/>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BodyTextGeneralMisc">
    <w:name w:val="BodyText (General/Misc)"/>
    <w:basedOn w:val="Normal"/>
    <w:uiPriority w:val="99"/>
    <w:rsid w:val="00294FD1"/>
    <w:pPr>
      <w:suppressAutoHyphens/>
      <w:autoSpaceDE w:val="0"/>
      <w:autoSpaceDN w:val="0"/>
      <w:adjustRightInd w:val="0"/>
      <w:spacing w:after="0" w:line="200" w:lineRule="atLeast"/>
      <w:textAlignment w:val="center"/>
    </w:pPr>
    <w:rPr>
      <w:rFonts w:ascii="Open Sans Light" w:hAnsi="Open Sans Light" w:cs="Open Sans Light"/>
      <w:color w:val="384049"/>
      <w:sz w:val="16"/>
      <w:szCs w:val="16"/>
    </w:rPr>
  </w:style>
  <w:style w:type="character" w:customStyle="1" w:styleId="bumpedfont20">
    <w:name w:val="bumpedfont20"/>
    <w:basedOn w:val="DefaultParagraphFont"/>
    <w:rsid w:val="00294FD1"/>
    <w:rPr>
      <w:rFonts w:ascii="Times New Roman" w:hAnsi="Times New Roman" w:cs="Times New Roman" w:hint="default"/>
    </w:rPr>
  </w:style>
  <w:style w:type="table" w:customStyle="1" w:styleId="TableGrid11">
    <w:name w:val="Table Grid11"/>
    <w:basedOn w:val="TableNormal"/>
    <w:next w:val="TableGrid"/>
    <w:uiPriority w:val="59"/>
    <w:rsid w:val="00294F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94FD1"/>
    <w:rPr>
      <w:color w:val="96607D" w:themeColor="followedHyperlink"/>
      <w:u w:val="single"/>
    </w:rPr>
  </w:style>
  <w:style w:type="character" w:styleId="SubtleEmphasis">
    <w:name w:val="Subtle Emphasis"/>
    <w:basedOn w:val="DefaultParagraphFont"/>
    <w:uiPriority w:val="19"/>
    <w:qFormat/>
    <w:rsid w:val="00294FD1"/>
    <w:rPr>
      <w:i/>
      <w:iCs/>
      <w:color w:val="404040" w:themeColor="text1" w:themeTint="BF"/>
    </w:rPr>
  </w:style>
  <w:style w:type="character" w:styleId="PlaceholderText">
    <w:name w:val="Placeholder Text"/>
    <w:basedOn w:val="DefaultParagraphFont"/>
    <w:uiPriority w:val="99"/>
    <w:semiHidden/>
    <w:rsid w:val="00294FD1"/>
    <w:rPr>
      <w:color w:val="808080"/>
    </w:rPr>
  </w:style>
  <w:style w:type="character" w:customStyle="1" w:styleId="UnresolvedMention1">
    <w:name w:val="Unresolved Mention1"/>
    <w:basedOn w:val="DefaultParagraphFont"/>
    <w:uiPriority w:val="99"/>
    <w:unhideWhenUsed/>
    <w:rsid w:val="00294FD1"/>
    <w:rPr>
      <w:color w:val="605E5C"/>
      <w:shd w:val="clear" w:color="auto" w:fill="E1DFDD"/>
    </w:rPr>
  </w:style>
  <w:style w:type="character" w:customStyle="1" w:styleId="Mention1">
    <w:name w:val="Mention1"/>
    <w:basedOn w:val="DefaultParagraphFont"/>
    <w:uiPriority w:val="99"/>
    <w:unhideWhenUsed/>
    <w:rsid w:val="00294FD1"/>
    <w:rPr>
      <w:color w:val="2B579A"/>
      <w:shd w:val="clear" w:color="auto" w:fill="E1DFDD"/>
    </w:rPr>
  </w:style>
  <w:style w:type="character" w:customStyle="1" w:styleId="UnresolvedMention2">
    <w:name w:val="Unresolved Mention2"/>
    <w:basedOn w:val="DefaultParagraphFont"/>
    <w:uiPriority w:val="99"/>
    <w:unhideWhenUsed/>
    <w:rsid w:val="00294FD1"/>
    <w:rPr>
      <w:color w:val="605E5C"/>
      <w:shd w:val="clear" w:color="auto" w:fill="E1DFDD"/>
    </w:rPr>
  </w:style>
  <w:style w:type="character" w:customStyle="1" w:styleId="Mention2">
    <w:name w:val="Mention2"/>
    <w:basedOn w:val="DefaultParagraphFont"/>
    <w:uiPriority w:val="99"/>
    <w:unhideWhenUsed/>
    <w:rsid w:val="00294FD1"/>
    <w:rPr>
      <w:color w:val="2B579A"/>
      <w:shd w:val="clear" w:color="auto" w:fill="E1DFDD"/>
    </w:rPr>
  </w:style>
  <w:style w:type="character" w:customStyle="1" w:styleId="UnresolvedMention3">
    <w:name w:val="Unresolved Mention3"/>
    <w:basedOn w:val="DefaultParagraphFont"/>
    <w:uiPriority w:val="99"/>
    <w:semiHidden/>
    <w:unhideWhenUsed/>
    <w:rsid w:val="00294FD1"/>
    <w:rPr>
      <w:color w:val="605E5C"/>
      <w:shd w:val="clear" w:color="auto" w:fill="E1DFDD"/>
    </w:rPr>
  </w:style>
  <w:style w:type="character" w:customStyle="1" w:styleId="UnresolvedMention4">
    <w:name w:val="Unresolved Mention4"/>
    <w:basedOn w:val="DefaultParagraphFont"/>
    <w:uiPriority w:val="99"/>
    <w:unhideWhenUsed/>
    <w:rsid w:val="00294FD1"/>
    <w:rPr>
      <w:color w:val="605E5C"/>
      <w:shd w:val="clear" w:color="auto" w:fill="E1DFDD"/>
    </w:rPr>
  </w:style>
  <w:style w:type="character" w:customStyle="1" w:styleId="Mention3">
    <w:name w:val="Mention3"/>
    <w:basedOn w:val="DefaultParagraphFont"/>
    <w:uiPriority w:val="99"/>
    <w:unhideWhenUsed/>
    <w:rsid w:val="00294FD1"/>
    <w:rPr>
      <w:color w:val="2B579A"/>
      <w:shd w:val="clear" w:color="auto" w:fill="E1DFDD"/>
    </w:rPr>
  </w:style>
  <w:style w:type="character" w:customStyle="1" w:styleId="UnresolvedMention5">
    <w:name w:val="Unresolved Mention5"/>
    <w:basedOn w:val="DefaultParagraphFont"/>
    <w:uiPriority w:val="99"/>
    <w:unhideWhenUsed/>
    <w:rsid w:val="00294FD1"/>
    <w:rPr>
      <w:color w:val="605E5C"/>
      <w:shd w:val="clear" w:color="auto" w:fill="E1DFDD"/>
    </w:rPr>
  </w:style>
  <w:style w:type="character" w:customStyle="1" w:styleId="Mention4">
    <w:name w:val="Mention4"/>
    <w:basedOn w:val="DefaultParagraphFont"/>
    <w:uiPriority w:val="99"/>
    <w:unhideWhenUsed/>
    <w:rsid w:val="00294FD1"/>
    <w:rPr>
      <w:color w:val="2B579A"/>
      <w:shd w:val="clear" w:color="auto" w:fill="E1DFDD"/>
    </w:rPr>
  </w:style>
  <w:style w:type="character" w:customStyle="1" w:styleId="UnresolvedMention6">
    <w:name w:val="Unresolved Mention6"/>
    <w:basedOn w:val="DefaultParagraphFont"/>
    <w:uiPriority w:val="99"/>
    <w:unhideWhenUsed/>
    <w:rsid w:val="00294FD1"/>
    <w:rPr>
      <w:color w:val="605E5C"/>
      <w:shd w:val="clear" w:color="auto" w:fill="E1DFDD"/>
    </w:rPr>
  </w:style>
  <w:style w:type="character" w:customStyle="1" w:styleId="Mention5">
    <w:name w:val="Mention5"/>
    <w:basedOn w:val="DefaultParagraphFont"/>
    <w:uiPriority w:val="99"/>
    <w:unhideWhenUsed/>
    <w:rsid w:val="00294FD1"/>
    <w:rPr>
      <w:color w:val="2B579A"/>
      <w:shd w:val="clear" w:color="auto" w:fill="E1DFDD"/>
    </w:rPr>
  </w:style>
  <w:style w:type="character" w:customStyle="1" w:styleId="UnresolvedMention7">
    <w:name w:val="Unresolved Mention7"/>
    <w:basedOn w:val="DefaultParagraphFont"/>
    <w:uiPriority w:val="99"/>
    <w:unhideWhenUsed/>
    <w:rsid w:val="00294FD1"/>
    <w:rPr>
      <w:color w:val="605E5C"/>
      <w:shd w:val="clear" w:color="auto" w:fill="E1DFDD"/>
    </w:rPr>
  </w:style>
  <w:style w:type="character" w:customStyle="1" w:styleId="Mention6">
    <w:name w:val="Mention6"/>
    <w:basedOn w:val="DefaultParagraphFont"/>
    <w:uiPriority w:val="99"/>
    <w:unhideWhenUsed/>
    <w:rsid w:val="00294FD1"/>
    <w:rPr>
      <w:color w:val="2B579A"/>
      <w:shd w:val="clear" w:color="auto" w:fill="E1DFDD"/>
    </w:rPr>
  </w:style>
  <w:style w:type="character" w:customStyle="1" w:styleId="UnresolvedMention8">
    <w:name w:val="Unresolved Mention8"/>
    <w:basedOn w:val="DefaultParagraphFont"/>
    <w:uiPriority w:val="99"/>
    <w:unhideWhenUsed/>
    <w:rsid w:val="00294FD1"/>
    <w:rPr>
      <w:color w:val="605E5C"/>
      <w:shd w:val="clear" w:color="auto" w:fill="E1DFDD"/>
    </w:rPr>
  </w:style>
  <w:style w:type="character" w:customStyle="1" w:styleId="Mention7">
    <w:name w:val="Mention7"/>
    <w:basedOn w:val="DefaultParagraphFont"/>
    <w:uiPriority w:val="99"/>
    <w:unhideWhenUsed/>
    <w:rsid w:val="00294FD1"/>
    <w:rPr>
      <w:color w:val="2B579A"/>
      <w:shd w:val="clear" w:color="auto" w:fill="E1DFDD"/>
    </w:rPr>
  </w:style>
  <w:style w:type="character" w:customStyle="1" w:styleId="UnresolvedMention9">
    <w:name w:val="Unresolved Mention9"/>
    <w:basedOn w:val="DefaultParagraphFont"/>
    <w:uiPriority w:val="99"/>
    <w:unhideWhenUsed/>
    <w:rsid w:val="00294FD1"/>
    <w:rPr>
      <w:color w:val="605E5C"/>
      <w:shd w:val="clear" w:color="auto" w:fill="E1DFDD"/>
    </w:rPr>
  </w:style>
  <w:style w:type="character" w:customStyle="1" w:styleId="Mention8">
    <w:name w:val="Mention8"/>
    <w:basedOn w:val="DefaultParagraphFont"/>
    <w:uiPriority w:val="99"/>
    <w:unhideWhenUsed/>
    <w:rsid w:val="00294FD1"/>
    <w:rPr>
      <w:color w:val="2B579A"/>
      <w:shd w:val="clear" w:color="auto" w:fill="E6E6E6"/>
    </w:rPr>
  </w:style>
  <w:style w:type="character" w:customStyle="1" w:styleId="Mention9">
    <w:name w:val="Mention9"/>
    <w:basedOn w:val="DefaultParagraphFont"/>
    <w:uiPriority w:val="99"/>
    <w:unhideWhenUsed/>
    <w:rsid w:val="00294FD1"/>
    <w:rPr>
      <w:color w:val="2B579A"/>
      <w:shd w:val="clear" w:color="auto" w:fill="E1DFDD"/>
    </w:rPr>
  </w:style>
  <w:style w:type="character" w:customStyle="1" w:styleId="UnresolvedMention10">
    <w:name w:val="Unresolved Mention10"/>
    <w:basedOn w:val="DefaultParagraphFont"/>
    <w:uiPriority w:val="99"/>
    <w:unhideWhenUsed/>
    <w:rsid w:val="00294FD1"/>
    <w:rPr>
      <w:color w:val="605E5C"/>
      <w:shd w:val="clear" w:color="auto" w:fill="E1DFDD"/>
    </w:rPr>
  </w:style>
  <w:style w:type="character" w:customStyle="1" w:styleId="Mention10">
    <w:name w:val="Mention10"/>
    <w:basedOn w:val="DefaultParagraphFont"/>
    <w:uiPriority w:val="99"/>
    <w:unhideWhenUsed/>
    <w:rsid w:val="00294FD1"/>
    <w:rPr>
      <w:color w:val="2B579A"/>
      <w:shd w:val="clear" w:color="auto" w:fill="E1DFDD"/>
    </w:rPr>
  </w:style>
  <w:style w:type="paragraph" w:styleId="EndnoteText">
    <w:name w:val="endnote text"/>
    <w:basedOn w:val="Normal"/>
    <w:link w:val="EndnoteTextChar"/>
    <w:uiPriority w:val="99"/>
    <w:semiHidden/>
    <w:unhideWhenUsed/>
    <w:rsid w:val="00294FD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94FD1"/>
    <w:rPr>
      <w:kern w:val="0"/>
      <w:sz w:val="20"/>
      <w:szCs w:val="20"/>
      <w14:ligatures w14:val="none"/>
    </w:rPr>
  </w:style>
  <w:style w:type="character" w:styleId="EndnoteReference">
    <w:name w:val="endnote reference"/>
    <w:basedOn w:val="DefaultParagraphFont"/>
    <w:uiPriority w:val="99"/>
    <w:semiHidden/>
    <w:unhideWhenUsed/>
    <w:rsid w:val="00294FD1"/>
    <w:rPr>
      <w:vertAlign w:val="superscript"/>
    </w:rPr>
  </w:style>
  <w:style w:type="character" w:customStyle="1" w:styleId="Mention11">
    <w:name w:val="Mention11"/>
    <w:basedOn w:val="DefaultParagraphFont"/>
    <w:uiPriority w:val="99"/>
    <w:unhideWhenUsed/>
    <w:rsid w:val="00294FD1"/>
    <w:rPr>
      <w:color w:val="2B579A"/>
      <w:shd w:val="clear" w:color="auto" w:fill="E6E6E6"/>
    </w:rPr>
  </w:style>
  <w:style w:type="character" w:customStyle="1" w:styleId="UnresolvedMention11">
    <w:name w:val="Unresolved Mention11"/>
    <w:basedOn w:val="DefaultParagraphFont"/>
    <w:uiPriority w:val="99"/>
    <w:unhideWhenUsed/>
    <w:rsid w:val="00294FD1"/>
    <w:rPr>
      <w:color w:val="605E5C"/>
      <w:shd w:val="clear" w:color="auto" w:fill="E1DFDD"/>
    </w:rPr>
  </w:style>
  <w:style w:type="character" w:styleId="Mention">
    <w:name w:val="Mention"/>
    <w:basedOn w:val="DefaultParagraphFont"/>
    <w:uiPriority w:val="99"/>
    <w:unhideWhenUsed/>
    <w:rsid w:val="00294FD1"/>
    <w:rPr>
      <w:color w:val="2B579A"/>
      <w:shd w:val="clear" w:color="auto" w:fill="E1DFDD"/>
    </w:rPr>
  </w:style>
  <w:style w:type="character" w:styleId="UnresolvedMention">
    <w:name w:val="Unresolved Mention"/>
    <w:basedOn w:val="DefaultParagraphFont"/>
    <w:uiPriority w:val="99"/>
    <w:unhideWhenUsed/>
    <w:rsid w:val="00294FD1"/>
    <w:rPr>
      <w:color w:val="605E5C"/>
      <w:shd w:val="clear" w:color="auto" w:fill="E1DFDD"/>
    </w:rPr>
  </w:style>
  <w:style w:type="character" w:customStyle="1" w:styleId="Mention12">
    <w:name w:val="Mention12"/>
    <w:basedOn w:val="DefaultParagraphFont"/>
    <w:uiPriority w:val="99"/>
    <w:unhideWhenUsed/>
    <w:rsid w:val="00294FD1"/>
    <w:rPr>
      <w:color w:val="2B579A"/>
      <w:shd w:val="clear" w:color="auto" w:fill="E1DFDD"/>
    </w:rPr>
  </w:style>
  <w:style w:type="character" w:customStyle="1" w:styleId="UnresolvedMention12">
    <w:name w:val="Unresolved Mention12"/>
    <w:basedOn w:val="DefaultParagraphFont"/>
    <w:uiPriority w:val="99"/>
    <w:unhideWhenUsed/>
    <w:rsid w:val="00294FD1"/>
    <w:rPr>
      <w:color w:val="605E5C"/>
      <w:shd w:val="clear" w:color="auto" w:fill="E1DFDD"/>
    </w:rPr>
  </w:style>
  <w:style w:type="paragraph" w:customStyle="1" w:styleId="BodyCopy">
    <w:name w:val="Body Copy"/>
    <w:basedOn w:val="Normal"/>
    <w:uiPriority w:val="99"/>
    <w:rsid w:val="00294FD1"/>
    <w:pPr>
      <w:tabs>
        <w:tab w:val="left" w:pos="283"/>
        <w:tab w:val="left" w:pos="567"/>
      </w:tabs>
      <w:suppressAutoHyphens/>
      <w:autoSpaceDE w:val="0"/>
      <w:autoSpaceDN w:val="0"/>
      <w:adjustRightInd w:val="0"/>
      <w:spacing w:after="0" w:line="200" w:lineRule="atLeast"/>
      <w:textAlignment w:val="center"/>
    </w:pPr>
    <w:rPr>
      <w:rFonts w:ascii="Open Sans Light" w:hAnsi="Open Sans Light" w:cs="Open Sans Light"/>
      <w:color w:val="000000"/>
      <w:sz w:val="16"/>
      <w:szCs w:val="16"/>
    </w:rPr>
  </w:style>
  <w:style w:type="character" w:customStyle="1" w:styleId="cf01">
    <w:name w:val="cf01"/>
    <w:basedOn w:val="DefaultParagraphFont"/>
    <w:rsid w:val="00294FD1"/>
    <w:rPr>
      <w:rFonts w:ascii="Segoe UI" w:hAnsi="Segoe UI" w:cs="Segoe UI" w:hint="default"/>
      <w:sz w:val="18"/>
      <w:szCs w:val="18"/>
    </w:rPr>
  </w:style>
  <w:style w:type="character" w:customStyle="1" w:styleId="normaltextrun">
    <w:name w:val="normaltextrun"/>
    <w:basedOn w:val="DefaultParagraphFont"/>
    <w:rsid w:val="00294FD1"/>
  </w:style>
  <w:style w:type="character" w:customStyle="1" w:styleId="ui-provider">
    <w:name w:val="ui-provider"/>
    <w:basedOn w:val="DefaultParagraphFont"/>
    <w:rsid w:val="00294FD1"/>
  </w:style>
  <w:style w:type="paragraph" w:customStyle="1" w:styleId="paragraph">
    <w:name w:val="paragraph"/>
    <w:basedOn w:val="Normal"/>
    <w:rsid w:val="00294FD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294FD1"/>
    <w:pPr>
      <w:spacing w:after="0" w:line="240" w:lineRule="auto"/>
    </w:pPr>
    <w:rPr>
      <w:rFonts w:ascii="Calibri" w:hAnsi="Calibri" w:cs="Calibri"/>
      <w:lang w:eastAsia="en-GB"/>
    </w:rPr>
  </w:style>
  <w:style w:type="character" w:customStyle="1" w:styleId="eop">
    <w:name w:val="eop"/>
    <w:basedOn w:val="DefaultParagraphFont"/>
    <w:rsid w:val="00F548E3"/>
  </w:style>
  <w:style w:type="paragraph" w:customStyle="1" w:styleId="bodytext0">
    <w:name w:val="_body text"/>
    <w:basedOn w:val="Normal"/>
    <w:uiPriority w:val="99"/>
    <w:rsid w:val="00045986"/>
    <w:pPr>
      <w:tabs>
        <w:tab w:val="left" w:pos="340"/>
      </w:tabs>
      <w:suppressAutoHyphens/>
      <w:autoSpaceDE w:val="0"/>
      <w:autoSpaceDN w:val="0"/>
      <w:adjustRightInd w:val="0"/>
      <w:spacing w:after="120" w:line="200" w:lineRule="atLeast"/>
      <w:textAlignment w:val="center"/>
    </w:pPr>
    <w:rPr>
      <w:rFonts w:ascii="Arial" w:hAnsi="Arial" w:cs="Arial"/>
      <w:color w:val="000000"/>
      <w:sz w:val="18"/>
      <w:szCs w:val="18"/>
    </w:rPr>
  </w:style>
  <w:style w:type="table" w:customStyle="1" w:styleId="TableGrid3">
    <w:name w:val="Table Grid3"/>
    <w:basedOn w:val="TableNormal"/>
    <w:next w:val="TableGrid"/>
    <w:uiPriority w:val="39"/>
    <w:rsid w:val="00392A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727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61022">
      <w:bodyDiv w:val="1"/>
      <w:marLeft w:val="0"/>
      <w:marRight w:val="0"/>
      <w:marTop w:val="0"/>
      <w:marBottom w:val="0"/>
      <w:divBdr>
        <w:top w:val="none" w:sz="0" w:space="0" w:color="auto"/>
        <w:left w:val="none" w:sz="0" w:space="0" w:color="auto"/>
        <w:bottom w:val="none" w:sz="0" w:space="0" w:color="auto"/>
        <w:right w:val="none" w:sz="0" w:space="0" w:color="auto"/>
      </w:divBdr>
    </w:div>
    <w:div w:id="183790863">
      <w:bodyDiv w:val="1"/>
      <w:marLeft w:val="0"/>
      <w:marRight w:val="0"/>
      <w:marTop w:val="0"/>
      <w:marBottom w:val="0"/>
      <w:divBdr>
        <w:top w:val="none" w:sz="0" w:space="0" w:color="auto"/>
        <w:left w:val="none" w:sz="0" w:space="0" w:color="auto"/>
        <w:bottom w:val="none" w:sz="0" w:space="0" w:color="auto"/>
        <w:right w:val="none" w:sz="0" w:space="0" w:color="auto"/>
      </w:divBdr>
    </w:div>
    <w:div w:id="361126202">
      <w:bodyDiv w:val="1"/>
      <w:marLeft w:val="0"/>
      <w:marRight w:val="0"/>
      <w:marTop w:val="0"/>
      <w:marBottom w:val="0"/>
      <w:divBdr>
        <w:top w:val="none" w:sz="0" w:space="0" w:color="auto"/>
        <w:left w:val="none" w:sz="0" w:space="0" w:color="auto"/>
        <w:bottom w:val="none" w:sz="0" w:space="0" w:color="auto"/>
        <w:right w:val="none" w:sz="0" w:space="0" w:color="auto"/>
      </w:divBdr>
    </w:div>
    <w:div w:id="622346489">
      <w:bodyDiv w:val="1"/>
      <w:marLeft w:val="0"/>
      <w:marRight w:val="0"/>
      <w:marTop w:val="0"/>
      <w:marBottom w:val="0"/>
      <w:divBdr>
        <w:top w:val="none" w:sz="0" w:space="0" w:color="auto"/>
        <w:left w:val="none" w:sz="0" w:space="0" w:color="auto"/>
        <w:bottom w:val="none" w:sz="0" w:space="0" w:color="auto"/>
        <w:right w:val="none" w:sz="0" w:space="0" w:color="auto"/>
      </w:divBdr>
    </w:div>
    <w:div w:id="720253497">
      <w:bodyDiv w:val="1"/>
      <w:marLeft w:val="0"/>
      <w:marRight w:val="0"/>
      <w:marTop w:val="0"/>
      <w:marBottom w:val="0"/>
      <w:divBdr>
        <w:top w:val="none" w:sz="0" w:space="0" w:color="auto"/>
        <w:left w:val="none" w:sz="0" w:space="0" w:color="auto"/>
        <w:bottom w:val="none" w:sz="0" w:space="0" w:color="auto"/>
        <w:right w:val="none" w:sz="0" w:space="0" w:color="auto"/>
      </w:divBdr>
    </w:div>
    <w:div w:id="913322406">
      <w:bodyDiv w:val="1"/>
      <w:marLeft w:val="0"/>
      <w:marRight w:val="0"/>
      <w:marTop w:val="0"/>
      <w:marBottom w:val="0"/>
      <w:divBdr>
        <w:top w:val="none" w:sz="0" w:space="0" w:color="auto"/>
        <w:left w:val="none" w:sz="0" w:space="0" w:color="auto"/>
        <w:bottom w:val="none" w:sz="0" w:space="0" w:color="auto"/>
        <w:right w:val="none" w:sz="0" w:space="0" w:color="auto"/>
      </w:divBdr>
      <w:divsChild>
        <w:div w:id="237397895">
          <w:marLeft w:val="0"/>
          <w:marRight w:val="0"/>
          <w:marTop w:val="0"/>
          <w:marBottom w:val="0"/>
          <w:divBdr>
            <w:top w:val="none" w:sz="0" w:space="0" w:color="auto"/>
            <w:left w:val="none" w:sz="0" w:space="0" w:color="auto"/>
            <w:bottom w:val="none" w:sz="0" w:space="0" w:color="auto"/>
            <w:right w:val="none" w:sz="0" w:space="0" w:color="auto"/>
          </w:divBdr>
        </w:div>
        <w:div w:id="798032450">
          <w:marLeft w:val="0"/>
          <w:marRight w:val="0"/>
          <w:marTop w:val="0"/>
          <w:marBottom w:val="0"/>
          <w:divBdr>
            <w:top w:val="none" w:sz="0" w:space="0" w:color="auto"/>
            <w:left w:val="none" w:sz="0" w:space="0" w:color="auto"/>
            <w:bottom w:val="none" w:sz="0" w:space="0" w:color="auto"/>
            <w:right w:val="none" w:sz="0" w:space="0" w:color="auto"/>
          </w:divBdr>
        </w:div>
        <w:div w:id="1061293485">
          <w:marLeft w:val="0"/>
          <w:marRight w:val="0"/>
          <w:marTop w:val="0"/>
          <w:marBottom w:val="0"/>
          <w:divBdr>
            <w:top w:val="none" w:sz="0" w:space="0" w:color="auto"/>
            <w:left w:val="none" w:sz="0" w:space="0" w:color="auto"/>
            <w:bottom w:val="none" w:sz="0" w:space="0" w:color="auto"/>
            <w:right w:val="none" w:sz="0" w:space="0" w:color="auto"/>
          </w:divBdr>
        </w:div>
      </w:divsChild>
    </w:div>
    <w:div w:id="1273976978">
      <w:bodyDiv w:val="1"/>
      <w:marLeft w:val="0"/>
      <w:marRight w:val="0"/>
      <w:marTop w:val="0"/>
      <w:marBottom w:val="0"/>
      <w:divBdr>
        <w:top w:val="none" w:sz="0" w:space="0" w:color="auto"/>
        <w:left w:val="none" w:sz="0" w:space="0" w:color="auto"/>
        <w:bottom w:val="none" w:sz="0" w:space="0" w:color="auto"/>
        <w:right w:val="none" w:sz="0" w:space="0" w:color="auto"/>
      </w:divBdr>
    </w:div>
    <w:div w:id="1286039310">
      <w:bodyDiv w:val="1"/>
      <w:marLeft w:val="0"/>
      <w:marRight w:val="0"/>
      <w:marTop w:val="0"/>
      <w:marBottom w:val="0"/>
      <w:divBdr>
        <w:top w:val="none" w:sz="0" w:space="0" w:color="auto"/>
        <w:left w:val="none" w:sz="0" w:space="0" w:color="auto"/>
        <w:bottom w:val="none" w:sz="0" w:space="0" w:color="auto"/>
        <w:right w:val="none" w:sz="0" w:space="0" w:color="auto"/>
      </w:divBdr>
    </w:div>
    <w:div w:id="1368801610">
      <w:bodyDiv w:val="1"/>
      <w:marLeft w:val="0"/>
      <w:marRight w:val="0"/>
      <w:marTop w:val="0"/>
      <w:marBottom w:val="0"/>
      <w:divBdr>
        <w:top w:val="none" w:sz="0" w:space="0" w:color="auto"/>
        <w:left w:val="none" w:sz="0" w:space="0" w:color="auto"/>
        <w:bottom w:val="none" w:sz="0" w:space="0" w:color="auto"/>
        <w:right w:val="none" w:sz="0" w:space="0" w:color="auto"/>
      </w:divBdr>
    </w:div>
    <w:div w:id="1831018083">
      <w:bodyDiv w:val="1"/>
      <w:marLeft w:val="0"/>
      <w:marRight w:val="0"/>
      <w:marTop w:val="0"/>
      <w:marBottom w:val="0"/>
      <w:divBdr>
        <w:top w:val="none" w:sz="0" w:space="0" w:color="auto"/>
        <w:left w:val="none" w:sz="0" w:space="0" w:color="auto"/>
        <w:bottom w:val="none" w:sz="0" w:space="0" w:color="auto"/>
        <w:right w:val="none" w:sz="0" w:space="0" w:color="auto"/>
      </w:divBdr>
    </w:div>
    <w:div w:id="2013216426">
      <w:bodyDiv w:val="1"/>
      <w:marLeft w:val="0"/>
      <w:marRight w:val="0"/>
      <w:marTop w:val="0"/>
      <w:marBottom w:val="0"/>
      <w:divBdr>
        <w:top w:val="none" w:sz="0" w:space="0" w:color="auto"/>
        <w:left w:val="none" w:sz="0" w:space="0" w:color="auto"/>
        <w:bottom w:val="none" w:sz="0" w:space="0" w:color="auto"/>
        <w:right w:val="none" w:sz="0" w:space="0" w:color="auto"/>
      </w:divBdr>
    </w:div>
    <w:div w:id="208098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liam.Clutterbuck@h-advisors.glob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rrmedia.news/MONY_HY25"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ygroup.com/investors/results-reports-and-presentation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3f2ca3-ea39-4566-9bdf-543572d97fa7">
      <Terms xmlns="http://schemas.microsoft.com/office/infopath/2007/PartnerControls"/>
    </lcf76f155ced4ddcb4097134ff3c332f>
    <TaxCatchAll xmlns="3d5be560-9190-4928-8519-4ce34b56e05c" xsi:nil="true"/>
    <SharedWithUsers xmlns="3d5be560-9190-4928-8519-4ce34b56e05c">
      <UserInfo>
        <DisplayName>Peter Duffy</DisplayName>
        <AccountId>161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2C8315C5BAFC4185F1C6975D0FBF8A" ma:contentTypeVersion="18" ma:contentTypeDescription="Create a new document." ma:contentTypeScope="" ma:versionID="656e7a9f41613f34046414374dba2b1f">
  <xsd:schema xmlns:xsd="http://www.w3.org/2001/XMLSchema" xmlns:xs="http://www.w3.org/2001/XMLSchema" xmlns:p="http://schemas.microsoft.com/office/2006/metadata/properties" xmlns:ns2="5a3f2ca3-ea39-4566-9bdf-543572d97fa7" xmlns:ns3="3d5be560-9190-4928-8519-4ce34b56e05c" targetNamespace="http://schemas.microsoft.com/office/2006/metadata/properties" ma:root="true" ma:fieldsID="8c64d34c77902c44b6043bf4795414e3" ns2:_="" ns3:_="">
    <xsd:import namespace="5a3f2ca3-ea39-4566-9bdf-543572d97fa7"/>
    <xsd:import namespace="3d5be560-9190-4928-8519-4ce34b56e0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3f2ca3-ea39-4566-9bdf-543572d97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037f239-6834-4bd3-bb48-26abf64f9a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5be560-9190-4928-8519-4ce34b56e05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df2ca6-d628-4d00-8e76-5d7056fbf2ce}" ma:internalName="TaxCatchAll" ma:showField="CatchAllData" ma:web="3d5be560-9190-4928-8519-4ce34b56e05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B0E6F-D0A7-4AFD-92C1-B43F7A3DA7AE}">
  <ds:schemaRefs>
    <ds:schemaRef ds:uri="http://schemas.microsoft.com/sharepoint/v3/contenttype/forms"/>
  </ds:schemaRefs>
</ds:datastoreItem>
</file>

<file path=customXml/itemProps2.xml><?xml version="1.0" encoding="utf-8"?>
<ds:datastoreItem xmlns:ds="http://schemas.openxmlformats.org/officeDocument/2006/customXml" ds:itemID="{AF5EF140-7743-4ED6-B682-CDEDE2B50C29}">
  <ds:schemaRefs>
    <ds:schemaRef ds:uri="http://www.w3.org/XML/1998/namespace"/>
    <ds:schemaRef ds:uri="http://purl.org/dc/dcmitype/"/>
    <ds:schemaRef ds:uri="http://schemas.microsoft.com/sharepoint/v3"/>
    <ds:schemaRef ds:uri="http://schemas.microsoft.com/office/infopath/2007/PartnerControls"/>
    <ds:schemaRef ds:uri="http://schemas.microsoft.com/office/2006/metadata/properties"/>
    <ds:schemaRef ds:uri="http://schemas.microsoft.com/office/2006/documentManagement/types"/>
    <ds:schemaRef ds:uri="http://purl.org/dc/terms/"/>
    <ds:schemaRef ds:uri="4bcee579-1ae9-48e4-94b9-34d2d7c2327d"/>
    <ds:schemaRef ds:uri="http://schemas.openxmlformats.org/package/2006/metadata/core-properties"/>
    <ds:schemaRef ds:uri="6d6c928d-5e69-4cd0-bb57-408a23558422"/>
    <ds:schemaRef ds:uri="http://purl.org/dc/elements/1.1/"/>
  </ds:schemaRefs>
</ds:datastoreItem>
</file>

<file path=customXml/itemProps3.xml><?xml version="1.0" encoding="utf-8"?>
<ds:datastoreItem xmlns:ds="http://schemas.openxmlformats.org/officeDocument/2006/customXml" ds:itemID="{2DAF5323-818F-4A7A-AB1F-9448556A7E9D}"/>
</file>

<file path=customXml/itemProps4.xml><?xml version="1.0" encoding="utf-8"?>
<ds:datastoreItem xmlns:ds="http://schemas.openxmlformats.org/officeDocument/2006/customXml" ds:itemID="{8819FD27-EE30-4E1A-8B7B-6D7FAB24D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10690</Words>
  <Characters>60939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Moneysupermarket Group</Company>
  <LinksUpToDate>false</LinksUpToDate>
  <CharactersWithSpaces>71487</CharactersWithSpaces>
  <SharedDoc>false</SharedDoc>
  <HLinks>
    <vt:vector size="120" baseType="variant">
      <vt:variant>
        <vt:i4>4259954</vt:i4>
      </vt:variant>
      <vt:variant>
        <vt:i4>6</vt:i4>
      </vt:variant>
      <vt:variant>
        <vt:i4>0</vt:i4>
      </vt:variant>
      <vt:variant>
        <vt:i4>5</vt:i4>
      </vt:variant>
      <vt:variant>
        <vt:lpwstr>mailto:illiam.Clutterbuck@h-advisors.global</vt:lpwstr>
      </vt:variant>
      <vt:variant>
        <vt:lpwstr/>
      </vt:variant>
      <vt:variant>
        <vt:i4>7405633</vt:i4>
      </vt:variant>
      <vt:variant>
        <vt:i4>3</vt:i4>
      </vt:variant>
      <vt:variant>
        <vt:i4>0</vt:i4>
      </vt:variant>
      <vt:variant>
        <vt:i4>5</vt:i4>
      </vt:variant>
      <vt:variant>
        <vt:lpwstr>https://brrmedia.news/MONY_HY25</vt:lpwstr>
      </vt:variant>
      <vt:variant>
        <vt:lpwstr/>
      </vt:variant>
      <vt:variant>
        <vt:i4>6946865</vt:i4>
      </vt:variant>
      <vt:variant>
        <vt:i4>0</vt:i4>
      </vt:variant>
      <vt:variant>
        <vt:i4>0</vt:i4>
      </vt:variant>
      <vt:variant>
        <vt:i4>5</vt:i4>
      </vt:variant>
      <vt:variant>
        <vt:lpwstr>https://www.monygroup.com/investors/results-reports-and-presentations/</vt:lpwstr>
      </vt:variant>
      <vt:variant>
        <vt:lpwstr/>
      </vt:variant>
      <vt:variant>
        <vt:i4>6815755</vt:i4>
      </vt:variant>
      <vt:variant>
        <vt:i4>48</vt:i4>
      </vt:variant>
      <vt:variant>
        <vt:i4>0</vt:i4>
      </vt:variant>
      <vt:variant>
        <vt:i4>5</vt:i4>
      </vt:variant>
      <vt:variant>
        <vt:lpwstr>mailto:katie.syvret@monygroup.com</vt:lpwstr>
      </vt:variant>
      <vt:variant>
        <vt:lpwstr/>
      </vt:variant>
      <vt:variant>
        <vt:i4>5177405</vt:i4>
      </vt:variant>
      <vt:variant>
        <vt:i4>45</vt:i4>
      </vt:variant>
      <vt:variant>
        <vt:i4>0</vt:i4>
      </vt:variant>
      <vt:variant>
        <vt:i4>5</vt:i4>
      </vt:variant>
      <vt:variant>
        <vt:lpwstr>mailto:iain.driver@monygroup.com</vt:lpwstr>
      </vt:variant>
      <vt:variant>
        <vt:lpwstr/>
      </vt:variant>
      <vt:variant>
        <vt:i4>5177405</vt:i4>
      </vt:variant>
      <vt:variant>
        <vt:i4>42</vt:i4>
      </vt:variant>
      <vt:variant>
        <vt:i4>0</vt:i4>
      </vt:variant>
      <vt:variant>
        <vt:i4>5</vt:i4>
      </vt:variant>
      <vt:variant>
        <vt:lpwstr>mailto:iain.driver@monygroup.com</vt:lpwstr>
      </vt:variant>
      <vt:variant>
        <vt:lpwstr/>
      </vt:variant>
      <vt:variant>
        <vt:i4>5177405</vt:i4>
      </vt:variant>
      <vt:variant>
        <vt:i4>39</vt:i4>
      </vt:variant>
      <vt:variant>
        <vt:i4>0</vt:i4>
      </vt:variant>
      <vt:variant>
        <vt:i4>5</vt:i4>
      </vt:variant>
      <vt:variant>
        <vt:lpwstr>mailto:iain.driver@monygroup.com</vt:lpwstr>
      </vt:variant>
      <vt:variant>
        <vt:lpwstr/>
      </vt:variant>
      <vt:variant>
        <vt:i4>6815755</vt:i4>
      </vt:variant>
      <vt:variant>
        <vt:i4>36</vt:i4>
      </vt:variant>
      <vt:variant>
        <vt:i4>0</vt:i4>
      </vt:variant>
      <vt:variant>
        <vt:i4>5</vt:i4>
      </vt:variant>
      <vt:variant>
        <vt:lpwstr>mailto:katie.syvret@monygroup.com</vt:lpwstr>
      </vt:variant>
      <vt:variant>
        <vt:lpwstr/>
      </vt:variant>
      <vt:variant>
        <vt:i4>5177405</vt:i4>
      </vt:variant>
      <vt:variant>
        <vt:i4>33</vt:i4>
      </vt:variant>
      <vt:variant>
        <vt:i4>0</vt:i4>
      </vt:variant>
      <vt:variant>
        <vt:i4>5</vt:i4>
      </vt:variant>
      <vt:variant>
        <vt:lpwstr>mailto:iain.driver@monygroup.com</vt:lpwstr>
      </vt:variant>
      <vt:variant>
        <vt:lpwstr/>
      </vt:variant>
      <vt:variant>
        <vt:i4>1835118</vt:i4>
      </vt:variant>
      <vt:variant>
        <vt:i4>30</vt:i4>
      </vt:variant>
      <vt:variant>
        <vt:i4>0</vt:i4>
      </vt:variant>
      <vt:variant>
        <vt:i4>5</vt:i4>
      </vt:variant>
      <vt:variant>
        <vt:lpwstr>mailto:tim.davies@monygroup.com</vt:lpwstr>
      </vt:variant>
      <vt:variant>
        <vt:lpwstr/>
      </vt:variant>
      <vt:variant>
        <vt:i4>5242916</vt:i4>
      </vt:variant>
      <vt:variant>
        <vt:i4>27</vt:i4>
      </vt:variant>
      <vt:variant>
        <vt:i4>0</vt:i4>
      </vt:variant>
      <vt:variant>
        <vt:i4>5</vt:i4>
      </vt:variant>
      <vt:variant>
        <vt:lpwstr>mailto:Jennifer.Cooke@monygroup.com</vt:lpwstr>
      </vt:variant>
      <vt:variant>
        <vt:lpwstr/>
      </vt:variant>
      <vt:variant>
        <vt:i4>852073</vt:i4>
      </vt:variant>
      <vt:variant>
        <vt:i4>24</vt:i4>
      </vt:variant>
      <vt:variant>
        <vt:i4>0</vt:i4>
      </vt:variant>
      <vt:variant>
        <vt:i4>5</vt:i4>
      </vt:variant>
      <vt:variant>
        <vt:lpwstr>mailto:clare.wood@monygroup.com</vt:lpwstr>
      </vt:variant>
      <vt:variant>
        <vt:lpwstr/>
      </vt:variant>
      <vt:variant>
        <vt:i4>5242916</vt:i4>
      </vt:variant>
      <vt:variant>
        <vt:i4>21</vt:i4>
      </vt:variant>
      <vt:variant>
        <vt:i4>0</vt:i4>
      </vt:variant>
      <vt:variant>
        <vt:i4>5</vt:i4>
      </vt:variant>
      <vt:variant>
        <vt:lpwstr>mailto:Jennifer.Cooke@monygroup.com</vt:lpwstr>
      </vt:variant>
      <vt:variant>
        <vt:lpwstr/>
      </vt:variant>
      <vt:variant>
        <vt:i4>6619148</vt:i4>
      </vt:variant>
      <vt:variant>
        <vt:i4>18</vt:i4>
      </vt:variant>
      <vt:variant>
        <vt:i4>0</vt:i4>
      </vt:variant>
      <vt:variant>
        <vt:i4>5</vt:i4>
      </vt:variant>
      <vt:variant>
        <vt:lpwstr>mailto:pippa.edwards@monygroup.com</vt:lpwstr>
      </vt:variant>
      <vt:variant>
        <vt:lpwstr/>
      </vt:variant>
      <vt:variant>
        <vt:i4>5177405</vt:i4>
      </vt:variant>
      <vt:variant>
        <vt:i4>15</vt:i4>
      </vt:variant>
      <vt:variant>
        <vt:i4>0</vt:i4>
      </vt:variant>
      <vt:variant>
        <vt:i4>5</vt:i4>
      </vt:variant>
      <vt:variant>
        <vt:lpwstr>mailto:iain.driver@monygroup.com</vt:lpwstr>
      </vt:variant>
      <vt:variant>
        <vt:lpwstr/>
      </vt:variant>
      <vt:variant>
        <vt:i4>852073</vt:i4>
      </vt:variant>
      <vt:variant>
        <vt:i4>12</vt:i4>
      </vt:variant>
      <vt:variant>
        <vt:i4>0</vt:i4>
      </vt:variant>
      <vt:variant>
        <vt:i4>5</vt:i4>
      </vt:variant>
      <vt:variant>
        <vt:lpwstr>mailto:clare.wood@monygroup.com</vt:lpwstr>
      </vt:variant>
      <vt:variant>
        <vt:lpwstr/>
      </vt:variant>
      <vt:variant>
        <vt:i4>5242916</vt:i4>
      </vt:variant>
      <vt:variant>
        <vt:i4>9</vt:i4>
      </vt:variant>
      <vt:variant>
        <vt:i4>0</vt:i4>
      </vt:variant>
      <vt:variant>
        <vt:i4>5</vt:i4>
      </vt:variant>
      <vt:variant>
        <vt:lpwstr>mailto:Jennifer.Cooke@monygroup.com</vt:lpwstr>
      </vt:variant>
      <vt:variant>
        <vt:lpwstr/>
      </vt:variant>
      <vt:variant>
        <vt:i4>1835118</vt:i4>
      </vt:variant>
      <vt:variant>
        <vt:i4>6</vt:i4>
      </vt:variant>
      <vt:variant>
        <vt:i4>0</vt:i4>
      </vt:variant>
      <vt:variant>
        <vt:i4>5</vt:i4>
      </vt:variant>
      <vt:variant>
        <vt:lpwstr>mailto:tim.davies@monygroup.com</vt:lpwstr>
      </vt:variant>
      <vt:variant>
        <vt:lpwstr/>
      </vt:variant>
      <vt:variant>
        <vt:i4>5242916</vt:i4>
      </vt:variant>
      <vt:variant>
        <vt:i4>3</vt:i4>
      </vt:variant>
      <vt:variant>
        <vt:i4>0</vt:i4>
      </vt:variant>
      <vt:variant>
        <vt:i4>5</vt:i4>
      </vt:variant>
      <vt:variant>
        <vt:lpwstr>mailto:Jennifer.Cooke@monygroup.com</vt:lpwstr>
      </vt:variant>
      <vt:variant>
        <vt:lpwstr/>
      </vt:variant>
      <vt:variant>
        <vt:i4>1835118</vt:i4>
      </vt:variant>
      <vt:variant>
        <vt:i4>0</vt:i4>
      </vt:variant>
      <vt:variant>
        <vt:i4>0</vt:i4>
      </vt:variant>
      <vt:variant>
        <vt:i4>5</vt:i4>
      </vt:variant>
      <vt:variant>
        <vt:lpwstr>mailto:tim.davies@monygroup.com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Wood</dc:creator>
  <cp:keywords/>
  <dc:description/>
  <cp:lastModifiedBy>Gillian Birch</cp:lastModifiedBy>
  <cp:revision>2</cp:revision>
  <cp:lastPrinted>2025-07-09T17:07:00Z</cp:lastPrinted>
  <dcterms:created xsi:type="dcterms:W3CDTF">2025-07-18T15:12:00Z</dcterms:created>
  <dcterms:modified xsi:type="dcterms:W3CDTF">2025-07-18T15:12:00Z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4fc5e429,1f3e4386,3f02b4eb</vt:lpwstr>
  </property>
  <property fmtid="{D5CDD505-2E9C-101B-9397-08002B2CF9AE}" pid="3" name="ClassificationContentMarkingFooterFontProps">
    <vt:lpwstr>#000000,10,Calibri</vt:lpwstr>
  </property>
  <property fmtid="{D5CDD505-2E9C-101B-9397-08002B2CF9AE}" pid="4" name="ClassificationContentMarkingFooterText">
    <vt:lpwstr>[CLASSIFICATION: CONFIDENTIAL]</vt:lpwstr>
  </property>
  <property fmtid="{D5CDD505-2E9C-101B-9397-08002B2CF9AE}" pid="5" name="MSIP_Label_ccf25fe2-eb40-4143-af0c-2dc44b1b6322_Enabled">
    <vt:lpwstr>true</vt:lpwstr>
  </property>
  <property fmtid="{D5CDD505-2E9C-101B-9397-08002B2CF9AE}" pid="6" name="MSIP_Label_ccf25fe2-eb40-4143-af0c-2dc44b1b6322_SetDate">
    <vt:lpwstr>2024-06-04T17:51:19Z</vt:lpwstr>
  </property>
  <property fmtid="{D5CDD505-2E9C-101B-9397-08002B2CF9AE}" pid="7" name="MSIP_Label_ccf25fe2-eb40-4143-af0c-2dc44b1b6322_Method">
    <vt:lpwstr>Privileged</vt:lpwstr>
  </property>
  <property fmtid="{D5CDD505-2E9C-101B-9397-08002B2CF9AE}" pid="8" name="MSIP_Label_ccf25fe2-eb40-4143-af0c-2dc44b1b6322_Name">
    <vt:lpwstr>CONFIDENTIAL</vt:lpwstr>
  </property>
  <property fmtid="{D5CDD505-2E9C-101B-9397-08002B2CF9AE}" pid="9" name="MSIP_Label_ccf25fe2-eb40-4143-af0c-2dc44b1b6322_SiteId">
    <vt:lpwstr>cc9ac222-431d-48f9-9fac-afc0ae0cc73c</vt:lpwstr>
  </property>
  <property fmtid="{D5CDD505-2E9C-101B-9397-08002B2CF9AE}" pid="10" name="MSIP_Label_ccf25fe2-eb40-4143-af0c-2dc44b1b6322_ActionId">
    <vt:lpwstr>79a90902-8c65-4693-9da4-3fac7929e433</vt:lpwstr>
  </property>
  <property fmtid="{D5CDD505-2E9C-101B-9397-08002B2CF9AE}" pid="11" name="MSIP_Label_ccf25fe2-eb40-4143-af0c-2dc44b1b6322_ContentBits">
    <vt:lpwstr>2</vt:lpwstr>
  </property>
  <property fmtid="{D5CDD505-2E9C-101B-9397-08002B2CF9AE}" pid="12" name="ContentTypeId">
    <vt:lpwstr>0x0101003E2C8315C5BAFC4185F1C6975D0FBF8A</vt:lpwstr>
  </property>
  <property fmtid="{D5CDD505-2E9C-101B-9397-08002B2CF9AE}" pid="13" name="MediaServiceImageTags">
    <vt:lpwstr/>
  </property>
</Properties>
</file>