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B891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right"/>
        <w:rPr>
          <w:rFonts w:ascii="Arial" w:hAnsi="Arial" w:cs="Arial"/>
          <w:sz w:val="20"/>
          <w:szCs w:val="20"/>
          <w14:ligatures w14:val="standardContextual"/>
        </w:rPr>
      </w:pPr>
      <w:r w:rsidRPr="00756913">
        <w:rPr>
          <w:rFonts w:ascii="Arial" w:hAnsi="Arial" w:cs="Arial"/>
          <w:sz w:val="20"/>
          <w:szCs w:val="20"/>
          <w14:ligatures w14:val="standardContextual"/>
        </w:rPr>
        <w:tab/>
        <w:t>22 July 2024</w:t>
      </w:r>
    </w:p>
    <w:p w14:paraId="45365A4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before="240" w:after="0" w:line="240" w:lineRule="auto"/>
        <w:jc w:val="center"/>
        <w:rPr>
          <w:rFonts w:ascii="Arial" w:hAnsi="Arial" w:cs="Arial"/>
          <w:b/>
          <w:bCs/>
          <w:sz w:val="20"/>
          <w:szCs w:val="20"/>
          <w14:ligatures w14:val="standardContextual"/>
        </w:rPr>
      </w:pPr>
      <w:r w:rsidRPr="00756913">
        <w:rPr>
          <w:rFonts w:ascii="Arial" w:hAnsi="Arial" w:cs="Arial"/>
          <w:b/>
          <w:bCs/>
          <w:sz w:val="20"/>
          <w:szCs w:val="20"/>
          <w14:ligatures w14:val="standardContextual"/>
        </w:rPr>
        <w:t xml:space="preserve">MONY Group plc </w:t>
      </w:r>
    </w:p>
    <w:p w14:paraId="5132D8A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before="240" w:after="0" w:line="240" w:lineRule="auto"/>
        <w:jc w:val="center"/>
        <w:rPr>
          <w:rFonts w:ascii="Arial" w:hAnsi="Arial" w:cs="Arial"/>
          <w:sz w:val="20"/>
          <w:szCs w:val="20"/>
          <w14:ligatures w14:val="standardContextual"/>
        </w:rPr>
      </w:pPr>
      <w:r w:rsidRPr="00756913">
        <w:rPr>
          <w:rFonts w:ascii="Arial" w:hAnsi="Arial" w:cs="Arial"/>
          <w:sz w:val="20"/>
          <w:szCs w:val="20"/>
          <w14:ligatures w14:val="standardContextual"/>
        </w:rPr>
        <w:t>Interim results for the six months ended 30 June 2024</w:t>
      </w:r>
    </w:p>
    <w:p w14:paraId="26AF07C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color w:val="FF0000"/>
          <w:sz w:val="14"/>
          <w:szCs w:val="14"/>
          <w14:ligatures w14:val="standardContextual"/>
        </w:rPr>
      </w:pPr>
    </w:p>
    <w:p w14:paraId="23C9B66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ind w:firstLine="709"/>
        <w:jc w:val="center"/>
        <w:rPr>
          <w:rFonts w:ascii="Arial" w:hAnsi="Arial" w:cs="Arial"/>
          <w:b/>
          <w:bCs/>
          <w:sz w:val="20"/>
          <w:szCs w:val="20"/>
          <w14:ligatures w14:val="standardContextual"/>
        </w:rPr>
      </w:pPr>
      <w:r w:rsidRPr="00756913">
        <w:rPr>
          <w:rFonts w:ascii="Arial" w:hAnsi="Arial" w:cs="Arial"/>
          <w:b/>
          <w:bCs/>
          <w:sz w:val="20"/>
          <w:szCs w:val="20"/>
          <w14:ligatures w14:val="standardContextual"/>
        </w:rPr>
        <w:t xml:space="preserve">Good trading and strategic achievements with the best ever H1 revenue and EBITDA </w:t>
      </w:r>
    </w:p>
    <w:p w14:paraId="0C67833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ind w:firstLine="709"/>
        <w:jc w:val="center"/>
        <w:rPr>
          <w:rFonts w:ascii="Arial" w:hAnsi="Arial" w:cs="Arial"/>
          <w:b/>
          <w:bCs/>
          <w:sz w:val="20"/>
          <w:szCs w:val="20"/>
          <w14:ligatures w14:val="standardContextual"/>
        </w:rPr>
      </w:pPr>
    </w:p>
    <w:p w14:paraId="7A21506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center"/>
        <w:rPr>
          <w:rFonts w:ascii="Arial" w:hAnsi="Arial" w:cs="Arial"/>
          <w:color w:val="FF0000"/>
          <w:sz w:val="18"/>
          <w:szCs w:val="18"/>
          <w14:ligatures w14:val="standardContextu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2055"/>
        <w:gridCol w:w="2056"/>
        <w:gridCol w:w="1843"/>
      </w:tblGrid>
      <w:tr w:rsidR="00756913" w:rsidRPr="00756913" w14:paraId="6D36C199" w14:textId="77777777">
        <w:tblPrEx>
          <w:tblCellMar>
            <w:top w:w="0" w:type="dxa"/>
            <w:bottom w:w="0" w:type="dxa"/>
          </w:tblCellMar>
        </w:tblPrEx>
        <w:tc>
          <w:tcPr>
            <w:tcW w:w="2972" w:type="dxa"/>
            <w:tcBorders>
              <w:top w:val="single" w:sz="4" w:space="0" w:color="auto"/>
              <w:bottom w:val="single" w:sz="4" w:space="0" w:color="auto"/>
              <w:right w:val="single" w:sz="4" w:space="0" w:color="auto"/>
            </w:tcBorders>
          </w:tcPr>
          <w:p w14:paraId="6B16A2E9" w14:textId="77777777" w:rsidR="00756913" w:rsidRPr="00756913" w:rsidRDefault="00756913" w:rsidP="00756913">
            <w:pPr>
              <w:autoSpaceDE w:val="0"/>
              <w:autoSpaceDN w:val="0"/>
              <w:adjustRightInd w:val="0"/>
              <w:spacing w:after="0" w:line="240" w:lineRule="auto"/>
              <w:rPr>
                <w:rFonts w:ascii="Arial" w:hAnsi="Arial" w:cs="Arial"/>
                <w:b/>
                <w:bCs/>
                <w:sz w:val="20"/>
                <w:szCs w:val="20"/>
                <w14:ligatures w14:val="standardContextual"/>
              </w:rPr>
            </w:pPr>
            <w:r w:rsidRPr="00756913">
              <w:rPr>
                <w:rFonts w:ascii="Arial" w:hAnsi="Arial" w:cs="Arial"/>
                <w:b/>
                <w:bCs/>
                <w:sz w:val="20"/>
                <w:szCs w:val="20"/>
                <w14:ligatures w14:val="standardContextual"/>
              </w:rPr>
              <w:t>6 months ended 30 June</w:t>
            </w:r>
          </w:p>
        </w:tc>
        <w:tc>
          <w:tcPr>
            <w:tcW w:w="2055" w:type="dxa"/>
            <w:tcBorders>
              <w:top w:val="single" w:sz="4" w:space="0" w:color="auto"/>
              <w:left w:val="single" w:sz="4" w:space="0" w:color="auto"/>
              <w:bottom w:val="single" w:sz="4" w:space="0" w:color="auto"/>
              <w:right w:val="single" w:sz="4" w:space="0" w:color="auto"/>
            </w:tcBorders>
          </w:tcPr>
          <w:p w14:paraId="5E74ABAB" w14:textId="77777777" w:rsidR="00756913" w:rsidRPr="00756913" w:rsidRDefault="00756913" w:rsidP="00756913">
            <w:pPr>
              <w:autoSpaceDE w:val="0"/>
              <w:autoSpaceDN w:val="0"/>
              <w:adjustRightInd w:val="0"/>
              <w:spacing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2024</w:t>
            </w:r>
          </w:p>
        </w:tc>
        <w:tc>
          <w:tcPr>
            <w:tcW w:w="2056" w:type="dxa"/>
            <w:tcBorders>
              <w:top w:val="single" w:sz="4" w:space="0" w:color="auto"/>
              <w:left w:val="single" w:sz="4" w:space="0" w:color="auto"/>
              <w:bottom w:val="single" w:sz="4" w:space="0" w:color="auto"/>
              <w:right w:val="single" w:sz="4" w:space="0" w:color="auto"/>
            </w:tcBorders>
          </w:tcPr>
          <w:p w14:paraId="3CEAB608" w14:textId="77777777" w:rsidR="00756913" w:rsidRPr="00756913" w:rsidRDefault="00756913" w:rsidP="00756913">
            <w:pPr>
              <w:autoSpaceDE w:val="0"/>
              <w:autoSpaceDN w:val="0"/>
              <w:adjustRightInd w:val="0"/>
              <w:spacing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2023</w:t>
            </w:r>
          </w:p>
        </w:tc>
        <w:tc>
          <w:tcPr>
            <w:tcW w:w="1843" w:type="dxa"/>
            <w:tcBorders>
              <w:top w:val="single" w:sz="4" w:space="0" w:color="auto"/>
              <w:left w:val="single" w:sz="4" w:space="0" w:color="auto"/>
              <w:bottom w:val="single" w:sz="4" w:space="0" w:color="auto"/>
            </w:tcBorders>
          </w:tcPr>
          <w:p w14:paraId="135634DD" w14:textId="77777777" w:rsidR="00756913" w:rsidRPr="00756913" w:rsidRDefault="00756913" w:rsidP="00756913">
            <w:pPr>
              <w:autoSpaceDE w:val="0"/>
              <w:autoSpaceDN w:val="0"/>
              <w:adjustRightInd w:val="0"/>
              <w:spacing w:after="0" w:line="240" w:lineRule="auto"/>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 xml:space="preserve">Growth </w:t>
            </w:r>
          </w:p>
        </w:tc>
      </w:tr>
      <w:tr w:rsidR="00756913" w:rsidRPr="00756913" w14:paraId="632A797D" w14:textId="77777777">
        <w:tblPrEx>
          <w:tblCellMar>
            <w:top w:w="0" w:type="dxa"/>
            <w:bottom w:w="0" w:type="dxa"/>
          </w:tblCellMar>
        </w:tblPrEx>
        <w:tc>
          <w:tcPr>
            <w:tcW w:w="2972" w:type="dxa"/>
            <w:tcBorders>
              <w:top w:val="single" w:sz="4" w:space="0" w:color="auto"/>
              <w:bottom w:val="single" w:sz="4" w:space="0" w:color="auto"/>
              <w:right w:val="single" w:sz="4" w:space="0" w:color="auto"/>
            </w:tcBorders>
          </w:tcPr>
          <w:p w14:paraId="68ADF713" w14:textId="77777777" w:rsidR="00756913" w:rsidRPr="00756913" w:rsidRDefault="00756913" w:rsidP="00756913">
            <w:pPr>
              <w:autoSpaceDE w:val="0"/>
              <w:autoSpaceDN w:val="0"/>
              <w:adjustRightInd w:val="0"/>
              <w:spacing w:after="0"/>
              <w:rPr>
                <w:rFonts w:ascii="Arial" w:hAnsi="Arial" w:cs="Arial"/>
                <w:sz w:val="20"/>
                <w:szCs w:val="20"/>
                <w14:ligatures w14:val="standardContextual"/>
              </w:rPr>
            </w:pPr>
            <w:r w:rsidRPr="00756913">
              <w:rPr>
                <w:rFonts w:ascii="Arial" w:hAnsi="Arial" w:cs="Arial"/>
                <w:sz w:val="20"/>
                <w:szCs w:val="20"/>
                <w14:ligatures w14:val="standardContextual"/>
              </w:rPr>
              <w:t>Group revenue</w:t>
            </w:r>
          </w:p>
        </w:tc>
        <w:tc>
          <w:tcPr>
            <w:tcW w:w="2055" w:type="dxa"/>
            <w:tcBorders>
              <w:top w:val="single" w:sz="4" w:space="0" w:color="auto"/>
              <w:left w:val="single" w:sz="4" w:space="0" w:color="auto"/>
              <w:bottom w:val="single" w:sz="4" w:space="0" w:color="auto"/>
              <w:right w:val="single" w:sz="4" w:space="0" w:color="auto"/>
            </w:tcBorders>
          </w:tcPr>
          <w:p w14:paraId="74EC94B3"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£223.5m</w:t>
            </w:r>
          </w:p>
        </w:tc>
        <w:tc>
          <w:tcPr>
            <w:tcW w:w="2056" w:type="dxa"/>
            <w:tcBorders>
              <w:top w:val="single" w:sz="4" w:space="0" w:color="auto"/>
              <w:left w:val="single" w:sz="4" w:space="0" w:color="auto"/>
              <w:bottom w:val="single" w:sz="4" w:space="0" w:color="auto"/>
              <w:right w:val="single" w:sz="4" w:space="0" w:color="auto"/>
            </w:tcBorders>
          </w:tcPr>
          <w:p w14:paraId="3311A072"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£213.8m</w:t>
            </w:r>
          </w:p>
        </w:tc>
        <w:tc>
          <w:tcPr>
            <w:tcW w:w="1843" w:type="dxa"/>
            <w:tcBorders>
              <w:top w:val="single" w:sz="4" w:space="0" w:color="auto"/>
              <w:left w:val="single" w:sz="4" w:space="0" w:color="auto"/>
              <w:bottom w:val="single" w:sz="4" w:space="0" w:color="auto"/>
            </w:tcBorders>
            <w:vAlign w:val="center"/>
          </w:tcPr>
          <w:p w14:paraId="46451459"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5%</w:t>
            </w:r>
          </w:p>
        </w:tc>
      </w:tr>
      <w:tr w:rsidR="00756913" w:rsidRPr="00756913" w14:paraId="0F3E6019" w14:textId="77777777">
        <w:tblPrEx>
          <w:tblCellMar>
            <w:top w:w="0" w:type="dxa"/>
            <w:bottom w:w="0" w:type="dxa"/>
          </w:tblCellMar>
        </w:tblPrEx>
        <w:tc>
          <w:tcPr>
            <w:tcW w:w="2972" w:type="dxa"/>
            <w:tcBorders>
              <w:top w:val="single" w:sz="4" w:space="0" w:color="auto"/>
              <w:bottom w:val="single" w:sz="4" w:space="0" w:color="auto"/>
              <w:right w:val="single" w:sz="4" w:space="0" w:color="auto"/>
            </w:tcBorders>
          </w:tcPr>
          <w:p w14:paraId="6F83A479" w14:textId="77777777" w:rsidR="00756913" w:rsidRPr="00756913" w:rsidRDefault="00756913" w:rsidP="00756913">
            <w:pPr>
              <w:autoSpaceDE w:val="0"/>
              <w:autoSpaceDN w:val="0"/>
              <w:adjustRightInd w:val="0"/>
              <w:spacing w:after="0"/>
              <w:rPr>
                <w:rFonts w:ascii="Arial" w:hAnsi="Arial" w:cs="Arial"/>
                <w:sz w:val="20"/>
                <w:szCs w:val="20"/>
                <w14:ligatures w14:val="standardContextual"/>
              </w:rPr>
            </w:pPr>
            <w:r w:rsidRPr="00756913">
              <w:rPr>
                <w:rFonts w:ascii="Arial" w:hAnsi="Arial" w:cs="Arial"/>
                <w:sz w:val="20"/>
                <w:szCs w:val="20"/>
                <w14:ligatures w14:val="standardContextual"/>
              </w:rPr>
              <w:t>EBITDA *</w:t>
            </w:r>
          </w:p>
        </w:tc>
        <w:tc>
          <w:tcPr>
            <w:tcW w:w="2055" w:type="dxa"/>
            <w:tcBorders>
              <w:top w:val="single" w:sz="4" w:space="0" w:color="auto"/>
              <w:left w:val="single" w:sz="4" w:space="0" w:color="auto"/>
              <w:bottom w:val="single" w:sz="4" w:space="0" w:color="auto"/>
              <w:right w:val="single" w:sz="4" w:space="0" w:color="auto"/>
            </w:tcBorders>
          </w:tcPr>
          <w:p w14:paraId="28499DA9"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£73.0m</w:t>
            </w:r>
          </w:p>
        </w:tc>
        <w:tc>
          <w:tcPr>
            <w:tcW w:w="2056" w:type="dxa"/>
            <w:tcBorders>
              <w:top w:val="single" w:sz="4" w:space="0" w:color="auto"/>
              <w:left w:val="single" w:sz="4" w:space="0" w:color="auto"/>
              <w:bottom w:val="single" w:sz="4" w:space="0" w:color="auto"/>
              <w:right w:val="single" w:sz="4" w:space="0" w:color="auto"/>
            </w:tcBorders>
          </w:tcPr>
          <w:p w14:paraId="2B321EDC"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£67.7m</w:t>
            </w:r>
          </w:p>
        </w:tc>
        <w:tc>
          <w:tcPr>
            <w:tcW w:w="1843" w:type="dxa"/>
            <w:tcBorders>
              <w:top w:val="single" w:sz="4" w:space="0" w:color="auto"/>
              <w:left w:val="single" w:sz="4" w:space="0" w:color="auto"/>
              <w:bottom w:val="single" w:sz="4" w:space="0" w:color="auto"/>
            </w:tcBorders>
          </w:tcPr>
          <w:p w14:paraId="3CD695D2"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8%</w:t>
            </w:r>
          </w:p>
        </w:tc>
      </w:tr>
      <w:tr w:rsidR="00756913" w:rsidRPr="00756913" w14:paraId="22B06452" w14:textId="77777777">
        <w:tblPrEx>
          <w:tblCellMar>
            <w:top w:w="0" w:type="dxa"/>
            <w:bottom w:w="0" w:type="dxa"/>
          </w:tblCellMar>
        </w:tblPrEx>
        <w:tc>
          <w:tcPr>
            <w:tcW w:w="2972" w:type="dxa"/>
            <w:tcBorders>
              <w:top w:val="single" w:sz="4" w:space="0" w:color="auto"/>
              <w:bottom w:val="single" w:sz="4" w:space="0" w:color="auto"/>
              <w:right w:val="single" w:sz="4" w:space="0" w:color="auto"/>
            </w:tcBorders>
          </w:tcPr>
          <w:p w14:paraId="66F96B82" w14:textId="77777777" w:rsidR="00756913" w:rsidRPr="00756913" w:rsidRDefault="00756913" w:rsidP="00756913">
            <w:pPr>
              <w:autoSpaceDE w:val="0"/>
              <w:autoSpaceDN w:val="0"/>
              <w:adjustRightInd w:val="0"/>
              <w:spacing w:after="0"/>
              <w:rPr>
                <w:rFonts w:ascii="Arial" w:hAnsi="Arial" w:cs="Arial"/>
                <w:sz w:val="20"/>
                <w:szCs w:val="20"/>
                <w14:ligatures w14:val="standardContextual"/>
              </w:rPr>
            </w:pPr>
            <w:r w:rsidRPr="00756913">
              <w:rPr>
                <w:rFonts w:ascii="Arial" w:hAnsi="Arial" w:cs="Arial"/>
                <w:sz w:val="20"/>
                <w:szCs w:val="20"/>
                <w14:ligatures w14:val="standardContextual"/>
              </w:rPr>
              <w:t>Profit after tax</w:t>
            </w:r>
          </w:p>
        </w:tc>
        <w:tc>
          <w:tcPr>
            <w:tcW w:w="2055" w:type="dxa"/>
            <w:tcBorders>
              <w:top w:val="single" w:sz="4" w:space="0" w:color="auto"/>
              <w:left w:val="single" w:sz="4" w:space="0" w:color="auto"/>
              <w:bottom w:val="single" w:sz="4" w:space="0" w:color="auto"/>
              <w:right w:val="single" w:sz="4" w:space="0" w:color="auto"/>
            </w:tcBorders>
          </w:tcPr>
          <w:p w14:paraId="099E3E8F" w14:textId="77777777" w:rsidR="00756913" w:rsidRPr="00756913" w:rsidRDefault="00756913" w:rsidP="00756913">
            <w:pPr>
              <w:tabs>
                <w:tab w:val="left" w:pos="491"/>
                <w:tab w:val="center" w:pos="919"/>
              </w:tabs>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ab/>
            </w:r>
            <w:r w:rsidRPr="00756913">
              <w:rPr>
                <w:rFonts w:ascii="Arial" w:hAnsi="Arial" w:cs="Arial"/>
                <w:sz w:val="20"/>
                <w:szCs w:val="20"/>
                <w14:ligatures w14:val="standardContextual"/>
              </w:rPr>
              <w:tab/>
              <w:t>£44.1m</w:t>
            </w:r>
          </w:p>
        </w:tc>
        <w:tc>
          <w:tcPr>
            <w:tcW w:w="2056" w:type="dxa"/>
            <w:tcBorders>
              <w:top w:val="single" w:sz="4" w:space="0" w:color="auto"/>
              <w:left w:val="single" w:sz="4" w:space="0" w:color="auto"/>
              <w:bottom w:val="single" w:sz="4" w:space="0" w:color="auto"/>
              <w:right w:val="single" w:sz="4" w:space="0" w:color="auto"/>
            </w:tcBorders>
          </w:tcPr>
          <w:p w14:paraId="16D2AFBF"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£41.0m</w:t>
            </w:r>
          </w:p>
        </w:tc>
        <w:tc>
          <w:tcPr>
            <w:tcW w:w="1843" w:type="dxa"/>
            <w:tcBorders>
              <w:top w:val="single" w:sz="4" w:space="0" w:color="auto"/>
              <w:left w:val="single" w:sz="4" w:space="0" w:color="auto"/>
              <w:bottom w:val="single" w:sz="4" w:space="0" w:color="auto"/>
            </w:tcBorders>
          </w:tcPr>
          <w:p w14:paraId="2BACE3EA"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8%</w:t>
            </w:r>
          </w:p>
        </w:tc>
      </w:tr>
      <w:tr w:rsidR="00756913" w:rsidRPr="00756913" w14:paraId="722E86CF" w14:textId="77777777">
        <w:tblPrEx>
          <w:tblCellMar>
            <w:top w:w="0" w:type="dxa"/>
            <w:bottom w:w="0" w:type="dxa"/>
          </w:tblCellMar>
        </w:tblPrEx>
        <w:tc>
          <w:tcPr>
            <w:tcW w:w="2972" w:type="dxa"/>
            <w:tcBorders>
              <w:top w:val="single" w:sz="4" w:space="0" w:color="auto"/>
              <w:bottom w:val="single" w:sz="4" w:space="0" w:color="auto"/>
              <w:right w:val="single" w:sz="4" w:space="0" w:color="auto"/>
            </w:tcBorders>
          </w:tcPr>
          <w:p w14:paraId="64056F3C" w14:textId="77777777" w:rsidR="00756913" w:rsidRPr="00756913" w:rsidRDefault="00756913" w:rsidP="00756913">
            <w:pPr>
              <w:autoSpaceDE w:val="0"/>
              <w:autoSpaceDN w:val="0"/>
              <w:adjustRightInd w:val="0"/>
              <w:spacing w:after="0"/>
              <w:rPr>
                <w:rFonts w:ascii="Arial" w:hAnsi="Arial" w:cs="Arial"/>
                <w:sz w:val="20"/>
                <w:szCs w:val="20"/>
                <w14:ligatures w14:val="standardContextual"/>
              </w:rPr>
            </w:pPr>
            <w:r w:rsidRPr="00756913">
              <w:rPr>
                <w:rFonts w:ascii="Arial" w:hAnsi="Arial" w:cs="Arial"/>
                <w:sz w:val="20"/>
                <w:szCs w:val="20"/>
                <w14:ligatures w14:val="standardContextual"/>
              </w:rPr>
              <w:t>Adjusted basic EPS **</w:t>
            </w:r>
          </w:p>
        </w:tc>
        <w:tc>
          <w:tcPr>
            <w:tcW w:w="2055" w:type="dxa"/>
            <w:tcBorders>
              <w:top w:val="single" w:sz="4" w:space="0" w:color="auto"/>
              <w:left w:val="single" w:sz="4" w:space="0" w:color="auto"/>
              <w:bottom w:val="single" w:sz="4" w:space="0" w:color="auto"/>
              <w:right w:val="single" w:sz="4" w:space="0" w:color="auto"/>
            </w:tcBorders>
          </w:tcPr>
          <w:p w14:paraId="3F893BA5"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8.8p</w:t>
            </w:r>
          </w:p>
        </w:tc>
        <w:tc>
          <w:tcPr>
            <w:tcW w:w="2056" w:type="dxa"/>
            <w:tcBorders>
              <w:top w:val="single" w:sz="4" w:space="0" w:color="auto"/>
              <w:left w:val="single" w:sz="4" w:space="0" w:color="auto"/>
              <w:bottom w:val="single" w:sz="4" w:space="0" w:color="auto"/>
              <w:right w:val="single" w:sz="4" w:space="0" w:color="auto"/>
            </w:tcBorders>
          </w:tcPr>
          <w:p w14:paraId="0EC20388"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8.3p</w:t>
            </w:r>
          </w:p>
        </w:tc>
        <w:tc>
          <w:tcPr>
            <w:tcW w:w="1843" w:type="dxa"/>
            <w:tcBorders>
              <w:top w:val="single" w:sz="4" w:space="0" w:color="auto"/>
              <w:left w:val="single" w:sz="4" w:space="0" w:color="auto"/>
              <w:bottom w:val="single" w:sz="4" w:space="0" w:color="auto"/>
            </w:tcBorders>
          </w:tcPr>
          <w:p w14:paraId="440E4309"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6%</w:t>
            </w:r>
          </w:p>
        </w:tc>
      </w:tr>
      <w:tr w:rsidR="00756913" w:rsidRPr="00756913" w14:paraId="3E34CB36" w14:textId="77777777">
        <w:tblPrEx>
          <w:tblCellMar>
            <w:top w:w="0" w:type="dxa"/>
            <w:bottom w:w="0" w:type="dxa"/>
          </w:tblCellMar>
        </w:tblPrEx>
        <w:tc>
          <w:tcPr>
            <w:tcW w:w="2972" w:type="dxa"/>
            <w:tcBorders>
              <w:top w:val="single" w:sz="4" w:space="0" w:color="auto"/>
              <w:bottom w:val="single" w:sz="4" w:space="0" w:color="auto"/>
              <w:right w:val="single" w:sz="4" w:space="0" w:color="auto"/>
            </w:tcBorders>
          </w:tcPr>
          <w:p w14:paraId="7DF6AB88" w14:textId="77777777" w:rsidR="00756913" w:rsidRPr="00756913" w:rsidRDefault="00756913" w:rsidP="00756913">
            <w:pPr>
              <w:autoSpaceDE w:val="0"/>
              <w:autoSpaceDN w:val="0"/>
              <w:adjustRightInd w:val="0"/>
              <w:spacing w:after="0"/>
              <w:rPr>
                <w:rFonts w:ascii="Arial" w:hAnsi="Arial" w:cs="Arial"/>
                <w:sz w:val="20"/>
                <w:szCs w:val="20"/>
                <w14:ligatures w14:val="standardContextual"/>
              </w:rPr>
            </w:pPr>
            <w:r w:rsidRPr="00756913">
              <w:rPr>
                <w:rFonts w:ascii="Arial" w:hAnsi="Arial" w:cs="Arial"/>
                <w:sz w:val="20"/>
                <w:szCs w:val="20"/>
                <w14:ligatures w14:val="standardContextual"/>
              </w:rPr>
              <w:t>Basic EPS</w:t>
            </w:r>
          </w:p>
        </w:tc>
        <w:tc>
          <w:tcPr>
            <w:tcW w:w="2055" w:type="dxa"/>
            <w:tcBorders>
              <w:top w:val="single" w:sz="4" w:space="0" w:color="auto"/>
              <w:left w:val="single" w:sz="4" w:space="0" w:color="auto"/>
              <w:bottom w:val="single" w:sz="4" w:space="0" w:color="auto"/>
              <w:right w:val="single" w:sz="4" w:space="0" w:color="auto"/>
            </w:tcBorders>
          </w:tcPr>
          <w:p w14:paraId="7B1F75D1"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8.3p</w:t>
            </w:r>
          </w:p>
        </w:tc>
        <w:tc>
          <w:tcPr>
            <w:tcW w:w="2056" w:type="dxa"/>
            <w:tcBorders>
              <w:top w:val="single" w:sz="4" w:space="0" w:color="auto"/>
              <w:left w:val="single" w:sz="4" w:space="0" w:color="auto"/>
              <w:bottom w:val="single" w:sz="4" w:space="0" w:color="auto"/>
              <w:right w:val="single" w:sz="4" w:space="0" w:color="auto"/>
            </w:tcBorders>
          </w:tcPr>
          <w:p w14:paraId="00F7C50C"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7.6p</w:t>
            </w:r>
          </w:p>
        </w:tc>
        <w:tc>
          <w:tcPr>
            <w:tcW w:w="1843" w:type="dxa"/>
            <w:tcBorders>
              <w:top w:val="single" w:sz="4" w:space="0" w:color="auto"/>
              <w:left w:val="single" w:sz="4" w:space="0" w:color="auto"/>
              <w:bottom w:val="single" w:sz="4" w:space="0" w:color="auto"/>
            </w:tcBorders>
          </w:tcPr>
          <w:p w14:paraId="3C4F030D"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9%</w:t>
            </w:r>
          </w:p>
        </w:tc>
      </w:tr>
      <w:tr w:rsidR="00756913" w:rsidRPr="00756913" w14:paraId="139E282F" w14:textId="77777777">
        <w:tblPrEx>
          <w:tblCellMar>
            <w:top w:w="0" w:type="dxa"/>
            <w:bottom w:w="0" w:type="dxa"/>
          </w:tblCellMar>
        </w:tblPrEx>
        <w:tc>
          <w:tcPr>
            <w:tcW w:w="2972" w:type="dxa"/>
            <w:tcBorders>
              <w:top w:val="single" w:sz="4" w:space="0" w:color="auto"/>
              <w:bottom w:val="single" w:sz="4" w:space="0" w:color="auto"/>
              <w:right w:val="single" w:sz="4" w:space="0" w:color="auto"/>
            </w:tcBorders>
          </w:tcPr>
          <w:p w14:paraId="0A64B27C" w14:textId="77777777" w:rsidR="00756913" w:rsidRPr="00756913" w:rsidRDefault="00756913" w:rsidP="00756913">
            <w:pPr>
              <w:autoSpaceDE w:val="0"/>
              <w:autoSpaceDN w:val="0"/>
              <w:adjustRightInd w:val="0"/>
              <w:spacing w:after="0"/>
              <w:rPr>
                <w:rFonts w:ascii="Arial" w:hAnsi="Arial" w:cs="Arial"/>
                <w:sz w:val="20"/>
                <w:szCs w:val="20"/>
                <w14:ligatures w14:val="standardContextual"/>
              </w:rPr>
            </w:pPr>
            <w:r w:rsidRPr="00756913">
              <w:rPr>
                <w:rFonts w:ascii="Arial" w:hAnsi="Arial" w:cs="Arial"/>
                <w:sz w:val="20"/>
                <w:szCs w:val="20"/>
                <w14:ligatures w14:val="standardContextual"/>
              </w:rPr>
              <w:t>Operating cashflow</w:t>
            </w:r>
          </w:p>
        </w:tc>
        <w:tc>
          <w:tcPr>
            <w:tcW w:w="2055" w:type="dxa"/>
            <w:tcBorders>
              <w:top w:val="single" w:sz="4" w:space="0" w:color="auto"/>
              <w:left w:val="single" w:sz="4" w:space="0" w:color="auto"/>
              <w:bottom w:val="single" w:sz="4" w:space="0" w:color="auto"/>
              <w:right w:val="single" w:sz="4" w:space="0" w:color="auto"/>
            </w:tcBorders>
          </w:tcPr>
          <w:p w14:paraId="541FE6AF"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£51.8m</w:t>
            </w:r>
          </w:p>
        </w:tc>
        <w:tc>
          <w:tcPr>
            <w:tcW w:w="2056" w:type="dxa"/>
            <w:tcBorders>
              <w:top w:val="single" w:sz="4" w:space="0" w:color="auto"/>
              <w:left w:val="single" w:sz="4" w:space="0" w:color="auto"/>
              <w:bottom w:val="single" w:sz="4" w:space="0" w:color="auto"/>
              <w:right w:val="single" w:sz="4" w:space="0" w:color="auto"/>
            </w:tcBorders>
          </w:tcPr>
          <w:p w14:paraId="66E1A4C8"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£41.1m</w:t>
            </w:r>
          </w:p>
        </w:tc>
        <w:tc>
          <w:tcPr>
            <w:tcW w:w="1843" w:type="dxa"/>
            <w:tcBorders>
              <w:top w:val="single" w:sz="4" w:space="0" w:color="auto"/>
              <w:left w:val="single" w:sz="4" w:space="0" w:color="auto"/>
              <w:bottom w:val="single" w:sz="4" w:space="0" w:color="auto"/>
            </w:tcBorders>
          </w:tcPr>
          <w:p w14:paraId="797B8B5B"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26%</w:t>
            </w:r>
          </w:p>
        </w:tc>
      </w:tr>
      <w:tr w:rsidR="00756913" w:rsidRPr="00756913" w14:paraId="59453561" w14:textId="77777777">
        <w:tblPrEx>
          <w:tblCellMar>
            <w:top w:w="0" w:type="dxa"/>
            <w:bottom w:w="0" w:type="dxa"/>
          </w:tblCellMar>
        </w:tblPrEx>
        <w:tc>
          <w:tcPr>
            <w:tcW w:w="2972" w:type="dxa"/>
            <w:tcBorders>
              <w:top w:val="single" w:sz="4" w:space="0" w:color="auto"/>
              <w:bottom w:val="single" w:sz="4" w:space="0" w:color="auto"/>
              <w:right w:val="single" w:sz="4" w:space="0" w:color="auto"/>
            </w:tcBorders>
          </w:tcPr>
          <w:p w14:paraId="35784BF2" w14:textId="77777777" w:rsidR="00756913" w:rsidRPr="00756913" w:rsidRDefault="00756913" w:rsidP="00756913">
            <w:pPr>
              <w:autoSpaceDE w:val="0"/>
              <w:autoSpaceDN w:val="0"/>
              <w:adjustRightInd w:val="0"/>
              <w:spacing w:after="0"/>
              <w:rPr>
                <w:rFonts w:ascii="Arial" w:hAnsi="Arial" w:cs="Arial"/>
                <w:sz w:val="20"/>
                <w:szCs w:val="20"/>
                <w14:ligatures w14:val="standardContextual"/>
              </w:rPr>
            </w:pPr>
            <w:r w:rsidRPr="00756913">
              <w:rPr>
                <w:rFonts w:ascii="Arial" w:hAnsi="Arial" w:cs="Arial"/>
                <w:sz w:val="20"/>
                <w:szCs w:val="20"/>
                <w14:ligatures w14:val="standardContextual"/>
              </w:rPr>
              <w:t>Net debt ***</w:t>
            </w:r>
          </w:p>
        </w:tc>
        <w:tc>
          <w:tcPr>
            <w:tcW w:w="2055" w:type="dxa"/>
            <w:tcBorders>
              <w:top w:val="single" w:sz="4" w:space="0" w:color="auto"/>
              <w:left w:val="single" w:sz="4" w:space="0" w:color="auto"/>
              <w:bottom w:val="single" w:sz="4" w:space="0" w:color="auto"/>
              <w:right w:val="single" w:sz="4" w:space="0" w:color="auto"/>
            </w:tcBorders>
          </w:tcPr>
          <w:p w14:paraId="63065795"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£25.1m</w:t>
            </w:r>
          </w:p>
        </w:tc>
        <w:tc>
          <w:tcPr>
            <w:tcW w:w="2056" w:type="dxa"/>
            <w:tcBorders>
              <w:top w:val="single" w:sz="4" w:space="0" w:color="auto"/>
              <w:left w:val="single" w:sz="4" w:space="0" w:color="auto"/>
              <w:bottom w:val="single" w:sz="4" w:space="0" w:color="auto"/>
              <w:right w:val="single" w:sz="4" w:space="0" w:color="auto"/>
            </w:tcBorders>
          </w:tcPr>
          <w:p w14:paraId="055AD2B6"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£54.4m</w:t>
            </w:r>
          </w:p>
        </w:tc>
        <w:tc>
          <w:tcPr>
            <w:tcW w:w="1843" w:type="dxa"/>
            <w:tcBorders>
              <w:top w:val="single" w:sz="4" w:space="0" w:color="auto"/>
              <w:left w:val="single" w:sz="4" w:space="0" w:color="auto"/>
              <w:bottom w:val="single" w:sz="4" w:space="0" w:color="auto"/>
            </w:tcBorders>
          </w:tcPr>
          <w:p w14:paraId="085252F5"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(54)%</w:t>
            </w:r>
          </w:p>
        </w:tc>
      </w:tr>
      <w:tr w:rsidR="00756913" w:rsidRPr="00756913" w14:paraId="205D01C1" w14:textId="77777777">
        <w:tblPrEx>
          <w:tblCellMar>
            <w:top w:w="0" w:type="dxa"/>
            <w:bottom w:w="0" w:type="dxa"/>
          </w:tblCellMar>
        </w:tblPrEx>
        <w:tc>
          <w:tcPr>
            <w:tcW w:w="2972" w:type="dxa"/>
            <w:tcBorders>
              <w:top w:val="single" w:sz="4" w:space="0" w:color="auto"/>
              <w:bottom w:val="single" w:sz="4" w:space="0" w:color="auto"/>
              <w:right w:val="single" w:sz="4" w:space="0" w:color="auto"/>
            </w:tcBorders>
          </w:tcPr>
          <w:p w14:paraId="4F1DA2C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rPr>
                <w:rFonts w:ascii="Arial" w:hAnsi="Arial" w:cs="Arial"/>
                <w:sz w:val="20"/>
                <w:szCs w:val="20"/>
                <w14:ligatures w14:val="standardContextual"/>
              </w:rPr>
            </w:pPr>
            <w:r w:rsidRPr="00756913">
              <w:rPr>
                <w:rFonts w:ascii="Arial" w:hAnsi="Arial" w:cs="Arial"/>
                <w:sz w:val="20"/>
                <w:szCs w:val="20"/>
                <w14:ligatures w14:val="standardContextual"/>
              </w:rPr>
              <w:t>Interim dividend per share</w:t>
            </w:r>
          </w:p>
        </w:tc>
        <w:tc>
          <w:tcPr>
            <w:tcW w:w="2055" w:type="dxa"/>
            <w:tcBorders>
              <w:top w:val="single" w:sz="4" w:space="0" w:color="auto"/>
              <w:left w:val="single" w:sz="4" w:space="0" w:color="auto"/>
              <w:bottom w:val="single" w:sz="4" w:space="0" w:color="auto"/>
              <w:right w:val="single" w:sz="4" w:space="0" w:color="auto"/>
            </w:tcBorders>
          </w:tcPr>
          <w:p w14:paraId="3EFB8723"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3.3p</w:t>
            </w:r>
          </w:p>
        </w:tc>
        <w:tc>
          <w:tcPr>
            <w:tcW w:w="2056" w:type="dxa"/>
            <w:tcBorders>
              <w:top w:val="single" w:sz="4" w:space="0" w:color="auto"/>
              <w:left w:val="single" w:sz="4" w:space="0" w:color="auto"/>
              <w:bottom w:val="single" w:sz="4" w:space="0" w:color="auto"/>
              <w:right w:val="single" w:sz="4" w:space="0" w:color="auto"/>
            </w:tcBorders>
          </w:tcPr>
          <w:p w14:paraId="527C1C6F"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3.2p</w:t>
            </w:r>
          </w:p>
        </w:tc>
        <w:tc>
          <w:tcPr>
            <w:tcW w:w="1843" w:type="dxa"/>
            <w:tcBorders>
              <w:top w:val="single" w:sz="4" w:space="0" w:color="auto"/>
              <w:left w:val="single" w:sz="4" w:space="0" w:color="auto"/>
              <w:bottom w:val="single" w:sz="4" w:space="0" w:color="auto"/>
            </w:tcBorders>
          </w:tcPr>
          <w:p w14:paraId="7E5BBC8A" w14:textId="77777777" w:rsidR="00756913" w:rsidRPr="00756913" w:rsidRDefault="00756913" w:rsidP="00756913">
            <w:pPr>
              <w:autoSpaceDE w:val="0"/>
              <w:autoSpaceDN w:val="0"/>
              <w:adjustRightInd w:val="0"/>
              <w:spacing w:after="0"/>
              <w:jc w:val="right"/>
              <w:rPr>
                <w:rFonts w:ascii="Arial" w:hAnsi="Arial" w:cs="Arial"/>
                <w:sz w:val="20"/>
                <w:szCs w:val="20"/>
                <w14:ligatures w14:val="standardContextual"/>
              </w:rPr>
            </w:pPr>
            <w:r w:rsidRPr="00756913">
              <w:rPr>
                <w:rFonts w:ascii="Arial" w:hAnsi="Arial" w:cs="Arial"/>
                <w:sz w:val="20"/>
                <w:szCs w:val="20"/>
                <w14:ligatures w14:val="standardContextual"/>
              </w:rPr>
              <w:t>3%</w:t>
            </w:r>
          </w:p>
        </w:tc>
      </w:tr>
    </w:tbl>
    <w:p w14:paraId="2B191A43" w14:textId="77777777" w:rsidR="00756913" w:rsidRPr="00756913" w:rsidRDefault="00756913" w:rsidP="00756913">
      <w:pPr>
        <w:autoSpaceDE w:val="0"/>
        <w:autoSpaceDN w:val="0"/>
        <w:adjustRightInd w:val="0"/>
        <w:spacing w:after="0" w:line="240" w:lineRule="auto"/>
        <w:rPr>
          <w:rFonts w:ascii="Arial" w:hAnsi="Arial" w:cs="Arial"/>
          <w:b/>
          <w:bCs/>
          <w:color w:val="FF0000"/>
          <w:sz w:val="6"/>
          <w:szCs w:val="6"/>
          <w14:ligatures w14:val="standardContextual"/>
        </w:rPr>
      </w:pPr>
    </w:p>
    <w:p w14:paraId="7D114B50" w14:textId="77777777" w:rsidR="00756913" w:rsidRPr="00756913" w:rsidRDefault="00756913" w:rsidP="00756913">
      <w:pPr>
        <w:autoSpaceDE w:val="0"/>
        <w:autoSpaceDN w:val="0"/>
        <w:adjustRightInd w:val="0"/>
        <w:spacing w:after="60" w:line="240" w:lineRule="auto"/>
        <w:rPr>
          <w:rFonts w:ascii="Arial" w:hAnsi="Arial" w:cs="Arial"/>
          <w:sz w:val="12"/>
          <w:szCs w:val="12"/>
          <w14:ligatures w14:val="standardContextual"/>
        </w:rPr>
      </w:pPr>
    </w:p>
    <w:p w14:paraId="1B832723" w14:textId="77777777" w:rsidR="00756913" w:rsidRPr="00756913" w:rsidRDefault="00756913" w:rsidP="00756913">
      <w:pPr>
        <w:autoSpaceDE w:val="0"/>
        <w:autoSpaceDN w:val="0"/>
        <w:adjustRightInd w:val="0"/>
        <w:spacing w:before="120" w:after="60" w:line="240" w:lineRule="auto"/>
        <w:rPr>
          <w:rFonts w:ascii="Arial" w:hAnsi="Arial" w:cs="Arial"/>
          <w:b/>
          <w:bCs/>
          <w:sz w:val="20"/>
          <w:szCs w:val="20"/>
          <w14:ligatures w14:val="standardContextual"/>
        </w:rPr>
      </w:pPr>
      <w:r w:rsidRPr="00756913">
        <w:rPr>
          <w:rFonts w:ascii="Arial" w:hAnsi="Arial" w:cs="Arial"/>
          <w:b/>
          <w:bCs/>
          <w:sz w:val="20"/>
          <w:szCs w:val="20"/>
          <w14:ligatures w14:val="standardContextual"/>
        </w:rPr>
        <w:t xml:space="preserve">Trading performance </w:t>
      </w:r>
    </w:p>
    <w:p w14:paraId="118132EC" w14:textId="77777777" w:rsidR="00756913" w:rsidRPr="00756913" w:rsidRDefault="00756913" w:rsidP="00756913">
      <w:pPr>
        <w:numPr>
          <w:ilvl w:val="3"/>
          <w:numId w:val="16"/>
        </w:numPr>
        <w:tabs>
          <w:tab w:val="clear" w:pos="0"/>
          <w:tab w:val="left" w:pos="709"/>
          <w:tab w:val="left" w:pos="1134"/>
          <w:tab w:val="left" w:pos="2268"/>
          <w:tab w:val="left" w:pos="2977"/>
          <w:tab w:val="left" w:pos="3686"/>
          <w:tab w:val="left" w:pos="4394"/>
          <w:tab w:val="right" w:pos="8789"/>
        </w:tabs>
        <w:autoSpaceDE w:val="0"/>
        <w:autoSpaceDN w:val="0"/>
        <w:adjustRightInd w:val="0"/>
        <w:spacing w:after="60" w:line="240" w:lineRule="auto"/>
        <w:ind w:left="288" w:hanging="288"/>
        <w:rPr>
          <w:rFonts w:ascii="Arial" w:hAnsi="Arial" w:cs="Arial"/>
          <w:sz w:val="20"/>
          <w:szCs w:val="20"/>
          <w14:ligatures w14:val="standardContextual"/>
        </w:rPr>
      </w:pPr>
      <w:r w:rsidRPr="00756913">
        <w:rPr>
          <w:rFonts w:ascii="Arial" w:hAnsi="Arial" w:cs="Arial"/>
          <w:sz w:val="20"/>
          <w:szCs w:val="20"/>
          <w14:ligatures w14:val="standardContextual"/>
        </w:rPr>
        <w:t>Revenue up 5%, supported by strong performance in Insurance and Cashback. Gross margin maintained at 68% and EBITDA up 8% to £73m</w:t>
      </w:r>
    </w:p>
    <w:p w14:paraId="248B4CF8" w14:textId="77777777" w:rsidR="00756913" w:rsidRPr="00756913" w:rsidRDefault="00756913" w:rsidP="00756913">
      <w:pPr>
        <w:numPr>
          <w:ilvl w:val="3"/>
          <w:numId w:val="16"/>
        </w:numPr>
        <w:tabs>
          <w:tab w:val="clear" w:pos="0"/>
          <w:tab w:val="left" w:pos="709"/>
          <w:tab w:val="left" w:pos="1134"/>
          <w:tab w:val="left" w:pos="2268"/>
          <w:tab w:val="left" w:pos="2977"/>
          <w:tab w:val="left" w:pos="3686"/>
          <w:tab w:val="left" w:pos="4394"/>
          <w:tab w:val="right" w:pos="8789"/>
        </w:tabs>
        <w:autoSpaceDE w:val="0"/>
        <w:autoSpaceDN w:val="0"/>
        <w:adjustRightInd w:val="0"/>
        <w:spacing w:after="60" w:line="240" w:lineRule="auto"/>
        <w:ind w:left="288" w:hanging="288"/>
        <w:rPr>
          <w:rFonts w:ascii="Arial" w:hAnsi="Arial" w:cs="Arial"/>
          <w:sz w:val="20"/>
          <w:szCs w:val="20"/>
          <w14:ligatures w14:val="standardContextual"/>
        </w:rPr>
      </w:pPr>
      <w:r w:rsidRPr="00756913">
        <w:rPr>
          <w:rFonts w:ascii="Arial" w:hAnsi="Arial" w:cs="Arial"/>
          <w:sz w:val="20"/>
          <w:szCs w:val="20"/>
          <w14:ligatures w14:val="standardContextual"/>
        </w:rPr>
        <w:t>Increase in operating costs kept to 2%, as a result of work completed so far in building out our platform and delivering marketing efficiencies, in line with our strategy</w:t>
      </w:r>
    </w:p>
    <w:p w14:paraId="0F1499A4" w14:textId="77777777" w:rsidR="00756913" w:rsidRPr="00756913" w:rsidRDefault="00756913" w:rsidP="00756913">
      <w:pPr>
        <w:numPr>
          <w:ilvl w:val="3"/>
          <w:numId w:val="16"/>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288" w:hanging="288"/>
        <w:rPr>
          <w:rFonts w:ascii="Arial" w:hAnsi="Arial" w:cs="Arial"/>
          <w:sz w:val="20"/>
          <w:szCs w:val="20"/>
          <w14:ligatures w14:val="standardContextual"/>
        </w:rPr>
      </w:pPr>
      <w:r w:rsidRPr="00756913">
        <w:rPr>
          <w:rFonts w:ascii="Arial" w:hAnsi="Arial" w:cs="Arial"/>
          <w:sz w:val="20"/>
          <w:szCs w:val="20"/>
          <w14:ligatures w14:val="standardContextual"/>
        </w:rPr>
        <w:t>Strong cash conversion - £51.8m of operating cashflow during the period</w:t>
      </w:r>
    </w:p>
    <w:p w14:paraId="2456F05D" w14:textId="77777777" w:rsidR="00756913" w:rsidRPr="00756913" w:rsidRDefault="00756913" w:rsidP="00756913">
      <w:pPr>
        <w:numPr>
          <w:ilvl w:val="3"/>
          <w:numId w:val="16"/>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288" w:hanging="288"/>
        <w:rPr>
          <w:rFonts w:ascii="Arial" w:hAnsi="Arial" w:cs="Arial"/>
          <w:sz w:val="20"/>
          <w:szCs w:val="20"/>
          <w14:ligatures w14:val="standardContextual"/>
        </w:rPr>
      </w:pPr>
      <w:r w:rsidRPr="00756913">
        <w:rPr>
          <w:rFonts w:ascii="Arial" w:hAnsi="Arial" w:cs="Arial"/>
          <w:sz w:val="20"/>
          <w:szCs w:val="20"/>
          <w14:ligatures w14:val="standardContextual"/>
        </w:rPr>
        <w:t>Dividend up 3% to 3.3p</w:t>
      </w:r>
    </w:p>
    <w:p w14:paraId="364FD3B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60" w:line="240" w:lineRule="auto"/>
        <w:ind w:left="284"/>
        <w:rPr>
          <w:rFonts w:ascii="Arial" w:hAnsi="Arial" w:cs="Arial"/>
          <w:sz w:val="12"/>
          <w:szCs w:val="12"/>
          <w14:ligatures w14:val="standardContextual"/>
        </w:rPr>
      </w:pPr>
    </w:p>
    <w:p w14:paraId="2F79C23D" w14:textId="77777777" w:rsidR="00756913" w:rsidRPr="00756913" w:rsidRDefault="00756913" w:rsidP="00756913">
      <w:pPr>
        <w:autoSpaceDE w:val="0"/>
        <w:autoSpaceDN w:val="0"/>
        <w:adjustRightInd w:val="0"/>
        <w:spacing w:after="60" w:line="240" w:lineRule="auto"/>
        <w:rPr>
          <w:rFonts w:ascii="Arial" w:hAnsi="Arial" w:cs="Arial"/>
          <w:b/>
          <w:bCs/>
          <w:sz w:val="20"/>
          <w:szCs w:val="20"/>
          <w14:ligatures w14:val="standardContextual"/>
        </w:rPr>
      </w:pPr>
      <w:r w:rsidRPr="00756913">
        <w:rPr>
          <w:rFonts w:ascii="Arial" w:hAnsi="Arial" w:cs="Arial"/>
          <w:b/>
          <w:bCs/>
          <w:sz w:val="20"/>
          <w:szCs w:val="20"/>
          <w14:ligatures w14:val="standardContextual"/>
        </w:rPr>
        <w:t>Strategic achievements</w:t>
      </w:r>
    </w:p>
    <w:p w14:paraId="6D1D5ED2" w14:textId="77777777" w:rsidR="00756913" w:rsidRPr="00756913" w:rsidRDefault="00756913" w:rsidP="00756913">
      <w:pPr>
        <w:numPr>
          <w:ilvl w:val="0"/>
          <w:numId w:val="21"/>
        </w:numPr>
        <w:tabs>
          <w:tab w:val="left" w:pos="709"/>
          <w:tab w:val="left" w:pos="1559"/>
          <w:tab w:val="left" w:pos="2268"/>
          <w:tab w:val="left" w:pos="2977"/>
          <w:tab w:val="left" w:pos="3686"/>
          <w:tab w:val="left" w:pos="4394"/>
          <w:tab w:val="right" w:pos="8789"/>
        </w:tabs>
        <w:autoSpaceDE w:val="0"/>
        <w:autoSpaceDN w:val="0"/>
        <w:adjustRightInd w:val="0"/>
        <w:spacing w:after="60" w:line="240" w:lineRule="auto"/>
        <w:ind w:left="360" w:hanging="360"/>
        <w:rPr>
          <w:rFonts w:ascii="Arial" w:hAnsi="Arial" w:cs="Arial"/>
          <w:sz w:val="20"/>
          <w:szCs w:val="20"/>
          <w14:ligatures w14:val="standardContextual"/>
        </w:rPr>
      </w:pPr>
      <w:r w:rsidRPr="00756913">
        <w:rPr>
          <w:rFonts w:ascii="Arial" w:hAnsi="Arial" w:cs="Arial"/>
          <w:sz w:val="20"/>
          <w:szCs w:val="20"/>
          <w14:ligatures w14:val="standardContextual"/>
        </w:rPr>
        <w:t>Growth across our member-based customer propositions with positive early indicators</w:t>
      </w:r>
    </w:p>
    <w:p w14:paraId="1ACB9521" w14:textId="77777777" w:rsidR="00756913" w:rsidRPr="00756913" w:rsidRDefault="00756913" w:rsidP="00756913">
      <w:pPr>
        <w:numPr>
          <w:ilvl w:val="0"/>
          <w:numId w:val="21"/>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ind w:left="360" w:hanging="360"/>
        <w:rPr>
          <w:rFonts w:ascii="Arial" w:hAnsi="Arial" w:cs="Arial"/>
          <w:sz w:val="20"/>
          <w:szCs w:val="20"/>
          <w14:ligatures w14:val="standardContextual"/>
        </w:rPr>
      </w:pPr>
      <w:r w:rsidRPr="00756913">
        <w:rPr>
          <w:rFonts w:ascii="Arial" w:hAnsi="Arial" w:cs="Arial"/>
          <w:sz w:val="20"/>
          <w:szCs w:val="20"/>
          <w14:ligatures w14:val="standardContextual"/>
        </w:rPr>
        <w:t>Milestone 500k members passed in MoneySuperMarket SuperSaveClub (300k in April 2024)</w:t>
      </w:r>
    </w:p>
    <w:p w14:paraId="0F24C9C4" w14:textId="77777777" w:rsidR="00756913" w:rsidRPr="00756913" w:rsidRDefault="00756913" w:rsidP="00756913">
      <w:pPr>
        <w:numPr>
          <w:ilvl w:val="0"/>
          <w:numId w:val="21"/>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ind w:left="360" w:hanging="360"/>
        <w:rPr>
          <w:rFonts w:ascii="Arial" w:hAnsi="Arial" w:cs="Arial"/>
          <w:sz w:val="20"/>
          <w:szCs w:val="20"/>
          <w14:ligatures w14:val="standardContextual"/>
        </w:rPr>
      </w:pPr>
      <w:r w:rsidRPr="00756913">
        <w:rPr>
          <w:rFonts w:ascii="Arial" w:hAnsi="Arial" w:cs="Arial"/>
          <w:sz w:val="20"/>
          <w:szCs w:val="20"/>
          <w14:ligatures w14:val="standardContextual"/>
        </w:rPr>
        <w:t>MoneySavingExpert App named a top 10 UK news app, with 1.4m downloads</w:t>
      </w:r>
    </w:p>
    <w:p w14:paraId="115D0F37" w14:textId="77777777" w:rsidR="00756913" w:rsidRPr="00756913" w:rsidRDefault="00756913" w:rsidP="00756913">
      <w:pPr>
        <w:numPr>
          <w:ilvl w:val="0"/>
          <w:numId w:val="21"/>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ind w:left="360" w:hanging="360"/>
        <w:rPr>
          <w:rFonts w:ascii="Arial" w:hAnsi="Arial" w:cs="Arial"/>
          <w:sz w:val="20"/>
          <w:szCs w:val="20"/>
          <w14:ligatures w14:val="standardContextual"/>
        </w:rPr>
      </w:pPr>
      <w:r w:rsidRPr="00756913">
        <w:rPr>
          <w:rFonts w:ascii="Arial" w:hAnsi="Arial" w:cs="Arial"/>
          <w:sz w:val="20"/>
          <w:szCs w:val="20"/>
          <w14:ligatures w14:val="standardContextual"/>
        </w:rPr>
        <w:t xml:space="preserve">Good member growth momentum in Quidco </w:t>
      </w:r>
    </w:p>
    <w:p w14:paraId="3A1D6E7F" w14:textId="77777777" w:rsidR="00756913" w:rsidRPr="00756913" w:rsidRDefault="00756913" w:rsidP="00756913">
      <w:pPr>
        <w:numPr>
          <w:ilvl w:val="0"/>
          <w:numId w:val="21"/>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ind w:left="360" w:hanging="360"/>
        <w:rPr>
          <w:rFonts w:ascii="Arial" w:hAnsi="Arial" w:cs="Arial"/>
          <w:sz w:val="20"/>
          <w:szCs w:val="20"/>
          <w14:ligatures w14:val="standardContextual"/>
        </w:rPr>
      </w:pPr>
      <w:r w:rsidRPr="00756913">
        <w:rPr>
          <w:rFonts w:ascii="Arial" w:hAnsi="Arial" w:cs="Arial"/>
          <w:sz w:val="20"/>
          <w:szCs w:val="20"/>
          <w14:ligatures w14:val="standardContextual"/>
        </w:rPr>
        <w:t>Provider offering enhanced with new providers now able to launch simultaneously across our brands and B2B partners as a result of our single platform</w:t>
      </w:r>
    </w:p>
    <w:p w14:paraId="1624DCD9" w14:textId="77777777" w:rsidR="00756913" w:rsidRPr="00756913" w:rsidRDefault="00756913" w:rsidP="00756913">
      <w:pPr>
        <w:numPr>
          <w:ilvl w:val="0"/>
          <w:numId w:val="21"/>
        </w:numPr>
        <w:tabs>
          <w:tab w:val="left" w:pos="709"/>
          <w:tab w:val="left" w:pos="1134"/>
          <w:tab w:val="left" w:pos="1559"/>
          <w:tab w:val="left" w:pos="2268"/>
          <w:tab w:val="left" w:pos="2977"/>
          <w:tab w:val="left" w:pos="3686"/>
          <w:tab w:val="left" w:pos="4394"/>
          <w:tab w:val="right" w:pos="8789"/>
        </w:tabs>
        <w:autoSpaceDE w:val="0"/>
        <w:autoSpaceDN w:val="0"/>
        <w:adjustRightInd w:val="0"/>
        <w:spacing w:after="60" w:line="240" w:lineRule="auto"/>
        <w:ind w:left="360" w:hanging="360"/>
        <w:rPr>
          <w:rFonts w:ascii="Arial" w:hAnsi="Arial" w:cs="Arial"/>
          <w:sz w:val="20"/>
          <w:szCs w:val="20"/>
          <w14:ligatures w14:val="standardContextual"/>
        </w:rPr>
      </w:pPr>
      <w:r w:rsidRPr="00756913">
        <w:rPr>
          <w:rFonts w:ascii="Arial" w:hAnsi="Arial" w:cs="Arial"/>
          <w:sz w:val="20"/>
          <w:szCs w:val="20"/>
          <w14:ligatures w14:val="standardContextual"/>
        </w:rPr>
        <w:t>37 B2B partners onboarded across car and home insurance, broadband, mobile and energy</w:t>
      </w:r>
    </w:p>
    <w:p w14:paraId="1F393B17" w14:textId="77777777" w:rsidR="00756913" w:rsidRPr="00756913" w:rsidRDefault="00756913" w:rsidP="00756913">
      <w:pPr>
        <w:autoSpaceDE w:val="0"/>
        <w:autoSpaceDN w:val="0"/>
        <w:adjustRightInd w:val="0"/>
        <w:spacing w:after="60" w:line="240" w:lineRule="auto"/>
        <w:ind w:left="357"/>
        <w:rPr>
          <w:rFonts w:ascii="Arial" w:hAnsi="Arial" w:cs="Arial"/>
          <w:color w:val="FF0000"/>
          <w:sz w:val="6"/>
          <w:szCs w:val="6"/>
          <w14:ligatures w14:val="standardContextual"/>
        </w:rPr>
      </w:pPr>
    </w:p>
    <w:p w14:paraId="719C950E" w14:textId="77777777" w:rsidR="00756913" w:rsidRPr="00756913" w:rsidRDefault="00756913" w:rsidP="00756913">
      <w:pPr>
        <w:autoSpaceDE w:val="0"/>
        <w:autoSpaceDN w:val="0"/>
        <w:adjustRightInd w:val="0"/>
        <w:spacing w:after="60"/>
        <w:rPr>
          <w:rFonts w:ascii="Aptos" w:hAnsi="Aptos" w:cs="Aptos"/>
          <w:b/>
          <w:bCs/>
          <w14:ligatures w14:val="standardContextual"/>
        </w:rPr>
      </w:pPr>
    </w:p>
    <w:p w14:paraId="1F0F20AA" w14:textId="77777777" w:rsidR="00756913" w:rsidRPr="00756913" w:rsidRDefault="00756913" w:rsidP="00756913">
      <w:pPr>
        <w:autoSpaceDE w:val="0"/>
        <w:autoSpaceDN w:val="0"/>
        <w:adjustRightInd w:val="0"/>
        <w:spacing w:after="60"/>
        <w:rPr>
          <w:rFonts w:ascii="Arial" w:hAnsi="Arial" w:cs="Arial"/>
          <w:sz w:val="20"/>
          <w:szCs w:val="20"/>
          <w14:ligatures w14:val="standardContextual"/>
        </w:rPr>
      </w:pPr>
      <w:r w:rsidRPr="00756913">
        <w:rPr>
          <w:rFonts w:ascii="Aptos" w:hAnsi="Aptos" w:cs="Aptos"/>
          <w:b/>
          <w:bCs/>
          <w14:ligatures w14:val="standardContextual"/>
        </w:rPr>
        <w:t>Peter Duffy, CEO of MONY Group, said:</w:t>
      </w:r>
    </w:p>
    <w:p w14:paraId="2264E6DC" w14:textId="77777777" w:rsidR="00756913" w:rsidRPr="00756913" w:rsidRDefault="00756913" w:rsidP="00756913">
      <w:pPr>
        <w:autoSpaceDE w:val="0"/>
        <w:autoSpaceDN w:val="0"/>
        <w:adjustRightInd w:val="0"/>
        <w:spacing w:after="60" w:line="240" w:lineRule="auto"/>
        <w:jc w:val="both"/>
        <w:rPr>
          <w:rFonts w:ascii="Aptos" w:hAnsi="Aptos" w:cs="Aptos"/>
          <w14:ligatures w14:val="standardContextual"/>
        </w:rPr>
      </w:pPr>
      <w:r w:rsidRPr="00756913">
        <w:rPr>
          <w:rFonts w:ascii="Aptos" w:hAnsi="Aptos" w:cs="Aptos"/>
          <w:i/>
          <w:iCs/>
          <w14:ligatures w14:val="standardContextual"/>
        </w:rPr>
        <w:t>“We’ve made good progress in the first half of the year reaching a best ever H1 revenue and EBITDA. Ours is a business that only makes money if customers save money and in the first half of 2024, we saved customers £1.7bn. By offering easier ways to save through SuperSaveClub, the MoneySavingExpert App and Quidco, customers will increasingly come to us direct and more frequently too. The work we have done on our tech and data platform makes this possible, and I am excited about the growth opportunity ahead.”</w:t>
      </w:r>
    </w:p>
    <w:p w14:paraId="13F95C3E" w14:textId="77777777" w:rsidR="00756913" w:rsidRPr="00756913" w:rsidRDefault="00756913" w:rsidP="00756913">
      <w:pPr>
        <w:autoSpaceDE w:val="0"/>
        <w:autoSpaceDN w:val="0"/>
        <w:adjustRightInd w:val="0"/>
        <w:spacing w:after="40" w:line="240" w:lineRule="auto"/>
        <w:rPr>
          <w:rFonts w:ascii="Arial" w:hAnsi="Arial" w:cs="Arial"/>
          <w:b/>
          <w:bCs/>
          <w:sz w:val="20"/>
          <w:szCs w:val="20"/>
          <w14:ligatures w14:val="standardContextual"/>
        </w:rPr>
      </w:pPr>
    </w:p>
    <w:p w14:paraId="60547397" w14:textId="77777777" w:rsidR="00756913" w:rsidRPr="00756913" w:rsidRDefault="00756913" w:rsidP="00756913">
      <w:pPr>
        <w:autoSpaceDE w:val="0"/>
        <w:autoSpaceDN w:val="0"/>
        <w:adjustRightInd w:val="0"/>
        <w:spacing w:after="40" w:line="240" w:lineRule="auto"/>
        <w:rPr>
          <w:rFonts w:ascii="Arial" w:hAnsi="Arial" w:cs="Arial"/>
          <w:b/>
          <w:bCs/>
          <w:sz w:val="20"/>
          <w:szCs w:val="20"/>
          <w14:ligatures w14:val="standardContextual"/>
        </w:rPr>
      </w:pPr>
      <w:r w:rsidRPr="00756913">
        <w:rPr>
          <w:rFonts w:ascii="Arial" w:hAnsi="Arial" w:cs="Arial"/>
          <w:b/>
          <w:bCs/>
          <w:sz w:val="20"/>
          <w:szCs w:val="20"/>
          <w14:ligatures w14:val="standardContextual"/>
        </w:rPr>
        <w:t>Outlook</w:t>
      </w:r>
    </w:p>
    <w:p w14:paraId="22E3431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60" w:line="264"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The progress of our strategy, as well as the actions we are taking to generate growth, give the Board confidence that the Group will deliver results in line with market expectations</w:t>
      </w:r>
      <w:r w:rsidRPr="00756913">
        <w:rPr>
          <w:rFonts w:ascii="Arial" w:hAnsi="Arial" w:cs="Arial"/>
          <w:sz w:val="20"/>
          <w:szCs w:val="20"/>
          <w:vertAlign w:val="superscript"/>
          <w14:ligatures w14:val="standardContextual"/>
        </w:rPr>
        <w:t>1</w:t>
      </w:r>
      <w:r w:rsidRPr="00756913">
        <w:rPr>
          <w:rFonts w:ascii="Arial" w:hAnsi="Arial" w:cs="Arial"/>
          <w:sz w:val="20"/>
          <w:szCs w:val="20"/>
          <w14:ligatures w14:val="standardContextual"/>
        </w:rPr>
        <w:t xml:space="preserve"> for the year. As previously stated, we expect growth in Insurance to return to more normalised levels as we begin to lap the exceptional growth experienced in 2023 and we do not expect any material revenue from energy switching this year. </w:t>
      </w:r>
    </w:p>
    <w:p w14:paraId="0392B8E2" w14:textId="77777777" w:rsidR="00756913" w:rsidRPr="00756913" w:rsidRDefault="00756913" w:rsidP="00756913">
      <w:pPr>
        <w:autoSpaceDE w:val="0"/>
        <w:autoSpaceDN w:val="0"/>
        <w:adjustRightInd w:val="0"/>
        <w:spacing w:after="40" w:line="240" w:lineRule="auto"/>
        <w:rPr>
          <w:rFonts w:ascii="Arial" w:hAnsi="Arial" w:cs="Arial"/>
          <w:color w:val="000000"/>
          <w:sz w:val="16"/>
          <w:szCs w:val="16"/>
          <w14:ligatures w14:val="standardContextual"/>
        </w:rPr>
      </w:pPr>
      <w:r w:rsidRPr="00756913">
        <w:rPr>
          <w:rFonts w:ascii="Arial" w:hAnsi="Arial" w:cs="Arial"/>
          <w:color w:val="000000"/>
          <w:sz w:val="16"/>
          <w:szCs w:val="16"/>
          <w:vertAlign w:val="superscript"/>
          <w14:ligatures w14:val="standardContextual"/>
        </w:rPr>
        <w:t>1</w:t>
      </w:r>
      <w:r w:rsidRPr="00756913">
        <w:rPr>
          <w:rFonts w:ascii="Arial" w:hAnsi="Arial" w:cs="Arial"/>
          <w:color w:val="000000"/>
          <w:sz w:val="16"/>
          <w:szCs w:val="16"/>
          <w14:ligatures w14:val="standardContextual"/>
        </w:rPr>
        <w:t>Market expectations for adjusted EBITDA for 2024 from the analyst consensus on our investor website is £140.5m with a range of £135.8m to £143.7m</w:t>
      </w:r>
    </w:p>
    <w:p w14:paraId="2ECB678E" w14:textId="77777777" w:rsidR="00756913" w:rsidRPr="00756913" w:rsidRDefault="00756913" w:rsidP="00756913">
      <w:pPr>
        <w:autoSpaceDE w:val="0"/>
        <w:autoSpaceDN w:val="0"/>
        <w:adjustRightInd w:val="0"/>
        <w:spacing w:after="40" w:line="240" w:lineRule="auto"/>
        <w:rPr>
          <w:rFonts w:ascii="Arial" w:hAnsi="Arial" w:cs="Arial"/>
          <w:b/>
          <w:bCs/>
          <w:sz w:val="20"/>
          <w:szCs w:val="20"/>
          <w14:ligatures w14:val="standardContextual"/>
        </w:rPr>
      </w:pPr>
    </w:p>
    <w:p w14:paraId="4C5087EE" w14:textId="77777777" w:rsidR="00756913" w:rsidRPr="00756913" w:rsidRDefault="00756913" w:rsidP="00756913">
      <w:pPr>
        <w:autoSpaceDE w:val="0"/>
        <w:autoSpaceDN w:val="0"/>
        <w:adjustRightInd w:val="0"/>
        <w:spacing w:after="40" w:line="240" w:lineRule="auto"/>
        <w:rPr>
          <w:rFonts w:ascii="Arial" w:hAnsi="Arial" w:cs="Arial"/>
          <w:b/>
          <w:bCs/>
          <w:sz w:val="20"/>
          <w:szCs w:val="20"/>
          <w14:ligatures w14:val="standardContextual"/>
        </w:rPr>
      </w:pPr>
    </w:p>
    <w:p w14:paraId="487B8B07" w14:textId="77777777" w:rsidR="00756913" w:rsidRPr="00756913" w:rsidRDefault="00756913" w:rsidP="00756913">
      <w:pPr>
        <w:autoSpaceDE w:val="0"/>
        <w:autoSpaceDN w:val="0"/>
        <w:adjustRightInd w:val="0"/>
        <w:spacing w:after="40" w:line="240" w:lineRule="auto"/>
        <w:rPr>
          <w:rFonts w:ascii="Arial" w:hAnsi="Arial" w:cs="Arial"/>
          <w:b/>
          <w:bCs/>
          <w:sz w:val="20"/>
          <w:szCs w:val="20"/>
          <w14:ligatures w14:val="standardContextual"/>
        </w:rPr>
      </w:pPr>
      <w:r w:rsidRPr="00756913">
        <w:rPr>
          <w:rFonts w:ascii="Arial" w:hAnsi="Arial" w:cs="Arial"/>
          <w:b/>
          <w:bCs/>
          <w:sz w:val="20"/>
          <w:szCs w:val="20"/>
          <w14:ligatures w14:val="standardContextual"/>
        </w:rPr>
        <w:t>Results presentation</w:t>
      </w:r>
    </w:p>
    <w:p w14:paraId="4691760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4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A presentation for investors and analysts will be available from 7am at </w:t>
      </w:r>
    </w:p>
    <w:p w14:paraId="5569559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40" w:line="240" w:lineRule="auto"/>
        <w:jc w:val="both"/>
        <w:rPr>
          <w:rFonts w:ascii="Arial" w:hAnsi="Arial" w:cs="Arial"/>
          <w:sz w:val="20"/>
          <w:szCs w:val="20"/>
          <w14:ligatures w14:val="standardContextual"/>
        </w:rPr>
      </w:pPr>
      <w:hyperlink r:id="rId11" w:history="1">
        <w:r w:rsidRPr="00756913">
          <w:rPr>
            <w:rFonts w:ascii="Arial" w:hAnsi="Arial" w:cs="Arial"/>
            <w:sz w:val="20"/>
            <w:szCs w:val="20"/>
            <w14:ligatures w14:val="standardContextual"/>
          </w:rPr>
          <w:t>https://www.monygroup.com/investors/results-reports-and-presentations/</w:t>
        </w:r>
      </w:hyperlink>
    </w:p>
    <w:p w14:paraId="4504548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4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A Q&amp;A session will be held at 9.30am with Peter Duffy (CEO) and Niall McBride (CFO). This session can be accessed via: </w:t>
      </w:r>
    </w:p>
    <w:p w14:paraId="522C538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40" w:line="240" w:lineRule="auto"/>
        <w:jc w:val="both"/>
        <w:rPr>
          <w:rFonts w:ascii="Arial" w:hAnsi="Arial" w:cs="Arial"/>
          <w:sz w:val="20"/>
          <w:szCs w:val="20"/>
          <w14:ligatures w14:val="standardContextual"/>
        </w:rPr>
      </w:pPr>
      <w:hyperlink r:id="rId12" w:history="1">
        <w:r w:rsidRPr="00756913">
          <w:rPr>
            <w:rFonts w:ascii="Arial" w:hAnsi="Arial" w:cs="Arial"/>
            <w:sz w:val="20"/>
            <w:szCs w:val="20"/>
            <w14:ligatures w14:val="standardContextual"/>
          </w:rPr>
          <w:t>https://www.lsegissuerservices.com/spark/MoneysupermarketcomGroup/events/77b77e42-a8d4-4d63-8037-c94952482ed1</w:t>
        </w:r>
      </w:hyperlink>
    </w:p>
    <w:p w14:paraId="098D45A0" w14:textId="77777777" w:rsidR="00756913" w:rsidRPr="00756913" w:rsidRDefault="00756913" w:rsidP="00756913">
      <w:pPr>
        <w:autoSpaceDE w:val="0"/>
        <w:autoSpaceDN w:val="0"/>
        <w:adjustRightInd w:val="0"/>
        <w:spacing w:after="40" w:line="240" w:lineRule="auto"/>
        <w:rPr>
          <w:rFonts w:ascii="Arial" w:hAnsi="Arial" w:cs="Arial"/>
          <w:b/>
          <w:bCs/>
          <w:color w:val="FF0000"/>
          <w:sz w:val="20"/>
          <w:szCs w:val="20"/>
          <w14:ligatures w14:val="standardContextual"/>
        </w:rPr>
      </w:pPr>
    </w:p>
    <w:p w14:paraId="0BB4CDF7" w14:textId="77777777" w:rsidR="00756913" w:rsidRPr="00756913" w:rsidRDefault="00756913" w:rsidP="00756913">
      <w:pPr>
        <w:autoSpaceDE w:val="0"/>
        <w:autoSpaceDN w:val="0"/>
        <w:adjustRightInd w:val="0"/>
        <w:spacing w:after="40" w:line="240" w:lineRule="auto"/>
        <w:rPr>
          <w:rFonts w:ascii="Aptos" w:hAnsi="Aptos" w:cs="Aptos"/>
          <w14:ligatures w14:val="standardContextual"/>
        </w:rPr>
      </w:pPr>
      <w:r w:rsidRPr="00756913">
        <w:rPr>
          <w:rFonts w:ascii="Arial" w:hAnsi="Arial" w:cs="Arial"/>
          <w:b/>
          <w:bCs/>
          <w:sz w:val="20"/>
          <w:szCs w:val="20"/>
          <w14:ligatures w14:val="standardContextual"/>
        </w:rPr>
        <w:t>For further information, contact:</w:t>
      </w:r>
      <w:r w:rsidRPr="00756913">
        <w:rPr>
          <w:rFonts w:ascii="Aptos" w:hAnsi="Aptos" w:cs="Aptos"/>
          <w14:ligatures w14:val="standardContextual"/>
        </w:rPr>
        <w:tab/>
      </w:r>
    </w:p>
    <w:p w14:paraId="324E311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4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Niall McBride, Chief Financial Officer</w:t>
      </w:r>
      <w:r w:rsidRPr="00756913">
        <w:rPr>
          <w:rFonts w:ascii="Arial" w:hAnsi="Arial" w:cs="Arial"/>
          <w:sz w:val="20"/>
          <w:szCs w:val="20"/>
          <w14:ligatures w14:val="standardContextual"/>
        </w:rPr>
        <w:tab/>
        <w:t xml:space="preserve"> Niall.McBride@monygroup.com / 0203 826 4667 </w:t>
      </w:r>
    </w:p>
    <w:p w14:paraId="7CBEB15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4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Rebecca Jamieson, Investor Relations</w:t>
      </w:r>
      <w:r w:rsidRPr="00756913">
        <w:rPr>
          <w:rFonts w:ascii="Arial" w:hAnsi="Arial" w:cs="Arial"/>
          <w:sz w:val="20"/>
          <w:szCs w:val="20"/>
          <w14:ligatures w14:val="standardContextual"/>
        </w:rPr>
        <w:tab/>
        <w:t xml:space="preserve"> Rebecca.Jamieson@monygroup.com / 0203 846 2434</w:t>
      </w:r>
    </w:p>
    <w:p w14:paraId="3AA77E2D" w14:textId="77777777" w:rsidR="00756913" w:rsidRPr="00756913" w:rsidRDefault="00756913" w:rsidP="00756913">
      <w:pPr>
        <w:autoSpaceDE w:val="0"/>
        <w:autoSpaceDN w:val="0"/>
        <w:adjustRightInd w:val="0"/>
        <w:rPr>
          <w:rFonts w:ascii="Arial" w:hAnsi="Arial" w:cs="Arial"/>
          <w:b/>
          <w:bCs/>
          <w:sz w:val="20"/>
          <w:szCs w:val="20"/>
          <w14:ligatures w14:val="standardContextual"/>
        </w:rPr>
      </w:pPr>
      <w:r w:rsidRPr="00756913">
        <w:rPr>
          <w:rFonts w:ascii="Arial" w:hAnsi="Arial" w:cs="Arial"/>
          <w:sz w:val="20"/>
          <w:szCs w:val="20"/>
          <w14:ligatures w14:val="standardContextual"/>
        </w:rPr>
        <w:t>William Clutterbuck, H/Advisors Maitland   W</w:t>
      </w:r>
      <w:hyperlink r:id="rId13" w:history="1">
        <w:r w:rsidRPr="00756913">
          <w:rPr>
            <w:rFonts w:ascii="Arial" w:hAnsi="Arial" w:cs="Arial"/>
            <w:color w:val="0000FF"/>
            <w:sz w:val="20"/>
            <w:szCs w:val="20"/>
            <w:u w:val="single"/>
            <w14:ligatures w14:val="standardContextual"/>
          </w:rPr>
          <w:t>illiam.Clutterbuck@h-advisors.global</w:t>
        </w:r>
      </w:hyperlink>
      <w:r w:rsidRPr="00756913">
        <w:rPr>
          <w:rFonts w:ascii="Arial" w:hAnsi="Arial" w:cs="Arial"/>
          <w:sz w:val="20"/>
          <w:szCs w:val="20"/>
          <w14:ligatures w14:val="standardContextual"/>
        </w:rPr>
        <w:t xml:space="preserve"> / 07785 292617 </w:t>
      </w:r>
    </w:p>
    <w:p w14:paraId="46A05725" w14:textId="77777777" w:rsidR="00756913" w:rsidRPr="00756913" w:rsidRDefault="00756913" w:rsidP="00756913">
      <w:pPr>
        <w:autoSpaceDE w:val="0"/>
        <w:autoSpaceDN w:val="0"/>
        <w:adjustRightInd w:val="0"/>
        <w:rPr>
          <w:rFonts w:ascii="Arial" w:hAnsi="Arial" w:cs="Arial"/>
          <w:b/>
          <w:bCs/>
          <w:sz w:val="20"/>
          <w:szCs w:val="20"/>
          <w14:ligatures w14:val="standardContextual"/>
        </w:rPr>
      </w:pPr>
    </w:p>
    <w:p w14:paraId="103BF545" w14:textId="77777777" w:rsidR="00756913" w:rsidRPr="00756913" w:rsidRDefault="00756913" w:rsidP="00756913">
      <w:pPr>
        <w:autoSpaceDE w:val="0"/>
        <w:autoSpaceDN w:val="0"/>
        <w:adjustRightInd w:val="0"/>
        <w:rPr>
          <w:rFonts w:ascii="Arial" w:hAnsi="Arial" w:cs="Arial"/>
          <w:b/>
          <w:bCs/>
          <w:sz w:val="20"/>
          <w:szCs w:val="20"/>
          <w14:ligatures w14:val="standardContextual"/>
        </w:rPr>
      </w:pPr>
      <w:r w:rsidRPr="00756913">
        <w:rPr>
          <w:rFonts w:ascii="Arial" w:hAnsi="Arial" w:cs="Arial"/>
          <w:b/>
          <w:bCs/>
          <w:sz w:val="20"/>
          <w:szCs w:val="20"/>
          <w14:ligatures w14:val="standardContextual"/>
        </w:rPr>
        <w:t>About MONY Group</w:t>
      </w:r>
    </w:p>
    <w:p w14:paraId="673D0ED6" w14:textId="77777777" w:rsidR="00756913" w:rsidRPr="00756913" w:rsidRDefault="00756913" w:rsidP="00756913">
      <w:pPr>
        <w:autoSpaceDE w:val="0"/>
        <w:autoSpaceDN w:val="0"/>
        <w:adjustRightInd w:val="0"/>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At MONY Group our purpose is to help households save money. Our comparison sites MoneySuperMarket, TravelSuperMarket and Icelolly make it easy to find great deals and save money on household bills and financial products, from car, pet, travel and home insurance to credit cards, loans, savings, pensions, mortgages, bank accounts, holidays, car hire, broadband and TV packages. We show our providers’ products to millions of customers in a cost-effective and flexible way. MoneySavingExpert is packed full of money saving tips and tools and information to help people take control of their finances. We speak up for consumers, and our national campaigns help households across the UK. And with Quidco, our customers earn free cashback from over 5,000 online retailers. Our scalable, proprietary price comparison technology platform powers a growing number of brands including Auto Trader, Rightmove and the NUS. </w:t>
      </w:r>
    </w:p>
    <w:p w14:paraId="2C6F1F7B" w14:textId="77777777" w:rsidR="00756913" w:rsidRPr="00756913" w:rsidRDefault="00756913" w:rsidP="00756913">
      <w:pPr>
        <w:autoSpaceDE w:val="0"/>
        <w:autoSpaceDN w:val="0"/>
        <w:adjustRightInd w:val="0"/>
        <w:jc w:val="both"/>
        <w:rPr>
          <w:rFonts w:ascii="Arial" w:hAnsi="Arial" w:cs="Arial"/>
          <w:sz w:val="20"/>
          <w:szCs w:val="20"/>
          <w14:ligatures w14:val="standardContextual"/>
        </w:rPr>
      </w:pPr>
    </w:p>
    <w:p w14:paraId="3E176F33" w14:textId="77777777" w:rsidR="00756913" w:rsidRPr="00756913" w:rsidRDefault="00756913" w:rsidP="00756913">
      <w:pPr>
        <w:autoSpaceDE w:val="0"/>
        <w:autoSpaceDN w:val="0"/>
        <w:adjustRightInd w:val="0"/>
        <w:spacing w:after="40" w:line="240" w:lineRule="auto"/>
        <w:rPr>
          <w:rFonts w:ascii="Aptos" w:hAnsi="Aptos" w:cs="Aptos"/>
          <w14:ligatures w14:val="standardContextual"/>
        </w:rPr>
      </w:pPr>
      <w:r w:rsidRPr="00756913">
        <w:rPr>
          <w:rFonts w:ascii="Arial" w:hAnsi="Arial" w:cs="Arial"/>
          <w:b/>
          <w:bCs/>
          <w:sz w:val="20"/>
          <w:szCs w:val="20"/>
          <w14:ligatures w14:val="standardContextual"/>
        </w:rPr>
        <w:t>Cautionary note regarding forward looking statements</w:t>
      </w:r>
    </w:p>
    <w:p w14:paraId="2411D63D" w14:textId="77777777" w:rsidR="00756913" w:rsidRPr="00756913" w:rsidRDefault="00756913" w:rsidP="00756913">
      <w:pPr>
        <w:autoSpaceDE w:val="0"/>
        <w:autoSpaceDN w:val="0"/>
        <w:adjustRightInd w:val="0"/>
        <w:spacing w:after="0" w:line="240" w:lineRule="auto"/>
        <w:rPr>
          <w:rFonts w:ascii="Arial" w:hAnsi="Arial" w:cs="Arial"/>
          <w:b/>
          <w:bCs/>
          <w:sz w:val="16"/>
          <w:szCs w:val="16"/>
          <w14:ligatures w14:val="standardContextual"/>
        </w:rPr>
      </w:pPr>
      <w:r w:rsidRPr="00756913">
        <w:rPr>
          <w:rFonts w:ascii="Arial" w:hAnsi="Arial" w:cs="Arial"/>
          <w:sz w:val="16"/>
          <w:szCs w:val="16"/>
          <w14:ligatures w14:val="standardContextual"/>
        </w:rPr>
        <w:t>This announcement includes statements that are forward looking in nature. Forward looking statements involve known and unknown risks, assumptions, uncertainties and other factors which may cause the actual results, performance or achievements of the Company to be materially different from any future results, performance or achievements expressed or implied by such forward looking statements. Except as required by the Listing Rules, Disclosure Guidance and Transparency Rules and applicable law, the company undertakes no obligation to update, revise or change any forward-looking statements to reflect events or developments occurring on or after the date such statements are published</w:t>
      </w:r>
      <w:r w:rsidRPr="00756913">
        <w:rPr>
          <w:rFonts w:ascii="Arial" w:hAnsi="Arial" w:cs="Arial"/>
          <w:b/>
          <w:bCs/>
          <w:sz w:val="16"/>
          <w:szCs w:val="16"/>
          <w14:ligatures w14:val="standardContextual"/>
        </w:rPr>
        <w:t>.</w:t>
      </w:r>
    </w:p>
    <w:p w14:paraId="5B54AC6A" w14:textId="77777777" w:rsidR="00756913" w:rsidRPr="00756913" w:rsidRDefault="00756913" w:rsidP="00756913">
      <w:pPr>
        <w:autoSpaceDE w:val="0"/>
        <w:autoSpaceDN w:val="0"/>
        <w:adjustRightInd w:val="0"/>
        <w:spacing w:after="0" w:line="240" w:lineRule="auto"/>
        <w:rPr>
          <w:rFonts w:ascii="Arial" w:hAnsi="Arial" w:cs="Arial"/>
          <w:b/>
          <w:bCs/>
          <w:color w:val="FF0000"/>
          <w:sz w:val="12"/>
          <w:szCs w:val="12"/>
          <w14:ligatures w14:val="standardContextual"/>
        </w:rPr>
      </w:pPr>
    </w:p>
    <w:p w14:paraId="5A673892" w14:textId="77777777" w:rsidR="00756913" w:rsidRPr="00756913" w:rsidRDefault="00756913" w:rsidP="00756913">
      <w:pPr>
        <w:autoSpaceDE w:val="0"/>
        <w:autoSpaceDN w:val="0"/>
        <w:adjustRightInd w:val="0"/>
        <w:spacing w:after="0" w:line="240" w:lineRule="auto"/>
        <w:rPr>
          <w:rFonts w:ascii="Arial" w:hAnsi="Arial" w:cs="Arial"/>
          <w:b/>
          <w:bCs/>
          <w:sz w:val="14"/>
          <w:szCs w:val="14"/>
          <w14:ligatures w14:val="standardContextual"/>
        </w:rPr>
      </w:pPr>
    </w:p>
    <w:p w14:paraId="44F21F9E" w14:textId="77777777" w:rsidR="00756913" w:rsidRPr="00756913" w:rsidRDefault="00756913" w:rsidP="00756913">
      <w:pPr>
        <w:autoSpaceDE w:val="0"/>
        <w:autoSpaceDN w:val="0"/>
        <w:adjustRightInd w:val="0"/>
        <w:spacing w:after="0" w:line="240" w:lineRule="auto"/>
        <w:rPr>
          <w:rFonts w:ascii="Arial" w:hAnsi="Arial" w:cs="Arial"/>
          <w:b/>
          <w:bCs/>
          <w:sz w:val="14"/>
          <w:szCs w:val="14"/>
          <w14:ligatures w14:val="standardContextual"/>
        </w:rPr>
      </w:pPr>
      <w:r w:rsidRPr="00756913">
        <w:rPr>
          <w:rFonts w:ascii="Arial" w:hAnsi="Arial" w:cs="Arial"/>
          <w:b/>
          <w:bCs/>
          <w:sz w:val="14"/>
          <w:szCs w:val="14"/>
          <w14:ligatures w14:val="standardContextual"/>
        </w:rPr>
        <w:t xml:space="preserve">Notes: </w:t>
      </w:r>
    </w:p>
    <w:p w14:paraId="17B3BD6D" w14:textId="77777777" w:rsidR="00756913" w:rsidRPr="00756913" w:rsidRDefault="00756913" w:rsidP="00756913">
      <w:pPr>
        <w:autoSpaceDE w:val="0"/>
        <w:autoSpaceDN w:val="0"/>
        <w:adjustRightInd w:val="0"/>
        <w:spacing w:after="0" w:line="240" w:lineRule="auto"/>
        <w:rPr>
          <w:rFonts w:ascii="Arial" w:hAnsi="Arial" w:cs="Arial"/>
          <w:sz w:val="14"/>
          <w:szCs w:val="14"/>
          <w14:ligatures w14:val="standardContextual"/>
        </w:rPr>
      </w:pPr>
      <w:r w:rsidRPr="00756913">
        <w:rPr>
          <w:rFonts w:ascii="Arial" w:hAnsi="Arial" w:cs="Arial"/>
          <w:b/>
          <w:bCs/>
          <w:sz w:val="14"/>
          <w:szCs w:val="14"/>
          <w14:ligatures w14:val="standardContextual"/>
        </w:rPr>
        <w:t>* EBITDA</w:t>
      </w:r>
      <w:r w:rsidRPr="00756913">
        <w:rPr>
          <w:rFonts w:ascii="Arial" w:hAnsi="Arial" w:cs="Arial"/>
          <w:sz w:val="14"/>
          <w:szCs w:val="14"/>
          <w14:ligatures w14:val="standardContextual"/>
        </w:rPr>
        <w:t xml:space="preserve"> is operating profit before depreciation and amortisation. In both the current and prior period there were no adjusting items within EBITDA. This is consistent with how business performance is measured internally.</w:t>
      </w:r>
    </w:p>
    <w:p w14:paraId="6576CDF2" w14:textId="77777777" w:rsidR="00756913" w:rsidRPr="00756913" w:rsidRDefault="00756913" w:rsidP="00756913">
      <w:pPr>
        <w:autoSpaceDE w:val="0"/>
        <w:autoSpaceDN w:val="0"/>
        <w:adjustRightInd w:val="0"/>
        <w:spacing w:after="0" w:line="240" w:lineRule="auto"/>
        <w:rPr>
          <w:rFonts w:ascii="Arial" w:hAnsi="Arial" w:cs="Arial"/>
          <w:sz w:val="14"/>
          <w:szCs w:val="14"/>
          <w14:ligatures w14:val="standardContextual"/>
        </w:rPr>
      </w:pPr>
      <w:r w:rsidRPr="00756913">
        <w:rPr>
          <w:rFonts w:ascii="Arial" w:hAnsi="Arial" w:cs="Arial"/>
          <w:b/>
          <w:bCs/>
          <w:sz w:val="14"/>
          <w:szCs w:val="14"/>
          <w14:ligatures w14:val="standardContextual"/>
        </w:rPr>
        <w:t>**Adjusted basic earnings per share</w:t>
      </w:r>
      <w:r w:rsidRPr="00756913">
        <w:rPr>
          <w:rFonts w:ascii="Arial" w:hAnsi="Arial" w:cs="Arial"/>
          <w:sz w:val="14"/>
          <w:szCs w:val="14"/>
          <w14:ligatures w14:val="standardContextual"/>
        </w:rPr>
        <w:t xml:space="preserve"> is profit before tax adjusted for amortisation of acquisition related intangible assets </w:t>
      </w:r>
    </w:p>
    <w:p w14:paraId="19C7A478" w14:textId="77777777" w:rsidR="00756913" w:rsidRPr="00756913" w:rsidRDefault="00756913" w:rsidP="00756913">
      <w:pPr>
        <w:autoSpaceDE w:val="0"/>
        <w:autoSpaceDN w:val="0"/>
        <w:adjustRightInd w:val="0"/>
        <w:spacing w:after="0" w:line="240" w:lineRule="auto"/>
        <w:rPr>
          <w:rFonts w:ascii="Arial" w:hAnsi="Arial" w:cs="Arial"/>
          <w:sz w:val="14"/>
          <w:szCs w:val="14"/>
          <w14:ligatures w14:val="standardContextual"/>
        </w:rPr>
      </w:pPr>
      <w:r w:rsidRPr="00756913">
        <w:rPr>
          <w:rFonts w:ascii="Arial" w:hAnsi="Arial" w:cs="Arial"/>
          <w:sz w:val="14"/>
          <w:szCs w:val="14"/>
          <w14:ligatures w14:val="standardContextual"/>
        </w:rPr>
        <w:t>divided by the number of weighted average shares. A reconciliation of adjusted basic earnings per share to the interim financial statements is included in note 5.</w:t>
      </w:r>
    </w:p>
    <w:p w14:paraId="1AFD441F" w14:textId="77777777" w:rsidR="00756913" w:rsidRPr="00756913" w:rsidRDefault="00756913" w:rsidP="00756913">
      <w:pPr>
        <w:autoSpaceDE w:val="0"/>
        <w:autoSpaceDN w:val="0"/>
        <w:adjustRightInd w:val="0"/>
        <w:spacing w:after="0" w:line="240" w:lineRule="auto"/>
        <w:rPr>
          <w:rFonts w:ascii="Arial" w:hAnsi="Arial" w:cs="Arial"/>
          <w:sz w:val="14"/>
          <w:szCs w:val="14"/>
          <w14:ligatures w14:val="standardContextual"/>
        </w:rPr>
      </w:pPr>
      <w:r w:rsidRPr="00756913">
        <w:rPr>
          <w:rFonts w:ascii="Arial" w:hAnsi="Arial" w:cs="Arial"/>
          <w:b/>
          <w:bCs/>
          <w:sz w:val="14"/>
          <w:szCs w:val="14"/>
          <w14:ligatures w14:val="standardContextual"/>
        </w:rPr>
        <w:t>***Net debt</w:t>
      </w:r>
      <w:r w:rsidRPr="00756913">
        <w:rPr>
          <w:rFonts w:ascii="Arial" w:hAnsi="Arial" w:cs="Arial"/>
          <w:sz w:val="14"/>
          <w:szCs w:val="14"/>
          <w14:ligatures w14:val="standardContextual"/>
        </w:rPr>
        <w:t xml:space="preserve"> is cash and cash equivalents of £24.9m (2023: £20.2m) less borrowings of £48.0m (2023: £63.0m), deferred </w:t>
      </w:r>
    </w:p>
    <w:p w14:paraId="012B1968" w14:textId="77777777" w:rsidR="00756913" w:rsidRPr="00756913" w:rsidRDefault="00756913" w:rsidP="00756913">
      <w:pPr>
        <w:autoSpaceDE w:val="0"/>
        <w:autoSpaceDN w:val="0"/>
        <w:adjustRightInd w:val="0"/>
        <w:spacing w:after="0" w:line="240" w:lineRule="auto"/>
        <w:rPr>
          <w:rFonts w:ascii="Arial" w:hAnsi="Arial" w:cs="Arial"/>
          <w:sz w:val="14"/>
          <w:szCs w:val="14"/>
          <w14:ligatures w14:val="standardContextual"/>
        </w:rPr>
      </w:pPr>
      <w:r w:rsidRPr="00756913">
        <w:rPr>
          <w:rFonts w:ascii="Arial" w:hAnsi="Arial" w:cs="Arial"/>
          <w:sz w:val="14"/>
          <w:szCs w:val="14"/>
          <w14:ligatures w14:val="standardContextual"/>
        </w:rPr>
        <w:t xml:space="preserve">consideration of £nil (2023: £9.8m) and loan notes payable to Podium’s non-controlling interest of £2.0m (2023: £1.8m). It does </w:t>
      </w:r>
    </w:p>
    <w:p w14:paraId="6D7A4A79" w14:textId="77777777" w:rsidR="00756913" w:rsidRPr="00756913" w:rsidRDefault="00756913" w:rsidP="00756913">
      <w:pPr>
        <w:autoSpaceDE w:val="0"/>
        <w:autoSpaceDN w:val="0"/>
        <w:adjustRightInd w:val="0"/>
        <w:spacing w:after="0" w:line="240" w:lineRule="auto"/>
        <w:rPr>
          <w:rFonts w:ascii="Arial" w:hAnsi="Arial" w:cs="Arial"/>
          <w:sz w:val="14"/>
          <w:szCs w:val="14"/>
          <w14:ligatures w14:val="standardContextual"/>
        </w:rPr>
      </w:pPr>
      <w:r w:rsidRPr="00756913">
        <w:rPr>
          <w:rFonts w:ascii="Arial" w:hAnsi="Arial" w:cs="Arial"/>
          <w:sz w:val="14"/>
          <w:szCs w:val="14"/>
          <w14:ligatures w14:val="standardContextual"/>
        </w:rPr>
        <w:t xml:space="preserve">not include lease liabilities. </w:t>
      </w:r>
      <w:r w:rsidRPr="00756913">
        <w:rPr>
          <w:rFonts w:ascii="Arial" w:hAnsi="Arial" w:cs="Arial"/>
          <w:sz w:val="14"/>
          <w:szCs w:val="14"/>
          <w14:ligatures w14:val="standardContextual"/>
        </w:rPr>
        <w:br w:type="page"/>
      </w:r>
    </w:p>
    <w:p w14:paraId="0787FDCC" w14:textId="77777777" w:rsidR="00756913" w:rsidRPr="00756913" w:rsidRDefault="00756913" w:rsidP="00756913">
      <w:pPr>
        <w:autoSpaceDE w:val="0"/>
        <w:autoSpaceDN w:val="0"/>
        <w:adjustRightInd w:val="0"/>
        <w:rPr>
          <w:rFonts w:ascii="Arial" w:hAnsi="Arial" w:cs="Arial"/>
          <w:b/>
          <w:bCs/>
          <w:sz w:val="20"/>
          <w:szCs w:val="20"/>
          <w14:ligatures w14:val="standardContextual"/>
        </w:rPr>
      </w:pPr>
      <w:r w:rsidRPr="00756913">
        <w:rPr>
          <w:rFonts w:ascii="Arial" w:hAnsi="Arial" w:cs="Arial"/>
          <w:b/>
          <w:bCs/>
          <w:sz w:val="20"/>
          <w:szCs w:val="20"/>
          <w14:ligatures w14:val="standardContextual"/>
        </w:rPr>
        <w:t>Quarter 2 and H1 2024 trading performance</w:t>
      </w:r>
    </w:p>
    <w:tbl>
      <w:tblPr>
        <w:tblW w:w="0" w:type="auto"/>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547"/>
        <w:gridCol w:w="1466"/>
        <w:gridCol w:w="1563"/>
        <w:gridCol w:w="1556"/>
        <w:gridCol w:w="1560"/>
      </w:tblGrid>
      <w:tr w:rsidR="00756913" w:rsidRPr="00756913" w14:paraId="3A2CF01C" w14:textId="77777777">
        <w:tblPrEx>
          <w:tblCellMar>
            <w:top w:w="0" w:type="dxa"/>
            <w:bottom w:w="0" w:type="dxa"/>
          </w:tblCellMar>
        </w:tblPrEx>
        <w:trPr>
          <w:trHeight w:val="607"/>
        </w:trPr>
        <w:tc>
          <w:tcPr>
            <w:tcW w:w="2547" w:type="dxa"/>
            <w:tcBorders>
              <w:top w:val="single" w:sz="4" w:space="0" w:color="auto"/>
              <w:bottom w:val="nil"/>
              <w:right w:val="single" w:sz="4" w:space="0" w:color="auto"/>
            </w:tcBorders>
          </w:tcPr>
          <w:p w14:paraId="0720211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rPr>
                <w:rFonts w:ascii="Arial" w:hAnsi="Arial" w:cs="Arial"/>
                <w:b/>
                <w:bCs/>
                <w:color w:val="FF0000"/>
                <w:sz w:val="20"/>
                <w:szCs w:val="20"/>
                <w14:ligatures w14:val="standardContextual"/>
              </w:rPr>
            </w:pPr>
          </w:p>
        </w:tc>
        <w:tc>
          <w:tcPr>
            <w:tcW w:w="3029" w:type="dxa"/>
            <w:gridSpan w:val="2"/>
            <w:tcBorders>
              <w:top w:val="single" w:sz="4" w:space="0" w:color="auto"/>
              <w:left w:val="single" w:sz="4" w:space="0" w:color="auto"/>
              <w:bottom w:val="single" w:sz="4" w:space="0" w:color="auto"/>
              <w:right w:val="single" w:sz="4" w:space="0" w:color="auto"/>
            </w:tcBorders>
          </w:tcPr>
          <w:p w14:paraId="76A2997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Revenue for the 3 months ended 30 June 2024</w:t>
            </w:r>
          </w:p>
        </w:tc>
        <w:tc>
          <w:tcPr>
            <w:tcW w:w="3116" w:type="dxa"/>
            <w:gridSpan w:val="2"/>
            <w:tcBorders>
              <w:top w:val="single" w:sz="4" w:space="0" w:color="auto"/>
              <w:left w:val="single" w:sz="4" w:space="0" w:color="auto"/>
              <w:bottom w:val="single" w:sz="4" w:space="0" w:color="auto"/>
            </w:tcBorders>
          </w:tcPr>
          <w:p w14:paraId="56E56A5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Revenue for the 6 months ended 30 June 2024</w:t>
            </w:r>
          </w:p>
        </w:tc>
      </w:tr>
      <w:tr w:rsidR="00756913" w:rsidRPr="00756913" w14:paraId="5FF91E7F" w14:textId="77777777">
        <w:tblPrEx>
          <w:tblCellMar>
            <w:top w:w="0" w:type="dxa"/>
            <w:bottom w:w="0" w:type="dxa"/>
          </w:tblCellMar>
        </w:tblPrEx>
        <w:trPr>
          <w:trHeight w:val="211"/>
        </w:trPr>
        <w:tc>
          <w:tcPr>
            <w:tcW w:w="2547" w:type="dxa"/>
            <w:tcBorders>
              <w:top w:val="nil"/>
              <w:bottom w:val="nil"/>
              <w:right w:val="single" w:sz="4" w:space="0" w:color="auto"/>
            </w:tcBorders>
            <w:vAlign w:val="center"/>
          </w:tcPr>
          <w:p w14:paraId="6904229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rPr>
                <w:rFonts w:ascii="Arial" w:hAnsi="Arial" w:cs="Arial"/>
                <w:sz w:val="20"/>
                <w:szCs w:val="20"/>
                <w14:ligatures w14:val="standardContextual"/>
              </w:rPr>
            </w:pPr>
          </w:p>
        </w:tc>
        <w:tc>
          <w:tcPr>
            <w:tcW w:w="1466" w:type="dxa"/>
            <w:tcBorders>
              <w:top w:val="single" w:sz="4" w:space="0" w:color="auto"/>
              <w:left w:val="single" w:sz="4" w:space="0" w:color="auto"/>
              <w:bottom w:val="single" w:sz="4" w:space="0" w:color="auto"/>
              <w:right w:val="single" w:sz="4" w:space="0" w:color="auto"/>
            </w:tcBorders>
            <w:vAlign w:val="center"/>
          </w:tcPr>
          <w:p w14:paraId="5EB09C9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£m</w:t>
            </w:r>
          </w:p>
        </w:tc>
        <w:tc>
          <w:tcPr>
            <w:tcW w:w="1563" w:type="dxa"/>
            <w:tcBorders>
              <w:top w:val="single" w:sz="4" w:space="0" w:color="auto"/>
              <w:left w:val="single" w:sz="4" w:space="0" w:color="auto"/>
              <w:bottom w:val="single" w:sz="4" w:space="0" w:color="auto"/>
              <w:right w:val="single" w:sz="4" w:space="0" w:color="auto"/>
            </w:tcBorders>
            <w:vAlign w:val="center"/>
          </w:tcPr>
          <w:p w14:paraId="3874A94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Growth*</w:t>
            </w:r>
          </w:p>
        </w:tc>
        <w:tc>
          <w:tcPr>
            <w:tcW w:w="1556" w:type="dxa"/>
            <w:tcBorders>
              <w:top w:val="single" w:sz="4" w:space="0" w:color="auto"/>
              <w:left w:val="single" w:sz="4" w:space="0" w:color="auto"/>
              <w:bottom w:val="single" w:sz="4" w:space="0" w:color="auto"/>
              <w:right w:val="single" w:sz="4" w:space="0" w:color="auto"/>
            </w:tcBorders>
            <w:vAlign w:val="center"/>
          </w:tcPr>
          <w:p w14:paraId="6E8F8AE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£m</w:t>
            </w:r>
          </w:p>
        </w:tc>
        <w:tc>
          <w:tcPr>
            <w:tcW w:w="1560" w:type="dxa"/>
            <w:tcBorders>
              <w:top w:val="single" w:sz="4" w:space="0" w:color="auto"/>
              <w:left w:val="single" w:sz="4" w:space="0" w:color="auto"/>
              <w:bottom w:val="single" w:sz="4" w:space="0" w:color="auto"/>
            </w:tcBorders>
            <w:vAlign w:val="center"/>
          </w:tcPr>
          <w:p w14:paraId="13D1500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Growth</w:t>
            </w:r>
          </w:p>
        </w:tc>
      </w:tr>
      <w:tr w:rsidR="00756913" w:rsidRPr="00756913" w14:paraId="2FC66A6F" w14:textId="77777777">
        <w:tblPrEx>
          <w:tblCellMar>
            <w:top w:w="0" w:type="dxa"/>
            <w:bottom w:w="0" w:type="dxa"/>
          </w:tblCellMar>
        </w:tblPrEx>
        <w:trPr>
          <w:trHeight w:val="211"/>
        </w:trPr>
        <w:tc>
          <w:tcPr>
            <w:tcW w:w="2547" w:type="dxa"/>
            <w:tcBorders>
              <w:top w:val="nil"/>
              <w:bottom w:val="nil"/>
              <w:right w:val="single" w:sz="4" w:space="0" w:color="auto"/>
            </w:tcBorders>
          </w:tcPr>
          <w:p w14:paraId="7313E02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rPr>
                <w:rFonts w:ascii="Arial" w:hAnsi="Arial" w:cs="Arial"/>
                <w:sz w:val="20"/>
                <w:szCs w:val="20"/>
                <w14:ligatures w14:val="standardContextual"/>
              </w:rPr>
            </w:pPr>
            <w:r w:rsidRPr="00756913">
              <w:rPr>
                <w:rFonts w:ascii="Arial" w:hAnsi="Arial" w:cs="Arial"/>
                <w:sz w:val="20"/>
                <w:szCs w:val="20"/>
                <w14:ligatures w14:val="standardContextual"/>
              </w:rPr>
              <w:t>Insurance</w:t>
            </w:r>
          </w:p>
        </w:tc>
        <w:tc>
          <w:tcPr>
            <w:tcW w:w="1466" w:type="dxa"/>
            <w:tcBorders>
              <w:top w:val="single" w:sz="4" w:space="0" w:color="auto"/>
              <w:left w:val="single" w:sz="4" w:space="0" w:color="auto"/>
              <w:bottom w:val="nil"/>
              <w:right w:val="single" w:sz="4" w:space="0" w:color="auto"/>
            </w:tcBorders>
          </w:tcPr>
          <w:p w14:paraId="5C8C09B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58.5</w:t>
            </w:r>
          </w:p>
        </w:tc>
        <w:tc>
          <w:tcPr>
            <w:tcW w:w="1563" w:type="dxa"/>
            <w:tcBorders>
              <w:top w:val="single" w:sz="4" w:space="0" w:color="auto"/>
              <w:left w:val="single" w:sz="4" w:space="0" w:color="auto"/>
              <w:bottom w:val="nil"/>
              <w:right w:val="single" w:sz="4" w:space="0" w:color="auto"/>
            </w:tcBorders>
          </w:tcPr>
          <w:p w14:paraId="035DBCE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6%</w:t>
            </w:r>
          </w:p>
        </w:tc>
        <w:tc>
          <w:tcPr>
            <w:tcW w:w="1556" w:type="dxa"/>
            <w:tcBorders>
              <w:top w:val="single" w:sz="4" w:space="0" w:color="auto"/>
              <w:left w:val="single" w:sz="4" w:space="0" w:color="auto"/>
              <w:bottom w:val="nil"/>
              <w:right w:val="single" w:sz="4" w:space="0" w:color="auto"/>
            </w:tcBorders>
          </w:tcPr>
          <w:p w14:paraId="3E2584D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119.9</w:t>
            </w:r>
          </w:p>
        </w:tc>
        <w:tc>
          <w:tcPr>
            <w:tcW w:w="1560" w:type="dxa"/>
            <w:tcBorders>
              <w:top w:val="single" w:sz="4" w:space="0" w:color="auto"/>
              <w:left w:val="single" w:sz="4" w:space="0" w:color="auto"/>
              <w:bottom w:val="nil"/>
            </w:tcBorders>
          </w:tcPr>
          <w:p w14:paraId="40664DE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14%</w:t>
            </w:r>
          </w:p>
        </w:tc>
      </w:tr>
      <w:tr w:rsidR="00756913" w:rsidRPr="00756913" w14:paraId="53ECE570" w14:textId="77777777">
        <w:tblPrEx>
          <w:tblCellMar>
            <w:top w:w="0" w:type="dxa"/>
            <w:bottom w:w="0" w:type="dxa"/>
          </w:tblCellMar>
        </w:tblPrEx>
        <w:trPr>
          <w:trHeight w:val="211"/>
        </w:trPr>
        <w:tc>
          <w:tcPr>
            <w:tcW w:w="2547" w:type="dxa"/>
            <w:tcBorders>
              <w:top w:val="nil"/>
              <w:bottom w:val="nil"/>
              <w:right w:val="single" w:sz="4" w:space="0" w:color="auto"/>
            </w:tcBorders>
          </w:tcPr>
          <w:p w14:paraId="69EDF8E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rPr>
                <w:rFonts w:ascii="Arial" w:hAnsi="Arial" w:cs="Arial"/>
                <w:sz w:val="20"/>
                <w:szCs w:val="20"/>
                <w14:ligatures w14:val="standardContextual"/>
              </w:rPr>
            </w:pPr>
            <w:r w:rsidRPr="00756913">
              <w:rPr>
                <w:rFonts w:ascii="Arial" w:hAnsi="Arial" w:cs="Arial"/>
                <w:sz w:val="20"/>
                <w:szCs w:val="20"/>
                <w14:ligatures w14:val="standardContextual"/>
              </w:rPr>
              <w:t>Money</w:t>
            </w:r>
          </w:p>
        </w:tc>
        <w:tc>
          <w:tcPr>
            <w:tcW w:w="1466" w:type="dxa"/>
            <w:tcBorders>
              <w:top w:val="nil"/>
              <w:left w:val="single" w:sz="4" w:space="0" w:color="auto"/>
              <w:bottom w:val="nil"/>
              <w:right w:val="single" w:sz="4" w:space="0" w:color="auto"/>
            </w:tcBorders>
          </w:tcPr>
          <w:p w14:paraId="69732BF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24.9</w:t>
            </w:r>
          </w:p>
        </w:tc>
        <w:tc>
          <w:tcPr>
            <w:tcW w:w="1563" w:type="dxa"/>
            <w:tcBorders>
              <w:top w:val="nil"/>
              <w:left w:val="single" w:sz="4" w:space="0" w:color="auto"/>
              <w:bottom w:val="nil"/>
              <w:right w:val="single" w:sz="4" w:space="0" w:color="auto"/>
            </w:tcBorders>
          </w:tcPr>
          <w:p w14:paraId="026B298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0%</w:t>
            </w:r>
          </w:p>
        </w:tc>
        <w:tc>
          <w:tcPr>
            <w:tcW w:w="1556" w:type="dxa"/>
            <w:tcBorders>
              <w:top w:val="nil"/>
              <w:left w:val="single" w:sz="4" w:space="0" w:color="auto"/>
              <w:bottom w:val="nil"/>
              <w:right w:val="single" w:sz="4" w:space="0" w:color="auto"/>
            </w:tcBorders>
          </w:tcPr>
          <w:p w14:paraId="6424143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50.9</w:t>
            </w:r>
          </w:p>
        </w:tc>
        <w:tc>
          <w:tcPr>
            <w:tcW w:w="1560" w:type="dxa"/>
            <w:tcBorders>
              <w:top w:val="nil"/>
              <w:left w:val="single" w:sz="4" w:space="0" w:color="auto"/>
              <w:bottom w:val="nil"/>
            </w:tcBorders>
          </w:tcPr>
          <w:p w14:paraId="5728D12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(2)%</w:t>
            </w:r>
          </w:p>
        </w:tc>
      </w:tr>
      <w:tr w:rsidR="00756913" w:rsidRPr="00756913" w14:paraId="46CE38ED" w14:textId="77777777">
        <w:tblPrEx>
          <w:tblCellMar>
            <w:top w:w="0" w:type="dxa"/>
            <w:bottom w:w="0" w:type="dxa"/>
          </w:tblCellMar>
        </w:tblPrEx>
        <w:trPr>
          <w:trHeight w:val="211"/>
        </w:trPr>
        <w:tc>
          <w:tcPr>
            <w:tcW w:w="2547" w:type="dxa"/>
            <w:tcBorders>
              <w:top w:val="nil"/>
              <w:bottom w:val="nil"/>
              <w:right w:val="single" w:sz="4" w:space="0" w:color="auto"/>
            </w:tcBorders>
          </w:tcPr>
          <w:p w14:paraId="422AE7D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rPr>
                <w:rFonts w:ascii="Times New Roman" w:hAnsi="Times New Roman" w:cs="Times New Roman"/>
                <w:sz w:val="20"/>
                <w:szCs w:val="20"/>
                <w14:ligatures w14:val="standardContextual"/>
              </w:rPr>
            </w:pPr>
            <w:r w:rsidRPr="00756913">
              <w:rPr>
                <w:rFonts w:ascii="Arial" w:hAnsi="Arial" w:cs="Arial"/>
                <w:sz w:val="20"/>
                <w:szCs w:val="20"/>
                <w14:ligatures w14:val="standardContextual"/>
              </w:rPr>
              <w:t>Home Services</w:t>
            </w:r>
          </w:p>
        </w:tc>
        <w:tc>
          <w:tcPr>
            <w:tcW w:w="1466" w:type="dxa"/>
            <w:tcBorders>
              <w:top w:val="nil"/>
              <w:left w:val="single" w:sz="4" w:space="0" w:color="auto"/>
              <w:bottom w:val="nil"/>
              <w:right w:val="single" w:sz="4" w:space="0" w:color="auto"/>
            </w:tcBorders>
          </w:tcPr>
          <w:p w14:paraId="030CB0A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7.9</w:t>
            </w:r>
          </w:p>
        </w:tc>
        <w:tc>
          <w:tcPr>
            <w:tcW w:w="1563" w:type="dxa"/>
            <w:tcBorders>
              <w:top w:val="nil"/>
              <w:left w:val="single" w:sz="4" w:space="0" w:color="auto"/>
              <w:bottom w:val="nil"/>
              <w:right w:val="single" w:sz="4" w:space="0" w:color="auto"/>
            </w:tcBorders>
          </w:tcPr>
          <w:p w14:paraId="18E2653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(13)%</w:t>
            </w:r>
          </w:p>
        </w:tc>
        <w:tc>
          <w:tcPr>
            <w:tcW w:w="1556" w:type="dxa"/>
            <w:tcBorders>
              <w:top w:val="nil"/>
              <w:left w:val="single" w:sz="4" w:space="0" w:color="auto"/>
              <w:bottom w:val="nil"/>
              <w:right w:val="single" w:sz="4" w:space="0" w:color="auto"/>
            </w:tcBorders>
          </w:tcPr>
          <w:p w14:paraId="4052BC3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16.7</w:t>
            </w:r>
          </w:p>
        </w:tc>
        <w:tc>
          <w:tcPr>
            <w:tcW w:w="1560" w:type="dxa"/>
            <w:tcBorders>
              <w:top w:val="nil"/>
              <w:left w:val="single" w:sz="4" w:space="0" w:color="auto"/>
              <w:bottom w:val="nil"/>
            </w:tcBorders>
          </w:tcPr>
          <w:p w14:paraId="410A64E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(10)%</w:t>
            </w:r>
          </w:p>
        </w:tc>
      </w:tr>
      <w:tr w:rsidR="00756913" w:rsidRPr="00756913" w14:paraId="46F5CFB7" w14:textId="77777777">
        <w:tblPrEx>
          <w:tblCellMar>
            <w:top w:w="0" w:type="dxa"/>
            <w:bottom w:w="0" w:type="dxa"/>
          </w:tblCellMar>
        </w:tblPrEx>
        <w:trPr>
          <w:trHeight w:val="211"/>
        </w:trPr>
        <w:tc>
          <w:tcPr>
            <w:tcW w:w="2547" w:type="dxa"/>
            <w:tcBorders>
              <w:top w:val="nil"/>
              <w:bottom w:val="nil"/>
              <w:right w:val="single" w:sz="4" w:space="0" w:color="auto"/>
            </w:tcBorders>
          </w:tcPr>
          <w:p w14:paraId="706AC6B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rPr>
                <w:rFonts w:ascii="Times New Roman" w:hAnsi="Times New Roman" w:cs="Times New Roman"/>
                <w:sz w:val="20"/>
                <w:szCs w:val="20"/>
                <w14:ligatures w14:val="standardContextual"/>
              </w:rPr>
            </w:pPr>
            <w:r w:rsidRPr="00756913">
              <w:rPr>
                <w:rFonts w:ascii="Arial" w:hAnsi="Arial" w:cs="Arial"/>
                <w:sz w:val="20"/>
                <w:szCs w:val="20"/>
                <w:lang w:val="en-US"/>
                <w14:ligatures w14:val="standardContextual"/>
              </w:rPr>
              <w:t>Travel</w:t>
            </w:r>
          </w:p>
        </w:tc>
        <w:tc>
          <w:tcPr>
            <w:tcW w:w="1466" w:type="dxa"/>
            <w:tcBorders>
              <w:top w:val="nil"/>
              <w:left w:val="single" w:sz="4" w:space="0" w:color="auto"/>
              <w:bottom w:val="nil"/>
              <w:right w:val="single" w:sz="4" w:space="0" w:color="auto"/>
            </w:tcBorders>
          </w:tcPr>
          <w:p w14:paraId="4B566CE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5.7</w:t>
            </w:r>
          </w:p>
        </w:tc>
        <w:tc>
          <w:tcPr>
            <w:tcW w:w="1563" w:type="dxa"/>
            <w:tcBorders>
              <w:top w:val="nil"/>
              <w:left w:val="single" w:sz="4" w:space="0" w:color="auto"/>
              <w:bottom w:val="nil"/>
              <w:right w:val="single" w:sz="4" w:space="0" w:color="auto"/>
            </w:tcBorders>
          </w:tcPr>
          <w:p w14:paraId="4D9C3DF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(8)%</w:t>
            </w:r>
          </w:p>
        </w:tc>
        <w:tc>
          <w:tcPr>
            <w:tcW w:w="1556" w:type="dxa"/>
            <w:tcBorders>
              <w:top w:val="nil"/>
              <w:left w:val="single" w:sz="4" w:space="0" w:color="auto"/>
              <w:bottom w:val="nil"/>
              <w:right w:val="single" w:sz="4" w:space="0" w:color="auto"/>
            </w:tcBorders>
          </w:tcPr>
          <w:p w14:paraId="7E02367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11.7</w:t>
            </w:r>
          </w:p>
        </w:tc>
        <w:tc>
          <w:tcPr>
            <w:tcW w:w="1560" w:type="dxa"/>
            <w:tcBorders>
              <w:top w:val="nil"/>
              <w:left w:val="single" w:sz="4" w:space="0" w:color="auto"/>
              <w:bottom w:val="nil"/>
            </w:tcBorders>
          </w:tcPr>
          <w:p w14:paraId="35EFAE1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14:ligatures w14:val="standardContextual"/>
              </w:rPr>
            </w:pPr>
            <w:r w:rsidRPr="00756913">
              <w:rPr>
                <w:rFonts w:ascii="Arial" w:hAnsi="Arial" w:cs="Arial"/>
                <w:sz w:val="20"/>
                <w:szCs w:val="20"/>
                <w14:ligatures w14:val="standardContextual"/>
              </w:rPr>
              <w:t>1%</w:t>
            </w:r>
          </w:p>
        </w:tc>
      </w:tr>
      <w:tr w:rsidR="00756913" w:rsidRPr="00756913" w14:paraId="24946F37" w14:textId="77777777">
        <w:tblPrEx>
          <w:tblCellMar>
            <w:top w:w="0" w:type="dxa"/>
            <w:bottom w:w="0" w:type="dxa"/>
          </w:tblCellMar>
        </w:tblPrEx>
        <w:trPr>
          <w:trHeight w:val="211"/>
        </w:trPr>
        <w:tc>
          <w:tcPr>
            <w:tcW w:w="2547" w:type="dxa"/>
            <w:tcBorders>
              <w:top w:val="nil"/>
              <w:bottom w:val="nil"/>
              <w:right w:val="single" w:sz="4" w:space="0" w:color="auto"/>
            </w:tcBorders>
          </w:tcPr>
          <w:p w14:paraId="5F2E7DE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Cashback</w:t>
            </w:r>
          </w:p>
        </w:tc>
        <w:tc>
          <w:tcPr>
            <w:tcW w:w="1466" w:type="dxa"/>
            <w:tcBorders>
              <w:top w:val="nil"/>
              <w:left w:val="single" w:sz="4" w:space="0" w:color="auto"/>
              <w:bottom w:val="nil"/>
              <w:right w:val="single" w:sz="4" w:space="0" w:color="auto"/>
            </w:tcBorders>
          </w:tcPr>
          <w:p w14:paraId="15A0689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14.6</w:t>
            </w:r>
          </w:p>
        </w:tc>
        <w:tc>
          <w:tcPr>
            <w:tcW w:w="1563" w:type="dxa"/>
            <w:tcBorders>
              <w:top w:val="nil"/>
              <w:left w:val="single" w:sz="4" w:space="0" w:color="auto"/>
              <w:bottom w:val="nil"/>
              <w:right w:val="single" w:sz="4" w:space="0" w:color="auto"/>
            </w:tcBorders>
          </w:tcPr>
          <w:p w14:paraId="45D8939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4%</w:t>
            </w:r>
          </w:p>
        </w:tc>
        <w:tc>
          <w:tcPr>
            <w:tcW w:w="1556" w:type="dxa"/>
            <w:tcBorders>
              <w:top w:val="nil"/>
              <w:left w:val="single" w:sz="4" w:space="0" w:color="auto"/>
              <w:bottom w:val="nil"/>
              <w:right w:val="single" w:sz="4" w:space="0" w:color="auto"/>
            </w:tcBorders>
          </w:tcPr>
          <w:p w14:paraId="20A2C69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29.8</w:t>
            </w:r>
          </w:p>
        </w:tc>
        <w:tc>
          <w:tcPr>
            <w:tcW w:w="1560" w:type="dxa"/>
            <w:tcBorders>
              <w:top w:val="nil"/>
              <w:left w:val="single" w:sz="4" w:space="0" w:color="auto"/>
              <w:bottom w:val="nil"/>
            </w:tcBorders>
          </w:tcPr>
          <w:p w14:paraId="1FA8AA2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3%</w:t>
            </w:r>
          </w:p>
        </w:tc>
      </w:tr>
      <w:tr w:rsidR="00756913" w:rsidRPr="00756913" w14:paraId="77BA42C1" w14:textId="77777777">
        <w:tblPrEx>
          <w:tblCellMar>
            <w:top w:w="0" w:type="dxa"/>
            <w:bottom w:w="0" w:type="dxa"/>
          </w:tblCellMar>
        </w:tblPrEx>
        <w:trPr>
          <w:trHeight w:val="211"/>
        </w:trPr>
        <w:tc>
          <w:tcPr>
            <w:tcW w:w="2547" w:type="dxa"/>
            <w:tcBorders>
              <w:top w:val="nil"/>
              <w:bottom w:val="nil"/>
              <w:right w:val="single" w:sz="4" w:space="0" w:color="auto"/>
            </w:tcBorders>
          </w:tcPr>
          <w:p w14:paraId="6D7B4AA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Inter-vertical eliminations*</w:t>
            </w:r>
          </w:p>
        </w:tc>
        <w:tc>
          <w:tcPr>
            <w:tcW w:w="1466" w:type="dxa"/>
            <w:tcBorders>
              <w:top w:val="nil"/>
              <w:left w:val="single" w:sz="4" w:space="0" w:color="auto"/>
              <w:bottom w:val="nil"/>
              <w:right w:val="single" w:sz="4" w:space="0" w:color="auto"/>
            </w:tcBorders>
          </w:tcPr>
          <w:p w14:paraId="2DECA37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(2.7)</w:t>
            </w:r>
          </w:p>
        </w:tc>
        <w:tc>
          <w:tcPr>
            <w:tcW w:w="1563" w:type="dxa"/>
            <w:tcBorders>
              <w:top w:val="nil"/>
              <w:left w:val="single" w:sz="4" w:space="0" w:color="auto"/>
              <w:bottom w:val="nil"/>
              <w:right w:val="single" w:sz="4" w:space="0" w:color="auto"/>
            </w:tcBorders>
          </w:tcPr>
          <w:p w14:paraId="6A4702B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56%</w:t>
            </w:r>
          </w:p>
        </w:tc>
        <w:tc>
          <w:tcPr>
            <w:tcW w:w="1556" w:type="dxa"/>
            <w:tcBorders>
              <w:top w:val="nil"/>
              <w:left w:val="single" w:sz="4" w:space="0" w:color="auto"/>
              <w:bottom w:val="nil"/>
              <w:right w:val="single" w:sz="4" w:space="0" w:color="auto"/>
            </w:tcBorders>
          </w:tcPr>
          <w:p w14:paraId="4140DA9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(5.5)</w:t>
            </w:r>
          </w:p>
        </w:tc>
        <w:tc>
          <w:tcPr>
            <w:tcW w:w="1560" w:type="dxa"/>
            <w:tcBorders>
              <w:top w:val="nil"/>
              <w:left w:val="single" w:sz="4" w:space="0" w:color="auto"/>
              <w:bottom w:val="nil"/>
            </w:tcBorders>
          </w:tcPr>
          <w:p w14:paraId="700E82B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86%</w:t>
            </w:r>
          </w:p>
        </w:tc>
      </w:tr>
      <w:tr w:rsidR="00756913" w:rsidRPr="00756913" w14:paraId="2F2211E8" w14:textId="77777777">
        <w:tblPrEx>
          <w:tblCellMar>
            <w:top w:w="0" w:type="dxa"/>
            <w:bottom w:w="0" w:type="dxa"/>
          </w:tblCellMar>
        </w:tblPrEx>
        <w:trPr>
          <w:trHeight w:val="211"/>
        </w:trPr>
        <w:tc>
          <w:tcPr>
            <w:tcW w:w="2547" w:type="dxa"/>
            <w:tcBorders>
              <w:top w:val="nil"/>
              <w:bottom w:val="single" w:sz="4" w:space="0" w:color="auto"/>
              <w:right w:val="single" w:sz="4" w:space="0" w:color="auto"/>
            </w:tcBorders>
          </w:tcPr>
          <w:p w14:paraId="3F9FEC0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rPr>
                <w:rFonts w:ascii="Arial" w:hAnsi="Arial" w:cs="Arial"/>
                <w:b/>
                <w:bCs/>
                <w:sz w:val="20"/>
                <w:szCs w:val="20"/>
                <w14:ligatures w14:val="standardContextual"/>
              </w:rPr>
            </w:pPr>
            <w:r w:rsidRPr="00756913">
              <w:rPr>
                <w:rFonts w:ascii="Arial" w:hAnsi="Arial" w:cs="Arial"/>
                <w:b/>
                <w:bCs/>
                <w:sz w:val="20"/>
                <w:szCs w:val="20"/>
                <w14:ligatures w14:val="standardContextual"/>
              </w:rPr>
              <w:t>Total</w:t>
            </w:r>
          </w:p>
        </w:tc>
        <w:tc>
          <w:tcPr>
            <w:tcW w:w="1466" w:type="dxa"/>
            <w:tcBorders>
              <w:top w:val="nil"/>
              <w:left w:val="single" w:sz="4" w:space="0" w:color="auto"/>
              <w:bottom w:val="single" w:sz="4" w:space="0" w:color="auto"/>
              <w:right w:val="single" w:sz="4" w:space="0" w:color="auto"/>
            </w:tcBorders>
          </w:tcPr>
          <w:p w14:paraId="752DF95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108.9</w:t>
            </w:r>
          </w:p>
        </w:tc>
        <w:tc>
          <w:tcPr>
            <w:tcW w:w="1563" w:type="dxa"/>
            <w:tcBorders>
              <w:top w:val="nil"/>
              <w:left w:val="single" w:sz="4" w:space="0" w:color="auto"/>
              <w:bottom w:val="single" w:sz="4" w:space="0" w:color="auto"/>
              <w:right w:val="single" w:sz="4" w:space="0" w:color="auto"/>
            </w:tcBorders>
          </w:tcPr>
          <w:p w14:paraId="7FC37F0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1%</w:t>
            </w:r>
          </w:p>
        </w:tc>
        <w:tc>
          <w:tcPr>
            <w:tcW w:w="1556" w:type="dxa"/>
            <w:tcBorders>
              <w:top w:val="nil"/>
              <w:left w:val="single" w:sz="4" w:space="0" w:color="auto"/>
              <w:bottom w:val="single" w:sz="4" w:space="0" w:color="auto"/>
              <w:right w:val="single" w:sz="4" w:space="0" w:color="auto"/>
            </w:tcBorders>
          </w:tcPr>
          <w:p w14:paraId="09ED3CA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223.5</w:t>
            </w:r>
          </w:p>
        </w:tc>
        <w:tc>
          <w:tcPr>
            <w:tcW w:w="1560" w:type="dxa"/>
            <w:tcBorders>
              <w:top w:val="nil"/>
              <w:left w:val="single" w:sz="4" w:space="0" w:color="auto"/>
              <w:bottom w:val="single" w:sz="4" w:space="0" w:color="auto"/>
            </w:tcBorders>
          </w:tcPr>
          <w:p w14:paraId="6D3BEDE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5%</w:t>
            </w:r>
          </w:p>
        </w:tc>
      </w:tr>
    </w:tbl>
    <w:p w14:paraId="4915AF3F"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0" w:line="240" w:lineRule="auto"/>
        <w:ind w:left="360"/>
        <w:jc w:val="both"/>
        <w:rPr>
          <w:rFonts w:ascii="Arial" w:hAnsi="Arial" w:cs="Arial"/>
          <w:color w:val="FF0000"/>
          <w:sz w:val="12"/>
          <w:szCs w:val="12"/>
          <w14:ligatures w14:val="standardContextual"/>
        </w:rPr>
      </w:pPr>
    </w:p>
    <w:p w14:paraId="5FF0E60B" w14:textId="77777777" w:rsidR="00756913" w:rsidRPr="00756913" w:rsidRDefault="00756913" w:rsidP="00756913">
      <w:pPr>
        <w:autoSpaceDE w:val="0"/>
        <w:autoSpaceDN w:val="0"/>
        <w:adjustRightInd w:val="0"/>
        <w:jc w:val="both"/>
        <w:rPr>
          <w:rFonts w:ascii="Aptos" w:hAnsi="Aptos" w:cs="Aptos"/>
          <w:i/>
          <w:iCs/>
          <w:sz w:val="18"/>
          <w:szCs w:val="18"/>
          <w14:ligatures w14:val="standardContextual"/>
        </w:rPr>
      </w:pPr>
      <w:r w:rsidRPr="00756913">
        <w:rPr>
          <w:rFonts w:ascii="Arial" w:hAnsi="Arial" w:cs="Arial"/>
          <w:i/>
          <w:iCs/>
          <w:sz w:val="18"/>
          <w:szCs w:val="18"/>
          <w14:ligatures w14:val="standardContextual"/>
        </w:rPr>
        <w:t>* The inter-vertical eliminations revenue line reflects transactions where revenue in Cashback and Travel has also been recorded as cost of sales in other verticals.</w:t>
      </w:r>
    </w:p>
    <w:p w14:paraId="37B60BE3"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Revenue in Q2 (for the 3 months ended 30 June 2024) grew 1%, driven by strong trading in Insurance and Cashback. </w:t>
      </w:r>
    </w:p>
    <w:p w14:paraId="5DF2DFC6"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In H1 2024, the group generated strong overall revenue and profit growth, both up 5%.</w:t>
      </w:r>
    </w:p>
    <w:p w14:paraId="497FA6BD"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Performance within each of our verticals in Q2 2024 and in H1 2024 is as follows:</w:t>
      </w:r>
    </w:p>
    <w:p w14:paraId="412C8B8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p>
    <w:p w14:paraId="64F0D4D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18"/>
          <w:szCs w:val="18"/>
          <w14:ligatures w14:val="standardContextual"/>
        </w:rPr>
      </w:pPr>
    </w:p>
    <w:p w14:paraId="0621208F" w14:textId="77777777" w:rsidR="00756913" w:rsidRPr="00756913" w:rsidRDefault="00756913" w:rsidP="00756913">
      <w:pPr>
        <w:numPr>
          <w:ilvl w:val="3"/>
          <w:numId w:val="17"/>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357" w:hanging="357"/>
        <w:jc w:val="both"/>
        <w:rPr>
          <w:rFonts w:ascii="Arial" w:hAnsi="Arial" w:cs="Arial"/>
          <w:sz w:val="20"/>
          <w:szCs w:val="20"/>
          <w14:ligatures w14:val="standardContextual"/>
        </w:rPr>
      </w:pPr>
      <w:r w:rsidRPr="00756913">
        <w:rPr>
          <w:rFonts w:ascii="Arial" w:hAnsi="Arial" w:cs="Arial"/>
          <w:sz w:val="20"/>
          <w:szCs w:val="20"/>
          <w14:ligatures w14:val="standardContextual"/>
        </w:rPr>
        <w:t>Insurance:</w:t>
      </w:r>
    </w:p>
    <w:p w14:paraId="3FEABE21" w14:textId="77777777" w:rsidR="00756913" w:rsidRPr="00756913" w:rsidRDefault="00756913" w:rsidP="00756913">
      <w:pPr>
        <w:numPr>
          <w:ilvl w:val="1"/>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We delivered 6% growth in Q2, driven by car and home switching which remained buoyant due to sustained high premium prices. The strong performance in car and home was slightly offset by travel insurance which was impacted by consumers trending towards lower-mid tier cover. This is a return to more normal policy distribution following the popularity surge of high-tier policies during covid.</w:t>
      </w:r>
    </w:p>
    <w:p w14:paraId="2B8CC9F6" w14:textId="77777777" w:rsidR="00756913" w:rsidRPr="00756913" w:rsidRDefault="00756913" w:rsidP="00756913">
      <w:pPr>
        <w:numPr>
          <w:ilvl w:val="1"/>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Over the half, Insurance grew 14%, with home insurance resuming its position as our second largest channel after car. Car premium inflation began to slow through the half, with home premium inflation stabilising. Our quarter-on-quarter growth rate from Q1 to Q2 reflects the shift towards more normal levels of premium inflation.</w:t>
      </w:r>
    </w:p>
    <w:p w14:paraId="532CB144" w14:textId="77777777" w:rsidR="00756913" w:rsidRPr="00756913" w:rsidRDefault="00756913" w:rsidP="00756913">
      <w:pPr>
        <w:numPr>
          <w:ilvl w:val="3"/>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357" w:hanging="357"/>
        <w:jc w:val="both"/>
        <w:rPr>
          <w:rFonts w:ascii="Arial" w:hAnsi="Arial" w:cs="Arial"/>
          <w:sz w:val="20"/>
          <w:szCs w:val="20"/>
          <w14:ligatures w14:val="standardContextual"/>
        </w:rPr>
      </w:pPr>
      <w:r w:rsidRPr="00756913">
        <w:rPr>
          <w:rFonts w:ascii="Arial" w:hAnsi="Arial" w:cs="Arial"/>
          <w:sz w:val="20"/>
          <w:szCs w:val="20"/>
          <w14:ligatures w14:val="standardContextual"/>
        </w:rPr>
        <w:t>Money:</w:t>
      </w:r>
    </w:p>
    <w:p w14:paraId="749961CE" w14:textId="77777777" w:rsidR="00756913" w:rsidRPr="00756913" w:rsidRDefault="00756913" w:rsidP="00756913">
      <w:pPr>
        <w:numPr>
          <w:ilvl w:val="1"/>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In Q2, Money was flat. Good performance in credit card switching was offset by weakness in loans which remain less affordable for consumers in the high interest rate environment. We also experienced a weaker performance in banking (current accounts and savings products) due to fewer attractive offers in the period. </w:t>
      </w:r>
    </w:p>
    <w:p w14:paraId="3B4A0F73" w14:textId="77777777" w:rsidR="00756913" w:rsidRPr="00756913" w:rsidRDefault="00756913" w:rsidP="00756913">
      <w:pPr>
        <w:numPr>
          <w:ilvl w:val="1"/>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In the half, Money was down slightly at -2% reflecting similar trends of weaker conversion in banking and high interest rates affecting borrowing, offset by a stronger performance in credit card switching. We are also lapping a very strong performance in banking in H123. </w:t>
      </w:r>
    </w:p>
    <w:p w14:paraId="233F931C" w14:textId="77777777" w:rsidR="00756913" w:rsidRPr="00756913" w:rsidRDefault="00756913" w:rsidP="00756913">
      <w:pPr>
        <w:numPr>
          <w:ilvl w:val="3"/>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357" w:hanging="357"/>
        <w:jc w:val="both"/>
        <w:rPr>
          <w:rFonts w:ascii="Arial" w:hAnsi="Arial" w:cs="Arial"/>
          <w:sz w:val="20"/>
          <w:szCs w:val="20"/>
          <w14:ligatures w14:val="standardContextual"/>
        </w:rPr>
      </w:pPr>
      <w:r w:rsidRPr="00756913">
        <w:rPr>
          <w:rFonts w:ascii="Arial" w:hAnsi="Arial" w:cs="Arial"/>
          <w:sz w:val="20"/>
          <w:szCs w:val="20"/>
          <w14:ligatures w14:val="standardContextual"/>
        </w:rPr>
        <w:t>Home Services:</w:t>
      </w:r>
    </w:p>
    <w:p w14:paraId="58FB54F7" w14:textId="77777777" w:rsidR="00756913" w:rsidRPr="00756913" w:rsidRDefault="00756913" w:rsidP="00756913">
      <w:pPr>
        <w:numPr>
          <w:ilvl w:val="1"/>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In Q2 we saw continued weakness in broadband and a softening of mobile switching, driven by lower levels of conversion as providers increased focus on customer retention.</w:t>
      </w:r>
    </w:p>
    <w:p w14:paraId="3CF75F9F" w14:textId="77777777" w:rsidR="00756913" w:rsidRPr="00756913" w:rsidRDefault="00756913" w:rsidP="00756913">
      <w:pPr>
        <w:numPr>
          <w:ilvl w:val="1"/>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In energy, there were a few switching deals available but market uncertainty remains and energy revenues were immaterial. This resulted in an overall Home Services revenue decline of -13% in Q2. </w:t>
      </w:r>
    </w:p>
    <w:p w14:paraId="791C3312" w14:textId="77777777" w:rsidR="00756913" w:rsidRPr="00756913" w:rsidRDefault="00756913" w:rsidP="00756913">
      <w:pPr>
        <w:numPr>
          <w:ilvl w:val="1"/>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In the half, the same trend of soft demand in broadband and stronger competition resulted in Home Services revenue being down -10%. </w:t>
      </w:r>
    </w:p>
    <w:p w14:paraId="49E03159" w14:textId="77777777" w:rsidR="00756913" w:rsidRPr="00756913" w:rsidRDefault="00756913" w:rsidP="00756913">
      <w:pPr>
        <w:numPr>
          <w:ilvl w:val="3"/>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357" w:hanging="357"/>
        <w:jc w:val="both"/>
        <w:rPr>
          <w:rFonts w:ascii="Arial" w:hAnsi="Arial" w:cs="Arial"/>
          <w:sz w:val="20"/>
          <w:szCs w:val="20"/>
          <w14:ligatures w14:val="standardContextual"/>
        </w:rPr>
      </w:pPr>
      <w:r w:rsidRPr="00756913">
        <w:rPr>
          <w:rFonts w:ascii="Arial" w:hAnsi="Arial" w:cs="Arial"/>
          <w:sz w:val="20"/>
          <w:szCs w:val="20"/>
          <w14:ligatures w14:val="standardContextual"/>
        </w:rPr>
        <w:t>Travel:</w:t>
      </w:r>
    </w:p>
    <w:p w14:paraId="38D20E41" w14:textId="77777777" w:rsidR="00756913" w:rsidRPr="00756913" w:rsidRDefault="00756913" w:rsidP="00756913">
      <w:pPr>
        <w:numPr>
          <w:ilvl w:val="1"/>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In Q2, package holiday performance remained solid although the market was more competitive. Operators increased the number of low-priced package holiday deals and grew their paid search (PPC) and brand marketing costs to sell these which inflated our marketing costs. Growth in Travel was also impacted by a weak car hire market. </w:t>
      </w:r>
    </w:p>
    <w:p w14:paraId="6D79B52B" w14:textId="77777777" w:rsidR="00756913" w:rsidRPr="00756913" w:rsidRDefault="00756913" w:rsidP="00756913">
      <w:pPr>
        <w:numPr>
          <w:ilvl w:val="1"/>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This resulted in Q2 revenue down -8% as we took action to adjust our marketing spend and protect margins. </w:t>
      </w:r>
    </w:p>
    <w:p w14:paraId="71281F7D" w14:textId="77777777" w:rsidR="00756913" w:rsidRPr="00756913" w:rsidRDefault="00756913" w:rsidP="00756913">
      <w:pPr>
        <w:numPr>
          <w:ilvl w:val="1"/>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In the half, Travel revenue was up 1%, after a very strong Q1, driven by good performance in package holidays. </w:t>
      </w:r>
    </w:p>
    <w:p w14:paraId="2B4CFBC4" w14:textId="77777777" w:rsidR="00756913" w:rsidRPr="00756913" w:rsidRDefault="00756913" w:rsidP="00756913">
      <w:pPr>
        <w:numPr>
          <w:ilvl w:val="1"/>
          <w:numId w:val="18"/>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Note that travel insurance is contained within Insurance.</w:t>
      </w:r>
    </w:p>
    <w:p w14:paraId="436363B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jc w:val="both"/>
        <w:rPr>
          <w:rFonts w:ascii="Arial" w:hAnsi="Arial" w:cs="Arial"/>
          <w:sz w:val="20"/>
          <w:szCs w:val="20"/>
          <w14:ligatures w14:val="standardContextual"/>
        </w:rPr>
      </w:pPr>
    </w:p>
    <w:p w14:paraId="56F4872B" w14:textId="77777777" w:rsidR="00756913" w:rsidRPr="00756913" w:rsidRDefault="00756913" w:rsidP="00756913">
      <w:pPr>
        <w:numPr>
          <w:ilvl w:val="3"/>
          <w:numId w:val="19"/>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357" w:hanging="357"/>
        <w:jc w:val="both"/>
        <w:rPr>
          <w:rFonts w:ascii="Arial" w:hAnsi="Arial" w:cs="Arial"/>
          <w:sz w:val="20"/>
          <w:szCs w:val="20"/>
          <w14:ligatures w14:val="standardContextual"/>
        </w:rPr>
      </w:pPr>
      <w:r w:rsidRPr="00756913">
        <w:rPr>
          <w:rFonts w:ascii="Arial" w:hAnsi="Arial" w:cs="Arial"/>
          <w:sz w:val="20"/>
          <w:szCs w:val="20"/>
          <w14:ligatures w14:val="standardContextual"/>
        </w:rPr>
        <w:t>Cashback:</w:t>
      </w:r>
    </w:p>
    <w:p w14:paraId="7DF25ED9" w14:textId="77777777" w:rsidR="00756913" w:rsidRPr="00756913" w:rsidRDefault="00756913" w:rsidP="00756913">
      <w:pPr>
        <w:numPr>
          <w:ilvl w:val="1"/>
          <w:numId w:val="20"/>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We generated strong growth in Q2 of 4%, driven by Insurance and the ongoing success of Quidco Compare following its launch in H123.</w:t>
      </w:r>
    </w:p>
    <w:p w14:paraId="562DB00E" w14:textId="77777777" w:rsidR="00756913" w:rsidRPr="00756913" w:rsidRDefault="00756913" w:rsidP="00756913">
      <w:pPr>
        <w:numPr>
          <w:ilvl w:val="1"/>
          <w:numId w:val="20"/>
        </w:numPr>
        <w:tabs>
          <w:tab w:val="clear" w:pos="0"/>
          <w:tab w:val="left" w:pos="709"/>
          <w:tab w:val="left" w:pos="1559"/>
          <w:tab w:val="left" w:pos="2268"/>
          <w:tab w:val="left" w:pos="2977"/>
          <w:tab w:val="left" w:pos="3686"/>
          <w:tab w:val="left" w:pos="4394"/>
          <w:tab w:val="right" w:pos="8789"/>
        </w:tabs>
        <w:autoSpaceDE w:val="0"/>
        <w:autoSpaceDN w:val="0"/>
        <w:adjustRightInd w:val="0"/>
        <w:spacing w:after="60" w:line="240" w:lineRule="auto"/>
        <w:ind w:left="1440" w:hanging="360"/>
        <w:jc w:val="both"/>
        <w:rPr>
          <w:rFonts w:ascii="Arial" w:hAnsi="Arial" w:cs="Arial"/>
          <w:sz w:val="20"/>
          <w:szCs w:val="20"/>
          <w14:ligatures w14:val="standardContextual"/>
        </w:rPr>
      </w:pPr>
      <w:r w:rsidRPr="00756913">
        <w:rPr>
          <w:rFonts w:ascii="Arial" w:hAnsi="Arial" w:cs="Arial"/>
          <w:sz w:val="20"/>
          <w:szCs w:val="20"/>
          <w14:ligatures w14:val="standardContextual"/>
        </w:rPr>
        <w:t>Over the half, Cashback performed well with revenue growth of 3%. This was in part driven by our member growth momentum, as well as a strong performance in Insurance and tenancy within Cashback.</w:t>
      </w:r>
    </w:p>
    <w:p w14:paraId="31C7E16D"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0" w:line="240" w:lineRule="auto"/>
        <w:ind w:left="284"/>
        <w:rPr>
          <w:rFonts w:ascii="Arial" w:hAnsi="Arial" w:cs="Arial"/>
          <w:b/>
          <w:bCs/>
          <w:sz w:val="14"/>
          <w:szCs w:val="14"/>
          <w14:ligatures w14:val="standardContextual"/>
        </w:rPr>
      </w:pPr>
    </w:p>
    <w:p w14:paraId="5C1FF25B" w14:textId="77777777" w:rsidR="00756913" w:rsidRPr="00756913" w:rsidRDefault="00756913" w:rsidP="00756913">
      <w:pPr>
        <w:autoSpaceDE w:val="0"/>
        <w:autoSpaceDN w:val="0"/>
        <w:adjustRightInd w:val="0"/>
        <w:spacing w:after="40" w:line="240" w:lineRule="auto"/>
        <w:rPr>
          <w:rFonts w:ascii="Arial" w:hAnsi="Arial" w:cs="Arial"/>
          <w:b/>
          <w:bCs/>
          <w:sz w:val="14"/>
          <w:szCs w:val="14"/>
          <w14:ligatures w14:val="standardContextual"/>
        </w:rPr>
      </w:pPr>
    </w:p>
    <w:p w14:paraId="50A16C24" w14:textId="77777777" w:rsidR="00756913" w:rsidRPr="00756913" w:rsidRDefault="00756913" w:rsidP="00756913">
      <w:pPr>
        <w:autoSpaceDE w:val="0"/>
        <w:autoSpaceDN w:val="0"/>
        <w:adjustRightInd w:val="0"/>
        <w:spacing w:after="40" w:line="240" w:lineRule="auto"/>
        <w:rPr>
          <w:rFonts w:ascii="Arial" w:hAnsi="Arial" w:cs="Arial"/>
          <w:b/>
          <w:bCs/>
          <w:sz w:val="20"/>
          <w:szCs w:val="20"/>
          <w14:ligatures w14:val="standardContextual"/>
        </w:rPr>
      </w:pPr>
    </w:p>
    <w:p w14:paraId="5BBE8E2C" w14:textId="77777777" w:rsidR="00756913" w:rsidRPr="00756913" w:rsidRDefault="00756913" w:rsidP="00756913">
      <w:pPr>
        <w:autoSpaceDE w:val="0"/>
        <w:autoSpaceDN w:val="0"/>
        <w:adjustRightInd w:val="0"/>
        <w:spacing w:before="160" w:after="0" w:line="240" w:lineRule="auto"/>
        <w:rPr>
          <w:rFonts w:ascii="Arial" w:hAnsi="Arial" w:cs="Arial"/>
          <w:b/>
          <w:bCs/>
          <w:sz w:val="20"/>
          <w:szCs w:val="20"/>
          <w:u w:val="single"/>
          <w14:ligatures w14:val="standardContextual"/>
        </w:rPr>
      </w:pPr>
      <w:r w:rsidRPr="00756913">
        <w:rPr>
          <w:rFonts w:ascii="Arial" w:hAnsi="Arial" w:cs="Arial"/>
          <w:b/>
          <w:bCs/>
          <w:sz w:val="20"/>
          <w:szCs w:val="20"/>
          <w:u w:val="single"/>
          <w14:ligatures w14:val="standardContextual"/>
        </w:rPr>
        <w:t xml:space="preserve">Strategic review </w:t>
      </w:r>
    </w:p>
    <w:p w14:paraId="386119CF"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In the first half, the Group saved households an estimated £1.7bn as we continued to fulfil our purpose of saving households money.</w:t>
      </w:r>
    </w:p>
    <w:p w14:paraId="0027DC4A"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Our strategy is simple – to grow a two-sided marketplace. In doing so, we will rely less on paid traffic, and grow revenue per user by improving cross-purchasing, repeat purchasing and customer loyalty with our already well trusted brands.</w:t>
      </w:r>
    </w:p>
    <w:p w14:paraId="143ABE4E"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On one side of the marketplace, we have the services we offer to our customers and on the other, the services we offer to our providers and third-party brands. We have made great progress in expanding both sides of our business.</w:t>
      </w:r>
    </w:p>
    <w:p w14:paraId="2CA36B63"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p>
    <w:p w14:paraId="145B8DE4"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u w:val="single"/>
          <w14:ligatures w14:val="standardContextual"/>
        </w:rPr>
      </w:pPr>
      <w:r w:rsidRPr="00756913">
        <w:rPr>
          <w:rFonts w:ascii="Arial" w:hAnsi="Arial" w:cs="Arial"/>
          <w:b/>
          <w:bCs/>
          <w:sz w:val="20"/>
          <w:szCs w:val="20"/>
          <w:u w:val="single"/>
          <w14:ligatures w14:val="standardContextual"/>
        </w:rPr>
        <w:t>Customer strategy:</w:t>
      </w:r>
    </w:p>
    <w:p w14:paraId="175F101D"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The customer strategy is built on growing on our member-based offers; MoneySuperMarket SuperSaveClub, MoneySavingExpert App and Quidco. These member-based propositions are focused on growing customer loyalty, engagement, repeat purchasing and retention, as well as driving consumer traffic direct to our sites. In time, this should result in a reduced reliance on paid-for marketing.</w:t>
      </w:r>
    </w:p>
    <w:p w14:paraId="34F9E96D" w14:textId="77777777" w:rsidR="00756913" w:rsidRPr="00756913" w:rsidRDefault="00756913" w:rsidP="00756913">
      <w:pPr>
        <w:autoSpaceDE w:val="0"/>
        <w:autoSpaceDN w:val="0"/>
        <w:adjustRightInd w:val="0"/>
        <w:spacing w:before="160" w:after="0" w:line="240" w:lineRule="auto"/>
        <w:rPr>
          <w:rFonts w:ascii="Arial" w:hAnsi="Arial" w:cs="Arial"/>
          <w:b/>
          <w:bCs/>
          <w:sz w:val="20"/>
          <w:szCs w:val="20"/>
          <w14:ligatures w14:val="standardContextual"/>
        </w:rPr>
      </w:pPr>
      <w:r w:rsidRPr="00756913">
        <w:rPr>
          <w:rFonts w:ascii="Arial" w:hAnsi="Arial" w:cs="Arial"/>
          <w:b/>
          <w:bCs/>
          <w:sz w:val="20"/>
          <w:szCs w:val="20"/>
          <w14:ligatures w14:val="standardContextual"/>
        </w:rPr>
        <w:t>SuperSaveClub</w:t>
      </w:r>
    </w:p>
    <w:p w14:paraId="727CB99C"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The SuperSaveClub (‘SSC’) is MoneySuperMarket’s member-based rewards programme. Typically, in price comparison, products are sold once per year. This provides a single touchpoint annually to engage with any given consumer, leading to high third-party advertising spend in order to stay front of mind. </w:t>
      </w:r>
    </w:p>
    <w:p w14:paraId="35E98CA9"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The SSC now has over 500k members and we have grown the number of products available in the club from 6 at the beginning of the year to 10 at the end of June, representing more than half of MSM sales channels by volume. In July, we also launched Cashback in the club which provides further opportunity for more frequent engagement with our members. </w:t>
      </w:r>
    </w:p>
    <w:p w14:paraId="5BC5F3F4"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Early data shows that more Club members are coming to us directly, with members 20% more likely to come direct for their second purchase than traditional MSM users. This supports our wider strategic goal of reducing our reliance on paid-for marketing. They are also buying more products from us, with members 4x more likely to buy a second product than non-members, supportive of our strategic goal to grow customer lifetime value. This is driven, in part, by their increased propensity to engage with our CRM activity and to download the MoneySuperMarket app. </w:t>
      </w:r>
    </w:p>
    <w:p w14:paraId="542CB932"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Whilst it is still early in the SSC journey, and we remain cautious about drawing conclusions from the trends we have seen from our early adopters, initial results are encouraging, showing that the club is achieving what we set out to. </w:t>
      </w:r>
    </w:p>
    <w:p w14:paraId="52C9A009" w14:textId="77777777" w:rsidR="00756913" w:rsidRPr="00756913" w:rsidRDefault="00756913" w:rsidP="00756913">
      <w:pPr>
        <w:autoSpaceDE w:val="0"/>
        <w:autoSpaceDN w:val="0"/>
        <w:adjustRightInd w:val="0"/>
        <w:spacing w:before="160" w:after="0" w:line="240" w:lineRule="auto"/>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MoneySavingExpert</w:t>
      </w:r>
    </w:p>
    <w:p w14:paraId="1C0D5030"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MoneySavingExpert (‘MSE’) helps millions of consumers with information, tips and tools to save money. The MoneySavingExpert App is our member-based offer for MSE and we have again seen good momentum here. </w:t>
      </w:r>
    </w:p>
    <w:p w14:paraId="45CA0FE3"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Eighteen months after launch, the MSE App has been named as one of the UK’s top 10 news apps, with 1.4m downloads and average monthly active users reaching 443k in the half. The 9m+ people who receive Martin Lewis’s weekly tip email, can also now open this directly on the MSE App. </w:t>
      </w:r>
    </w:p>
    <w:p w14:paraId="73D0581F"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In the half, we launched a new and improved MSE Credit Club, which includes a unique eligibility rating. This new tool tells consumers not just if they could get credit but provides an affordability score to show whether they should take out credit based on their real-world credit power. The existing 1.6m Credit Club users were upgraded to this new version during the half and it was made available to new users in June. This addition of this tool is a clear competitive advantage over existing services in the market and a real step change in the Credit Club offering. </w:t>
      </w:r>
    </w:p>
    <w:p w14:paraId="1AD1833E"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MSE has a dedicated, loyal and growing audience. Ongoing efforts to enhance and expand the user experience means we continue to see building traffic volumes, greater customer interaction and increased stickiness to the benefit of the wider MONY Group. There is further opportunity available to personalise the MSE App experience through additional tools and tips which will help users save even more money and improve their financial health, all of which will drive increased volume growth, engagement and retention, helping us progress against our wider strategic goals. </w:t>
      </w:r>
    </w:p>
    <w:p w14:paraId="72A49D3D" w14:textId="77777777" w:rsidR="00756913" w:rsidRPr="00756913" w:rsidRDefault="00756913" w:rsidP="00756913">
      <w:pPr>
        <w:autoSpaceDE w:val="0"/>
        <w:autoSpaceDN w:val="0"/>
        <w:adjustRightInd w:val="0"/>
        <w:spacing w:before="160" w:after="0" w:line="240" w:lineRule="auto"/>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Quidco</w:t>
      </w:r>
    </w:p>
    <w:p w14:paraId="30312473"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Quidco, one of the UK’s leading cashback sites, is the third of our member-based offers, helping customers save across travel, online retail and services such as insurance, broadband and mobile. Using a network of over 5,000 merchants, members can make purchases and save money at the same time.</w:t>
      </w:r>
      <w:r w:rsidRPr="00756913">
        <w:rPr>
          <w:rFonts w:ascii="Arial" w:hAnsi="Arial" w:cs="Arial"/>
          <w:color w:val="FF0000"/>
          <w:sz w:val="20"/>
          <w:szCs w:val="20"/>
          <w14:ligatures w14:val="standardContextual"/>
        </w:rPr>
        <w:t xml:space="preserve"> </w:t>
      </w:r>
    </w:p>
    <w:p w14:paraId="685009D8"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We saw good momentum in the half as a result of actions we have taken to improve the user experience and deliver a more personalised, targeted CRM strategy. This was made possible because of our investment in data and our platform, as well as our leading-edge CRM which means we can target specific cohorts of customers with tailored offers and discounts rather than using a one size fits all approach. Our progress on personalisation is proving effective in attracting users who are increasingly engaged.</w:t>
      </w:r>
    </w:p>
    <w:p w14:paraId="61969AE7"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Cashback deals, powered by Quidco capability, were launched in the SSC in July. Cashback in the Club is a key component of our strategy to drive regular, repeat engagement beyond annual-renewal products, as it taps into everyday consumer spending. </w:t>
      </w:r>
    </w:p>
    <w:p w14:paraId="69C17E49"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p>
    <w:p w14:paraId="3F16A5B7" w14:textId="77777777" w:rsidR="00756913" w:rsidRPr="00756913" w:rsidRDefault="00756913" w:rsidP="00756913">
      <w:pPr>
        <w:autoSpaceDE w:val="0"/>
        <w:autoSpaceDN w:val="0"/>
        <w:adjustRightInd w:val="0"/>
        <w:spacing w:before="160" w:after="0" w:line="240" w:lineRule="auto"/>
        <w:jc w:val="both"/>
        <w:rPr>
          <w:rFonts w:ascii="Arial" w:hAnsi="Arial" w:cs="Arial"/>
          <w:b/>
          <w:bCs/>
          <w:sz w:val="20"/>
          <w:szCs w:val="20"/>
          <w:u w:val="single"/>
          <w14:ligatures w14:val="standardContextual"/>
        </w:rPr>
      </w:pPr>
      <w:r w:rsidRPr="00756913">
        <w:rPr>
          <w:rFonts w:ascii="Arial" w:hAnsi="Arial" w:cs="Arial"/>
          <w:b/>
          <w:bCs/>
          <w:sz w:val="20"/>
          <w:szCs w:val="20"/>
          <w:u w:val="single"/>
          <w14:ligatures w14:val="standardContextual"/>
        </w:rPr>
        <w:t>Services for providers:</w:t>
      </w:r>
    </w:p>
    <w:p w14:paraId="62E0263C"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On the other side of our marketplace, we have the services we offer providers. Investment in our platform and in our data means we now have a more enhanced provider offering than ever before. By moving everything onto one platform we can onboard providers more quickly, and across all our brands simultaneously, making it much more commercially attractive to them. </w:t>
      </w:r>
    </w:p>
    <w:p w14:paraId="4C27B3F2" w14:textId="77777777" w:rsidR="00756913" w:rsidRPr="00756913" w:rsidRDefault="00756913" w:rsidP="00756913">
      <w:pPr>
        <w:autoSpaceDE w:val="0"/>
        <w:autoSpaceDN w:val="0"/>
        <w:adjustRightInd w:val="0"/>
        <w:spacing w:before="160" w:after="0" w:line="240" w:lineRule="auto"/>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Tenancy</w:t>
      </w:r>
    </w:p>
    <w:p w14:paraId="2A2F3730"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Using data insights from the platform, we can offer tailored advertising spots ‘Tenancy’ to our providers to promote their products. These are dedicated spots, clearly labelled as ‘sponsored’ above the results grid. In recent weeks, we have rolled out tenancy slots to MSM's SuperSaveClub, kicking off with a pilot campaign for broadband. Tenancy spots are now available across all core product lines. </w:t>
      </w:r>
    </w:p>
    <w:p w14:paraId="7064F1F8" w14:textId="77777777" w:rsidR="00756913" w:rsidRPr="00756913" w:rsidRDefault="00756913" w:rsidP="00756913">
      <w:pPr>
        <w:autoSpaceDE w:val="0"/>
        <w:autoSpaceDN w:val="0"/>
        <w:adjustRightInd w:val="0"/>
        <w:spacing w:before="160" w:after="0" w:line="240" w:lineRule="auto"/>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Market Boost</w:t>
      </w:r>
    </w:p>
    <w:p w14:paraId="6BA3A683"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Market Boost uses our first-party data to show providers how their products perform across our platform. They can then use these insights to improve their approach and offer even better or more relevant deals to customers. At the time of our FY23 results in February, Market Boost was only available on loans. It is now available on Credit Cards and we will start rolling out into Insurance channels in the second half of 2024.</w:t>
      </w:r>
    </w:p>
    <w:p w14:paraId="0037CD54" w14:textId="77777777" w:rsidR="00756913" w:rsidRPr="00756913" w:rsidRDefault="00756913" w:rsidP="00756913">
      <w:pPr>
        <w:autoSpaceDE w:val="0"/>
        <w:autoSpaceDN w:val="0"/>
        <w:adjustRightInd w:val="0"/>
        <w:spacing w:before="160" w:after="0" w:line="240" w:lineRule="auto"/>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B2B</w:t>
      </w:r>
    </w:p>
    <w:p w14:paraId="77CCCBFB"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Our white label B2B proposition uses the Group platform to power comparison services for third-party brands. </w:t>
      </w:r>
    </w:p>
    <w:p w14:paraId="06BA4C6E"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We have grown the B2B offer over the last 6 months and now have 37 partners across car insurance, home insurance, travel insurance, pet insurance, broadband, mobile, mortgages and energy, including well-known brands like Rightmove, Auto Trader, ClearScore and the National Union of Students. </w:t>
      </w:r>
    </w:p>
    <w:p w14:paraId="3412DD92"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The B2B business generates revenue for the Group at limited incremental cost by leveraging the investment we have made in our technology platform. It enhances our ability to reach new customers, increasing our market share which, in turn, makes our proposition more valuable to providers who want to access a large, relevant audience. </w:t>
      </w:r>
    </w:p>
    <w:p w14:paraId="52CAFA10"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u w:val="single"/>
          <w:lang w:val="en-US"/>
          <w14:ligatures w14:val="standardContextual"/>
        </w:rPr>
      </w:pPr>
      <w:r w:rsidRPr="00756913">
        <w:rPr>
          <w:rFonts w:ascii="Arial" w:hAnsi="Arial" w:cs="Arial"/>
          <w:sz w:val="20"/>
          <w:szCs w:val="20"/>
          <w:lang w:val="en-US"/>
          <w14:ligatures w14:val="standardContextual"/>
        </w:rPr>
        <w:t xml:space="preserve">Having launched our B2B car insurance journey in H1 2023, we have already attracted 10 new B2B car insurance providers. These partnerships are still new, but we are seeing early momentum. </w:t>
      </w:r>
    </w:p>
    <w:p w14:paraId="4FE8115A"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Our aim is to become a one-stop-shop for digital businesses looking to offer comparison services. By using our platform to enable comparison journeys for other brands, we have the opportunity to become the technology platform of choice to power the entire industry. </w:t>
      </w:r>
    </w:p>
    <w:p w14:paraId="14EE85DC" w14:textId="77777777" w:rsidR="00756913" w:rsidRPr="00756913" w:rsidRDefault="00756913" w:rsidP="00756913">
      <w:pPr>
        <w:autoSpaceDE w:val="0"/>
        <w:autoSpaceDN w:val="0"/>
        <w:adjustRightInd w:val="0"/>
        <w:spacing w:before="160" w:after="0" w:line="240" w:lineRule="auto"/>
        <w:rPr>
          <w:rFonts w:ascii="Arial" w:hAnsi="Arial" w:cs="Arial"/>
          <w:b/>
          <w:bCs/>
          <w:sz w:val="20"/>
          <w:szCs w:val="20"/>
          <w14:ligatures w14:val="standardContextual"/>
        </w:rPr>
      </w:pPr>
    </w:p>
    <w:p w14:paraId="1D920C6F" w14:textId="77777777" w:rsidR="00756913" w:rsidRPr="00756913" w:rsidRDefault="00756913" w:rsidP="00756913">
      <w:pPr>
        <w:autoSpaceDE w:val="0"/>
        <w:autoSpaceDN w:val="0"/>
        <w:adjustRightInd w:val="0"/>
        <w:spacing w:before="160" w:after="0" w:line="240" w:lineRule="auto"/>
        <w:jc w:val="both"/>
        <w:rPr>
          <w:rFonts w:ascii="Arial" w:hAnsi="Arial" w:cs="Arial"/>
          <w:b/>
          <w:bCs/>
          <w:sz w:val="20"/>
          <w:szCs w:val="20"/>
          <w:u w:val="single"/>
          <w14:ligatures w14:val="standardContextual"/>
        </w:rPr>
      </w:pPr>
      <w:r w:rsidRPr="00756913">
        <w:rPr>
          <w:rFonts w:ascii="Arial" w:hAnsi="Arial" w:cs="Arial"/>
          <w:b/>
          <w:bCs/>
          <w:sz w:val="20"/>
          <w:szCs w:val="20"/>
          <w14:ligatures w14:val="standardContextual"/>
        </w:rPr>
        <w:t>ESG</w:t>
      </w:r>
    </w:p>
    <w:p w14:paraId="06F3CB0E"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The Group is committed to becoming Operational Net Zero by 2030. We are pleased to confirm that we have received approval of our Science Based Target, as well as a commendation from the Science Based Targets initiative (SBTi) for our ambitious environmental commitments. The SBTi’s Target Validation Team has rigorously assessed and classified our scope 1 and 2 target ambition, affirming its alignment with a 1.5°C trajectory.</w:t>
      </w:r>
    </w:p>
    <w:p w14:paraId="51C18B90"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We continue to disclose our environmental impact via the Carbon Disclosure Project, for which we obtained a “C” rating and maintain a ‘Carbon Neutral’ status, with our commitment of offsetting 100% of our carbon emissions. </w:t>
      </w:r>
    </w:p>
    <w:p w14:paraId="0913E4FD"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We have continued our focus on Diversity Equity Inclusion and Belonging, with programmes in place to support the mental and physical wellbeing of our colleagues, as well as ensure we continue to attract diverse talent to our business and promote awareness. </w:t>
      </w:r>
    </w:p>
    <w:p w14:paraId="5B4470EF"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lang w:val="en-US"/>
          <w14:ligatures w14:val="standardContextual"/>
        </w:rPr>
        <w:t xml:space="preserve">MONY Group's current charity partnership is with Campaign Against Living Miserably (CALM). The partnership has seen MONY Group donate £168,149 in just 1.5 years, so is on track to </w:t>
      </w:r>
      <w:r w:rsidRPr="00756913">
        <w:rPr>
          <w:rFonts w:ascii="Arial" w:hAnsi="Arial" w:cs="Arial"/>
          <w:sz w:val="20"/>
          <w:szCs w:val="20"/>
          <w14:ligatures w14:val="standardContextual"/>
        </w:rPr>
        <w:t>exceed</w:t>
      </w:r>
      <w:r w:rsidRPr="00756913">
        <w:rPr>
          <w:rFonts w:ascii="Arial" w:hAnsi="Arial" w:cs="Arial"/>
          <w:sz w:val="20"/>
          <w:szCs w:val="20"/>
          <w:lang w:val="en-US"/>
          <w14:ligatures w14:val="standardContextual"/>
        </w:rPr>
        <w:t xml:space="preserve"> the 3-year target of £225,000 which will fund 18,442 lifesaving calls to CALM’s helpline. </w:t>
      </w:r>
    </w:p>
    <w:p w14:paraId="6BAD7569"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p>
    <w:p w14:paraId="787E2F42" w14:textId="77777777" w:rsidR="00756913" w:rsidRPr="00756913" w:rsidRDefault="00756913" w:rsidP="00756913">
      <w:pPr>
        <w:autoSpaceDE w:val="0"/>
        <w:autoSpaceDN w:val="0"/>
        <w:adjustRightInd w:val="0"/>
        <w:spacing w:before="160" w:after="0" w:line="240" w:lineRule="auto"/>
        <w:rPr>
          <w:rFonts w:ascii="Arial" w:hAnsi="Arial" w:cs="Arial"/>
          <w:b/>
          <w:bCs/>
          <w:sz w:val="20"/>
          <w:szCs w:val="20"/>
          <w14:ligatures w14:val="standardContextual"/>
        </w:rPr>
      </w:pPr>
      <w:r w:rsidRPr="00756913">
        <w:rPr>
          <w:rFonts w:ascii="Arial" w:hAnsi="Arial" w:cs="Arial"/>
          <w:b/>
          <w:bCs/>
          <w:sz w:val="20"/>
          <w:szCs w:val="20"/>
          <w14:ligatures w14:val="standardContextual"/>
        </w:rPr>
        <w:t>Key performance indicators</w:t>
      </w:r>
    </w:p>
    <w:p w14:paraId="1BE7E965"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The Board reviews key performance indicators (KPIs) to assess the performance of the business against the Group’s strategy. The KPIs are largely brand focused and therefore span multiple segments. We measure 6 key strategic KPIs: estimated Group customer savings, Group marketing margin, MSM and MSE net promoter score, MSM &amp; Quidco active users, MSM &amp; Quidco revenue per active user and MSM cross-channel enquiry. </w:t>
      </w:r>
    </w:p>
    <w:p w14:paraId="2AF18941"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We will continue to evaluate and broaden the KPIs as needed to ensure they provide visibility of our strategic progress under a framework that measures the strength of the Group and our brands.</w:t>
      </w:r>
    </w:p>
    <w:p w14:paraId="0F2B59FC" w14:textId="77777777" w:rsidR="00756913" w:rsidRPr="00756913" w:rsidRDefault="00756913" w:rsidP="00756913">
      <w:pPr>
        <w:autoSpaceDE w:val="0"/>
        <w:autoSpaceDN w:val="0"/>
        <w:adjustRightInd w:val="0"/>
        <w:spacing w:before="160" w:after="0" w:line="240" w:lineRule="auto"/>
        <w:rPr>
          <w:rFonts w:ascii="Arial" w:hAnsi="Arial" w:cs="Arial"/>
          <w:sz w:val="20"/>
          <w:szCs w:val="20"/>
          <w14:ligatures w14:val="standardContextual"/>
        </w:rPr>
      </w:pPr>
    </w:p>
    <w:tbl>
      <w:tblPr>
        <w:tblW w:w="0" w:type="auto"/>
        <w:tblLayout w:type="fixed"/>
        <w:tblCellMar>
          <w:left w:w="10" w:type="dxa"/>
          <w:right w:w="10" w:type="dxa"/>
        </w:tblCellMar>
        <w:tblLook w:val="0000" w:firstRow="0" w:lastRow="0" w:firstColumn="0" w:lastColumn="0" w:noHBand="0" w:noVBand="0"/>
      </w:tblPr>
      <w:tblGrid>
        <w:gridCol w:w="5672"/>
        <w:gridCol w:w="1839"/>
        <w:gridCol w:w="1458"/>
      </w:tblGrid>
      <w:tr w:rsidR="00756913" w:rsidRPr="00756913" w14:paraId="7CC48A79" w14:textId="77777777">
        <w:tblPrEx>
          <w:tblCellMar>
            <w:top w:w="0" w:type="dxa"/>
            <w:bottom w:w="0" w:type="dxa"/>
          </w:tblCellMar>
        </w:tblPrEx>
        <w:trPr>
          <w:trHeight w:val="314"/>
        </w:trPr>
        <w:tc>
          <w:tcPr>
            <w:tcW w:w="5672" w:type="dxa"/>
            <w:tcBorders>
              <w:top w:val="nil"/>
              <w:left w:val="nil"/>
              <w:bottom w:val="single" w:sz="4" w:space="0" w:color="auto"/>
              <w:right w:val="nil"/>
            </w:tcBorders>
            <w:vAlign w:val="bottom"/>
          </w:tcPr>
          <w:p w14:paraId="0D27C415" w14:textId="77777777" w:rsidR="00756913" w:rsidRPr="00756913" w:rsidRDefault="00756913" w:rsidP="00756913">
            <w:pPr>
              <w:autoSpaceDE w:val="0"/>
              <w:autoSpaceDN w:val="0"/>
              <w:adjustRightInd w:val="0"/>
              <w:spacing w:before="40" w:after="0"/>
              <w:ind w:left="173" w:hanging="173"/>
              <w:jc w:val="right"/>
              <w:rPr>
                <w:rFonts w:ascii="Arial" w:hAnsi="Arial" w:cs="Arial"/>
                <w:sz w:val="20"/>
                <w:szCs w:val="20"/>
                <w14:ligatures w14:val="standardContextual"/>
              </w:rPr>
            </w:pPr>
          </w:p>
        </w:tc>
        <w:tc>
          <w:tcPr>
            <w:tcW w:w="1839" w:type="dxa"/>
            <w:tcBorders>
              <w:top w:val="nil"/>
              <w:left w:val="nil"/>
              <w:bottom w:val="single" w:sz="4" w:space="0" w:color="auto"/>
              <w:right w:val="nil"/>
            </w:tcBorders>
          </w:tcPr>
          <w:p w14:paraId="499A218F"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30 June</w:t>
            </w:r>
          </w:p>
          <w:p w14:paraId="3906532D" w14:textId="77777777" w:rsidR="00756913" w:rsidRPr="00756913" w:rsidRDefault="00756913" w:rsidP="00756913">
            <w:pPr>
              <w:autoSpaceDE w:val="0"/>
              <w:autoSpaceDN w:val="0"/>
              <w:adjustRightInd w:val="0"/>
              <w:spacing w:before="40" w:after="0"/>
              <w:jc w:val="right"/>
              <w:rPr>
                <w:rFonts w:ascii="Arial" w:hAnsi="Arial" w:cs="Arial"/>
                <w:b/>
                <w:bCs/>
                <w:color w:val="FF0000"/>
                <w:sz w:val="20"/>
                <w:szCs w:val="20"/>
                <w14:ligatures w14:val="standardContextual"/>
              </w:rPr>
            </w:pPr>
            <w:r w:rsidRPr="00756913">
              <w:rPr>
                <w:rFonts w:ascii="Arial" w:hAnsi="Arial" w:cs="Arial"/>
                <w:b/>
                <w:bCs/>
                <w:sz w:val="20"/>
                <w:szCs w:val="20"/>
                <w14:ligatures w14:val="standardContextual"/>
              </w:rPr>
              <w:t>2024</w:t>
            </w:r>
          </w:p>
        </w:tc>
        <w:tc>
          <w:tcPr>
            <w:tcW w:w="1458" w:type="dxa"/>
            <w:tcBorders>
              <w:top w:val="nil"/>
              <w:left w:val="nil"/>
              <w:bottom w:val="single" w:sz="4" w:space="0" w:color="auto"/>
              <w:right w:val="nil"/>
            </w:tcBorders>
          </w:tcPr>
          <w:p w14:paraId="42B1B239"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30 June</w:t>
            </w:r>
          </w:p>
          <w:p w14:paraId="360F1C7C"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2023</w:t>
            </w:r>
          </w:p>
        </w:tc>
      </w:tr>
      <w:tr w:rsidR="00756913" w:rsidRPr="00756913" w14:paraId="6FB6431A" w14:textId="77777777">
        <w:tblPrEx>
          <w:tblCellMar>
            <w:top w:w="0" w:type="dxa"/>
            <w:bottom w:w="0" w:type="dxa"/>
          </w:tblCellMar>
        </w:tblPrEx>
        <w:trPr>
          <w:trHeight w:val="314"/>
        </w:trPr>
        <w:tc>
          <w:tcPr>
            <w:tcW w:w="5672" w:type="dxa"/>
            <w:tcBorders>
              <w:top w:val="single" w:sz="4" w:space="0" w:color="auto"/>
              <w:left w:val="nil"/>
              <w:bottom w:val="nil"/>
              <w:right w:val="nil"/>
            </w:tcBorders>
            <w:vAlign w:val="center"/>
          </w:tcPr>
          <w:p w14:paraId="1B014476"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Estimated Group customer savings</w:t>
            </w:r>
          </w:p>
        </w:tc>
        <w:tc>
          <w:tcPr>
            <w:tcW w:w="1839" w:type="dxa"/>
            <w:tcBorders>
              <w:top w:val="single" w:sz="4" w:space="0" w:color="auto"/>
              <w:left w:val="nil"/>
              <w:bottom w:val="nil"/>
              <w:right w:val="nil"/>
            </w:tcBorders>
            <w:vAlign w:val="center"/>
          </w:tcPr>
          <w:p w14:paraId="1AAC2A20" w14:textId="77777777" w:rsidR="00756913" w:rsidRPr="00756913" w:rsidRDefault="00756913" w:rsidP="00756913">
            <w:pPr>
              <w:autoSpaceDE w:val="0"/>
              <w:autoSpaceDN w:val="0"/>
              <w:adjustRightInd w:val="0"/>
              <w:spacing w:before="40" w:after="0"/>
              <w:ind w:left="173" w:hanging="173"/>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£1.7bn</w:t>
            </w:r>
          </w:p>
        </w:tc>
        <w:tc>
          <w:tcPr>
            <w:tcW w:w="1458" w:type="dxa"/>
            <w:tcBorders>
              <w:top w:val="single" w:sz="4" w:space="0" w:color="auto"/>
              <w:left w:val="nil"/>
              <w:bottom w:val="nil"/>
              <w:right w:val="nil"/>
            </w:tcBorders>
            <w:vAlign w:val="center"/>
          </w:tcPr>
          <w:p w14:paraId="59D8DD7F" w14:textId="77777777" w:rsidR="00756913" w:rsidRPr="00756913" w:rsidRDefault="00756913" w:rsidP="00756913">
            <w:pPr>
              <w:autoSpaceDE w:val="0"/>
              <w:autoSpaceDN w:val="0"/>
              <w:adjustRightInd w:val="0"/>
              <w:spacing w:before="40" w:after="0"/>
              <w:ind w:left="173" w:hanging="173"/>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£1.3bn</w:t>
            </w:r>
          </w:p>
        </w:tc>
      </w:tr>
      <w:tr w:rsidR="00756913" w:rsidRPr="00756913" w14:paraId="41E6DF9E" w14:textId="77777777">
        <w:tblPrEx>
          <w:tblCellMar>
            <w:top w:w="0" w:type="dxa"/>
            <w:bottom w:w="0" w:type="dxa"/>
          </w:tblCellMar>
        </w:tblPrEx>
        <w:trPr>
          <w:trHeight w:val="314"/>
        </w:trPr>
        <w:tc>
          <w:tcPr>
            <w:tcW w:w="5672" w:type="dxa"/>
            <w:tcBorders>
              <w:top w:val="nil"/>
              <w:left w:val="nil"/>
              <w:bottom w:val="nil"/>
              <w:right w:val="nil"/>
            </w:tcBorders>
            <w:vAlign w:val="center"/>
          </w:tcPr>
          <w:p w14:paraId="3E3920DA"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Group marketing margin*</w:t>
            </w:r>
          </w:p>
        </w:tc>
        <w:tc>
          <w:tcPr>
            <w:tcW w:w="1839" w:type="dxa"/>
            <w:tcBorders>
              <w:top w:val="nil"/>
              <w:left w:val="nil"/>
              <w:bottom w:val="nil"/>
              <w:right w:val="nil"/>
            </w:tcBorders>
            <w:vAlign w:val="center"/>
          </w:tcPr>
          <w:p w14:paraId="30AE0DF5" w14:textId="77777777" w:rsidR="00756913" w:rsidRPr="00756913" w:rsidRDefault="00756913" w:rsidP="00756913">
            <w:pPr>
              <w:autoSpaceDE w:val="0"/>
              <w:autoSpaceDN w:val="0"/>
              <w:adjustRightInd w:val="0"/>
              <w:spacing w:before="40" w:after="0"/>
              <w:ind w:left="173" w:hanging="173"/>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60%</w:t>
            </w:r>
          </w:p>
        </w:tc>
        <w:tc>
          <w:tcPr>
            <w:tcW w:w="1458" w:type="dxa"/>
            <w:tcBorders>
              <w:top w:val="nil"/>
              <w:left w:val="nil"/>
              <w:bottom w:val="nil"/>
              <w:right w:val="nil"/>
            </w:tcBorders>
            <w:vAlign w:val="center"/>
          </w:tcPr>
          <w:p w14:paraId="205A43C7" w14:textId="77777777" w:rsidR="00756913" w:rsidRPr="00756913" w:rsidRDefault="00756913" w:rsidP="00756913">
            <w:pPr>
              <w:autoSpaceDE w:val="0"/>
              <w:autoSpaceDN w:val="0"/>
              <w:adjustRightInd w:val="0"/>
              <w:spacing w:before="40" w:after="0"/>
              <w:ind w:left="173" w:hanging="173"/>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58%</w:t>
            </w:r>
          </w:p>
        </w:tc>
      </w:tr>
      <w:tr w:rsidR="00756913" w:rsidRPr="00756913" w14:paraId="3FA1C6B4" w14:textId="77777777">
        <w:tblPrEx>
          <w:tblCellMar>
            <w:top w:w="0" w:type="dxa"/>
            <w:bottom w:w="0" w:type="dxa"/>
          </w:tblCellMar>
        </w:tblPrEx>
        <w:trPr>
          <w:trHeight w:val="314"/>
        </w:trPr>
        <w:tc>
          <w:tcPr>
            <w:tcW w:w="5672" w:type="dxa"/>
            <w:tcBorders>
              <w:top w:val="nil"/>
              <w:left w:val="nil"/>
              <w:bottom w:val="nil"/>
              <w:right w:val="nil"/>
            </w:tcBorders>
            <w:vAlign w:val="center"/>
          </w:tcPr>
          <w:p w14:paraId="511D7E53" w14:textId="77777777" w:rsidR="00756913" w:rsidRPr="00756913" w:rsidRDefault="00756913" w:rsidP="00756913">
            <w:pPr>
              <w:autoSpaceDE w:val="0"/>
              <w:autoSpaceDN w:val="0"/>
              <w:adjustRightInd w:val="0"/>
              <w:spacing w:before="40" w:after="0"/>
              <w:ind w:left="173" w:hanging="173"/>
              <w:rPr>
                <w:rFonts w:ascii="Arial" w:hAnsi="Arial" w:cs="Arial"/>
                <w:sz w:val="20"/>
                <w:szCs w:val="20"/>
                <w:lang w:val="nl-NL"/>
                <w14:ligatures w14:val="standardContextual"/>
              </w:rPr>
            </w:pPr>
            <w:r w:rsidRPr="00756913">
              <w:rPr>
                <w:rFonts w:ascii="Arial" w:hAnsi="Arial" w:cs="Arial"/>
                <w:sz w:val="20"/>
                <w:szCs w:val="20"/>
                <w:lang w:val="nl-NL"/>
                <w14:ligatures w14:val="standardContextual"/>
              </w:rPr>
              <w:t>MSM &amp; MSE net promoter score</w:t>
            </w:r>
          </w:p>
        </w:tc>
        <w:tc>
          <w:tcPr>
            <w:tcW w:w="1839" w:type="dxa"/>
            <w:tcBorders>
              <w:top w:val="nil"/>
              <w:left w:val="nil"/>
              <w:bottom w:val="nil"/>
              <w:right w:val="nil"/>
            </w:tcBorders>
            <w:vAlign w:val="center"/>
          </w:tcPr>
          <w:p w14:paraId="73840C64" w14:textId="77777777" w:rsidR="00756913" w:rsidRPr="00756913" w:rsidRDefault="00756913" w:rsidP="00756913">
            <w:pPr>
              <w:autoSpaceDE w:val="0"/>
              <w:autoSpaceDN w:val="0"/>
              <w:adjustRightInd w:val="0"/>
              <w:spacing w:before="40" w:after="0"/>
              <w:ind w:left="173" w:hanging="173"/>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71</w:t>
            </w:r>
          </w:p>
        </w:tc>
        <w:tc>
          <w:tcPr>
            <w:tcW w:w="1458" w:type="dxa"/>
            <w:tcBorders>
              <w:top w:val="nil"/>
              <w:left w:val="nil"/>
              <w:bottom w:val="nil"/>
              <w:right w:val="nil"/>
            </w:tcBorders>
            <w:vAlign w:val="center"/>
          </w:tcPr>
          <w:p w14:paraId="2BDC5B28" w14:textId="77777777" w:rsidR="00756913" w:rsidRPr="00756913" w:rsidRDefault="00756913" w:rsidP="00756913">
            <w:pPr>
              <w:autoSpaceDE w:val="0"/>
              <w:autoSpaceDN w:val="0"/>
              <w:adjustRightInd w:val="0"/>
              <w:spacing w:before="40" w:after="0"/>
              <w:ind w:left="173" w:hanging="173"/>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71</w:t>
            </w:r>
          </w:p>
        </w:tc>
      </w:tr>
      <w:tr w:rsidR="00756913" w:rsidRPr="00756913" w14:paraId="710A9F5F" w14:textId="77777777">
        <w:tblPrEx>
          <w:tblCellMar>
            <w:top w:w="0" w:type="dxa"/>
            <w:bottom w:w="0" w:type="dxa"/>
          </w:tblCellMar>
        </w:tblPrEx>
        <w:trPr>
          <w:trHeight w:val="314"/>
        </w:trPr>
        <w:tc>
          <w:tcPr>
            <w:tcW w:w="5672" w:type="dxa"/>
            <w:tcBorders>
              <w:top w:val="nil"/>
              <w:left w:val="nil"/>
              <w:bottom w:val="nil"/>
              <w:right w:val="nil"/>
            </w:tcBorders>
            <w:vAlign w:val="center"/>
          </w:tcPr>
          <w:p w14:paraId="3C50B192"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MSM &amp; Quidco active users**</w:t>
            </w:r>
          </w:p>
        </w:tc>
        <w:tc>
          <w:tcPr>
            <w:tcW w:w="1839" w:type="dxa"/>
            <w:tcBorders>
              <w:top w:val="nil"/>
              <w:left w:val="nil"/>
              <w:bottom w:val="nil"/>
              <w:right w:val="nil"/>
            </w:tcBorders>
            <w:shd w:val="clear" w:color="auto" w:fill="FFFFFF"/>
            <w:vAlign w:val="center"/>
          </w:tcPr>
          <w:p w14:paraId="7EB90122" w14:textId="77777777" w:rsidR="00756913" w:rsidRPr="00756913" w:rsidRDefault="00756913" w:rsidP="00756913">
            <w:pPr>
              <w:autoSpaceDE w:val="0"/>
              <w:autoSpaceDN w:val="0"/>
              <w:adjustRightInd w:val="0"/>
              <w:spacing w:before="40" w:after="0"/>
              <w:ind w:left="173" w:hanging="173"/>
              <w:jc w:val="right"/>
              <w:rPr>
                <w:rFonts w:ascii="Arial" w:hAnsi="Arial" w:cs="Arial"/>
                <w:color w:val="FF0000"/>
                <w:sz w:val="20"/>
                <w:szCs w:val="20"/>
                <w14:ligatures w14:val="standardContextual"/>
              </w:rPr>
            </w:pPr>
            <w:r w:rsidRPr="00756913">
              <w:rPr>
                <w:rFonts w:ascii="Arial" w:hAnsi="Arial" w:cs="Arial"/>
                <w:color w:val="000000"/>
                <w:sz w:val="20"/>
                <w:szCs w:val="20"/>
                <w14:ligatures w14:val="standardContextual"/>
              </w:rPr>
              <w:t>14.3m</w:t>
            </w:r>
          </w:p>
        </w:tc>
        <w:tc>
          <w:tcPr>
            <w:tcW w:w="1458" w:type="dxa"/>
            <w:tcBorders>
              <w:top w:val="nil"/>
              <w:left w:val="nil"/>
              <w:bottom w:val="nil"/>
              <w:right w:val="nil"/>
            </w:tcBorders>
            <w:shd w:val="clear" w:color="auto" w:fill="FFFFFF"/>
            <w:vAlign w:val="center"/>
          </w:tcPr>
          <w:p w14:paraId="1A6D600D" w14:textId="77777777" w:rsidR="00756913" w:rsidRPr="00756913" w:rsidRDefault="00756913" w:rsidP="00756913">
            <w:pPr>
              <w:autoSpaceDE w:val="0"/>
              <w:autoSpaceDN w:val="0"/>
              <w:adjustRightInd w:val="0"/>
              <w:spacing w:before="40" w:after="0"/>
              <w:ind w:left="173" w:hanging="173"/>
              <w:jc w:val="right"/>
              <w:rPr>
                <w:rFonts w:ascii="Arial" w:hAnsi="Arial" w:cs="Arial"/>
                <w:sz w:val="20"/>
                <w:szCs w:val="20"/>
                <w14:ligatures w14:val="standardContextual"/>
              </w:rPr>
            </w:pPr>
            <w:r w:rsidRPr="00756913">
              <w:rPr>
                <w:rFonts w:ascii="Arial" w:hAnsi="Arial" w:cs="Arial"/>
                <w:color w:val="000000"/>
                <w:sz w:val="20"/>
                <w:szCs w:val="20"/>
                <w14:ligatures w14:val="standardContextual"/>
              </w:rPr>
              <w:t>13.2m</w:t>
            </w:r>
          </w:p>
        </w:tc>
      </w:tr>
      <w:tr w:rsidR="00756913" w:rsidRPr="00756913" w14:paraId="5D71E319" w14:textId="77777777">
        <w:tblPrEx>
          <w:tblCellMar>
            <w:top w:w="0" w:type="dxa"/>
            <w:bottom w:w="0" w:type="dxa"/>
          </w:tblCellMar>
        </w:tblPrEx>
        <w:trPr>
          <w:trHeight w:val="314"/>
        </w:trPr>
        <w:tc>
          <w:tcPr>
            <w:tcW w:w="5672" w:type="dxa"/>
            <w:tcBorders>
              <w:top w:val="nil"/>
              <w:left w:val="nil"/>
              <w:bottom w:val="nil"/>
              <w:right w:val="nil"/>
            </w:tcBorders>
            <w:vAlign w:val="center"/>
          </w:tcPr>
          <w:p w14:paraId="3F90F8BF"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MSM &amp; Quidco revenue per active user**</w:t>
            </w:r>
          </w:p>
        </w:tc>
        <w:tc>
          <w:tcPr>
            <w:tcW w:w="1839" w:type="dxa"/>
            <w:tcBorders>
              <w:top w:val="nil"/>
              <w:left w:val="nil"/>
              <w:bottom w:val="nil"/>
              <w:right w:val="nil"/>
            </w:tcBorders>
            <w:shd w:val="clear" w:color="auto" w:fill="FFFFFF"/>
            <w:vAlign w:val="center"/>
          </w:tcPr>
          <w:p w14:paraId="37A38D55" w14:textId="77777777" w:rsidR="00756913" w:rsidRPr="00756913" w:rsidRDefault="00756913" w:rsidP="00756913">
            <w:pPr>
              <w:tabs>
                <w:tab w:val="left" w:pos="1200"/>
              </w:tabs>
              <w:autoSpaceDE w:val="0"/>
              <w:autoSpaceDN w:val="0"/>
              <w:adjustRightInd w:val="0"/>
              <w:spacing w:before="40" w:after="0"/>
              <w:jc w:val="right"/>
              <w:rPr>
                <w:rFonts w:ascii="Arial" w:hAnsi="Arial" w:cs="Arial"/>
                <w:color w:val="FF0000"/>
                <w:sz w:val="20"/>
                <w:szCs w:val="20"/>
                <w14:ligatures w14:val="standardContextual"/>
              </w:rPr>
            </w:pPr>
            <w:r w:rsidRPr="00756913">
              <w:rPr>
                <w:rFonts w:ascii="Arial" w:hAnsi="Arial" w:cs="Arial"/>
                <w:color w:val="000000"/>
                <w:sz w:val="20"/>
                <w:szCs w:val="20"/>
                <w14:ligatures w14:val="standardContextual"/>
              </w:rPr>
              <w:t>£18.24</w:t>
            </w:r>
          </w:p>
        </w:tc>
        <w:tc>
          <w:tcPr>
            <w:tcW w:w="1458" w:type="dxa"/>
            <w:tcBorders>
              <w:top w:val="nil"/>
              <w:left w:val="nil"/>
              <w:bottom w:val="nil"/>
              <w:right w:val="nil"/>
            </w:tcBorders>
            <w:shd w:val="clear" w:color="auto" w:fill="FFFFFF"/>
            <w:vAlign w:val="center"/>
          </w:tcPr>
          <w:p w14:paraId="1871B678" w14:textId="77777777" w:rsidR="00756913" w:rsidRPr="00756913" w:rsidRDefault="00756913" w:rsidP="00756913">
            <w:pPr>
              <w:autoSpaceDE w:val="0"/>
              <w:autoSpaceDN w:val="0"/>
              <w:adjustRightInd w:val="0"/>
              <w:spacing w:before="40" w:after="0"/>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£17.38</w:t>
            </w:r>
          </w:p>
        </w:tc>
      </w:tr>
      <w:tr w:rsidR="00756913" w:rsidRPr="00756913" w14:paraId="2BB92EC0" w14:textId="77777777">
        <w:tblPrEx>
          <w:tblCellMar>
            <w:top w:w="0" w:type="dxa"/>
            <w:bottom w:w="0" w:type="dxa"/>
          </w:tblCellMar>
        </w:tblPrEx>
        <w:trPr>
          <w:trHeight w:val="329"/>
        </w:trPr>
        <w:tc>
          <w:tcPr>
            <w:tcW w:w="5672" w:type="dxa"/>
            <w:tcBorders>
              <w:top w:val="nil"/>
              <w:left w:val="nil"/>
              <w:bottom w:val="single" w:sz="4" w:space="0" w:color="auto"/>
              <w:right w:val="nil"/>
            </w:tcBorders>
          </w:tcPr>
          <w:p w14:paraId="75221730"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MSM cross-channel enquiry</w:t>
            </w:r>
          </w:p>
        </w:tc>
        <w:tc>
          <w:tcPr>
            <w:tcW w:w="1839" w:type="dxa"/>
            <w:tcBorders>
              <w:top w:val="nil"/>
              <w:left w:val="nil"/>
              <w:bottom w:val="single" w:sz="4" w:space="0" w:color="auto"/>
              <w:right w:val="nil"/>
            </w:tcBorders>
            <w:shd w:val="clear" w:color="auto" w:fill="FFFFFF"/>
          </w:tcPr>
          <w:p w14:paraId="37E075DD" w14:textId="77777777" w:rsidR="00756913" w:rsidRPr="00756913" w:rsidRDefault="00756913" w:rsidP="00756913">
            <w:pPr>
              <w:autoSpaceDE w:val="0"/>
              <w:autoSpaceDN w:val="0"/>
              <w:adjustRightInd w:val="0"/>
              <w:spacing w:before="40" w:after="0"/>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23.9%</w:t>
            </w:r>
          </w:p>
        </w:tc>
        <w:tc>
          <w:tcPr>
            <w:tcW w:w="1458" w:type="dxa"/>
            <w:tcBorders>
              <w:top w:val="nil"/>
              <w:left w:val="nil"/>
              <w:bottom w:val="single" w:sz="4" w:space="0" w:color="auto"/>
              <w:right w:val="nil"/>
            </w:tcBorders>
            <w:shd w:val="clear" w:color="auto" w:fill="FFFFFF"/>
          </w:tcPr>
          <w:p w14:paraId="391668A4" w14:textId="77777777" w:rsidR="00756913" w:rsidRPr="00756913" w:rsidRDefault="00756913" w:rsidP="00756913">
            <w:pPr>
              <w:autoSpaceDE w:val="0"/>
              <w:autoSpaceDN w:val="0"/>
              <w:adjustRightInd w:val="0"/>
              <w:spacing w:before="40" w:after="0"/>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23.3%</w:t>
            </w:r>
          </w:p>
        </w:tc>
      </w:tr>
    </w:tbl>
    <w:p w14:paraId="7A43470D" w14:textId="77777777" w:rsidR="00756913" w:rsidRPr="00756913" w:rsidRDefault="00756913" w:rsidP="00756913">
      <w:pPr>
        <w:autoSpaceDE w:val="0"/>
        <w:autoSpaceDN w:val="0"/>
        <w:adjustRightInd w:val="0"/>
        <w:spacing w:after="0" w:line="240" w:lineRule="auto"/>
        <w:ind w:left="2160" w:hanging="2160"/>
        <w:rPr>
          <w:rFonts w:ascii="Arial" w:hAnsi="Arial" w:cs="Arial"/>
          <w:color w:val="FF0000"/>
          <w:sz w:val="16"/>
          <w:szCs w:val="16"/>
          <w14:ligatures w14:val="standardContextual"/>
        </w:rPr>
      </w:pPr>
    </w:p>
    <w:p w14:paraId="0209AC9F" w14:textId="77777777" w:rsidR="00756913" w:rsidRPr="00756913" w:rsidRDefault="00756913" w:rsidP="00756913">
      <w:pPr>
        <w:autoSpaceDE w:val="0"/>
        <w:autoSpaceDN w:val="0"/>
        <w:adjustRightInd w:val="0"/>
        <w:spacing w:after="0" w:line="240" w:lineRule="auto"/>
        <w:ind w:left="2160" w:hanging="2160"/>
        <w:rPr>
          <w:rFonts w:ascii="Arial" w:hAnsi="Arial" w:cs="Arial"/>
          <w:color w:val="FF0000"/>
          <w:sz w:val="16"/>
          <w:szCs w:val="16"/>
          <w14:ligatures w14:val="standardContextual"/>
        </w:rPr>
      </w:pPr>
    </w:p>
    <w:p w14:paraId="482FFCA5"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Estimated Group customer savings: </w:t>
      </w:r>
      <w:r w:rsidRPr="00756913">
        <w:rPr>
          <w:rFonts w:ascii="Aptos" w:hAnsi="Aptos" w:cs="Aptos"/>
          <w:color w:val="000000"/>
          <w:sz w:val="24"/>
          <w:szCs w:val="24"/>
          <w14:ligatures w14:val="standardContextual"/>
        </w:rPr>
        <w:tab/>
      </w:r>
      <w:r w:rsidRPr="00756913">
        <w:rPr>
          <w:rFonts w:ascii="Arial" w:hAnsi="Arial" w:cs="Arial"/>
          <w:sz w:val="16"/>
          <w:szCs w:val="16"/>
          <w14:ligatures w14:val="standardContextual"/>
        </w:rPr>
        <w:t xml:space="preserve">This is calculated by multiplying sales volume by the market average price per product </w:t>
      </w:r>
    </w:p>
    <w:p w14:paraId="73FC1836" w14:textId="77777777" w:rsidR="00756913" w:rsidRPr="00756913" w:rsidRDefault="00756913" w:rsidP="00756913">
      <w:pPr>
        <w:autoSpaceDE w:val="0"/>
        <w:autoSpaceDN w:val="0"/>
        <w:adjustRightInd w:val="0"/>
        <w:spacing w:after="0" w:line="240" w:lineRule="auto"/>
        <w:ind w:left="2880"/>
        <w:jc w:val="both"/>
        <w:rPr>
          <w:rFonts w:ascii="Arial" w:hAnsi="Arial" w:cs="Arial"/>
          <w:sz w:val="16"/>
          <w:szCs w:val="16"/>
          <w14:ligatures w14:val="standardContextual"/>
        </w:rPr>
      </w:pPr>
      <w:r w:rsidRPr="00756913">
        <w:rPr>
          <w:rFonts w:ascii="Arial" w:hAnsi="Arial" w:cs="Arial"/>
          <w:sz w:val="16"/>
          <w:szCs w:val="16"/>
          <w14:ligatures w14:val="standardContextual"/>
        </w:rPr>
        <w:t>based on external data compared to the cheapest deal in the results table for core channels. Savings for non-core channels are estimated by applying the savings for core channels proportionally to non-core revenue. The cashback earned by Quidco members is included in this KPI.</w:t>
      </w:r>
    </w:p>
    <w:p w14:paraId="2939D165" w14:textId="77777777" w:rsidR="00756913" w:rsidRPr="00756913" w:rsidRDefault="00756913" w:rsidP="00756913">
      <w:pPr>
        <w:autoSpaceDE w:val="0"/>
        <w:autoSpaceDN w:val="0"/>
        <w:adjustRightInd w:val="0"/>
        <w:spacing w:after="0" w:line="240" w:lineRule="auto"/>
        <w:ind w:left="2880"/>
        <w:jc w:val="both"/>
        <w:rPr>
          <w:rFonts w:ascii="Arial" w:hAnsi="Arial" w:cs="Arial"/>
          <w:sz w:val="16"/>
          <w:szCs w:val="16"/>
          <w14:ligatures w14:val="standardContextual"/>
        </w:rPr>
      </w:pPr>
    </w:p>
    <w:p w14:paraId="2A22DA3F"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Group marketing margin: </w:t>
      </w:r>
      <w:r w:rsidRPr="00756913">
        <w:rPr>
          <w:rFonts w:ascii="Arial" w:hAnsi="Arial" w:cs="Arial"/>
          <w:sz w:val="16"/>
          <w:szCs w:val="16"/>
          <w14:ligatures w14:val="standardContextual"/>
        </w:rPr>
        <w:tab/>
      </w:r>
      <w:r w:rsidRPr="00756913">
        <w:rPr>
          <w:rFonts w:ascii="Arial" w:hAnsi="Arial" w:cs="Arial"/>
          <w:sz w:val="16"/>
          <w:szCs w:val="16"/>
          <w14:ligatures w14:val="standardContextual"/>
        </w:rPr>
        <w:tab/>
        <w:t xml:space="preserve">The inverse relationship between Group revenue and total marketing spend </w:t>
      </w:r>
    </w:p>
    <w:p w14:paraId="161B7277" w14:textId="77777777" w:rsidR="00756913" w:rsidRPr="00756913" w:rsidRDefault="00756913" w:rsidP="00756913">
      <w:pPr>
        <w:autoSpaceDE w:val="0"/>
        <w:autoSpaceDN w:val="0"/>
        <w:adjustRightInd w:val="0"/>
        <w:spacing w:after="0" w:line="240" w:lineRule="auto"/>
        <w:ind w:left="2160" w:firstLine="72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represented as a percentage. Total marketing spend is the direct cost of sales plus </w:t>
      </w:r>
    </w:p>
    <w:p w14:paraId="3602EEF6" w14:textId="77777777" w:rsidR="00756913" w:rsidRPr="00756913" w:rsidRDefault="00756913" w:rsidP="00756913">
      <w:pPr>
        <w:autoSpaceDE w:val="0"/>
        <w:autoSpaceDN w:val="0"/>
        <w:adjustRightInd w:val="0"/>
        <w:spacing w:after="0" w:line="240" w:lineRule="auto"/>
        <w:ind w:left="2160" w:firstLine="72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distribution expenses. </w:t>
      </w:r>
    </w:p>
    <w:p w14:paraId="299621E5" w14:textId="77777777" w:rsidR="00756913" w:rsidRPr="00756913" w:rsidRDefault="00756913" w:rsidP="00756913">
      <w:pPr>
        <w:autoSpaceDE w:val="0"/>
        <w:autoSpaceDN w:val="0"/>
        <w:adjustRightInd w:val="0"/>
        <w:spacing w:after="0" w:line="240" w:lineRule="auto"/>
        <w:ind w:left="2160" w:firstLine="720"/>
        <w:jc w:val="both"/>
        <w:rPr>
          <w:rFonts w:ascii="Arial" w:hAnsi="Arial" w:cs="Arial"/>
          <w:sz w:val="16"/>
          <w:szCs w:val="16"/>
          <w14:ligatures w14:val="standardContextual"/>
        </w:rPr>
      </w:pPr>
    </w:p>
    <w:p w14:paraId="7F9F0F73" w14:textId="77777777" w:rsidR="00756913" w:rsidRPr="00756913" w:rsidRDefault="00756913" w:rsidP="00756913">
      <w:pPr>
        <w:autoSpaceDE w:val="0"/>
        <w:autoSpaceDN w:val="0"/>
        <w:adjustRightInd w:val="0"/>
        <w:spacing w:after="0" w:line="240" w:lineRule="auto"/>
        <w:ind w:left="2880" w:hanging="288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MSM &amp; MSE net promoter score: </w:t>
      </w:r>
      <w:r w:rsidRPr="00756913">
        <w:rPr>
          <w:rFonts w:ascii="Arial" w:hAnsi="Arial" w:cs="Arial"/>
          <w:sz w:val="16"/>
          <w:szCs w:val="16"/>
          <w14:ligatures w14:val="standardContextual"/>
        </w:rPr>
        <w:tab/>
        <w:t xml:space="preserve">The 12 monthly rolling average NPS (1 July 2023 - 30 June 2024 inclusive) measured </w:t>
      </w:r>
    </w:p>
    <w:p w14:paraId="1420B700" w14:textId="77777777" w:rsidR="00756913" w:rsidRPr="00756913" w:rsidRDefault="00756913" w:rsidP="00756913">
      <w:pPr>
        <w:autoSpaceDE w:val="0"/>
        <w:autoSpaceDN w:val="0"/>
        <w:adjustRightInd w:val="0"/>
        <w:spacing w:after="0" w:line="240" w:lineRule="auto"/>
        <w:ind w:left="2160" w:firstLine="72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by YouGov Brand Index service Recommend Score weighted by revenue for MSM and </w:t>
      </w:r>
    </w:p>
    <w:p w14:paraId="4619372B" w14:textId="77777777" w:rsidR="00756913" w:rsidRPr="00756913" w:rsidRDefault="00756913" w:rsidP="00756913">
      <w:pPr>
        <w:autoSpaceDE w:val="0"/>
        <w:autoSpaceDN w:val="0"/>
        <w:adjustRightInd w:val="0"/>
        <w:spacing w:after="0" w:line="240" w:lineRule="auto"/>
        <w:ind w:left="2160" w:firstLine="720"/>
        <w:jc w:val="both"/>
        <w:rPr>
          <w:rFonts w:ascii="Arial" w:hAnsi="Arial" w:cs="Arial"/>
          <w:sz w:val="16"/>
          <w:szCs w:val="16"/>
          <w14:ligatures w14:val="standardContextual"/>
        </w:rPr>
      </w:pPr>
      <w:r w:rsidRPr="00756913">
        <w:rPr>
          <w:rFonts w:ascii="Arial" w:hAnsi="Arial" w:cs="Arial"/>
          <w:sz w:val="16"/>
          <w:szCs w:val="16"/>
          <w14:ligatures w14:val="standardContextual"/>
        </w:rPr>
        <w:t>MSE to create a combined NPS.</w:t>
      </w:r>
    </w:p>
    <w:p w14:paraId="506640FD"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p>
    <w:p w14:paraId="7DD817FA"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MSM &amp; Quidco active users: </w:t>
      </w:r>
      <w:r w:rsidRPr="00756913">
        <w:rPr>
          <w:rFonts w:ascii="Arial" w:hAnsi="Arial" w:cs="Arial"/>
          <w:sz w:val="16"/>
          <w:szCs w:val="16"/>
          <w14:ligatures w14:val="standardContextual"/>
        </w:rPr>
        <w:tab/>
      </w:r>
      <w:r w:rsidRPr="00756913">
        <w:rPr>
          <w:rFonts w:ascii="Arial" w:hAnsi="Arial" w:cs="Arial"/>
          <w:sz w:val="16"/>
          <w:szCs w:val="16"/>
          <w14:ligatures w14:val="standardContextual"/>
        </w:rPr>
        <w:tab/>
        <w:t xml:space="preserve">The number of unique MSM accounts running enquiries on MSM (car insurance, home </w:t>
      </w:r>
    </w:p>
    <w:p w14:paraId="661CCB80" w14:textId="77777777" w:rsidR="00756913" w:rsidRPr="00756913" w:rsidRDefault="00756913" w:rsidP="00756913">
      <w:pPr>
        <w:autoSpaceDE w:val="0"/>
        <w:autoSpaceDN w:val="0"/>
        <w:adjustRightInd w:val="0"/>
        <w:spacing w:after="0" w:line="240" w:lineRule="auto"/>
        <w:ind w:left="2160" w:firstLine="72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insurance, life insurance, travel insurance, pet insurance, van insurance, credit cards, </w:t>
      </w:r>
    </w:p>
    <w:p w14:paraId="79B7ED1A" w14:textId="77777777" w:rsidR="00756913" w:rsidRPr="00756913" w:rsidRDefault="00756913" w:rsidP="00756913">
      <w:pPr>
        <w:autoSpaceDE w:val="0"/>
        <w:autoSpaceDN w:val="0"/>
        <w:adjustRightInd w:val="0"/>
        <w:spacing w:after="0" w:line="240" w:lineRule="auto"/>
        <w:ind w:left="2160" w:firstLine="72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loans and energy channels) in the last 12-month period, plus the number of unique </w:t>
      </w:r>
    </w:p>
    <w:p w14:paraId="200FE519" w14:textId="77777777" w:rsidR="00756913" w:rsidRPr="00756913" w:rsidRDefault="00756913" w:rsidP="00756913">
      <w:pPr>
        <w:autoSpaceDE w:val="0"/>
        <w:autoSpaceDN w:val="0"/>
        <w:adjustRightInd w:val="0"/>
        <w:spacing w:after="0" w:line="240" w:lineRule="auto"/>
        <w:ind w:left="2160" w:firstLine="72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Quidco members making a purchase in the last 12-month period. </w:t>
      </w:r>
    </w:p>
    <w:p w14:paraId="1CD4C43B" w14:textId="77777777" w:rsidR="00756913" w:rsidRPr="00756913" w:rsidRDefault="00756913" w:rsidP="00756913">
      <w:pPr>
        <w:autoSpaceDE w:val="0"/>
        <w:autoSpaceDN w:val="0"/>
        <w:adjustRightInd w:val="0"/>
        <w:spacing w:after="0" w:line="240" w:lineRule="auto"/>
        <w:ind w:left="2160" w:firstLine="720"/>
        <w:jc w:val="both"/>
        <w:rPr>
          <w:rFonts w:ascii="Arial" w:hAnsi="Arial" w:cs="Arial"/>
          <w:sz w:val="16"/>
          <w:szCs w:val="16"/>
          <w14:ligatures w14:val="standardContextual"/>
        </w:rPr>
      </w:pPr>
    </w:p>
    <w:p w14:paraId="2978BE3D" w14:textId="77777777" w:rsidR="00756913" w:rsidRPr="00756913" w:rsidRDefault="00756913" w:rsidP="00756913">
      <w:pPr>
        <w:autoSpaceDE w:val="0"/>
        <w:autoSpaceDN w:val="0"/>
        <w:adjustRightInd w:val="0"/>
        <w:spacing w:after="0" w:line="240" w:lineRule="auto"/>
        <w:ind w:left="2880" w:hanging="2880"/>
        <w:rPr>
          <w:rFonts w:ascii="Arial" w:hAnsi="Arial" w:cs="Arial"/>
          <w:sz w:val="16"/>
          <w:szCs w:val="16"/>
          <w14:ligatures w14:val="standardContextual"/>
        </w:rPr>
      </w:pPr>
      <w:r w:rsidRPr="00756913">
        <w:rPr>
          <w:rFonts w:ascii="Arial" w:hAnsi="Arial" w:cs="Arial"/>
          <w:sz w:val="16"/>
          <w:szCs w:val="16"/>
          <w14:ligatures w14:val="standardContextual"/>
        </w:rPr>
        <w:t xml:space="preserve">MSM &amp; Quidco revenue per active user: The revenue for MSM channels (car insurance, home insurance, life insurance, travel insurance, pet insurance, van insurance, credit cards, loans and energy channels) plus </w:t>
      </w:r>
    </w:p>
    <w:p w14:paraId="1826E37C" w14:textId="77777777" w:rsidR="00756913" w:rsidRPr="00756913" w:rsidRDefault="00756913" w:rsidP="00756913">
      <w:pPr>
        <w:autoSpaceDE w:val="0"/>
        <w:autoSpaceDN w:val="0"/>
        <w:adjustRightInd w:val="0"/>
        <w:spacing w:after="0" w:line="240" w:lineRule="auto"/>
        <w:ind w:left="5760" w:hanging="2880"/>
        <w:rPr>
          <w:rFonts w:ascii="Arial" w:hAnsi="Arial" w:cs="Arial"/>
          <w:sz w:val="16"/>
          <w:szCs w:val="16"/>
          <w14:ligatures w14:val="standardContextual"/>
        </w:rPr>
      </w:pPr>
      <w:r w:rsidRPr="00756913">
        <w:rPr>
          <w:rFonts w:ascii="Arial" w:hAnsi="Arial" w:cs="Arial"/>
          <w:sz w:val="16"/>
          <w:szCs w:val="16"/>
          <w14:ligatures w14:val="standardContextual"/>
        </w:rPr>
        <w:t xml:space="preserve">Quidco revenue net of member commission divided by the number of MSM and Quidco </w:t>
      </w:r>
    </w:p>
    <w:p w14:paraId="26F1BDCD" w14:textId="77777777" w:rsidR="00756913" w:rsidRPr="00756913" w:rsidRDefault="00756913" w:rsidP="00756913">
      <w:pPr>
        <w:autoSpaceDE w:val="0"/>
        <w:autoSpaceDN w:val="0"/>
        <w:adjustRightInd w:val="0"/>
        <w:spacing w:after="0" w:line="240" w:lineRule="auto"/>
        <w:ind w:left="5760" w:hanging="2880"/>
        <w:rPr>
          <w:rFonts w:ascii="Arial" w:hAnsi="Arial" w:cs="Arial"/>
          <w:sz w:val="16"/>
          <w:szCs w:val="16"/>
          <w14:ligatures w14:val="standardContextual"/>
        </w:rPr>
      </w:pPr>
      <w:r w:rsidRPr="00756913">
        <w:rPr>
          <w:rFonts w:ascii="Arial" w:hAnsi="Arial" w:cs="Arial"/>
          <w:sz w:val="16"/>
          <w:szCs w:val="16"/>
          <w14:ligatures w14:val="standardContextual"/>
        </w:rPr>
        <w:t>active users for the last 12 months.</w:t>
      </w:r>
    </w:p>
    <w:p w14:paraId="230B2C54"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p>
    <w:p w14:paraId="7EB05799"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MSM cross-channel enquiry: </w:t>
      </w:r>
      <w:r w:rsidRPr="00756913">
        <w:rPr>
          <w:rFonts w:ascii="Arial" w:hAnsi="Arial" w:cs="Arial"/>
          <w:sz w:val="16"/>
          <w:szCs w:val="16"/>
          <w14:ligatures w14:val="standardContextual"/>
        </w:rPr>
        <w:tab/>
      </w:r>
      <w:r w:rsidRPr="00756913">
        <w:rPr>
          <w:rFonts w:ascii="Arial" w:hAnsi="Arial" w:cs="Arial"/>
          <w:sz w:val="16"/>
          <w:szCs w:val="16"/>
          <w14:ligatures w14:val="standardContextual"/>
        </w:rPr>
        <w:tab/>
        <w:t xml:space="preserve">The proportion of MSM active users that enquire in more than one channel (car </w:t>
      </w:r>
    </w:p>
    <w:p w14:paraId="4E1D748E" w14:textId="77777777" w:rsidR="00756913" w:rsidRPr="00756913" w:rsidRDefault="00756913" w:rsidP="00756913">
      <w:pPr>
        <w:autoSpaceDE w:val="0"/>
        <w:autoSpaceDN w:val="0"/>
        <w:adjustRightInd w:val="0"/>
        <w:spacing w:after="0" w:line="240" w:lineRule="auto"/>
        <w:ind w:left="2880"/>
        <w:jc w:val="both"/>
        <w:rPr>
          <w:rFonts w:ascii="Arial" w:hAnsi="Arial" w:cs="Arial"/>
          <w:color w:val="FF0000"/>
          <w:sz w:val="16"/>
          <w:szCs w:val="16"/>
          <w14:ligatures w14:val="standardContextual"/>
        </w:rPr>
      </w:pPr>
      <w:r w:rsidRPr="00756913">
        <w:rPr>
          <w:rFonts w:ascii="Arial" w:hAnsi="Arial" w:cs="Arial"/>
          <w:sz w:val="16"/>
          <w:szCs w:val="16"/>
          <w14:ligatures w14:val="standardContextual"/>
        </w:rPr>
        <w:t>insurance, home insurance, life insurance, travel insurance, pet insurance, van insurance, credit cards, loans and energy) within a 12-month period.</w:t>
      </w:r>
    </w:p>
    <w:p w14:paraId="5B0D3BAF" w14:textId="77777777" w:rsidR="00756913" w:rsidRPr="00756913" w:rsidRDefault="00756913" w:rsidP="00756913">
      <w:pPr>
        <w:autoSpaceDE w:val="0"/>
        <w:autoSpaceDN w:val="0"/>
        <w:adjustRightInd w:val="0"/>
        <w:spacing w:after="0" w:line="240" w:lineRule="auto"/>
        <w:ind w:left="2160" w:hanging="2160"/>
        <w:rPr>
          <w:rFonts w:ascii="Arial" w:hAnsi="Arial" w:cs="Arial"/>
          <w:color w:val="FF0000"/>
          <w:sz w:val="16"/>
          <w:szCs w:val="16"/>
          <w14:ligatures w14:val="standardContextual"/>
        </w:rPr>
      </w:pPr>
    </w:p>
    <w:p w14:paraId="25B78915" w14:textId="77777777" w:rsidR="00756913" w:rsidRPr="00756913" w:rsidRDefault="00756913" w:rsidP="00756913">
      <w:pPr>
        <w:autoSpaceDE w:val="0"/>
        <w:autoSpaceDN w:val="0"/>
        <w:adjustRightInd w:val="0"/>
        <w:spacing w:after="0" w:line="240" w:lineRule="auto"/>
        <w:ind w:left="2160" w:hanging="2160"/>
        <w:rPr>
          <w:rFonts w:ascii="Arial" w:hAnsi="Arial" w:cs="Arial"/>
          <w:color w:val="FF0000"/>
          <w:sz w:val="16"/>
          <w:szCs w:val="16"/>
          <w14:ligatures w14:val="standardContextual"/>
        </w:rPr>
      </w:pPr>
    </w:p>
    <w:p w14:paraId="0D12C2AC"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*Marketing spend for the period is £90m (2023: £89m).</w:t>
      </w:r>
    </w:p>
    <w:p w14:paraId="23C3045F"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p>
    <w:p w14:paraId="0B8B79B8"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**At the end of 2023 we extended our definition of active users to reflect the development of the business by including Quidco</w:t>
      </w:r>
    </w:p>
    <w:p w14:paraId="00C94D15"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and 3 additional MSM channels where enquiry data is available. Comparatives for active users and revenue per active user in</w:t>
      </w:r>
    </w:p>
    <w:p w14:paraId="459ECBD0"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the above table have been restated to reflect this change.</w:t>
      </w:r>
    </w:p>
    <w:p w14:paraId="77FDB258"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p>
    <w:p w14:paraId="5AAFBFB8"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KPI definitions reflect the parts of the Group most relevant for assessing its performance and where data is available: NPS </w:t>
      </w:r>
    </w:p>
    <w:p w14:paraId="235AE976"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includes our two biggest consumer brands. Active users is most relevant for MSM and Quidco where user accounts are </w:t>
      </w:r>
    </w:p>
    <w:p w14:paraId="71BB11C1"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 xml:space="preserve">identified as a key part of the transactional journey. Cross-channel enquiry relates only to MSM as this metric is aligned to our </w:t>
      </w:r>
    </w:p>
    <w:p w14:paraId="30A51AAA" w14:textId="77777777" w:rsidR="00756913" w:rsidRPr="00756913" w:rsidRDefault="00756913" w:rsidP="00756913">
      <w:pPr>
        <w:autoSpaceDE w:val="0"/>
        <w:autoSpaceDN w:val="0"/>
        <w:adjustRightInd w:val="0"/>
        <w:spacing w:after="0" w:line="240" w:lineRule="auto"/>
        <w:ind w:left="2160" w:hanging="2160"/>
        <w:jc w:val="both"/>
        <w:rPr>
          <w:rFonts w:ascii="Arial" w:hAnsi="Arial" w:cs="Arial"/>
          <w:sz w:val="16"/>
          <w:szCs w:val="16"/>
          <w14:ligatures w14:val="standardContextual"/>
        </w:rPr>
      </w:pPr>
      <w:r w:rsidRPr="00756913">
        <w:rPr>
          <w:rFonts w:ascii="Arial" w:hAnsi="Arial" w:cs="Arial"/>
          <w:sz w:val="16"/>
          <w:szCs w:val="16"/>
          <w14:ligatures w14:val="standardContextual"/>
        </w:rPr>
        <w:t>aim of offering more products to users as part of our retain and grow strategy.</w:t>
      </w:r>
    </w:p>
    <w:p w14:paraId="48FCC7D8" w14:textId="77777777" w:rsidR="00756913" w:rsidRPr="00756913" w:rsidRDefault="00756913" w:rsidP="00756913">
      <w:pPr>
        <w:autoSpaceDE w:val="0"/>
        <w:autoSpaceDN w:val="0"/>
        <w:adjustRightInd w:val="0"/>
        <w:spacing w:after="0" w:line="240" w:lineRule="auto"/>
        <w:ind w:left="2160" w:hanging="2160"/>
        <w:rPr>
          <w:rFonts w:ascii="Arial" w:hAnsi="Arial" w:cs="Arial"/>
          <w:sz w:val="16"/>
          <w:szCs w:val="16"/>
          <w14:ligatures w14:val="standardContextual"/>
        </w:rPr>
      </w:pPr>
    </w:p>
    <w:p w14:paraId="248B8C60"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Estimated customer savings increased to £1.7bn in the half driven </w:t>
      </w:r>
      <w:r w:rsidRPr="00756913">
        <w:rPr>
          <w:rFonts w:ascii="Arial" w:hAnsi="Arial" w:cs="Arial"/>
          <w:sz w:val="20"/>
          <w:szCs w:val="20"/>
          <w:lang w:val="en-US"/>
          <w14:ligatures w14:val="standardContextual"/>
        </w:rPr>
        <w:t>by growth in car insurance switching volumes and savings per sale for car insurance customers.</w:t>
      </w:r>
    </w:p>
    <w:p w14:paraId="18950FBA"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The increase in marketing margin reflects movements in gross margin, described below, and lower marketing spend in the first half of 2024.</w:t>
      </w:r>
    </w:p>
    <w:p w14:paraId="298905AC"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Trust and satisfaction in our brands remained strong with NPS unchanged at 71.</w:t>
      </w:r>
    </w:p>
    <w:p w14:paraId="08AB6CAE"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Active user numbers rose by 1.1m to 14.3m driven by strong car and home insurance performance, partly offset by continued decline in energy enquiries as the energy switching market remained subdued.</w:t>
      </w:r>
    </w:p>
    <w:p w14:paraId="337516D8"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Revenue per active user grew by 86p to £18.24 due to a mix away from energy, improved borrowing conversion, and from higher multichannel activity.</w:t>
      </w:r>
    </w:p>
    <w:p w14:paraId="2DFA28D2"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The cross-channel enquiry rate increased 0.6%pts to 23.9%, assisted by the growth of SuperSaveClub members.</w:t>
      </w:r>
    </w:p>
    <w:p w14:paraId="70FCDDA6" w14:textId="77777777" w:rsidR="00756913" w:rsidRPr="00756913" w:rsidRDefault="00756913" w:rsidP="00756913">
      <w:pPr>
        <w:autoSpaceDE w:val="0"/>
        <w:autoSpaceDN w:val="0"/>
        <w:adjustRightInd w:val="0"/>
        <w:spacing w:before="160" w:after="0" w:line="240" w:lineRule="auto"/>
        <w:jc w:val="both"/>
        <w:rPr>
          <w:rFonts w:ascii="Arial" w:hAnsi="Arial" w:cs="Arial"/>
          <w:b/>
          <w:bCs/>
          <w:color w:val="FF0000"/>
          <w:sz w:val="20"/>
          <w:szCs w:val="20"/>
          <w:lang w:val="en-US"/>
          <w14:ligatures w14:val="standardContextual"/>
        </w:rPr>
      </w:pPr>
    </w:p>
    <w:p w14:paraId="2FD00F95" w14:textId="77777777" w:rsidR="00756913" w:rsidRPr="00756913" w:rsidRDefault="00756913" w:rsidP="00756913">
      <w:pPr>
        <w:autoSpaceDE w:val="0"/>
        <w:autoSpaceDN w:val="0"/>
        <w:adjustRightInd w:val="0"/>
        <w:rPr>
          <w:rFonts w:ascii="Arial" w:hAnsi="Arial" w:cs="Arial"/>
          <w:b/>
          <w:bCs/>
          <w:sz w:val="20"/>
          <w:szCs w:val="20"/>
          <w14:ligatures w14:val="standardContextual"/>
        </w:rPr>
      </w:pPr>
      <w:r w:rsidRPr="00756913">
        <w:rPr>
          <w:rFonts w:ascii="Arial" w:hAnsi="Arial" w:cs="Arial"/>
          <w:b/>
          <w:bCs/>
          <w:sz w:val="20"/>
          <w:szCs w:val="20"/>
          <w14:ligatures w14:val="standardContextual"/>
        </w:rPr>
        <w:t>Financial review</w:t>
      </w:r>
    </w:p>
    <w:p w14:paraId="5BF29EB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b/>
          <w:bCs/>
          <w:sz w:val="20"/>
          <w:szCs w:val="20"/>
          <w14:ligatures w14:val="standardContextual"/>
        </w:rPr>
      </w:pPr>
      <w:r w:rsidRPr="00756913">
        <w:rPr>
          <w:rFonts w:ascii="Arial" w:hAnsi="Arial" w:cs="Arial"/>
          <w:sz w:val="20"/>
          <w:szCs w:val="20"/>
          <w14:ligatures w14:val="standardContextual"/>
        </w:rPr>
        <w:t>Group revenue increased 5% to £223.5m (2023: £213.8m), with profit after tax increasing 8% to £44.1m (2023: £41.0m). When reviewing performance, the Board reviews several adjusted measures, including EBITDA which increased 8% to £73.0m (2023: £67.7m) and basic adjusted EPS which increased 6% to 8.8p (2023: 8.3p), as shown in the table below.</w:t>
      </w:r>
    </w:p>
    <w:p w14:paraId="05BFDFA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b/>
          <w:bCs/>
          <w:color w:val="FF0000"/>
          <w:sz w:val="20"/>
          <w:szCs w:val="20"/>
          <w14:ligatures w14:val="standardContextual"/>
        </w:rPr>
      </w:pPr>
    </w:p>
    <w:p w14:paraId="2CF39EE0" w14:textId="77777777" w:rsidR="00756913" w:rsidRPr="00756913" w:rsidRDefault="00756913" w:rsidP="00756913">
      <w:pPr>
        <w:autoSpaceDE w:val="0"/>
        <w:autoSpaceDN w:val="0"/>
        <w:adjustRightInd w:val="0"/>
        <w:rPr>
          <w:rFonts w:ascii="Arial" w:hAnsi="Arial" w:cs="Arial"/>
          <w:b/>
          <w:bCs/>
          <w:sz w:val="20"/>
          <w:szCs w:val="20"/>
          <w14:ligatures w14:val="standardContextual"/>
        </w:rPr>
      </w:pPr>
      <w:r w:rsidRPr="00756913">
        <w:rPr>
          <w:rFonts w:ascii="Arial" w:hAnsi="Arial" w:cs="Arial"/>
          <w:b/>
          <w:bCs/>
          <w:sz w:val="20"/>
          <w:szCs w:val="20"/>
          <w14:ligatures w14:val="standardContextual"/>
        </w:rPr>
        <w:t>Extract from the Consolidated Statement of Comprehensive Income</w:t>
      </w:r>
    </w:p>
    <w:p w14:paraId="1922BA5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b/>
          <w:bCs/>
          <w:sz w:val="20"/>
          <w:szCs w:val="20"/>
          <w14:ligatures w14:val="standardContextual"/>
        </w:rPr>
      </w:pPr>
      <w:r w:rsidRPr="00756913">
        <w:rPr>
          <w:rFonts w:ascii="Arial" w:hAnsi="Arial" w:cs="Arial"/>
          <w:i/>
          <w:iCs/>
          <w:sz w:val="20"/>
          <w:szCs w:val="20"/>
          <w14:ligatures w14:val="standardContextual"/>
        </w:rPr>
        <w:t>for the six months ended 30 June 2024 and 30 June 2023</w:t>
      </w:r>
    </w:p>
    <w:tbl>
      <w:tblPr>
        <w:tblW w:w="0" w:type="auto"/>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5012"/>
        <w:gridCol w:w="256"/>
        <w:gridCol w:w="1381"/>
        <w:gridCol w:w="15"/>
        <w:gridCol w:w="1277"/>
        <w:gridCol w:w="44"/>
        <w:gridCol w:w="1018"/>
        <w:gridCol w:w="69"/>
      </w:tblGrid>
      <w:tr w:rsidR="00756913" w:rsidRPr="00756913" w14:paraId="1CC85276" w14:textId="77777777">
        <w:tblPrEx>
          <w:tblCellMar>
            <w:top w:w="0" w:type="dxa"/>
            <w:bottom w:w="0" w:type="dxa"/>
          </w:tblCellMar>
        </w:tblPrEx>
        <w:trPr>
          <w:gridAfter w:val="1"/>
          <w:wAfter w:w="69" w:type="dxa"/>
        </w:trPr>
        <w:tc>
          <w:tcPr>
            <w:tcW w:w="5012" w:type="dxa"/>
            <w:tcBorders>
              <w:top w:val="nil"/>
              <w:left w:val="nil"/>
              <w:bottom w:val="nil"/>
              <w:right w:val="nil"/>
            </w:tcBorders>
            <w:vAlign w:val="bottom"/>
          </w:tcPr>
          <w:p w14:paraId="6454441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i/>
                <w:iCs/>
                <w:color w:val="FF0000"/>
                <w:sz w:val="20"/>
                <w:szCs w:val="20"/>
                <w14:ligatures w14:val="standardContextual"/>
              </w:rPr>
            </w:pPr>
          </w:p>
        </w:tc>
        <w:tc>
          <w:tcPr>
            <w:tcW w:w="1652" w:type="dxa"/>
            <w:gridSpan w:val="3"/>
            <w:tcBorders>
              <w:top w:val="nil"/>
              <w:left w:val="nil"/>
              <w:bottom w:val="nil"/>
              <w:right w:val="nil"/>
            </w:tcBorders>
          </w:tcPr>
          <w:p w14:paraId="0FC54369"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2024</w:t>
            </w:r>
          </w:p>
        </w:tc>
        <w:tc>
          <w:tcPr>
            <w:tcW w:w="1277" w:type="dxa"/>
            <w:tcBorders>
              <w:top w:val="nil"/>
              <w:left w:val="nil"/>
              <w:bottom w:val="nil"/>
              <w:right w:val="nil"/>
            </w:tcBorders>
          </w:tcPr>
          <w:p w14:paraId="1DB7BBD5"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2023</w:t>
            </w:r>
          </w:p>
        </w:tc>
        <w:tc>
          <w:tcPr>
            <w:tcW w:w="1062" w:type="dxa"/>
            <w:gridSpan w:val="2"/>
            <w:tcBorders>
              <w:top w:val="nil"/>
              <w:left w:val="nil"/>
              <w:bottom w:val="nil"/>
              <w:right w:val="nil"/>
            </w:tcBorders>
          </w:tcPr>
          <w:p w14:paraId="2CADA60F"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Growth</w:t>
            </w:r>
          </w:p>
        </w:tc>
      </w:tr>
      <w:tr w:rsidR="00756913" w:rsidRPr="00756913" w14:paraId="0DFD449A" w14:textId="77777777">
        <w:tblPrEx>
          <w:tblCellMar>
            <w:top w:w="0" w:type="dxa"/>
            <w:bottom w:w="0" w:type="dxa"/>
          </w:tblCellMar>
        </w:tblPrEx>
        <w:trPr>
          <w:gridAfter w:val="1"/>
          <w:wAfter w:w="69" w:type="dxa"/>
        </w:trPr>
        <w:tc>
          <w:tcPr>
            <w:tcW w:w="5012" w:type="dxa"/>
            <w:tcBorders>
              <w:top w:val="nil"/>
              <w:left w:val="nil"/>
              <w:bottom w:val="single" w:sz="4" w:space="0" w:color="auto"/>
              <w:right w:val="nil"/>
            </w:tcBorders>
            <w:vAlign w:val="bottom"/>
          </w:tcPr>
          <w:p w14:paraId="4C103782" w14:textId="77777777" w:rsidR="00756913" w:rsidRPr="00756913" w:rsidRDefault="00756913" w:rsidP="00756913">
            <w:pPr>
              <w:autoSpaceDE w:val="0"/>
              <w:autoSpaceDN w:val="0"/>
              <w:adjustRightInd w:val="0"/>
              <w:spacing w:before="40" w:after="0"/>
              <w:ind w:left="173" w:hanging="173"/>
              <w:jc w:val="right"/>
              <w:rPr>
                <w:rFonts w:ascii="Arial" w:hAnsi="Arial" w:cs="Arial"/>
                <w:b/>
                <w:bCs/>
                <w:sz w:val="20"/>
                <w:szCs w:val="20"/>
                <w14:ligatures w14:val="standardContextual"/>
              </w:rPr>
            </w:pPr>
          </w:p>
        </w:tc>
        <w:tc>
          <w:tcPr>
            <w:tcW w:w="1652" w:type="dxa"/>
            <w:gridSpan w:val="3"/>
            <w:tcBorders>
              <w:top w:val="nil"/>
              <w:left w:val="nil"/>
              <w:bottom w:val="single" w:sz="4" w:space="0" w:color="auto"/>
              <w:right w:val="nil"/>
            </w:tcBorders>
          </w:tcPr>
          <w:p w14:paraId="252E4A5F"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£m</w:t>
            </w:r>
          </w:p>
        </w:tc>
        <w:tc>
          <w:tcPr>
            <w:tcW w:w="1277" w:type="dxa"/>
            <w:tcBorders>
              <w:top w:val="nil"/>
              <w:left w:val="nil"/>
              <w:bottom w:val="single" w:sz="4" w:space="0" w:color="auto"/>
              <w:right w:val="nil"/>
            </w:tcBorders>
          </w:tcPr>
          <w:p w14:paraId="7BE7F7AC"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£m</w:t>
            </w:r>
          </w:p>
        </w:tc>
        <w:tc>
          <w:tcPr>
            <w:tcW w:w="1062" w:type="dxa"/>
            <w:gridSpan w:val="2"/>
            <w:tcBorders>
              <w:top w:val="nil"/>
              <w:left w:val="nil"/>
              <w:bottom w:val="single" w:sz="4" w:space="0" w:color="auto"/>
              <w:right w:val="nil"/>
            </w:tcBorders>
          </w:tcPr>
          <w:p w14:paraId="0D158789"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p>
        </w:tc>
      </w:tr>
      <w:tr w:rsidR="00756913" w:rsidRPr="00756913" w14:paraId="557A4121" w14:textId="77777777">
        <w:tblPrEx>
          <w:tblCellMar>
            <w:top w:w="0" w:type="dxa"/>
            <w:bottom w:w="0" w:type="dxa"/>
          </w:tblCellMar>
        </w:tblPrEx>
        <w:trPr>
          <w:gridAfter w:val="1"/>
          <w:wAfter w:w="69" w:type="dxa"/>
          <w:trHeight w:val="234"/>
        </w:trPr>
        <w:tc>
          <w:tcPr>
            <w:tcW w:w="5012" w:type="dxa"/>
            <w:tcBorders>
              <w:top w:val="single" w:sz="4" w:space="0" w:color="auto"/>
              <w:left w:val="nil"/>
              <w:bottom w:val="nil"/>
              <w:right w:val="nil"/>
            </w:tcBorders>
            <w:vAlign w:val="center"/>
          </w:tcPr>
          <w:p w14:paraId="483D7367"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Revenue</w:t>
            </w:r>
          </w:p>
        </w:tc>
        <w:tc>
          <w:tcPr>
            <w:tcW w:w="1652" w:type="dxa"/>
            <w:gridSpan w:val="3"/>
            <w:tcBorders>
              <w:top w:val="single" w:sz="4" w:space="0" w:color="auto"/>
              <w:left w:val="nil"/>
              <w:bottom w:val="nil"/>
              <w:right w:val="nil"/>
            </w:tcBorders>
            <w:vAlign w:val="center"/>
          </w:tcPr>
          <w:p w14:paraId="78811DBE" w14:textId="77777777" w:rsidR="00756913" w:rsidRPr="00756913" w:rsidRDefault="00756913" w:rsidP="00756913">
            <w:pPr>
              <w:autoSpaceDE w:val="0"/>
              <w:autoSpaceDN w:val="0"/>
              <w:adjustRightInd w:val="0"/>
              <w:spacing w:before="40" w:after="0"/>
              <w:jc w:val="right"/>
              <w:rPr>
                <w:rFonts w:ascii="Arial" w:hAnsi="Arial" w:cs="Arial"/>
                <w:b/>
                <w:bCs/>
                <w:color w:val="000000"/>
                <w:sz w:val="20"/>
                <w:szCs w:val="20"/>
                <w:lang w:val="en-US"/>
                <w14:ligatures w14:val="standardContextual"/>
              </w:rPr>
            </w:pPr>
            <w:r w:rsidRPr="00756913">
              <w:rPr>
                <w:rFonts w:ascii="Arial" w:hAnsi="Arial" w:cs="Arial"/>
                <w:b/>
                <w:bCs/>
                <w:color w:val="000000"/>
                <w:sz w:val="20"/>
                <w:szCs w:val="20"/>
                <w:lang w:val="en-US"/>
                <w14:ligatures w14:val="standardContextual"/>
              </w:rPr>
              <w:t>223.5</w:t>
            </w:r>
          </w:p>
        </w:tc>
        <w:tc>
          <w:tcPr>
            <w:tcW w:w="1277" w:type="dxa"/>
            <w:tcBorders>
              <w:top w:val="single" w:sz="4" w:space="0" w:color="auto"/>
              <w:left w:val="nil"/>
              <w:bottom w:val="nil"/>
              <w:right w:val="nil"/>
            </w:tcBorders>
            <w:vAlign w:val="center"/>
          </w:tcPr>
          <w:p w14:paraId="0C5EEE60" w14:textId="77777777" w:rsidR="00756913" w:rsidRPr="00756913" w:rsidRDefault="00756913" w:rsidP="00756913">
            <w:pPr>
              <w:autoSpaceDE w:val="0"/>
              <w:autoSpaceDN w:val="0"/>
              <w:adjustRightInd w:val="0"/>
              <w:spacing w:before="40" w:after="0"/>
              <w:jc w:val="right"/>
              <w:rPr>
                <w:rFonts w:ascii="Arial" w:hAnsi="Arial" w:cs="Arial"/>
                <w:color w:val="000000"/>
                <w:sz w:val="20"/>
                <w:szCs w:val="20"/>
                <w:lang w:val="en-US"/>
                <w14:ligatures w14:val="standardContextual"/>
              </w:rPr>
            </w:pPr>
            <w:r w:rsidRPr="00756913">
              <w:rPr>
                <w:rFonts w:ascii="Arial" w:hAnsi="Arial" w:cs="Arial"/>
                <w:color w:val="000000"/>
                <w:sz w:val="20"/>
                <w:szCs w:val="20"/>
                <w:lang w:val="en-US"/>
                <w14:ligatures w14:val="standardContextual"/>
              </w:rPr>
              <w:t>213.8</w:t>
            </w:r>
          </w:p>
        </w:tc>
        <w:tc>
          <w:tcPr>
            <w:tcW w:w="1062" w:type="dxa"/>
            <w:gridSpan w:val="2"/>
            <w:tcBorders>
              <w:top w:val="single" w:sz="4" w:space="0" w:color="auto"/>
              <w:left w:val="nil"/>
              <w:bottom w:val="nil"/>
              <w:right w:val="nil"/>
            </w:tcBorders>
            <w:vAlign w:val="center"/>
          </w:tcPr>
          <w:p w14:paraId="30EB7F2A" w14:textId="77777777" w:rsidR="00756913" w:rsidRPr="00756913" w:rsidRDefault="00756913" w:rsidP="00756913">
            <w:pPr>
              <w:autoSpaceDE w:val="0"/>
              <w:autoSpaceDN w:val="0"/>
              <w:adjustRightInd w:val="0"/>
              <w:spacing w:before="40" w:after="0"/>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5%</w:t>
            </w:r>
          </w:p>
        </w:tc>
      </w:tr>
      <w:tr w:rsidR="00756913" w:rsidRPr="00756913" w14:paraId="595DA1CB" w14:textId="77777777">
        <w:tblPrEx>
          <w:tblCellMar>
            <w:top w:w="0" w:type="dxa"/>
            <w:bottom w:w="0" w:type="dxa"/>
          </w:tblCellMar>
        </w:tblPrEx>
        <w:trPr>
          <w:gridAfter w:val="1"/>
          <w:wAfter w:w="69" w:type="dxa"/>
        </w:trPr>
        <w:tc>
          <w:tcPr>
            <w:tcW w:w="5012" w:type="dxa"/>
            <w:tcBorders>
              <w:top w:val="nil"/>
              <w:left w:val="nil"/>
              <w:bottom w:val="single" w:sz="4" w:space="0" w:color="auto"/>
              <w:right w:val="nil"/>
            </w:tcBorders>
            <w:vAlign w:val="center"/>
          </w:tcPr>
          <w:p w14:paraId="4E2164C8"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Cost of sales</w:t>
            </w:r>
          </w:p>
        </w:tc>
        <w:tc>
          <w:tcPr>
            <w:tcW w:w="1652" w:type="dxa"/>
            <w:gridSpan w:val="3"/>
            <w:tcBorders>
              <w:top w:val="nil"/>
              <w:left w:val="nil"/>
              <w:bottom w:val="single" w:sz="4" w:space="0" w:color="auto"/>
              <w:right w:val="nil"/>
            </w:tcBorders>
            <w:vAlign w:val="center"/>
          </w:tcPr>
          <w:p w14:paraId="722425AB" w14:textId="77777777" w:rsidR="00756913" w:rsidRPr="00756913" w:rsidRDefault="00756913" w:rsidP="00756913">
            <w:pPr>
              <w:autoSpaceDE w:val="0"/>
              <w:autoSpaceDN w:val="0"/>
              <w:adjustRightInd w:val="0"/>
              <w:spacing w:before="40" w:after="0"/>
              <w:jc w:val="right"/>
              <w:rPr>
                <w:rFonts w:ascii="Arial" w:hAnsi="Arial" w:cs="Arial"/>
                <w:b/>
                <w:bCs/>
                <w:color w:val="000000"/>
                <w:sz w:val="20"/>
                <w:szCs w:val="20"/>
                <w:lang w:val="en-US"/>
                <w14:ligatures w14:val="standardContextual"/>
              </w:rPr>
            </w:pPr>
            <w:r w:rsidRPr="00756913">
              <w:rPr>
                <w:rFonts w:ascii="Arial" w:hAnsi="Arial" w:cs="Arial"/>
                <w:b/>
                <w:bCs/>
                <w:color w:val="000000"/>
                <w:sz w:val="20"/>
                <w:szCs w:val="20"/>
                <w:lang w:val="en-US"/>
                <w14:ligatures w14:val="standardContextual"/>
              </w:rPr>
              <w:t>(71.3)</w:t>
            </w:r>
          </w:p>
        </w:tc>
        <w:tc>
          <w:tcPr>
            <w:tcW w:w="1277" w:type="dxa"/>
            <w:tcBorders>
              <w:top w:val="nil"/>
              <w:left w:val="nil"/>
              <w:bottom w:val="single" w:sz="4" w:space="0" w:color="auto"/>
              <w:right w:val="nil"/>
            </w:tcBorders>
            <w:vAlign w:val="center"/>
          </w:tcPr>
          <w:p w14:paraId="6FC6093B" w14:textId="77777777" w:rsidR="00756913" w:rsidRPr="00756913" w:rsidRDefault="00756913" w:rsidP="00756913">
            <w:pPr>
              <w:autoSpaceDE w:val="0"/>
              <w:autoSpaceDN w:val="0"/>
              <w:adjustRightInd w:val="0"/>
              <w:spacing w:before="40" w:after="0"/>
              <w:jc w:val="right"/>
              <w:rPr>
                <w:rFonts w:ascii="Arial" w:hAnsi="Arial" w:cs="Arial"/>
                <w:color w:val="000000"/>
                <w:sz w:val="20"/>
                <w:szCs w:val="20"/>
                <w:lang w:val="en-US"/>
                <w14:ligatures w14:val="standardContextual"/>
              </w:rPr>
            </w:pPr>
            <w:r w:rsidRPr="00756913">
              <w:rPr>
                <w:rFonts w:ascii="Arial" w:hAnsi="Arial" w:cs="Arial"/>
                <w:color w:val="000000"/>
                <w:sz w:val="20"/>
                <w:szCs w:val="20"/>
                <w:lang w:val="en-US"/>
                <w14:ligatures w14:val="standardContextual"/>
              </w:rPr>
              <w:t>(68.4)</w:t>
            </w:r>
          </w:p>
        </w:tc>
        <w:tc>
          <w:tcPr>
            <w:tcW w:w="1062" w:type="dxa"/>
            <w:gridSpan w:val="2"/>
            <w:tcBorders>
              <w:top w:val="nil"/>
              <w:left w:val="nil"/>
              <w:bottom w:val="single" w:sz="4" w:space="0" w:color="auto"/>
              <w:right w:val="nil"/>
            </w:tcBorders>
            <w:vAlign w:val="center"/>
          </w:tcPr>
          <w:p w14:paraId="1B5CFCDE" w14:textId="77777777" w:rsidR="00756913" w:rsidRPr="00756913" w:rsidRDefault="00756913" w:rsidP="00756913">
            <w:pPr>
              <w:autoSpaceDE w:val="0"/>
              <w:autoSpaceDN w:val="0"/>
              <w:adjustRightInd w:val="0"/>
              <w:spacing w:before="40" w:after="0"/>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4%</w:t>
            </w:r>
          </w:p>
        </w:tc>
      </w:tr>
      <w:tr w:rsidR="00756913" w:rsidRPr="00756913" w14:paraId="202CAF79" w14:textId="77777777">
        <w:tblPrEx>
          <w:tblCellMar>
            <w:top w:w="0" w:type="dxa"/>
            <w:bottom w:w="0" w:type="dxa"/>
          </w:tblCellMar>
        </w:tblPrEx>
        <w:trPr>
          <w:gridAfter w:val="1"/>
          <w:wAfter w:w="69" w:type="dxa"/>
        </w:trPr>
        <w:tc>
          <w:tcPr>
            <w:tcW w:w="5012" w:type="dxa"/>
            <w:tcBorders>
              <w:top w:val="single" w:sz="4" w:space="0" w:color="auto"/>
              <w:left w:val="nil"/>
              <w:bottom w:val="nil"/>
              <w:right w:val="nil"/>
            </w:tcBorders>
            <w:vAlign w:val="center"/>
          </w:tcPr>
          <w:p w14:paraId="7814DE15"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Gross profit</w:t>
            </w:r>
          </w:p>
        </w:tc>
        <w:tc>
          <w:tcPr>
            <w:tcW w:w="1652" w:type="dxa"/>
            <w:gridSpan w:val="3"/>
            <w:tcBorders>
              <w:top w:val="single" w:sz="4" w:space="0" w:color="auto"/>
              <w:left w:val="nil"/>
              <w:bottom w:val="nil"/>
              <w:right w:val="nil"/>
            </w:tcBorders>
            <w:vAlign w:val="center"/>
          </w:tcPr>
          <w:p w14:paraId="5398B6B3" w14:textId="77777777" w:rsidR="00756913" w:rsidRPr="00756913" w:rsidRDefault="00756913" w:rsidP="00756913">
            <w:pPr>
              <w:autoSpaceDE w:val="0"/>
              <w:autoSpaceDN w:val="0"/>
              <w:adjustRightInd w:val="0"/>
              <w:spacing w:before="40" w:after="0"/>
              <w:jc w:val="right"/>
              <w:rPr>
                <w:rFonts w:ascii="Arial" w:hAnsi="Arial" w:cs="Arial"/>
                <w:b/>
                <w:bCs/>
                <w:color w:val="000000"/>
                <w:sz w:val="20"/>
                <w:szCs w:val="20"/>
                <w:lang w:val="en-US"/>
                <w14:ligatures w14:val="standardContextual"/>
              </w:rPr>
            </w:pPr>
            <w:r w:rsidRPr="00756913">
              <w:rPr>
                <w:rFonts w:ascii="Arial" w:hAnsi="Arial" w:cs="Arial"/>
                <w:b/>
                <w:bCs/>
                <w:color w:val="000000"/>
                <w:sz w:val="20"/>
                <w:szCs w:val="20"/>
                <w:lang w:val="en-US"/>
                <w14:ligatures w14:val="standardContextual"/>
              </w:rPr>
              <w:t>152.2</w:t>
            </w:r>
          </w:p>
        </w:tc>
        <w:tc>
          <w:tcPr>
            <w:tcW w:w="1277" w:type="dxa"/>
            <w:tcBorders>
              <w:top w:val="single" w:sz="4" w:space="0" w:color="auto"/>
              <w:left w:val="nil"/>
              <w:bottom w:val="nil"/>
              <w:right w:val="nil"/>
            </w:tcBorders>
            <w:vAlign w:val="center"/>
          </w:tcPr>
          <w:p w14:paraId="24A5E099" w14:textId="77777777" w:rsidR="00756913" w:rsidRPr="00756913" w:rsidRDefault="00756913" w:rsidP="00756913">
            <w:pPr>
              <w:autoSpaceDE w:val="0"/>
              <w:autoSpaceDN w:val="0"/>
              <w:adjustRightInd w:val="0"/>
              <w:spacing w:before="40" w:after="0"/>
              <w:jc w:val="right"/>
              <w:rPr>
                <w:rFonts w:ascii="Arial" w:hAnsi="Arial" w:cs="Arial"/>
                <w:color w:val="000000"/>
                <w:sz w:val="20"/>
                <w:szCs w:val="20"/>
                <w:lang w:val="en-US"/>
                <w14:ligatures w14:val="standardContextual"/>
              </w:rPr>
            </w:pPr>
            <w:r w:rsidRPr="00756913">
              <w:rPr>
                <w:rFonts w:ascii="Arial" w:hAnsi="Arial" w:cs="Arial"/>
                <w:color w:val="000000"/>
                <w:sz w:val="20"/>
                <w:szCs w:val="20"/>
                <w:lang w:val="en-US"/>
                <w14:ligatures w14:val="standardContextual"/>
              </w:rPr>
              <w:t>145.4</w:t>
            </w:r>
          </w:p>
        </w:tc>
        <w:tc>
          <w:tcPr>
            <w:tcW w:w="1062" w:type="dxa"/>
            <w:gridSpan w:val="2"/>
            <w:tcBorders>
              <w:top w:val="single" w:sz="4" w:space="0" w:color="auto"/>
              <w:left w:val="nil"/>
              <w:bottom w:val="nil"/>
              <w:right w:val="nil"/>
            </w:tcBorders>
            <w:vAlign w:val="center"/>
          </w:tcPr>
          <w:p w14:paraId="0AA612D2" w14:textId="77777777" w:rsidR="00756913" w:rsidRPr="00756913" w:rsidRDefault="00756913" w:rsidP="00756913">
            <w:pPr>
              <w:autoSpaceDE w:val="0"/>
              <w:autoSpaceDN w:val="0"/>
              <w:adjustRightInd w:val="0"/>
              <w:spacing w:before="40" w:after="0"/>
              <w:jc w:val="right"/>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5%</w:t>
            </w:r>
          </w:p>
        </w:tc>
      </w:tr>
      <w:tr w:rsidR="00756913" w:rsidRPr="00756913" w14:paraId="782CA134" w14:textId="77777777">
        <w:tblPrEx>
          <w:tblCellMar>
            <w:top w:w="0" w:type="dxa"/>
            <w:bottom w:w="0" w:type="dxa"/>
          </w:tblCellMar>
        </w:tblPrEx>
        <w:trPr>
          <w:gridAfter w:val="1"/>
          <w:wAfter w:w="69" w:type="dxa"/>
        </w:trPr>
        <w:tc>
          <w:tcPr>
            <w:tcW w:w="5012" w:type="dxa"/>
            <w:tcBorders>
              <w:top w:val="nil"/>
              <w:left w:val="nil"/>
              <w:bottom w:val="single" w:sz="4" w:space="0" w:color="auto"/>
              <w:right w:val="nil"/>
            </w:tcBorders>
            <w:vAlign w:val="center"/>
          </w:tcPr>
          <w:p w14:paraId="6D547CBC"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 xml:space="preserve">Operating costs </w:t>
            </w:r>
          </w:p>
        </w:tc>
        <w:tc>
          <w:tcPr>
            <w:tcW w:w="1652" w:type="dxa"/>
            <w:gridSpan w:val="3"/>
            <w:tcBorders>
              <w:top w:val="nil"/>
              <w:left w:val="nil"/>
              <w:bottom w:val="single" w:sz="4" w:space="0" w:color="auto"/>
              <w:right w:val="nil"/>
            </w:tcBorders>
            <w:vAlign w:val="center"/>
          </w:tcPr>
          <w:p w14:paraId="5D4238F3"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(91.8)</w:t>
            </w:r>
          </w:p>
        </w:tc>
        <w:tc>
          <w:tcPr>
            <w:tcW w:w="1277" w:type="dxa"/>
            <w:tcBorders>
              <w:top w:val="nil"/>
              <w:left w:val="nil"/>
              <w:bottom w:val="single" w:sz="4" w:space="0" w:color="auto"/>
              <w:right w:val="nil"/>
            </w:tcBorders>
            <w:vAlign w:val="center"/>
          </w:tcPr>
          <w:p w14:paraId="508F9778" w14:textId="77777777" w:rsidR="00756913" w:rsidRPr="00756913" w:rsidRDefault="00756913" w:rsidP="00756913">
            <w:pPr>
              <w:autoSpaceDE w:val="0"/>
              <w:autoSpaceDN w:val="0"/>
              <w:adjustRightInd w:val="0"/>
              <w:spacing w:before="40" w:after="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(89.7)</w:t>
            </w:r>
          </w:p>
        </w:tc>
        <w:tc>
          <w:tcPr>
            <w:tcW w:w="1062" w:type="dxa"/>
            <w:gridSpan w:val="2"/>
            <w:tcBorders>
              <w:top w:val="nil"/>
              <w:left w:val="nil"/>
              <w:bottom w:val="single" w:sz="4" w:space="0" w:color="auto"/>
              <w:right w:val="nil"/>
            </w:tcBorders>
            <w:vAlign w:val="center"/>
          </w:tcPr>
          <w:p w14:paraId="2FB2C497"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2%</w:t>
            </w:r>
          </w:p>
        </w:tc>
      </w:tr>
      <w:tr w:rsidR="00756913" w:rsidRPr="00756913" w14:paraId="7CB7BCC7" w14:textId="77777777">
        <w:tblPrEx>
          <w:tblCellMar>
            <w:top w:w="0" w:type="dxa"/>
            <w:bottom w:w="0" w:type="dxa"/>
          </w:tblCellMar>
        </w:tblPrEx>
        <w:trPr>
          <w:gridAfter w:val="1"/>
          <w:wAfter w:w="69" w:type="dxa"/>
        </w:trPr>
        <w:tc>
          <w:tcPr>
            <w:tcW w:w="5012" w:type="dxa"/>
            <w:tcBorders>
              <w:top w:val="single" w:sz="4" w:space="0" w:color="auto"/>
              <w:left w:val="nil"/>
              <w:bottom w:val="nil"/>
              <w:right w:val="nil"/>
            </w:tcBorders>
            <w:vAlign w:val="center"/>
          </w:tcPr>
          <w:p w14:paraId="63314B9D"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Operating profit</w:t>
            </w:r>
          </w:p>
        </w:tc>
        <w:tc>
          <w:tcPr>
            <w:tcW w:w="1652" w:type="dxa"/>
            <w:gridSpan w:val="3"/>
            <w:tcBorders>
              <w:top w:val="single" w:sz="4" w:space="0" w:color="auto"/>
              <w:left w:val="nil"/>
              <w:bottom w:val="nil"/>
              <w:right w:val="nil"/>
            </w:tcBorders>
            <w:vAlign w:val="center"/>
          </w:tcPr>
          <w:p w14:paraId="752EAC76"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60.4</w:t>
            </w:r>
          </w:p>
        </w:tc>
        <w:tc>
          <w:tcPr>
            <w:tcW w:w="1277" w:type="dxa"/>
            <w:tcBorders>
              <w:top w:val="single" w:sz="4" w:space="0" w:color="auto"/>
              <w:left w:val="nil"/>
              <w:bottom w:val="nil"/>
              <w:right w:val="nil"/>
            </w:tcBorders>
            <w:vAlign w:val="center"/>
          </w:tcPr>
          <w:p w14:paraId="1A9B1053" w14:textId="77777777" w:rsidR="00756913" w:rsidRPr="00756913" w:rsidRDefault="00756913" w:rsidP="00756913">
            <w:pPr>
              <w:autoSpaceDE w:val="0"/>
              <w:autoSpaceDN w:val="0"/>
              <w:adjustRightInd w:val="0"/>
              <w:spacing w:before="40" w:after="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55.7</w:t>
            </w:r>
          </w:p>
        </w:tc>
        <w:tc>
          <w:tcPr>
            <w:tcW w:w="1062" w:type="dxa"/>
            <w:gridSpan w:val="2"/>
            <w:tcBorders>
              <w:top w:val="single" w:sz="4" w:space="0" w:color="auto"/>
              <w:left w:val="nil"/>
              <w:bottom w:val="nil"/>
              <w:right w:val="nil"/>
            </w:tcBorders>
            <w:vAlign w:val="center"/>
          </w:tcPr>
          <w:p w14:paraId="49CDF188"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8%</w:t>
            </w:r>
          </w:p>
        </w:tc>
      </w:tr>
      <w:tr w:rsidR="00756913" w:rsidRPr="00756913" w14:paraId="228EEED9" w14:textId="77777777">
        <w:tblPrEx>
          <w:tblCellMar>
            <w:top w:w="0" w:type="dxa"/>
            <w:bottom w:w="0" w:type="dxa"/>
          </w:tblCellMar>
        </w:tblPrEx>
        <w:trPr>
          <w:gridAfter w:val="1"/>
          <w:wAfter w:w="69" w:type="dxa"/>
        </w:trPr>
        <w:tc>
          <w:tcPr>
            <w:tcW w:w="5012" w:type="dxa"/>
            <w:tcBorders>
              <w:top w:val="nil"/>
              <w:left w:val="nil"/>
              <w:bottom w:val="nil"/>
              <w:right w:val="nil"/>
            </w:tcBorders>
            <w:vAlign w:val="center"/>
          </w:tcPr>
          <w:p w14:paraId="2FD21E59"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Amortisation and depreciation</w:t>
            </w:r>
          </w:p>
        </w:tc>
        <w:tc>
          <w:tcPr>
            <w:tcW w:w="1652" w:type="dxa"/>
            <w:gridSpan w:val="3"/>
            <w:tcBorders>
              <w:top w:val="nil"/>
              <w:left w:val="nil"/>
              <w:bottom w:val="nil"/>
              <w:right w:val="nil"/>
            </w:tcBorders>
            <w:vAlign w:val="center"/>
          </w:tcPr>
          <w:p w14:paraId="2AE30025"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12.6</w:t>
            </w:r>
          </w:p>
        </w:tc>
        <w:tc>
          <w:tcPr>
            <w:tcW w:w="1277" w:type="dxa"/>
            <w:tcBorders>
              <w:top w:val="nil"/>
              <w:left w:val="nil"/>
              <w:bottom w:val="nil"/>
              <w:right w:val="nil"/>
            </w:tcBorders>
            <w:vAlign w:val="center"/>
          </w:tcPr>
          <w:p w14:paraId="61894DAD" w14:textId="77777777" w:rsidR="00756913" w:rsidRPr="00756913" w:rsidRDefault="00756913" w:rsidP="00756913">
            <w:pPr>
              <w:autoSpaceDE w:val="0"/>
              <w:autoSpaceDN w:val="0"/>
              <w:adjustRightInd w:val="0"/>
              <w:spacing w:before="40" w:after="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12.0</w:t>
            </w:r>
          </w:p>
        </w:tc>
        <w:tc>
          <w:tcPr>
            <w:tcW w:w="1062" w:type="dxa"/>
            <w:gridSpan w:val="2"/>
            <w:tcBorders>
              <w:top w:val="nil"/>
              <w:left w:val="nil"/>
              <w:bottom w:val="nil"/>
              <w:right w:val="nil"/>
            </w:tcBorders>
            <w:vAlign w:val="center"/>
          </w:tcPr>
          <w:p w14:paraId="6B75D590"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5%</w:t>
            </w:r>
          </w:p>
        </w:tc>
      </w:tr>
      <w:tr w:rsidR="00756913" w:rsidRPr="00756913" w14:paraId="1D717C38" w14:textId="77777777">
        <w:tblPrEx>
          <w:tblCellMar>
            <w:top w:w="0" w:type="dxa"/>
            <w:bottom w:w="0" w:type="dxa"/>
          </w:tblCellMar>
        </w:tblPrEx>
        <w:trPr>
          <w:gridAfter w:val="1"/>
          <w:wAfter w:w="69" w:type="dxa"/>
        </w:trPr>
        <w:tc>
          <w:tcPr>
            <w:tcW w:w="5012" w:type="dxa"/>
            <w:tcBorders>
              <w:top w:val="single" w:sz="4" w:space="0" w:color="auto"/>
              <w:left w:val="nil"/>
              <w:bottom w:val="single" w:sz="4" w:space="0" w:color="auto"/>
              <w:right w:val="nil"/>
            </w:tcBorders>
            <w:vAlign w:val="center"/>
          </w:tcPr>
          <w:p w14:paraId="606DC648" w14:textId="77777777" w:rsidR="00756913" w:rsidRPr="00756913" w:rsidRDefault="00756913" w:rsidP="00756913">
            <w:pPr>
              <w:autoSpaceDE w:val="0"/>
              <w:autoSpaceDN w:val="0"/>
              <w:adjustRightInd w:val="0"/>
              <w:spacing w:before="40" w:after="0"/>
              <w:ind w:left="173" w:hanging="173"/>
              <w:rPr>
                <w:rFonts w:ascii="Arial" w:hAnsi="Arial" w:cs="Arial"/>
                <w:b/>
                <w:bCs/>
                <w:sz w:val="20"/>
                <w:szCs w:val="20"/>
                <w14:ligatures w14:val="standardContextual"/>
              </w:rPr>
            </w:pPr>
            <w:r w:rsidRPr="00756913">
              <w:rPr>
                <w:rFonts w:ascii="Arial" w:hAnsi="Arial" w:cs="Arial"/>
                <w:b/>
                <w:bCs/>
                <w:sz w:val="20"/>
                <w:szCs w:val="20"/>
                <w14:ligatures w14:val="standardContextual"/>
              </w:rPr>
              <w:t>EBITDA*</w:t>
            </w:r>
          </w:p>
        </w:tc>
        <w:tc>
          <w:tcPr>
            <w:tcW w:w="1652" w:type="dxa"/>
            <w:gridSpan w:val="3"/>
            <w:tcBorders>
              <w:top w:val="single" w:sz="4" w:space="0" w:color="auto"/>
              <w:left w:val="nil"/>
              <w:bottom w:val="single" w:sz="4" w:space="0" w:color="auto"/>
              <w:right w:val="nil"/>
            </w:tcBorders>
            <w:vAlign w:val="center"/>
          </w:tcPr>
          <w:p w14:paraId="6E5CB4FC"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73.0</w:t>
            </w:r>
          </w:p>
        </w:tc>
        <w:tc>
          <w:tcPr>
            <w:tcW w:w="1277" w:type="dxa"/>
            <w:tcBorders>
              <w:top w:val="single" w:sz="4" w:space="0" w:color="auto"/>
              <w:left w:val="nil"/>
              <w:bottom w:val="single" w:sz="4" w:space="0" w:color="auto"/>
              <w:right w:val="nil"/>
            </w:tcBorders>
            <w:vAlign w:val="center"/>
          </w:tcPr>
          <w:p w14:paraId="759818E9" w14:textId="77777777" w:rsidR="00756913" w:rsidRPr="00756913" w:rsidRDefault="00756913" w:rsidP="00756913">
            <w:pPr>
              <w:autoSpaceDE w:val="0"/>
              <w:autoSpaceDN w:val="0"/>
              <w:adjustRightInd w:val="0"/>
              <w:spacing w:before="40" w:after="0"/>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67.7</w:t>
            </w:r>
          </w:p>
        </w:tc>
        <w:tc>
          <w:tcPr>
            <w:tcW w:w="1062" w:type="dxa"/>
            <w:gridSpan w:val="2"/>
            <w:tcBorders>
              <w:top w:val="single" w:sz="4" w:space="0" w:color="auto"/>
              <w:left w:val="nil"/>
              <w:bottom w:val="single" w:sz="4" w:space="0" w:color="auto"/>
              <w:right w:val="nil"/>
            </w:tcBorders>
            <w:vAlign w:val="center"/>
          </w:tcPr>
          <w:p w14:paraId="67009C1A"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8%</w:t>
            </w:r>
          </w:p>
        </w:tc>
      </w:tr>
      <w:tr w:rsidR="00756913" w:rsidRPr="00756913" w14:paraId="47C2ED94" w14:textId="77777777">
        <w:tblPrEx>
          <w:tblCellMar>
            <w:top w:w="0" w:type="dxa"/>
            <w:bottom w:w="0" w:type="dxa"/>
          </w:tblCellMar>
        </w:tblPrEx>
        <w:tc>
          <w:tcPr>
            <w:tcW w:w="5012" w:type="dxa"/>
            <w:tcBorders>
              <w:top w:val="single" w:sz="4" w:space="0" w:color="auto"/>
              <w:left w:val="nil"/>
              <w:bottom w:val="nil"/>
              <w:right w:val="nil"/>
            </w:tcBorders>
            <w:vAlign w:val="center"/>
          </w:tcPr>
          <w:p w14:paraId="25B743F7" w14:textId="77777777" w:rsidR="00756913" w:rsidRPr="00756913" w:rsidRDefault="00756913" w:rsidP="00756913">
            <w:pPr>
              <w:autoSpaceDE w:val="0"/>
              <w:autoSpaceDN w:val="0"/>
              <w:adjustRightInd w:val="0"/>
              <w:spacing w:before="40" w:after="0"/>
              <w:ind w:left="173" w:hanging="173"/>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Adjusted earnings per share**:</w:t>
            </w:r>
          </w:p>
        </w:tc>
        <w:tc>
          <w:tcPr>
            <w:tcW w:w="256" w:type="dxa"/>
            <w:tcBorders>
              <w:top w:val="single" w:sz="4" w:space="0" w:color="auto"/>
              <w:left w:val="nil"/>
              <w:bottom w:val="nil"/>
              <w:right w:val="nil"/>
            </w:tcBorders>
            <w:vAlign w:val="bottom"/>
          </w:tcPr>
          <w:p w14:paraId="02B7297C"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381" w:type="dxa"/>
            <w:tcBorders>
              <w:top w:val="single" w:sz="4" w:space="0" w:color="auto"/>
              <w:left w:val="nil"/>
              <w:bottom w:val="nil"/>
              <w:right w:val="nil"/>
            </w:tcBorders>
            <w:vAlign w:val="center"/>
          </w:tcPr>
          <w:p w14:paraId="47BF29DA" w14:textId="77777777" w:rsidR="00756913" w:rsidRPr="00756913" w:rsidRDefault="00756913" w:rsidP="00756913">
            <w:pPr>
              <w:autoSpaceDE w:val="0"/>
              <w:autoSpaceDN w:val="0"/>
              <w:adjustRightInd w:val="0"/>
              <w:spacing w:before="40" w:after="0"/>
              <w:jc w:val="right"/>
              <w:rPr>
                <w:rFonts w:ascii="Arial" w:hAnsi="Arial" w:cs="Arial"/>
                <w:b/>
                <w:bCs/>
                <w:color w:val="FF0000"/>
                <w:sz w:val="20"/>
                <w:szCs w:val="20"/>
                <w:lang w:val="en-US"/>
                <w14:ligatures w14:val="standardContextual"/>
              </w:rPr>
            </w:pPr>
          </w:p>
        </w:tc>
        <w:tc>
          <w:tcPr>
            <w:tcW w:w="1336" w:type="dxa"/>
            <w:gridSpan w:val="3"/>
            <w:tcBorders>
              <w:top w:val="single" w:sz="4" w:space="0" w:color="auto"/>
              <w:left w:val="nil"/>
              <w:bottom w:val="nil"/>
              <w:right w:val="nil"/>
            </w:tcBorders>
            <w:vAlign w:val="center"/>
          </w:tcPr>
          <w:p w14:paraId="0BB565B2" w14:textId="77777777" w:rsidR="00756913" w:rsidRPr="00756913" w:rsidRDefault="00756913" w:rsidP="00756913">
            <w:pPr>
              <w:autoSpaceDE w:val="0"/>
              <w:autoSpaceDN w:val="0"/>
              <w:adjustRightInd w:val="0"/>
              <w:spacing w:before="40" w:after="0"/>
              <w:ind w:right="106"/>
              <w:jc w:val="right"/>
              <w:rPr>
                <w:rFonts w:ascii="Arial" w:hAnsi="Arial" w:cs="Arial"/>
                <w:sz w:val="20"/>
                <w:szCs w:val="20"/>
                <w:lang w:val="en-US"/>
                <w14:ligatures w14:val="standardContextual"/>
              </w:rPr>
            </w:pPr>
          </w:p>
        </w:tc>
        <w:tc>
          <w:tcPr>
            <w:tcW w:w="1087" w:type="dxa"/>
            <w:gridSpan w:val="2"/>
            <w:tcBorders>
              <w:top w:val="single" w:sz="4" w:space="0" w:color="auto"/>
              <w:left w:val="nil"/>
              <w:bottom w:val="nil"/>
              <w:right w:val="nil"/>
            </w:tcBorders>
            <w:vAlign w:val="center"/>
          </w:tcPr>
          <w:p w14:paraId="490B0B72" w14:textId="77777777" w:rsidR="00756913" w:rsidRPr="00756913" w:rsidRDefault="00756913" w:rsidP="00756913">
            <w:pPr>
              <w:autoSpaceDE w:val="0"/>
              <w:autoSpaceDN w:val="0"/>
              <w:adjustRightInd w:val="0"/>
              <w:spacing w:before="40" w:after="0"/>
              <w:ind w:right="66"/>
              <w:jc w:val="right"/>
              <w:rPr>
                <w:rFonts w:ascii="Arial" w:hAnsi="Arial" w:cs="Arial"/>
                <w:color w:val="FF0000"/>
                <w:sz w:val="20"/>
                <w:szCs w:val="20"/>
                <w:lang w:val="en-US"/>
                <w14:ligatures w14:val="standardContextual"/>
              </w:rPr>
            </w:pPr>
          </w:p>
        </w:tc>
      </w:tr>
      <w:tr w:rsidR="00756913" w:rsidRPr="00756913" w14:paraId="4F7B5B3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5012" w:type="dxa"/>
            <w:tcBorders>
              <w:top w:val="nil"/>
              <w:left w:val="nil"/>
              <w:bottom w:val="nil"/>
              <w:right w:val="nil"/>
            </w:tcBorders>
            <w:vAlign w:val="center"/>
          </w:tcPr>
          <w:p w14:paraId="1C212674" w14:textId="77777777" w:rsidR="00756913" w:rsidRPr="00756913" w:rsidRDefault="00756913" w:rsidP="00756913">
            <w:pPr>
              <w:autoSpaceDE w:val="0"/>
              <w:autoSpaceDN w:val="0"/>
              <w:adjustRightInd w:val="0"/>
              <w:spacing w:before="40" w:after="0"/>
              <w:ind w:left="173" w:hanging="173"/>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 basic (p)</w:t>
            </w:r>
          </w:p>
        </w:tc>
        <w:tc>
          <w:tcPr>
            <w:tcW w:w="256" w:type="dxa"/>
            <w:tcBorders>
              <w:top w:val="nil"/>
              <w:left w:val="nil"/>
              <w:bottom w:val="nil"/>
              <w:right w:val="nil"/>
            </w:tcBorders>
            <w:vAlign w:val="bottom"/>
          </w:tcPr>
          <w:p w14:paraId="3ECCE1E5"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381" w:type="dxa"/>
            <w:tcBorders>
              <w:top w:val="nil"/>
              <w:left w:val="nil"/>
              <w:bottom w:val="nil"/>
              <w:right w:val="nil"/>
            </w:tcBorders>
          </w:tcPr>
          <w:p w14:paraId="5502D90B"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8.8</w:t>
            </w:r>
          </w:p>
        </w:tc>
        <w:tc>
          <w:tcPr>
            <w:tcW w:w="1336" w:type="dxa"/>
            <w:gridSpan w:val="3"/>
            <w:tcBorders>
              <w:top w:val="nil"/>
              <w:left w:val="nil"/>
              <w:bottom w:val="nil"/>
              <w:right w:val="nil"/>
            </w:tcBorders>
          </w:tcPr>
          <w:p w14:paraId="694D6671" w14:textId="77777777" w:rsidR="00756913" w:rsidRPr="00756913" w:rsidRDefault="00756913" w:rsidP="00756913">
            <w:pPr>
              <w:autoSpaceDE w:val="0"/>
              <w:autoSpaceDN w:val="0"/>
              <w:adjustRightInd w:val="0"/>
              <w:spacing w:before="40" w:after="0"/>
              <w:ind w:right="106"/>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8.3</w:t>
            </w:r>
          </w:p>
        </w:tc>
        <w:tc>
          <w:tcPr>
            <w:tcW w:w="1087" w:type="dxa"/>
            <w:gridSpan w:val="2"/>
            <w:tcBorders>
              <w:top w:val="nil"/>
              <w:left w:val="nil"/>
              <w:bottom w:val="nil"/>
              <w:right w:val="nil"/>
            </w:tcBorders>
          </w:tcPr>
          <w:p w14:paraId="595FE905" w14:textId="77777777" w:rsidR="00756913" w:rsidRPr="00756913" w:rsidRDefault="00756913" w:rsidP="00756913">
            <w:pPr>
              <w:autoSpaceDE w:val="0"/>
              <w:autoSpaceDN w:val="0"/>
              <w:adjustRightInd w:val="0"/>
              <w:spacing w:before="40" w:after="0"/>
              <w:ind w:right="66"/>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6%</w:t>
            </w:r>
          </w:p>
        </w:tc>
      </w:tr>
      <w:tr w:rsidR="00756913" w:rsidRPr="00756913" w14:paraId="2CEEA180"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5012" w:type="dxa"/>
            <w:tcBorders>
              <w:top w:val="nil"/>
              <w:left w:val="nil"/>
              <w:bottom w:val="single" w:sz="12" w:space="0" w:color="auto"/>
              <w:right w:val="nil"/>
            </w:tcBorders>
            <w:vAlign w:val="center"/>
          </w:tcPr>
          <w:p w14:paraId="4A66B36E" w14:textId="77777777" w:rsidR="00756913" w:rsidRPr="00756913" w:rsidRDefault="00756913" w:rsidP="00756913">
            <w:pPr>
              <w:autoSpaceDE w:val="0"/>
              <w:autoSpaceDN w:val="0"/>
              <w:adjustRightInd w:val="0"/>
              <w:spacing w:before="40" w:after="0"/>
              <w:ind w:left="173" w:hanging="173"/>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 diluted (p)</w:t>
            </w:r>
          </w:p>
        </w:tc>
        <w:tc>
          <w:tcPr>
            <w:tcW w:w="256" w:type="dxa"/>
            <w:tcBorders>
              <w:top w:val="nil"/>
              <w:left w:val="nil"/>
              <w:bottom w:val="single" w:sz="12" w:space="0" w:color="auto"/>
              <w:right w:val="nil"/>
            </w:tcBorders>
            <w:vAlign w:val="bottom"/>
          </w:tcPr>
          <w:p w14:paraId="60FE5F1F"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381" w:type="dxa"/>
            <w:tcBorders>
              <w:top w:val="nil"/>
              <w:left w:val="nil"/>
              <w:bottom w:val="single" w:sz="12" w:space="0" w:color="auto"/>
              <w:right w:val="nil"/>
            </w:tcBorders>
          </w:tcPr>
          <w:p w14:paraId="19941223" w14:textId="77777777" w:rsidR="00756913" w:rsidRPr="00756913" w:rsidRDefault="00756913" w:rsidP="00756913">
            <w:pPr>
              <w:autoSpaceDE w:val="0"/>
              <w:autoSpaceDN w:val="0"/>
              <w:adjustRightInd w:val="0"/>
              <w:spacing w:before="40" w:after="0"/>
              <w:jc w:val="right"/>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8.8</w:t>
            </w:r>
          </w:p>
        </w:tc>
        <w:tc>
          <w:tcPr>
            <w:tcW w:w="1336" w:type="dxa"/>
            <w:gridSpan w:val="3"/>
            <w:tcBorders>
              <w:top w:val="nil"/>
              <w:left w:val="nil"/>
              <w:bottom w:val="single" w:sz="12" w:space="0" w:color="auto"/>
              <w:right w:val="nil"/>
            </w:tcBorders>
          </w:tcPr>
          <w:p w14:paraId="60889571" w14:textId="77777777" w:rsidR="00756913" w:rsidRPr="00756913" w:rsidRDefault="00756913" w:rsidP="00756913">
            <w:pPr>
              <w:autoSpaceDE w:val="0"/>
              <w:autoSpaceDN w:val="0"/>
              <w:adjustRightInd w:val="0"/>
              <w:spacing w:before="40" w:after="0"/>
              <w:ind w:right="106"/>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8.2</w:t>
            </w:r>
          </w:p>
        </w:tc>
        <w:tc>
          <w:tcPr>
            <w:tcW w:w="1087" w:type="dxa"/>
            <w:gridSpan w:val="2"/>
            <w:tcBorders>
              <w:top w:val="nil"/>
              <w:left w:val="nil"/>
              <w:bottom w:val="single" w:sz="12" w:space="0" w:color="auto"/>
              <w:right w:val="nil"/>
            </w:tcBorders>
          </w:tcPr>
          <w:p w14:paraId="72D9E9E3" w14:textId="77777777" w:rsidR="00756913" w:rsidRPr="00756913" w:rsidRDefault="00756913" w:rsidP="00756913">
            <w:pPr>
              <w:autoSpaceDE w:val="0"/>
              <w:autoSpaceDN w:val="0"/>
              <w:adjustRightInd w:val="0"/>
              <w:spacing w:before="40" w:after="0"/>
              <w:ind w:right="66"/>
              <w:jc w:val="right"/>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6%</w:t>
            </w:r>
          </w:p>
        </w:tc>
      </w:tr>
    </w:tbl>
    <w:p w14:paraId="59B6850A" w14:textId="77777777" w:rsidR="00756913" w:rsidRPr="00756913" w:rsidRDefault="00756913" w:rsidP="00756913">
      <w:pPr>
        <w:autoSpaceDE w:val="0"/>
        <w:autoSpaceDN w:val="0"/>
        <w:adjustRightInd w:val="0"/>
        <w:spacing w:after="0" w:line="240" w:lineRule="auto"/>
        <w:rPr>
          <w:rFonts w:ascii="Arial" w:hAnsi="Arial" w:cs="Arial"/>
          <w:sz w:val="16"/>
          <w:szCs w:val="16"/>
          <w14:ligatures w14:val="standardContextual"/>
        </w:rPr>
      </w:pPr>
      <w:r w:rsidRPr="00756913">
        <w:rPr>
          <w:rFonts w:ascii="Arial" w:hAnsi="Arial" w:cs="Arial"/>
          <w:sz w:val="16"/>
          <w:szCs w:val="16"/>
          <w14:ligatures w14:val="standardContextual"/>
        </w:rPr>
        <w:t>*In the current and prior periods there were no adjusting items within EBITDA</w:t>
      </w:r>
    </w:p>
    <w:p w14:paraId="4A1AACCB" w14:textId="77777777" w:rsidR="00756913" w:rsidRPr="00756913" w:rsidRDefault="00756913" w:rsidP="00756913">
      <w:pPr>
        <w:autoSpaceDE w:val="0"/>
        <w:autoSpaceDN w:val="0"/>
        <w:adjustRightInd w:val="0"/>
        <w:spacing w:after="0" w:line="240" w:lineRule="auto"/>
        <w:rPr>
          <w:rFonts w:ascii="Arial" w:hAnsi="Arial" w:cs="Arial"/>
          <w:sz w:val="16"/>
          <w:szCs w:val="16"/>
          <w14:ligatures w14:val="standardContextual"/>
        </w:rPr>
      </w:pPr>
      <w:r w:rsidRPr="00756913">
        <w:rPr>
          <w:rFonts w:ascii="Arial" w:hAnsi="Arial" w:cs="Arial"/>
          <w:sz w:val="16"/>
          <w:szCs w:val="16"/>
          <w14:ligatures w14:val="standardContextual"/>
        </w:rPr>
        <w:t>**A reconciliation of adjusted EPS is included within note 5.</w:t>
      </w:r>
    </w:p>
    <w:p w14:paraId="7C63D19E" w14:textId="77777777" w:rsidR="00756913" w:rsidRPr="00756913" w:rsidRDefault="00756913" w:rsidP="00756913">
      <w:pPr>
        <w:autoSpaceDE w:val="0"/>
        <w:autoSpaceDN w:val="0"/>
        <w:adjustRightInd w:val="0"/>
        <w:spacing w:before="240"/>
        <w:rPr>
          <w:rFonts w:ascii="Arial" w:hAnsi="Arial" w:cs="Arial"/>
          <w:b/>
          <w:bCs/>
          <w14:ligatures w14:val="standardContextual"/>
        </w:rPr>
      </w:pPr>
      <w:r w:rsidRPr="00756913">
        <w:rPr>
          <w:rFonts w:ascii="Arial" w:hAnsi="Arial" w:cs="Arial"/>
          <w:b/>
          <w:bCs/>
          <w:sz w:val="20"/>
          <w:szCs w:val="20"/>
          <w14:ligatures w14:val="standardContextual"/>
        </w:rPr>
        <w:t xml:space="preserve">Alternative performance measures </w:t>
      </w:r>
    </w:p>
    <w:p w14:paraId="1C6D8D7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14:ligatures w14:val="standardContextual"/>
        </w:rPr>
      </w:pPr>
      <w:r w:rsidRPr="00756913">
        <w:rPr>
          <w:rFonts w:ascii="Arial" w:hAnsi="Arial" w:cs="Arial"/>
          <w:sz w:val="20"/>
          <w:szCs w:val="20"/>
          <w14:ligatures w14:val="standardContextual"/>
        </w:rPr>
        <w:t>We use a number of alternative (non-Generally Accepted Accounting Practice (“non-GAAP”)) financial measures which are not defined within IFRS. The Board reviews EBITDA and adjusted EPS alongside GAAP measures when reviewing the performance of the Group. Executive management bonus targets include an EBITDA measure and the long-term incentive plans include an adjusted basic EPS measure.</w:t>
      </w:r>
    </w:p>
    <w:p w14:paraId="31D9CE4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p>
    <w:p w14:paraId="0BCA3EE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The adjustments are separately disclosed and are usually items that are non-underlying to trading activities and that are significant in size. Alternative performance measures used within these statements are accompanied with a reference to the relevant GAAP measure and the adjustments made. These measures should be considered alongside the IFRS measures.</w:t>
      </w:r>
    </w:p>
    <w:p w14:paraId="68DCBD1F" w14:textId="77777777" w:rsidR="00756913" w:rsidRPr="00756913" w:rsidRDefault="00756913" w:rsidP="00756913">
      <w:pPr>
        <w:autoSpaceDE w:val="0"/>
        <w:autoSpaceDN w:val="0"/>
        <w:adjustRightInd w:val="0"/>
        <w:spacing w:before="120" w:after="0"/>
        <w:rPr>
          <w:rFonts w:ascii="Arial" w:hAnsi="Arial" w:cs="Arial"/>
          <w:b/>
          <w:bCs/>
          <w:color w:val="FF0000"/>
          <w:sz w:val="20"/>
          <w:szCs w:val="20"/>
          <w14:ligatures w14:val="standardContextual"/>
        </w:rPr>
      </w:pPr>
    </w:p>
    <w:p w14:paraId="775042D9" w14:textId="77777777" w:rsidR="00756913" w:rsidRPr="00756913" w:rsidRDefault="00756913" w:rsidP="00756913">
      <w:pPr>
        <w:tabs>
          <w:tab w:val="left" w:pos="5276"/>
        </w:tabs>
        <w:autoSpaceDE w:val="0"/>
        <w:autoSpaceDN w:val="0"/>
        <w:adjustRightInd w:val="0"/>
        <w:spacing w:before="120" w:after="0"/>
        <w:rPr>
          <w:rFonts w:ascii="Arial" w:hAnsi="Arial" w:cs="Arial"/>
          <w:b/>
          <w:bCs/>
          <w14:ligatures w14:val="standardContextual"/>
        </w:rPr>
      </w:pPr>
      <w:r w:rsidRPr="00756913">
        <w:rPr>
          <w:rFonts w:ascii="Arial" w:hAnsi="Arial" w:cs="Arial"/>
          <w:b/>
          <w:bCs/>
          <w:sz w:val="20"/>
          <w:szCs w:val="20"/>
          <w14:ligatures w14:val="standardContextual"/>
        </w:rPr>
        <w:t>Revenue</w:t>
      </w:r>
      <w:r w:rsidRPr="00756913">
        <w:rPr>
          <w:rFonts w:ascii="Arial" w:hAnsi="Arial" w:cs="Arial"/>
          <w:b/>
          <w:bCs/>
          <w:sz w:val="20"/>
          <w:szCs w:val="20"/>
          <w14:ligatures w14:val="standardContextual"/>
        </w:rPr>
        <w:tab/>
      </w:r>
    </w:p>
    <w:p w14:paraId="5D2170F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i/>
          <w:iCs/>
          <w:sz w:val="20"/>
          <w:szCs w:val="20"/>
          <w14:ligatures w14:val="standardContextual"/>
        </w:rPr>
      </w:pPr>
      <w:r w:rsidRPr="00756913">
        <w:rPr>
          <w:rFonts w:ascii="Arial" w:hAnsi="Arial" w:cs="Arial"/>
          <w:i/>
          <w:iCs/>
          <w:sz w:val="20"/>
          <w:szCs w:val="20"/>
          <w14:ligatures w14:val="standardContextual"/>
        </w:rPr>
        <w:t>for the six months ended 30 June 2024 and 30 June 2023</w:t>
      </w:r>
    </w:p>
    <w:tbl>
      <w:tblPr>
        <w:tblW w:w="0" w:type="auto"/>
        <w:tblLayout w:type="fixed"/>
        <w:tblCellMar>
          <w:left w:w="10" w:type="dxa"/>
          <w:right w:w="10" w:type="dxa"/>
        </w:tblCellMar>
        <w:tblLook w:val="0000" w:firstRow="0" w:lastRow="0" w:firstColumn="0" w:lastColumn="0" w:noHBand="0" w:noVBand="0"/>
      </w:tblPr>
      <w:tblGrid>
        <w:gridCol w:w="4994"/>
        <w:gridCol w:w="618"/>
        <w:gridCol w:w="1224"/>
        <w:gridCol w:w="1126"/>
        <w:gridCol w:w="1106"/>
      </w:tblGrid>
      <w:tr w:rsidR="00756913" w:rsidRPr="00756913" w14:paraId="0C25E5FF" w14:textId="77777777">
        <w:tblPrEx>
          <w:tblCellMar>
            <w:top w:w="0" w:type="dxa"/>
            <w:bottom w:w="0" w:type="dxa"/>
          </w:tblCellMar>
        </w:tblPrEx>
        <w:trPr>
          <w:trHeight w:val="88"/>
        </w:trPr>
        <w:tc>
          <w:tcPr>
            <w:tcW w:w="4994" w:type="dxa"/>
            <w:tcBorders>
              <w:top w:val="nil"/>
              <w:left w:val="nil"/>
              <w:bottom w:val="nil"/>
              <w:right w:val="nil"/>
            </w:tcBorders>
            <w:vAlign w:val="center"/>
          </w:tcPr>
          <w:p w14:paraId="66F6E654" w14:textId="77777777" w:rsidR="00756913" w:rsidRPr="00756913" w:rsidRDefault="00756913" w:rsidP="00756913">
            <w:pPr>
              <w:autoSpaceDE w:val="0"/>
              <w:autoSpaceDN w:val="0"/>
              <w:adjustRightInd w:val="0"/>
              <w:spacing w:before="40" w:after="0"/>
              <w:rPr>
                <w:rFonts w:ascii="Arial" w:hAnsi="Arial" w:cs="Arial"/>
                <w:b/>
                <w:bCs/>
                <w:color w:val="FF0000"/>
                <w:sz w:val="20"/>
                <w:szCs w:val="20"/>
                <w14:ligatures w14:val="standardContextual"/>
              </w:rPr>
            </w:pPr>
          </w:p>
        </w:tc>
        <w:tc>
          <w:tcPr>
            <w:tcW w:w="618" w:type="dxa"/>
            <w:tcBorders>
              <w:top w:val="nil"/>
              <w:left w:val="nil"/>
              <w:bottom w:val="nil"/>
              <w:right w:val="nil"/>
            </w:tcBorders>
            <w:vAlign w:val="bottom"/>
          </w:tcPr>
          <w:p w14:paraId="28EF0C5E"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224" w:type="dxa"/>
            <w:tcBorders>
              <w:top w:val="nil"/>
              <w:left w:val="nil"/>
              <w:bottom w:val="nil"/>
              <w:right w:val="nil"/>
            </w:tcBorders>
            <w:vAlign w:val="center"/>
          </w:tcPr>
          <w:p w14:paraId="75BA428B"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2024</w:t>
            </w:r>
          </w:p>
        </w:tc>
        <w:tc>
          <w:tcPr>
            <w:tcW w:w="1126" w:type="dxa"/>
            <w:tcBorders>
              <w:top w:val="nil"/>
              <w:left w:val="nil"/>
              <w:bottom w:val="nil"/>
              <w:right w:val="nil"/>
            </w:tcBorders>
            <w:vAlign w:val="center"/>
          </w:tcPr>
          <w:p w14:paraId="0597CAE2"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2023</w:t>
            </w:r>
          </w:p>
        </w:tc>
        <w:tc>
          <w:tcPr>
            <w:tcW w:w="1106" w:type="dxa"/>
            <w:tcBorders>
              <w:top w:val="nil"/>
              <w:left w:val="nil"/>
              <w:bottom w:val="nil"/>
              <w:right w:val="nil"/>
            </w:tcBorders>
            <w:vAlign w:val="center"/>
          </w:tcPr>
          <w:p w14:paraId="2B4EE14C"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Growth</w:t>
            </w:r>
          </w:p>
        </w:tc>
      </w:tr>
      <w:tr w:rsidR="00756913" w:rsidRPr="00756913" w14:paraId="25EA6D34" w14:textId="77777777">
        <w:tblPrEx>
          <w:tblCellMar>
            <w:top w:w="0" w:type="dxa"/>
            <w:bottom w:w="0" w:type="dxa"/>
          </w:tblCellMar>
        </w:tblPrEx>
        <w:tc>
          <w:tcPr>
            <w:tcW w:w="4994" w:type="dxa"/>
            <w:tcBorders>
              <w:top w:val="nil"/>
              <w:left w:val="nil"/>
              <w:bottom w:val="single" w:sz="4" w:space="0" w:color="auto"/>
              <w:right w:val="nil"/>
            </w:tcBorders>
            <w:vAlign w:val="center"/>
          </w:tcPr>
          <w:p w14:paraId="24F522C2" w14:textId="77777777" w:rsidR="00756913" w:rsidRPr="00756913" w:rsidRDefault="00756913" w:rsidP="00756913">
            <w:pPr>
              <w:autoSpaceDE w:val="0"/>
              <w:autoSpaceDN w:val="0"/>
              <w:adjustRightInd w:val="0"/>
              <w:spacing w:before="40" w:after="0"/>
              <w:ind w:left="173" w:hanging="173"/>
              <w:rPr>
                <w:rFonts w:ascii="Arial" w:hAnsi="Arial" w:cs="Arial"/>
                <w:b/>
                <w:bCs/>
                <w:color w:val="FF0000"/>
                <w:sz w:val="20"/>
                <w:szCs w:val="20"/>
                <w14:ligatures w14:val="standardContextual"/>
              </w:rPr>
            </w:pPr>
          </w:p>
        </w:tc>
        <w:tc>
          <w:tcPr>
            <w:tcW w:w="618" w:type="dxa"/>
            <w:tcBorders>
              <w:top w:val="nil"/>
              <w:left w:val="nil"/>
              <w:bottom w:val="single" w:sz="4" w:space="0" w:color="auto"/>
              <w:right w:val="nil"/>
            </w:tcBorders>
            <w:vAlign w:val="bottom"/>
          </w:tcPr>
          <w:p w14:paraId="6B432C03"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224" w:type="dxa"/>
            <w:tcBorders>
              <w:top w:val="nil"/>
              <w:left w:val="nil"/>
              <w:bottom w:val="single" w:sz="4" w:space="0" w:color="auto"/>
              <w:right w:val="nil"/>
            </w:tcBorders>
            <w:vAlign w:val="center"/>
          </w:tcPr>
          <w:p w14:paraId="0AFC707F"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£m</w:t>
            </w:r>
          </w:p>
        </w:tc>
        <w:tc>
          <w:tcPr>
            <w:tcW w:w="1126" w:type="dxa"/>
            <w:tcBorders>
              <w:top w:val="nil"/>
              <w:left w:val="nil"/>
              <w:bottom w:val="single" w:sz="4" w:space="0" w:color="auto"/>
              <w:right w:val="nil"/>
            </w:tcBorders>
            <w:vAlign w:val="center"/>
          </w:tcPr>
          <w:p w14:paraId="11745FED"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£m</w:t>
            </w:r>
          </w:p>
        </w:tc>
        <w:tc>
          <w:tcPr>
            <w:tcW w:w="1106" w:type="dxa"/>
            <w:tcBorders>
              <w:top w:val="nil"/>
              <w:left w:val="nil"/>
              <w:bottom w:val="single" w:sz="4" w:space="0" w:color="auto"/>
              <w:right w:val="nil"/>
            </w:tcBorders>
            <w:vAlign w:val="center"/>
          </w:tcPr>
          <w:p w14:paraId="3890CBE2"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p>
        </w:tc>
      </w:tr>
      <w:tr w:rsidR="00756913" w:rsidRPr="00756913" w14:paraId="3707E1B4" w14:textId="77777777">
        <w:tblPrEx>
          <w:tblCellMar>
            <w:top w:w="0" w:type="dxa"/>
            <w:bottom w:w="0" w:type="dxa"/>
          </w:tblCellMar>
        </w:tblPrEx>
        <w:tc>
          <w:tcPr>
            <w:tcW w:w="4994" w:type="dxa"/>
            <w:tcBorders>
              <w:top w:val="single" w:sz="4" w:space="0" w:color="auto"/>
              <w:left w:val="nil"/>
              <w:bottom w:val="nil"/>
              <w:right w:val="nil"/>
            </w:tcBorders>
            <w:vAlign w:val="center"/>
          </w:tcPr>
          <w:p w14:paraId="2D6C1E09"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Insurance</w:t>
            </w:r>
          </w:p>
        </w:tc>
        <w:tc>
          <w:tcPr>
            <w:tcW w:w="618" w:type="dxa"/>
            <w:tcBorders>
              <w:top w:val="single" w:sz="4" w:space="0" w:color="auto"/>
              <w:left w:val="nil"/>
              <w:bottom w:val="nil"/>
              <w:right w:val="nil"/>
            </w:tcBorders>
            <w:vAlign w:val="bottom"/>
          </w:tcPr>
          <w:p w14:paraId="27C91750"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224" w:type="dxa"/>
            <w:tcBorders>
              <w:top w:val="single" w:sz="4" w:space="0" w:color="auto"/>
              <w:left w:val="nil"/>
              <w:bottom w:val="nil"/>
              <w:right w:val="nil"/>
            </w:tcBorders>
            <w:vAlign w:val="center"/>
          </w:tcPr>
          <w:p w14:paraId="68901BF2"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119.9</w:t>
            </w:r>
          </w:p>
        </w:tc>
        <w:tc>
          <w:tcPr>
            <w:tcW w:w="1126" w:type="dxa"/>
            <w:tcBorders>
              <w:top w:val="single" w:sz="4" w:space="0" w:color="auto"/>
              <w:left w:val="nil"/>
              <w:bottom w:val="nil"/>
              <w:right w:val="nil"/>
            </w:tcBorders>
            <w:vAlign w:val="center"/>
          </w:tcPr>
          <w:p w14:paraId="7B8D027B"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105.6</w:t>
            </w:r>
          </w:p>
        </w:tc>
        <w:tc>
          <w:tcPr>
            <w:tcW w:w="1106" w:type="dxa"/>
            <w:tcBorders>
              <w:top w:val="single" w:sz="4" w:space="0" w:color="auto"/>
              <w:left w:val="nil"/>
              <w:bottom w:val="nil"/>
              <w:right w:val="nil"/>
            </w:tcBorders>
          </w:tcPr>
          <w:p w14:paraId="6BA51447"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14%</w:t>
            </w:r>
          </w:p>
        </w:tc>
      </w:tr>
      <w:tr w:rsidR="00756913" w:rsidRPr="00756913" w14:paraId="192A1628" w14:textId="77777777">
        <w:tblPrEx>
          <w:tblCellMar>
            <w:top w:w="0" w:type="dxa"/>
            <w:bottom w:w="0" w:type="dxa"/>
          </w:tblCellMar>
        </w:tblPrEx>
        <w:tc>
          <w:tcPr>
            <w:tcW w:w="4994" w:type="dxa"/>
            <w:tcBorders>
              <w:top w:val="nil"/>
              <w:left w:val="nil"/>
              <w:bottom w:val="nil"/>
              <w:right w:val="nil"/>
            </w:tcBorders>
            <w:vAlign w:val="center"/>
          </w:tcPr>
          <w:p w14:paraId="446A7E3F"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Money</w:t>
            </w:r>
          </w:p>
        </w:tc>
        <w:tc>
          <w:tcPr>
            <w:tcW w:w="618" w:type="dxa"/>
            <w:tcBorders>
              <w:top w:val="nil"/>
              <w:left w:val="nil"/>
              <w:bottom w:val="nil"/>
              <w:right w:val="nil"/>
            </w:tcBorders>
            <w:vAlign w:val="bottom"/>
          </w:tcPr>
          <w:p w14:paraId="447A1825"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224" w:type="dxa"/>
            <w:tcBorders>
              <w:top w:val="nil"/>
              <w:left w:val="nil"/>
              <w:bottom w:val="nil"/>
              <w:right w:val="nil"/>
            </w:tcBorders>
          </w:tcPr>
          <w:p w14:paraId="1AFD1471"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50.9</w:t>
            </w:r>
          </w:p>
        </w:tc>
        <w:tc>
          <w:tcPr>
            <w:tcW w:w="1126" w:type="dxa"/>
            <w:tcBorders>
              <w:top w:val="nil"/>
              <w:left w:val="nil"/>
              <w:bottom w:val="nil"/>
              <w:right w:val="nil"/>
            </w:tcBorders>
          </w:tcPr>
          <w:p w14:paraId="7A05F416"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51.9</w:t>
            </w:r>
          </w:p>
        </w:tc>
        <w:tc>
          <w:tcPr>
            <w:tcW w:w="1106" w:type="dxa"/>
            <w:tcBorders>
              <w:top w:val="nil"/>
              <w:left w:val="nil"/>
              <w:bottom w:val="nil"/>
              <w:right w:val="nil"/>
            </w:tcBorders>
          </w:tcPr>
          <w:p w14:paraId="5171E34E"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(2)%</w:t>
            </w:r>
          </w:p>
        </w:tc>
      </w:tr>
      <w:tr w:rsidR="00756913" w:rsidRPr="00756913" w14:paraId="4A879AFB" w14:textId="77777777">
        <w:tblPrEx>
          <w:tblCellMar>
            <w:top w:w="0" w:type="dxa"/>
            <w:bottom w:w="0" w:type="dxa"/>
          </w:tblCellMar>
        </w:tblPrEx>
        <w:tc>
          <w:tcPr>
            <w:tcW w:w="4994" w:type="dxa"/>
            <w:tcBorders>
              <w:top w:val="nil"/>
              <w:left w:val="nil"/>
              <w:bottom w:val="nil"/>
              <w:right w:val="nil"/>
            </w:tcBorders>
            <w:vAlign w:val="center"/>
          </w:tcPr>
          <w:p w14:paraId="7EA0C8CE"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Home Services</w:t>
            </w:r>
          </w:p>
        </w:tc>
        <w:tc>
          <w:tcPr>
            <w:tcW w:w="618" w:type="dxa"/>
            <w:tcBorders>
              <w:top w:val="nil"/>
              <w:left w:val="nil"/>
              <w:bottom w:val="nil"/>
              <w:right w:val="nil"/>
            </w:tcBorders>
            <w:vAlign w:val="bottom"/>
          </w:tcPr>
          <w:p w14:paraId="79448397"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224" w:type="dxa"/>
            <w:tcBorders>
              <w:top w:val="nil"/>
              <w:left w:val="nil"/>
              <w:bottom w:val="nil"/>
              <w:right w:val="nil"/>
            </w:tcBorders>
          </w:tcPr>
          <w:p w14:paraId="54792254"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16.7</w:t>
            </w:r>
          </w:p>
        </w:tc>
        <w:tc>
          <w:tcPr>
            <w:tcW w:w="1126" w:type="dxa"/>
            <w:tcBorders>
              <w:top w:val="nil"/>
              <w:left w:val="nil"/>
              <w:bottom w:val="nil"/>
              <w:right w:val="nil"/>
            </w:tcBorders>
          </w:tcPr>
          <w:p w14:paraId="4626CEB3"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18.7</w:t>
            </w:r>
          </w:p>
        </w:tc>
        <w:tc>
          <w:tcPr>
            <w:tcW w:w="1106" w:type="dxa"/>
            <w:tcBorders>
              <w:top w:val="nil"/>
              <w:left w:val="nil"/>
              <w:bottom w:val="nil"/>
              <w:right w:val="nil"/>
            </w:tcBorders>
          </w:tcPr>
          <w:p w14:paraId="59D48F3A"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(10)%</w:t>
            </w:r>
          </w:p>
        </w:tc>
      </w:tr>
      <w:tr w:rsidR="00756913" w:rsidRPr="00756913" w14:paraId="2E4E583A" w14:textId="77777777">
        <w:tblPrEx>
          <w:tblCellMar>
            <w:top w:w="0" w:type="dxa"/>
            <w:bottom w:w="0" w:type="dxa"/>
          </w:tblCellMar>
        </w:tblPrEx>
        <w:tc>
          <w:tcPr>
            <w:tcW w:w="4994" w:type="dxa"/>
            <w:tcBorders>
              <w:top w:val="nil"/>
              <w:left w:val="nil"/>
              <w:bottom w:val="nil"/>
              <w:right w:val="nil"/>
            </w:tcBorders>
            <w:vAlign w:val="center"/>
          </w:tcPr>
          <w:p w14:paraId="4F517323"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Travel</w:t>
            </w:r>
          </w:p>
        </w:tc>
        <w:tc>
          <w:tcPr>
            <w:tcW w:w="618" w:type="dxa"/>
            <w:tcBorders>
              <w:top w:val="nil"/>
              <w:left w:val="nil"/>
              <w:bottom w:val="nil"/>
              <w:right w:val="nil"/>
            </w:tcBorders>
            <w:vAlign w:val="bottom"/>
          </w:tcPr>
          <w:p w14:paraId="02BAEB66"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224" w:type="dxa"/>
            <w:tcBorders>
              <w:top w:val="nil"/>
              <w:left w:val="nil"/>
              <w:bottom w:val="nil"/>
              <w:right w:val="nil"/>
            </w:tcBorders>
          </w:tcPr>
          <w:p w14:paraId="57E547D3"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11.7</w:t>
            </w:r>
          </w:p>
        </w:tc>
        <w:tc>
          <w:tcPr>
            <w:tcW w:w="1126" w:type="dxa"/>
            <w:tcBorders>
              <w:top w:val="nil"/>
              <w:left w:val="nil"/>
              <w:bottom w:val="nil"/>
              <w:right w:val="nil"/>
            </w:tcBorders>
          </w:tcPr>
          <w:p w14:paraId="12014419"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11.6</w:t>
            </w:r>
          </w:p>
        </w:tc>
        <w:tc>
          <w:tcPr>
            <w:tcW w:w="1106" w:type="dxa"/>
            <w:tcBorders>
              <w:top w:val="nil"/>
              <w:left w:val="nil"/>
              <w:bottom w:val="nil"/>
              <w:right w:val="nil"/>
            </w:tcBorders>
          </w:tcPr>
          <w:p w14:paraId="559E206A"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1%</w:t>
            </w:r>
          </w:p>
        </w:tc>
      </w:tr>
      <w:tr w:rsidR="00756913" w:rsidRPr="00756913" w14:paraId="3F907E55" w14:textId="77777777">
        <w:tblPrEx>
          <w:tblCellMar>
            <w:top w:w="0" w:type="dxa"/>
            <w:bottom w:w="0" w:type="dxa"/>
          </w:tblCellMar>
        </w:tblPrEx>
        <w:tc>
          <w:tcPr>
            <w:tcW w:w="4994" w:type="dxa"/>
            <w:tcBorders>
              <w:top w:val="nil"/>
              <w:left w:val="nil"/>
              <w:bottom w:val="nil"/>
              <w:right w:val="nil"/>
            </w:tcBorders>
            <w:vAlign w:val="center"/>
          </w:tcPr>
          <w:p w14:paraId="0E9B7B1F"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Cashback</w:t>
            </w:r>
          </w:p>
        </w:tc>
        <w:tc>
          <w:tcPr>
            <w:tcW w:w="618" w:type="dxa"/>
            <w:tcBorders>
              <w:top w:val="nil"/>
              <w:left w:val="nil"/>
              <w:bottom w:val="nil"/>
              <w:right w:val="nil"/>
            </w:tcBorders>
            <w:vAlign w:val="bottom"/>
          </w:tcPr>
          <w:p w14:paraId="7DCF03C3"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224" w:type="dxa"/>
            <w:tcBorders>
              <w:top w:val="nil"/>
              <w:left w:val="nil"/>
              <w:bottom w:val="nil"/>
              <w:right w:val="nil"/>
            </w:tcBorders>
          </w:tcPr>
          <w:p w14:paraId="09D05631"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29.8</w:t>
            </w:r>
          </w:p>
        </w:tc>
        <w:tc>
          <w:tcPr>
            <w:tcW w:w="1126" w:type="dxa"/>
            <w:tcBorders>
              <w:top w:val="nil"/>
              <w:left w:val="nil"/>
              <w:bottom w:val="nil"/>
              <w:right w:val="nil"/>
            </w:tcBorders>
          </w:tcPr>
          <w:p w14:paraId="18873D24"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29.0</w:t>
            </w:r>
          </w:p>
        </w:tc>
        <w:tc>
          <w:tcPr>
            <w:tcW w:w="1106" w:type="dxa"/>
            <w:tcBorders>
              <w:top w:val="nil"/>
              <w:left w:val="nil"/>
              <w:bottom w:val="nil"/>
              <w:right w:val="nil"/>
            </w:tcBorders>
          </w:tcPr>
          <w:p w14:paraId="17414F6B"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3%</w:t>
            </w:r>
          </w:p>
        </w:tc>
      </w:tr>
      <w:tr w:rsidR="00756913" w:rsidRPr="00756913" w14:paraId="28DC36B3" w14:textId="77777777">
        <w:tblPrEx>
          <w:tblCellMar>
            <w:top w:w="0" w:type="dxa"/>
            <w:bottom w:w="0" w:type="dxa"/>
          </w:tblCellMar>
        </w:tblPrEx>
        <w:tc>
          <w:tcPr>
            <w:tcW w:w="4994" w:type="dxa"/>
            <w:tcBorders>
              <w:top w:val="nil"/>
              <w:left w:val="nil"/>
              <w:bottom w:val="nil"/>
              <w:right w:val="nil"/>
            </w:tcBorders>
            <w:vAlign w:val="center"/>
          </w:tcPr>
          <w:p w14:paraId="254B6124"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Inter-vertical eliminations</w:t>
            </w:r>
          </w:p>
        </w:tc>
        <w:tc>
          <w:tcPr>
            <w:tcW w:w="618" w:type="dxa"/>
            <w:tcBorders>
              <w:top w:val="nil"/>
              <w:left w:val="nil"/>
              <w:bottom w:val="nil"/>
              <w:right w:val="nil"/>
            </w:tcBorders>
            <w:vAlign w:val="bottom"/>
          </w:tcPr>
          <w:p w14:paraId="57DA68E2"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224" w:type="dxa"/>
            <w:tcBorders>
              <w:top w:val="nil"/>
              <w:left w:val="nil"/>
              <w:bottom w:val="nil"/>
              <w:right w:val="nil"/>
            </w:tcBorders>
          </w:tcPr>
          <w:p w14:paraId="70F698E4"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(5.5)</w:t>
            </w:r>
          </w:p>
        </w:tc>
        <w:tc>
          <w:tcPr>
            <w:tcW w:w="1126" w:type="dxa"/>
            <w:tcBorders>
              <w:top w:val="nil"/>
              <w:left w:val="nil"/>
              <w:bottom w:val="nil"/>
              <w:right w:val="nil"/>
            </w:tcBorders>
          </w:tcPr>
          <w:p w14:paraId="3F544728"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(3.0)</w:t>
            </w:r>
          </w:p>
        </w:tc>
        <w:tc>
          <w:tcPr>
            <w:tcW w:w="1106" w:type="dxa"/>
            <w:tcBorders>
              <w:top w:val="nil"/>
              <w:left w:val="nil"/>
              <w:bottom w:val="nil"/>
              <w:right w:val="nil"/>
            </w:tcBorders>
          </w:tcPr>
          <w:p w14:paraId="1F3AABC4"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86%</w:t>
            </w:r>
          </w:p>
        </w:tc>
      </w:tr>
      <w:tr w:rsidR="00756913" w:rsidRPr="00756913" w14:paraId="3F858C96" w14:textId="77777777">
        <w:tblPrEx>
          <w:tblCellMar>
            <w:top w:w="0" w:type="dxa"/>
            <w:bottom w:w="0" w:type="dxa"/>
          </w:tblCellMar>
        </w:tblPrEx>
        <w:tc>
          <w:tcPr>
            <w:tcW w:w="4994" w:type="dxa"/>
            <w:tcBorders>
              <w:top w:val="single" w:sz="4" w:space="0" w:color="auto"/>
              <w:left w:val="nil"/>
              <w:bottom w:val="single" w:sz="4" w:space="0" w:color="auto"/>
              <w:right w:val="nil"/>
            </w:tcBorders>
            <w:vAlign w:val="center"/>
          </w:tcPr>
          <w:p w14:paraId="232B4938"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Total</w:t>
            </w:r>
          </w:p>
        </w:tc>
        <w:tc>
          <w:tcPr>
            <w:tcW w:w="618" w:type="dxa"/>
            <w:tcBorders>
              <w:top w:val="single" w:sz="4" w:space="0" w:color="auto"/>
              <w:left w:val="nil"/>
              <w:bottom w:val="single" w:sz="4" w:space="0" w:color="auto"/>
              <w:right w:val="nil"/>
            </w:tcBorders>
            <w:vAlign w:val="bottom"/>
          </w:tcPr>
          <w:p w14:paraId="4EA4BB2A"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224" w:type="dxa"/>
            <w:tcBorders>
              <w:top w:val="single" w:sz="4" w:space="0" w:color="auto"/>
              <w:left w:val="nil"/>
              <w:bottom w:val="single" w:sz="4" w:space="0" w:color="auto"/>
              <w:right w:val="nil"/>
            </w:tcBorders>
          </w:tcPr>
          <w:p w14:paraId="20AD2196"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223.5</w:t>
            </w:r>
          </w:p>
        </w:tc>
        <w:tc>
          <w:tcPr>
            <w:tcW w:w="1126" w:type="dxa"/>
            <w:tcBorders>
              <w:top w:val="single" w:sz="4" w:space="0" w:color="auto"/>
              <w:left w:val="nil"/>
              <w:bottom w:val="single" w:sz="4" w:space="0" w:color="auto"/>
              <w:right w:val="nil"/>
            </w:tcBorders>
          </w:tcPr>
          <w:p w14:paraId="2CEE3D7A"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 xml:space="preserve">213.8 </w:t>
            </w:r>
          </w:p>
        </w:tc>
        <w:tc>
          <w:tcPr>
            <w:tcW w:w="1106" w:type="dxa"/>
            <w:tcBorders>
              <w:top w:val="single" w:sz="4" w:space="0" w:color="auto"/>
              <w:left w:val="nil"/>
              <w:bottom w:val="single" w:sz="4" w:space="0" w:color="auto"/>
              <w:right w:val="nil"/>
            </w:tcBorders>
          </w:tcPr>
          <w:p w14:paraId="4AB93DD2"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5%</w:t>
            </w:r>
          </w:p>
        </w:tc>
      </w:tr>
    </w:tbl>
    <w:p w14:paraId="016F348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FF0000"/>
          <w:sz w:val="18"/>
          <w:szCs w:val="18"/>
          <w14:ligatures w14:val="standardContextual"/>
        </w:rPr>
      </w:pPr>
    </w:p>
    <w:p w14:paraId="223EF75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000000"/>
          <w:sz w:val="20"/>
          <w:szCs w:val="20"/>
          <w14:ligatures w14:val="standardContextual"/>
        </w:rPr>
      </w:pPr>
    </w:p>
    <w:p w14:paraId="64A26A7D" w14:textId="77777777" w:rsidR="00756913" w:rsidRPr="00756913" w:rsidRDefault="00756913" w:rsidP="00756913">
      <w:pPr>
        <w:autoSpaceDE w:val="0"/>
        <w:autoSpaceDN w:val="0"/>
        <w:adjustRightInd w:val="0"/>
        <w:spacing w:before="240" w:after="0"/>
        <w:rPr>
          <w:rFonts w:ascii="Arial" w:hAnsi="Arial" w:cs="Arial"/>
          <w:b/>
          <w:bCs/>
          <w14:ligatures w14:val="standardContextual"/>
        </w:rPr>
      </w:pPr>
      <w:r w:rsidRPr="00756913">
        <w:rPr>
          <w:rFonts w:ascii="Arial" w:hAnsi="Arial" w:cs="Arial"/>
          <w:b/>
          <w:bCs/>
          <w:sz w:val="20"/>
          <w:szCs w:val="20"/>
          <w14:ligatures w14:val="standardContextual"/>
        </w:rPr>
        <w:t>Operating costs</w:t>
      </w:r>
    </w:p>
    <w:p w14:paraId="45DC2C1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i/>
          <w:iCs/>
          <w14:ligatures w14:val="standardContextual"/>
        </w:rPr>
      </w:pPr>
      <w:r w:rsidRPr="00756913">
        <w:rPr>
          <w:rFonts w:ascii="Arial" w:hAnsi="Arial" w:cs="Arial"/>
          <w:i/>
          <w:iCs/>
          <w:sz w:val="20"/>
          <w:szCs w:val="20"/>
          <w14:ligatures w14:val="standardContextual"/>
        </w:rPr>
        <w:t>for the six months ended 30 June 2024 and 30 June 2023</w:t>
      </w:r>
    </w:p>
    <w:tbl>
      <w:tblPr>
        <w:tblW w:w="0" w:type="auto"/>
        <w:tblLayout w:type="fixed"/>
        <w:tblCellMar>
          <w:left w:w="10" w:type="dxa"/>
          <w:right w:w="10" w:type="dxa"/>
        </w:tblCellMar>
        <w:tblLook w:val="0000" w:firstRow="0" w:lastRow="0" w:firstColumn="0" w:lastColumn="0" w:noHBand="0" w:noVBand="0"/>
      </w:tblPr>
      <w:tblGrid>
        <w:gridCol w:w="4924"/>
        <w:gridCol w:w="627"/>
        <w:gridCol w:w="1125"/>
        <w:gridCol w:w="1125"/>
        <w:gridCol w:w="1110"/>
      </w:tblGrid>
      <w:tr w:rsidR="00756913" w:rsidRPr="00756913" w14:paraId="275816EE" w14:textId="77777777">
        <w:tblPrEx>
          <w:tblCellMar>
            <w:top w:w="0" w:type="dxa"/>
            <w:bottom w:w="0" w:type="dxa"/>
          </w:tblCellMar>
        </w:tblPrEx>
        <w:trPr>
          <w:trHeight w:val="88"/>
        </w:trPr>
        <w:tc>
          <w:tcPr>
            <w:tcW w:w="4924" w:type="dxa"/>
            <w:tcBorders>
              <w:top w:val="nil"/>
              <w:left w:val="nil"/>
              <w:bottom w:val="nil"/>
              <w:right w:val="nil"/>
            </w:tcBorders>
            <w:vAlign w:val="center"/>
          </w:tcPr>
          <w:p w14:paraId="2A954FDE" w14:textId="77777777" w:rsidR="00756913" w:rsidRPr="00756913" w:rsidRDefault="00756913" w:rsidP="00756913">
            <w:pPr>
              <w:autoSpaceDE w:val="0"/>
              <w:autoSpaceDN w:val="0"/>
              <w:adjustRightInd w:val="0"/>
              <w:spacing w:before="40" w:after="0"/>
              <w:rPr>
                <w:rFonts w:ascii="Arial" w:hAnsi="Arial" w:cs="Arial"/>
                <w:b/>
                <w:bCs/>
                <w:color w:val="FF0000"/>
                <w:sz w:val="20"/>
                <w:szCs w:val="20"/>
                <w14:ligatures w14:val="standardContextual"/>
              </w:rPr>
            </w:pPr>
          </w:p>
        </w:tc>
        <w:tc>
          <w:tcPr>
            <w:tcW w:w="627" w:type="dxa"/>
            <w:tcBorders>
              <w:top w:val="nil"/>
              <w:left w:val="nil"/>
              <w:bottom w:val="nil"/>
              <w:right w:val="nil"/>
            </w:tcBorders>
            <w:vAlign w:val="bottom"/>
          </w:tcPr>
          <w:p w14:paraId="3D25D0BD"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nil"/>
              <w:left w:val="nil"/>
              <w:bottom w:val="nil"/>
              <w:right w:val="nil"/>
            </w:tcBorders>
            <w:vAlign w:val="center"/>
          </w:tcPr>
          <w:p w14:paraId="6EC5BB5F"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2024</w:t>
            </w:r>
          </w:p>
        </w:tc>
        <w:tc>
          <w:tcPr>
            <w:tcW w:w="1125" w:type="dxa"/>
            <w:tcBorders>
              <w:top w:val="nil"/>
              <w:left w:val="nil"/>
              <w:bottom w:val="nil"/>
              <w:right w:val="nil"/>
            </w:tcBorders>
            <w:vAlign w:val="center"/>
          </w:tcPr>
          <w:p w14:paraId="32B22E1D"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2023</w:t>
            </w:r>
          </w:p>
        </w:tc>
        <w:tc>
          <w:tcPr>
            <w:tcW w:w="1110" w:type="dxa"/>
            <w:tcBorders>
              <w:top w:val="nil"/>
              <w:left w:val="nil"/>
              <w:bottom w:val="nil"/>
              <w:right w:val="nil"/>
            </w:tcBorders>
            <w:vAlign w:val="center"/>
          </w:tcPr>
          <w:p w14:paraId="789FD916"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Growth</w:t>
            </w:r>
          </w:p>
        </w:tc>
      </w:tr>
      <w:tr w:rsidR="00756913" w:rsidRPr="00756913" w14:paraId="6EAB372F" w14:textId="77777777">
        <w:tblPrEx>
          <w:tblCellMar>
            <w:top w:w="0" w:type="dxa"/>
            <w:bottom w:w="0" w:type="dxa"/>
          </w:tblCellMar>
        </w:tblPrEx>
        <w:tc>
          <w:tcPr>
            <w:tcW w:w="4924" w:type="dxa"/>
            <w:tcBorders>
              <w:top w:val="nil"/>
              <w:left w:val="nil"/>
              <w:bottom w:val="single" w:sz="4" w:space="0" w:color="auto"/>
              <w:right w:val="nil"/>
            </w:tcBorders>
            <w:vAlign w:val="center"/>
          </w:tcPr>
          <w:p w14:paraId="79747EB3" w14:textId="77777777" w:rsidR="00756913" w:rsidRPr="00756913" w:rsidRDefault="00756913" w:rsidP="00756913">
            <w:pPr>
              <w:autoSpaceDE w:val="0"/>
              <w:autoSpaceDN w:val="0"/>
              <w:adjustRightInd w:val="0"/>
              <w:spacing w:before="40" w:after="0"/>
              <w:ind w:left="173" w:hanging="173"/>
              <w:rPr>
                <w:rFonts w:ascii="Arial" w:hAnsi="Arial" w:cs="Arial"/>
                <w:b/>
                <w:bCs/>
                <w:color w:val="FF0000"/>
                <w:sz w:val="20"/>
                <w:szCs w:val="20"/>
                <w14:ligatures w14:val="standardContextual"/>
              </w:rPr>
            </w:pPr>
          </w:p>
        </w:tc>
        <w:tc>
          <w:tcPr>
            <w:tcW w:w="627" w:type="dxa"/>
            <w:tcBorders>
              <w:top w:val="nil"/>
              <w:left w:val="nil"/>
              <w:bottom w:val="single" w:sz="4" w:space="0" w:color="auto"/>
              <w:right w:val="nil"/>
            </w:tcBorders>
            <w:vAlign w:val="bottom"/>
          </w:tcPr>
          <w:p w14:paraId="052D9BDB"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nil"/>
              <w:left w:val="nil"/>
              <w:bottom w:val="single" w:sz="4" w:space="0" w:color="auto"/>
              <w:right w:val="nil"/>
            </w:tcBorders>
            <w:vAlign w:val="center"/>
          </w:tcPr>
          <w:p w14:paraId="41C0D9BB"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£m</w:t>
            </w:r>
          </w:p>
        </w:tc>
        <w:tc>
          <w:tcPr>
            <w:tcW w:w="1125" w:type="dxa"/>
            <w:tcBorders>
              <w:top w:val="nil"/>
              <w:left w:val="nil"/>
              <w:bottom w:val="single" w:sz="4" w:space="0" w:color="auto"/>
              <w:right w:val="nil"/>
            </w:tcBorders>
            <w:vAlign w:val="center"/>
          </w:tcPr>
          <w:p w14:paraId="1E6DA51D"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£m</w:t>
            </w:r>
          </w:p>
        </w:tc>
        <w:tc>
          <w:tcPr>
            <w:tcW w:w="1110" w:type="dxa"/>
            <w:tcBorders>
              <w:top w:val="nil"/>
              <w:left w:val="nil"/>
              <w:bottom w:val="single" w:sz="4" w:space="0" w:color="auto"/>
              <w:right w:val="nil"/>
            </w:tcBorders>
            <w:vAlign w:val="center"/>
          </w:tcPr>
          <w:p w14:paraId="6F641CA1"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p>
        </w:tc>
      </w:tr>
      <w:tr w:rsidR="00756913" w:rsidRPr="00756913" w14:paraId="172FC093" w14:textId="77777777">
        <w:tblPrEx>
          <w:tblCellMar>
            <w:top w:w="0" w:type="dxa"/>
            <w:bottom w:w="0" w:type="dxa"/>
          </w:tblCellMar>
        </w:tblPrEx>
        <w:tc>
          <w:tcPr>
            <w:tcW w:w="4924" w:type="dxa"/>
            <w:tcBorders>
              <w:top w:val="single" w:sz="4" w:space="0" w:color="auto"/>
              <w:left w:val="nil"/>
              <w:bottom w:val="nil"/>
              <w:right w:val="nil"/>
            </w:tcBorders>
            <w:vAlign w:val="center"/>
          </w:tcPr>
          <w:p w14:paraId="3970F917"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Distribution expenses</w:t>
            </w:r>
          </w:p>
        </w:tc>
        <w:tc>
          <w:tcPr>
            <w:tcW w:w="627" w:type="dxa"/>
            <w:tcBorders>
              <w:top w:val="single" w:sz="4" w:space="0" w:color="auto"/>
              <w:left w:val="nil"/>
              <w:bottom w:val="nil"/>
              <w:right w:val="nil"/>
            </w:tcBorders>
            <w:vAlign w:val="bottom"/>
          </w:tcPr>
          <w:p w14:paraId="3E10BA4D"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single" w:sz="4" w:space="0" w:color="auto"/>
              <w:left w:val="nil"/>
              <w:bottom w:val="nil"/>
              <w:right w:val="nil"/>
            </w:tcBorders>
            <w:vAlign w:val="center"/>
          </w:tcPr>
          <w:p w14:paraId="22C7F8BC"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18.9</w:t>
            </w:r>
          </w:p>
        </w:tc>
        <w:tc>
          <w:tcPr>
            <w:tcW w:w="1125" w:type="dxa"/>
            <w:tcBorders>
              <w:top w:val="single" w:sz="4" w:space="0" w:color="auto"/>
              <w:left w:val="nil"/>
              <w:bottom w:val="nil"/>
              <w:right w:val="nil"/>
            </w:tcBorders>
            <w:vAlign w:val="center"/>
          </w:tcPr>
          <w:p w14:paraId="6C9E1930"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20.6</w:t>
            </w:r>
          </w:p>
        </w:tc>
        <w:tc>
          <w:tcPr>
            <w:tcW w:w="1110" w:type="dxa"/>
            <w:tcBorders>
              <w:top w:val="single" w:sz="4" w:space="0" w:color="auto"/>
              <w:left w:val="nil"/>
              <w:bottom w:val="nil"/>
              <w:right w:val="nil"/>
            </w:tcBorders>
          </w:tcPr>
          <w:p w14:paraId="08393EED"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(8)%</w:t>
            </w:r>
          </w:p>
        </w:tc>
      </w:tr>
      <w:tr w:rsidR="00756913" w:rsidRPr="00756913" w14:paraId="162101C8" w14:textId="77777777">
        <w:tblPrEx>
          <w:tblCellMar>
            <w:top w:w="0" w:type="dxa"/>
            <w:bottom w:w="0" w:type="dxa"/>
          </w:tblCellMar>
        </w:tblPrEx>
        <w:tc>
          <w:tcPr>
            <w:tcW w:w="4924" w:type="dxa"/>
            <w:tcBorders>
              <w:top w:val="nil"/>
              <w:left w:val="nil"/>
              <w:bottom w:val="single" w:sz="4" w:space="0" w:color="auto"/>
              <w:right w:val="nil"/>
            </w:tcBorders>
            <w:vAlign w:val="center"/>
          </w:tcPr>
          <w:p w14:paraId="1DFB7CE7"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Administrative expenses</w:t>
            </w:r>
          </w:p>
        </w:tc>
        <w:tc>
          <w:tcPr>
            <w:tcW w:w="627" w:type="dxa"/>
            <w:tcBorders>
              <w:top w:val="nil"/>
              <w:left w:val="nil"/>
              <w:bottom w:val="single" w:sz="4" w:space="0" w:color="auto"/>
              <w:right w:val="nil"/>
            </w:tcBorders>
            <w:vAlign w:val="bottom"/>
          </w:tcPr>
          <w:p w14:paraId="53F377EB"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nil"/>
              <w:left w:val="nil"/>
              <w:bottom w:val="single" w:sz="4" w:space="0" w:color="auto"/>
              <w:right w:val="nil"/>
            </w:tcBorders>
          </w:tcPr>
          <w:p w14:paraId="3E4C4F95"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72.9</w:t>
            </w:r>
          </w:p>
        </w:tc>
        <w:tc>
          <w:tcPr>
            <w:tcW w:w="1125" w:type="dxa"/>
            <w:tcBorders>
              <w:top w:val="nil"/>
              <w:left w:val="nil"/>
              <w:bottom w:val="single" w:sz="4" w:space="0" w:color="auto"/>
              <w:right w:val="nil"/>
            </w:tcBorders>
          </w:tcPr>
          <w:p w14:paraId="1095DF79"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69.1</w:t>
            </w:r>
          </w:p>
        </w:tc>
        <w:tc>
          <w:tcPr>
            <w:tcW w:w="1110" w:type="dxa"/>
            <w:tcBorders>
              <w:top w:val="nil"/>
              <w:left w:val="nil"/>
              <w:bottom w:val="single" w:sz="4" w:space="0" w:color="auto"/>
              <w:right w:val="nil"/>
            </w:tcBorders>
          </w:tcPr>
          <w:p w14:paraId="60AADE5A"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5%</w:t>
            </w:r>
          </w:p>
        </w:tc>
      </w:tr>
      <w:tr w:rsidR="00756913" w:rsidRPr="00756913" w14:paraId="2914A384" w14:textId="77777777">
        <w:tblPrEx>
          <w:tblCellMar>
            <w:top w:w="0" w:type="dxa"/>
            <w:bottom w:w="0" w:type="dxa"/>
          </w:tblCellMar>
        </w:tblPrEx>
        <w:tc>
          <w:tcPr>
            <w:tcW w:w="4924" w:type="dxa"/>
            <w:tcBorders>
              <w:top w:val="single" w:sz="4" w:space="0" w:color="auto"/>
              <w:left w:val="nil"/>
              <w:bottom w:val="single" w:sz="4" w:space="0" w:color="auto"/>
              <w:right w:val="nil"/>
            </w:tcBorders>
            <w:vAlign w:val="center"/>
          </w:tcPr>
          <w:p w14:paraId="0B4E1C64"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Operating costs</w:t>
            </w:r>
          </w:p>
        </w:tc>
        <w:tc>
          <w:tcPr>
            <w:tcW w:w="627" w:type="dxa"/>
            <w:tcBorders>
              <w:top w:val="single" w:sz="4" w:space="0" w:color="auto"/>
              <w:left w:val="nil"/>
              <w:bottom w:val="single" w:sz="4" w:space="0" w:color="auto"/>
              <w:right w:val="nil"/>
            </w:tcBorders>
            <w:vAlign w:val="bottom"/>
          </w:tcPr>
          <w:p w14:paraId="4EA3EDC9"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single" w:sz="4" w:space="0" w:color="auto"/>
              <w:left w:val="nil"/>
              <w:bottom w:val="single" w:sz="4" w:space="0" w:color="auto"/>
              <w:right w:val="nil"/>
            </w:tcBorders>
          </w:tcPr>
          <w:p w14:paraId="01E62079"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91.8</w:t>
            </w:r>
          </w:p>
        </w:tc>
        <w:tc>
          <w:tcPr>
            <w:tcW w:w="1125" w:type="dxa"/>
            <w:tcBorders>
              <w:top w:val="single" w:sz="4" w:space="0" w:color="auto"/>
              <w:left w:val="nil"/>
              <w:bottom w:val="single" w:sz="4" w:space="0" w:color="auto"/>
              <w:right w:val="nil"/>
            </w:tcBorders>
          </w:tcPr>
          <w:p w14:paraId="74787D5F"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89.7</w:t>
            </w:r>
          </w:p>
        </w:tc>
        <w:tc>
          <w:tcPr>
            <w:tcW w:w="1110" w:type="dxa"/>
            <w:tcBorders>
              <w:top w:val="single" w:sz="4" w:space="0" w:color="auto"/>
              <w:left w:val="nil"/>
              <w:bottom w:val="single" w:sz="4" w:space="0" w:color="auto"/>
              <w:right w:val="nil"/>
            </w:tcBorders>
          </w:tcPr>
          <w:p w14:paraId="4D6EA74A"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2%</w:t>
            </w:r>
          </w:p>
        </w:tc>
      </w:tr>
      <w:tr w:rsidR="00756913" w:rsidRPr="00756913" w14:paraId="40E79D60" w14:textId="77777777">
        <w:tblPrEx>
          <w:tblCellMar>
            <w:top w:w="0" w:type="dxa"/>
            <w:bottom w:w="0" w:type="dxa"/>
          </w:tblCellMar>
        </w:tblPrEx>
        <w:tc>
          <w:tcPr>
            <w:tcW w:w="4924" w:type="dxa"/>
            <w:tcBorders>
              <w:top w:val="single" w:sz="4" w:space="0" w:color="auto"/>
              <w:left w:val="nil"/>
              <w:bottom w:val="nil"/>
              <w:right w:val="nil"/>
            </w:tcBorders>
            <w:vAlign w:val="center"/>
          </w:tcPr>
          <w:p w14:paraId="17D1CC6F"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p>
        </w:tc>
        <w:tc>
          <w:tcPr>
            <w:tcW w:w="627" w:type="dxa"/>
            <w:tcBorders>
              <w:top w:val="single" w:sz="4" w:space="0" w:color="auto"/>
              <w:left w:val="nil"/>
              <w:bottom w:val="nil"/>
              <w:right w:val="nil"/>
            </w:tcBorders>
            <w:vAlign w:val="bottom"/>
          </w:tcPr>
          <w:p w14:paraId="669C6AC1"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single" w:sz="4" w:space="0" w:color="auto"/>
              <w:left w:val="nil"/>
              <w:bottom w:val="nil"/>
              <w:right w:val="nil"/>
            </w:tcBorders>
          </w:tcPr>
          <w:p w14:paraId="19B8634E"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p>
        </w:tc>
        <w:tc>
          <w:tcPr>
            <w:tcW w:w="1125" w:type="dxa"/>
            <w:tcBorders>
              <w:top w:val="single" w:sz="4" w:space="0" w:color="auto"/>
              <w:left w:val="nil"/>
              <w:bottom w:val="nil"/>
              <w:right w:val="nil"/>
            </w:tcBorders>
          </w:tcPr>
          <w:p w14:paraId="51C65E1C"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p>
        </w:tc>
        <w:tc>
          <w:tcPr>
            <w:tcW w:w="1110" w:type="dxa"/>
            <w:tcBorders>
              <w:top w:val="single" w:sz="4" w:space="0" w:color="auto"/>
              <w:left w:val="nil"/>
              <w:bottom w:val="nil"/>
              <w:right w:val="nil"/>
            </w:tcBorders>
          </w:tcPr>
          <w:p w14:paraId="4215298B" w14:textId="77777777" w:rsidR="00756913" w:rsidRPr="00756913" w:rsidRDefault="00756913" w:rsidP="00756913">
            <w:pPr>
              <w:autoSpaceDE w:val="0"/>
              <w:autoSpaceDN w:val="0"/>
              <w:adjustRightInd w:val="0"/>
              <w:spacing w:before="40" w:after="0"/>
              <w:jc w:val="right"/>
              <w:rPr>
                <w:rFonts w:ascii="Arial" w:hAnsi="Arial" w:cs="Arial"/>
                <w:color w:val="FF0000"/>
                <w:sz w:val="20"/>
                <w:szCs w:val="20"/>
                <w14:ligatures w14:val="standardContextual"/>
              </w:rPr>
            </w:pPr>
          </w:p>
        </w:tc>
      </w:tr>
      <w:tr w:rsidR="00756913" w:rsidRPr="00756913" w14:paraId="2AB0E058" w14:textId="77777777">
        <w:tblPrEx>
          <w:tblCellMar>
            <w:top w:w="0" w:type="dxa"/>
            <w:bottom w:w="0" w:type="dxa"/>
          </w:tblCellMar>
        </w:tblPrEx>
        <w:tc>
          <w:tcPr>
            <w:tcW w:w="4924" w:type="dxa"/>
            <w:tcBorders>
              <w:top w:val="nil"/>
              <w:left w:val="nil"/>
              <w:bottom w:val="nil"/>
              <w:right w:val="nil"/>
            </w:tcBorders>
            <w:vAlign w:val="center"/>
          </w:tcPr>
          <w:p w14:paraId="108D4A96"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Within administration expenses:</w:t>
            </w:r>
          </w:p>
        </w:tc>
        <w:tc>
          <w:tcPr>
            <w:tcW w:w="627" w:type="dxa"/>
            <w:tcBorders>
              <w:top w:val="nil"/>
              <w:left w:val="nil"/>
              <w:bottom w:val="nil"/>
              <w:right w:val="nil"/>
            </w:tcBorders>
            <w:vAlign w:val="bottom"/>
          </w:tcPr>
          <w:p w14:paraId="177326C0"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nil"/>
              <w:left w:val="nil"/>
              <w:bottom w:val="nil"/>
              <w:right w:val="nil"/>
            </w:tcBorders>
          </w:tcPr>
          <w:p w14:paraId="37A24774"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p>
        </w:tc>
        <w:tc>
          <w:tcPr>
            <w:tcW w:w="1125" w:type="dxa"/>
            <w:tcBorders>
              <w:top w:val="nil"/>
              <w:left w:val="nil"/>
              <w:bottom w:val="nil"/>
              <w:right w:val="nil"/>
            </w:tcBorders>
          </w:tcPr>
          <w:p w14:paraId="679BED5A"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p>
        </w:tc>
        <w:tc>
          <w:tcPr>
            <w:tcW w:w="1110" w:type="dxa"/>
            <w:tcBorders>
              <w:top w:val="nil"/>
              <w:left w:val="nil"/>
              <w:bottom w:val="nil"/>
              <w:right w:val="nil"/>
            </w:tcBorders>
          </w:tcPr>
          <w:p w14:paraId="63ED8915" w14:textId="77777777" w:rsidR="00756913" w:rsidRPr="00756913" w:rsidRDefault="00756913" w:rsidP="00756913">
            <w:pPr>
              <w:autoSpaceDE w:val="0"/>
              <w:autoSpaceDN w:val="0"/>
              <w:adjustRightInd w:val="0"/>
              <w:spacing w:before="40" w:after="0"/>
              <w:jc w:val="right"/>
              <w:rPr>
                <w:rFonts w:ascii="Arial" w:hAnsi="Arial" w:cs="Arial"/>
                <w:color w:val="FF0000"/>
                <w:sz w:val="20"/>
                <w:szCs w:val="20"/>
                <w14:ligatures w14:val="standardContextual"/>
              </w:rPr>
            </w:pPr>
          </w:p>
        </w:tc>
      </w:tr>
      <w:tr w:rsidR="00756913" w:rsidRPr="00756913" w14:paraId="0336F16D" w14:textId="77777777">
        <w:tblPrEx>
          <w:tblCellMar>
            <w:top w:w="0" w:type="dxa"/>
            <w:bottom w:w="0" w:type="dxa"/>
          </w:tblCellMar>
        </w:tblPrEx>
        <w:tc>
          <w:tcPr>
            <w:tcW w:w="4924" w:type="dxa"/>
            <w:tcBorders>
              <w:top w:val="nil"/>
              <w:left w:val="nil"/>
              <w:bottom w:val="nil"/>
              <w:right w:val="nil"/>
            </w:tcBorders>
            <w:vAlign w:val="center"/>
          </w:tcPr>
          <w:p w14:paraId="5E9B5128"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Amortisation of technology related intangible assets</w:t>
            </w:r>
          </w:p>
        </w:tc>
        <w:tc>
          <w:tcPr>
            <w:tcW w:w="627" w:type="dxa"/>
            <w:tcBorders>
              <w:top w:val="nil"/>
              <w:left w:val="nil"/>
              <w:bottom w:val="nil"/>
              <w:right w:val="nil"/>
            </w:tcBorders>
            <w:vAlign w:val="bottom"/>
          </w:tcPr>
          <w:p w14:paraId="0785466C"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nil"/>
              <w:left w:val="nil"/>
              <w:bottom w:val="nil"/>
              <w:right w:val="nil"/>
            </w:tcBorders>
          </w:tcPr>
          <w:p w14:paraId="1EEB5D60"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4.9</w:t>
            </w:r>
          </w:p>
        </w:tc>
        <w:tc>
          <w:tcPr>
            <w:tcW w:w="1125" w:type="dxa"/>
            <w:tcBorders>
              <w:top w:val="nil"/>
              <w:left w:val="nil"/>
              <w:bottom w:val="nil"/>
              <w:right w:val="nil"/>
            </w:tcBorders>
          </w:tcPr>
          <w:p w14:paraId="4669F1EF"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4.4</w:t>
            </w:r>
          </w:p>
        </w:tc>
        <w:tc>
          <w:tcPr>
            <w:tcW w:w="1110" w:type="dxa"/>
            <w:tcBorders>
              <w:top w:val="nil"/>
              <w:left w:val="nil"/>
              <w:bottom w:val="nil"/>
              <w:right w:val="nil"/>
            </w:tcBorders>
          </w:tcPr>
          <w:p w14:paraId="6973314B"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13%</w:t>
            </w:r>
          </w:p>
        </w:tc>
      </w:tr>
      <w:tr w:rsidR="00756913" w:rsidRPr="00756913" w14:paraId="25E0F823" w14:textId="77777777">
        <w:tblPrEx>
          <w:tblCellMar>
            <w:top w:w="0" w:type="dxa"/>
            <w:bottom w:w="0" w:type="dxa"/>
          </w:tblCellMar>
        </w:tblPrEx>
        <w:tc>
          <w:tcPr>
            <w:tcW w:w="4924" w:type="dxa"/>
            <w:tcBorders>
              <w:top w:val="nil"/>
              <w:left w:val="nil"/>
              <w:bottom w:val="nil"/>
              <w:right w:val="nil"/>
            </w:tcBorders>
            <w:vAlign w:val="center"/>
          </w:tcPr>
          <w:p w14:paraId="6DD89AA4"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Amortisation of acquisition related intangible assets</w:t>
            </w:r>
          </w:p>
        </w:tc>
        <w:tc>
          <w:tcPr>
            <w:tcW w:w="627" w:type="dxa"/>
            <w:tcBorders>
              <w:top w:val="nil"/>
              <w:left w:val="nil"/>
              <w:bottom w:val="nil"/>
              <w:right w:val="nil"/>
            </w:tcBorders>
            <w:vAlign w:val="bottom"/>
          </w:tcPr>
          <w:p w14:paraId="29B180B0"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nil"/>
              <w:left w:val="nil"/>
              <w:bottom w:val="nil"/>
              <w:right w:val="nil"/>
            </w:tcBorders>
          </w:tcPr>
          <w:p w14:paraId="19A2BB21"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5.4</w:t>
            </w:r>
          </w:p>
        </w:tc>
        <w:tc>
          <w:tcPr>
            <w:tcW w:w="1125" w:type="dxa"/>
            <w:tcBorders>
              <w:top w:val="nil"/>
              <w:left w:val="nil"/>
              <w:bottom w:val="nil"/>
              <w:right w:val="nil"/>
            </w:tcBorders>
          </w:tcPr>
          <w:p w14:paraId="12F196A4"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5.5</w:t>
            </w:r>
          </w:p>
        </w:tc>
        <w:tc>
          <w:tcPr>
            <w:tcW w:w="1110" w:type="dxa"/>
            <w:tcBorders>
              <w:top w:val="nil"/>
              <w:left w:val="nil"/>
              <w:bottom w:val="nil"/>
              <w:right w:val="nil"/>
            </w:tcBorders>
          </w:tcPr>
          <w:p w14:paraId="592CC727"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(3)%</w:t>
            </w:r>
          </w:p>
        </w:tc>
      </w:tr>
      <w:tr w:rsidR="00756913" w:rsidRPr="00756913" w14:paraId="6468FD4A" w14:textId="77777777">
        <w:tblPrEx>
          <w:tblCellMar>
            <w:top w:w="0" w:type="dxa"/>
            <w:bottom w:w="0" w:type="dxa"/>
          </w:tblCellMar>
        </w:tblPrEx>
        <w:tc>
          <w:tcPr>
            <w:tcW w:w="4924" w:type="dxa"/>
            <w:tcBorders>
              <w:top w:val="nil"/>
              <w:left w:val="nil"/>
              <w:bottom w:val="single" w:sz="4" w:space="0" w:color="auto"/>
              <w:right w:val="nil"/>
            </w:tcBorders>
            <w:vAlign w:val="center"/>
          </w:tcPr>
          <w:p w14:paraId="429C2FCE"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Depreciation</w:t>
            </w:r>
          </w:p>
        </w:tc>
        <w:tc>
          <w:tcPr>
            <w:tcW w:w="627" w:type="dxa"/>
            <w:tcBorders>
              <w:top w:val="nil"/>
              <w:left w:val="nil"/>
              <w:bottom w:val="single" w:sz="4" w:space="0" w:color="auto"/>
              <w:right w:val="nil"/>
            </w:tcBorders>
            <w:vAlign w:val="bottom"/>
          </w:tcPr>
          <w:p w14:paraId="7CE2CA8C"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nil"/>
              <w:left w:val="nil"/>
              <w:bottom w:val="single" w:sz="4" w:space="0" w:color="auto"/>
              <w:right w:val="nil"/>
            </w:tcBorders>
          </w:tcPr>
          <w:p w14:paraId="23815F76"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2.3</w:t>
            </w:r>
          </w:p>
        </w:tc>
        <w:tc>
          <w:tcPr>
            <w:tcW w:w="1125" w:type="dxa"/>
            <w:tcBorders>
              <w:top w:val="nil"/>
              <w:left w:val="nil"/>
              <w:bottom w:val="single" w:sz="4" w:space="0" w:color="auto"/>
              <w:right w:val="nil"/>
            </w:tcBorders>
          </w:tcPr>
          <w:p w14:paraId="3537FC6C"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2.1</w:t>
            </w:r>
          </w:p>
        </w:tc>
        <w:tc>
          <w:tcPr>
            <w:tcW w:w="1110" w:type="dxa"/>
            <w:tcBorders>
              <w:top w:val="nil"/>
              <w:left w:val="nil"/>
              <w:bottom w:val="single" w:sz="4" w:space="0" w:color="auto"/>
              <w:right w:val="nil"/>
            </w:tcBorders>
          </w:tcPr>
          <w:p w14:paraId="3FDB8ACF"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7%</w:t>
            </w:r>
          </w:p>
        </w:tc>
      </w:tr>
      <w:tr w:rsidR="00756913" w:rsidRPr="00756913" w14:paraId="4310BA80" w14:textId="77777777">
        <w:tblPrEx>
          <w:tblCellMar>
            <w:top w:w="0" w:type="dxa"/>
            <w:bottom w:w="0" w:type="dxa"/>
          </w:tblCellMar>
        </w:tblPrEx>
        <w:tc>
          <w:tcPr>
            <w:tcW w:w="4924" w:type="dxa"/>
            <w:tcBorders>
              <w:top w:val="single" w:sz="4" w:space="0" w:color="auto"/>
              <w:left w:val="nil"/>
              <w:bottom w:val="single" w:sz="4" w:space="0" w:color="auto"/>
              <w:right w:val="nil"/>
            </w:tcBorders>
            <w:vAlign w:val="center"/>
          </w:tcPr>
          <w:p w14:paraId="2AC9F4C6"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 xml:space="preserve">Amortisation and depreciation </w:t>
            </w:r>
          </w:p>
        </w:tc>
        <w:tc>
          <w:tcPr>
            <w:tcW w:w="627" w:type="dxa"/>
            <w:tcBorders>
              <w:top w:val="single" w:sz="4" w:space="0" w:color="auto"/>
              <w:left w:val="nil"/>
              <w:bottom w:val="single" w:sz="4" w:space="0" w:color="auto"/>
              <w:right w:val="nil"/>
            </w:tcBorders>
            <w:vAlign w:val="bottom"/>
          </w:tcPr>
          <w:p w14:paraId="20C01132"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single" w:sz="4" w:space="0" w:color="auto"/>
              <w:left w:val="nil"/>
              <w:bottom w:val="single" w:sz="4" w:space="0" w:color="auto"/>
              <w:right w:val="nil"/>
            </w:tcBorders>
          </w:tcPr>
          <w:p w14:paraId="036066A9"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12.6</w:t>
            </w:r>
          </w:p>
        </w:tc>
        <w:tc>
          <w:tcPr>
            <w:tcW w:w="1125" w:type="dxa"/>
            <w:tcBorders>
              <w:top w:val="single" w:sz="4" w:space="0" w:color="auto"/>
              <w:left w:val="nil"/>
              <w:bottom w:val="single" w:sz="4" w:space="0" w:color="auto"/>
              <w:right w:val="nil"/>
            </w:tcBorders>
          </w:tcPr>
          <w:p w14:paraId="244F1D6A"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12.0</w:t>
            </w:r>
          </w:p>
        </w:tc>
        <w:tc>
          <w:tcPr>
            <w:tcW w:w="1110" w:type="dxa"/>
            <w:tcBorders>
              <w:top w:val="single" w:sz="4" w:space="0" w:color="auto"/>
              <w:left w:val="nil"/>
              <w:bottom w:val="single" w:sz="4" w:space="0" w:color="auto"/>
              <w:right w:val="nil"/>
            </w:tcBorders>
          </w:tcPr>
          <w:p w14:paraId="0A2831F2"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5%</w:t>
            </w:r>
          </w:p>
        </w:tc>
      </w:tr>
      <w:tr w:rsidR="00756913" w:rsidRPr="00756913" w14:paraId="12C32356" w14:textId="77777777">
        <w:tblPrEx>
          <w:tblCellMar>
            <w:top w:w="0" w:type="dxa"/>
            <w:bottom w:w="0" w:type="dxa"/>
          </w:tblCellMar>
        </w:tblPrEx>
        <w:tc>
          <w:tcPr>
            <w:tcW w:w="4924" w:type="dxa"/>
            <w:tcBorders>
              <w:top w:val="single" w:sz="4" w:space="0" w:color="auto"/>
              <w:left w:val="nil"/>
              <w:bottom w:val="single" w:sz="4" w:space="0" w:color="auto"/>
              <w:right w:val="nil"/>
            </w:tcBorders>
            <w:vAlign w:val="center"/>
          </w:tcPr>
          <w:p w14:paraId="73CF9311"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p>
          <w:p w14:paraId="7D49F9D2"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p>
        </w:tc>
        <w:tc>
          <w:tcPr>
            <w:tcW w:w="627" w:type="dxa"/>
            <w:tcBorders>
              <w:top w:val="single" w:sz="4" w:space="0" w:color="auto"/>
              <w:left w:val="nil"/>
              <w:bottom w:val="single" w:sz="4" w:space="0" w:color="auto"/>
              <w:right w:val="nil"/>
            </w:tcBorders>
            <w:vAlign w:val="bottom"/>
          </w:tcPr>
          <w:p w14:paraId="1A01D6DE" w14:textId="77777777" w:rsidR="00756913" w:rsidRPr="00756913" w:rsidRDefault="00756913" w:rsidP="00756913">
            <w:pPr>
              <w:autoSpaceDE w:val="0"/>
              <w:autoSpaceDN w:val="0"/>
              <w:adjustRightInd w:val="0"/>
              <w:spacing w:before="40" w:after="0"/>
              <w:jc w:val="center"/>
              <w:rPr>
                <w:rFonts w:ascii="Arial" w:hAnsi="Arial" w:cs="Arial"/>
                <w:color w:val="FF0000"/>
                <w:sz w:val="20"/>
                <w:szCs w:val="20"/>
                <w14:ligatures w14:val="standardContextual"/>
              </w:rPr>
            </w:pPr>
          </w:p>
        </w:tc>
        <w:tc>
          <w:tcPr>
            <w:tcW w:w="1125" w:type="dxa"/>
            <w:tcBorders>
              <w:top w:val="single" w:sz="4" w:space="0" w:color="auto"/>
              <w:left w:val="nil"/>
              <w:bottom w:val="single" w:sz="4" w:space="0" w:color="auto"/>
              <w:right w:val="nil"/>
            </w:tcBorders>
          </w:tcPr>
          <w:p w14:paraId="539CB393"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p>
        </w:tc>
        <w:tc>
          <w:tcPr>
            <w:tcW w:w="1125" w:type="dxa"/>
            <w:tcBorders>
              <w:top w:val="single" w:sz="4" w:space="0" w:color="auto"/>
              <w:left w:val="nil"/>
              <w:bottom w:val="single" w:sz="4" w:space="0" w:color="auto"/>
              <w:right w:val="nil"/>
            </w:tcBorders>
          </w:tcPr>
          <w:p w14:paraId="3DA1FFB2"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p>
        </w:tc>
        <w:tc>
          <w:tcPr>
            <w:tcW w:w="1110" w:type="dxa"/>
            <w:tcBorders>
              <w:top w:val="single" w:sz="4" w:space="0" w:color="auto"/>
              <w:left w:val="nil"/>
              <w:bottom w:val="single" w:sz="4" w:space="0" w:color="auto"/>
              <w:right w:val="nil"/>
            </w:tcBorders>
          </w:tcPr>
          <w:p w14:paraId="0ADB1BB8"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p>
        </w:tc>
      </w:tr>
    </w:tbl>
    <w:p w14:paraId="632F4446" w14:textId="77777777" w:rsidR="00756913" w:rsidRPr="00756913" w:rsidRDefault="00756913" w:rsidP="00756913">
      <w:pPr>
        <w:autoSpaceDE w:val="0"/>
        <w:autoSpaceDN w:val="0"/>
        <w:adjustRightInd w:val="0"/>
        <w:rPr>
          <w:rFonts w:ascii="Arial" w:hAnsi="Arial" w:cs="Arial"/>
          <w:sz w:val="20"/>
          <w:szCs w:val="20"/>
          <w14:ligatures w14:val="standardContextual"/>
        </w:rPr>
      </w:pPr>
    </w:p>
    <w:p w14:paraId="275B2DD0"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Operating costs were </w:t>
      </w:r>
      <w:r w:rsidRPr="00756913">
        <w:rPr>
          <w:rFonts w:ascii="Arial" w:hAnsi="Arial" w:cs="Arial"/>
          <w:sz w:val="20"/>
          <w:szCs w:val="20"/>
          <w:lang w:val="en-US"/>
          <w14:ligatures w14:val="standardContextual"/>
        </w:rPr>
        <w:t xml:space="preserve">2% up on last year as expected. </w:t>
      </w:r>
      <w:r w:rsidRPr="00756913">
        <w:rPr>
          <w:rFonts w:ascii="Arial" w:hAnsi="Arial" w:cs="Arial"/>
          <w:sz w:val="20"/>
          <w:szCs w:val="20"/>
          <w14:ligatures w14:val="standardContextual"/>
        </w:rPr>
        <w:t xml:space="preserve">The work we have completed so far in building our tech platform and driving marketing efficiencies has enabled us to operate more cost effectively.  </w:t>
      </w:r>
    </w:p>
    <w:p w14:paraId="6FF94C1E"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p>
    <w:p w14:paraId="49EA06A5"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Distribution costs were down 8% reflecting lower marketing spend in the first half of 2024 due, in part, to efficiency gains within our brand advertising, as well as production costs for some FY24 advertising falling into the prior year.  </w:t>
      </w:r>
    </w:p>
    <w:p w14:paraId="320DC993"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p>
    <w:p w14:paraId="55FAD9E1"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Administrative expenses increased 5%. We implemented further automation in the half delivering efficiencies which enabled us to hold the growth of people costs to +2%.</w:t>
      </w:r>
    </w:p>
    <w:p w14:paraId="13855F89" w14:textId="77777777" w:rsidR="00756913" w:rsidRPr="00756913" w:rsidRDefault="00756913" w:rsidP="00756913">
      <w:pPr>
        <w:autoSpaceDE w:val="0"/>
        <w:autoSpaceDN w:val="0"/>
        <w:adjustRightInd w:val="0"/>
        <w:spacing w:before="240" w:after="0"/>
        <w:rPr>
          <w:rFonts w:ascii="Arial" w:hAnsi="Arial" w:cs="Arial"/>
          <w:b/>
          <w:bCs/>
          <w14:ligatures w14:val="standardContextual"/>
        </w:rPr>
      </w:pPr>
      <w:r w:rsidRPr="00756913">
        <w:rPr>
          <w:rFonts w:ascii="Arial" w:hAnsi="Arial" w:cs="Arial"/>
          <w:b/>
          <w:bCs/>
          <w:sz w:val="20"/>
          <w:szCs w:val="20"/>
          <w14:ligatures w14:val="standardContextual"/>
        </w:rPr>
        <w:t>Adjusting items*</w:t>
      </w:r>
    </w:p>
    <w:p w14:paraId="7EAED997" w14:textId="77777777" w:rsidR="00756913" w:rsidRPr="00756913" w:rsidRDefault="00756913" w:rsidP="00756913">
      <w:pPr>
        <w:autoSpaceDE w:val="0"/>
        <w:autoSpaceDN w:val="0"/>
        <w:adjustRightInd w:val="0"/>
        <w:spacing w:after="0" w:line="240" w:lineRule="auto"/>
        <w:rPr>
          <w:rFonts w:ascii="Arial" w:hAnsi="Arial" w:cs="Arial"/>
          <w:i/>
          <w:iCs/>
          <w:sz w:val="20"/>
          <w:szCs w:val="20"/>
          <w14:ligatures w14:val="standardContextual"/>
        </w:rPr>
      </w:pPr>
      <w:r w:rsidRPr="00756913">
        <w:rPr>
          <w:rFonts w:ascii="Arial" w:hAnsi="Arial" w:cs="Arial"/>
          <w:i/>
          <w:iCs/>
          <w:sz w:val="20"/>
          <w:szCs w:val="20"/>
          <w14:ligatures w14:val="standardContextual"/>
        </w:rPr>
        <w:t>for the six months ended 30 June 2024 and 30 June 2023</w:t>
      </w:r>
    </w:p>
    <w:tbl>
      <w:tblPr>
        <w:tblW w:w="0" w:type="auto"/>
        <w:tblLayout w:type="fixed"/>
        <w:tblCellMar>
          <w:left w:w="10" w:type="dxa"/>
          <w:right w:w="10" w:type="dxa"/>
        </w:tblCellMar>
        <w:tblLook w:val="0000" w:firstRow="0" w:lastRow="0" w:firstColumn="0" w:lastColumn="0" w:noHBand="0" w:noVBand="0"/>
      </w:tblPr>
      <w:tblGrid>
        <w:gridCol w:w="4878"/>
        <w:gridCol w:w="620"/>
        <w:gridCol w:w="1111"/>
        <w:gridCol w:w="1111"/>
        <w:gridCol w:w="1109"/>
      </w:tblGrid>
      <w:tr w:rsidR="00756913" w:rsidRPr="00756913" w14:paraId="13689C26" w14:textId="77777777">
        <w:tblPrEx>
          <w:tblCellMar>
            <w:top w:w="0" w:type="dxa"/>
            <w:bottom w:w="0" w:type="dxa"/>
          </w:tblCellMar>
        </w:tblPrEx>
        <w:trPr>
          <w:trHeight w:val="88"/>
        </w:trPr>
        <w:tc>
          <w:tcPr>
            <w:tcW w:w="4878" w:type="dxa"/>
            <w:tcBorders>
              <w:top w:val="nil"/>
              <w:left w:val="nil"/>
              <w:bottom w:val="nil"/>
              <w:right w:val="nil"/>
            </w:tcBorders>
            <w:vAlign w:val="center"/>
          </w:tcPr>
          <w:p w14:paraId="14DE795C" w14:textId="77777777" w:rsidR="00756913" w:rsidRPr="00756913" w:rsidRDefault="00756913" w:rsidP="00756913">
            <w:pPr>
              <w:autoSpaceDE w:val="0"/>
              <w:autoSpaceDN w:val="0"/>
              <w:adjustRightInd w:val="0"/>
              <w:spacing w:before="40" w:after="0"/>
              <w:rPr>
                <w:rFonts w:ascii="Arial" w:hAnsi="Arial" w:cs="Arial"/>
                <w:b/>
                <w:bCs/>
                <w:color w:val="FF0000"/>
                <w:sz w:val="20"/>
                <w:szCs w:val="20"/>
                <w14:ligatures w14:val="standardContextual"/>
              </w:rPr>
            </w:pPr>
          </w:p>
        </w:tc>
        <w:tc>
          <w:tcPr>
            <w:tcW w:w="620" w:type="dxa"/>
            <w:tcBorders>
              <w:top w:val="nil"/>
              <w:left w:val="nil"/>
              <w:bottom w:val="nil"/>
              <w:right w:val="nil"/>
            </w:tcBorders>
            <w:vAlign w:val="center"/>
          </w:tcPr>
          <w:p w14:paraId="35E26982" w14:textId="77777777" w:rsidR="00756913" w:rsidRPr="00756913" w:rsidRDefault="00756913" w:rsidP="00756913">
            <w:pPr>
              <w:autoSpaceDE w:val="0"/>
              <w:autoSpaceDN w:val="0"/>
              <w:adjustRightInd w:val="0"/>
              <w:spacing w:before="40" w:after="0"/>
              <w:rPr>
                <w:rFonts w:ascii="Arial" w:hAnsi="Arial" w:cs="Arial"/>
                <w:color w:val="FF0000"/>
                <w:sz w:val="20"/>
                <w:szCs w:val="20"/>
                <w14:ligatures w14:val="standardContextual"/>
              </w:rPr>
            </w:pPr>
          </w:p>
        </w:tc>
        <w:tc>
          <w:tcPr>
            <w:tcW w:w="1111" w:type="dxa"/>
            <w:tcBorders>
              <w:top w:val="nil"/>
              <w:left w:val="nil"/>
              <w:bottom w:val="nil"/>
              <w:right w:val="nil"/>
            </w:tcBorders>
            <w:vAlign w:val="center"/>
          </w:tcPr>
          <w:p w14:paraId="49F664B6"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2024</w:t>
            </w:r>
          </w:p>
        </w:tc>
        <w:tc>
          <w:tcPr>
            <w:tcW w:w="1111" w:type="dxa"/>
            <w:tcBorders>
              <w:top w:val="nil"/>
              <w:left w:val="nil"/>
              <w:bottom w:val="nil"/>
              <w:right w:val="nil"/>
            </w:tcBorders>
            <w:vAlign w:val="center"/>
          </w:tcPr>
          <w:p w14:paraId="0C8274B5"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2023</w:t>
            </w:r>
          </w:p>
        </w:tc>
        <w:tc>
          <w:tcPr>
            <w:tcW w:w="1109" w:type="dxa"/>
            <w:tcBorders>
              <w:top w:val="nil"/>
              <w:left w:val="nil"/>
              <w:bottom w:val="nil"/>
              <w:right w:val="nil"/>
            </w:tcBorders>
            <w:vAlign w:val="center"/>
          </w:tcPr>
          <w:p w14:paraId="03C40E63"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Growth</w:t>
            </w:r>
          </w:p>
        </w:tc>
      </w:tr>
      <w:tr w:rsidR="00756913" w:rsidRPr="00756913" w14:paraId="4CBA637C" w14:textId="77777777">
        <w:tblPrEx>
          <w:tblCellMar>
            <w:top w:w="0" w:type="dxa"/>
            <w:bottom w:w="0" w:type="dxa"/>
          </w:tblCellMar>
        </w:tblPrEx>
        <w:tc>
          <w:tcPr>
            <w:tcW w:w="4878" w:type="dxa"/>
            <w:tcBorders>
              <w:top w:val="nil"/>
              <w:left w:val="nil"/>
              <w:bottom w:val="single" w:sz="4" w:space="0" w:color="auto"/>
              <w:right w:val="nil"/>
            </w:tcBorders>
            <w:vAlign w:val="center"/>
          </w:tcPr>
          <w:p w14:paraId="2F3B096A" w14:textId="77777777" w:rsidR="00756913" w:rsidRPr="00756913" w:rsidRDefault="00756913" w:rsidP="00756913">
            <w:pPr>
              <w:autoSpaceDE w:val="0"/>
              <w:autoSpaceDN w:val="0"/>
              <w:adjustRightInd w:val="0"/>
              <w:spacing w:before="40" w:after="0"/>
              <w:ind w:left="173" w:hanging="173"/>
              <w:rPr>
                <w:rFonts w:ascii="Arial" w:hAnsi="Arial" w:cs="Arial"/>
                <w:b/>
                <w:bCs/>
                <w:sz w:val="20"/>
                <w:szCs w:val="20"/>
                <w14:ligatures w14:val="standardContextual"/>
              </w:rPr>
            </w:pPr>
          </w:p>
        </w:tc>
        <w:tc>
          <w:tcPr>
            <w:tcW w:w="620" w:type="dxa"/>
            <w:tcBorders>
              <w:top w:val="nil"/>
              <w:left w:val="nil"/>
              <w:bottom w:val="single" w:sz="4" w:space="0" w:color="auto"/>
              <w:right w:val="nil"/>
            </w:tcBorders>
            <w:vAlign w:val="center"/>
          </w:tcPr>
          <w:p w14:paraId="06E4F669" w14:textId="77777777" w:rsidR="00756913" w:rsidRPr="00756913" w:rsidRDefault="00756913" w:rsidP="00756913">
            <w:pPr>
              <w:autoSpaceDE w:val="0"/>
              <w:autoSpaceDN w:val="0"/>
              <w:adjustRightInd w:val="0"/>
              <w:spacing w:before="40" w:after="0"/>
              <w:rPr>
                <w:rFonts w:ascii="Arial" w:hAnsi="Arial" w:cs="Arial"/>
                <w:color w:val="FF0000"/>
                <w:sz w:val="20"/>
                <w:szCs w:val="20"/>
                <w14:ligatures w14:val="standardContextual"/>
              </w:rPr>
            </w:pPr>
          </w:p>
        </w:tc>
        <w:tc>
          <w:tcPr>
            <w:tcW w:w="1111" w:type="dxa"/>
            <w:tcBorders>
              <w:top w:val="nil"/>
              <w:left w:val="nil"/>
              <w:bottom w:val="single" w:sz="4" w:space="0" w:color="auto"/>
              <w:right w:val="nil"/>
            </w:tcBorders>
            <w:vAlign w:val="center"/>
          </w:tcPr>
          <w:p w14:paraId="18CDD7E3"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£m</w:t>
            </w:r>
          </w:p>
        </w:tc>
        <w:tc>
          <w:tcPr>
            <w:tcW w:w="1111" w:type="dxa"/>
            <w:tcBorders>
              <w:top w:val="nil"/>
              <w:left w:val="nil"/>
              <w:bottom w:val="single" w:sz="4" w:space="0" w:color="auto"/>
              <w:right w:val="nil"/>
            </w:tcBorders>
            <w:vAlign w:val="center"/>
          </w:tcPr>
          <w:p w14:paraId="2BDFECB8"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£m</w:t>
            </w:r>
          </w:p>
        </w:tc>
        <w:tc>
          <w:tcPr>
            <w:tcW w:w="1109" w:type="dxa"/>
            <w:tcBorders>
              <w:top w:val="nil"/>
              <w:left w:val="nil"/>
              <w:bottom w:val="single" w:sz="4" w:space="0" w:color="auto"/>
              <w:right w:val="nil"/>
            </w:tcBorders>
            <w:vAlign w:val="center"/>
          </w:tcPr>
          <w:p w14:paraId="48890CBC"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p>
        </w:tc>
      </w:tr>
      <w:tr w:rsidR="00756913" w:rsidRPr="00756913" w14:paraId="21679072" w14:textId="77777777">
        <w:tblPrEx>
          <w:tblCellMar>
            <w:top w:w="0" w:type="dxa"/>
            <w:bottom w:w="0" w:type="dxa"/>
          </w:tblCellMar>
        </w:tblPrEx>
        <w:tc>
          <w:tcPr>
            <w:tcW w:w="4878" w:type="dxa"/>
            <w:tcBorders>
              <w:top w:val="single" w:sz="4" w:space="0" w:color="auto"/>
              <w:left w:val="nil"/>
              <w:bottom w:val="single" w:sz="4" w:space="0" w:color="auto"/>
              <w:right w:val="nil"/>
            </w:tcBorders>
            <w:vAlign w:val="center"/>
          </w:tcPr>
          <w:p w14:paraId="25876810" w14:textId="77777777" w:rsidR="00756913" w:rsidRPr="00756913" w:rsidRDefault="00756913" w:rsidP="00756913">
            <w:pPr>
              <w:autoSpaceDE w:val="0"/>
              <w:autoSpaceDN w:val="0"/>
              <w:adjustRightInd w:val="0"/>
              <w:spacing w:before="40" w:after="0"/>
              <w:ind w:left="173" w:hanging="173"/>
              <w:rPr>
                <w:rFonts w:ascii="Arial" w:hAnsi="Arial" w:cs="Arial"/>
                <w:sz w:val="20"/>
                <w:szCs w:val="20"/>
                <w14:ligatures w14:val="standardContextual"/>
              </w:rPr>
            </w:pPr>
            <w:r w:rsidRPr="00756913">
              <w:rPr>
                <w:rFonts w:ascii="Arial" w:hAnsi="Arial" w:cs="Arial"/>
                <w:sz w:val="20"/>
                <w:szCs w:val="20"/>
                <w14:ligatures w14:val="standardContextual"/>
              </w:rPr>
              <w:t>Amortisation of acquisition related intangible assets</w:t>
            </w:r>
          </w:p>
        </w:tc>
        <w:tc>
          <w:tcPr>
            <w:tcW w:w="620" w:type="dxa"/>
            <w:tcBorders>
              <w:top w:val="single" w:sz="4" w:space="0" w:color="auto"/>
              <w:left w:val="nil"/>
              <w:bottom w:val="single" w:sz="4" w:space="0" w:color="auto"/>
              <w:right w:val="nil"/>
            </w:tcBorders>
            <w:vAlign w:val="center"/>
          </w:tcPr>
          <w:p w14:paraId="56AFE363" w14:textId="77777777" w:rsidR="00756913" w:rsidRPr="00756913" w:rsidRDefault="00756913" w:rsidP="00756913">
            <w:pPr>
              <w:autoSpaceDE w:val="0"/>
              <w:autoSpaceDN w:val="0"/>
              <w:adjustRightInd w:val="0"/>
              <w:spacing w:before="40" w:after="0"/>
              <w:rPr>
                <w:rFonts w:ascii="Arial" w:hAnsi="Arial" w:cs="Arial"/>
                <w:color w:val="FF0000"/>
                <w:sz w:val="20"/>
                <w:szCs w:val="20"/>
                <w14:ligatures w14:val="standardContextual"/>
              </w:rPr>
            </w:pPr>
          </w:p>
        </w:tc>
        <w:tc>
          <w:tcPr>
            <w:tcW w:w="1111" w:type="dxa"/>
            <w:tcBorders>
              <w:top w:val="single" w:sz="4" w:space="0" w:color="auto"/>
              <w:left w:val="nil"/>
              <w:bottom w:val="single" w:sz="4" w:space="0" w:color="auto"/>
              <w:right w:val="nil"/>
            </w:tcBorders>
          </w:tcPr>
          <w:p w14:paraId="34B321EF"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5.4</w:t>
            </w:r>
          </w:p>
        </w:tc>
        <w:tc>
          <w:tcPr>
            <w:tcW w:w="1111" w:type="dxa"/>
            <w:tcBorders>
              <w:top w:val="single" w:sz="4" w:space="0" w:color="auto"/>
              <w:left w:val="nil"/>
              <w:bottom w:val="single" w:sz="4" w:space="0" w:color="auto"/>
              <w:right w:val="nil"/>
            </w:tcBorders>
          </w:tcPr>
          <w:p w14:paraId="5729A6EA"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5.5</w:t>
            </w:r>
          </w:p>
        </w:tc>
        <w:tc>
          <w:tcPr>
            <w:tcW w:w="1109" w:type="dxa"/>
            <w:tcBorders>
              <w:top w:val="single" w:sz="4" w:space="0" w:color="auto"/>
              <w:left w:val="nil"/>
              <w:bottom w:val="single" w:sz="4" w:space="0" w:color="auto"/>
              <w:right w:val="nil"/>
            </w:tcBorders>
            <w:vAlign w:val="center"/>
          </w:tcPr>
          <w:p w14:paraId="73F537B8"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w:t>
            </w:r>
            <w:r w:rsidRPr="00756913">
              <w:rPr>
                <w:rFonts w:ascii="Arial" w:hAnsi="Arial" w:cs="Arial"/>
                <w:sz w:val="20"/>
                <w:szCs w:val="20"/>
                <w:lang w:val="en-US"/>
                <w14:ligatures w14:val="standardContextual"/>
              </w:rPr>
              <w:t>3)%</w:t>
            </w:r>
          </w:p>
        </w:tc>
      </w:tr>
      <w:tr w:rsidR="00756913" w:rsidRPr="00756913" w14:paraId="1993EF45" w14:textId="77777777">
        <w:tblPrEx>
          <w:tblCellMar>
            <w:top w:w="0" w:type="dxa"/>
            <w:bottom w:w="0" w:type="dxa"/>
          </w:tblCellMar>
        </w:tblPrEx>
        <w:tc>
          <w:tcPr>
            <w:tcW w:w="4878" w:type="dxa"/>
            <w:tcBorders>
              <w:top w:val="single" w:sz="4" w:space="0" w:color="auto"/>
              <w:left w:val="nil"/>
              <w:bottom w:val="single" w:sz="4" w:space="0" w:color="auto"/>
              <w:right w:val="nil"/>
            </w:tcBorders>
            <w:vAlign w:val="center"/>
          </w:tcPr>
          <w:p w14:paraId="1D1D2FF8" w14:textId="77777777" w:rsidR="00756913" w:rsidRPr="00756913" w:rsidRDefault="00756913" w:rsidP="00756913">
            <w:pPr>
              <w:autoSpaceDE w:val="0"/>
              <w:autoSpaceDN w:val="0"/>
              <w:adjustRightInd w:val="0"/>
              <w:spacing w:before="40" w:after="0"/>
              <w:ind w:left="173" w:hanging="173"/>
              <w:rPr>
                <w:rFonts w:ascii="Arial" w:hAnsi="Arial" w:cs="Arial"/>
                <w:b/>
                <w:bCs/>
                <w:sz w:val="20"/>
                <w:szCs w:val="20"/>
                <w14:ligatures w14:val="standardContextual"/>
              </w:rPr>
            </w:pPr>
            <w:r w:rsidRPr="00756913">
              <w:rPr>
                <w:rFonts w:ascii="Arial" w:hAnsi="Arial" w:cs="Arial"/>
                <w:b/>
                <w:bCs/>
                <w:sz w:val="20"/>
                <w:szCs w:val="20"/>
                <w14:ligatures w14:val="standardContextual"/>
              </w:rPr>
              <w:t>Adjusting items included in operating profit</w:t>
            </w:r>
          </w:p>
        </w:tc>
        <w:tc>
          <w:tcPr>
            <w:tcW w:w="620" w:type="dxa"/>
            <w:tcBorders>
              <w:top w:val="single" w:sz="4" w:space="0" w:color="auto"/>
              <w:left w:val="nil"/>
              <w:bottom w:val="single" w:sz="4" w:space="0" w:color="auto"/>
              <w:right w:val="nil"/>
            </w:tcBorders>
            <w:vAlign w:val="center"/>
          </w:tcPr>
          <w:p w14:paraId="03C60CAC" w14:textId="77777777" w:rsidR="00756913" w:rsidRPr="00756913" w:rsidRDefault="00756913" w:rsidP="00756913">
            <w:pPr>
              <w:autoSpaceDE w:val="0"/>
              <w:autoSpaceDN w:val="0"/>
              <w:adjustRightInd w:val="0"/>
              <w:spacing w:before="40" w:after="0"/>
              <w:rPr>
                <w:rFonts w:ascii="Arial" w:hAnsi="Arial" w:cs="Arial"/>
                <w:color w:val="FF0000"/>
                <w:sz w:val="20"/>
                <w:szCs w:val="20"/>
                <w14:ligatures w14:val="standardContextual"/>
              </w:rPr>
            </w:pPr>
          </w:p>
        </w:tc>
        <w:tc>
          <w:tcPr>
            <w:tcW w:w="1111" w:type="dxa"/>
            <w:tcBorders>
              <w:top w:val="single" w:sz="4" w:space="0" w:color="auto"/>
              <w:left w:val="nil"/>
              <w:bottom w:val="single" w:sz="4" w:space="0" w:color="auto"/>
              <w:right w:val="nil"/>
            </w:tcBorders>
          </w:tcPr>
          <w:p w14:paraId="5FE0D236" w14:textId="77777777" w:rsidR="00756913" w:rsidRPr="00756913" w:rsidRDefault="00756913" w:rsidP="00756913">
            <w:pPr>
              <w:autoSpaceDE w:val="0"/>
              <w:autoSpaceDN w:val="0"/>
              <w:adjustRightInd w:val="0"/>
              <w:spacing w:before="40" w:after="0"/>
              <w:jc w:val="right"/>
              <w:rPr>
                <w:rFonts w:ascii="Arial" w:hAnsi="Arial" w:cs="Arial"/>
                <w:b/>
                <w:bCs/>
                <w:sz w:val="20"/>
                <w:szCs w:val="20"/>
                <w14:ligatures w14:val="standardContextual"/>
              </w:rPr>
            </w:pPr>
            <w:r w:rsidRPr="00756913">
              <w:rPr>
                <w:rFonts w:ascii="Arial" w:hAnsi="Arial" w:cs="Arial"/>
                <w:b/>
                <w:bCs/>
                <w:sz w:val="20"/>
                <w:szCs w:val="20"/>
                <w14:ligatures w14:val="standardContextual"/>
              </w:rPr>
              <w:t>5</w:t>
            </w:r>
            <w:r w:rsidRPr="00756913">
              <w:rPr>
                <w:rFonts w:ascii="Arial" w:hAnsi="Arial" w:cs="Arial"/>
                <w:b/>
                <w:bCs/>
                <w:sz w:val="20"/>
                <w:szCs w:val="20"/>
                <w:lang w:val="en-US"/>
                <w14:ligatures w14:val="standardContextual"/>
              </w:rPr>
              <w:t>.4</w:t>
            </w:r>
          </w:p>
        </w:tc>
        <w:tc>
          <w:tcPr>
            <w:tcW w:w="1111" w:type="dxa"/>
            <w:tcBorders>
              <w:top w:val="single" w:sz="4" w:space="0" w:color="auto"/>
              <w:left w:val="nil"/>
              <w:bottom w:val="single" w:sz="4" w:space="0" w:color="auto"/>
              <w:right w:val="nil"/>
            </w:tcBorders>
          </w:tcPr>
          <w:p w14:paraId="4EED5681"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5</w:t>
            </w:r>
            <w:r w:rsidRPr="00756913">
              <w:rPr>
                <w:rFonts w:ascii="Arial" w:hAnsi="Arial" w:cs="Arial"/>
                <w:sz w:val="20"/>
                <w:szCs w:val="20"/>
                <w:lang w:val="en-US"/>
                <w14:ligatures w14:val="standardContextual"/>
              </w:rPr>
              <w:t>.5</w:t>
            </w:r>
          </w:p>
        </w:tc>
        <w:tc>
          <w:tcPr>
            <w:tcW w:w="1109" w:type="dxa"/>
            <w:tcBorders>
              <w:top w:val="single" w:sz="4" w:space="0" w:color="auto"/>
              <w:left w:val="nil"/>
              <w:bottom w:val="single" w:sz="4" w:space="0" w:color="auto"/>
              <w:right w:val="nil"/>
            </w:tcBorders>
            <w:vAlign w:val="center"/>
          </w:tcPr>
          <w:p w14:paraId="021C7A7E" w14:textId="77777777" w:rsidR="00756913" w:rsidRPr="00756913" w:rsidRDefault="00756913" w:rsidP="00756913">
            <w:pPr>
              <w:autoSpaceDE w:val="0"/>
              <w:autoSpaceDN w:val="0"/>
              <w:adjustRightInd w:val="0"/>
              <w:spacing w:before="40" w:after="0"/>
              <w:jc w:val="right"/>
              <w:rPr>
                <w:rFonts w:ascii="Arial" w:hAnsi="Arial" w:cs="Arial"/>
                <w:sz w:val="20"/>
                <w:szCs w:val="20"/>
                <w14:ligatures w14:val="standardContextual"/>
              </w:rPr>
            </w:pPr>
            <w:r w:rsidRPr="00756913">
              <w:rPr>
                <w:rFonts w:ascii="Arial" w:hAnsi="Arial" w:cs="Arial"/>
                <w:sz w:val="20"/>
                <w:szCs w:val="20"/>
                <w14:ligatures w14:val="standardContextual"/>
              </w:rPr>
              <w:t>(</w:t>
            </w:r>
            <w:r w:rsidRPr="00756913">
              <w:rPr>
                <w:rFonts w:ascii="Arial" w:hAnsi="Arial" w:cs="Arial"/>
                <w:sz w:val="20"/>
                <w:szCs w:val="20"/>
                <w:lang w:val="en-US"/>
                <w14:ligatures w14:val="standardContextual"/>
              </w:rPr>
              <w:t>3)%</w:t>
            </w:r>
          </w:p>
        </w:tc>
      </w:tr>
    </w:tbl>
    <w:p w14:paraId="5B4EE616" w14:textId="77777777" w:rsidR="00756913" w:rsidRPr="00756913" w:rsidRDefault="00756913" w:rsidP="00756913">
      <w:pPr>
        <w:autoSpaceDE w:val="0"/>
        <w:autoSpaceDN w:val="0"/>
        <w:adjustRightInd w:val="0"/>
        <w:spacing w:before="160" w:after="0" w:line="240" w:lineRule="auto"/>
        <w:rPr>
          <w:rFonts w:ascii="Arial" w:hAnsi="Arial" w:cs="Arial"/>
          <w:i/>
          <w:iCs/>
          <w:sz w:val="16"/>
          <w:szCs w:val="16"/>
          <w:lang w:val="en-US"/>
          <w14:ligatures w14:val="standardContextual"/>
        </w:rPr>
      </w:pPr>
      <w:r w:rsidRPr="00756913">
        <w:rPr>
          <w:rFonts w:ascii="Arial" w:hAnsi="Arial" w:cs="Arial"/>
          <w:i/>
          <w:iCs/>
          <w:sz w:val="16"/>
          <w:szCs w:val="16"/>
          <w14:ligatures w14:val="standardContextual"/>
        </w:rPr>
        <w:t>*</w:t>
      </w:r>
      <w:r w:rsidRPr="00756913">
        <w:rPr>
          <w:rFonts w:ascii="Arial" w:hAnsi="Arial" w:cs="Arial"/>
          <w:i/>
          <w:iCs/>
          <w:sz w:val="16"/>
          <w:szCs w:val="16"/>
          <w:lang w:val="en-US"/>
          <w14:ligatures w14:val="standardContextual"/>
        </w:rPr>
        <w:t xml:space="preserve"> Amortisation of acquisition related intangible assets is not included in EBITDA and therefore is only included as an adjusting item in the adjusted EPS calculation. </w:t>
      </w:r>
    </w:p>
    <w:p w14:paraId="7CDDB76D" w14:textId="77777777" w:rsidR="00756913" w:rsidRPr="00756913" w:rsidRDefault="00756913" w:rsidP="00756913">
      <w:pPr>
        <w:autoSpaceDE w:val="0"/>
        <w:autoSpaceDN w:val="0"/>
        <w:adjustRightInd w:val="0"/>
        <w:spacing w:before="160" w:after="0" w:line="240" w:lineRule="auto"/>
        <w:rPr>
          <w:rFonts w:ascii="Arial" w:hAnsi="Arial" w:cs="Arial"/>
          <w:i/>
          <w:iCs/>
          <w:sz w:val="16"/>
          <w:szCs w:val="16"/>
          <w14:ligatures w14:val="standardContextual"/>
        </w:rPr>
      </w:pPr>
    </w:p>
    <w:p w14:paraId="60D2BDD7" w14:textId="77777777" w:rsidR="00756913" w:rsidRPr="00756913" w:rsidRDefault="00756913" w:rsidP="00756913">
      <w:pPr>
        <w:autoSpaceDE w:val="0"/>
        <w:autoSpaceDN w:val="0"/>
        <w:adjustRightInd w:val="0"/>
        <w:spacing w:after="0" w:line="240" w:lineRule="auto"/>
        <w:jc w:val="both"/>
        <w:rPr>
          <w:rFonts w:ascii="Arial" w:hAnsi="Arial" w:cs="Arial"/>
          <w:sz w:val="20"/>
          <w:szCs w:val="20"/>
          <w:lang w:val="en-US"/>
          <w14:ligatures w14:val="standardContextual"/>
        </w:rPr>
      </w:pPr>
      <w:r w:rsidRPr="00756913">
        <w:rPr>
          <w:rFonts w:ascii="Arial" w:hAnsi="Arial" w:cs="Arial"/>
          <w:sz w:val="20"/>
          <w:szCs w:val="20"/>
          <w14:ligatures w14:val="standardContextual"/>
        </w:rPr>
        <w:t xml:space="preserve">Amortisation of acquisition related intangible assets relates to technology, brands and member relationships arising on the acquisitions of CYTI, Quidco and Podium as well as the combination of TravelSupermarket and Icelolly, in prior years. These assets are being amortised over periods of three to five years. </w:t>
      </w:r>
    </w:p>
    <w:p w14:paraId="0FC9DB04" w14:textId="77777777" w:rsidR="00756913" w:rsidRPr="00756913" w:rsidRDefault="00756913" w:rsidP="00756913">
      <w:pPr>
        <w:autoSpaceDE w:val="0"/>
        <w:autoSpaceDN w:val="0"/>
        <w:adjustRightInd w:val="0"/>
        <w:spacing w:after="0" w:line="240" w:lineRule="auto"/>
        <w:jc w:val="both"/>
        <w:rPr>
          <w:rFonts w:ascii="Arial" w:hAnsi="Arial" w:cs="Arial"/>
          <w:color w:val="FF0000"/>
          <w:sz w:val="20"/>
          <w:szCs w:val="20"/>
          <w:lang w:val="en-US"/>
          <w14:ligatures w14:val="standardContextual"/>
        </w:rPr>
      </w:pPr>
    </w:p>
    <w:p w14:paraId="4DE3F03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b/>
          <w:bCs/>
          <w:color w:val="FF0000"/>
          <w:sz w:val="20"/>
          <w:szCs w:val="20"/>
          <w14:ligatures w14:val="standardContextual"/>
        </w:rPr>
      </w:pPr>
      <w:r w:rsidRPr="00756913">
        <w:rPr>
          <w:rFonts w:ascii="Arial" w:hAnsi="Arial" w:cs="Arial"/>
          <w:b/>
          <w:bCs/>
          <w:sz w:val="20"/>
          <w:szCs w:val="20"/>
          <w14:ligatures w14:val="standardContextual"/>
        </w:rPr>
        <w:t>Dividends</w:t>
      </w:r>
    </w:p>
    <w:p w14:paraId="3C84081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FF0000"/>
          <w14:ligatures w14:val="standardContextual"/>
        </w:rPr>
      </w:pPr>
    </w:p>
    <w:p w14:paraId="3037091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14:ligatures w14:val="standardContextual"/>
        </w:rPr>
      </w:pPr>
      <w:r w:rsidRPr="00756913">
        <w:rPr>
          <w:rFonts w:ascii="Arial" w:hAnsi="Arial" w:cs="Arial"/>
          <w:sz w:val="20"/>
          <w:szCs w:val="20"/>
          <w14:ligatures w14:val="standardContextual"/>
        </w:rPr>
        <w:t xml:space="preserve">The Board has recommended a return to dividend growth with a 3% increase to the interim dividend to 3.3 pence per share (H1 2023: 3.2p). This reflects the ongoing good cash conversion of the business, strong balance sheet and the Board’s confidence in the future prospects of the Group. </w:t>
      </w:r>
    </w:p>
    <w:p w14:paraId="4A655E3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p>
    <w:p w14:paraId="2DDB9B0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The interim dividend will be paid on 9 September 2024 to shareholders on the register at the close of business on 2 August 2024.</w:t>
      </w:r>
    </w:p>
    <w:p w14:paraId="5CD62BF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FF0000"/>
          <w14:ligatures w14:val="standardContextual"/>
        </w:rPr>
      </w:pPr>
    </w:p>
    <w:p w14:paraId="1F624C5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Tax</w:t>
      </w:r>
    </w:p>
    <w:p w14:paraId="1917B81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14:ligatures w14:val="standardContextual"/>
        </w:rPr>
      </w:pPr>
    </w:p>
    <w:p w14:paraId="3DFE2851" w14:textId="77777777" w:rsidR="00756913" w:rsidRPr="00756913" w:rsidRDefault="00756913" w:rsidP="00756913">
      <w:pPr>
        <w:autoSpaceDE w:val="0"/>
        <w:autoSpaceDN w:val="0"/>
        <w:adjustRightInd w:val="0"/>
        <w:spacing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The effective tax rate of 24.0% is below the UK standard rate of 25.0% primarily due to the impact of temporary timing differences. Last year, the effective tax rate of 23.1% was below the UK standard rate of 25.0%. This was driven by the change in tax rate in April 2023, which resulted in a blended rate for the year of 23.5%. The effective tax rate was lower than this blended rate due to an adjustment in respect of the prior period which reduced the tax charge. </w:t>
      </w:r>
    </w:p>
    <w:p w14:paraId="5A5D7CB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Earnings per share</w:t>
      </w:r>
    </w:p>
    <w:p w14:paraId="4F86A21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FF0000"/>
          <w14:ligatures w14:val="standardContextual"/>
        </w:rPr>
      </w:pPr>
    </w:p>
    <w:p w14:paraId="7B063BB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Basic earnings per share for the six months ended 30 June 2024 was 8.3p (2023: 7.6p). The increase from last year is driven by the increase in EBITDA.</w:t>
      </w:r>
    </w:p>
    <w:p w14:paraId="392E3ED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p>
    <w:p w14:paraId="3E2C8F4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FF0000"/>
          <w:sz w:val="20"/>
          <w:szCs w:val="20"/>
          <w14:ligatures w14:val="standardContextual"/>
        </w:rPr>
      </w:pPr>
      <w:r w:rsidRPr="00756913">
        <w:rPr>
          <w:rFonts w:ascii="Arial" w:hAnsi="Arial" w:cs="Arial"/>
          <w:sz w:val="20"/>
          <w:szCs w:val="20"/>
          <w14:ligatures w14:val="standardContextual"/>
        </w:rPr>
        <w:t>Adjusted earnings per share is based on profit before tax before the adjusting items detailed above. A tax rate of 25% (2023: 23.5%) is applied to calculate adjusted profit after tax which is different to the effective rate used to calculate basic earnings per share. The tax rate last year reflected the change in rate from 19% to 25% in April 2023. Adjusted basic earnings per ordinary share increased by 6% to 8.8p per share (2023: 8.3p) which is driven by the increase in EBITDA partially offset by the increase in rate of corporation tax.</w:t>
      </w:r>
    </w:p>
    <w:p w14:paraId="4E82395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FF0000"/>
          <w:sz w:val="20"/>
          <w:szCs w:val="20"/>
          <w14:ligatures w14:val="standardContextual"/>
        </w:rPr>
      </w:pPr>
    </w:p>
    <w:p w14:paraId="74DF8E0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Cashflow and balance sheet</w:t>
      </w:r>
    </w:p>
    <w:p w14:paraId="3F59B72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FF0000"/>
          <w14:ligatures w14:val="standardContextual"/>
        </w:rPr>
      </w:pPr>
    </w:p>
    <w:p w14:paraId="6FD44DF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Operating cashflows increased by 26% to £51.8m (2023: £41.1m) with a working capital outflow of £6.0m (2023: £13.1m) again driven by higher receivables from the uplift in trade since the year end. The timing of some significant customer receipts in December 2022 also contributed to the higher working capital outflow at the last half year.</w:t>
      </w:r>
    </w:p>
    <w:p w14:paraId="3EC03E7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p>
    <w:p w14:paraId="702A5D7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Cash outflows on investing activities include £5.1m (2023: £6.0m) of capital spend and cash outflows on financing activities include a £15m repayment on the term loan taken out for the acquisition of Quidco leaving £15m to be repaid in the second half of the year. </w:t>
      </w:r>
    </w:p>
    <w:p w14:paraId="2451459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FF0000"/>
          <w:sz w:val="20"/>
          <w:szCs w:val="20"/>
          <w14:ligatures w14:val="standardContextual"/>
        </w:rPr>
      </w:pPr>
    </w:p>
    <w:p w14:paraId="5CE7D99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Net debt was £25.1m (31 December 2023: £19.8m) and includes £48.0m (31 December 2023: £34.5m) of borrowings and £2.0m (31 December 2023: £1.9m) of loan notes.</w:t>
      </w:r>
    </w:p>
    <w:p w14:paraId="459476D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FF0000"/>
          <w:sz w:val="20"/>
          <w:szCs w:val="20"/>
          <w14:ligatures w14:val="standardContextual"/>
        </w:rPr>
      </w:pPr>
    </w:p>
    <w:p w14:paraId="6B9FD3E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 xml:space="preserve">Capital expenditure </w:t>
      </w:r>
    </w:p>
    <w:p w14:paraId="6D91D8F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14:ligatures w14:val="standardContextual"/>
        </w:rPr>
      </w:pPr>
    </w:p>
    <w:p w14:paraId="0F3CE8C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C00000"/>
          <w:sz w:val="20"/>
          <w:szCs w:val="20"/>
          <w14:ligatures w14:val="standardContextual"/>
        </w:rPr>
      </w:pPr>
      <w:r w:rsidRPr="00756913">
        <w:rPr>
          <w:rFonts w:ascii="Arial" w:hAnsi="Arial" w:cs="Arial"/>
          <w:sz w:val="20"/>
          <w:szCs w:val="20"/>
          <w14:ligatures w14:val="standardContextual"/>
        </w:rPr>
        <w:t>Technology additions on the balance sheet were £5.4m (30 June 2023: £5.6m). For the year, we expect technology capex to be in the region of £11-13m.</w:t>
      </w:r>
    </w:p>
    <w:p w14:paraId="2EBACF9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p>
    <w:p w14:paraId="4FB9CD2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We expect the technology amortisation charge for the year to be in the region of £10m, excluding acquired intangibles.</w:t>
      </w:r>
    </w:p>
    <w:p w14:paraId="25FF7AE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FF0000"/>
          <w:sz w:val="20"/>
          <w:szCs w:val="20"/>
          <w14:ligatures w14:val="standardContextual"/>
        </w:rPr>
      </w:pPr>
    </w:p>
    <w:p w14:paraId="551BAD5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Directors’ responsibility statement in respect of the half-yearly financial report</w:t>
      </w:r>
    </w:p>
    <w:p w14:paraId="21D4C063"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 xml:space="preserve">Each of the directors, whose names and functions are listed below, confirms that, to the best of his or her knowledge: </w:t>
      </w:r>
    </w:p>
    <w:p w14:paraId="79E56623" w14:textId="77777777" w:rsidR="00756913" w:rsidRPr="00756913" w:rsidRDefault="00756913" w:rsidP="00756913">
      <w:pPr>
        <w:numPr>
          <w:ilvl w:val="0"/>
          <w:numId w:val="21"/>
        </w:numPr>
        <w:autoSpaceDE w:val="0"/>
        <w:autoSpaceDN w:val="0"/>
        <w:adjustRightInd w:val="0"/>
        <w:spacing w:before="160" w:after="0" w:line="240" w:lineRule="auto"/>
        <w:ind w:left="360" w:hanging="360"/>
        <w:jc w:val="both"/>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the condensed set of financial statements has been prepared in accordance with IAS 34 Interim Financial Reporting as adopted for use in the UK;</w:t>
      </w:r>
    </w:p>
    <w:p w14:paraId="708C3430" w14:textId="77777777" w:rsidR="00756913" w:rsidRPr="00756913" w:rsidRDefault="00756913" w:rsidP="00756913">
      <w:pPr>
        <w:numPr>
          <w:ilvl w:val="0"/>
          <w:numId w:val="21"/>
        </w:numPr>
        <w:autoSpaceDE w:val="0"/>
        <w:autoSpaceDN w:val="0"/>
        <w:adjustRightInd w:val="0"/>
        <w:spacing w:before="160" w:after="0" w:line="240" w:lineRule="auto"/>
        <w:ind w:left="360" w:hanging="360"/>
        <w:jc w:val="both"/>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the interim management report includes a fair review of the information required by:</w:t>
      </w:r>
    </w:p>
    <w:p w14:paraId="4DBB0FCB" w14:textId="77777777" w:rsidR="00756913" w:rsidRPr="00756913" w:rsidRDefault="00756913" w:rsidP="00756913">
      <w:pPr>
        <w:autoSpaceDE w:val="0"/>
        <w:autoSpaceDN w:val="0"/>
        <w:adjustRightInd w:val="0"/>
        <w:spacing w:before="160" w:after="0" w:line="240" w:lineRule="auto"/>
        <w:ind w:left="720"/>
        <w:jc w:val="both"/>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(a) DTR 4.2.7R of the Disclosure Guidance and Transparency Rules, being an indication of important events that have occurred during the first six months of the financial year and their impact on the condensed set of financial statements; and a description of the principal risks and uncertainties for the remaining six months of the year; and</w:t>
      </w:r>
    </w:p>
    <w:p w14:paraId="1C59D06A" w14:textId="77777777" w:rsidR="00756913" w:rsidRPr="00756913" w:rsidRDefault="00756913" w:rsidP="00756913">
      <w:pPr>
        <w:autoSpaceDE w:val="0"/>
        <w:autoSpaceDN w:val="0"/>
        <w:adjustRightInd w:val="0"/>
        <w:spacing w:before="160" w:after="0" w:line="240" w:lineRule="auto"/>
        <w:ind w:left="720"/>
        <w:jc w:val="both"/>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(b) DTR 4.2.8R of the Disclosure Guidance and Transparency Rules, being related party transactions that have taken place in the first six months of the current financial year and that have materially affected the financial position or performance of the Group during that period; and any changes in the related party transactions described in the last annual report that could do so.</w:t>
      </w:r>
    </w:p>
    <w:p w14:paraId="3C9D3B0A" w14:textId="77777777" w:rsidR="00756913" w:rsidRPr="00756913" w:rsidRDefault="00756913" w:rsidP="00756913">
      <w:pPr>
        <w:autoSpaceDE w:val="0"/>
        <w:autoSpaceDN w:val="0"/>
        <w:adjustRightInd w:val="0"/>
        <w:spacing w:before="160" w:after="0" w:line="240" w:lineRule="auto"/>
        <w:rPr>
          <w:rFonts w:ascii="Arial" w:hAnsi="Arial" w:cs="Arial"/>
          <w:sz w:val="20"/>
          <w:szCs w:val="20"/>
          <w:lang w:val="en-US"/>
          <w14:ligatures w14:val="standardContextual"/>
        </w:rPr>
      </w:pPr>
    </w:p>
    <w:tbl>
      <w:tblPr>
        <w:tblW w:w="0" w:type="auto"/>
        <w:tblLayout w:type="fixed"/>
        <w:tblCellMar>
          <w:left w:w="54" w:type="dxa"/>
          <w:right w:w="54" w:type="dxa"/>
        </w:tblCellMar>
        <w:tblLook w:val="0000" w:firstRow="0" w:lastRow="0" w:firstColumn="0" w:lastColumn="0" w:noHBand="0" w:noVBand="0"/>
      </w:tblPr>
      <w:tblGrid>
        <w:gridCol w:w="2590"/>
        <w:gridCol w:w="5861"/>
      </w:tblGrid>
      <w:tr w:rsidR="00756913" w:rsidRPr="00756913" w14:paraId="0863E2A7" w14:textId="77777777">
        <w:tblPrEx>
          <w:tblCellMar>
            <w:top w:w="0" w:type="dxa"/>
            <w:bottom w:w="0" w:type="dxa"/>
          </w:tblCellMar>
        </w:tblPrEx>
        <w:trPr>
          <w:trHeight w:val="21"/>
        </w:trPr>
        <w:tc>
          <w:tcPr>
            <w:tcW w:w="2590" w:type="dxa"/>
            <w:tcBorders>
              <w:top w:val="nil"/>
              <w:left w:val="nil"/>
              <w:bottom w:val="nil"/>
              <w:right w:val="nil"/>
            </w:tcBorders>
            <w:vAlign w:val="center"/>
          </w:tcPr>
          <w:p w14:paraId="76EEC1E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Name</w:t>
            </w:r>
          </w:p>
        </w:tc>
        <w:tc>
          <w:tcPr>
            <w:tcW w:w="5861" w:type="dxa"/>
            <w:tcBorders>
              <w:top w:val="nil"/>
              <w:left w:val="nil"/>
              <w:bottom w:val="nil"/>
              <w:right w:val="nil"/>
            </w:tcBorders>
            <w:vAlign w:val="center"/>
          </w:tcPr>
          <w:p w14:paraId="4090A70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b/>
                <w:bCs/>
                <w:sz w:val="20"/>
                <w:szCs w:val="20"/>
                <w:lang w:val="en-US"/>
                <w14:ligatures w14:val="standardContextual"/>
              </w:rPr>
            </w:pPr>
            <w:r w:rsidRPr="00756913">
              <w:rPr>
                <w:rFonts w:ascii="Arial" w:hAnsi="Arial" w:cs="Arial"/>
                <w:b/>
                <w:bCs/>
                <w:sz w:val="20"/>
                <w:szCs w:val="20"/>
                <w:lang w:val="en-US"/>
                <w14:ligatures w14:val="standardContextual"/>
              </w:rPr>
              <w:t>Function</w:t>
            </w:r>
          </w:p>
        </w:tc>
      </w:tr>
      <w:tr w:rsidR="00756913" w:rsidRPr="00756913" w14:paraId="725409BC" w14:textId="77777777">
        <w:tblPrEx>
          <w:tblCellMar>
            <w:top w:w="0" w:type="dxa"/>
            <w:bottom w:w="0" w:type="dxa"/>
          </w:tblCellMar>
        </w:tblPrEx>
        <w:trPr>
          <w:trHeight w:val="21"/>
        </w:trPr>
        <w:tc>
          <w:tcPr>
            <w:tcW w:w="2590" w:type="dxa"/>
            <w:tcBorders>
              <w:top w:val="nil"/>
              <w:left w:val="nil"/>
              <w:bottom w:val="nil"/>
              <w:right w:val="nil"/>
            </w:tcBorders>
            <w:vAlign w:val="center"/>
          </w:tcPr>
          <w:p w14:paraId="7AFADBD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b/>
                <w:bCs/>
                <w:sz w:val="20"/>
                <w:szCs w:val="20"/>
                <w:lang w:val="en-US"/>
                <w14:ligatures w14:val="standardContextual"/>
              </w:rPr>
            </w:pPr>
            <w:r w:rsidRPr="00756913">
              <w:rPr>
                <w:rFonts w:ascii="Arial" w:hAnsi="Arial" w:cs="Arial"/>
                <w:sz w:val="20"/>
                <w:szCs w:val="20"/>
                <w:lang w:val="en-US"/>
                <w14:ligatures w14:val="standardContextual"/>
              </w:rPr>
              <w:t>Robin Freestone</w:t>
            </w:r>
          </w:p>
        </w:tc>
        <w:tc>
          <w:tcPr>
            <w:tcW w:w="5861" w:type="dxa"/>
            <w:tcBorders>
              <w:top w:val="nil"/>
              <w:left w:val="nil"/>
              <w:bottom w:val="nil"/>
              <w:right w:val="nil"/>
            </w:tcBorders>
            <w:vAlign w:val="center"/>
          </w:tcPr>
          <w:p w14:paraId="04D173C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Chair</w:t>
            </w:r>
          </w:p>
        </w:tc>
      </w:tr>
      <w:tr w:rsidR="00756913" w:rsidRPr="00756913" w14:paraId="25F4C2D4" w14:textId="77777777">
        <w:tblPrEx>
          <w:tblCellMar>
            <w:top w:w="0" w:type="dxa"/>
            <w:bottom w:w="0" w:type="dxa"/>
          </w:tblCellMar>
        </w:tblPrEx>
        <w:trPr>
          <w:trHeight w:val="21"/>
        </w:trPr>
        <w:tc>
          <w:tcPr>
            <w:tcW w:w="2590" w:type="dxa"/>
            <w:tcBorders>
              <w:top w:val="nil"/>
              <w:left w:val="nil"/>
              <w:bottom w:val="nil"/>
              <w:right w:val="nil"/>
            </w:tcBorders>
            <w:vAlign w:val="center"/>
          </w:tcPr>
          <w:p w14:paraId="1D066D1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Peter Duffy</w:t>
            </w:r>
          </w:p>
        </w:tc>
        <w:tc>
          <w:tcPr>
            <w:tcW w:w="5861" w:type="dxa"/>
            <w:tcBorders>
              <w:top w:val="nil"/>
              <w:left w:val="nil"/>
              <w:bottom w:val="nil"/>
              <w:right w:val="nil"/>
            </w:tcBorders>
            <w:vAlign w:val="center"/>
          </w:tcPr>
          <w:p w14:paraId="1A9374C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Chief Executive Officer</w:t>
            </w:r>
          </w:p>
        </w:tc>
      </w:tr>
      <w:tr w:rsidR="00756913" w:rsidRPr="00756913" w14:paraId="6D1B9D06" w14:textId="77777777">
        <w:tblPrEx>
          <w:tblCellMar>
            <w:top w:w="0" w:type="dxa"/>
            <w:bottom w:w="0" w:type="dxa"/>
          </w:tblCellMar>
        </w:tblPrEx>
        <w:trPr>
          <w:trHeight w:val="21"/>
        </w:trPr>
        <w:tc>
          <w:tcPr>
            <w:tcW w:w="2590" w:type="dxa"/>
            <w:tcBorders>
              <w:top w:val="nil"/>
              <w:left w:val="nil"/>
              <w:bottom w:val="nil"/>
              <w:right w:val="nil"/>
            </w:tcBorders>
            <w:vAlign w:val="center"/>
          </w:tcPr>
          <w:p w14:paraId="39E2F72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Niall McBride</w:t>
            </w:r>
          </w:p>
        </w:tc>
        <w:tc>
          <w:tcPr>
            <w:tcW w:w="5861" w:type="dxa"/>
            <w:tcBorders>
              <w:top w:val="nil"/>
              <w:left w:val="nil"/>
              <w:bottom w:val="nil"/>
              <w:right w:val="nil"/>
            </w:tcBorders>
            <w:vAlign w:val="center"/>
          </w:tcPr>
          <w:p w14:paraId="532FD56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Chief Financial Officer</w:t>
            </w:r>
          </w:p>
        </w:tc>
      </w:tr>
      <w:tr w:rsidR="00756913" w:rsidRPr="00756913" w14:paraId="76F8EF97" w14:textId="77777777">
        <w:tblPrEx>
          <w:tblCellMar>
            <w:top w:w="0" w:type="dxa"/>
            <w:bottom w:w="0" w:type="dxa"/>
          </w:tblCellMar>
        </w:tblPrEx>
        <w:trPr>
          <w:trHeight w:val="21"/>
        </w:trPr>
        <w:tc>
          <w:tcPr>
            <w:tcW w:w="2590" w:type="dxa"/>
            <w:tcBorders>
              <w:top w:val="nil"/>
              <w:left w:val="nil"/>
              <w:bottom w:val="nil"/>
              <w:right w:val="nil"/>
            </w:tcBorders>
            <w:vAlign w:val="center"/>
          </w:tcPr>
          <w:p w14:paraId="5763D4A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Caroline Britton</w:t>
            </w:r>
          </w:p>
        </w:tc>
        <w:tc>
          <w:tcPr>
            <w:tcW w:w="5861" w:type="dxa"/>
            <w:tcBorders>
              <w:top w:val="nil"/>
              <w:left w:val="nil"/>
              <w:bottom w:val="nil"/>
              <w:right w:val="nil"/>
            </w:tcBorders>
            <w:vAlign w:val="center"/>
          </w:tcPr>
          <w:p w14:paraId="2BE1229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Senior Independent Non-Executive Director</w:t>
            </w:r>
          </w:p>
        </w:tc>
      </w:tr>
      <w:tr w:rsidR="00756913" w:rsidRPr="00756913" w14:paraId="55F1CBBD" w14:textId="77777777">
        <w:tblPrEx>
          <w:tblCellMar>
            <w:top w:w="0" w:type="dxa"/>
            <w:bottom w:w="0" w:type="dxa"/>
          </w:tblCellMar>
        </w:tblPrEx>
        <w:trPr>
          <w:trHeight w:val="92"/>
        </w:trPr>
        <w:tc>
          <w:tcPr>
            <w:tcW w:w="2590" w:type="dxa"/>
            <w:tcBorders>
              <w:top w:val="nil"/>
              <w:left w:val="nil"/>
              <w:bottom w:val="nil"/>
              <w:right w:val="nil"/>
            </w:tcBorders>
            <w:vAlign w:val="center"/>
          </w:tcPr>
          <w:p w14:paraId="470C73E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Sarah Warby</w:t>
            </w:r>
          </w:p>
        </w:tc>
        <w:tc>
          <w:tcPr>
            <w:tcW w:w="5861" w:type="dxa"/>
            <w:tcBorders>
              <w:top w:val="nil"/>
              <w:left w:val="nil"/>
              <w:bottom w:val="nil"/>
              <w:right w:val="nil"/>
            </w:tcBorders>
            <w:vAlign w:val="center"/>
          </w:tcPr>
          <w:p w14:paraId="43C7757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Independent Non-Executive Director</w:t>
            </w:r>
          </w:p>
        </w:tc>
      </w:tr>
      <w:tr w:rsidR="00756913" w:rsidRPr="00756913" w14:paraId="7024BC72" w14:textId="77777777">
        <w:tblPrEx>
          <w:tblCellMar>
            <w:top w:w="0" w:type="dxa"/>
            <w:bottom w:w="0" w:type="dxa"/>
          </w:tblCellMar>
        </w:tblPrEx>
        <w:trPr>
          <w:trHeight w:val="92"/>
        </w:trPr>
        <w:tc>
          <w:tcPr>
            <w:tcW w:w="2590" w:type="dxa"/>
            <w:tcBorders>
              <w:top w:val="nil"/>
              <w:left w:val="nil"/>
              <w:bottom w:val="nil"/>
              <w:right w:val="nil"/>
            </w:tcBorders>
            <w:vAlign w:val="center"/>
          </w:tcPr>
          <w:p w14:paraId="3822016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Lesley Jones</w:t>
            </w:r>
          </w:p>
        </w:tc>
        <w:tc>
          <w:tcPr>
            <w:tcW w:w="5861" w:type="dxa"/>
            <w:tcBorders>
              <w:top w:val="nil"/>
              <w:left w:val="nil"/>
              <w:bottom w:val="nil"/>
              <w:right w:val="nil"/>
            </w:tcBorders>
            <w:vAlign w:val="center"/>
          </w:tcPr>
          <w:p w14:paraId="0B9BB96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Independent Non-Executive Director</w:t>
            </w:r>
          </w:p>
        </w:tc>
      </w:tr>
      <w:tr w:rsidR="00756913" w:rsidRPr="00756913" w14:paraId="63594B2F" w14:textId="77777777">
        <w:tblPrEx>
          <w:tblCellMar>
            <w:top w:w="0" w:type="dxa"/>
            <w:bottom w:w="0" w:type="dxa"/>
          </w:tblCellMar>
        </w:tblPrEx>
        <w:trPr>
          <w:trHeight w:val="92"/>
        </w:trPr>
        <w:tc>
          <w:tcPr>
            <w:tcW w:w="2590" w:type="dxa"/>
            <w:tcBorders>
              <w:top w:val="nil"/>
              <w:left w:val="nil"/>
              <w:bottom w:val="nil"/>
              <w:right w:val="nil"/>
            </w:tcBorders>
            <w:vAlign w:val="center"/>
          </w:tcPr>
          <w:p w14:paraId="4C5E504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Rakesh Sharma</w:t>
            </w:r>
          </w:p>
        </w:tc>
        <w:tc>
          <w:tcPr>
            <w:tcW w:w="5861" w:type="dxa"/>
            <w:tcBorders>
              <w:top w:val="nil"/>
              <w:left w:val="nil"/>
              <w:bottom w:val="nil"/>
              <w:right w:val="nil"/>
            </w:tcBorders>
            <w:vAlign w:val="center"/>
          </w:tcPr>
          <w:p w14:paraId="593BB9F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Independent Non-Executive Director</w:t>
            </w:r>
          </w:p>
        </w:tc>
      </w:tr>
      <w:tr w:rsidR="00756913" w:rsidRPr="00756913" w14:paraId="0389FCE5" w14:textId="77777777">
        <w:tblPrEx>
          <w:tblCellMar>
            <w:top w:w="0" w:type="dxa"/>
            <w:bottom w:w="0" w:type="dxa"/>
          </w:tblCellMar>
        </w:tblPrEx>
        <w:trPr>
          <w:trHeight w:val="92"/>
        </w:trPr>
        <w:tc>
          <w:tcPr>
            <w:tcW w:w="2590" w:type="dxa"/>
            <w:tcBorders>
              <w:top w:val="nil"/>
              <w:left w:val="nil"/>
              <w:bottom w:val="nil"/>
              <w:right w:val="nil"/>
            </w:tcBorders>
            <w:vAlign w:val="center"/>
          </w:tcPr>
          <w:p w14:paraId="73A634D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Mary Beth Christie</w:t>
            </w:r>
          </w:p>
        </w:tc>
        <w:tc>
          <w:tcPr>
            <w:tcW w:w="5861" w:type="dxa"/>
            <w:tcBorders>
              <w:top w:val="nil"/>
              <w:left w:val="nil"/>
              <w:bottom w:val="nil"/>
              <w:right w:val="nil"/>
            </w:tcBorders>
            <w:vAlign w:val="center"/>
          </w:tcPr>
          <w:p w14:paraId="4A463C7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Independent Non-Executive Director</w:t>
            </w:r>
          </w:p>
        </w:tc>
      </w:tr>
    </w:tbl>
    <w:p w14:paraId="5FB78CF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sz w:val="20"/>
          <w:szCs w:val="20"/>
          <w14:ligatures w14:val="standardContextual"/>
        </w:rPr>
      </w:pPr>
      <w:r w:rsidRPr="00756913">
        <w:rPr>
          <w:rFonts w:ascii="Arial" w:hAnsi="Arial" w:cs="Arial"/>
          <w:b/>
          <w:bCs/>
          <w:sz w:val="26"/>
          <w:szCs w:val="26"/>
          <w14:ligatures w14:val="standardContextual"/>
        </w:rPr>
        <w:br w:type="page"/>
      </w:r>
    </w:p>
    <w:p w14:paraId="1FA8E822" w14:textId="77777777" w:rsidR="00756913" w:rsidRPr="00756913" w:rsidRDefault="00756913" w:rsidP="00756913">
      <w:pPr>
        <w:autoSpaceDE w:val="0"/>
        <w:autoSpaceDN w:val="0"/>
        <w:adjustRightInd w:val="0"/>
        <w:spacing w:after="0" w:line="240" w:lineRule="auto"/>
        <w:rPr>
          <w:rFonts w:ascii="Arial" w:hAnsi="Arial" w:cs="Arial"/>
          <w:b/>
          <w:bCs/>
          <w:sz w:val="26"/>
          <w:szCs w:val="26"/>
          <w14:ligatures w14:val="standardContextual"/>
        </w:rPr>
      </w:pPr>
      <w:r w:rsidRPr="00756913">
        <w:rPr>
          <w:rFonts w:ascii="Arial" w:hAnsi="Arial" w:cs="Arial"/>
          <w:b/>
          <w:bCs/>
          <w:sz w:val="26"/>
          <w:szCs w:val="26"/>
          <w14:ligatures w14:val="standardContextual"/>
        </w:rPr>
        <w:t>Consolidated statement of comprehensive income</w:t>
      </w:r>
    </w:p>
    <w:p w14:paraId="2DDE1D7F" w14:textId="77777777" w:rsidR="00756913" w:rsidRPr="00756913" w:rsidRDefault="00756913" w:rsidP="00756913">
      <w:pPr>
        <w:widowControl w:val="0"/>
        <w:suppressAutoHyphens/>
        <w:autoSpaceDE w:val="0"/>
        <w:autoSpaceDN w:val="0"/>
        <w:adjustRightInd w:val="0"/>
        <w:rPr>
          <w:rFonts w:ascii="Arial" w:hAnsi="Arial" w:cs="Arial"/>
          <w:i/>
          <w:iCs/>
          <w:sz w:val="20"/>
          <w:szCs w:val="20"/>
          <w:lang w:val="en-US"/>
          <w14:ligatures w14:val="standardContextual"/>
        </w:rPr>
      </w:pPr>
      <w:r w:rsidRPr="00756913">
        <w:rPr>
          <w:rFonts w:ascii="Arial" w:hAnsi="Arial" w:cs="Arial"/>
          <w:i/>
          <w:iCs/>
          <w:sz w:val="20"/>
          <w:szCs w:val="20"/>
          <w:lang w:val="en-US"/>
          <w14:ligatures w14:val="standardContextual"/>
        </w:rPr>
        <w:t xml:space="preserve">for </w:t>
      </w:r>
      <w:r w:rsidRPr="00756913">
        <w:rPr>
          <w:rFonts w:ascii="Arial" w:hAnsi="Arial" w:cs="Arial"/>
          <w:i/>
          <w:iCs/>
          <w:sz w:val="20"/>
          <w:szCs w:val="20"/>
          <w14:ligatures w14:val="standardContextual"/>
        </w:rPr>
        <w:t>the six months ended 30 June 2024 and 30 June 2023</w:t>
      </w:r>
    </w:p>
    <w:tbl>
      <w:tblPr>
        <w:tblW w:w="0" w:type="auto"/>
        <w:tblLayout w:type="fixed"/>
        <w:tblCellMar>
          <w:left w:w="54" w:type="dxa"/>
          <w:right w:w="54" w:type="dxa"/>
        </w:tblCellMar>
        <w:tblLook w:val="0000" w:firstRow="0" w:lastRow="0" w:firstColumn="0" w:lastColumn="0" w:noHBand="0" w:noVBand="0"/>
      </w:tblPr>
      <w:tblGrid>
        <w:gridCol w:w="4045"/>
        <w:gridCol w:w="633"/>
        <w:gridCol w:w="868"/>
        <w:gridCol w:w="266"/>
        <w:gridCol w:w="284"/>
        <w:gridCol w:w="283"/>
        <w:gridCol w:w="142"/>
        <w:gridCol w:w="1276"/>
        <w:gridCol w:w="195"/>
        <w:gridCol w:w="1367"/>
      </w:tblGrid>
      <w:tr w:rsidR="00756913" w:rsidRPr="00756913" w14:paraId="562C5CE0" w14:textId="77777777">
        <w:tblPrEx>
          <w:tblCellMar>
            <w:top w:w="0" w:type="dxa"/>
            <w:bottom w:w="0" w:type="dxa"/>
          </w:tblCellMar>
        </w:tblPrEx>
        <w:tc>
          <w:tcPr>
            <w:tcW w:w="4045" w:type="dxa"/>
            <w:tcBorders>
              <w:top w:val="nil"/>
              <w:left w:val="nil"/>
              <w:bottom w:val="nil"/>
              <w:right w:val="nil"/>
            </w:tcBorders>
          </w:tcPr>
          <w:p w14:paraId="3D1E4D0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1501" w:type="dxa"/>
            <w:gridSpan w:val="2"/>
            <w:tcBorders>
              <w:top w:val="nil"/>
              <w:left w:val="nil"/>
              <w:bottom w:val="nil"/>
              <w:right w:val="nil"/>
            </w:tcBorders>
          </w:tcPr>
          <w:p w14:paraId="4E7CFE3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right"/>
              <w:rPr>
                <w:rFonts w:ascii="Arial" w:hAnsi="Arial" w:cs="Arial"/>
                <w:i/>
                <w:iCs/>
                <w:sz w:val="18"/>
                <w:szCs w:val="18"/>
                <w14:ligatures w14:val="standardContextual"/>
              </w:rPr>
            </w:pPr>
          </w:p>
        </w:tc>
        <w:tc>
          <w:tcPr>
            <w:tcW w:w="266" w:type="dxa"/>
            <w:tcBorders>
              <w:top w:val="nil"/>
              <w:left w:val="nil"/>
              <w:bottom w:val="nil"/>
              <w:right w:val="nil"/>
            </w:tcBorders>
          </w:tcPr>
          <w:p w14:paraId="2C31A8E6"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709" w:type="dxa"/>
            <w:gridSpan w:val="3"/>
            <w:tcBorders>
              <w:top w:val="nil"/>
              <w:left w:val="nil"/>
              <w:bottom w:val="nil"/>
              <w:right w:val="nil"/>
            </w:tcBorders>
          </w:tcPr>
          <w:p w14:paraId="08295161"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ind w:left="-284"/>
              <w:rPr>
                <w:rFonts w:ascii="Arial" w:hAnsi="Arial" w:cs="Arial"/>
                <w:b/>
                <w:bCs/>
                <w:sz w:val="18"/>
                <w:szCs w:val="18"/>
                <w14:ligatures w14:val="standardContextual"/>
              </w:rPr>
            </w:pPr>
          </w:p>
        </w:tc>
        <w:tc>
          <w:tcPr>
            <w:tcW w:w="1471" w:type="dxa"/>
            <w:gridSpan w:val="2"/>
            <w:tcBorders>
              <w:top w:val="nil"/>
              <w:left w:val="nil"/>
              <w:bottom w:val="nil"/>
              <w:right w:val="nil"/>
            </w:tcBorders>
          </w:tcPr>
          <w:p w14:paraId="3423B734"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1367" w:type="dxa"/>
            <w:tcBorders>
              <w:top w:val="nil"/>
              <w:left w:val="nil"/>
              <w:bottom w:val="nil"/>
              <w:right w:val="nil"/>
            </w:tcBorders>
          </w:tcPr>
          <w:p w14:paraId="59380BDF"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sz w:val="18"/>
                <w:szCs w:val="18"/>
                <w14:ligatures w14:val="standardContextual"/>
              </w:rPr>
            </w:pPr>
          </w:p>
        </w:tc>
      </w:tr>
      <w:tr w:rsidR="00756913" w:rsidRPr="00756913" w14:paraId="63E2C82D" w14:textId="77777777">
        <w:tblPrEx>
          <w:tblCellMar>
            <w:top w:w="0" w:type="dxa"/>
            <w:bottom w:w="0" w:type="dxa"/>
          </w:tblCellMar>
        </w:tblPrEx>
        <w:tc>
          <w:tcPr>
            <w:tcW w:w="4045" w:type="dxa"/>
            <w:tcBorders>
              <w:top w:val="nil"/>
              <w:left w:val="nil"/>
              <w:bottom w:val="nil"/>
              <w:right w:val="nil"/>
            </w:tcBorders>
          </w:tcPr>
          <w:p w14:paraId="7EF3E8A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1501" w:type="dxa"/>
            <w:gridSpan w:val="2"/>
            <w:tcBorders>
              <w:top w:val="nil"/>
              <w:left w:val="nil"/>
              <w:bottom w:val="nil"/>
              <w:right w:val="nil"/>
            </w:tcBorders>
          </w:tcPr>
          <w:p w14:paraId="6E31EC8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right"/>
              <w:rPr>
                <w:rFonts w:ascii="Arial" w:hAnsi="Arial" w:cs="Arial"/>
                <w:i/>
                <w:iCs/>
                <w:sz w:val="18"/>
                <w:szCs w:val="18"/>
                <w14:ligatures w14:val="standardContextual"/>
              </w:rPr>
            </w:pPr>
          </w:p>
        </w:tc>
        <w:tc>
          <w:tcPr>
            <w:tcW w:w="266" w:type="dxa"/>
            <w:tcBorders>
              <w:top w:val="nil"/>
              <w:left w:val="nil"/>
              <w:bottom w:val="nil"/>
              <w:right w:val="nil"/>
            </w:tcBorders>
          </w:tcPr>
          <w:p w14:paraId="0C4B82A9"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567" w:type="dxa"/>
            <w:gridSpan w:val="2"/>
            <w:tcBorders>
              <w:top w:val="nil"/>
              <w:left w:val="nil"/>
              <w:bottom w:val="nil"/>
              <w:right w:val="nil"/>
            </w:tcBorders>
          </w:tcPr>
          <w:p w14:paraId="47E046DD" w14:textId="77777777" w:rsidR="00756913" w:rsidRPr="00756913" w:rsidRDefault="00756913" w:rsidP="00756913">
            <w:pPr>
              <w:tabs>
                <w:tab w:val="left" w:pos="709"/>
                <w:tab w:val="decimal" w:pos="851"/>
                <w:tab w:val="left" w:pos="1559"/>
                <w:tab w:val="left" w:pos="2268"/>
                <w:tab w:val="left" w:pos="2977"/>
                <w:tab w:val="left" w:pos="3686"/>
                <w:tab w:val="left" w:pos="4394"/>
                <w:tab w:val="right" w:pos="8789"/>
              </w:tabs>
              <w:autoSpaceDE w:val="0"/>
              <w:autoSpaceDN w:val="0"/>
              <w:adjustRightInd w:val="0"/>
              <w:spacing w:after="0" w:line="260" w:lineRule="atLeast"/>
              <w:ind w:left="-284"/>
              <w:rPr>
                <w:rFonts w:ascii="Arial" w:hAnsi="Arial" w:cs="Arial"/>
                <w:b/>
                <w:bCs/>
                <w:sz w:val="18"/>
                <w:szCs w:val="18"/>
                <w14:ligatures w14:val="standardContextual"/>
              </w:rPr>
            </w:pPr>
          </w:p>
        </w:tc>
        <w:tc>
          <w:tcPr>
            <w:tcW w:w="1418" w:type="dxa"/>
            <w:gridSpan w:val="2"/>
            <w:tcBorders>
              <w:top w:val="nil"/>
              <w:left w:val="nil"/>
              <w:bottom w:val="nil"/>
              <w:right w:val="nil"/>
            </w:tcBorders>
          </w:tcPr>
          <w:p w14:paraId="020B7257"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sz w:val="18"/>
                <w:szCs w:val="18"/>
                <w14:ligatures w14:val="standardContextual"/>
              </w:rPr>
            </w:pPr>
          </w:p>
        </w:tc>
        <w:tc>
          <w:tcPr>
            <w:tcW w:w="1562" w:type="dxa"/>
            <w:gridSpan w:val="2"/>
            <w:tcBorders>
              <w:top w:val="nil"/>
              <w:left w:val="nil"/>
              <w:bottom w:val="nil"/>
              <w:right w:val="nil"/>
            </w:tcBorders>
          </w:tcPr>
          <w:p w14:paraId="0C2E3638"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p>
        </w:tc>
      </w:tr>
      <w:tr w:rsidR="00756913" w:rsidRPr="00756913" w14:paraId="20454BFF" w14:textId="77777777">
        <w:tblPrEx>
          <w:tblCellMar>
            <w:top w:w="0" w:type="dxa"/>
            <w:bottom w:w="0" w:type="dxa"/>
          </w:tblCellMar>
        </w:tblPrEx>
        <w:tc>
          <w:tcPr>
            <w:tcW w:w="4678" w:type="dxa"/>
            <w:gridSpan w:val="2"/>
            <w:tcBorders>
              <w:top w:val="nil"/>
              <w:left w:val="nil"/>
              <w:bottom w:val="nil"/>
              <w:right w:val="nil"/>
            </w:tcBorders>
          </w:tcPr>
          <w:p w14:paraId="0E26624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868" w:type="dxa"/>
            <w:tcBorders>
              <w:top w:val="nil"/>
              <w:left w:val="nil"/>
              <w:bottom w:val="nil"/>
              <w:right w:val="nil"/>
            </w:tcBorders>
            <w:vAlign w:val="center"/>
          </w:tcPr>
          <w:p w14:paraId="7194CC4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Note</w:t>
            </w:r>
          </w:p>
        </w:tc>
        <w:tc>
          <w:tcPr>
            <w:tcW w:w="550" w:type="dxa"/>
            <w:gridSpan w:val="2"/>
            <w:tcBorders>
              <w:top w:val="nil"/>
              <w:left w:val="nil"/>
              <w:bottom w:val="nil"/>
              <w:right w:val="nil"/>
            </w:tcBorders>
          </w:tcPr>
          <w:p w14:paraId="746CB59F"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sz w:val="18"/>
                <w:szCs w:val="18"/>
                <w14:ligatures w14:val="standardContextual"/>
              </w:rPr>
            </w:pPr>
          </w:p>
        </w:tc>
        <w:tc>
          <w:tcPr>
            <w:tcW w:w="283" w:type="dxa"/>
            <w:tcBorders>
              <w:top w:val="nil"/>
              <w:left w:val="nil"/>
              <w:bottom w:val="nil"/>
              <w:right w:val="nil"/>
            </w:tcBorders>
          </w:tcPr>
          <w:p w14:paraId="09809711"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i/>
                <w:iCs/>
                <w:sz w:val="18"/>
                <w:szCs w:val="18"/>
                <w14:ligatures w14:val="standardContextual"/>
              </w:rPr>
            </w:pPr>
          </w:p>
        </w:tc>
        <w:tc>
          <w:tcPr>
            <w:tcW w:w="1418" w:type="dxa"/>
            <w:gridSpan w:val="2"/>
            <w:tcBorders>
              <w:top w:val="nil"/>
              <w:left w:val="nil"/>
              <w:bottom w:val="nil"/>
              <w:right w:val="nil"/>
            </w:tcBorders>
            <w:vAlign w:val="center"/>
          </w:tcPr>
          <w:p w14:paraId="253015DC"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2024</w:t>
            </w:r>
          </w:p>
        </w:tc>
        <w:tc>
          <w:tcPr>
            <w:tcW w:w="1562" w:type="dxa"/>
            <w:gridSpan w:val="2"/>
            <w:tcBorders>
              <w:top w:val="nil"/>
              <w:left w:val="nil"/>
              <w:bottom w:val="nil"/>
              <w:right w:val="nil"/>
            </w:tcBorders>
            <w:vAlign w:val="center"/>
          </w:tcPr>
          <w:p w14:paraId="40C3529E"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2023</w:t>
            </w:r>
          </w:p>
        </w:tc>
      </w:tr>
      <w:tr w:rsidR="00756913" w:rsidRPr="00756913" w14:paraId="47810233" w14:textId="77777777">
        <w:tblPrEx>
          <w:tblCellMar>
            <w:top w:w="0" w:type="dxa"/>
            <w:bottom w:w="0" w:type="dxa"/>
          </w:tblCellMar>
        </w:tblPrEx>
        <w:tc>
          <w:tcPr>
            <w:tcW w:w="4678" w:type="dxa"/>
            <w:gridSpan w:val="2"/>
            <w:tcBorders>
              <w:top w:val="nil"/>
              <w:left w:val="nil"/>
              <w:bottom w:val="nil"/>
              <w:right w:val="nil"/>
            </w:tcBorders>
            <w:vAlign w:val="center"/>
          </w:tcPr>
          <w:p w14:paraId="1D812BE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868" w:type="dxa"/>
            <w:tcBorders>
              <w:top w:val="nil"/>
              <w:left w:val="nil"/>
              <w:bottom w:val="nil"/>
              <w:right w:val="nil"/>
            </w:tcBorders>
            <w:vAlign w:val="center"/>
          </w:tcPr>
          <w:p w14:paraId="7F7D6A6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sz w:val="18"/>
                <w:szCs w:val="18"/>
                <w14:ligatures w14:val="standardContextual"/>
              </w:rPr>
            </w:pPr>
          </w:p>
        </w:tc>
        <w:tc>
          <w:tcPr>
            <w:tcW w:w="550" w:type="dxa"/>
            <w:gridSpan w:val="2"/>
            <w:tcBorders>
              <w:top w:val="nil"/>
              <w:left w:val="nil"/>
              <w:bottom w:val="nil"/>
              <w:right w:val="nil"/>
            </w:tcBorders>
          </w:tcPr>
          <w:p w14:paraId="09688B9A" w14:textId="77777777" w:rsidR="00756913" w:rsidRPr="00756913" w:rsidRDefault="00756913" w:rsidP="00756913">
            <w:pPr>
              <w:tabs>
                <w:tab w:val="decimal" w:pos="1015"/>
              </w:tabs>
              <w:autoSpaceDE w:val="0"/>
              <w:autoSpaceDN w:val="0"/>
              <w:adjustRightInd w:val="0"/>
              <w:spacing w:after="0" w:line="240" w:lineRule="auto"/>
              <w:jc w:val="both"/>
              <w:rPr>
                <w:rFonts w:ascii="Arial" w:hAnsi="Arial" w:cs="Arial"/>
                <w:b/>
                <w:bCs/>
                <w:sz w:val="18"/>
                <w:szCs w:val="18"/>
                <w14:ligatures w14:val="standardContextual"/>
              </w:rPr>
            </w:pPr>
          </w:p>
        </w:tc>
        <w:tc>
          <w:tcPr>
            <w:tcW w:w="283" w:type="dxa"/>
            <w:tcBorders>
              <w:top w:val="nil"/>
              <w:left w:val="nil"/>
              <w:bottom w:val="nil"/>
              <w:right w:val="nil"/>
            </w:tcBorders>
          </w:tcPr>
          <w:p w14:paraId="0AC048D3" w14:textId="77777777" w:rsidR="00756913" w:rsidRPr="00756913" w:rsidRDefault="00756913" w:rsidP="00756913">
            <w:pPr>
              <w:tabs>
                <w:tab w:val="decimal" w:pos="1015"/>
              </w:tabs>
              <w:autoSpaceDE w:val="0"/>
              <w:autoSpaceDN w:val="0"/>
              <w:adjustRightInd w:val="0"/>
              <w:spacing w:after="0" w:line="240" w:lineRule="auto"/>
              <w:ind w:left="-284"/>
              <w:jc w:val="both"/>
              <w:rPr>
                <w:rFonts w:ascii="Arial" w:hAnsi="Arial" w:cs="Arial"/>
                <w:b/>
                <w:bCs/>
                <w:sz w:val="18"/>
                <w:szCs w:val="18"/>
                <w14:ligatures w14:val="standardContextual"/>
              </w:rPr>
            </w:pPr>
          </w:p>
        </w:tc>
        <w:tc>
          <w:tcPr>
            <w:tcW w:w="1418" w:type="dxa"/>
            <w:gridSpan w:val="2"/>
            <w:tcBorders>
              <w:top w:val="nil"/>
              <w:left w:val="nil"/>
              <w:bottom w:val="nil"/>
              <w:right w:val="nil"/>
            </w:tcBorders>
            <w:vAlign w:val="center"/>
          </w:tcPr>
          <w:p w14:paraId="0DB66AC5"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562" w:type="dxa"/>
            <w:gridSpan w:val="2"/>
            <w:tcBorders>
              <w:top w:val="nil"/>
              <w:left w:val="nil"/>
              <w:bottom w:val="nil"/>
              <w:right w:val="nil"/>
            </w:tcBorders>
            <w:vAlign w:val="center"/>
          </w:tcPr>
          <w:p w14:paraId="2A2AD02C"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r>
      <w:tr w:rsidR="00756913" w:rsidRPr="00756913" w14:paraId="32E6B134" w14:textId="77777777">
        <w:tblPrEx>
          <w:tblCellMar>
            <w:top w:w="0" w:type="dxa"/>
            <w:bottom w:w="0" w:type="dxa"/>
          </w:tblCellMar>
        </w:tblPrEx>
        <w:tc>
          <w:tcPr>
            <w:tcW w:w="4678" w:type="dxa"/>
            <w:gridSpan w:val="2"/>
            <w:tcBorders>
              <w:top w:val="nil"/>
              <w:left w:val="nil"/>
              <w:bottom w:val="nil"/>
              <w:right w:val="nil"/>
            </w:tcBorders>
            <w:vAlign w:val="center"/>
          </w:tcPr>
          <w:p w14:paraId="3B3E2CA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color w:val="FF0000"/>
                <w:sz w:val="18"/>
                <w:szCs w:val="18"/>
                <w14:ligatures w14:val="standardContextual"/>
              </w:rPr>
            </w:pPr>
          </w:p>
        </w:tc>
        <w:tc>
          <w:tcPr>
            <w:tcW w:w="868" w:type="dxa"/>
            <w:tcBorders>
              <w:top w:val="nil"/>
              <w:left w:val="nil"/>
              <w:bottom w:val="nil"/>
              <w:right w:val="nil"/>
            </w:tcBorders>
            <w:vAlign w:val="center"/>
          </w:tcPr>
          <w:p w14:paraId="5B44D3F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550" w:type="dxa"/>
            <w:gridSpan w:val="2"/>
            <w:tcBorders>
              <w:top w:val="nil"/>
              <w:left w:val="nil"/>
              <w:bottom w:val="nil"/>
              <w:right w:val="nil"/>
            </w:tcBorders>
            <w:vAlign w:val="center"/>
          </w:tcPr>
          <w:p w14:paraId="7A85ADBB"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7566E5CD"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078AE7E1"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color w:val="FF0000"/>
                <w:sz w:val="18"/>
                <w:szCs w:val="18"/>
                <w14:ligatures w14:val="standardContextual"/>
              </w:rPr>
            </w:pPr>
          </w:p>
        </w:tc>
        <w:tc>
          <w:tcPr>
            <w:tcW w:w="1562" w:type="dxa"/>
            <w:gridSpan w:val="2"/>
            <w:tcBorders>
              <w:top w:val="nil"/>
              <w:left w:val="nil"/>
              <w:bottom w:val="nil"/>
              <w:right w:val="nil"/>
            </w:tcBorders>
            <w:vAlign w:val="center"/>
          </w:tcPr>
          <w:p w14:paraId="76EE66B2"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sz w:val="18"/>
                <w:szCs w:val="18"/>
                <w14:ligatures w14:val="standardContextual"/>
              </w:rPr>
            </w:pPr>
          </w:p>
        </w:tc>
      </w:tr>
      <w:tr w:rsidR="00756913" w:rsidRPr="00756913" w14:paraId="5ACB60D8" w14:textId="77777777">
        <w:tblPrEx>
          <w:tblCellMar>
            <w:top w:w="0" w:type="dxa"/>
            <w:bottom w:w="0" w:type="dxa"/>
          </w:tblCellMar>
        </w:tblPrEx>
        <w:tc>
          <w:tcPr>
            <w:tcW w:w="4678" w:type="dxa"/>
            <w:gridSpan w:val="2"/>
            <w:tcBorders>
              <w:top w:val="nil"/>
              <w:left w:val="nil"/>
              <w:bottom w:val="nil"/>
              <w:right w:val="nil"/>
            </w:tcBorders>
            <w:vAlign w:val="center"/>
          </w:tcPr>
          <w:p w14:paraId="5728D92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sz w:val="18"/>
                <w:szCs w:val="18"/>
                <w14:ligatures w14:val="standardContextual"/>
              </w:rPr>
              <w:t>Revenue</w:t>
            </w:r>
          </w:p>
        </w:tc>
        <w:tc>
          <w:tcPr>
            <w:tcW w:w="868" w:type="dxa"/>
            <w:tcBorders>
              <w:top w:val="nil"/>
              <w:left w:val="nil"/>
              <w:bottom w:val="nil"/>
              <w:right w:val="nil"/>
            </w:tcBorders>
            <w:vAlign w:val="center"/>
          </w:tcPr>
          <w:p w14:paraId="551F8F0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2</w:t>
            </w:r>
          </w:p>
        </w:tc>
        <w:tc>
          <w:tcPr>
            <w:tcW w:w="550" w:type="dxa"/>
            <w:gridSpan w:val="2"/>
            <w:tcBorders>
              <w:top w:val="nil"/>
              <w:left w:val="nil"/>
              <w:bottom w:val="nil"/>
              <w:right w:val="nil"/>
            </w:tcBorders>
            <w:vAlign w:val="center"/>
          </w:tcPr>
          <w:p w14:paraId="36BEBB90"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4E2E49BF"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60CFF455"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223.5</w:t>
            </w:r>
          </w:p>
        </w:tc>
        <w:tc>
          <w:tcPr>
            <w:tcW w:w="1562" w:type="dxa"/>
            <w:gridSpan w:val="2"/>
            <w:tcBorders>
              <w:top w:val="nil"/>
              <w:left w:val="nil"/>
              <w:bottom w:val="nil"/>
              <w:right w:val="nil"/>
            </w:tcBorders>
            <w:vAlign w:val="center"/>
          </w:tcPr>
          <w:p w14:paraId="24DD59D1"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213.8</w:t>
            </w:r>
          </w:p>
        </w:tc>
      </w:tr>
      <w:tr w:rsidR="00756913" w:rsidRPr="00756913" w14:paraId="6591C200" w14:textId="77777777">
        <w:tblPrEx>
          <w:tblCellMar>
            <w:top w:w="0" w:type="dxa"/>
            <w:bottom w:w="0" w:type="dxa"/>
          </w:tblCellMar>
        </w:tblPrEx>
        <w:tc>
          <w:tcPr>
            <w:tcW w:w="4678" w:type="dxa"/>
            <w:gridSpan w:val="2"/>
            <w:tcBorders>
              <w:top w:val="nil"/>
              <w:left w:val="nil"/>
              <w:bottom w:val="nil"/>
              <w:right w:val="nil"/>
            </w:tcBorders>
            <w:vAlign w:val="center"/>
          </w:tcPr>
          <w:p w14:paraId="474F27F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Cost of sales</w:t>
            </w:r>
          </w:p>
        </w:tc>
        <w:tc>
          <w:tcPr>
            <w:tcW w:w="868" w:type="dxa"/>
            <w:tcBorders>
              <w:top w:val="nil"/>
              <w:left w:val="nil"/>
              <w:bottom w:val="nil"/>
              <w:right w:val="nil"/>
            </w:tcBorders>
            <w:vAlign w:val="center"/>
          </w:tcPr>
          <w:p w14:paraId="42BD255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6D4E690C"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7420E785"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single" w:sz="4" w:space="0" w:color="auto"/>
              <w:right w:val="nil"/>
            </w:tcBorders>
            <w:vAlign w:val="center"/>
          </w:tcPr>
          <w:p w14:paraId="2D5EC464"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(71.3)</w:t>
            </w:r>
          </w:p>
        </w:tc>
        <w:tc>
          <w:tcPr>
            <w:tcW w:w="1562" w:type="dxa"/>
            <w:gridSpan w:val="2"/>
            <w:tcBorders>
              <w:top w:val="nil"/>
              <w:left w:val="nil"/>
              <w:bottom w:val="single" w:sz="4" w:space="0" w:color="auto"/>
              <w:right w:val="nil"/>
            </w:tcBorders>
            <w:vAlign w:val="center"/>
          </w:tcPr>
          <w:p w14:paraId="27A0F989"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(68.4)</w:t>
            </w:r>
          </w:p>
        </w:tc>
      </w:tr>
      <w:tr w:rsidR="00756913" w:rsidRPr="00756913" w14:paraId="5B967A8D" w14:textId="77777777">
        <w:tblPrEx>
          <w:tblCellMar>
            <w:top w:w="0" w:type="dxa"/>
            <w:bottom w:w="0" w:type="dxa"/>
          </w:tblCellMar>
        </w:tblPrEx>
        <w:tc>
          <w:tcPr>
            <w:tcW w:w="4678" w:type="dxa"/>
            <w:gridSpan w:val="2"/>
            <w:tcBorders>
              <w:top w:val="nil"/>
              <w:left w:val="nil"/>
              <w:bottom w:val="nil"/>
              <w:right w:val="nil"/>
            </w:tcBorders>
            <w:vAlign w:val="center"/>
          </w:tcPr>
          <w:p w14:paraId="23CC73E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72" w:hanging="172"/>
              <w:rPr>
                <w:rFonts w:ascii="Arial" w:hAnsi="Arial" w:cs="Arial"/>
                <w:sz w:val="18"/>
                <w:szCs w:val="18"/>
                <w14:ligatures w14:val="standardContextual"/>
              </w:rPr>
            </w:pPr>
          </w:p>
        </w:tc>
        <w:tc>
          <w:tcPr>
            <w:tcW w:w="868" w:type="dxa"/>
            <w:tcBorders>
              <w:top w:val="nil"/>
              <w:left w:val="nil"/>
              <w:bottom w:val="nil"/>
              <w:right w:val="nil"/>
            </w:tcBorders>
            <w:vAlign w:val="center"/>
          </w:tcPr>
          <w:p w14:paraId="7587796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694A24E2" w14:textId="77777777" w:rsidR="00756913" w:rsidRPr="00756913" w:rsidRDefault="00756913" w:rsidP="00756913">
            <w:pPr>
              <w:tabs>
                <w:tab w:val="decimal" w:pos="1015"/>
              </w:tabs>
              <w:autoSpaceDE w:val="0"/>
              <w:autoSpaceDN w:val="0"/>
              <w:adjustRightInd w:val="0"/>
              <w:spacing w:after="0" w:line="240" w:lineRule="auto"/>
              <w:rPr>
                <w:rFonts w:ascii="Arial" w:hAnsi="Arial" w:cs="Arial"/>
                <w:color w:val="FF0000"/>
                <w:sz w:val="18"/>
                <w:szCs w:val="18"/>
                <w14:ligatures w14:val="standardContextual"/>
              </w:rPr>
            </w:pPr>
          </w:p>
        </w:tc>
        <w:tc>
          <w:tcPr>
            <w:tcW w:w="283" w:type="dxa"/>
            <w:tcBorders>
              <w:top w:val="nil"/>
              <w:left w:val="nil"/>
              <w:bottom w:val="nil"/>
              <w:right w:val="nil"/>
            </w:tcBorders>
            <w:vAlign w:val="center"/>
          </w:tcPr>
          <w:p w14:paraId="5C75EDA8"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color w:val="FF0000"/>
                <w:sz w:val="18"/>
                <w:szCs w:val="18"/>
                <w:u w:val="single"/>
                <w14:ligatures w14:val="standardContextual"/>
              </w:rPr>
            </w:pPr>
          </w:p>
        </w:tc>
        <w:tc>
          <w:tcPr>
            <w:tcW w:w="1418" w:type="dxa"/>
            <w:gridSpan w:val="2"/>
            <w:tcBorders>
              <w:top w:val="single" w:sz="4" w:space="0" w:color="auto"/>
              <w:left w:val="nil"/>
              <w:bottom w:val="nil"/>
              <w:right w:val="nil"/>
            </w:tcBorders>
            <w:vAlign w:val="center"/>
          </w:tcPr>
          <w:p w14:paraId="332B3407"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sz w:val="18"/>
                <w:szCs w:val="18"/>
                <w14:ligatures w14:val="standardContextual"/>
              </w:rPr>
            </w:pPr>
          </w:p>
        </w:tc>
        <w:tc>
          <w:tcPr>
            <w:tcW w:w="1562" w:type="dxa"/>
            <w:gridSpan w:val="2"/>
            <w:tcBorders>
              <w:top w:val="single" w:sz="4" w:space="0" w:color="auto"/>
              <w:left w:val="nil"/>
              <w:bottom w:val="nil"/>
              <w:right w:val="nil"/>
            </w:tcBorders>
            <w:vAlign w:val="center"/>
          </w:tcPr>
          <w:p w14:paraId="1B77BCE6" w14:textId="77777777" w:rsidR="00756913" w:rsidRPr="00756913" w:rsidRDefault="00756913" w:rsidP="00756913">
            <w:pPr>
              <w:tabs>
                <w:tab w:val="decimal" w:pos="1015"/>
              </w:tabs>
              <w:autoSpaceDE w:val="0"/>
              <w:autoSpaceDN w:val="0"/>
              <w:adjustRightInd w:val="0"/>
              <w:spacing w:after="130" w:line="240" w:lineRule="auto"/>
              <w:jc w:val="right"/>
              <w:rPr>
                <w:rFonts w:ascii="Arial" w:hAnsi="Arial" w:cs="Arial"/>
                <w:sz w:val="18"/>
                <w:szCs w:val="18"/>
                <w:u w:val="single"/>
                <w14:ligatures w14:val="standardContextual"/>
              </w:rPr>
            </w:pPr>
          </w:p>
        </w:tc>
      </w:tr>
      <w:tr w:rsidR="00756913" w:rsidRPr="00756913" w14:paraId="5FE42872" w14:textId="77777777">
        <w:tblPrEx>
          <w:tblCellMar>
            <w:top w:w="0" w:type="dxa"/>
            <w:bottom w:w="0" w:type="dxa"/>
          </w:tblCellMar>
        </w:tblPrEx>
        <w:tc>
          <w:tcPr>
            <w:tcW w:w="4678" w:type="dxa"/>
            <w:gridSpan w:val="2"/>
            <w:tcBorders>
              <w:top w:val="nil"/>
              <w:left w:val="nil"/>
              <w:bottom w:val="nil"/>
              <w:right w:val="nil"/>
            </w:tcBorders>
            <w:vAlign w:val="center"/>
          </w:tcPr>
          <w:p w14:paraId="36E8598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Gross profit</w:t>
            </w:r>
          </w:p>
        </w:tc>
        <w:tc>
          <w:tcPr>
            <w:tcW w:w="868" w:type="dxa"/>
            <w:tcBorders>
              <w:top w:val="nil"/>
              <w:left w:val="nil"/>
              <w:bottom w:val="nil"/>
              <w:right w:val="nil"/>
            </w:tcBorders>
            <w:vAlign w:val="center"/>
          </w:tcPr>
          <w:p w14:paraId="0ABE5B0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43B68849"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4C973E92"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61485003"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152.2</w:t>
            </w:r>
          </w:p>
        </w:tc>
        <w:tc>
          <w:tcPr>
            <w:tcW w:w="1562" w:type="dxa"/>
            <w:gridSpan w:val="2"/>
            <w:tcBorders>
              <w:top w:val="nil"/>
              <w:left w:val="nil"/>
              <w:bottom w:val="nil"/>
              <w:right w:val="nil"/>
            </w:tcBorders>
            <w:vAlign w:val="center"/>
          </w:tcPr>
          <w:p w14:paraId="2E326F4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145.4</w:t>
            </w:r>
          </w:p>
        </w:tc>
      </w:tr>
      <w:tr w:rsidR="00756913" w:rsidRPr="00756913" w14:paraId="6BCBB250" w14:textId="77777777">
        <w:tblPrEx>
          <w:tblCellMar>
            <w:top w:w="0" w:type="dxa"/>
            <w:bottom w:w="0" w:type="dxa"/>
          </w:tblCellMar>
        </w:tblPrEx>
        <w:tc>
          <w:tcPr>
            <w:tcW w:w="4678" w:type="dxa"/>
            <w:gridSpan w:val="2"/>
            <w:tcBorders>
              <w:top w:val="nil"/>
              <w:left w:val="nil"/>
              <w:bottom w:val="nil"/>
              <w:right w:val="nil"/>
            </w:tcBorders>
            <w:vAlign w:val="center"/>
          </w:tcPr>
          <w:p w14:paraId="4EF090F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868" w:type="dxa"/>
            <w:tcBorders>
              <w:top w:val="nil"/>
              <w:left w:val="nil"/>
              <w:bottom w:val="nil"/>
              <w:right w:val="nil"/>
            </w:tcBorders>
            <w:vAlign w:val="center"/>
          </w:tcPr>
          <w:p w14:paraId="7DF5BDE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57840C68"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7FDCCD6A"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54C16154"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p>
        </w:tc>
        <w:tc>
          <w:tcPr>
            <w:tcW w:w="1562" w:type="dxa"/>
            <w:gridSpan w:val="2"/>
            <w:tcBorders>
              <w:top w:val="nil"/>
              <w:left w:val="nil"/>
              <w:bottom w:val="nil"/>
              <w:right w:val="nil"/>
            </w:tcBorders>
            <w:vAlign w:val="center"/>
          </w:tcPr>
          <w:p w14:paraId="19BFBD3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14BB6201" w14:textId="77777777">
        <w:tblPrEx>
          <w:tblCellMar>
            <w:top w:w="0" w:type="dxa"/>
            <w:bottom w:w="0" w:type="dxa"/>
          </w:tblCellMar>
        </w:tblPrEx>
        <w:tc>
          <w:tcPr>
            <w:tcW w:w="4678" w:type="dxa"/>
            <w:gridSpan w:val="2"/>
            <w:tcBorders>
              <w:top w:val="nil"/>
              <w:left w:val="nil"/>
              <w:bottom w:val="nil"/>
              <w:right w:val="nil"/>
            </w:tcBorders>
            <w:vAlign w:val="center"/>
          </w:tcPr>
          <w:p w14:paraId="0084892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Distribution expenses</w:t>
            </w:r>
          </w:p>
        </w:tc>
        <w:tc>
          <w:tcPr>
            <w:tcW w:w="868" w:type="dxa"/>
            <w:tcBorders>
              <w:top w:val="nil"/>
              <w:left w:val="nil"/>
              <w:bottom w:val="nil"/>
              <w:right w:val="nil"/>
            </w:tcBorders>
            <w:vAlign w:val="center"/>
          </w:tcPr>
          <w:p w14:paraId="778E217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22A5AD18"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48EE23D8"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72E20329"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(18.9)</w:t>
            </w:r>
          </w:p>
        </w:tc>
        <w:tc>
          <w:tcPr>
            <w:tcW w:w="1562" w:type="dxa"/>
            <w:gridSpan w:val="2"/>
            <w:tcBorders>
              <w:top w:val="nil"/>
              <w:left w:val="nil"/>
              <w:bottom w:val="nil"/>
              <w:right w:val="nil"/>
            </w:tcBorders>
            <w:vAlign w:val="center"/>
          </w:tcPr>
          <w:p w14:paraId="63A0391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(20.6)</w:t>
            </w:r>
          </w:p>
        </w:tc>
      </w:tr>
      <w:tr w:rsidR="00756913" w:rsidRPr="00756913" w14:paraId="37634487" w14:textId="77777777">
        <w:tblPrEx>
          <w:tblCellMar>
            <w:top w:w="0" w:type="dxa"/>
            <w:bottom w:w="0" w:type="dxa"/>
          </w:tblCellMar>
        </w:tblPrEx>
        <w:tc>
          <w:tcPr>
            <w:tcW w:w="4678" w:type="dxa"/>
            <w:gridSpan w:val="2"/>
            <w:tcBorders>
              <w:top w:val="nil"/>
              <w:left w:val="nil"/>
              <w:bottom w:val="nil"/>
              <w:right w:val="nil"/>
            </w:tcBorders>
            <w:vAlign w:val="center"/>
          </w:tcPr>
          <w:p w14:paraId="73AB85B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Administrative expenses</w:t>
            </w:r>
          </w:p>
        </w:tc>
        <w:tc>
          <w:tcPr>
            <w:tcW w:w="868" w:type="dxa"/>
            <w:tcBorders>
              <w:top w:val="nil"/>
              <w:left w:val="nil"/>
              <w:bottom w:val="nil"/>
              <w:right w:val="nil"/>
            </w:tcBorders>
            <w:vAlign w:val="center"/>
          </w:tcPr>
          <w:p w14:paraId="1636D1D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501E17A0"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2D7D3722"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37B8DD4E"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(72.9)</w:t>
            </w:r>
          </w:p>
        </w:tc>
        <w:tc>
          <w:tcPr>
            <w:tcW w:w="1562" w:type="dxa"/>
            <w:gridSpan w:val="2"/>
            <w:tcBorders>
              <w:top w:val="nil"/>
              <w:left w:val="nil"/>
              <w:bottom w:val="nil"/>
              <w:right w:val="nil"/>
            </w:tcBorders>
            <w:vAlign w:val="center"/>
          </w:tcPr>
          <w:p w14:paraId="4A0EDDE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(69.1)</w:t>
            </w:r>
          </w:p>
        </w:tc>
      </w:tr>
      <w:tr w:rsidR="00756913" w:rsidRPr="00756913" w14:paraId="604293F7" w14:textId="77777777">
        <w:tblPrEx>
          <w:tblCellMar>
            <w:top w:w="0" w:type="dxa"/>
            <w:bottom w:w="0" w:type="dxa"/>
          </w:tblCellMar>
        </w:tblPrEx>
        <w:trPr>
          <w:trHeight w:val="80"/>
        </w:trPr>
        <w:tc>
          <w:tcPr>
            <w:tcW w:w="4678" w:type="dxa"/>
            <w:gridSpan w:val="2"/>
            <w:tcBorders>
              <w:top w:val="nil"/>
              <w:left w:val="nil"/>
              <w:bottom w:val="nil"/>
              <w:right w:val="nil"/>
            </w:tcBorders>
            <w:vAlign w:val="center"/>
          </w:tcPr>
          <w:p w14:paraId="7648BA9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868" w:type="dxa"/>
            <w:tcBorders>
              <w:top w:val="nil"/>
              <w:left w:val="nil"/>
              <w:bottom w:val="nil"/>
              <w:right w:val="nil"/>
            </w:tcBorders>
            <w:vAlign w:val="center"/>
          </w:tcPr>
          <w:p w14:paraId="5F2A507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755E1F46"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36E2C128"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u w:val="single"/>
                <w14:ligatures w14:val="standardContextual"/>
              </w:rPr>
            </w:pPr>
          </w:p>
        </w:tc>
        <w:tc>
          <w:tcPr>
            <w:tcW w:w="1418" w:type="dxa"/>
            <w:gridSpan w:val="2"/>
            <w:tcBorders>
              <w:top w:val="single" w:sz="4" w:space="0" w:color="auto"/>
              <w:left w:val="nil"/>
              <w:bottom w:val="nil"/>
              <w:right w:val="nil"/>
            </w:tcBorders>
            <w:vAlign w:val="center"/>
          </w:tcPr>
          <w:p w14:paraId="3418F7C5"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sz w:val="18"/>
                <w:szCs w:val="18"/>
                <w14:ligatures w14:val="standardContextual"/>
              </w:rPr>
            </w:pPr>
          </w:p>
        </w:tc>
        <w:tc>
          <w:tcPr>
            <w:tcW w:w="1562" w:type="dxa"/>
            <w:gridSpan w:val="2"/>
            <w:tcBorders>
              <w:top w:val="single" w:sz="4" w:space="0" w:color="auto"/>
              <w:left w:val="nil"/>
              <w:bottom w:val="nil"/>
              <w:right w:val="nil"/>
            </w:tcBorders>
            <w:vAlign w:val="center"/>
          </w:tcPr>
          <w:p w14:paraId="3CE60B0C" w14:textId="77777777" w:rsidR="00756913" w:rsidRPr="00756913" w:rsidRDefault="00756913" w:rsidP="00756913">
            <w:pPr>
              <w:tabs>
                <w:tab w:val="decimal" w:pos="1015"/>
              </w:tabs>
              <w:autoSpaceDE w:val="0"/>
              <w:autoSpaceDN w:val="0"/>
              <w:adjustRightInd w:val="0"/>
              <w:spacing w:after="130" w:line="240" w:lineRule="auto"/>
              <w:jc w:val="right"/>
              <w:rPr>
                <w:rFonts w:ascii="Arial" w:hAnsi="Arial" w:cs="Arial"/>
                <w:sz w:val="18"/>
                <w:szCs w:val="18"/>
                <w:u w:val="single"/>
                <w14:ligatures w14:val="standardContextual"/>
              </w:rPr>
            </w:pPr>
          </w:p>
        </w:tc>
      </w:tr>
      <w:tr w:rsidR="00756913" w:rsidRPr="00756913" w14:paraId="2B6DF2A5" w14:textId="77777777">
        <w:tblPrEx>
          <w:tblCellMar>
            <w:top w:w="0" w:type="dxa"/>
            <w:bottom w:w="0" w:type="dxa"/>
          </w:tblCellMar>
        </w:tblPrEx>
        <w:tc>
          <w:tcPr>
            <w:tcW w:w="4678" w:type="dxa"/>
            <w:gridSpan w:val="2"/>
            <w:tcBorders>
              <w:top w:val="nil"/>
              <w:left w:val="nil"/>
              <w:bottom w:val="nil"/>
              <w:right w:val="nil"/>
            </w:tcBorders>
            <w:vAlign w:val="center"/>
          </w:tcPr>
          <w:p w14:paraId="753344F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sz w:val="18"/>
                <w:szCs w:val="18"/>
                <w14:ligatures w14:val="standardContextual"/>
              </w:rPr>
              <w:t>Operating profit</w:t>
            </w:r>
          </w:p>
        </w:tc>
        <w:tc>
          <w:tcPr>
            <w:tcW w:w="868" w:type="dxa"/>
            <w:tcBorders>
              <w:top w:val="nil"/>
              <w:left w:val="nil"/>
              <w:bottom w:val="nil"/>
              <w:right w:val="nil"/>
            </w:tcBorders>
            <w:vAlign w:val="center"/>
          </w:tcPr>
          <w:p w14:paraId="4AE8C61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5F033F09"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1A961357"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0A70A6A2"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60.4</w:t>
            </w:r>
          </w:p>
        </w:tc>
        <w:tc>
          <w:tcPr>
            <w:tcW w:w="1562" w:type="dxa"/>
            <w:gridSpan w:val="2"/>
            <w:tcBorders>
              <w:top w:val="nil"/>
              <w:left w:val="nil"/>
              <w:bottom w:val="nil"/>
              <w:right w:val="nil"/>
            </w:tcBorders>
            <w:vAlign w:val="center"/>
          </w:tcPr>
          <w:p w14:paraId="1EB546E8" w14:textId="77777777" w:rsidR="00756913" w:rsidRPr="00756913" w:rsidRDefault="00756913" w:rsidP="00756913">
            <w:pPr>
              <w:tabs>
                <w:tab w:val="decimal" w:pos="1015"/>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55.7</w:t>
            </w:r>
          </w:p>
        </w:tc>
      </w:tr>
      <w:tr w:rsidR="00756913" w:rsidRPr="00756913" w14:paraId="35631318" w14:textId="77777777">
        <w:tblPrEx>
          <w:tblCellMar>
            <w:top w:w="0" w:type="dxa"/>
            <w:bottom w:w="0" w:type="dxa"/>
          </w:tblCellMar>
        </w:tblPrEx>
        <w:tc>
          <w:tcPr>
            <w:tcW w:w="4678" w:type="dxa"/>
            <w:gridSpan w:val="2"/>
            <w:tcBorders>
              <w:top w:val="nil"/>
              <w:left w:val="nil"/>
              <w:bottom w:val="nil"/>
              <w:right w:val="nil"/>
            </w:tcBorders>
            <w:vAlign w:val="center"/>
          </w:tcPr>
          <w:p w14:paraId="34027EE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868" w:type="dxa"/>
            <w:tcBorders>
              <w:top w:val="nil"/>
              <w:left w:val="nil"/>
              <w:bottom w:val="nil"/>
              <w:right w:val="nil"/>
            </w:tcBorders>
            <w:vAlign w:val="center"/>
          </w:tcPr>
          <w:p w14:paraId="5ECB516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38FE2B44"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09CEA38D"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57651583"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sz w:val="18"/>
                <w:szCs w:val="18"/>
                <w14:ligatures w14:val="standardContextual"/>
              </w:rPr>
            </w:pPr>
          </w:p>
        </w:tc>
        <w:tc>
          <w:tcPr>
            <w:tcW w:w="1562" w:type="dxa"/>
            <w:gridSpan w:val="2"/>
            <w:tcBorders>
              <w:top w:val="nil"/>
              <w:left w:val="nil"/>
              <w:bottom w:val="nil"/>
              <w:right w:val="nil"/>
            </w:tcBorders>
            <w:vAlign w:val="center"/>
          </w:tcPr>
          <w:p w14:paraId="5BF732C2" w14:textId="77777777" w:rsidR="00756913" w:rsidRPr="00756913" w:rsidRDefault="00756913" w:rsidP="00756913">
            <w:pPr>
              <w:tabs>
                <w:tab w:val="decimal" w:pos="1015"/>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54D20C5C" w14:textId="77777777">
        <w:tblPrEx>
          <w:tblCellMar>
            <w:top w:w="0" w:type="dxa"/>
            <w:bottom w:w="0" w:type="dxa"/>
          </w:tblCellMar>
        </w:tblPrEx>
        <w:trPr>
          <w:trHeight w:val="300"/>
        </w:trPr>
        <w:tc>
          <w:tcPr>
            <w:tcW w:w="4678" w:type="dxa"/>
            <w:gridSpan w:val="2"/>
            <w:tcBorders>
              <w:top w:val="nil"/>
              <w:left w:val="nil"/>
              <w:bottom w:val="nil"/>
              <w:right w:val="nil"/>
            </w:tcBorders>
            <w:vAlign w:val="center"/>
          </w:tcPr>
          <w:p w14:paraId="34E058A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Net finance expense</w:t>
            </w:r>
          </w:p>
        </w:tc>
        <w:tc>
          <w:tcPr>
            <w:tcW w:w="868" w:type="dxa"/>
            <w:tcBorders>
              <w:top w:val="nil"/>
              <w:left w:val="nil"/>
              <w:bottom w:val="nil"/>
              <w:right w:val="nil"/>
            </w:tcBorders>
            <w:vAlign w:val="center"/>
          </w:tcPr>
          <w:p w14:paraId="1DB6162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3</w:t>
            </w:r>
          </w:p>
        </w:tc>
        <w:tc>
          <w:tcPr>
            <w:tcW w:w="550" w:type="dxa"/>
            <w:gridSpan w:val="2"/>
            <w:tcBorders>
              <w:top w:val="nil"/>
              <w:left w:val="nil"/>
              <w:bottom w:val="nil"/>
              <w:right w:val="nil"/>
            </w:tcBorders>
            <w:vAlign w:val="center"/>
          </w:tcPr>
          <w:p w14:paraId="6D7D7A76"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01CFF0F7"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tcPr>
          <w:p w14:paraId="215BDD05"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color w:val="FF0000"/>
                <w:sz w:val="18"/>
                <w:szCs w:val="18"/>
                <w14:ligatures w14:val="standardContextual"/>
              </w:rPr>
            </w:pPr>
            <w:r w:rsidRPr="00756913">
              <w:rPr>
                <w:rFonts w:ascii="Arial" w:hAnsi="Arial" w:cs="Arial"/>
                <w:b/>
                <w:bCs/>
                <w:sz w:val="18"/>
                <w:szCs w:val="18"/>
                <w14:ligatures w14:val="standardContextual"/>
              </w:rPr>
              <w:t>(2.3)</w:t>
            </w:r>
          </w:p>
        </w:tc>
        <w:tc>
          <w:tcPr>
            <w:tcW w:w="1562" w:type="dxa"/>
            <w:gridSpan w:val="2"/>
            <w:tcBorders>
              <w:top w:val="nil"/>
              <w:left w:val="nil"/>
              <w:bottom w:val="nil"/>
              <w:right w:val="nil"/>
            </w:tcBorders>
          </w:tcPr>
          <w:p w14:paraId="5C3ABF84" w14:textId="77777777" w:rsidR="00756913" w:rsidRPr="00756913" w:rsidRDefault="00756913" w:rsidP="00756913">
            <w:pPr>
              <w:tabs>
                <w:tab w:val="decimal" w:pos="1015"/>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(2.4)</w:t>
            </w:r>
          </w:p>
        </w:tc>
      </w:tr>
      <w:tr w:rsidR="00756913" w:rsidRPr="00756913" w14:paraId="24547072" w14:textId="77777777">
        <w:tblPrEx>
          <w:tblCellMar>
            <w:top w:w="0" w:type="dxa"/>
            <w:bottom w:w="0" w:type="dxa"/>
          </w:tblCellMar>
        </w:tblPrEx>
        <w:tc>
          <w:tcPr>
            <w:tcW w:w="4678" w:type="dxa"/>
            <w:gridSpan w:val="2"/>
            <w:tcBorders>
              <w:top w:val="nil"/>
              <w:left w:val="nil"/>
              <w:bottom w:val="nil"/>
              <w:right w:val="nil"/>
            </w:tcBorders>
            <w:vAlign w:val="center"/>
          </w:tcPr>
          <w:p w14:paraId="1931045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868" w:type="dxa"/>
            <w:tcBorders>
              <w:top w:val="nil"/>
              <w:left w:val="nil"/>
              <w:bottom w:val="nil"/>
              <w:right w:val="nil"/>
            </w:tcBorders>
            <w:vAlign w:val="center"/>
          </w:tcPr>
          <w:p w14:paraId="0880F63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5672900B" w14:textId="77777777" w:rsidR="00756913" w:rsidRPr="00756913" w:rsidRDefault="00756913" w:rsidP="00756913">
            <w:pPr>
              <w:tabs>
                <w:tab w:val="decimal" w:pos="1015"/>
              </w:tabs>
              <w:autoSpaceDE w:val="0"/>
              <w:autoSpaceDN w:val="0"/>
              <w:adjustRightInd w:val="0"/>
              <w:spacing w:after="130" w:line="240" w:lineRule="auto"/>
              <w:rPr>
                <w:rFonts w:ascii="Arial" w:hAnsi="Arial" w:cs="Arial"/>
                <w:color w:val="FF0000"/>
                <w:sz w:val="18"/>
                <w:szCs w:val="18"/>
                <w:u w:val="single"/>
                <w14:ligatures w14:val="standardContextual"/>
              </w:rPr>
            </w:pPr>
          </w:p>
        </w:tc>
        <w:tc>
          <w:tcPr>
            <w:tcW w:w="283" w:type="dxa"/>
            <w:tcBorders>
              <w:top w:val="nil"/>
              <w:left w:val="nil"/>
              <w:bottom w:val="nil"/>
              <w:right w:val="nil"/>
            </w:tcBorders>
            <w:vAlign w:val="center"/>
          </w:tcPr>
          <w:p w14:paraId="040CDDB3" w14:textId="77777777" w:rsidR="00756913" w:rsidRPr="00756913" w:rsidRDefault="00756913" w:rsidP="00756913">
            <w:pPr>
              <w:tabs>
                <w:tab w:val="decimal" w:pos="1015"/>
              </w:tabs>
              <w:autoSpaceDE w:val="0"/>
              <w:autoSpaceDN w:val="0"/>
              <w:adjustRightInd w:val="0"/>
              <w:spacing w:after="130" w:line="240" w:lineRule="auto"/>
              <w:ind w:left="-284"/>
              <w:rPr>
                <w:rFonts w:ascii="Arial" w:hAnsi="Arial" w:cs="Arial"/>
                <w:color w:val="FF0000"/>
                <w:sz w:val="18"/>
                <w:szCs w:val="18"/>
                <w:u w:val="single"/>
                <w14:ligatures w14:val="standardContextual"/>
              </w:rPr>
            </w:pPr>
          </w:p>
        </w:tc>
        <w:tc>
          <w:tcPr>
            <w:tcW w:w="1418" w:type="dxa"/>
            <w:gridSpan w:val="2"/>
            <w:tcBorders>
              <w:top w:val="single" w:sz="4" w:space="0" w:color="auto"/>
              <w:left w:val="nil"/>
              <w:bottom w:val="nil"/>
              <w:right w:val="nil"/>
            </w:tcBorders>
            <w:vAlign w:val="center"/>
          </w:tcPr>
          <w:p w14:paraId="7CA1DE7C"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color w:val="FF0000"/>
                <w:sz w:val="18"/>
                <w:szCs w:val="18"/>
                <w14:ligatures w14:val="standardContextual"/>
              </w:rPr>
            </w:pPr>
          </w:p>
        </w:tc>
        <w:tc>
          <w:tcPr>
            <w:tcW w:w="1562" w:type="dxa"/>
            <w:gridSpan w:val="2"/>
            <w:tcBorders>
              <w:top w:val="single" w:sz="4" w:space="0" w:color="auto"/>
              <w:left w:val="nil"/>
              <w:bottom w:val="nil"/>
              <w:right w:val="nil"/>
            </w:tcBorders>
            <w:vAlign w:val="center"/>
          </w:tcPr>
          <w:p w14:paraId="68E13FAB" w14:textId="77777777" w:rsidR="00756913" w:rsidRPr="00756913" w:rsidRDefault="00756913" w:rsidP="00756913">
            <w:pPr>
              <w:tabs>
                <w:tab w:val="decimal" w:pos="1015"/>
              </w:tabs>
              <w:autoSpaceDE w:val="0"/>
              <w:autoSpaceDN w:val="0"/>
              <w:adjustRightInd w:val="0"/>
              <w:spacing w:after="130" w:line="240" w:lineRule="auto"/>
              <w:jc w:val="right"/>
              <w:rPr>
                <w:rFonts w:ascii="Arial" w:hAnsi="Arial" w:cs="Arial"/>
                <w:sz w:val="18"/>
                <w:szCs w:val="18"/>
                <w14:ligatures w14:val="standardContextual"/>
              </w:rPr>
            </w:pPr>
          </w:p>
        </w:tc>
      </w:tr>
      <w:tr w:rsidR="00756913" w:rsidRPr="00756913" w14:paraId="68BDC17B" w14:textId="77777777">
        <w:tblPrEx>
          <w:tblCellMar>
            <w:top w:w="0" w:type="dxa"/>
            <w:bottom w:w="0" w:type="dxa"/>
          </w:tblCellMar>
        </w:tblPrEx>
        <w:tc>
          <w:tcPr>
            <w:tcW w:w="4678" w:type="dxa"/>
            <w:gridSpan w:val="2"/>
            <w:tcBorders>
              <w:top w:val="nil"/>
              <w:left w:val="nil"/>
              <w:bottom w:val="nil"/>
              <w:right w:val="nil"/>
            </w:tcBorders>
            <w:vAlign w:val="center"/>
          </w:tcPr>
          <w:p w14:paraId="566A796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72" w:hanging="172"/>
              <w:rPr>
                <w:rFonts w:ascii="Arial" w:hAnsi="Arial" w:cs="Arial"/>
                <w:sz w:val="18"/>
                <w:szCs w:val="18"/>
                <w14:ligatures w14:val="standardContextual"/>
              </w:rPr>
            </w:pPr>
            <w:r w:rsidRPr="00756913">
              <w:rPr>
                <w:rFonts w:ascii="Arial" w:hAnsi="Arial" w:cs="Arial"/>
                <w:b/>
                <w:bCs/>
                <w:sz w:val="18"/>
                <w:szCs w:val="18"/>
                <w14:ligatures w14:val="standardContextual"/>
              </w:rPr>
              <w:t>Profit before taxation</w:t>
            </w:r>
          </w:p>
        </w:tc>
        <w:tc>
          <w:tcPr>
            <w:tcW w:w="868" w:type="dxa"/>
            <w:tcBorders>
              <w:top w:val="nil"/>
              <w:left w:val="nil"/>
              <w:bottom w:val="nil"/>
              <w:right w:val="nil"/>
            </w:tcBorders>
            <w:vAlign w:val="center"/>
          </w:tcPr>
          <w:p w14:paraId="4DC0B39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74B6B11F"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1FB5E97A"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20CAA080"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58.1</w:t>
            </w:r>
          </w:p>
        </w:tc>
        <w:tc>
          <w:tcPr>
            <w:tcW w:w="1562" w:type="dxa"/>
            <w:gridSpan w:val="2"/>
            <w:tcBorders>
              <w:top w:val="nil"/>
              <w:left w:val="nil"/>
              <w:bottom w:val="nil"/>
              <w:right w:val="nil"/>
            </w:tcBorders>
            <w:vAlign w:val="center"/>
          </w:tcPr>
          <w:p w14:paraId="187C044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53.3</w:t>
            </w:r>
          </w:p>
        </w:tc>
      </w:tr>
      <w:tr w:rsidR="00756913" w:rsidRPr="00756913" w14:paraId="53BBD0D4" w14:textId="77777777">
        <w:tblPrEx>
          <w:tblCellMar>
            <w:top w:w="0" w:type="dxa"/>
            <w:bottom w:w="0" w:type="dxa"/>
          </w:tblCellMar>
        </w:tblPrEx>
        <w:tc>
          <w:tcPr>
            <w:tcW w:w="4678" w:type="dxa"/>
            <w:gridSpan w:val="2"/>
            <w:tcBorders>
              <w:top w:val="nil"/>
              <w:left w:val="nil"/>
              <w:bottom w:val="nil"/>
              <w:right w:val="nil"/>
            </w:tcBorders>
            <w:vAlign w:val="center"/>
          </w:tcPr>
          <w:p w14:paraId="52B47EC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72" w:hanging="172"/>
              <w:rPr>
                <w:rFonts w:ascii="Arial" w:hAnsi="Arial" w:cs="Arial"/>
                <w:b/>
                <w:bCs/>
                <w:sz w:val="18"/>
                <w:szCs w:val="18"/>
                <w14:ligatures w14:val="standardContextual"/>
              </w:rPr>
            </w:pPr>
          </w:p>
        </w:tc>
        <w:tc>
          <w:tcPr>
            <w:tcW w:w="868" w:type="dxa"/>
            <w:tcBorders>
              <w:top w:val="nil"/>
              <w:left w:val="nil"/>
              <w:bottom w:val="nil"/>
              <w:right w:val="nil"/>
            </w:tcBorders>
            <w:vAlign w:val="center"/>
          </w:tcPr>
          <w:p w14:paraId="71704BC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7C17963C"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2FEB7BB3"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77F55E43"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color w:val="FF0000"/>
                <w:sz w:val="18"/>
                <w:szCs w:val="18"/>
                <w14:ligatures w14:val="standardContextual"/>
              </w:rPr>
            </w:pPr>
          </w:p>
        </w:tc>
        <w:tc>
          <w:tcPr>
            <w:tcW w:w="1562" w:type="dxa"/>
            <w:gridSpan w:val="2"/>
            <w:tcBorders>
              <w:top w:val="nil"/>
              <w:left w:val="nil"/>
              <w:bottom w:val="nil"/>
              <w:right w:val="nil"/>
            </w:tcBorders>
            <w:vAlign w:val="center"/>
          </w:tcPr>
          <w:p w14:paraId="1B2E212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36615306" w14:textId="77777777">
        <w:tblPrEx>
          <w:tblCellMar>
            <w:top w:w="0" w:type="dxa"/>
            <w:bottom w:w="0" w:type="dxa"/>
          </w:tblCellMar>
        </w:tblPrEx>
        <w:tc>
          <w:tcPr>
            <w:tcW w:w="4678" w:type="dxa"/>
            <w:gridSpan w:val="2"/>
            <w:tcBorders>
              <w:top w:val="nil"/>
              <w:left w:val="nil"/>
              <w:bottom w:val="nil"/>
              <w:right w:val="nil"/>
            </w:tcBorders>
            <w:vAlign w:val="center"/>
          </w:tcPr>
          <w:p w14:paraId="67473D2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Taxation</w:t>
            </w:r>
          </w:p>
        </w:tc>
        <w:tc>
          <w:tcPr>
            <w:tcW w:w="868" w:type="dxa"/>
            <w:tcBorders>
              <w:top w:val="nil"/>
              <w:left w:val="nil"/>
              <w:bottom w:val="nil"/>
              <w:right w:val="nil"/>
            </w:tcBorders>
            <w:vAlign w:val="center"/>
          </w:tcPr>
          <w:p w14:paraId="3302608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4</w:t>
            </w:r>
          </w:p>
        </w:tc>
        <w:tc>
          <w:tcPr>
            <w:tcW w:w="550" w:type="dxa"/>
            <w:gridSpan w:val="2"/>
            <w:tcBorders>
              <w:top w:val="nil"/>
              <w:left w:val="nil"/>
              <w:bottom w:val="nil"/>
              <w:right w:val="nil"/>
            </w:tcBorders>
            <w:vAlign w:val="center"/>
          </w:tcPr>
          <w:p w14:paraId="7D3E06F0"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4F9D149B"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single" w:sz="4" w:space="0" w:color="auto"/>
              <w:right w:val="nil"/>
            </w:tcBorders>
            <w:vAlign w:val="center"/>
          </w:tcPr>
          <w:p w14:paraId="582C5C0B"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(14.0)</w:t>
            </w:r>
          </w:p>
        </w:tc>
        <w:tc>
          <w:tcPr>
            <w:tcW w:w="1562" w:type="dxa"/>
            <w:gridSpan w:val="2"/>
            <w:tcBorders>
              <w:top w:val="nil"/>
              <w:left w:val="nil"/>
              <w:bottom w:val="single" w:sz="4" w:space="0" w:color="auto"/>
              <w:right w:val="nil"/>
            </w:tcBorders>
            <w:vAlign w:val="center"/>
          </w:tcPr>
          <w:p w14:paraId="38D3F4C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(12.3)</w:t>
            </w:r>
          </w:p>
        </w:tc>
      </w:tr>
      <w:tr w:rsidR="00756913" w:rsidRPr="00756913" w14:paraId="3B7C185C" w14:textId="77777777">
        <w:tblPrEx>
          <w:tblCellMar>
            <w:top w:w="0" w:type="dxa"/>
            <w:bottom w:w="0" w:type="dxa"/>
          </w:tblCellMar>
        </w:tblPrEx>
        <w:tc>
          <w:tcPr>
            <w:tcW w:w="4678" w:type="dxa"/>
            <w:gridSpan w:val="2"/>
            <w:tcBorders>
              <w:top w:val="nil"/>
              <w:left w:val="nil"/>
              <w:bottom w:val="nil"/>
              <w:right w:val="nil"/>
            </w:tcBorders>
            <w:vAlign w:val="center"/>
          </w:tcPr>
          <w:p w14:paraId="4EBAEEE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868" w:type="dxa"/>
            <w:tcBorders>
              <w:top w:val="nil"/>
              <w:left w:val="nil"/>
              <w:bottom w:val="nil"/>
              <w:right w:val="nil"/>
            </w:tcBorders>
            <w:vAlign w:val="center"/>
          </w:tcPr>
          <w:p w14:paraId="746B4EE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53BF0F52"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63BB8C23"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b/>
                <w:bCs/>
                <w:color w:val="FF0000"/>
                <w:sz w:val="18"/>
                <w:szCs w:val="18"/>
                <w:u w:val="single"/>
                <w14:ligatures w14:val="standardContextual"/>
              </w:rPr>
            </w:pPr>
          </w:p>
        </w:tc>
        <w:tc>
          <w:tcPr>
            <w:tcW w:w="1418" w:type="dxa"/>
            <w:gridSpan w:val="2"/>
            <w:tcBorders>
              <w:top w:val="single" w:sz="4" w:space="0" w:color="auto"/>
              <w:left w:val="nil"/>
              <w:bottom w:val="nil"/>
              <w:right w:val="nil"/>
            </w:tcBorders>
            <w:vAlign w:val="center"/>
          </w:tcPr>
          <w:p w14:paraId="2CFC0244"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sz w:val="18"/>
                <w:szCs w:val="18"/>
                <w14:ligatures w14:val="standardContextual"/>
              </w:rPr>
            </w:pPr>
          </w:p>
        </w:tc>
        <w:tc>
          <w:tcPr>
            <w:tcW w:w="1562" w:type="dxa"/>
            <w:gridSpan w:val="2"/>
            <w:tcBorders>
              <w:top w:val="single" w:sz="4" w:space="0" w:color="auto"/>
              <w:left w:val="nil"/>
              <w:bottom w:val="nil"/>
              <w:right w:val="nil"/>
            </w:tcBorders>
            <w:vAlign w:val="center"/>
          </w:tcPr>
          <w:p w14:paraId="5AEFC597" w14:textId="77777777" w:rsidR="00756913" w:rsidRPr="00756913" w:rsidRDefault="00756913" w:rsidP="00756913">
            <w:pPr>
              <w:tabs>
                <w:tab w:val="decimal" w:pos="1015"/>
              </w:tabs>
              <w:autoSpaceDE w:val="0"/>
              <w:autoSpaceDN w:val="0"/>
              <w:adjustRightInd w:val="0"/>
              <w:spacing w:after="130" w:line="240" w:lineRule="auto"/>
              <w:jc w:val="right"/>
              <w:rPr>
                <w:rFonts w:ascii="Arial" w:hAnsi="Arial" w:cs="Arial"/>
                <w:sz w:val="18"/>
                <w:szCs w:val="18"/>
                <w14:ligatures w14:val="standardContextual"/>
              </w:rPr>
            </w:pPr>
          </w:p>
        </w:tc>
      </w:tr>
      <w:tr w:rsidR="00756913" w:rsidRPr="00756913" w14:paraId="6B1518F5" w14:textId="77777777">
        <w:tblPrEx>
          <w:tblCellMar>
            <w:top w:w="0" w:type="dxa"/>
            <w:bottom w:w="0" w:type="dxa"/>
          </w:tblCellMar>
        </w:tblPrEx>
        <w:tc>
          <w:tcPr>
            <w:tcW w:w="4678" w:type="dxa"/>
            <w:gridSpan w:val="2"/>
            <w:tcBorders>
              <w:top w:val="nil"/>
              <w:left w:val="nil"/>
              <w:bottom w:val="nil"/>
              <w:right w:val="nil"/>
            </w:tcBorders>
            <w:vAlign w:val="center"/>
          </w:tcPr>
          <w:p w14:paraId="22BF477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Profit for the period</w:t>
            </w:r>
          </w:p>
        </w:tc>
        <w:tc>
          <w:tcPr>
            <w:tcW w:w="868" w:type="dxa"/>
            <w:tcBorders>
              <w:top w:val="nil"/>
              <w:left w:val="nil"/>
              <w:bottom w:val="nil"/>
              <w:right w:val="nil"/>
            </w:tcBorders>
            <w:vAlign w:val="center"/>
          </w:tcPr>
          <w:p w14:paraId="1F260D2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11D37859"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78BCA660"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7847ABFB"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44.1</w:t>
            </w:r>
          </w:p>
        </w:tc>
        <w:tc>
          <w:tcPr>
            <w:tcW w:w="1562" w:type="dxa"/>
            <w:gridSpan w:val="2"/>
            <w:tcBorders>
              <w:top w:val="nil"/>
              <w:left w:val="nil"/>
              <w:bottom w:val="nil"/>
              <w:right w:val="nil"/>
            </w:tcBorders>
            <w:vAlign w:val="center"/>
          </w:tcPr>
          <w:p w14:paraId="709DA6CE"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41.0</w:t>
            </w:r>
          </w:p>
        </w:tc>
      </w:tr>
      <w:tr w:rsidR="00756913" w:rsidRPr="00756913" w14:paraId="79A4F0F8" w14:textId="77777777">
        <w:tblPrEx>
          <w:tblCellMar>
            <w:top w:w="0" w:type="dxa"/>
            <w:bottom w:w="0" w:type="dxa"/>
          </w:tblCellMar>
        </w:tblPrEx>
        <w:tc>
          <w:tcPr>
            <w:tcW w:w="4678" w:type="dxa"/>
            <w:gridSpan w:val="2"/>
            <w:tcBorders>
              <w:top w:val="nil"/>
              <w:left w:val="nil"/>
              <w:bottom w:val="nil"/>
              <w:right w:val="nil"/>
            </w:tcBorders>
            <w:vAlign w:val="center"/>
          </w:tcPr>
          <w:p w14:paraId="236B4D0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868" w:type="dxa"/>
            <w:tcBorders>
              <w:top w:val="nil"/>
              <w:left w:val="nil"/>
              <w:bottom w:val="nil"/>
              <w:right w:val="nil"/>
            </w:tcBorders>
            <w:vAlign w:val="center"/>
          </w:tcPr>
          <w:p w14:paraId="667750F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0A6A4038"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292E5D11"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72B51BE8"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p>
        </w:tc>
        <w:tc>
          <w:tcPr>
            <w:tcW w:w="1562" w:type="dxa"/>
            <w:gridSpan w:val="2"/>
            <w:tcBorders>
              <w:top w:val="nil"/>
              <w:left w:val="nil"/>
              <w:bottom w:val="nil"/>
              <w:right w:val="nil"/>
            </w:tcBorders>
            <w:vAlign w:val="center"/>
          </w:tcPr>
          <w:p w14:paraId="28FC7F1B"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p>
        </w:tc>
      </w:tr>
      <w:tr w:rsidR="00756913" w:rsidRPr="00756913" w14:paraId="02E178E7" w14:textId="77777777">
        <w:tblPrEx>
          <w:tblCellMar>
            <w:top w:w="0" w:type="dxa"/>
            <w:bottom w:w="0" w:type="dxa"/>
          </w:tblCellMar>
        </w:tblPrEx>
        <w:tc>
          <w:tcPr>
            <w:tcW w:w="4678" w:type="dxa"/>
            <w:gridSpan w:val="2"/>
            <w:tcBorders>
              <w:top w:val="nil"/>
              <w:left w:val="nil"/>
              <w:bottom w:val="nil"/>
              <w:right w:val="nil"/>
            </w:tcBorders>
            <w:vAlign w:val="center"/>
          </w:tcPr>
          <w:p w14:paraId="47BD42D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Other comprehensive income</w:t>
            </w:r>
          </w:p>
        </w:tc>
        <w:tc>
          <w:tcPr>
            <w:tcW w:w="868" w:type="dxa"/>
            <w:tcBorders>
              <w:top w:val="nil"/>
              <w:left w:val="nil"/>
              <w:bottom w:val="nil"/>
              <w:right w:val="nil"/>
            </w:tcBorders>
            <w:vAlign w:val="center"/>
          </w:tcPr>
          <w:p w14:paraId="42BA2FE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7BCCD682"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7C4E2366"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5CB0E8BA"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0.2</w:t>
            </w:r>
          </w:p>
        </w:tc>
        <w:tc>
          <w:tcPr>
            <w:tcW w:w="1562" w:type="dxa"/>
            <w:gridSpan w:val="2"/>
            <w:tcBorders>
              <w:top w:val="nil"/>
              <w:left w:val="nil"/>
              <w:bottom w:val="nil"/>
              <w:right w:val="nil"/>
            </w:tcBorders>
            <w:vAlign w:val="center"/>
          </w:tcPr>
          <w:p w14:paraId="09DD1E56"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r>
      <w:tr w:rsidR="00756913" w:rsidRPr="00756913" w14:paraId="7EAF03C6" w14:textId="77777777">
        <w:tblPrEx>
          <w:tblCellMar>
            <w:top w:w="0" w:type="dxa"/>
            <w:bottom w:w="0" w:type="dxa"/>
          </w:tblCellMar>
        </w:tblPrEx>
        <w:tc>
          <w:tcPr>
            <w:tcW w:w="4678" w:type="dxa"/>
            <w:gridSpan w:val="2"/>
            <w:tcBorders>
              <w:top w:val="nil"/>
              <w:left w:val="nil"/>
              <w:bottom w:val="nil"/>
              <w:right w:val="nil"/>
            </w:tcBorders>
            <w:vAlign w:val="center"/>
          </w:tcPr>
          <w:p w14:paraId="1EE7D71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868" w:type="dxa"/>
            <w:tcBorders>
              <w:top w:val="nil"/>
              <w:left w:val="nil"/>
              <w:bottom w:val="nil"/>
              <w:right w:val="nil"/>
            </w:tcBorders>
            <w:vAlign w:val="center"/>
          </w:tcPr>
          <w:p w14:paraId="3F3438E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517887DB"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1800B966"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single" w:sz="4" w:space="0" w:color="auto"/>
              <w:right w:val="nil"/>
            </w:tcBorders>
            <w:vAlign w:val="center"/>
          </w:tcPr>
          <w:p w14:paraId="6ED5338D"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sz w:val="18"/>
                <w:szCs w:val="18"/>
                <w14:ligatures w14:val="standardContextual"/>
              </w:rPr>
            </w:pPr>
          </w:p>
        </w:tc>
        <w:tc>
          <w:tcPr>
            <w:tcW w:w="1562" w:type="dxa"/>
            <w:gridSpan w:val="2"/>
            <w:tcBorders>
              <w:top w:val="nil"/>
              <w:left w:val="nil"/>
              <w:bottom w:val="single" w:sz="4" w:space="0" w:color="auto"/>
              <w:right w:val="nil"/>
            </w:tcBorders>
            <w:vAlign w:val="center"/>
          </w:tcPr>
          <w:p w14:paraId="04279C97"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p>
        </w:tc>
      </w:tr>
      <w:tr w:rsidR="00756913" w:rsidRPr="00756913" w14:paraId="03B681EC" w14:textId="77777777">
        <w:tblPrEx>
          <w:tblCellMar>
            <w:top w:w="0" w:type="dxa"/>
            <w:bottom w:w="0" w:type="dxa"/>
          </w:tblCellMar>
        </w:tblPrEx>
        <w:tc>
          <w:tcPr>
            <w:tcW w:w="4678" w:type="dxa"/>
            <w:gridSpan w:val="2"/>
            <w:tcBorders>
              <w:top w:val="nil"/>
              <w:left w:val="nil"/>
              <w:bottom w:val="nil"/>
              <w:right w:val="nil"/>
            </w:tcBorders>
            <w:vAlign w:val="center"/>
          </w:tcPr>
          <w:p w14:paraId="1B30C89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sz w:val="18"/>
                <w:szCs w:val="18"/>
                <w14:ligatures w14:val="standardContextual"/>
              </w:rPr>
              <w:t>Total comprehensive income for the period</w:t>
            </w:r>
          </w:p>
        </w:tc>
        <w:tc>
          <w:tcPr>
            <w:tcW w:w="868" w:type="dxa"/>
            <w:tcBorders>
              <w:top w:val="nil"/>
              <w:left w:val="nil"/>
              <w:bottom w:val="nil"/>
              <w:right w:val="nil"/>
            </w:tcBorders>
            <w:vAlign w:val="center"/>
          </w:tcPr>
          <w:p w14:paraId="398C979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61A00E96"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545C7A11"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single" w:sz="4" w:space="0" w:color="auto"/>
              <w:left w:val="nil"/>
              <w:bottom w:val="single" w:sz="4" w:space="0" w:color="auto"/>
              <w:right w:val="nil"/>
            </w:tcBorders>
            <w:vAlign w:val="center"/>
          </w:tcPr>
          <w:p w14:paraId="7AC3B564"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44.3</w:t>
            </w:r>
          </w:p>
        </w:tc>
        <w:tc>
          <w:tcPr>
            <w:tcW w:w="1562" w:type="dxa"/>
            <w:gridSpan w:val="2"/>
            <w:tcBorders>
              <w:top w:val="single" w:sz="4" w:space="0" w:color="auto"/>
              <w:left w:val="nil"/>
              <w:bottom w:val="single" w:sz="4" w:space="0" w:color="auto"/>
              <w:right w:val="nil"/>
            </w:tcBorders>
            <w:vAlign w:val="center"/>
          </w:tcPr>
          <w:p w14:paraId="4112A7A7"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41.0</w:t>
            </w:r>
          </w:p>
        </w:tc>
      </w:tr>
      <w:tr w:rsidR="00756913" w:rsidRPr="00756913" w14:paraId="46914359" w14:textId="77777777">
        <w:tblPrEx>
          <w:tblCellMar>
            <w:top w:w="0" w:type="dxa"/>
            <w:bottom w:w="0" w:type="dxa"/>
          </w:tblCellMar>
        </w:tblPrEx>
        <w:tc>
          <w:tcPr>
            <w:tcW w:w="4678" w:type="dxa"/>
            <w:gridSpan w:val="2"/>
            <w:tcBorders>
              <w:top w:val="nil"/>
              <w:left w:val="nil"/>
              <w:bottom w:val="nil"/>
              <w:right w:val="nil"/>
            </w:tcBorders>
            <w:vAlign w:val="center"/>
          </w:tcPr>
          <w:p w14:paraId="0BA2DC7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868" w:type="dxa"/>
            <w:tcBorders>
              <w:top w:val="nil"/>
              <w:left w:val="nil"/>
              <w:bottom w:val="nil"/>
              <w:right w:val="nil"/>
            </w:tcBorders>
            <w:vAlign w:val="center"/>
          </w:tcPr>
          <w:p w14:paraId="01F01DF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73B96B2F"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2B51D29A"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single" w:sz="4" w:space="0" w:color="auto"/>
              <w:left w:val="nil"/>
              <w:bottom w:val="nil"/>
              <w:right w:val="nil"/>
            </w:tcBorders>
            <w:vAlign w:val="center"/>
          </w:tcPr>
          <w:p w14:paraId="7D093755"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p>
        </w:tc>
        <w:tc>
          <w:tcPr>
            <w:tcW w:w="1562" w:type="dxa"/>
            <w:gridSpan w:val="2"/>
            <w:tcBorders>
              <w:top w:val="single" w:sz="4" w:space="0" w:color="auto"/>
              <w:left w:val="nil"/>
              <w:bottom w:val="nil"/>
              <w:right w:val="nil"/>
            </w:tcBorders>
            <w:vAlign w:val="center"/>
          </w:tcPr>
          <w:p w14:paraId="659CAC77"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p>
        </w:tc>
      </w:tr>
      <w:tr w:rsidR="00756913" w:rsidRPr="00756913" w14:paraId="5AFA1EF7" w14:textId="77777777">
        <w:tblPrEx>
          <w:tblCellMar>
            <w:top w:w="0" w:type="dxa"/>
            <w:bottom w:w="0" w:type="dxa"/>
          </w:tblCellMar>
        </w:tblPrEx>
        <w:tc>
          <w:tcPr>
            <w:tcW w:w="4678" w:type="dxa"/>
            <w:gridSpan w:val="2"/>
            <w:tcBorders>
              <w:top w:val="nil"/>
              <w:left w:val="nil"/>
              <w:bottom w:val="nil"/>
              <w:right w:val="nil"/>
            </w:tcBorders>
            <w:vAlign w:val="center"/>
          </w:tcPr>
          <w:p w14:paraId="4DD1794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Profit/(Loss) attributable to:</w:t>
            </w:r>
          </w:p>
        </w:tc>
        <w:tc>
          <w:tcPr>
            <w:tcW w:w="868" w:type="dxa"/>
            <w:tcBorders>
              <w:top w:val="nil"/>
              <w:left w:val="nil"/>
              <w:bottom w:val="nil"/>
              <w:right w:val="nil"/>
            </w:tcBorders>
            <w:vAlign w:val="center"/>
          </w:tcPr>
          <w:p w14:paraId="7827AC9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2514A4A6"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23FD49F3"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470ABA5B"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p>
        </w:tc>
        <w:tc>
          <w:tcPr>
            <w:tcW w:w="1562" w:type="dxa"/>
            <w:gridSpan w:val="2"/>
            <w:tcBorders>
              <w:top w:val="nil"/>
              <w:left w:val="nil"/>
              <w:bottom w:val="nil"/>
              <w:right w:val="nil"/>
            </w:tcBorders>
            <w:vAlign w:val="center"/>
          </w:tcPr>
          <w:p w14:paraId="019C0F0D"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p>
        </w:tc>
      </w:tr>
      <w:tr w:rsidR="00756913" w:rsidRPr="00756913" w14:paraId="1B8FFB5B" w14:textId="77777777">
        <w:tblPrEx>
          <w:tblCellMar>
            <w:top w:w="0" w:type="dxa"/>
            <w:bottom w:w="0" w:type="dxa"/>
          </w:tblCellMar>
        </w:tblPrEx>
        <w:tc>
          <w:tcPr>
            <w:tcW w:w="4678" w:type="dxa"/>
            <w:gridSpan w:val="2"/>
            <w:tcBorders>
              <w:top w:val="nil"/>
              <w:left w:val="nil"/>
              <w:bottom w:val="nil"/>
              <w:right w:val="nil"/>
            </w:tcBorders>
            <w:vAlign w:val="center"/>
          </w:tcPr>
          <w:p w14:paraId="4882E13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Owners of the Company</w:t>
            </w:r>
          </w:p>
        </w:tc>
        <w:tc>
          <w:tcPr>
            <w:tcW w:w="868" w:type="dxa"/>
            <w:tcBorders>
              <w:top w:val="nil"/>
              <w:left w:val="nil"/>
              <w:bottom w:val="nil"/>
              <w:right w:val="nil"/>
            </w:tcBorders>
            <w:vAlign w:val="center"/>
          </w:tcPr>
          <w:p w14:paraId="6007E1F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29747D6D"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74FC7704"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146ECC0B"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44.2</w:t>
            </w:r>
          </w:p>
        </w:tc>
        <w:tc>
          <w:tcPr>
            <w:tcW w:w="1562" w:type="dxa"/>
            <w:gridSpan w:val="2"/>
            <w:tcBorders>
              <w:top w:val="nil"/>
              <w:left w:val="nil"/>
              <w:bottom w:val="nil"/>
              <w:right w:val="nil"/>
            </w:tcBorders>
            <w:vAlign w:val="center"/>
          </w:tcPr>
          <w:p w14:paraId="79967193"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40.7</w:t>
            </w:r>
          </w:p>
        </w:tc>
      </w:tr>
      <w:tr w:rsidR="00756913" w:rsidRPr="00756913" w14:paraId="67663F14" w14:textId="77777777">
        <w:tblPrEx>
          <w:tblCellMar>
            <w:top w:w="0" w:type="dxa"/>
            <w:bottom w:w="0" w:type="dxa"/>
          </w:tblCellMar>
        </w:tblPrEx>
        <w:tc>
          <w:tcPr>
            <w:tcW w:w="4678" w:type="dxa"/>
            <w:gridSpan w:val="2"/>
            <w:tcBorders>
              <w:top w:val="nil"/>
              <w:left w:val="nil"/>
              <w:bottom w:val="nil"/>
              <w:right w:val="nil"/>
            </w:tcBorders>
            <w:vAlign w:val="center"/>
          </w:tcPr>
          <w:p w14:paraId="7DAA9BB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Non-controlling interest</w:t>
            </w:r>
          </w:p>
        </w:tc>
        <w:tc>
          <w:tcPr>
            <w:tcW w:w="868" w:type="dxa"/>
            <w:tcBorders>
              <w:top w:val="nil"/>
              <w:left w:val="nil"/>
              <w:bottom w:val="nil"/>
              <w:right w:val="nil"/>
            </w:tcBorders>
            <w:vAlign w:val="center"/>
          </w:tcPr>
          <w:p w14:paraId="1524842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11</w:t>
            </w:r>
          </w:p>
        </w:tc>
        <w:tc>
          <w:tcPr>
            <w:tcW w:w="550" w:type="dxa"/>
            <w:gridSpan w:val="2"/>
            <w:tcBorders>
              <w:top w:val="nil"/>
              <w:left w:val="nil"/>
              <w:bottom w:val="nil"/>
              <w:right w:val="nil"/>
            </w:tcBorders>
            <w:vAlign w:val="center"/>
          </w:tcPr>
          <w:p w14:paraId="34EEFA3A"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4F025B09"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single" w:sz="4" w:space="0" w:color="auto"/>
              <w:right w:val="nil"/>
            </w:tcBorders>
            <w:vAlign w:val="center"/>
          </w:tcPr>
          <w:p w14:paraId="286B4B8D"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(0.1)</w:t>
            </w:r>
          </w:p>
        </w:tc>
        <w:tc>
          <w:tcPr>
            <w:tcW w:w="1562" w:type="dxa"/>
            <w:gridSpan w:val="2"/>
            <w:tcBorders>
              <w:top w:val="nil"/>
              <w:left w:val="nil"/>
              <w:bottom w:val="single" w:sz="4" w:space="0" w:color="auto"/>
              <w:right w:val="nil"/>
            </w:tcBorders>
            <w:vAlign w:val="center"/>
          </w:tcPr>
          <w:p w14:paraId="373E2D8D"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r>
      <w:tr w:rsidR="00756913" w:rsidRPr="00756913" w14:paraId="6820EBB6" w14:textId="77777777">
        <w:tblPrEx>
          <w:tblCellMar>
            <w:top w:w="0" w:type="dxa"/>
            <w:bottom w:w="0" w:type="dxa"/>
          </w:tblCellMar>
        </w:tblPrEx>
        <w:tc>
          <w:tcPr>
            <w:tcW w:w="4678" w:type="dxa"/>
            <w:gridSpan w:val="2"/>
            <w:tcBorders>
              <w:top w:val="nil"/>
              <w:left w:val="nil"/>
              <w:bottom w:val="nil"/>
              <w:right w:val="nil"/>
            </w:tcBorders>
            <w:vAlign w:val="center"/>
          </w:tcPr>
          <w:p w14:paraId="588EDFB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Profit for the period</w:t>
            </w:r>
          </w:p>
        </w:tc>
        <w:tc>
          <w:tcPr>
            <w:tcW w:w="868" w:type="dxa"/>
            <w:tcBorders>
              <w:top w:val="nil"/>
              <w:left w:val="nil"/>
              <w:bottom w:val="nil"/>
              <w:right w:val="nil"/>
            </w:tcBorders>
            <w:vAlign w:val="center"/>
          </w:tcPr>
          <w:p w14:paraId="7C288C0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3A91A724"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00C5D072"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single" w:sz="4" w:space="0" w:color="auto"/>
              <w:left w:val="nil"/>
              <w:bottom w:val="single" w:sz="4" w:space="0" w:color="auto"/>
              <w:right w:val="nil"/>
            </w:tcBorders>
            <w:vAlign w:val="center"/>
          </w:tcPr>
          <w:p w14:paraId="3FDA5A04"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44.1</w:t>
            </w:r>
          </w:p>
        </w:tc>
        <w:tc>
          <w:tcPr>
            <w:tcW w:w="1562" w:type="dxa"/>
            <w:gridSpan w:val="2"/>
            <w:tcBorders>
              <w:top w:val="single" w:sz="4" w:space="0" w:color="auto"/>
              <w:left w:val="nil"/>
              <w:bottom w:val="single" w:sz="4" w:space="0" w:color="auto"/>
              <w:right w:val="nil"/>
            </w:tcBorders>
            <w:vAlign w:val="center"/>
          </w:tcPr>
          <w:p w14:paraId="36BC1290"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41.0</w:t>
            </w:r>
          </w:p>
        </w:tc>
      </w:tr>
      <w:tr w:rsidR="00756913" w:rsidRPr="00756913" w14:paraId="378E705F" w14:textId="77777777">
        <w:tblPrEx>
          <w:tblCellMar>
            <w:top w:w="0" w:type="dxa"/>
            <w:bottom w:w="0" w:type="dxa"/>
          </w:tblCellMar>
        </w:tblPrEx>
        <w:tc>
          <w:tcPr>
            <w:tcW w:w="4678" w:type="dxa"/>
            <w:gridSpan w:val="2"/>
            <w:tcBorders>
              <w:top w:val="nil"/>
              <w:left w:val="nil"/>
              <w:bottom w:val="nil"/>
              <w:right w:val="nil"/>
            </w:tcBorders>
            <w:vAlign w:val="center"/>
          </w:tcPr>
          <w:p w14:paraId="51FF974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868" w:type="dxa"/>
            <w:tcBorders>
              <w:top w:val="nil"/>
              <w:left w:val="nil"/>
              <w:bottom w:val="nil"/>
              <w:right w:val="nil"/>
            </w:tcBorders>
            <w:vAlign w:val="center"/>
          </w:tcPr>
          <w:p w14:paraId="555C84A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59598AB4"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5B2AF048"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single" w:sz="4" w:space="0" w:color="auto"/>
              <w:left w:val="nil"/>
              <w:bottom w:val="nil"/>
              <w:right w:val="nil"/>
            </w:tcBorders>
            <w:vAlign w:val="center"/>
          </w:tcPr>
          <w:p w14:paraId="1950F2A5"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p>
        </w:tc>
        <w:tc>
          <w:tcPr>
            <w:tcW w:w="1562" w:type="dxa"/>
            <w:gridSpan w:val="2"/>
            <w:tcBorders>
              <w:top w:val="single" w:sz="4" w:space="0" w:color="auto"/>
              <w:left w:val="nil"/>
              <w:bottom w:val="nil"/>
              <w:right w:val="nil"/>
            </w:tcBorders>
            <w:vAlign w:val="center"/>
          </w:tcPr>
          <w:p w14:paraId="51795A6A"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p>
        </w:tc>
      </w:tr>
      <w:tr w:rsidR="00756913" w:rsidRPr="00756913" w14:paraId="34D3EEA2" w14:textId="77777777">
        <w:tblPrEx>
          <w:tblCellMar>
            <w:top w:w="0" w:type="dxa"/>
            <w:bottom w:w="0" w:type="dxa"/>
          </w:tblCellMar>
        </w:tblPrEx>
        <w:tc>
          <w:tcPr>
            <w:tcW w:w="4678" w:type="dxa"/>
            <w:gridSpan w:val="2"/>
            <w:tcBorders>
              <w:top w:val="nil"/>
              <w:left w:val="nil"/>
              <w:bottom w:val="nil"/>
              <w:right w:val="nil"/>
            </w:tcBorders>
            <w:vAlign w:val="center"/>
          </w:tcPr>
          <w:p w14:paraId="6E79BA8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Total comprehensive income attributable to:</w:t>
            </w:r>
          </w:p>
        </w:tc>
        <w:tc>
          <w:tcPr>
            <w:tcW w:w="868" w:type="dxa"/>
            <w:tcBorders>
              <w:top w:val="nil"/>
              <w:left w:val="nil"/>
              <w:bottom w:val="nil"/>
              <w:right w:val="nil"/>
            </w:tcBorders>
            <w:vAlign w:val="center"/>
          </w:tcPr>
          <w:p w14:paraId="4EF510C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2A9260D1"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4C98EB52"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218887E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p>
        </w:tc>
        <w:tc>
          <w:tcPr>
            <w:tcW w:w="1562" w:type="dxa"/>
            <w:gridSpan w:val="2"/>
            <w:tcBorders>
              <w:top w:val="nil"/>
              <w:left w:val="nil"/>
              <w:bottom w:val="nil"/>
              <w:right w:val="nil"/>
            </w:tcBorders>
            <w:vAlign w:val="center"/>
          </w:tcPr>
          <w:p w14:paraId="0DD1631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581A9E91" w14:textId="77777777">
        <w:tblPrEx>
          <w:tblCellMar>
            <w:top w:w="0" w:type="dxa"/>
            <w:bottom w:w="0" w:type="dxa"/>
          </w:tblCellMar>
        </w:tblPrEx>
        <w:tc>
          <w:tcPr>
            <w:tcW w:w="4678" w:type="dxa"/>
            <w:gridSpan w:val="2"/>
            <w:tcBorders>
              <w:top w:val="nil"/>
              <w:left w:val="nil"/>
              <w:bottom w:val="nil"/>
              <w:right w:val="nil"/>
            </w:tcBorders>
            <w:vAlign w:val="center"/>
          </w:tcPr>
          <w:p w14:paraId="41767EF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Owners of the company</w:t>
            </w:r>
          </w:p>
        </w:tc>
        <w:tc>
          <w:tcPr>
            <w:tcW w:w="868" w:type="dxa"/>
            <w:tcBorders>
              <w:top w:val="nil"/>
              <w:left w:val="nil"/>
              <w:bottom w:val="nil"/>
              <w:right w:val="nil"/>
            </w:tcBorders>
            <w:vAlign w:val="center"/>
          </w:tcPr>
          <w:p w14:paraId="79F09EF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1F0F6B82"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2D9C24C8"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5A3BDC3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44.4</w:t>
            </w:r>
          </w:p>
        </w:tc>
        <w:tc>
          <w:tcPr>
            <w:tcW w:w="1562" w:type="dxa"/>
            <w:gridSpan w:val="2"/>
            <w:tcBorders>
              <w:top w:val="nil"/>
              <w:left w:val="nil"/>
              <w:bottom w:val="nil"/>
              <w:right w:val="nil"/>
            </w:tcBorders>
            <w:vAlign w:val="center"/>
          </w:tcPr>
          <w:p w14:paraId="457C998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40.7</w:t>
            </w:r>
          </w:p>
        </w:tc>
      </w:tr>
      <w:tr w:rsidR="00756913" w:rsidRPr="00756913" w14:paraId="2B4DDB8F" w14:textId="77777777">
        <w:tblPrEx>
          <w:tblCellMar>
            <w:top w:w="0" w:type="dxa"/>
            <w:bottom w:w="0" w:type="dxa"/>
          </w:tblCellMar>
        </w:tblPrEx>
        <w:tc>
          <w:tcPr>
            <w:tcW w:w="4678" w:type="dxa"/>
            <w:gridSpan w:val="2"/>
            <w:tcBorders>
              <w:top w:val="nil"/>
              <w:left w:val="nil"/>
              <w:bottom w:val="nil"/>
              <w:right w:val="nil"/>
            </w:tcBorders>
            <w:vAlign w:val="center"/>
          </w:tcPr>
          <w:p w14:paraId="1042084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Non-controlling interest</w:t>
            </w:r>
          </w:p>
        </w:tc>
        <w:tc>
          <w:tcPr>
            <w:tcW w:w="868" w:type="dxa"/>
            <w:tcBorders>
              <w:top w:val="nil"/>
              <w:left w:val="nil"/>
              <w:bottom w:val="nil"/>
              <w:right w:val="nil"/>
            </w:tcBorders>
            <w:vAlign w:val="center"/>
          </w:tcPr>
          <w:p w14:paraId="504553D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11</w:t>
            </w:r>
          </w:p>
        </w:tc>
        <w:tc>
          <w:tcPr>
            <w:tcW w:w="550" w:type="dxa"/>
            <w:gridSpan w:val="2"/>
            <w:tcBorders>
              <w:top w:val="nil"/>
              <w:left w:val="nil"/>
              <w:bottom w:val="nil"/>
              <w:right w:val="nil"/>
            </w:tcBorders>
            <w:vAlign w:val="center"/>
          </w:tcPr>
          <w:p w14:paraId="0EADCE66"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3CD3E57D"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single" w:sz="4" w:space="0" w:color="auto"/>
              <w:right w:val="nil"/>
            </w:tcBorders>
            <w:vAlign w:val="center"/>
          </w:tcPr>
          <w:p w14:paraId="2817BC5C"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(0.1)</w:t>
            </w:r>
          </w:p>
        </w:tc>
        <w:tc>
          <w:tcPr>
            <w:tcW w:w="1562" w:type="dxa"/>
            <w:gridSpan w:val="2"/>
            <w:tcBorders>
              <w:top w:val="nil"/>
              <w:left w:val="nil"/>
              <w:bottom w:val="single" w:sz="4" w:space="0" w:color="auto"/>
              <w:right w:val="nil"/>
            </w:tcBorders>
            <w:vAlign w:val="center"/>
          </w:tcPr>
          <w:p w14:paraId="31A1E7FE"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r>
      <w:tr w:rsidR="00756913" w:rsidRPr="00756913" w14:paraId="56DAB32C" w14:textId="77777777">
        <w:tblPrEx>
          <w:tblCellMar>
            <w:top w:w="0" w:type="dxa"/>
            <w:bottom w:w="0" w:type="dxa"/>
          </w:tblCellMar>
        </w:tblPrEx>
        <w:tc>
          <w:tcPr>
            <w:tcW w:w="4678" w:type="dxa"/>
            <w:gridSpan w:val="2"/>
            <w:tcBorders>
              <w:top w:val="nil"/>
              <w:left w:val="nil"/>
              <w:bottom w:val="nil"/>
              <w:right w:val="nil"/>
            </w:tcBorders>
            <w:vAlign w:val="center"/>
          </w:tcPr>
          <w:p w14:paraId="64ECC01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Total comprehensive income for the period</w:t>
            </w:r>
          </w:p>
        </w:tc>
        <w:tc>
          <w:tcPr>
            <w:tcW w:w="868" w:type="dxa"/>
            <w:tcBorders>
              <w:top w:val="nil"/>
              <w:left w:val="nil"/>
              <w:bottom w:val="nil"/>
              <w:right w:val="nil"/>
            </w:tcBorders>
            <w:vAlign w:val="center"/>
          </w:tcPr>
          <w:p w14:paraId="6991DC3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1BBAFE9B"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6FC6501B"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single" w:sz="4" w:space="0" w:color="auto"/>
              <w:left w:val="nil"/>
              <w:bottom w:val="single" w:sz="4" w:space="0" w:color="auto"/>
              <w:right w:val="nil"/>
            </w:tcBorders>
            <w:vAlign w:val="center"/>
          </w:tcPr>
          <w:p w14:paraId="25FC06CF"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44.3</w:t>
            </w:r>
          </w:p>
        </w:tc>
        <w:tc>
          <w:tcPr>
            <w:tcW w:w="1562" w:type="dxa"/>
            <w:gridSpan w:val="2"/>
            <w:tcBorders>
              <w:top w:val="single" w:sz="4" w:space="0" w:color="auto"/>
              <w:left w:val="nil"/>
              <w:bottom w:val="single" w:sz="4" w:space="0" w:color="auto"/>
              <w:right w:val="nil"/>
            </w:tcBorders>
            <w:vAlign w:val="center"/>
          </w:tcPr>
          <w:p w14:paraId="509DF55C"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41.0</w:t>
            </w:r>
          </w:p>
        </w:tc>
      </w:tr>
      <w:tr w:rsidR="00756913" w:rsidRPr="00756913" w14:paraId="04CC9362" w14:textId="77777777">
        <w:tblPrEx>
          <w:tblCellMar>
            <w:top w:w="0" w:type="dxa"/>
            <w:bottom w:w="0" w:type="dxa"/>
          </w:tblCellMar>
        </w:tblPrEx>
        <w:tc>
          <w:tcPr>
            <w:tcW w:w="4678" w:type="dxa"/>
            <w:gridSpan w:val="2"/>
            <w:tcBorders>
              <w:top w:val="nil"/>
              <w:left w:val="nil"/>
              <w:bottom w:val="nil"/>
              <w:right w:val="nil"/>
            </w:tcBorders>
            <w:vAlign w:val="center"/>
          </w:tcPr>
          <w:p w14:paraId="1F18764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868" w:type="dxa"/>
            <w:tcBorders>
              <w:top w:val="nil"/>
              <w:left w:val="nil"/>
              <w:bottom w:val="nil"/>
              <w:right w:val="nil"/>
            </w:tcBorders>
            <w:vAlign w:val="center"/>
          </w:tcPr>
          <w:p w14:paraId="087E4CB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70522142"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19D2C8D4"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single" w:sz="4" w:space="0" w:color="auto"/>
              <w:left w:val="nil"/>
              <w:bottom w:val="nil"/>
              <w:right w:val="nil"/>
            </w:tcBorders>
            <w:vAlign w:val="center"/>
          </w:tcPr>
          <w:p w14:paraId="466F3D90"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p>
        </w:tc>
        <w:tc>
          <w:tcPr>
            <w:tcW w:w="1562" w:type="dxa"/>
            <w:gridSpan w:val="2"/>
            <w:tcBorders>
              <w:top w:val="single" w:sz="4" w:space="0" w:color="auto"/>
              <w:left w:val="nil"/>
              <w:bottom w:val="nil"/>
              <w:right w:val="nil"/>
            </w:tcBorders>
            <w:vAlign w:val="center"/>
          </w:tcPr>
          <w:p w14:paraId="3499A145"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p>
        </w:tc>
      </w:tr>
      <w:tr w:rsidR="00756913" w:rsidRPr="00756913" w14:paraId="7D5A07B5" w14:textId="77777777">
        <w:tblPrEx>
          <w:tblCellMar>
            <w:top w:w="0" w:type="dxa"/>
            <w:bottom w:w="0" w:type="dxa"/>
          </w:tblCellMar>
        </w:tblPrEx>
        <w:tc>
          <w:tcPr>
            <w:tcW w:w="4678" w:type="dxa"/>
            <w:gridSpan w:val="2"/>
            <w:tcBorders>
              <w:top w:val="nil"/>
              <w:left w:val="nil"/>
              <w:bottom w:val="nil"/>
              <w:right w:val="nil"/>
            </w:tcBorders>
            <w:vAlign w:val="center"/>
          </w:tcPr>
          <w:p w14:paraId="373EDCB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868" w:type="dxa"/>
            <w:tcBorders>
              <w:top w:val="nil"/>
              <w:left w:val="nil"/>
              <w:bottom w:val="nil"/>
              <w:right w:val="nil"/>
            </w:tcBorders>
            <w:vAlign w:val="center"/>
          </w:tcPr>
          <w:p w14:paraId="01A6F2B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7CBAF959"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2BFCD07B"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1CD6DB86"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color w:val="FF0000"/>
                <w:sz w:val="18"/>
                <w:szCs w:val="18"/>
                <w14:ligatures w14:val="standardContextual"/>
              </w:rPr>
            </w:pPr>
          </w:p>
        </w:tc>
        <w:tc>
          <w:tcPr>
            <w:tcW w:w="1562" w:type="dxa"/>
            <w:gridSpan w:val="2"/>
            <w:tcBorders>
              <w:top w:val="nil"/>
              <w:left w:val="nil"/>
              <w:bottom w:val="nil"/>
              <w:right w:val="nil"/>
            </w:tcBorders>
            <w:vAlign w:val="center"/>
          </w:tcPr>
          <w:p w14:paraId="79B0592D"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p>
        </w:tc>
      </w:tr>
      <w:tr w:rsidR="00756913" w:rsidRPr="00756913" w14:paraId="346DB092" w14:textId="77777777">
        <w:tblPrEx>
          <w:tblCellMar>
            <w:top w:w="0" w:type="dxa"/>
            <w:bottom w:w="0" w:type="dxa"/>
          </w:tblCellMar>
        </w:tblPrEx>
        <w:tc>
          <w:tcPr>
            <w:tcW w:w="4678" w:type="dxa"/>
            <w:gridSpan w:val="2"/>
            <w:tcBorders>
              <w:top w:val="nil"/>
              <w:left w:val="nil"/>
              <w:bottom w:val="nil"/>
              <w:right w:val="nil"/>
            </w:tcBorders>
            <w:vAlign w:val="center"/>
          </w:tcPr>
          <w:p w14:paraId="01E6AE6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Earnings per share:</w:t>
            </w:r>
          </w:p>
        </w:tc>
        <w:tc>
          <w:tcPr>
            <w:tcW w:w="868" w:type="dxa"/>
            <w:tcBorders>
              <w:top w:val="nil"/>
              <w:left w:val="nil"/>
              <w:bottom w:val="nil"/>
              <w:right w:val="nil"/>
            </w:tcBorders>
            <w:vAlign w:val="center"/>
          </w:tcPr>
          <w:p w14:paraId="09BD84C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550" w:type="dxa"/>
            <w:gridSpan w:val="2"/>
            <w:tcBorders>
              <w:top w:val="nil"/>
              <w:left w:val="nil"/>
              <w:bottom w:val="nil"/>
              <w:right w:val="nil"/>
            </w:tcBorders>
            <w:vAlign w:val="center"/>
          </w:tcPr>
          <w:p w14:paraId="469C8F15"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7F29E498"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b/>
                <w:bCs/>
                <w:color w:val="FF0000"/>
                <w:sz w:val="18"/>
                <w:szCs w:val="18"/>
                <w14:ligatures w14:val="standardContextual"/>
              </w:rPr>
            </w:pPr>
          </w:p>
        </w:tc>
        <w:tc>
          <w:tcPr>
            <w:tcW w:w="1418" w:type="dxa"/>
            <w:gridSpan w:val="2"/>
            <w:tcBorders>
              <w:top w:val="nil"/>
              <w:left w:val="nil"/>
              <w:bottom w:val="nil"/>
              <w:right w:val="nil"/>
            </w:tcBorders>
            <w:vAlign w:val="center"/>
          </w:tcPr>
          <w:p w14:paraId="0533932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1562" w:type="dxa"/>
            <w:gridSpan w:val="2"/>
            <w:tcBorders>
              <w:top w:val="nil"/>
              <w:left w:val="nil"/>
              <w:bottom w:val="nil"/>
              <w:right w:val="nil"/>
            </w:tcBorders>
            <w:vAlign w:val="center"/>
          </w:tcPr>
          <w:p w14:paraId="26A21E3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646A10A6" w14:textId="77777777">
        <w:tblPrEx>
          <w:tblCellMar>
            <w:top w:w="0" w:type="dxa"/>
            <w:bottom w:w="0" w:type="dxa"/>
          </w:tblCellMar>
        </w:tblPrEx>
        <w:tc>
          <w:tcPr>
            <w:tcW w:w="4678" w:type="dxa"/>
            <w:gridSpan w:val="2"/>
            <w:tcBorders>
              <w:top w:val="nil"/>
              <w:left w:val="nil"/>
              <w:bottom w:val="nil"/>
              <w:right w:val="nil"/>
            </w:tcBorders>
            <w:vAlign w:val="center"/>
          </w:tcPr>
          <w:p w14:paraId="6F1B984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Basic earnings per ordinary share (pence)</w:t>
            </w:r>
          </w:p>
        </w:tc>
        <w:tc>
          <w:tcPr>
            <w:tcW w:w="868" w:type="dxa"/>
            <w:tcBorders>
              <w:top w:val="nil"/>
              <w:left w:val="nil"/>
              <w:bottom w:val="nil"/>
              <w:right w:val="nil"/>
            </w:tcBorders>
            <w:vAlign w:val="center"/>
          </w:tcPr>
          <w:p w14:paraId="10AE6B7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5</w:t>
            </w:r>
          </w:p>
        </w:tc>
        <w:tc>
          <w:tcPr>
            <w:tcW w:w="550" w:type="dxa"/>
            <w:gridSpan w:val="2"/>
            <w:tcBorders>
              <w:top w:val="nil"/>
              <w:left w:val="nil"/>
              <w:bottom w:val="nil"/>
              <w:right w:val="nil"/>
            </w:tcBorders>
            <w:vAlign w:val="center"/>
          </w:tcPr>
          <w:p w14:paraId="0E5E3FCE" w14:textId="77777777" w:rsidR="00756913" w:rsidRPr="00756913" w:rsidRDefault="00756913" w:rsidP="00756913">
            <w:pPr>
              <w:tabs>
                <w:tab w:val="decimal" w:pos="1015"/>
              </w:tabs>
              <w:autoSpaceDE w:val="0"/>
              <w:autoSpaceDN w:val="0"/>
              <w:adjustRightInd w:val="0"/>
              <w:spacing w:after="0" w:line="240" w:lineRule="auto"/>
              <w:rPr>
                <w:rFonts w:ascii="Arial" w:hAnsi="Arial" w:cs="Arial"/>
                <w:b/>
                <w:bCs/>
                <w:color w:val="FF0000"/>
                <w:sz w:val="18"/>
                <w:szCs w:val="18"/>
                <w14:ligatures w14:val="standardContextual"/>
              </w:rPr>
            </w:pPr>
          </w:p>
        </w:tc>
        <w:tc>
          <w:tcPr>
            <w:tcW w:w="283" w:type="dxa"/>
            <w:tcBorders>
              <w:top w:val="nil"/>
              <w:left w:val="nil"/>
              <w:bottom w:val="nil"/>
              <w:right w:val="nil"/>
            </w:tcBorders>
            <w:vAlign w:val="center"/>
          </w:tcPr>
          <w:p w14:paraId="50C26773" w14:textId="77777777" w:rsidR="00756913" w:rsidRPr="00756913" w:rsidRDefault="00756913" w:rsidP="00756913">
            <w:pPr>
              <w:tabs>
                <w:tab w:val="decimal" w:pos="984"/>
              </w:tabs>
              <w:autoSpaceDE w:val="0"/>
              <w:autoSpaceDN w:val="0"/>
              <w:adjustRightInd w:val="0"/>
              <w:spacing w:after="0" w:line="240" w:lineRule="auto"/>
              <w:ind w:left="-284"/>
              <w:rPr>
                <w:rFonts w:ascii="Arial" w:hAnsi="Arial" w:cs="Arial"/>
                <w:color w:val="FF0000"/>
                <w:sz w:val="18"/>
                <w:szCs w:val="18"/>
                <w14:ligatures w14:val="standardContextual"/>
              </w:rPr>
            </w:pPr>
          </w:p>
        </w:tc>
        <w:tc>
          <w:tcPr>
            <w:tcW w:w="1418" w:type="dxa"/>
            <w:gridSpan w:val="2"/>
            <w:tcBorders>
              <w:top w:val="nil"/>
              <w:left w:val="nil"/>
              <w:bottom w:val="nil"/>
              <w:right w:val="nil"/>
            </w:tcBorders>
            <w:vAlign w:val="center"/>
          </w:tcPr>
          <w:p w14:paraId="4D0787A9"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8.3</w:t>
            </w:r>
          </w:p>
        </w:tc>
        <w:tc>
          <w:tcPr>
            <w:tcW w:w="1562" w:type="dxa"/>
            <w:gridSpan w:val="2"/>
            <w:tcBorders>
              <w:top w:val="nil"/>
              <w:left w:val="nil"/>
              <w:bottom w:val="nil"/>
              <w:right w:val="nil"/>
            </w:tcBorders>
            <w:vAlign w:val="center"/>
          </w:tcPr>
          <w:p w14:paraId="34EC32EA" w14:textId="77777777" w:rsidR="00756913" w:rsidRPr="00756913" w:rsidRDefault="00756913" w:rsidP="00756913">
            <w:pPr>
              <w:tabs>
                <w:tab w:val="decimal" w:pos="1021"/>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7.6</w:t>
            </w:r>
          </w:p>
        </w:tc>
      </w:tr>
      <w:tr w:rsidR="00756913" w:rsidRPr="00756913" w14:paraId="15250684" w14:textId="77777777">
        <w:tblPrEx>
          <w:tblCellMar>
            <w:top w:w="0" w:type="dxa"/>
            <w:bottom w:w="0" w:type="dxa"/>
          </w:tblCellMar>
        </w:tblPrEx>
        <w:tc>
          <w:tcPr>
            <w:tcW w:w="4678" w:type="dxa"/>
            <w:gridSpan w:val="2"/>
            <w:tcBorders>
              <w:top w:val="nil"/>
              <w:left w:val="nil"/>
              <w:bottom w:val="nil"/>
              <w:right w:val="nil"/>
            </w:tcBorders>
            <w:vAlign w:val="center"/>
          </w:tcPr>
          <w:p w14:paraId="540DA1B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Diluted earnings per ordinary share (pence)</w:t>
            </w:r>
          </w:p>
        </w:tc>
        <w:tc>
          <w:tcPr>
            <w:tcW w:w="868" w:type="dxa"/>
            <w:tcBorders>
              <w:top w:val="nil"/>
              <w:left w:val="nil"/>
              <w:bottom w:val="nil"/>
              <w:right w:val="nil"/>
            </w:tcBorders>
            <w:vAlign w:val="center"/>
          </w:tcPr>
          <w:p w14:paraId="2A02F66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5</w:t>
            </w:r>
          </w:p>
        </w:tc>
        <w:tc>
          <w:tcPr>
            <w:tcW w:w="550" w:type="dxa"/>
            <w:gridSpan w:val="2"/>
            <w:tcBorders>
              <w:top w:val="nil"/>
              <w:left w:val="nil"/>
              <w:bottom w:val="nil"/>
              <w:right w:val="nil"/>
            </w:tcBorders>
            <w:vAlign w:val="center"/>
          </w:tcPr>
          <w:p w14:paraId="4EB2A07C" w14:textId="77777777" w:rsidR="00756913" w:rsidRPr="00756913" w:rsidRDefault="00756913" w:rsidP="00756913">
            <w:pPr>
              <w:tabs>
                <w:tab w:val="decimal" w:pos="1015"/>
              </w:tabs>
              <w:autoSpaceDE w:val="0"/>
              <w:autoSpaceDN w:val="0"/>
              <w:adjustRightInd w:val="0"/>
              <w:spacing w:after="0" w:line="240" w:lineRule="auto"/>
              <w:rPr>
                <w:rFonts w:ascii="Arial" w:hAnsi="Arial" w:cs="Arial"/>
                <w:color w:val="FF0000"/>
                <w:sz w:val="18"/>
                <w:szCs w:val="18"/>
                <w14:ligatures w14:val="standardContextual"/>
              </w:rPr>
            </w:pPr>
          </w:p>
        </w:tc>
        <w:tc>
          <w:tcPr>
            <w:tcW w:w="283" w:type="dxa"/>
            <w:tcBorders>
              <w:top w:val="nil"/>
              <w:left w:val="nil"/>
              <w:bottom w:val="nil"/>
              <w:right w:val="nil"/>
            </w:tcBorders>
            <w:vAlign w:val="center"/>
          </w:tcPr>
          <w:p w14:paraId="35C38632" w14:textId="77777777" w:rsidR="00756913" w:rsidRPr="00756913" w:rsidRDefault="00756913" w:rsidP="00756913">
            <w:pPr>
              <w:tabs>
                <w:tab w:val="decimal" w:pos="1015"/>
              </w:tabs>
              <w:autoSpaceDE w:val="0"/>
              <w:autoSpaceDN w:val="0"/>
              <w:adjustRightInd w:val="0"/>
              <w:spacing w:after="0" w:line="240" w:lineRule="auto"/>
              <w:ind w:left="-284"/>
              <w:rPr>
                <w:rFonts w:ascii="Arial" w:hAnsi="Arial" w:cs="Arial"/>
                <w:color w:val="FF0000"/>
                <w:sz w:val="18"/>
                <w:szCs w:val="18"/>
                <w:u w:val="single"/>
                <w14:ligatures w14:val="standardContextual"/>
              </w:rPr>
            </w:pPr>
          </w:p>
        </w:tc>
        <w:tc>
          <w:tcPr>
            <w:tcW w:w="1418" w:type="dxa"/>
            <w:gridSpan w:val="2"/>
            <w:tcBorders>
              <w:top w:val="nil"/>
              <w:left w:val="nil"/>
              <w:bottom w:val="nil"/>
              <w:right w:val="nil"/>
            </w:tcBorders>
            <w:vAlign w:val="center"/>
          </w:tcPr>
          <w:p w14:paraId="28FFFB24"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8.2</w:t>
            </w:r>
          </w:p>
        </w:tc>
        <w:tc>
          <w:tcPr>
            <w:tcW w:w="1562" w:type="dxa"/>
            <w:gridSpan w:val="2"/>
            <w:tcBorders>
              <w:top w:val="nil"/>
              <w:left w:val="nil"/>
              <w:bottom w:val="nil"/>
              <w:right w:val="nil"/>
            </w:tcBorders>
            <w:vAlign w:val="center"/>
          </w:tcPr>
          <w:p w14:paraId="7F5258C9" w14:textId="77777777" w:rsidR="00756913" w:rsidRPr="00756913" w:rsidRDefault="00756913" w:rsidP="00756913">
            <w:pPr>
              <w:tabs>
                <w:tab w:val="decimal" w:pos="1015"/>
              </w:tabs>
              <w:autoSpaceDE w:val="0"/>
              <w:autoSpaceDN w:val="0"/>
              <w:adjustRightInd w:val="0"/>
              <w:spacing w:after="0" w:line="240" w:lineRule="auto"/>
              <w:ind w:left="-1"/>
              <w:jc w:val="right"/>
              <w:rPr>
                <w:rFonts w:ascii="Arial" w:hAnsi="Arial" w:cs="Arial"/>
                <w:sz w:val="18"/>
                <w:szCs w:val="18"/>
                <w14:ligatures w14:val="standardContextual"/>
              </w:rPr>
            </w:pPr>
            <w:r w:rsidRPr="00756913">
              <w:rPr>
                <w:rFonts w:ascii="Arial" w:hAnsi="Arial" w:cs="Arial"/>
                <w:sz w:val="18"/>
                <w:szCs w:val="18"/>
                <w14:ligatures w14:val="standardContextual"/>
              </w:rPr>
              <w:t>7.6</w:t>
            </w:r>
          </w:p>
        </w:tc>
      </w:tr>
    </w:tbl>
    <w:p w14:paraId="4877B438" w14:textId="77777777" w:rsidR="00756913" w:rsidRPr="00756913" w:rsidRDefault="00756913" w:rsidP="00756913">
      <w:pPr>
        <w:tabs>
          <w:tab w:val="left" w:pos="567"/>
          <w:tab w:val="left" w:pos="1559"/>
          <w:tab w:val="left" w:pos="2268"/>
          <w:tab w:val="left" w:pos="2977"/>
          <w:tab w:val="left" w:pos="3686"/>
          <w:tab w:val="left" w:pos="4394"/>
          <w:tab w:val="right" w:pos="8789"/>
        </w:tabs>
        <w:autoSpaceDE w:val="0"/>
        <w:autoSpaceDN w:val="0"/>
        <w:adjustRightInd w:val="0"/>
        <w:spacing w:after="0" w:line="240" w:lineRule="auto"/>
        <w:ind w:left="567"/>
        <w:jc w:val="both"/>
        <w:rPr>
          <w:rFonts w:ascii="Arial" w:hAnsi="Arial" w:cs="Arial"/>
          <w:color w:val="FF0000"/>
          <w:sz w:val="20"/>
          <w:szCs w:val="20"/>
          <w14:ligatures w14:val="standardContextual"/>
        </w:rPr>
      </w:pPr>
    </w:p>
    <w:p w14:paraId="3349A003" w14:textId="77777777" w:rsidR="00756913" w:rsidRPr="00756913" w:rsidRDefault="00756913" w:rsidP="00756913">
      <w:pPr>
        <w:pageBreakBefore/>
        <w:autoSpaceDE w:val="0"/>
        <w:autoSpaceDN w:val="0"/>
        <w:adjustRightInd w:val="0"/>
        <w:spacing w:after="0" w:line="240" w:lineRule="auto"/>
        <w:jc w:val="both"/>
        <w:rPr>
          <w:rFonts w:ascii="Arial" w:hAnsi="Arial" w:cs="Arial"/>
          <w:b/>
          <w:bCs/>
          <w:sz w:val="26"/>
          <w:szCs w:val="26"/>
          <w14:ligatures w14:val="standardContextual"/>
        </w:rPr>
      </w:pPr>
      <w:r w:rsidRPr="00756913">
        <w:rPr>
          <w:rFonts w:ascii="Arial" w:hAnsi="Arial" w:cs="Arial"/>
          <w:b/>
          <w:bCs/>
          <w:sz w:val="26"/>
          <w:szCs w:val="26"/>
          <w14:ligatures w14:val="standardContextual"/>
        </w:rPr>
        <w:t>Consolidated statement of financial position</w:t>
      </w:r>
    </w:p>
    <w:p w14:paraId="2A8C5A80" w14:textId="77777777" w:rsidR="00756913" w:rsidRPr="00756913" w:rsidRDefault="00756913" w:rsidP="00756913">
      <w:pPr>
        <w:widowControl w:val="0"/>
        <w:suppressAutoHyphens/>
        <w:autoSpaceDE w:val="0"/>
        <w:autoSpaceDN w:val="0"/>
        <w:adjustRightInd w:val="0"/>
        <w:spacing w:after="0" w:line="240" w:lineRule="auto"/>
        <w:rPr>
          <w:rFonts w:ascii="Arial" w:hAnsi="Arial" w:cs="Arial"/>
          <w:i/>
          <w:iCs/>
          <w:sz w:val="20"/>
          <w:szCs w:val="20"/>
          <w14:ligatures w14:val="standardContextual"/>
        </w:rPr>
      </w:pPr>
      <w:r w:rsidRPr="00756913">
        <w:rPr>
          <w:rFonts w:ascii="Arial" w:hAnsi="Arial" w:cs="Arial"/>
          <w:i/>
          <w:iCs/>
          <w:sz w:val="20"/>
          <w:szCs w:val="20"/>
          <w14:ligatures w14:val="standardContextual"/>
        </w:rPr>
        <w:t>as at 30 June 2024, 31 December 2023 and 30 June 2023</w:t>
      </w:r>
    </w:p>
    <w:tbl>
      <w:tblPr>
        <w:tblW w:w="0" w:type="auto"/>
        <w:tblLayout w:type="fixed"/>
        <w:tblCellMar>
          <w:left w:w="54" w:type="dxa"/>
          <w:right w:w="54" w:type="dxa"/>
        </w:tblCellMar>
        <w:tblLook w:val="0000" w:firstRow="0" w:lastRow="0" w:firstColumn="0" w:lastColumn="0" w:noHBand="0" w:noVBand="0"/>
      </w:tblPr>
      <w:tblGrid>
        <w:gridCol w:w="4536"/>
        <w:gridCol w:w="851"/>
        <w:gridCol w:w="1474"/>
        <w:gridCol w:w="1503"/>
        <w:gridCol w:w="1445"/>
      </w:tblGrid>
      <w:tr w:rsidR="00756913" w:rsidRPr="00756913" w14:paraId="65C0657D" w14:textId="77777777">
        <w:tblPrEx>
          <w:tblCellMar>
            <w:top w:w="0" w:type="dxa"/>
            <w:bottom w:w="0" w:type="dxa"/>
          </w:tblCellMar>
        </w:tblPrEx>
        <w:trPr>
          <w:trHeight w:val="280"/>
        </w:trPr>
        <w:tc>
          <w:tcPr>
            <w:tcW w:w="4536" w:type="dxa"/>
            <w:tcBorders>
              <w:top w:val="nil"/>
              <w:left w:val="nil"/>
              <w:bottom w:val="nil"/>
              <w:right w:val="nil"/>
            </w:tcBorders>
          </w:tcPr>
          <w:p w14:paraId="657897F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color w:val="FF0000"/>
                <w:sz w:val="18"/>
                <w:szCs w:val="18"/>
                <w14:ligatures w14:val="standardContextual"/>
              </w:rPr>
            </w:pPr>
          </w:p>
        </w:tc>
        <w:tc>
          <w:tcPr>
            <w:tcW w:w="851" w:type="dxa"/>
            <w:tcBorders>
              <w:top w:val="nil"/>
              <w:left w:val="nil"/>
              <w:bottom w:val="nil"/>
              <w:right w:val="nil"/>
            </w:tcBorders>
          </w:tcPr>
          <w:p w14:paraId="5E6A08A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right"/>
              <w:rPr>
                <w:rFonts w:ascii="Arial" w:hAnsi="Arial" w:cs="Arial"/>
                <w:i/>
                <w:iCs/>
                <w:color w:val="FF0000"/>
                <w:sz w:val="18"/>
                <w:szCs w:val="18"/>
                <w14:ligatures w14:val="standardContextual"/>
              </w:rPr>
            </w:pPr>
          </w:p>
        </w:tc>
        <w:tc>
          <w:tcPr>
            <w:tcW w:w="1474" w:type="dxa"/>
            <w:tcBorders>
              <w:top w:val="nil"/>
              <w:left w:val="nil"/>
              <w:bottom w:val="nil"/>
              <w:right w:val="nil"/>
            </w:tcBorders>
          </w:tcPr>
          <w:p w14:paraId="24DA3A5F"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1"/>
              <w:jc w:val="right"/>
              <w:rPr>
                <w:rFonts w:ascii="Arial" w:hAnsi="Arial" w:cs="Arial"/>
                <w:b/>
                <w:bCs/>
                <w:color w:val="FF0000"/>
                <w:sz w:val="18"/>
                <w:szCs w:val="18"/>
                <w14:ligatures w14:val="standardContextual"/>
              </w:rPr>
            </w:pPr>
          </w:p>
        </w:tc>
        <w:tc>
          <w:tcPr>
            <w:tcW w:w="1503" w:type="dxa"/>
            <w:tcBorders>
              <w:top w:val="nil"/>
              <w:left w:val="nil"/>
              <w:bottom w:val="nil"/>
              <w:right w:val="nil"/>
            </w:tcBorders>
          </w:tcPr>
          <w:p w14:paraId="62FE0A3A"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1"/>
              <w:jc w:val="right"/>
              <w:rPr>
                <w:rFonts w:ascii="Arial" w:hAnsi="Arial" w:cs="Arial"/>
                <w:b/>
                <w:bCs/>
                <w:color w:val="FF0000"/>
                <w:sz w:val="18"/>
                <w:szCs w:val="18"/>
                <w14:ligatures w14:val="standardContextual"/>
              </w:rPr>
            </w:pPr>
          </w:p>
        </w:tc>
        <w:tc>
          <w:tcPr>
            <w:tcW w:w="1445" w:type="dxa"/>
            <w:tcBorders>
              <w:top w:val="nil"/>
              <w:left w:val="nil"/>
              <w:bottom w:val="nil"/>
              <w:right w:val="nil"/>
            </w:tcBorders>
          </w:tcPr>
          <w:p w14:paraId="46DB4A5B"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1"/>
              <w:jc w:val="right"/>
              <w:rPr>
                <w:rFonts w:ascii="Arial" w:hAnsi="Arial" w:cs="Arial"/>
                <w:color w:val="FF0000"/>
                <w:sz w:val="18"/>
                <w:szCs w:val="18"/>
                <w14:ligatures w14:val="standardContextual"/>
              </w:rPr>
            </w:pPr>
          </w:p>
        </w:tc>
      </w:tr>
      <w:tr w:rsidR="00756913" w:rsidRPr="00756913" w14:paraId="5F5584D1" w14:textId="77777777">
        <w:tblPrEx>
          <w:tblCellMar>
            <w:top w:w="0" w:type="dxa"/>
            <w:bottom w:w="0" w:type="dxa"/>
          </w:tblCellMar>
        </w:tblPrEx>
        <w:trPr>
          <w:trHeight w:val="296"/>
        </w:trPr>
        <w:tc>
          <w:tcPr>
            <w:tcW w:w="4536" w:type="dxa"/>
            <w:tcBorders>
              <w:top w:val="nil"/>
              <w:left w:val="nil"/>
              <w:bottom w:val="nil"/>
              <w:right w:val="nil"/>
            </w:tcBorders>
          </w:tcPr>
          <w:p w14:paraId="210263D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color w:val="FF0000"/>
                <w:sz w:val="18"/>
                <w:szCs w:val="18"/>
                <w14:ligatures w14:val="standardContextual"/>
              </w:rPr>
            </w:pPr>
          </w:p>
        </w:tc>
        <w:tc>
          <w:tcPr>
            <w:tcW w:w="851" w:type="dxa"/>
            <w:tcBorders>
              <w:top w:val="nil"/>
              <w:left w:val="nil"/>
              <w:bottom w:val="nil"/>
              <w:right w:val="nil"/>
            </w:tcBorders>
            <w:vAlign w:val="center"/>
          </w:tcPr>
          <w:p w14:paraId="73BD43D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Note</w:t>
            </w:r>
          </w:p>
        </w:tc>
        <w:tc>
          <w:tcPr>
            <w:tcW w:w="1474" w:type="dxa"/>
            <w:tcBorders>
              <w:top w:val="nil"/>
              <w:left w:val="nil"/>
              <w:bottom w:val="nil"/>
              <w:right w:val="nil"/>
            </w:tcBorders>
            <w:vAlign w:val="center"/>
          </w:tcPr>
          <w:p w14:paraId="3EE057F0"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 xml:space="preserve">30 June </w:t>
            </w:r>
          </w:p>
          <w:p w14:paraId="3F9A5AF1"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2024</w:t>
            </w:r>
          </w:p>
        </w:tc>
        <w:tc>
          <w:tcPr>
            <w:tcW w:w="1503" w:type="dxa"/>
            <w:tcBorders>
              <w:top w:val="nil"/>
              <w:left w:val="nil"/>
              <w:bottom w:val="nil"/>
              <w:right w:val="nil"/>
            </w:tcBorders>
            <w:vAlign w:val="center"/>
          </w:tcPr>
          <w:p w14:paraId="1F9FB7B4"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31 December</w:t>
            </w:r>
          </w:p>
          <w:p w14:paraId="4D573A4C"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2023</w:t>
            </w:r>
          </w:p>
        </w:tc>
        <w:tc>
          <w:tcPr>
            <w:tcW w:w="1445" w:type="dxa"/>
            <w:tcBorders>
              <w:top w:val="nil"/>
              <w:left w:val="nil"/>
              <w:bottom w:val="nil"/>
              <w:right w:val="nil"/>
            </w:tcBorders>
            <w:vAlign w:val="center"/>
          </w:tcPr>
          <w:p w14:paraId="26646182"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 xml:space="preserve">30 June </w:t>
            </w:r>
          </w:p>
          <w:p w14:paraId="73FD8147"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2023</w:t>
            </w:r>
          </w:p>
        </w:tc>
      </w:tr>
      <w:tr w:rsidR="00756913" w:rsidRPr="00756913" w14:paraId="4AB60B75" w14:textId="77777777">
        <w:tblPrEx>
          <w:tblCellMar>
            <w:top w:w="0" w:type="dxa"/>
            <w:bottom w:w="0" w:type="dxa"/>
          </w:tblCellMar>
        </w:tblPrEx>
        <w:trPr>
          <w:trHeight w:val="280"/>
        </w:trPr>
        <w:tc>
          <w:tcPr>
            <w:tcW w:w="4536" w:type="dxa"/>
            <w:tcBorders>
              <w:top w:val="nil"/>
              <w:left w:val="nil"/>
              <w:bottom w:val="nil"/>
              <w:right w:val="nil"/>
            </w:tcBorders>
          </w:tcPr>
          <w:p w14:paraId="6ED521D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color w:val="FF0000"/>
                <w:sz w:val="18"/>
                <w:szCs w:val="18"/>
                <w14:ligatures w14:val="standardContextual"/>
              </w:rPr>
            </w:pPr>
          </w:p>
        </w:tc>
        <w:tc>
          <w:tcPr>
            <w:tcW w:w="851" w:type="dxa"/>
            <w:tcBorders>
              <w:top w:val="nil"/>
              <w:left w:val="nil"/>
              <w:bottom w:val="nil"/>
              <w:right w:val="nil"/>
            </w:tcBorders>
            <w:vAlign w:val="center"/>
          </w:tcPr>
          <w:p w14:paraId="0180F04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sz w:val="18"/>
                <w:szCs w:val="18"/>
                <w14:ligatures w14:val="standardContextual"/>
              </w:rPr>
            </w:pPr>
          </w:p>
        </w:tc>
        <w:tc>
          <w:tcPr>
            <w:tcW w:w="1474" w:type="dxa"/>
            <w:tcBorders>
              <w:top w:val="nil"/>
              <w:left w:val="nil"/>
              <w:bottom w:val="nil"/>
              <w:right w:val="nil"/>
            </w:tcBorders>
            <w:vAlign w:val="center"/>
          </w:tcPr>
          <w:p w14:paraId="4A8DC6DA"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503" w:type="dxa"/>
            <w:tcBorders>
              <w:top w:val="nil"/>
              <w:left w:val="nil"/>
              <w:bottom w:val="nil"/>
              <w:right w:val="nil"/>
            </w:tcBorders>
            <w:vAlign w:val="center"/>
          </w:tcPr>
          <w:p w14:paraId="3C127FD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445" w:type="dxa"/>
            <w:tcBorders>
              <w:top w:val="nil"/>
              <w:left w:val="nil"/>
              <w:bottom w:val="nil"/>
              <w:right w:val="nil"/>
            </w:tcBorders>
            <w:vAlign w:val="center"/>
          </w:tcPr>
          <w:p w14:paraId="2CBF874B"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r>
      <w:tr w:rsidR="00756913" w:rsidRPr="00756913" w14:paraId="7E418DBF" w14:textId="77777777">
        <w:tblPrEx>
          <w:tblCellMar>
            <w:top w:w="0" w:type="dxa"/>
            <w:bottom w:w="0" w:type="dxa"/>
          </w:tblCellMar>
        </w:tblPrEx>
        <w:trPr>
          <w:trHeight w:val="280"/>
        </w:trPr>
        <w:tc>
          <w:tcPr>
            <w:tcW w:w="4536" w:type="dxa"/>
            <w:tcBorders>
              <w:top w:val="nil"/>
              <w:left w:val="nil"/>
              <w:bottom w:val="nil"/>
              <w:right w:val="nil"/>
            </w:tcBorders>
            <w:vAlign w:val="center"/>
          </w:tcPr>
          <w:p w14:paraId="44E25EB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color w:val="FF0000"/>
                <w:sz w:val="18"/>
                <w:szCs w:val="18"/>
                <w14:ligatures w14:val="standardContextual"/>
              </w:rPr>
            </w:pPr>
          </w:p>
        </w:tc>
        <w:tc>
          <w:tcPr>
            <w:tcW w:w="851" w:type="dxa"/>
            <w:tcBorders>
              <w:top w:val="nil"/>
              <w:left w:val="nil"/>
              <w:bottom w:val="nil"/>
              <w:right w:val="nil"/>
            </w:tcBorders>
            <w:vAlign w:val="center"/>
          </w:tcPr>
          <w:p w14:paraId="3B58A32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nil"/>
              <w:left w:val="nil"/>
              <w:bottom w:val="nil"/>
              <w:right w:val="nil"/>
            </w:tcBorders>
            <w:vAlign w:val="center"/>
          </w:tcPr>
          <w:p w14:paraId="527878CB"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color w:val="FF0000"/>
                <w:sz w:val="18"/>
                <w:szCs w:val="18"/>
                <w14:ligatures w14:val="standardContextual"/>
              </w:rPr>
            </w:pPr>
          </w:p>
        </w:tc>
        <w:tc>
          <w:tcPr>
            <w:tcW w:w="1503" w:type="dxa"/>
            <w:tcBorders>
              <w:top w:val="nil"/>
              <w:left w:val="nil"/>
              <w:bottom w:val="nil"/>
              <w:right w:val="nil"/>
            </w:tcBorders>
            <w:vAlign w:val="center"/>
          </w:tcPr>
          <w:p w14:paraId="72BEEB3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c>
          <w:tcPr>
            <w:tcW w:w="1445" w:type="dxa"/>
            <w:tcBorders>
              <w:top w:val="nil"/>
              <w:left w:val="nil"/>
              <w:bottom w:val="nil"/>
              <w:right w:val="nil"/>
            </w:tcBorders>
            <w:vAlign w:val="center"/>
          </w:tcPr>
          <w:p w14:paraId="2152BDA1"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r>
      <w:tr w:rsidR="00756913" w:rsidRPr="00756913" w14:paraId="35809DA6" w14:textId="77777777">
        <w:tblPrEx>
          <w:tblCellMar>
            <w:top w:w="0" w:type="dxa"/>
            <w:bottom w:w="0" w:type="dxa"/>
          </w:tblCellMar>
        </w:tblPrEx>
        <w:trPr>
          <w:trHeight w:val="280"/>
        </w:trPr>
        <w:tc>
          <w:tcPr>
            <w:tcW w:w="4536" w:type="dxa"/>
            <w:tcBorders>
              <w:top w:val="nil"/>
              <w:left w:val="nil"/>
              <w:bottom w:val="nil"/>
              <w:right w:val="nil"/>
            </w:tcBorders>
            <w:vAlign w:val="center"/>
          </w:tcPr>
          <w:p w14:paraId="33E7C46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Assets</w:t>
            </w:r>
          </w:p>
        </w:tc>
        <w:tc>
          <w:tcPr>
            <w:tcW w:w="851" w:type="dxa"/>
            <w:tcBorders>
              <w:top w:val="nil"/>
              <w:left w:val="nil"/>
              <w:bottom w:val="nil"/>
              <w:right w:val="nil"/>
            </w:tcBorders>
            <w:vAlign w:val="center"/>
          </w:tcPr>
          <w:p w14:paraId="5D67AD7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sz w:val="18"/>
                <w:szCs w:val="18"/>
                <w14:ligatures w14:val="standardContextual"/>
              </w:rPr>
            </w:pPr>
          </w:p>
        </w:tc>
        <w:tc>
          <w:tcPr>
            <w:tcW w:w="1474" w:type="dxa"/>
            <w:tcBorders>
              <w:top w:val="nil"/>
              <w:left w:val="nil"/>
              <w:bottom w:val="nil"/>
              <w:right w:val="nil"/>
            </w:tcBorders>
            <w:vAlign w:val="center"/>
          </w:tcPr>
          <w:p w14:paraId="6D769195"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color w:val="FF0000"/>
                <w:sz w:val="18"/>
                <w:szCs w:val="18"/>
                <w14:ligatures w14:val="standardContextual"/>
              </w:rPr>
            </w:pPr>
          </w:p>
        </w:tc>
        <w:tc>
          <w:tcPr>
            <w:tcW w:w="1503" w:type="dxa"/>
            <w:tcBorders>
              <w:top w:val="nil"/>
              <w:left w:val="nil"/>
              <w:bottom w:val="nil"/>
              <w:right w:val="nil"/>
            </w:tcBorders>
            <w:vAlign w:val="center"/>
          </w:tcPr>
          <w:p w14:paraId="78BBFBC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c>
          <w:tcPr>
            <w:tcW w:w="1445" w:type="dxa"/>
            <w:tcBorders>
              <w:top w:val="nil"/>
              <w:left w:val="nil"/>
              <w:bottom w:val="nil"/>
              <w:right w:val="nil"/>
            </w:tcBorders>
            <w:vAlign w:val="center"/>
          </w:tcPr>
          <w:p w14:paraId="5EB73532"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r>
      <w:tr w:rsidR="00756913" w:rsidRPr="00756913" w14:paraId="7A3E52EB" w14:textId="77777777">
        <w:tblPrEx>
          <w:tblCellMar>
            <w:top w:w="0" w:type="dxa"/>
            <w:bottom w:w="0" w:type="dxa"/>
          </w:tblCellMar>
        </w:tblPrEx>
        <w:trPr>
          <w:trHeight w:val="296"/>
        </w:trPr>
        <w:tc>
          <w:tcPr>
            <w:tcW w:w="4536" w:type="dxa"/>
            <w:tcBorders>
              <w:top w:val="nil"/>
              <w:left w:val="nil"/>
              <w:bottom w:val="nil"/>
              <w:right w:val="nil"/>
            </w:tcBorders>
            <w:vAlign w:val="center"/>
          </w:tcPr>
          <w:p w14:paraId="222CC50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Non-current assets</w:t>
            </w:r>
          </w:p>
        </w:tc>
        <w:tc>
          <w:tcPr>
            <w:tcW w:w="851" w:type="dxa"/>
            <w:tcBorders>
              <w:top w:val="nil"/>
              <w:left w:val="nil"/>
              <w:bottom w:val="nil"/>
              <w:right w:val="nil"/>
            </w:tcBorders>
            <w:vAlign w:val="center"/>
          </w:tcPr>
          <w:p w14:paraId="2A8F10E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sz w:val="18"/>
                <w:szCs w:val="18"/>
                <w14:ligatures w14:val="standardContextual"/>
              </w:rPr>
            </w:pPr>
          </w:p>
        </w:tc>
        <w:tc>
          <w:tcPr>
            <w:tcW w:w="1474" w:type="dxa"/>
            <w:tcBorders>
              <w:top w:val="nil"/>
              <w:left w:val="nil"/>
              <w:bottom w:val="nil"/>
              <w:right w:val="nil"/>
            </w:tcBorders>
            <w:vAlign w:val="center"/>
          </w:tcPr>
          <w:p w14:paraId="4D876D31"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color w:val="FF0000"/>
                <w:sz w:val="18"/>
                <w:szCs w:val="18"/>
                <w14:ligatures w14:val="standardContextual"/>
              </w:rPr>
            </w:pPr>
          </w:p>
        </w:tc>
        <w:tc>
          <w:tcPr>
            <w:tcW w:w="1503" w:type="dxa"/>
            <w:tcBorders>
              <w:top w:val="nil"/>
              <w:left w:val="nil"/>
              <w:bottom w:val="nil"/>
              <w:right w:val="nil"/>
            </w:tcBorders>
            <w:vAlign w:val="center"/>
          </w:tcPr>
          <w:p w14:paraId="5F74C864"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c>
          <w:tcPr>
            <w:tcW w:w="1445" w:type="dxa"/>
            <w:tcBorders>
              <w:top w:val="nil"/>
              <w:left w:val="nil"/>
              <w:bottom w:val="nil"/>
              <w:right w:val="nil"/>
            </w:tcBorders>
            <w:vAlign w:val="center"/>
          </w:tcPr>
          <w:p w14:paraId="1E388B22"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r>
      <w:tr w:rsidR="00756913" w:rsidRPr="00756913" w14:paraId="02DB565F" w14:textId="77777777">
        <w:tblPrEx>
          <w:tblCellMar>
            <w:top w:w="0" w:type="dxa"/>
            <w:bottom w:w="0" w:type="dxa"/>
          </w:tblCellMar>
        </w:tblPrEx>
        <w:trPr>
          <w:trHeight w:val="280"/>
        </w:trPr>
        <w:tc>
          <w:tcPr>
            <w:tcW w:w="4536" w:type="dxa"/>
            <w:tcBorders>
              <w:top w:val="nil"/>
              <w:left w:val="nil"/>
              <w:bottom w:val="nil"/>
              <w:right w:val="nil"/>
            </w:tcBorders>
            <w:vAlign w:val="center"/>
          </w:tcPr>
          <w:p w14:paraId="43FFEAB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Property, plant and equipment</w:t>
            </w:r>
          </w:p>
        </w:tc>
        <w:tc>
          <w:tcPr>
            <w:tcW w:w="851" w:type="dxa"/>
            <w:tcBorders>
              <w:top w:val="nil"/>
              <w:left w:val="nil"/>
              <w:bottom w:val="nil"/>
              <w:right w:val="nil"/>
            </w:tcBorders>
            <w:vAlign w:val="center"/>
          </w:tcPr>
          <w:p w14:paraId="4BDC7DA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sz w:val="18"/>
                <w:szCs w:val="18"/>
                <w14:ligatures w14:val="standardContextual"/>
              </w:rPr>
            </w:pPr>
          </w:p>
        </w:tc>
        <w:tc>
          <w:tcPr>
            <w:tcW w:w="1474" w:type="dxa"/>
            <w:tcBorders>
              <w:top w:val="nil"/>
              <w:left w:val="nil"/>
              <w:bottom w:val="nil"/>
              <w:right w:val="nil"/>
            </w:tcBorders>
            <w:vAlign w:val="center"/>
          </w:tcPr>
          <w:p w14:paraId="64CDE761"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29.5</w:t>
            </w:r>
          </w:p>
        </w:tc>
        <w:tc>
          <w:tcPr>
            <w:tcW w:w="1503" w:type="dxa"/>
            <w:tcBorders>
              <w:top w:val="nil"/>
              <w:left w:val="nil"/>
              <w:bottom w:val="nil"/>
              <w:right w:val="nil"/>
            </w:tcBorders>
            <w:vAlign w:val="center"/>
          </w:tcPr>
          <w:p w14:paraId="4A32616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32.1</w:t>
            </w:r>
          </w:p>
        </w:tc>
        <w:tc>
          <w:tcPr>
            <w:tcW w:w="1445" w:type="dxa"/>
            <w:tcBorders>
              <w:top w:val="nil"/>
              <w:left w:val="nil"/>
              <w:bottom w:val="nil"/>
              <w:right w:val="nil"/>
            </w:tcBorders>
            <w:vAlign w:val="center"/>
          </w:tcPr>
          <w:p w14:paraId="09CFC593"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33.7</w:t>
            </w:r>
          </w:p>
        </w:tc>
      </w:tr>
      <w:tr w:rsidR="00756913" w:rsidRPr="00756913" w14:paraId="1CA68518" w14:textId="77777777">
        <w:tblPrEx>
          <w:tblCellMar>
            <w:top w:w="0" w:type="dxa"/>
            <w:bottom w:w="0" w:type="dxa"/>
          </w:tblCellMar>
        </w:tblPrEx>
        <w:trPr>
          <w:trHeight w:val="280"/>
        </w:trPr>
        <w:tc>
          <w:tcPr>
            <w:tcW w:w="4536" w:type="dxa"/>
            <w:tcBorders>
              <w:top w:val="nil"/>
              <w:left w:val="nil"/>
              <w:bottom w:val="nil"/>
              <w:right w:val="nil"/>
            </w:tcBorders>
            <w:vAlign w:val="center"/>
          </w:tcPr>
          <w:p w14:paraId="338D364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Intangible assets and goodwill</w:t>
            </w:r>
          </w:p>
        </w:tc>
        <w:tc>
          <w:tcPr>
            <w:tcW w:w="851" w:type="dxa"/>
            <w:tcBorders>
              <w:top w:val="nil"/>
              <w:left w:val="nil"/>
              <w:bottom w:val="nil"/>
              <w:right w:val="nil"/>
            </w:tcBorders>
            <w:vAlign w:val="center"/>
          </w:tcPr>
          <w:p w14:paraId="4B69263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7</w:t>
            </w:r>
          </w:p>
        </w:tc>
        <w:tc>
          <w:tcPr>
            <w:tcW w:w="1474" w:type="dxa"/>
            <w:tcBorders>
              <w:top w:val="nil"/>
              <w:left w:val="nil"/>
              <w:bottom w:val="nil"/>
              <w:right w:val="nil"/>
            </w:tcBorders>
          </w:tcPr>
          <w:p w14:paraId="1BEC7263"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255.4</w:t>
            </w:r>
          </w:p>
        </w:tc>
        <w:tc>
          <w:tcPr>
            <w:tcW w:w="1503" w:type="dxa"/>
            <w:tcBorders>
              <w:top w:val="nil"/>
              <w:left w:val="nil"/>
              <w:bottom w:val="nil"/>
              <w:right w:val="nil"/>
            </w:tcBorders>
            <w:vAlign w:val="center"/>
          </w:tcPr>
          <w:p w14:paraId="58ED085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260.3</w:t>
            </w:r>
          </w:p>
        </w:tc>
        <w:tc>
          <w:tcPr>
            <w:tcW w:w="1445" w:type="dxa"/>
            <w:tcBorders>
              <w:top w:val="nil"/>
              <w:left w:val="nil"/>
              <w:bottom w:val="nil"/>
              <w:right w:val="nil"/>
            </w:tcBorders>
          </w:tcPr>
          <w:p w14:paraId="186603A5"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275.6</w:t>
            </w:r>
          </w:p>
        </w:tc>
      </w:tr>
      <w:tr w:rsidR="00756913" w:rsidRPr="00756913" w14:paraId="26FEA816" w14:textId="77777777">
        <w:tblPrEx>
          <w:tblCellMar>
            <w:top w:w="0" w:type="dxa"/>
            <w:bottom w:w="0" w:type="dxa"/>
          </w:tblCellMar>
        </w:tblPrEx>
        <w:trPr>
          <w:trHeight w:val="296"/>
        </w:trPr>
        <w:tc>
          <w:tcPr>
            <w:tcW w:w="4536" w:type="dxa"/>
            <w:tcBorders>
              <w:top w:val="nil"/>
              <w:left w:val="nil"/>
              <w:bottom w:val="nil"/>
              <w:right w:val="nil"/>
            </w:tcBorders>
            <w:vAlign w:val="center"/>
          </w:tcPr>
          <w:p w14:paraId="3B4CAD6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Other investments</w:t>
            </w:r>
          </w:p>
        </w:tc>
        <w:tc>
          <w:tcPr>
            <w:tcW w:w="851" w:type="dxa"/>
            <w:tcBorders>
              <w:top w:val="nil"/>
              <w:left w:val="nil"/>
              <w:bottom w:val="nil"/>
              <w:right w:val="nil"/>
            </w:tcBorders>
            <w:vAlign w:val="center"/>
          </w:tcPr>
          <w:p w14:paraId="07A43CE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1474" w:type="dxa"/>
            <w:tcBorders>
              <w:top w:val="nil"/>
              <w:left w:val="nil"/>
              <w:bottom w:val="single" w:sz="4" w:space="0" w:color="auto"/>
              <w:right w:val="nil"/>
            </w:tcBorders>
          </w:tcPr>
          <w:p w14:paraId="42C13B84"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5.6</w:t>
            </w:r>
          </w:p>
        </w:tc>
        <w:tc>
          <w:tcPr>
            <w:tcW w:w="1503" w:type="dxa"/>
            <w:tcBorders>
              <w:top w:val="nil"/>
              <w:left w:val="nil"/>
              <w:bottom w:val="single" w:sz="4" w:space="0" w:color="auto"/>
              <w:right w:val="nil"/>
            </w:tcBorders>
            <w:vAlign w:val="center"/>
          </w:tcPr>
          <w:p w14:paraId="0A150961"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5.4</w:t>
            </w:r>
          </w:p>
        </w:tc>
        <w:tc>
          <w:tcPr>
            <w:tcW w:w="1445" w:type="dxa"/>
            <w:tcBorders>
              <w:top w:val="nil"/>
              <w:left w:val="nil"/>
              <w:bottom w:val="nil"/>
              <w:right w:val="nil"/>
            </w:tcBorders>
          </w:tcPr>
          <w:p w14:paraId="64157A3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5.5</w:t>
            </w:r>
          </w:p>
        </w:tc>
      </w:tr>
      <w:tr w:rsidR="00756913" w:rsidRPr="00756913" w14:paraId="0B1BBE1C" w14:textId="77777777">
        <w:tblPrEx>
          <w:tblCellMar>
            <w:top w:w="0" w:type="dxa"/>
            <w:bottom w:w="0" w:type="dxa"/>
          </w:tblCellMar>
        </w:tblPrEx>
        <w:trPr>
          <w:trHeight w:val="280"/>
        </w:trPr>
        <w:tc>
          <w:tcPr>
            <w:tcW w:w="4536" w:type="dxa"/>
            <w:tcBorders>
              <w:top w:val="nil"/>
              <w:left w:val="nil"/>
              <w:bottom w:val="nil"/>
              <w:right w:val="nil"/>
            </w:tcBorders>
            <w:vAlign w:val="center"/>
          </w:tcPr>
          <w:p w14:paraId="1283237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Total non-current assets</w:t>
            </w:r>
          </w:p>
        </w:tc>
        <w:tc>
          <w:tcPr>
            <w:tcW w:w="851" w:type="dxa"/>
            <w:tcBorders>
              <w:top w:val="nil"/>
              <w:left w:val="nil"/>
              <w:bottom w:val="nil"/>
              <w:right w:val="nil"/>
            </w:tcBorders>
            <w:vAlign w:val="center"/>
          </w:tcPr>
          <w:p w14:paraId="4BF567E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p>
        </w:tc>
        <w:tc>
          <w:tcPr>
            <w:tcW w:w="1474" w:type="dxa"/>
            <w:tcBorders>
              <w:top w:val="single" w:sz="4" w:space="0" w:color="auto"/>
              <w:left w:val="nil"/>
              <w:bottom w:val="single" w:sz="4" w:space="0" w:color="auto"/>
              <w:right w:val="nil"/>
            </w:tcBorders>
          </w:tcPr>
          <w:p w14:paraId="209FB534"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290.5</w:t>
            </w:r>
          </w:p>
        </w:tc>
        <w:tc>
          <w:tcPr>
            <w:tcW w:w="1503" w:type="dxa"/>
            <w:tcBorders>
              <w:top w:val="single" w:sz="4" w:space="0" w:color="auto"/>
              <w:left w:val="nil"/>
              <w:bottom w:val="single" w:sz="4" w:space="0" w:color="auto"/>
              <w:right w:val="nil"/>
            </w:tcBorders>
            <w:vAlign w:val="center"/>
          </w:tcPr>
          <w:p w14:paraId="29F74CC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297.8</w:t>
            </w:r>
          </w:p>
        </w:tc>
        <w:tc>
          <w:tcPr>
            <w:tcW w:w="1445" w:type="dxa"/>
            <w:tcBorders>
              <w:top w:val="single" w:sz="4" w:space="0" w:color="auto"/>
              <w:left w:val="nil"/>
              <w:bottom w:val="single" w:sz="4" w:space="0" w:color="auto"/>
              <w:right w:val="nil"/>
            </w:tcBorders>
          </w:tcPr>
          <w:p w14:paraId="0F4953AD"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314.8</w:t>
            </w:r>
          </w:p>
        </w:tc>
      </w:tr>
      <w:tr w:rsidR="00756913" w:rsidRPr="00756913" w14:paraId="50EA063E" w14:textId="77777777">
        <w:tblPrEx>
          <w:tblCellMar>
            <w:top w:w="0" w:type="dxa"/>
            <w:bottom w:w="0" w:type="dxa"/>
          </w:tblCellMar>
        </w:tblPrEx>
        <w:trPr>
          <w:trHeight w:val="186"/>
        </w:trPr>
        <w:tc>
          <w:tcPr>
            <w:tcW w:w="4536" w:type="dxa"/>
            <w:tcBorders>
              <w:top w:val="nil"/>
              <w:left w:val="nil"/>
              <w:bottom w:val="nil"/>
              <w:right w:val="nil"/>
            </w:tcBorders>
            <w:vAlign w:val="center"/>
          </w:tcPr>
          <w:p w14:paraId="4258FCB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851" w:type="dxa"/>
            <w:tcBorders>
              <w:top w:val="nil"/>
              <w:left w:val="nil"/>
              <w:bottom w:val="nil"/>
              <w:right w:val="nil"/>
            </w:tcBorders>
            <w:vAlign w:val="center"/>
          </w:tcPr>
          <w:p w14:paraId="6AE4737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single" w:sz="4" w:space="0" w:color="auto"/>
              <w:left w:val="nil"/>
              <w:bottom w:val="nil"/>
              <w:right w:val="nil"/>
            </w:tcBorders>
            <w:vAlign w:val="center"/>
          </w:tcPr>
          <w:p w14:paraId="592F6F4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color w:val="FF0000"/>
                <w:sz w:val="18"/>
                <w:szCs w:val="18"/>
                <w14:ligatures w14:val="standardContextual"/>
              </w:rPr>
            </w:pPr>
          </w:p>
        </w:tc>
        <w:tc>
          <w:tcPr>
            <w:tcW w:w="1503" w:type="dxa"/>
            <w:tcBorders>
              <w:top w:val="single" w:sz="4" w:space="0" w:color="auto"/>
              <w:left w:val="nil"/>
              <w:bottom w:val="nil"/>
              <w:right w:val="nil"/>
            </w:tcBorders>
            <w:vAlign w:val="center"/>
          </w:tcPr>
          <w:p w14:paraId="0BCCF427"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c>
          <w:tcPr>
            <w:tcW w:w="1445" w:type="dxa"/>
            <w:tcBorders>
              <w:top w:val="single" w:sz="4" w:space="0" w:color="auto"/>
              <w:left w:val="nil"/>
              <w:bottom w:val="nil"/>
              <w:right w:val="nil"/>
            </w:tcBorders>
            <w:vAlign w:val="center"/>
          </w:tcPr>
          <w:p w14:paraId="50BF2B3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r>
      <w:tr w:rsidR="00756913" w:rsidRPr="00756913" w14:paraId="6C36267A" w14:textId="77777777">
        <w:tblPrEx>
          <w:tblCellMar>
            <w:top w:w="0" w:type="dxa"/>
            <w:bottom w:w="0" w:type="dxa"/>
          </w:tblCellMar>
        </w:tblPrEx>
        <w:trPr>
          <w:trHeight w:val="249"/>
        </w:trPr>
        <w:tc>
          <w:tcPr>
            <w:tcW w:w="4536" w:type="dxa"/>
            <w:tcBorders>
              <w:top w:val="nil"/>
              <w:left w:val="nil"/>
              <w:bottom w:val="nil"/>
              <w:right w:val="nil"/>
            </w:tcBorders>
            <w:vAlign w:val="center"/>
          </w:tcPr>
          <w:p w14:paraId="3CFE5EE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Current assets</w:t>
            </w:r>
          </w:p>
        </w:tc>
        <w:tc>
          <w:tcPr>
            <w:tcW w:w="851" w:type="dxa"/>
            <w:tcBorders>
              <w:top w:val="nil"/>
              <w:left w:val="nil"/>
              <w:bottom w:val="nil"/>
              <w:right w:val="nil"/>
            </w:tcBorders>
            <w:vAlign w:val="center"/>
          </w:tcPr>
          <w:p w14:paraId="058A95D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nil"/>
              <w:left w:val="nil"/>
              <w:bottom w:val="nil"/>
              <w:right w:val="nil"/>
            </w:tcBorders>
            <w:vAlign w:val="center"/>
          </w:tcPr>
          <w:p w14:paraId="30A3F4A3"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color w:val="FF0000"/>
                <w:sz w:val="18"/>
                <w:szCs w:val="18"/>
                <w14:ligatures w14:val="standardContextual"/>
              </w:rPr>
            </w:pPr>
          </w:p>
        </w:tc>
        <w:tc>
          <w:tcPr>
            <w:tcW w:w="1503" w:type="dxa"/>
            <w:tcBorders>
              <w:top w:val="nil"/>
              <w:left w:val="nil"/>
              <w:bottom w:val="nil"/>
              <w:right w:val="nil"/>
            </w:tcBorders>
            <w:vAlign w:val="center"/>
          </w:tcPr>
          <w:p w14:paraId="1CECD14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c>
          <w:tcPr>
            <w:tcW w:w="1445" w:type="dxa"/>
            <w:tcBorders>
              <w:top w:val="nil"/>
              <w:left w:val="nil"/>
              <w:bottom w:val="nil"/>
              <w:right w:val="nil"/>
            </w:tcBorders>
            <w:vAlign w:val="center"/>
          </w:tcPr>
          <w:p w14:paraId="4425763F"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r>
      <w:tr w:rsidR="00756913" w:rsidRPr="00756913" w14:paraId="35B3EDFB" w14:textId="77777777">
        <w:tblPrEx>
          <w:tblCellMar>
            <w:top w:w="0" w:type="dxa"/>
            <w:bottom w:w="0" w:type="dxa"/>
          </w:tblCellMar>
        </w:tblPrEx>
        <w:trPr>
          <w:trHeight w:val="280"/>
        </w:trPr>
        <w:tc>
          <w:tcPr>
            <w:tcW w:w="4536" w:type="dxa"/>
            <w:tcBorders>
              <w:top w:val="nil"/>
              <w:left w:val="nil"/>
              <w:bottom w:val="nil"/>
              <w:right w:val="nil"/>
            </w:tcBorders>
            <w:vAlign w:val="center"/>
          </w:tcPr>
          <w:p w14:paraId="746EFD1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Trade and other receivables</w:t>
            </w:r>
          </w:p>
        </w:tc>
        <w:tc>
          <w:tcPr>
            <w:tcW w:w="851" w:type="dxa"/>
            <w:tcBorders>
              <w:top w:val="nil"/>
              <w:left w:val="nil"/>
              <w:bottom w:val="nil"/>
              <w:right w:val="nil"/>
            </w:tcBorders>
            <w:vAlign w:val="center"/>
          </w:tcPr>
          <w:p w14:paraId="60F1703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i/>
                <w:iCs/>
                <w:color w:val="FF0000"/>
                <w:sz w:val="18"/>
                <w:szCs w:val="18"/>
                <w14:ligatures w14:val="standardContextual"/>
              </w:rPr>
            </w:pPr>
          </w:p>
        </w:tc>
        <w:tc>
          <w:tcPr>
            <w:tcW w:w="1474" w:type="dxa"/>
            <w:tcBorders>
              <w:top w:val="nil"/>
              <w:left w:val="nil"/>
              <w:bottom w:val="nil"/>
              <w:right w:val="nil"/>
            </w:tcBorders>
          </w:tcPr>
          <w:p w14:paraId="2969F13A"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82.7</w:t>
            </w:r>
          </w:p>
        </w:tc>
        <w:tc>
          <w:tcPr>
            <w:tcW w:w="1503" w:type="dxa"/>
            <w:tcBorders>
              <w:top w:val="nil"/>
              <w:left w:val="nil"/>
              <w:bottom w:val="nil"/>
              <w:right w:val="nil"/>
            </w:tcBorders>
            <w:vAlign w:val="center"/>
          </w:tcPr>
          <w:p w14:paraId="6058075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79.3</w:t>
            </w:r>
          </w:p>
        </w:tc>
        <w:tc>
          <w:tcPr>
            <w:tcW w:w="1445" w:type="dxa"/>
            <w:tcBorders>
              <w:top w:val="nil"/>
              <w:left w:val="nil"/>
              <w:bottom w:val="nil"/>
              <w:right w:val="nil"/>
            </w:tcBorders>
          </w:tcPr>
          <w:p w14:paraId="2C1ED3E6"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82.2</w:t>
            </w:r>
          </w:p>
        </w:tc>
      </w:tr>
      <w:tr w:rsidR="00756913" w:rsidRPr="00756913" w14:paraId="586D04B7" w14:textId="77777777">
        <w:tblPrEx>
          <w:tblCellMar>
            <w:top w:w="0" w:type="dxa"/>
            <w:bottom w:w="0" w:type="dxa"/>
          </w:tblCellMar>
        </w:tblPrEx>
        <w:trPr>
          <w:trHeight w:val="296"/>
        </w:trPr>
        <w:tc>
          <w:tcPr>
            <w:tcW w:w="4536" w:type="dxa"/>
            <w:tcBorders>
              <w:top w:val="nil"/>
              <w:left w:val="nil"/>
              <w:bottom w:val="nil"/>
              <w:right w:val="nil"/>
            </w:tcBorders>
            <w:vAlign w:val="center"/>
          </w:tcPr>
          <w:p w14:paraId="52BD7E5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Prepayments</w:t>
            </w:r>
          </w:p>
        </w:tc>
        <w:tc>
          <w:tcPr>
            <w:tcW w:w="851" w:type="dxa"/>
            <w:tcBorders>
              <w:top w:val="nil"/>
              <w:left w:val="nil"/>
              <w:bottom w:val="nil"/>
              <w:right w:val="nil"/>
            </w:tcBorders>
            <w:vAlign w:val="center"/>
          </w:tcPr>
          <w:p w14:paraId="4AA4A65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sz w:val="18"/>
                <w:szCs w:val="18"/>
                <w14:ligatures w14:val="standardContextual"/>
              </w:rPr>
            </w:pPr>
          </w:p>
        </w:tc>
        <w:tc>
          <w:tcPr>
            <w:tcW w:w="1474" w:type="dxa"/>
            <w:tcBorders>
              <w:top w:val="nil"/>
              <w:left w:val="nil"/>
              <w:bottom w:val="nil"/>
              <w:right w:val="nil"/>
            </w:tcBorders>
          </w:tcPr>
          <w:p w14:paraId="298F7164"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11.9</w:t>
            </w:r>
          </w:p>
        </w:tc>
        <w:tc>
          <w:tcPr>
            <w:tcW w:w="1503" w:type="dxa"/>
            <w:tcBorders>
              <w:top w:val="nil"/>
              <w:left w:val="nil"/>
              <w:bottom w:val="nil"/>
              <w:right w:val="nil"/>
            </w:tcBorders>
            <w:vAlign w:val="center"/>
          </w:tcPr>
          <w:p w14:paraId="7EFDCBDC"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10.1</w:t>
            </w:r>
          </w:p>
        </w:tc>
        <w:tc>
          <w:tcPr>
            <w:tcW w:w="1445" w:type="dxa"/>
            <w:tcBorders>
              <w:top w:val="nil"/>
              <w:left w:val="nil"/>
              <w:bottom w:val="nil"/>
              <w:right w:val="nil"/>
            </w:tcBorders>
          </w:tcPr>
          <w:p w14:paraId="6982C283"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9.7</w:t>
            </w:r>
          </w:p>
        </w:tc>
      </w:tr>
      <w:tr w:rsidR="00756913" w:rsidRPr="00756913" w14:paraId="148F7F80" w14:textId="77777777">
        <w:tblPrEx>
          <w:tblCellMar>
            <w:top w:w="0" w:type="dxa"/>
            <w:bottom w:w="0" w:type="dxa"/>
          </w:tblCellMar>
        </w:tblPrEx>
        <w:trPr>
          <w:trHeight w:val="280"/>
        </w:trPr>
        <w:tc>
          <w:tcPr>
            <w:tcW w:w="4536" w:type="dxa"/>
            <w:tcBorders>
              <w:top w:val="nil"/>
              <w:left w:val="nil"/>
              <w:bottom w:val="nil"/>
              <w:right w:val="nil"/>
            </w:tcBorders>
            <w:vAlign w:val="center"/>
          </w:tcPr>
          <w:p w14:paraId="695AB44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Current tax assets</w:t>
            </w:r>
          </w:p>
        </w:tc>
        <w:tc>
          <w:tcPr>
            <w:tcW w:w="851" w:type="dxa"/>
            <w:tcBorders>
              <w:top w:val="nil"/>
              <w:left w:val="nil"/>
              <w:bottom w:val="nil"/>
              <w:right w:val="nil"/>
            </w:tcBorders>
            <w:vAlign w:val="center"/>
          </w:tcPr>
          <w:p w14:paraId="57C1D7E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sz w:val="18"/>
                <w:szCs w:val="18"/>
                <w14:ligatures w14:val="standardContextual"/>
              </w:rPr>
            </w:pPr>
          </w:p>
        </w:tc>
        <w:tc>
          <w:tcPr>
            <w:tcW w:w="1474" w:type="dxa"/>
            <w:tcBorders>
              <w:top w:val="nil"/>
              <w:left w:val="nil"/>
              <w:bottom w:val="nil"/>
              <w:right w:val="nil"/>
            </w:tcBorders>
          </w:tcPr>
          <w:p w14:paraId="4285E01D"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2.8</w:t>
            </w:r>
          </w:p>
        </w:tc>
        <w:tc>
          <w:tcPr>
            <w:tcW w:w="1503" w:type="dxa"/>
            <w:tcBorders>
              <w:top w:val="nil"/>
              <w:left w:val="nil"/>
              <w:bottom w:val="nil"/>
              <w:right w:val="nil"/>
            </w:tcBorders>
            <w:vAlign w:val="center"/>
          </w:tcPr>
          <w:p w14:paraId="24F38EC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1.3</w:t>
            </w:r>
          </w:p>
        </w:tc>
        <w:tc>
          <w:tcPr>
            <w:tcW w:w="1445" w:type="dxa"/>
            <w:tcBorders>
              <w:top w:val="nil"/>
              <w:left w:val="nil"/>
              <w:bottom w:val="nil"/>
              <w:right w:val="nil"/>
            </w:tcBorders>
          </w:tcPr>
          <w:p w14:paraId="2EB944C2"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r>
      <w:tr w:rsidR="00756913" w:rsidRPr="00756913" w14:paraId="20AFBC81" w14:textId="77777777">
        <w:tblPrEx>
          <w:tblCellMar>
            <w:top w:w="0" w:type="dxa"/>
            <w:bottom w:w="0" w:type="dxa"/>
          </w:tblCellMar>
        </w:tblPrEx>
        <w:trPr>
          <w:trHeight w:val="280"/>
        </w:trPr>
        <w:tc>
          <w:tcPr>
            <w:tcW w:w="4536" w:type="dxa"/>
            <w:tcBorders>
              <w:top w:val="nil"/>
              <w:left w:val="nil"/>
              <w:bottom w:val="nil"/>
              <w:right w:val="nil"/>
            </w:tcBorders>
            <w:vAlign w:val="center"/>
          </w:tcPr>
          <w:p w14:paraId="601B0DB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Cash and cash equivalents</w:t>
            </w:r>
          </w:p>
        </w:tc>
        <w:tc>
          <w:tcPr>
            <w:tcW w:w="851" w:type="dxa"/>
            <w:tcBorders>
              <w:top w:val="nil"/>
              <w:left w:val="nil"/>
              <w:bottom w:val="nil"/>
              <w:right w:val="nil"/>
            </w:tcBorders>
            <w:vAlign w:val="center"/>
          </w:tcPr>
          <w:p w14:paraId="08EB0D5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sz w:val="18"/>
                <w:szCs w:val="18"/>
                <w14:ligatures w14:val="standardContextual"/>
              </w:rPr>
            </w:pPr>
          </w:p>
        </w:tc>
        <w:tc>
          <w:tcPr>
            <w:tcW w:w="1474" w:type="dxa"/>
            <w:tcBorders>
              <w:top w:val="nil"/>
              <w:left w:val="nil"/>
              <w:bottom w:val="single" w:sz="4" w:space="0" w:color="auto"/>
              <w:right w:val="nil"/>
            </w:tcBorders>
          </w:tcPr>
          <w:p w14:paraId="3C6C6C5F"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24.9</w:t>
            </w:r>
          </w:p>
        </w:tc>
        <w:tc>
          <w:tcPr>
            <w:tcW w:w="1503" w:type="dxa"/>
            <w:tcBorders>
              <w:top w:val="nil"/>
              <w:left w:val="nil"/>
              <w:bottom w:val="nil"/>
              <w:right w:val="nil"/>
            </w:tcBorders>
            <w:vAlign w:val="center"/>
          </w:tcPr>
          <w:p w14:paraId="26864C35"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16.6</w:t>
            </w:r>
          </w:p>
        </w:tc>
        <w:tc>
          <w:tcPr>
            <w:tcW w:w="1445" w:type="dxa"/>
            <w:tcBorders>
              <w:top w:val="nil"/>
              <w:left w:val="nil"/>
              <w:bottom w:val="nil"/>
              <w:right w:val="nil"/>
            </w:tcBorders>
          </w:tcPr>
          <w:p w14:paraId="092662FA"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20.2</w:t>
            </w:r>
          </w:p>
        </w:tc>
      </w:tr>
      <w:tr w:rsidR="00756913" w:rsidRPr="00756913" w14:paraId="3788E39B" w14:textId="77777777">
        <w:tblPrEx>
          <w:tblCellMar>
            <w:top w:w="0" w:type="dxa"/>
            <w:bottom w:w="0" w:type="dxa"/>
          </w:tblCellMar>
        </w:tblPrEx>
        <w:trPr>
          <w:trHeight w:val="280"/>
        </w:trPr>
        <w:tc>
          <w:tcPr>
            <w:tcW w:w="4536" w:type="dxa"/>
            <w:tcBorders>
              <w:top w:val="nil"/>
              <w:left w:val="nil"/>
              <w:bottom w:val="nil"/>
              <w:right w:val="nil"/>
            </w:tcBorders>
            <w:vAlign w:val="center"/>
          </w:tcPr>
          <w:p w14:paraId="10DF76B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Total current assets</w:t>
            </w:r>
          </w:p>
        </w:tc>
        <w:tc>
          <w:tcPr>
            <w:tcW w:w="851" w:type="dxa"/>
            <w:tcBorders>
              <w:top w:val="nil"/>
              <w:left w:val="nil"/>
              <w:bottom w:val="nil"/>
              <w:right w:val="nil"/>
            </w:tcBorders>
            <w:vAlign w:val="center"/>
          </w:tcPr>
          <w:p w14:paraId="67DAC3E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single" w:sz="4" w:space="0" w:color="auto"/>
              <w:left w:val="nil"/>
              <w:bottom w:val="single" w:sz="4" w:space="0" w:color="auto"/>
              <w:right w:val="nil"/>
            </w:tcBorders>
          </w:tcPr>
          <w:p w14:paraId="4E9ADBFF"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122.3</w:t>
            </w:r>
          </w:p>
        </w:tc>
        <w:tc>
          <w:tcPr>
            <w:tcW w:w="1503" w:type="dxa"/>
            <w:tcBorders>
              <w:top w:val="single" w:sz="4" w:space="0" w:color="auto"/>
              <w:left w:val="nil"/>
              <w:bottom w:val="single" w:sz="4" w:space="0" w:color="auto"/>
              <w:right w:val="nil"/>
            </w:tcBorders>
            <w:vAlign w:val="center"/>
          </w:tcPr>
          <w:p w14:paraId="25F6A65F"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107.3</w:t>
            </w:r>
          </w:p>
        </w:tc>
        <w:tc>
          <w:tcPr>
            <w:tcW w:w="1445" w:type="dxa"/>
            <w:tcBorders>
              <w:top w:val="single" w:sz="4" w:space="0" w:color="auto"/>
              <w:left w:val="nil"/>
              <w:bottom w:val="nil"/>
              <w:right w:val="nil"/>
            </w:tcBorders>
          </w:tcPr>
          <w:p w14:paraId="0259511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112.5</w:t>
            </w:r>
          </w:p>
        </w:tc>
      </w:tr>
      <w:tr w:rsidR="00756913" w:rsidRPr="00756913" w14:paraId="5062DBD5" w14:textId="77777777">
        <w:tblPrEx>
          <w:tblCellMar>
            <w:top w:w="0" w:type="dxa"/>
            <w:bottom w:w="0" w:type="dxa"/>
          </w:tblCellMar>
        </w:tblPrEx>
        <w:trPr>
          <w:trHeight w:val="280"/>
        </w:trPr>
        <w:tc>
          <w:tcPr>
            <w:tcW w:w="4536" w:type="dxa"/>
            <w:tcBorders>
              <w:top w:val="nil"/>
              <w:left w:val="nil"/>
              <w:bottom w:val="nil"/>
              <w:right w:val="nil"/>
            </w:tcBorders>
            <w:vAlign w:val="center"/>
          </w:tcPr>
          <w:p w14:paraId="19907BA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Total assets</w:t>
            </w:r>
          </w:p>
        </w:tc>
        <w:tc>
          <w:tcPr>
            <w:tcW w:w="851" w:type="dxa"/>
            <w:tcBorders>
              <w:top w:val="nil"/>
              <w:left w:val="nil"/>
              <w:bottom w:val="nil"/>
              <w:right w:val="nil"/>
            </w:tcBorders>
            <w:vAlign w:val="center"/>
          </w:tcPr>
          <w:p w14:paraId="56E4144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single" w:sz="4" w:space="0" w:color="auto"/>
              <w:left w:val="nil"/>
              <w:bottom w:val="single" w:sz="4" w:space="0" w:color="auto"/>
              <w:right w:val="nil"/>
            </w:tcBorders>
          </w:tcPr>
          <w:p w14:paraId="06E9B4A5"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412.8</w:t>
            </w:r>
          </w:p>
        </w:tc>
        <w:tc>
          <w:tcPr>
            <w:tcW w:w="1503" w:type="dxa"/>
            <w:tcBorders>
              <w:top w:val="single" w:sz="4" w:space="0" w:color="auto"/>
              <w:left w:val="nil"/>
              <w:bottom w:val="single" w:sz="4" w:space="0" w:color="auto"/>
              <w:right w:val="nil"/>
            </w:tcBorders>
            <w:vAlign w:val="center"/>
          </w:tcPr>
          <w:p w14:paraId="4EC3C5CD"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405.1</w:t>
            </w:r>
          </w:p>
        </w:tc>
        <w:tc>
          <w:tcPr>
            <w:tcW w:w="1445" w:type="dxa"/>
            <w:tcBorders>
              <w:top w:val="single" w:sz="4" w:space="0" w:color="auto"/>
              <w:left w:val="nil"/>
              <w:bottom w:val="single" w:sz="4" w:space="0" w:color="auto"/>
              <w:right w:val="nil"/>
            </w:tcBorders>
          </w:tcPr>
          <w:p w14:paraId="47883B97"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427.3</w:t>
            </w:r>
          </w:p>
        </w:tc>
      </w:tr>
      <w:tr w:rsidR="00756913" w:rsidRPr="00756913" w14:paraId="32D79E0F" w14:textId="77777777">
        <w:tblPrEx>
          <w:tblCellMar>
            <w:top w:w="0" w:type="dxa"/>
            <w:bottom w:w="0" w:type="dxa"/>
          </w:tblCellMar>
        </w:tblPrEx>
        <w:trPr>
          <w:trHeight w:val="124"/>
        </w:trPr>
        <w:tc>
          <w:tcPr>
            <w:tcW w:w="4536" w:type="dxa"/>
            <w:tcBorders>
              <w:top w:val="nil"/>
              <w:left w:val="nil"/>
              <w:bottom w:val="nil"/>
              <w:right w:val="nil"/>
            </w:tcBorders>
            <w:vAlign w:val="center"/>
          </w:tcPr>
          <w:p w14:paraId="7B985B42" w14:textId="77777777" w:rsidR="00756913" w:rsidRPr="00756913" w:rsidRDefault="00756913" w:rsidP="00756913">
            <w:pPr>
              <w:autoSpaceDE w:val="0"/>
              <w:autoSpaceDN w:val="0"/>
              <w:adjustRightInd w:val="0"/>
              <w:spacing w:after="0" w:line="240" w:lineRule="auto"/>
              <w:rPr>
                <w:rFonts w:ascii="Arial" w:hAnsi="Arial" w:cs="Arial"/>
                <w:b/>
                <w:bCs/>
                <w:sz w:val="18"/>
                <w:szCs w:val="18"/>
                <w14:ligatures w14:val="standardContextual"/>
              </w:rPr>
            </w:pPr>
          </w:p>
        </w:tc>
        <w:tc>
          <w:tcPr>
            <w:tcW w:w="851" w:type="dxa"/>
            <w:tcBorders>
              <w:top w:val="nil"/>
              <w:left w:val="nil"/>
              <w:bottom w:val="nil"/>
              <w:right w:val="nil"/>
            </w:tcBorders>
            <w:vAlign w:val="center"/>
          </w:tcPr>
          <w:p w14:paraId="1EF1EDDC" w14:textId="77777777" w:rsidR="00756913" w:rsidRPr="00756913" w:rsidRDefault="00756913" w:rsidP="00756913">
            <w:pPr>
              <w:tabs>
                <w:tab w:val="decimal" w:pos="1015"/>
              </w:tabs>
              <w:autoSpaceDE w:val="0"/>
              <w:autoSpaceDN w:val="0"/>
              <w:adjustRightInd w:val="0"/>
              <w:spacing w:after="0" w:line="240" w:lineRule="auto"/>
              <w:ind w:right="142"/>
              <w:jc w:val="center"/>
              <w:rPr>
                <w:rFonts w:ascii="Arial" w:hAnsi="Arial" w:cs="Arial"/>
                <w:i/>
                <w:iCs/>
                <w:color w:val="FF0000"/>
                <w:sz w:val="18"/>
                <w:szCs w:val="18"/>
                <w14:ligatures w14:val="standardContextual"/>
              </w:rPr>
            </w:pPr>
          </w:p>
        </w:tc>
        <w:tc>
          <w:tcPr>
            <w:tcW w:w="1474" w:type="dxa"/>
            <w:tcBorders>
              <w:top w:val="single" w:sz="4" w:space="0" w:color="auto"/>
              <w:left w:val="nil"/>
              <w:bottom w:val="nil"/>
              <w:right w:val="nil"/>
            </w:tcBorders>
            <w:vAlign w:val="center"/>
          </w:tcPr>
          <w:p w14:paraId="423EE691" w14:textId="77777777" w:rsidR="00756913" w:rsidRPr="00756913" w:rsidRDefault="00756913" w:rsidP="00756913">
            <w:pPr>
              <w:tabs>
                <w:tab w:val="decimal" w:pos="990"/>
                <w:tab w:val="left" w:pos="1530"/>
              </w:tabs>
              <w:autoSpaceDE w:val="0"/>
              <w:autoSpaceDN w:val="0"/>
              <w:adjustRightInd w:val="0"/>
              <w:spacing w:after="0" w:line="240" w:lineRule="auto"/>
              <w:ind w:right="144"/>
              <w:jc w:val="right"/>
              <w:rPr>
                <w:rFonts w:ascii="Arial" w:hAnsi="Arial" w:cs="Arial"/>
                <w:b/>
                <w:bCs/>
                <w:sz w:val="18"/>
                <w:szCs w:val="18"/>
                <w14:ligatures w14:val="standardContextual"/>
              </w:rPr>
            </w:pPr>
          </w:p>
        </w:tc>
        <w:tc>
          <w:tcPr>
            <w:tcW w:w="1503" w:type="dxa"/>
            <w:tcBorders>
              <w:top w:val="single" w:sz="4" w:space="0" w:color="auto"/>
              <w:left w:val="nil"/>
              <w:bottom w:val="nil"/>
              <w:right w:val="nil"/>
            </w:tcBorders>
            <w:vAlign w:val="center"/>
          </w:tcPr>
          <w:p w14:paraId="022013C2" w14:textId="77777777" w:rsidR="00756913" w:rsidRPr="00756913" w:rsidRDefault="00756913" w:rsidP="00756913">
            <w:pPr>
              <w:tabs>
                <w:tab w:val="decimal" w:pos="990"/>
                <w:tab w:val="left" w:pos="1530"/>
              </w:tabs>
              <w:autoSpaceDE w:val="0"/>
              <w:autoSpaceDN w:val="0"/>
              <w:adjustRightInd w:val="0"/>
              <w:spacing w:after="0" w:line="240" w:lineRule="auto"/>
              <w:ind w:right="144"/>
              <w:jc w:val="right"/>
              <w:rPr>
                <w:rFonts w:ascii="Arial" w:hAnsi="Arial" w:cs="Arial"/>
                <w:sz w:val="18"/>
                <w:szCs w:val="18"/>
                <w14:ligatures w14:val="standardContextual"/>
              </w:rPr>
            </w:pPr>
          </w:p>
        </w:tc>
        <w:tc>
          <w:tcPr>
            <w:tcW w:w="1445" w:type="dxa"/>
            <w:tcBorders>
              <w:top w:val="single" w:sz="4" w:space="0" w:color="auto"/>
              <w:left w:val="nil"/>
              <w:bottom w:val="nil"/>
              <w:right w:val="nil"/>
            </w:tcBorders>
            <w:vAlign w:val="center"/>
          </w:tcPr>
          <w:p w14:paraId="23A2AD1B" w14:textId="77777777" w:rsidR="00756913" w:rsidRPr="00756913" w:rsidRDefault="00756913" w:rsidP="00756913">
            <w:pPr>
              <w:tabs>
                <w:tab w:val="decimal" w:pos="990"/>
                <w:tab w:val="left" w:pos="1530"/>
              </w:tabs>
              <w:autoSpaceDE w:val="0"/>
              <w:autoSpaceDN w:val="0"/>
              <w:adjustRightInd w:val="0"/>
              <w:spacing w:after="0" w:line="240" w:lineRule="auto"/>
              <w:ind w:right="144"/>
              <w:jc w:val="right"/>
              <w:rPr>
                <w:rFonts w:ascii="Arial" w:hAnsi="Arial" w:cs="Arial"/>
                <w:sz w:val="18"/>
                <w:szCs w:val="18"/>
                <w14:ligatures w14:val="standardContextual"/>
              </w:rPr>
            </w:pPr>
          </w:p>
        </w:tc>
      </w:tr>
      <w:tr w:rsidR="00756913" w:rsidRPr="00756913" w14:paraId="706C1F6A" w14:textId="77777777">
        <w:tblPrEx>
          <w:tblCellMar>
            <w:top w:w="0" w:type="dxa"/>
            <w:bottom w:w="0" w:type="dxa"/>
          </w:tblCellMar>
        </w:tblPrEx>
        <w:trPr>
          <w:trHeight w:val="124"/>
        </w:trPr>
        <w:tc>
          <w:tcPr>
            <w:tcW w:w="4536" w:type="dxa"/>
            <w:tcBorders>
              <w:top w:val="nil"/>
              <w:left w:val="nil"/>
              <w:bottom w:val="nil"/>
              <w:right w:val="nil"/>
            </w:tcBorders>
            <w:vAlign w:val="center"/>
          </w:tcPr>
          <w:p w14:paraId="14D7673D" w14:textId="77777777" w:rsidR="00756913" w:rsidRPr="00756913" w:rsidRDefault="00756913" w:rsidP="00756913">
            <w:pPr>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Liabilities</w:t>
            </w:r>
          </w:p>
        </w:tc>
        <w:tc>
          <w:tcPr>
            <w:tcW w:w="851" w:type="dxa"/>
            <w:tcBorders>
              <w:top w:val="nil"/>
              <w:left w:val="nil"/>
              <w:bottom w:val="nil"/>
              <w:right w:val="nil"/>
            </w:tcBorders>
            <w:vAlign w:val="center"/>
          </w:tcPr>
          <w:p w14:paraId="26A05512" w14:textId="77777777" w:rsidR="00756913" w:rsidRPr="00756913" w:rsidRDefault="00756913" w:rsidP="00756913">
            <w:pPr>
              <w:tabs>
                <w:tab w:val="decimal" w:pos="1015"/>
              </w:tabs>
              <w:autoSpaceDE w:val="0"/>
              <w:autoSpaceDN w:val="0"/>
              <w:adjustRightInd w:val="0"/>
              <w:spacing w:after="0" w:line="240" w:lineRule="auto"/>
              <w:ind w:right="142"/>
              <w:jc w:val="center"/>
              <w:rPr>
                <w:rFonts w:ascii="Arial" w:hAnsi="Arial" w:cs="Arial"/>
                <w:i/>
                <w:iCs/>
                <w:color w:val="FF0000"/>
                <w:sz w:val="18"/>
                <w:szCs w:val="18"/>
                <w14:ligatures w14:val="standardContextual"/>
              </w:rPr>
            </w:pPr>
          </w:p>
        </w:tc>
        <w:tc>
          <w:tcPr>
            <w:tcW w:w="1474" w:type="dxa"/>
            <w:tcBorders>
              <w:top w:val="nil"/>
              <w:left w:val="nil"/>
              <w:bottom w:val="nil"/>
              <w:right w:val="nil"/>
            </w:tcBorders>
            <w:vAlign w:val="center"/>
          </w:tcPr>
          <w:p w14:paraId="6FEC5912" w14:textId="77777777" w:rsidR="00756913" w:rsidRPr="00756913" w:rsidRDefault="00756913" w:rsidP="00756913">
            <w:pPr>
              <w:tabs>
                <w:tab w:val="decimal" w:pos="990"/>
                <w:tab w:val="left" w:pos="1530"/>
              </w:tabs>
              <w:autoSpaceDE w:val="0"/>
              <w:autoSpaceDN w:val="0"/>
              <w:adjustRightInd w:val="0"/>
              <w:spacing w:after="0" w:line="240" w:lineRule="auto"/>
              <w:ind w:right="144"/>
              <w:jc w:val="right"/>
              <w:rPr>
                <w:rFonts w:ascii="Arial" w:hAnsi="Arial" w:cs="Arial"/>
                <w:b/>
                <w:bCs/>
                <w:sz w:val="18"/>
                <w:szCs w:val="18"/>
                <w14:ligatures w14:val="standardContextual"/>
              </w:rPr>
            </w:pPr>
          </w:p>
        </w:tc>
        <w:tc>
          <w:tcPr>
            <w:tcW w:w="1503" w:type="dxa"/>
            <w:tcBorders>
              <w:top w:val="nil"/>
              <w:left w:val="nil"/>
              <w:bottom w:val="nil"/>
              <w:right w:val="nil"/>
            </w:tcBorders>
            <w:vAlign w:val="center"/>
          </w:tcPr>
          <w:p w14:paraId="5921F6F5" w14:textId="77777777" w:rsidR="00756913" w:rsidRPr="00756913" w:rsidRDefault="00756913" w:rsidP="00756913">
            <w:pPr>
              <w:tabs>
                <w:tab w:val="decimal" w:pos="990"/>
                <w:tab w:val="left" w:pos="1530"/>
              </w:tabs>
              <w:autoSpaceDE w:val="0"/>
              <w:autoSpaceDN w:val="0"/>
              <w:adjustRightInd w:val="0"/>
              <w:spacing w:after="0" w:line="240" w:lineRule="auto"/>
              <w:ind w:right="144"/>
              <w:jc w:val="right"/>
              <w:rPr>
                <w:rFonts w:ascii="Arial" w:hAnsi="Arial" w:cs="Arial"/>
                <w:sz w:val="18"/>
                <w:szCs w:val="18"/>
                <w14:ligatures w14:val="standardContextual"/>
              </w:rPr>
            </w:pPr>
          </w:p>
        </w:tc>
        <w:tc>
          <w:tcPr>
            <w:tcW w:w="1445" w:type="dxa"/>
            <w:tcBorders>
              <w:top w:val="nil"/>
              <w:left w:val="nil"/>
              <w:bottom w:val="nil"/>
              <w:right w:val="nil"/>
            </w:tcBorders>
            <w:vAlign w:val="center"/>
          </w:tcPr>
          <w:p w14:paraId="070BF2BE" w14:textId="77777777" w:rsidR="00756913" w:rsidRPr="00756913" w:rsidRDefault="00756913" w:rsidP="00756913">
            <w:pPr>
              <w:tabs>
                <w:tab w:val="decimal" w:pos="990"/>
                <w:tab w:val="left" w:pos="1530"/>
              </w:tabs>
              <w:autoSpaceDE w:val="0"/>
              <w:autoSpaceDN w:val="0"/>
              <w:adjustRightInd w:val="0"/>
              <w:spacing w:after="0" w:line="240" w:lineRule="auto"/>
              <w:ind w:right="144"/>
              <w:jc w:val="right"/>
              <w:rPr>
                <w:rFonts w:ascii="Arial" w:hAnsi="Arial" w:cs="Arial"/>
                <w:sz w:val="18"/>
                <w:szCs w:val="18"/>
                <w14:ligatures w14:val="standardContextual"/>
              </w:rPr>
            </w:pPr>
          </w:p>
        </w:tc>
      </w:tr>
      <w:tr w:rsidR="00756913" w:rsidRPr="00756913" w14:paraId="58021E96" w14:textId="77777777">
        <w:tblPrEx>
          <w:tblCellMar>
            <w:top w:w="0" w:type="dxa"/>
            <w:bottom w:w="0" w:type="dxa"/>
          </w:tblCellMar>
        </w:tblPrEx>
        <w:trPr>
          <w:trHeight w:val="280"/>
        </w:trPr>
        <w:tc>
          <w:tcPr>
            <w:tcW w:w="4536" w:type="dxa"/>
            <w:tcBorders>
              <w:top w:val="nil"/>
              <w:left w:val="nil"/>
              <w:bottom w:val="nil"/>
              <w:right w:val="nil"/>
            </w:tcBorders>
            <w:vAlign w:val="center"/>
          </w:tcPr>
          <w:p w14:paraId="7EFE0EC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Non-current liabilities</w:t>
            </w:r>
          </w:p>
        </w:tc>
        <w:tc>
          <w:tcPr>
            <w:tcW w:w="851" w:type="dxa"/>
            <w:tcBorders>
              <w:top w:val="nil"/>
              <w:left w:val="nil"/>
              <w:bottom w:val="nil"/>
              <w:right w:val="nil"/>
            </w:tcBorders>
            <w:vAlign w:val="center"/>
          </w:tcPr>
          <w:p w14:paraId="7389F06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b/>
                <w:bCs/>
                <w:i/>
                <w:iCs/>
                <w:color w:val="FF0000"/>
                <w:sz w:val="18"/>
                <w:szCs w:val="18"/>
                <w14:ligatures w14:val="standardContextual"/>
              </w:rPr>
            </w:pPr>
          </w:p>
        </w:tc>
        <w:tc>
          <w:tcPr>
            <w:tcW w:w="1474" w:type="dxa"/>
            <w:tcBorders>
              <w:top w:val="nil"/>
              <w:left w:val="nil"/>
              <w:bottom w:val="nil"/>
              <w:right w:val="nil"/>
            </w:tcBorders>
            <w:vAlign w:val="center"/>
          </w:tcPr>
          <w:p w14:paraId="0DD9D42E"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p>
        </w:tc>
        <w:tc>
          <w:tcPr>
            <w:tcW w:w="1503" w:type="dxa"/>
            <w:tcBorders>
              <w:top w:val="nil"/>
              <w:left w:val="nil"/>
              <w:bottom w:val="nil"/>
              <w:right w:val="nil"/>
            </w:tcBorders>
            <w:vAlign w:val="center"/>
          </w:tcPr>
          <w:p w14:paraId="78AD93F1"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c>
          <w:tcPr>
            <w:tcW w:w="1445" w:type="dxa"/>
            <w:tcBorders>
              <w:top w:val="nil"/>
              <w:left w:val="nil"/>
              <w:bottom w:val="nil"/>
              <w:right w:val="nil"/>
            </w:tcBorders>
            <w:vAlign w:val="center"/>
          </w:tcPr>
          <w:p w14:paraId="36117D56"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r>
      <w:tr w:rsidR="00756913" w:rsidRPr="00756913" w14:paraId="73C7C0D9" w14:textId="77777777">
        <w:tblPrEx>
          <w:tblCellMar>
            <w:top w:w="0" w:type="dxa"/>
            <w:bottom w:w="0" w:type="dxa"/>
          </w:tblCellMar>
        </w:tblPrEx>
        <w:trPr>
          <w:trHeight w:val="280"/>
        </w:trPr>
        <w:tc>
          <w:tcPr>
            <w:tcW w:w="4536" w:type="dxa"/>
            <w:tcBorders>
              <w:top w:val="nil"/>
              <w:left w:val="nil"/>
              <w:bottom w:val="nil"/>
              <w:right w:val="nil"/>
            </w:tcBorders>
            <w:vAlign w:val="center"/>
          </w:tcPr>
          <w:p w14:paraId="645C523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Other payables</w:t>
            </w:r>
          </w:p>
        </w:tc>
        <w:tc>
          <w:tcPr>
            <w:tcW w:w="851" w:type="dxa"/>
            <w:tcBorders>
              <w:top w:val="nil"/>
              <w:left w:val="nil"/>
              <w:bottom w:val="nil"/>
              <w:right w:val="nil"/>
            </w:tcBorders>
            <w:vAlign w:val="center"/>
          </w:tcPr>
          <w:p w14:paraId="44CB974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nil"/>
              <w:left w:val="nil"/>
              <w:bottom w:val="nil"/>
              <w:right w:val="nil"/>
            </w:tcBorders>
          </w:tcPr>
          <w:p w14:paraId="51780DBC"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23.7</w:t>
            </w:r>
          </w:p>
        </w:tc>
        <w:tc>
          <w:tcPr>
            <w:tcW w:w="1503" w:type="dxa"/>
            <w:tcBorders>
              <w:top w:val="nil"/>
              <w:left w:val="nil"/>
              <w:bottom w:val="nil"/>
              <w:right w:val="nil"/>
            </w:tcBorders>
            <w:vAlign w:val="center"/>
          </w:tcPr>
          <w:p w14:paraId="05B3B7F2"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25.4</w:t>
            </w:r>
          </w:p>
        </w:tc>
        <w:tc>
          <w:tcPr>
            <w:tcW w:w="1445" w:type="dxa"/>
            <w:tcBorders>
              <w:top w:val="nil"/>
              <w:left w:val="nil"/>
              <w:bottom w:val="nil"/>
              <w:right w:val="nil"/>
            </w:tcBorders>
          </w:tcPr>
          <w:p w14:paraId="5AA47FCD"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26.4</w:t>
            </w:r>
          </w:p>
        </w:tc>
      </w:tr>
      <w:tr w:rsidR="00756913" w:rsidRPr="00756913" w14:paraId="3AB054D8" w14:textId="77777777">
        <w:tblPrEx>
          <w:tblCellMar>
            <w:top w:w="0" w:type="dxa"/>
            <w:bottom w:w="0" w:type="dxa"/>
          </w:tblCellMar>
        </w:tblPrEx>
        <w:trPr>
          <w:trHeight w:val="280"/>
        </w:trPr>
        <w:tc>
          <w:tcPr>
            <w:tcW w:w="4536" w:type="dxa"/>
            <w:tcBorders>
              <w:top w:val="nil"/>
              <w:left w:val="nil"/>
              <w:bottom w:val="nil"/>
              <w:right w:val="nil"/>
            </w:tcBorders>
            <w:vAlign w:val="center"/>
          </w:tcPr>
          <w:p w14:paraId="513E3BD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Borrowings</w:t>
            </w:r>
          </w:p>
        </w:tc>
        <w:tc>
          <w:tcPr>
            <w:tcW w:w="851" w:type="dxa"/>
            <w:tcBorders>
              <w:top w:val="nil"/>
              <w:left w:val="nil"/>
              <w:bottom w:val="nil"/>
              <w:right w:val="nil"/>
            </w:tcBorders>
            <w:vAlign w:val="center"/>
          </w:tcPr>
          <w:p w14:paraId="5B89ABD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8</w:t>
            </w:r>
          </w:p>
        </w:tc>
        <w:tc>
          <w:tcPr>
            <w:tcW w:w="1474" w:type="dxa"/>
            <w:tcBorders>
              <w:top w:val="nil"/>
              <w:left w:val="nil"/>
              <w:bottom w:val="nil"/>
              <w:right w:val="nil"/>
            </w:tcBorders>
          </w:tcPr>
          <w:p w14:paraId="4B928563"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w:t>
            </w:r>
          </w:p>
        </w:tc>
        <w:tc>
          <w:tcPr>
            <w:tcW w:w="1503" w:type="dxa"/>
            <w:tcBorders>
              <w:top w:val="nil"/>
              <w:left w:val="nil"/>
              <w:bottom w:val="nil"/>
              <w:right w:val="nil"/>
            </w:tcBorders>
            <w:vAlign w:val="center"/>
          </w:tcPr>
          <w:p w14:paraId="4F1413D6"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445" w:type="dxa"/>
            <w:tcBorders>
              <w:top w:val="nil"/>
              <w:left w:val="nil"/>
              <w:bottom w:val="nil"/>
              <w:right w:val="nil"/>
            </w:tcBorders>
          </w:tcPr>
          <w:p w14:paraId="5049CFA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15.0</w:t>
            </w:r>
          </w:p>
        </w:tc>
      </w:tr>
      <w:tr w:rsidR="00756913" w:rsidRPr="00756913" w14:paraId="7019F67F" w14:textId="77777777">
        <w:tblPrEx>
          <w:tblCellMar>
            <w:top w:w="0" w:type="dxa"/>
            <w:bottom w:w="0" w:type="dxa"/>
          </w:tblCellMar>
        </w:tblPrEx>
        <w:trPr>
          <w:trHeight w:val="296"/>
        </w:trPr>
        <w:tc>
          <w:tcPr>
            <w:tcW w:w="4536" w:type="dxa"/>
            <w:tcBorders>
              <w:top w:val="nil"/>
              <w:left w:val="nil"/>
              <w:bottom w:val="nil"/>
              <w:right w:val="nil"/>
            </w:tcBorders>
            <w:vAlign w:val="center"/>
          </w:tcPr>
          <w:p w14:paraId="19B3C32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Provisions</w:t>
            </w:r>
          </w:p>
        </w:tc>
        <w:tc>
          <w:tcPr>
            <w:tcW w:w="851" w:type="dxa"/>
            <w:tcBorders>
              <w:top w:val="nil"/>
              <w:left w:val="nil"/>
              <w:bottom w:val="nil"/>
              <w:right w:val="nil"/>
            </w:tcBorders>
            <w:vAlign w:val="center"/>
          </w:tcPr>
          <w:p w14:paraId="2051889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r w:rsidRPr="00756913">
              <w:rPr>
                <w:rFonts w:ascii="Arial" w:hAnsi="Arial" w:cs="Arial"/>
                <w:i/>
                <w:iCs/>
                <w:sz w:val="18"/>
                <w:szCs w:val="18"/>
                <w14:ligatures w14:val="standardContextual"/>
              </w:rPr>
              <w:t>9</w:t>
            </w:r>
          </w:p>
        </w:tc>
        <w:tc>
          <w:tcPr>
            <w:tcW w:w="1474" w:type="dxa"/>
            <w:tcBorders>
              <w:top w:val="nil"/>
              <w:left w:val="nil"/>
              <w:bottom w:val="nil"/>
              <w:right w:val="nil"/>
            </w:tcBorders>
          </w:tcPr>
          <w:p w14:paraId="72F25DF3"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1.9</w:t>
            </w:r>
          </w:p>
        </w:tc>
        <w:tc>
          <w:tcPr>
            <w:tcW w:w="1503" w:type="dxa"/>
            <w:tcBorders>
              <w:top w:val="nil"/>
              <w:left w:val="nil"/>
              <w:bottom w:val="nil"/>
              <w:right w:val="nil"/>
            </w:tcBorders>
            <w:vAlign w:val="center"/>
          </w:tcPr>
          <w:p w14:paraId="570B239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445" w:type="dxa"/>
            <w:tcBorders>
              <w:top w:val="nil"/>
              <w:left w:val="nil"/>
              <w:bottom w:val="nil"/>
              <w:right w:val="nil"/>
            </w:tcBorders>
          </w:tcPr>
          <w:p w14:paraId="616162D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r>
      <w:tr w:rsidR="00756913" w:rsidRPr="00756913" w14:paraId="0F0E03CE" w14:textId="77777777">
        <w:tblPrEx>
          <w:tblCellMar>
            <w:top w:w="0" w:type="dxa"/>
            <w:bottom w:w="0" w:type="dxa"/>
          </w:tblCellMar>
        </w:tblPrEx>
        <w:trPr>
          <w:trHeight w:val="296"/>
        </w:trPr>
        <w:tc>
          <w:tcPr>
            <w:tcW w:w="4536" w:type="dxa"/>
            <w:tcBorders>
              <w:top w:val="nil"/>
              <w:left w:val="nil"/>
              <w:bottom w:val="nil"/>
              <w:right w:val="nil"/>
            </w:tcBorders>
            <w:vAlign w:val="center"/>
          </w:tcPr>
          <w:p w14:paraId="2F1253E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Deferred tax liabilities</w:t>
            </w:r>
          </w:p>
        </w:tc>
        <w:tc>
          <w:tcPr>
            <w:tcW w:w="851" w:type="dxa"/>
            <w:tcBorders>
              <w:top w:val="nil"/>
              <w:left w:val="nil"/>
              <w:bottom w:val="nil"/>
              <w:right w:val="nil"/>
            </w:tcBorders>
            <w:vAlign w:val="center"/>
          </w:tcPr>
          <w:p w14:paraId="6D29C92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nil"/>
              <w:left w:val="nil"/>
              <w:bottom w:val="single" w:sz="4" w:space="0" w:color="auto"/>
              <w:right w:val="nil"/>
            </w:tcBorders>
          </w:tcPr>
          <w:p w14:paraId="771740F2"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14.5</w:t>
            </w:r>
          </w:p>
        </w:tc>
        <w:tc>
          <w:tcPr>
            <w:tcW w:w="1503" w:type="dxa"/>
            <w:tcBorders>
              <w:top w:val="nil"/>
              <w:left w:val="nil"/>
              <w:bottom w:val="single" w:sz="4" w:space="0" w:color="auto"/>
              <w:right w:val="nil"/>
            </w:tcBorders>
            <w:vAlign w:val="center"/>
          </w:tcPr>
          <w:p w14:paraId="52238B4F"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15.8</w:t>
            </w:r>
          </w:p>
        </w:tc>
        <w:tc>
          <w:tcPr>
            <w:tcW w:w="1445" w:type="dxa"/>
            <w:tcBorders>
              <w:top w:val="nil"/>
              <w:left w:val="nil"/>
              <w:bottom w:val="single" w:sz="4" w:space="0" w:color="auto"/>
              <w:right w:val="nil"/>
            </w:tcBorders>
          </w:tcPr>
          <w:p w14:paraId="38A4383B"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21.0</w:t>
            </w:r>
          </w:p>
        </w:tc>
      </w:tr>
      <w:tr w:rsidR="00756913" w:rsidRPr="00756913" w14:paraId="0C2E04CF" w14:textId="77777777">
        <w:tblPrEx>
          <w:tblCellMar>
            <w:top w:w="0" w:type="dxa"/>
            <w:bottom w:w="0" w:type="dxa"/>
          </w:tblCellMar>
        </w:tblPrEx>
        <w:trPr>
          <w:trHeight w:val="280"/>
        </w:trPr>
        <w:tc>
          <w:tcPr>
            <w:tcW w:w="4536" w:type="dxa"/>
            <w:tcBorders>
              <w:top w:val="nil"/>
              <w:left w:val="nil"/>
              <w:bottom w:val="nil"/>
              <w:right w:val="nil"/>
            </w:tcBorders>
            <w:vAlign w:val="center"/>
          </w:tcPr>
          <w:p w14:paraId="27B4BD8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Total non-current liabilities</w:t>
            </w:r>
          </w:p>
        </w:tc>
        <w:tc>
          <w:tcPr>
            <w:tcW w:w="851" w:type="dxa"/>
            <w:tcBorders>
              <w:top w:val="nil"/>
              <w:left w:val="nil"/>
              <w:bottom w:val="nil"/>
              <w:right w:val="nil"/>
            </w:tcBorders>
            <w:vAlign w:val="center"/>
          </w:tcPr>
          <w:p w14:paraId="5BD850D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single" w:sz="4" w:space="0" w:color="auto"/>
              <w:left w:val="nil"/>
              <w:bottom w:val="single" w:sz="4" w:space="0" w:color="auto"/>
              <w:right w:val="nil"/>
            </w:tcBorders>
          </w:tcPr>
          <w:p w14:paraId="14A13B2B"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40.1</w:t>
            </w:r>
          </w:p>
        </w:tc>
        <w:tc>
          <w:tcPr>
            <w:tcW w:w="1503" w:type="dxa"/>
            <w:tcBorders>
              <w:top w:val="single" w:sz="4" w:space="0" w:color="auto"/>
              <w:left w:val="nil"/>
              <w:bottom w:val="single" w:sz="4" w:space="0" w:color="auto"/>
              <w:right w:val="nil"/>
            </w:tcBorders>
            <w:vAlign w:val="center"/>
          </w:tcPr>
          <w:p w14:paraId="0867A0EA"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41.2</w:t>
            </w:r>
          </w:p>
        </w:tc>
        <w:tc>
          <w:tcPr>
            <w:tcW w:w="1445" w:type="dxa"/>
            <w:tcBorders>
              <w:top w:val="single" w:sz="4" w:space="0" w:color="auto"/>
              <w:left w:val="nil"/>
              <w:bottom w:val="single" w:sz="4" w:space="0" w:color="auto"/>
              <w:right w:val="nil"/>
            </w:tcBorders>
          </w:tcPr>
          <w:p w14:paraId="0A94DEA5"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62.4</w:t>
            </w:r>
          </w:p>
        </w:tc>
      </w:tr>
      <w:tr w:rsidR="00756913" w:rsidRPr="00756913" w14:paraId="5428E977" w14:textId="77777777">
        <w:tblPrEx>
          <w:tblCellMar>
            <w:top w:w="0" w:type="dxa"/>
            <w:bottom w:w="0" w:type="dxa"/>
          </w:tblCellMar>
        </w:tblPrEx>
        <w:trPr>
          <w:trHeight w:val="280"/>
        </w:trPr>
        <w:tc>
          <w:tcPr>
            <w:tcW w:w="4536" w:type="dxa"/>
            <w:tcBorders>
              <w:top w:val="nil"/>
              <w:left w:val="nil"/>
              <w:bottom w:val="nil"/>
              <w:right w:val="nil"/>
            </w:tcBorders>
            <w:vAlign w:val="center"/>
          </w:tcPr>
          <w:p w14:paraId="5C7B3AC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851" w:type="dxa"/>
            <w:tcBorders>
              <w:top w:val="nil"/>
              <w:left w:val="nil"/>
              <w:bottom w:val="nil"/>
              <w:right w:val="nil"/>
            </w:tcBorders>
            <w:vAlign w:val="center"/>
          </w:tcPr>
          <w:p w14:paraId="7E8A223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single" w:sz="4" w:space="0" w:color="auto"/>
              <w:left w:val="nil"/>
              <w:bottom w:val="nil"/>
              <w:right w:val="nil"/>
            </w:tcBorders>
            <w:vAlign w:val="center"/>
          </w:tcPr>
          <w:p w14:paraId="144F1D27"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p>
        </w:tc>
        <w:tc>
          <w:tcPr>
            <w:tcW w:w="1503" w:type="dxa"/>
            <w:tcBorders>
              <w:top w:val="single" w:sz="4" w:space="0" w:color="auto"/>
              <w:left w:val="nil"/>
              <w:bottom w:val="nil"/>
              <w:right w:val="nil"/>
            </w:tcBorders>
            <w:vAlign w:val="center"/>
          </w:tcPr>
          <w:p w14:paraId="3A1E292D"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c>
          <w:tcPr>
            <w:tcW w:w="1445" w:type="dxa"/>
            <w:tcBorders>
              <w:top w:val="single" w:sz="4" w:space="0" w:color="auto"/>
              <w:left w:val="nil"/>
              <w:bottom w:val="nil"/>
              <w:right w:val="nil"/>
            </w:tcBorders>
            <w:vAlign w:val="center"/>
          </w:tcPr>
          <w:p w14:paraId="321E6C2E"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r>
      <w:tr w:rsidR="00756913" w:rsidRPr="00756913" w14:paraId="182BECCD" w14:textId="77777777">
        <w:tblPrEx>
          <w:tblCellMar>
            <w:top w:w="0" w:type="dxa"/>
            <w:bottom w:w="0" w:type="dxa"/>
          </w:tblCellMar>
        </w:tblPrEx>
        <w:trPr>
          <w:trHeight w:val="280"/>
        </w:trPr>
        <w:tc>
          <w:tcPr>
            <w:tcW w:w="4536" w:type="dxa"/>
            <w:tcBorders>
              <w:top w:val="nil"/>
              <w:left w:val="nil"/>
              <w:bottom w:val="nil"/>
              <w:right w:val="nil"/>
            </w:tcBorders>
            <w:vAlign w:val="center"/>
          </w:tcPr>
          <w:p w14:paraId="4091626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Current liabilities</w:t>
            </w:r>
          </w:p>
        </w:tc>
        <w:tc>
          <w:tcPr>
            <w:tcW w:w="851" w:type="dxa"/>
            <w:tcBorders>
              <w:top w:val="nil"/>
              <w:left w:val="nil"/>
              <w:bottom w:val="nil"/>
              <w:right w:val="nil"/>
            </w:tcBorders>
            <w:vAlign w:val="center"/>
          </w:tcPr>
          <w:p w14:paraId="24780F8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nil"/>
              <w:left w:val="nil"/>
              <w:bottom w:val="nil"/>
              <w:right w:val="nil"/>
            </w:tcBorders>
            <w:vAlign w:val="center"/>
          </w:tcPr>
          <w:p w14:paraId="2CF7DA20"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p>
        </w:tc>
        <w:tc>
          <w:tcPr>
            <w:tcW w:w="1503" w:type="dxa"/>
            <w:tcBorders>
              <w:top w:val="nil"/>
              <w:left w:val="nil"/>
              <w:bottom w:val="nil"/>
              <w:right w:val="nil"/>
            </w:tcBorders>
            <w:vAlign w:val="center"/>
          </w:tcPr>
          <w:p w14:paraId="3B77C6AE"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c>
          <w:tcPr>
            <w:tcW w:w="1445" w:type="dxa"/>
            <w:tcBorders>
              <w:top w:val="nil"/>
              <w:left w:val="nil"/>
              <w:bottom w:val="nil"/>
              <w:right w:val="nil"/>
            </w:tcBorders>
            <w:vAlign w:val="center"/>
          </w:tcPr>
          <w:p w14:paraId="7D0DDEDE"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r>
      <w:tr w:rsidR="00756913" w:rsidRPr="00756913" w14:paraId="3AB1DE88" w14:textId="77777777">
        <w:tblPrEx>
          <w:tblCellMar>
            <w:top w:w="0" w:type="dxa"/>
            <w:bottom w:w="0" w:type="dxa"/>
          </w:tblCellMar>
        </w:tblPrEx>
        <w:trPr>
          <w:trHeight w:val="278"/>
        </w:trPr>
        <w:tc>
          <w:tcPr>
            <w:tcW w:w="4536" w:type="dxa"/>
            <w:tcBorders>
              <w:top w:val="nil"/>
              <w:left w:val="nil"/>
              <w:bottom w:val="nil"/>
              <w:right w:val="nil"/>
            </w:tcBorders>
            <w:vAlign w:val="center"/>
          </w:tcPr>
          <w:p w14:paraId="68283B9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Trade and other payables</w:t>
            </w:r>
          </w:p>
        </w:tc>
        <w:tc>
          <w:tcPr>
            <w:tcW w:w="851" w:type="dxa"/>
            <w:tcBorders>
              <w:top w:val="nil"/>
              <w:left w:val="nil"/>
              <w:bottom w:val="nil"/>
              <w:right w:val="nil"/>
            </w:tcBorders>
            <w:vAlign w:val="center"/>
          </w:tcPr>
          <w:p w14:paraId="6A82851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i/>
                <w:iCs/>
                <w:color w:val="FF0000"/>
                <w:sz w:val="18"/>
                <w:szCs w:val="18"/>
                <w14:ligatures w14:val="standardContextual"/>
              </w:rPr>
            </w:pPr>
            <w:r w:rsidRPr="00756913">
              <w:rPr>
                <w:rFonts w:ascii="Arial" w:hAnsi="Arial" w:cs="Arial"/>
                <w:i/>
                <w:iCs/>
                <w:color w:val="FF0000"/>
                <w:sz w:val="18"/>
                <w:szCs w:val="18"/>
                <w14:ligatures w14:val="standardContextual"/>
              </w:rPr>
              <w:t xml:space="preserve">    </w:t>
            </w:r>
          </w:p>
        </w:tc>
        <w:tc>
          <w:tcPr>
            <w:tcW w:w="1474" w:type="dxa"/>
            <w:tcBorders>
              <w:top w:val="nil"/>
              <w:left w:val="nil"/>
              <w:bottom w:val="nil"/>
              <w:right w:val="nil"/>
            </w:tcBorders>
          </w:tcPr>
          <w:p w14:paraId="2C37B106"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101.0</w:t>
            </w:r>
          </w:p>
        </w:tc>
        <w:tc>
          <w:tcPr>
            <w:tcW w:w="1503" w:type="dxa"/>
            <w:tcBorders>
              <w:top w:val="nil"/>
              <w:left w:val="nil"/>
              <w:bottom w:val="nil"/>
              <w:right w:val="nil"/>
            </w:tcBorders>
            <w:vAlign w:val="center"/>
          </w:tcPr>
          <w:p w14:paraId="6F8EF07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103.3</w:t>
            </w:r>
          </w:p>
        </w:tc>
        <w:tc>
          <w:tcPr>
            <w:tcW w:w="1445" w:type="dxa"/>
            <w:tcBorders>
              <w:top w:val="nil"/>
              <w:left w:val="nil"/>
              <w:bottom w:val="nil"/>
              <w:right w:val="nil"/>
            </w:tcBorders>
          </w:tcPr>
          <w:p w14:paraId="59AC1BC3"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106.4</w:t>
            </w:r>
          </w:p>
        </w:tc>
      </w:tr>
      <w:tr w:rsidR="00756913" w:rsidRPr="00756913" w14:paraId="011ABF89" w14:textId="77777777">
        <w:tblPrEx>
          <w:tblCellMar>
            <w:top w:w="0" w:type="dxa"/>
            <w:bottom w:w="0" w:type="dxa"/>
          </w:tblCellMar>
        </w:tblPrEx>
        <w:trPr>
          <w:trHeight w:val="280"/>
        </w:trPr>
        <w:tc>
          <w:tcPr>
            <w:tcW w:w="4536" w:type="dxa"/>
            <w:tcBorders>
              <w:top w:val="nil"/>
              <w:left w:val="nil"/>
              <w:bottom w:val="nil"/>
              <w:right w:val="nil"/>
            </w:tcBorders>
            <w:vAlign w:val="center"/>
          </w:tcPr>
          <w:p w14:paraId="54B2E75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Borrowings</w:t>
            </w:r>
          </w:p>
        </w:tc>
        <w:tc>
          <w:tcPr>
            <w:tcW w:w="851" w:type="dxa"/>
            <w:tcBorders>
              <w:top w:val="nil"/>
              <w:left w:val="nil"/>
              <w:bottom w:val="nil"/>
              <w:right w:val="nil"/>
            </w:tcBorders>
            <w:vAlign w:val="center"/>
          </w:tcPr>
          <w:p w14:paraId="6E60D51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sz w:val="18"/>
                <w:szCs w:val="18"/>
                <w14:ligatures w14:val="standardContextual"/>
              </w:rPr>
            </w:pPr>
            <w:r w:rsidRPr="00756913">
              <w:rPr>
                <w:rFonts w:ascii="Arial" w:hAnsi="Arial" w:cs="Arial"/>
                <w:i/>
                <w:iCs/>
                <w:sz w:val="18"/>
                <w:szCs w:val="18"/>
                <w14:ligatures w14:val="standardContextual"/>
              </w:rPr>
              <w:t>8</w:t>
            </w:r>
          </w:p>
        </w:tc>
        <w:tc>
          <w:tcPr>
            <w:tcW w:w="1474" w:type="dxa"/>
            <w:tcBorders>
              <w:top w:val="nil"/>
              <w:left w:val="nil"/>
              <w:bottom w:val="nil"/>
              <w:right w:val="nil"/>
            </w:tcBorders>
          </w:tcPr>
          <w:p w14:paraId="13DB6B7C"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48.0</w:t>
            </w:r>
          </w:p>
        </w:tc>
        <w:tc>
          <w:tcPr>
            <w:tcW w:w="1503" w:type="dxa"/>
            <w:tcBorders>
              <w:top w:val="nil"/>
              <w:left w:val="nil"/>
              <w:bottom w:val="nil"/>
              <w:right w:val="nil"/>
            </w:tcBorders>
            <w:vAlign w:val="center"/>
          </w:tcPr>
          <w:p w14:paraId="63B73A67"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34.5</w:t>
            </w:r>
          </w:p>
        </w:tc>
        <w:tc>
          <w:tcPr>
            <w:tcW w:w="1445" w:type="dxa"/>
            <w:tcBorders>
              <w:top w:val="nil"/>
              <w:left w:val="nil"/>
              <w:bottom w:val="nil"/>
              <w:right w:val="nil"/>
            </w:tcBorders>
          </w:tcPr>
          <w:p w14:paraId="074870C4"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48.0</w:t>
            </w:r>
          </w:p>
        </w:tc>
      </w:tr>
      <w:tr w:rsidR="00756913" w:rsidRPr="00756913" w14:paraId="1FD0742F" w14:textId="77777777">
        <w:tblPrEx>
          <w:tblCellMar>
            <w:top w:w="0" w:type="dxa"/>
            <w:bottom w:w="0" w:type="dxa"/>
          </w:tblCellMar>
        </w:tblPrEx>
        <w:trPr>
          <w:trHeight w:val="280"/>
        </w:trPr>
        <w:tc>
          <w:tcPr>
            <w:tcW w:w="4536" w:type="dxa"/>
            <w:tcBorders>
              <w:top w:val="nil"/>
              <w:left w:val="nil"/>
              <w:bottom w:val="nil"/>
              <w:right w:val="nil"/>
            </w:tcBorders>
            <w:vAlign w:val="center"/>
          </w:tcPr>
          <w:p w14:paraId="7A32A45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Total current liabilities</w:t>
            </w:r>
          </w:p>
        </w:tc>
        <w:tc>
          <w:tcPr>
            <w:tcW w:w="851" w:type="dxa"/>
            <w:tcBorders>
              <w:top w:val="nil"/>
              <w:left w:val="nil"/>
              <w:bottom w:val="nil"/>
              <w:right w:val="nil"/>
            </w:tcBorders>
            <w:vAlign w:val="center"/>
          </w:tcPr>
          <w:p w14:paraId="03D67E1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single" w:sz="4" w:space="0" w:color="auto"/>
              <w:left w:val="nil"/>
              <w:bottom w:val="single" w:sz="4" w:space="0" w:color="auto"/>
              <w:right w:val="nil"/>
            </w:tcBorders>
          </w:tcPr>
          <w:p w14:paraId="56AFDC1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149.0</w:t>
            </w:r>
          </w:p>
        </w:tc>
        <w:tc>
          <w:tcPr>
            <w:tcW w:w="1503" w:type="dxa"/>
            <w:tcBorders>
              <w:top w:val="single" w:sz="4" w:space="0" w:color="auto"/>
              <w:left w:val="nil"/>
              <w:bottom w:val="single" w:sz="4" w:space="0" w:color="auto"/>
              <w:right w:val="nil"/>
            </w:tcBorders>
            <w:vAlign w:val="center"/>
          </w:tcPr>
          <w:p w14:paraId="339B7736"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137.8</w:t>
            </w:r>
          </w:p>
        </w:tc>
        <w:tc>
          <w:tcPr>
            <w:tcW w:w="1445" w:type="dxa"/>
            <w:tcBorders>
              <w:top w:val="single" w:sz="4" w:space="0" w:color="auto"/>
              <w:left w:val="nil"/>
              <w:bottom w:val="single" w:sz="4" w:space="0" w:color="auto"/>
              <w:right w:val="nil"/>
            </w:tcBorders>
          </w:tcPr>
          <w:p w14:paraId="6E391B12"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154.4</w:t>
            </w:r>
          </w:p>
        </w:tc>
      </w:tr>
      <w:tr w:rsidR="00756913" w:rsidRPr="00756913" w14:paraId="0B70BDA9" w14:textId="77777777">
        <w:tblPrEx>
          <w:tblCellMar>
            <w:top w:w="0" w:type="dxa"/>
            <w:bottom w:w="0" w:type="dxa"/>
          </w:tblCellMar>
        </w:tblPrEx>
        <w:trPr>
          <w:trHeight w:val="280"/>
        </w:trPr>
        <w:tc>
          <w:tcPr>
            <w:tcW w:w="4536" w:type="dxa"/>
            <w:tcBorders>
              <w:top w:val="nil"/>
              <w:left w:val="nil"/>
              <w:bottom w:val="nil"/>
              <w:right w:val="nil"/>
            </w:tcBorders>
            <w:vAlign w:val="center"/>
          </w:tcPr>
          <w:p w14:paraId="1B05DF4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Total liabilities</w:t>
            </w:r>
          </w:p>
        </w:tc>
        <w:tc>
          <w:tcPr>
            <w:tcW w:w="851" w:type="dxa"/>
            <w:tcBorders>
              <w:top w:val="nil"/>
              <w:left w:val="nil"/>
              <w:bottom w:val="nil"/>
              <w:right w:val="nil"/>
            </w:tcBorders>
            <w:vAlign w:val="center"/>
          </w:tcPr>
          <w:p w14:paraId="4B52929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single" w:sz="4" w:space="0" w:color="auto"/>
              <w:left w:val="nil"/>
              <w:bottom w:val="single" w:sz="4" w:space="0" w:color="auto"/>
              <w:right w:val="nil"/>
            </w:tcBorders>
          </w:tcPr>
          <w:p w14:paraId="39CE5364"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189.1</w:t>
            </w:r>
          </w:p>
        </w:tc>
        <w:tc>
          <w:tcPr>
            <w:tcW w:w="1503" w:type="dxa"/>
            <w:tcBorders>
              <w:top w:val="single" w:sz="4" w:space="0" w:color="auto"/>
              <w:left w:val="nil"/>
              <w:bottom w:val="single" w:sz="4" w:space="0" w:color="auto"/>
              <w:right w:val="nil"/>
            </w:tcBorders>
            <w:vAlign w:val="center"/>
          </w:tcPr>
          <w:p w14:paraId="3B62076F"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179.0</w:t>
            </w:r>
          </w:p>
        </w:tc>
        <w:tc>
          <w:tcPr>
            <w:tcW w:w="1445" w:type="dxa"/>
            <w:tcBorders>
              <w:top w:val="single" w:sz="4" w:space="0" w:color="auto"/>
              <w:left w:val="nil"/>
              <w:bottom w:val="single" w:sz="4" w:space="0" w:color="auto"/>
              <w:right w:val="nil"/>
            </w:tcBorders>
          </w:tcPr>
          <w:p w14:paraId="3AC3FA93"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216.8</w:t>
            </w:r>
          </w:p>
        </w:tc>
      </w:tr>
      <w:tr w:rsidR="00756913" w:rsidRPr="00756913" w14:paraId="36F13EC5" w14:textId="77777777">
        <w:tblPrEx>
          <w:tblCellMar>
            <w:top w:w="0" w:type="dxa"/>
            <w:bottom w:w="0" w:type="dxa"/>
          </w:tblCellMar>
        </w:tblPrEx>
        <w:trPr>
          <w:trHeight w:val="280"/>
        </w:trPr>
        <w:tc>
          <w:tcPr>
            <w:tcW w:w="4536" w:type="dxa"/>
            <w:tcBorders>
              <w:top w:val="nil"/>
              <w:left w:val="nil"/>
              <w:bottom w:val="nil"/>
              <w:right w:val="nil"/>
            </w:tcBorders>
            <w:vAlign w:val="center"/>
          </w:tcPr>
          <w:p w14:paraId="7F28B13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851" w:type="dxa"/>
            <w:tcBorders>
              <w:top w:val="nil"/>
              <w:left w:val="nil"/>
              <w:bottom w:val="nil"/>
              <w:right w:val="nil"/>
            </w:tcBorders>
            <w:vAlign w:val="center"/>
          </w:tcPr>
          <w:p w14:paraId="57238D5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single" w:sz="4" w:space="0" w:color="auto"/>
              <w:left w:val="nil"/>
              <w:bottom w:val="nil"/>
              <w:right w:val="nil"/>
            </w:tcBorders>
            <w:vAlign w:val="center"/>
          </w:tcPr>
          <w:p w14:paraId="09F2B800"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p>
        </w:tc>
        <w:tc>
          <w:tcPr>
            <w:tcW w:w="1503" w:type="dxa"/>
            <w:tcBorders>
              <w:top w:val="single" w:sz="4" w:space="0" w:color="auto"/>
              <w:left w:val="nil"/>
              <w:bottom w:val="nil"/>
              <w:right w:val="nil"/>
            </w:tcBorders>
            <w:vAlign w:val="center"/>
          </w:tcPr>
          <w:p w14:paraId="3F89869B"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c>
          <w:tcPr>
            <w:tcW w:w="1445" w:type="dxa"/>
            <w:tcBorders>
              <w:top w:val="single" w:sz="4" w:space="0" w:color="auto"/>
              <w:left w:val="nil"/>
              <w:bottom w:val="nil"/>
              <w:right w:val="nil"/>
            </w:tcBorders>
            <w:vAlign w:val="center"/>
          </w:tcPr>
          <w:p w14:paraId="19FDC167"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r>
      <w:tr w:rsidR="00756913" w:rsidRPr="00756913" w14:paraId="050E134C" w14:textId="77777777">
        <w:tblPrEx>
          <w:tblCellMar>
            <w:top w:w="0" w:type="dxa"/>
            <w:bottom w:w="0" w:type="dxa"/>
          </w:tblCellMar>
        </w:tblPrEx>
        <w:trPr>
          <w:trHeight w:val="296"/>
        </w:trPr>
        <w:tc>
          <w:tcPr>
            <w:tcW w:w="4536" w:type="dxa"/>
            <w:tcBorders>
              <w:top w:val="nil"/>
              <w:left w:val="nil"/>
              <w:bottom w:val="nil"/>
              <w:right w:val="nil"/>
            </w:tcBorders>
            <w:vAlign w:val="center"/>
          </w:tcPr>
          <w:p w14:paraId="6001E7C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sz w:val="18"/>
                <w:szCs w:val="18"/>
                <w14:ligatures w14:val="standardContextual"/>
              </w:rPr>
              <w:t>Equity</w:t>
            </w:r>
          </w:p>
        </w:tc>
        <w:tc>
          <w:tcPr>
            <w:tcW w:w="851" w:type="dxa"/>
            <w:tcBorders>
              <w:top w:val="nil"/>
              <w:left w:val="nil"/>
              <w:bottom w:val="nil"/>
              <w:right w:val="nil"/>
            </w:tcBorders>
            <w:vAlign w:val="center"/>
          </w:tcPr>
          <w:p w14:paraId="4426945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nil"/>
              <w:left w:val="nil"/>
              <w:bottom w:val="nil"/>
              <w:right w:val="nil"/>
            </w:tcBorders>
            <w:vAlign w:val="center"/>
          </w:tcPr>
          <w:p w14:paraId="1714B00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p>
        </w:tc>
        <w:tc>
          <w:tcPr>
            <w:tcW w:w="1503" w:type="dxa"/>
            <w:tcBorders>
              <w:top w:val="nil"/>
              <w:left w:val="nil"/>
              <w:bottom w:val="nil"/>
              <w:right w:val="nil"/>
            </w:tcBorders>
            <w:vAlign w:val="center"/>
          </w:tcPr>
          <w:p w14:paraId="0FB1FD20"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c>
          <w:tcPr>
            <w:tcW w:w="1445" w:type="dxa"/>
            <w:tcBorders>
              <w:top w:val="nil"/>
              <w:left w:val="nil"/>
              <w:bottom w:val="nil"/>
              <w:right w:val="nil"/>
            </w:tcBorders>
            <w:vAlign w:val="center"/>
          </w:tcPr>
          <w:p w14:paraId="3A485C6A"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p>
        </w:tc>
      </w:tr>
      <w:tr w:rsidR="00756913" w:rsidRPr="00756913" w14:paraId="73735D88" w14:textId="77777777">
        <w:tblPrEx>
          <w:tblCellMar>
            <w:top w:w="0" w:type="dxa"/>
            <w:bottom w:w="0" w:type="dxa"/>
          </w:tblCellMar>
        </w:tblPrEx>
        <w:trPr>
          <w:trHeight w:val="280"/>
        </w:trPr>
        <w:tc>
          <w:tcPr>
            <w:tcW w:w="4536" w:type="dxa"/>
            <w:tcBorders>
              <w:top w:val="nil"/>
              <w:left w:val="nil"/>
              <w:bottom w:val="nil"/>
              <w:right w:val="nil"/>
            </w:tcBorders>
            <w:vAlign w:val="center"/>
          </w:tcPr>
          <w:p w14:paraId="0806F45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Share capital</w:t>
            </w:r>
          </w:p>
        </w:tc>
        <w:tc>
          <w:tcPr>
            <w:tcW w:w="851" w:type="dxa"/>
            <w:tcBorders>
              <w:top w:val="nil"/>
              <w:left w:val="nil"/>
              <w:bottom w:val="nil"/>
              <w:right w:val="nil"/>
            </w:tcBorders>
            <w:vAlign w:val="center"/>
          </w:tcPr>
          <w:p w14:paraId="0DD8B47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nil"/>
              <w:left w:val="nil"/>
              <w:bottom w:val="nil"/>
              <w:right w:val="nil"/>
            </w:tcBorders>
          </w:tcPr>
          <w:p w14:paraId="4D90845C"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0.1</w:t>
            </w:r>
          </w:p>
        </w:tc>
        <w:tc>
          <w:tcPr>
            <w:tcW w:w="1503" w:type="dxa"/>
            <w:tcBorders>
              <w:top w:val="nil"/>
              <w:left w:val="nil"/>
              <w:bottom w:val="nil"/>
              <w:right w:val="nil"/>
            </w:tcBorders>
            <w:vAlign w:val="center"/>
          </w:tcPr>
          <w:p w14:paraId="3C32A7AC"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c>
          <w:tcPr>
            <w:tcW w:w="1445" w:type="dxa"/>
            <w:tcBorders>
              <w:top w:val="nil"/>
              <w:left w:val="nil"/>
              <w:bottom w:val="nil"/>
              <w:right w:val="nil"/>
            </w:tcBorders>
          </w:tcPr>
          <w:p w14:paraId="7E573AB0"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r>
      <w:tr w:rsidR="00756913" w:rsidRPr="00756913" w14:paraId="0AE0E61F" w14:textId="77777777">
        <w:tblPrEx>
          <w:tblCellMar>
            <w:top w:w="0" w:type="dxa"/>
            <w:bottom w:w="0" w:type="dxa"/>
          </w:tblCellMar>
        </w:tblPrEx>
        <w:trPr>
          <w:trHeight w:val="280"/>
        </w:trPr>
        <w:tc>
          <w:tcPr>
            <w:tcW w:w="4536" w:type="dxa"/>
            <w:tcBorders>
              <w:top w:val="nil"/>
              <w:left w:val="nil"/>
              <w:bottom w:val="nil"/>
              <w:right w:val="nil"/>
            </w:tcBorders>
            <w:vAlign w:val="center"/>
          </w:tcPr>
          <w:p w14:paraId="2BD8245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Share premium</w:t>
            </w:r>
          </w:p>
        </w:tc>
        <w:tc>
          <w:tcPr>
            <w:tcW w:w="851" w:type="dxa"/>
            <w:tcBorders>
              <w:top w:val="nil"/>
              <w:left w:val="nil"/>
              <w:bottom w:val="nil"/>
              <w:right w:val="nil"/>
            </w:tcBorders>
            <w:vAlign w:val="center"/>
          </w:tcPr>
          <w:p w14:paraId="1DF5FF4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nil"/>
              <w:left w:val="nil"/>
              <w:bottom w:val="nil"/>
              <w:right w:val="nil"/>
            </w:tcBorders>
          </w:tcPr>
          <w:p w14:paraId="014F4E6B"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205.5</w:t>
            </w:r>
          </w:p>
        </w:tc>
        <w:tc>
          <w:tcPr>
            <w:tcW w:w="1503" w:type="dxa"/>
            <w:tcBorders>
              <w:top w:val="nil"/>
              <w:left w:val="nil"/>
              <w:bottom w:val="nil"/>
              <w:right w:val="nil"/>
            </w:tcBorders>
            <w:vAlign w:val="center"/>
          </w:tcPr>
          <w:p w14:paraId="5A800981"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205.5</w:t>
            </w:r>
          </w:p>
        </w:tc>
        <w:tc>
          <w:tcPr>
            <w:tcW w:w="1445" w:type="dxa"/>
            <w:tcBorders>
              <w:top w:val="nil"/>
              <w:left w:val="nil"/>
              <w:bottom w:val="nil"/>
              <w:right w:val="nil"/>
            </w:tcBorders>
          </w:tcPr>
          <w:p w14:paraId="7CF98143"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205.4</w:t>
            </w:r>
          </w:p>
        </w:tc>
      </w:tr>
      <w:tr w:rsidR="00756913" w:rsidRPr="00756913" w14:paraId="6B2FF24A" w14:textId="77777777">
        <w:tblPrEx>
          <w:tblCellMar>
            <w:top w:w="0" w:type="dxa"/>
            <w:bottom w:w="0" w:type="dxa"/>
          </w:tblCellMar>
        </w:tblPrEx>
        <w:trPr>
          <w:trHeight w:val="296"/>
        </w:trPr>
        <w:tc>
          <w:tcPr>
            <w:tcW w:w="4536" w:type="dxa"/>
            <w:tcBorders>
              <w:top w:val="nil"/>
              <w:left w:val="nil"/>
              <w:bottom w:val="nil"/>
              <w:right w:val="nil"/>
            </w:tcBorders>
            <w:vAlign w:val="center"/>
          </w:tcPr>
          <w:p w14:paraId="70E8F39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Reserve for own shares</w:t>
            </w:r>
          </w:p>
        </w:tc>
        <w:tc>
          <w:tcPr>
            <w:tcW w:w="851" w:type="dxa"/>
            <w:tcBorders>
              <w:top w:val="nil"/>
              <w:left w:val="nil"/>
              <w:bottom w:val="nil"/>
              <w:right w:val="nil"/>
            </w:tcBorders>
            <w:vAlign w:val="center"/>
          </w:tcPr>
          <w:p w14:paraId="33D71C1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nil"/>
              <w:left w:val="nil"/>
              <w:bottom w:val="nil"/>
              <w:right w:val="nil"/>
            </w:tcBorders>
          </w:tcPr>
          <w:p w14:paraId="5E5D659C"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(1.9)</w:t>
            </w:r>
          </w:p>
        </w:tc>
        <w:tc>
          <w:tcPr>
            <w:tcW w:w="1503" w:type="dxa"/>
            <w:tcBorders>
              <w:top w:val="nil"/>
              <w:left w:val="nil"/>
              <w:bottom w:val="nil"/>
              <w:right w:val="nil"/>
            </w:tcBorders>
            <w:vAlign w:val="center"/>
          </w:tcPr>
          <w:p w14:paraId="401007E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(2.4)</w:t>
            </w:r>
          </w:p>
        </w:tc>
        <w:tc>
          <w:tcPr>
            <w:tcW w:w="1445" w:type="dxa"/>
            <w:tcBorders>
              <w:top w:val="nil"/>
              <w:left w:val="nil"/>
              <w:bottom w:val="nil"/>
              <w:right w:val="nil"/>
            </w:tcBorders>
          </w:tcPr>
          <w:p w14:paraId="420C413F"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 (2.7) </w:t>
            </w:r>
          </w:p>
        </w:tc>
      </w:tr>
      <w:tr w:rsidR="00756913" w:rsidRPr="00756913" w14:paraId="7C78768E" w14:textId="77777777">
        <w:tblPrEx>
          <w:tblCellMar>
            <w:top w:w="0" w:type="dxa"/>
            <w:bottom w:w="0" w:type="dxa"/>
          </w:tblCellMar>
        </w:tblPrEx>
        <w:trPr>
          <w:trHeight w:val="280"/>
        </w:trPr>
        <w:tc>
          <w:tcPr>
            <w:tcW w:w="4536" w:type="dxa"/>
            <w:tcBorders>
              <w:top w:val="nil"/>
              <w:left w:val="nil"/>
              <w:bottom w:val="nil"/>
              <w:right w:val="nil"/>
            </w:tcBorders>
            <w:vAlign w:val="center"/>
          </w:tcPr>
          <w:p w14:paraId="296EEA0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Retained earnings</w:t>
            </w:r>
          </w:p>
        </w:tc>
        <w:tc>
          <w:tcPr>
            <w:tcW w:w="851" w:type="dxa"/>
            <w:tcBorders>
              <w:top w:val="nil"/>
              <w:left w:val="nil"/>
              <w:bottom w:val="nil"/>
              <w:right w:val="nil"/>
            </w:tcBorders>
            <w:vAlign w:val="center"/>
          </w:tcPr>
          <w:p w14:paraId="1F14229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nil"/>
              <w:left w:val="nil"/>
              <w:bottom w:val="nil"/>
              <w:right w:val="nil"/>
            </w:tcBorders>
            <w:vAlign w:val="center"/>
          </w:tcPr>
          <w:p w14:paraId="627F1EB1"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(49.3)</w:t>
            </w:r>
          </w:p>
        </w:tc>
        <w:tc>
          <w:tcPr>
            <w:tcW w:w="1503" w:type="dxa"/>
            <w:tcBorders>
              <w:top w:val="nil"/>
              <w:left w:val="nil"/>
              <w:bottom w:val="nil"/>
              <w:right w:val="nil"/>
            </w:tcBorders>
            <w:vAlign w:val="center"/>
          </w:tcPr>
          <w:p w14:paraId="41C95C7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(46.3)</w:t>
            </w:r>
          </w:p>
        </w:tc>
        <w:tc>
          <w:tcPr>
            <w:tcW w:w="1445" w:type="dxa"/>
            <w:tcBorders>
              <w:top w:val="nil"/>
              <w:left w:val="nil"/>
              <w:bottom w:val="nil"/>
              <w:right w:val="nil"/>
            </w:tcBorders>
            <w:vAlign w:val="center"/>
          </w:tcPr>
          <w:p w14:paraId="64ED3E35"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(62.3)</w:t>
            </w:r>
          </w:p>
        </w:tc>
      </w:tr>
      <w:tr w:rsidR="00756913" w:rsidRPr="00756913" w14:paraId="48B76F8E" w14:textId="77777777">
        <w:tblPrEx>
          <w:tblCellMar>
            <w:top w:w="0" w:type="dxa"/>
            <w:bottom w:w="0" w:type="dxa"/>
          </w:tblCellMar>
        </w:tblPrEx>
        <w:trPr>
          <w:trHeight w:val="280"/>
        </w:trPr>
        <w:tc>
          <w:tcPr>
            <w:tcW w:w="4536" w:type="dxa"/>
            <w:tcBorders>
              <w:top w:val="nil"/>
              <w:left w:val="nil"/>
              <w:bottom w:val="nil"/>
              <w:right w:val="nil"/>
            </w:tcBorders>
            <w:vAlign w:val="center"/>
          </w:tcPr>
          <w:p w14:paraId="346916B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Other reserves</w:t>
            </w:r>
          </w:p>
        </w:tc>
        <w:tc>
          <w:tcPr>
            <w:tcW w:w="851" w:type="dxa"/>
            <w:tcBorders>
              <w:top w:val="nil"/>
              <w:left w:val="nil"/>
              <w:bottom w:val="nil"/>
              <w:right w:val="nil"/>
            </w:tcBorders>
            <w:vAlign w:val="center"/>
          </w:tcPr>
          <w:p w14:paraId="3E99C23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nil"/>
              <w:left w:val="nil"/>
              <w:bottom w:val="single" w:sz="4" w:space="0" w:color="auto"/>
              <w:right w:val="nil"/>
            </w:tcBorders>
          </w:tcPr>
          <w:p w14:paraId="2BBBF632"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63.8</w:t>
            </w:r>
          </w:p>
        </w:tc>
        <w:tc>
          <w:tcPr>
            <w:tcW w:w="1503" w:type="dxa"/>
            <w:tcBorders>
              <w:top w:val="nil"/>
              <w:left w:val="nil"/>
              <w:bottom w:val="single" w:sz="4" w:space="0" w:color="auto"/>
              <w:right w:val="nil"/>
            </w:tcBorders>
            <w:vAlign w:val="center"/>
          </w:tcPr>
          <w:p w14:paraId="64E0A392"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63.6</w:t>
            </w:r>
          </w:p>
        </w:tc>
        <w:tc>
          <w:tcPr>
            <w:tcW w:w="1445" w:type="dxa"/>
            <w:tcBorders>
              <w:top w:val="nil"/>
              <w:left w:val="nil"/>
              <w:bottom w:val="single" w:sz="4" w:space="0" w:color="auto"/>
              <w:right w:val="nil"/>
            </w:tcBorders>
          </w:tcPr>
          <w:p w14:paraId="18EFF5DA"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63.7</w:t>
            </w:r>
          </w:p>
        </w:tc>
      </w:tr>
      <w:tr w:rsidR="00756913" w:rsidRPr="00756913" w14:paraId="750240C9" w14:textId="77777777">
        <w:tblPrEx>
          <w:tblCellMar>
            <w:top w:w="0" w:type="dxa"/>
            <w:bottom w:w="0" w:type="dxa"/>
          </w:tblCellMar>
        </w:tblPrEx>
        <w:trPr>
          <w:trHeight w:val="280"/>
        </w:trPr>
        <w:tc>
          <w:tcPr>
            <w:tcW w:w="4536" w:type="dxa"/>
            <w:tcBorders>
              <w:top w:val="nil"/>
              <w:left w:val="nil"/>
              <w:bottom w:val="nil"/>
              <w:right w:val="nil"/>
            </w:tcBorders>
            <w:vAlign w:val="center"/>
          </w:tcPr>
          <w:p w14:paraId="403F7FB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 xml:space="preserve">Equity attributable to the owners of the Company </w:t>
            </w:r>
          </w:p>
        </w:tc>
        <w:tc>
          <w:tcPr>
            <w:tcW w:w="851" w:type="dxa"/>
            <w:tcBorders>
              <w:top w:val="nil"/>
              <w:left w:val="nil"/>
              <w:bottom w:val="nil"/>
              <w:right w:val="nil"/>
            </w:tcBorders>
            <w:vAlign w:val="center"/>
          </w:tcPr>
          <w:p w14:paraId="5F1457B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single" w:sz="4" w:space="0" w:color="auto"/>
              <w:left w:val="nil"/>
              <w:bottom w:val="nil"/>
              <w:right w:val="nil"/>
            </w:tcBorders>
          </w:tcPr>
          <w:p w14:paraId="2A76E4F3"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218.2</w:t>
            </w:r>
          </w:p>
        </w:tc>
        <w:tc>
          <w:tcPr>
            <w:tcW w:w="1503" w:type="dxa"/>
            <w:tcBorders>
              <w:top w:val="nil"/>
              <w:left w:val="nil"/>
              <w:bottom w:val="nil"/>
              <w:right w:val="nil"/>
            </w:tcBorders>
            <w:vAlign w:val="center"/>
          </w:tcPr>
          <w:p w14:paraId="2E39F85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220.5</w:t>
            </w:r>
          </w:p>
        </w:tc>
        <w:tc>
          <w:tcPr>
            <w:tcW w:w="1445" w:type="dxa"/>
            <w:tcBorders>
              <w:top w:val="nil"/>
              <w:left w:val="nil"/>
              <w:bottom w:val="nil"/>
              <w:right w:val="nil"/>
            </w:tcBorders>
          </w:tcPr>
          <w:p w14:paraId="00F93F69"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204.2</w:t>
            </w:r>
          </w:p>
        </w:tc>
      </w:tr>
      <w:tr w:rsidR="00756913" w:rsidRPr="00756913" w14:paraId="2F8C840B" w14:textId="77777777">
        <w:tblPrEx>
          <w:tblCellMar>
            <w:top w:w="0" w:type="dxa"/>
            <w:bottom w:w="0" w:type="dxa"/>
          </w:tblCellMar>
        </w:tblPrEx>
        <w:trPr>
          <w:trHeight w:val="280"/>
        </w:trPr>
        <w:tc>
          <w:tcPr>
            <w:tcW w:w="4536" w:type="dxa"/>
            <w:tcBorders>
              <w:top w:val="nil"/>
              <w:left w:val="nil"/>
              <w:bottom w:val="nil"/>
              <w:right w:val="nil"/>
            </w:tcBorders>
            <w:vAlign w:val="center"/>
          </w:tcPr>
          <w:p w14:paraId="727C4E3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Non-controlling interest</w:t>
            </w:r>
          </w:p>
        </w:tc>
        <w:tc>
          <w:tcPr>
            <w:tcW w:w="851" w:type="dxa"/>
            <w:tcBorders>
              <w:top w:val="nil"/>
              <w:left w:val="nil"/>
              <w:bottom w:val="nil"/>
              <w:right w:val="nil"/>
            </w:tcBorders>
            <w:vAlign w:val="center"/>
          </w:tcPr>
          <w:p w14:paraId="25D1684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r w:rsidRPr="00756913">
              <w:rPr>
                <w:rFonts w:ascii="Arial" w:hAnsi="Arial" w:cs="Arial"/>
                <w:i/>
                <w:iCs/>
                <w:sz w:val="18"/>
                <w:szCs w:val="18"/>
                <w14:ligatures w14:val="standardContextual"/>
              </w:rPr>
              <w:t>11</w:t>
            </w:r>
          </w:p>
        </w:tc>
        <w:tc>
          <w:tcPr>
            <w:tcW w:w="1474" w:type="dxa"/>
            <w:tcBorders>
              <w:top w:val="nil"/>
              <w:left w:val="nil"/>
              <w:bottom w:val="single" w:sz="4" w:space="0" w:color="auto"/>
              <w:right w:val="nil"/>
            </w:tcBorders>
          </w:tcPr>
          <w:p w14:paraId="6D9A2C9A"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5.5</w:t>
            </w:r>
          </w:p>
        </w:tc>
        <w:tc>
          <w:tcPr>
            <w:tcW w:w="1503" w:type="dxa"/>
            <w:tcBorders>
              <w:top w:val="nil"/>
              <w:left w:val="nil"/>
              <w:bottom w:val="single" w:sz="4" w:space="0" w:color="auto"/>
              <w:right w:val="nil"/>
            </w:tcBorders>
            <w:vAlign w:val="center"/>
          </w:tcPr>
          <w:p w14:paraId="4EAE14B8"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5.6</w:t>
            </w:r>
          </w:p>
        </w:tc>
        <w:tc>
          <w:tcPr>
            <w:tcW w:w="1445" w:type="dxa"/>
            <w:tcBorders>
              <w:top w:val="nil"/>
              <w:left w:val="nil"/>
              <w:bottom w:val="single" w:sz="4" w:space="0" w:color="auto"/>
              <w:right w:val="nil"/>
            </w:tcBorders>
          </w:tcPr>
          <w:p w14:paraId="075DAB97"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6.3</w:t>
            </w:r>
          </w:p>
        </w:tc>
      </w:tr>
      <w:tr w:rsidR="00756913" w:rsidRPr="00756913" w14:paraId="4C7BBDFD" w14:textId="77777777">
        <w:tblPrEx>
          <w:tblCellMar>
            <w:top w:w="0" w:type="dxa"/>
            <w:bottom w:w="0" w:type="dxa"/>
          </w:tblCellMar>
        </w:tblPrEx>
        <w:trPr>
          <w:trHeight w:val="280"/>
        </w:trPr>
        <w:tc>
          <w:tcPr>
            <w:tcW w:w="4536" w:type="dxa"/>
            <w:tcBorders>
              <w:top w:val="nil"/>
              <w:left w:val="nil"/>
              <w:bottom w:val="nil"/>
              <w:right w:val="nil"/>
            </w:tcBorders>
            <w:vAlign w:val="center"/>
          </w:tcPr>
          <w:p w14:paraId="3CB258B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Total equity</w:t>
            </w:r>
          </w:p>
        </w:tc>
        <w:tc>
          <w:tcPr>
            <w:tcW w:w="851" w:type="dxa"/>
            <w:tcBorders>
              <w:top w:val="nil"/>
              <w:left w:val="nil"/>
              <w:bottom w:val="nil"/>
              <w:right w:val="nil"/>
            </w:tcBorders>
            <w:vAlign w:val="center"/>
          </w:tcPr>
          <w:p w14:paraId="2102193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1474" w:type="dxa"/>
            <w:tcBorders>
              <w:top w:val="single" w:sz="4" w:space="0" w:color="auto"/>
              <w:left w:val="nil"/>
              <w:bottom w:val="single" w:sz="4" w:space="0" w:color="auto"/>
              <w:right w:val="nil"/>
            </w:tcBorders>
          </w:tcPr>
          <w:p w14:paraId="688EC17A"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223.7</w:t>
            </w:r>
          </w:p>
        </w:tc>
        <w:tc>
          <w:tcPr>
            <w:tcW w:w="1503" w:type="dxa"/>
            <w:tcBorders>
              <w:top w:val="single" w:sz="4" w:space="0" w:color="auto"/>
              <w:left w:val="nil"/>
              <w:bottom w:val="single" w:sz="4" w:space="0" w:color="auto"/>
              <w:right w:val="nil"/>
            </w:tcBorders>
            <w:vAlign w:val="center"/>
          </w:tcPr>
          <w:p w14:paraId="47A14561"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226.1</w:t>
            </w:r>
          </w:p>
        </w:tc>
        <w:tc>
          <w:tcPr>
            <w:tcW w:w="1445" w:type="dxa"/>
            <w:tcBorders>
              <w:top w:val="single" w:sz="4" w:space="0" w:color="auto"/>
              <w:left w:val="nil"/>
              <w:bottom w:val="single" w:sz="4" w:space="0" w:color="auto"/>
              <w:right w:val="nil"/>
            </w:tcBorders>
          </w:tcPr>
          <w:p w14:paraId="10EF6ED6"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210.5</w:t>
            </w:r>
          </w:p>
        </w:tc>
      </w:tr>
      <w:tr w:rsidR="00756913" w:rsidRPr="00756913" w14:paraId="48640052" w14:textId="77777777">
        <w:tblPrEx>
          <w:tblCellMar>
            <w:top w:w="0" w:type="dxa"/>
            <w:bottom w:w="0" w:type="dxa"/>
          </w:tblCellMar>
        </w:tblPrEx>
        <w:trPr>
          <w:trHeight w:val="280"/>
        </w:trPr>
        <w:tc>
          <w:tcPr>
            <w:tcW w:w="4536" w:type="dxa"/>
            <w:tcBorders>
              <w:top w:val="nil"/>
              <w:left w:val="nil"/>
              <w:bottom w:val="nil"/>
              <w:right w:val="nil"/>
            </w:tcBorders>
            <w:vAlign w:val="center"/>
          </w:tcPr>
          <w:p w14:paraId="4234803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Total equity and liabilities</w:t>
            </w:r>
          </w:p>
        </w:tc>
        <w:tc>
          <w:tcPr>
            <w:tcW w:w="851" w:type="dxa"/>
            <w:tcBorders>
              <w:top w:val="nil"/>
              <w:left w:val="nil"/>
              <w:bottom w:val="nil"/>
              <w:right w:val="nil"/>
            </w:tcBorders>
            <w:vAlign w:val="center"/>
          </w:tcPr>
          <w:p w14:paraId="732831C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b/>
                <w:bCs/>
                <w:color w:val="FF0000"/>
                <w:sz w:val="18"/>
                <w:szCs w:val="18"/>
                <w14:ligatures w14:val="standardContextual"/>
              </w:rPr>
            </w:pPr>
          </w:p>
        </w:tc>
        <w:tc>
          <w:tcPr>
            <w:tcW w:w="1474" w:type="dxa"/>
            <w:tcBorders>
              <w:top w:val="single" w:sz="4" w:space="0" w:color="auto"/>
              <w:left w:val="nil"/>
              <w:bottom w:val="single" w:sz="4" w:space="0" w:color="auto"/>
              <w:right w:val="nil"/>
            </w:tcBorders>
          </w:tcPr>
          <w:p w14:paraId="680B3B32"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412.8</w:t>
            </w:r>
          </w:p>
        </w:tc>
        <w:tc>
          <w:tcPr>
            <w:tcW w:w="1503" w:type="dxa"/>
            <w:tcBorders>
              <w:top w:val="single" w:sz="4" w:space="0" w:color="auto"/>
              <w:left w:val="nil"/>
              <w:bottom w:val="single" w:sz="4" w:space="0" w:color="auto"/>
              <w:right w:val="nil"/>
            </w:tcBorders>
            <w:vAlign w:val="center"/>
          </w:tcPr>
          <w:p w14:paraId="11EAD026"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405.1</w:t>
            </w:r>
          </w:p>
        </w:tc>
        <w:tc>
          <w:tcPr>
            <w:tcW w:w="1445" w:type="dxa"/>
            <w:tcBorders>
              <w:top w:val="single" w:sz="4" w:space="0" w:color="auto"/>
              <w:left w:val="nil"/>
              <w:bottom w:val="single" w:sz="4" w:space="0" w:color="auto"/>
              <w:right w:val="nil"/>
            </w:tcBorders>
          </w:tcPr>
          <w:p w14:paraId="783FF341" w14:textId="77777777" w:rsidR="00756913" w:rsidRPr="00756913" w:rsidRDefault="00756913" w:rsidP="00756913">
            <w:pPr>
              <w:tabs>
                <w:tab w:val="decimal" w:pos="990"/>
                <w:tab w:val="left" w:pos="1530"/>
                <w:tab w:val="left" w:pos="2268"/>
                <w:tab w:val="left" w:pos="2977"/>
                <w:tab w:val="left" w:pos="3686"/>
                <w:tab w:val="left" w:pos="4394"/>
                <w:tab w:val="right" w:pos="8789"/>
              </w:tabs>
              <w:autoSpaceDE w:val="0"/>
              <w:autoSpaceDN w:val="0"/>
              <w:adjustRightInd w:val="0"/>
              <w:spacing w:after="0" w:line="260" w:lineRule="atLeast"/>
              <w:ind w:right="144"/>
              <w:jc w:val="right"/>
              <w:rPr>
                <w:rFonts w:ascii="Arial" w:hAnsi="Arial" w:cs="Arial"/>
                <w:sz w:val="18"/>
                <w:szCs w:val="18"/>
                <w14:ligatures w14:val="standardContextual"/>
              </w:rPr>
            </w:pPr>
            <w:r w:rsidRPr="00756913">
              <w:rPr>
                <w:rFonts w:ascii="Arial" w:hAnsi="Arial" w:cs="Arial"/>
                <w:sz w:val="18"/>
                <w:szCs w:val="18"/>
                <w14:ligatures w14:val="standardContextual"/>
              </w:rPr>
              <w:t>427.3</w:t>
            </w:r>
          </w:p>
        </w:tc>
      </w:tr>
    </w:tbl>
    <w:p w14:paraId="3F6D1F6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cs="Arial"/>
          <w:color w:val="FF0000"/>
          <w:sz w:val="20"/>
          <w:szCs w:val="20"/>
          <w14:ligatures w14:val="standardContextual"/>
        </w:rPr>
      </w:pPr>
    </w:p>
    <w:p w14:paraId="585BB067" w14:textId="77777777" w:rsidR="00756913" w:rsidRPr="00756913" w:rsidRDefault="00756913" w:rsidP="00756913">
      <w:pPr>
        <w:autoSpaceDE w:val="0"/>
        <w:autoSpaceDN w:val="0"/>
        <w:adjustRightInd w:val="0"/>
        <w:rPr>
          <w:rFonts w:ascii="Arial" w:hAnsi="Arial" w:cs="Arial"/>
          <w:color w:val="FF0000"/>
          <w:sz w:val="20"/>
          <w:szCs w:val="20"/>
          <w14:ligatures w14:val="standardContextual"/>
        </w:rPr>
      </w:pPr>
      <w:r w:rsidRPr="00756913">
        <w:rPr>
          <w:rFonts w:ascii="Arial" w:hAnsi="Arial" w:cs="Arial"/>
          <w:color w:val="FF0000"/>
          <w:sz w:val="20"/>
          <w:szCs w:val="20"/>
          <w14:ligatures w14:val="standardContextual"/>
        </w:rPr>
        <w:br w:type="page"/>
      </w:r>
    </w:p>
    <w:p w14:paraId="508B3968" w14:textId="77777777" w:rsidR="00756913" w:rsidRPr="00756913" w:rsidRDefault="00756913" w:rsidP="00756913">
      <w:pPr>
        <w:suppressAutoHyphens/>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b/>
          <w:bCs/>
          <w:sz w:val="26"/>
          <w:szCs w:val="26"/>
          <w14:ligatures w14:val="standardContextual"/>
        </w:rPr>
        <w:t>Consolidated statement of changes in equity</w:t>
      </w:r>
    </w:p>
    <w:p w14:paraId="08262A65" w14:textId="77777777" w:rsidR="00756913" w:rsidRPr="00756913" w:rsidRDefault="00756913" w:rsidP="00756913">
      <w:pPr>
        <w:widowControl w:val="0"/>
        <w:suppressAutoHyphens/>
        <w:autoSpaceDE w:val="0"/>
        <w:autoSpaceDN w:val="0"/>
        <w:adjustRightInd w:val="0"/>
        <w:spacing w:after="0" w:line="240" w:lineRule="auto"/>
        <w:rPr>
          <w:rFonts w:ascii="Arial" w:hAnsi="Arial" w:cs="Arial"/>
          <w:i/>
          <w:iCs/>
          <w:sz w:val="20"/>
          <w:szCs w:val="20"/>
          <w14:ligatures w14:val="standardContextual"/>
        </w:rPr>
      </w:pPr>
      <w:r w:rsidRPr="00756913">
        <w:rPr>
          <w:rFonts w:ascii="Arial" w:hAnsi="Arial" w:cs="Arial"/>
          <w:i/>
          <w:iCs/>
          <w:sz w:val="20"/>
          <w:szCs w:val="20"/>
          <w14:ligatures w14:val="standardContextual"/>
        </w:rPr>
        <w:t>for the period ended 30 June 2024, 31 December 2023 and 30 June 2023</w:t>
      </w:r>
    </w:p>
    <w:p w14:paraId="3B350F7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color w:val="FF0000"/>
          <w:sz w:val="18"/>
          <w:szCs w:val="18"/>
          <w14:ligatures w14:val="standardContextual"/>
        </w:rPr>
      </w:pPr>
    </w:p>
    <w:tbl>
      <w:tblPr>
        <w:tblW w:w="0" w:type="auto"/>
        <w:tblLayout w:type="fixed"/>
        <w:tblLook w:val="0000" w:firstRow="0" w:lastRow="0" w:firstColumn="0" w:lastColumn="0" w:noHBand="0" w:noVBand="0"/>
      </w:tblPr>
      <w:tblGrid>
        <w:gridCol w:w="2438"/>
        <w:gridCol w:w="737"/>
        <w:gridCol w:w="964"/>
        <w:gridCol w:w="907"/>
        <w:gridCol w:w="964"/>
        <w:gridCol w:w="907"/>
        <w:gridCol w:w="1133"/>
        <w:gridCol w:w="1060"/>
        <w:gridCol w:w="850"/>
      </w:tblGrid>
      <w:tr w:rsidR="00756913" w:rsidRPr="00756913" w14:paraId="508A37F1" w14:textId="77777777">
        <w:tblPrEx>
          <w:tblCellMar>
            <w:top w:w="0" w:type="dxa"/>
            <w:bottom w:w="0" w:type="dxa"/>
          </w:tblCellMar>
        </w:tblPrEx>
        <w:trPr>
          <w:trHeight w:val="278"/>
        </w:trPr>
        <w:tc>
          <w:tcPr>
            <w:tcW w:w="2438" w:type="dxa"/>
            <w:tcBorders>
              <w:top w:val="nil"/>
              <w:left w:val="nil"/>
              <w:bottom w:val="nil"/>
              <w:right w:val="nil"/>
            </w:tcBorders>
            <w:vAlign w:val="center"/>
          </w:tcPr>
          <w:p w14:paraId="7D9F8A4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p>
        </w:tc>
        <w:tc>
          <w:tcPr>
            <w:tcW w:w="737" w:type="dxa"/>
            <w:tcBorders>
              <w:top w:val="nil"/>
              <w:left w:val="nil"/>
              <w:bottom w:val="nil"/>
              <w:right w:val="nil"/>
            </w:tcBorders>
            <w:vAlign w:val="bottom"/>
          </w:tcPr>
          <w:p w14:paraId="6C894A51" w14:textId="77777777" w:rsidR="00756913" w:rsidRPr="00756913" w:rsidRDefault="00756913" w:rsidP="00756913">
            <w:pPr>
              <w:tabs>
                <w:tab w:val="decimal" w:pos="720"/>
              </w:tabs>
              <w:autoSpaceDE w:val="0"/>
              <w:autoSpaceDN w:val="0"/>
              <w:adjustRightInd w:val="0"/>
              <w:spacing w:after="0" w:line="240" w:lineRule="auto"/>
              <w:jc w:val="right"/>
              <w:rPr>
                <w:rFonts w:ascii="Arial" w:hAnsi="Arial" w:cs="Arial"/>
                <w:sz w:val="18"/>
                <w:szCs w:val="18"/>
                <w14:ligatures w14:val="standardContextual"/>
              </w:rPr>
            </w:pPr>
          </w:p>
          <w:p w14:paraId="69F4F4FE" w14:textId="77777777" w:rsidR="00756913" w:rsidRPr="00756913" w:rsidRDefault="00756913" w:rsidP="00756913">
            <w:pPr>
              <w:tabs>
                <w:tab w:val="decimal" w:pos="720"/>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Share </w:t>
            </w:r>
          </w:p>
          <w:p w14:paraId="75679FF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capital</w:t>
            </w:r>
          </w:p>
        </w:tc>
        <w:tc>
          <w:tcPr>
            <w:tcW w:w="964" w:type="dxa"/>
            <w:tcBorders>
              <w:top w:val="nil"/>
              <w:left w:val="nil"/>
              <w:bottom w:val="nil"/>
              <w:right w:val="nil"/>
            </w:tcBorders>
            <w:vAlign w:val="bottom"/>
          </w:tcPr>
          <w:p w14:paraId="236FE16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p>
          <w:p w14:paraId="1627FCA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Share premium</w:t>
            </w:r>
          </w:p>
        </w:tc>
        <w:tc>
          <w:tcPr>
            <w:tcW w:w="907" w:type="dxa"/>
            <w:tcBorders>
              <w:top w:val="nil"/>
              <w:left w:val="nil"/>
              <w:bottom w:val="nil"/>
              <w:right w:val="nil"/>
            </w:tcBorders>
            <w:vAlign w:val="bottom"/>
          </w:tcPr>
          <w:p w14:paraId="17133A6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Reserve for own shares</w:t>
            </w:r>
          </w:p>
        </w:tc>
        <w:tc>
          <w:tcPr>
            <w:tcW w:w="964" w:type="dxa"/>
            <w:tcBorders>
              <w:top w:val="nil"/>
              <w:left w:val="nil"/>
              <w:bottom w:val="nil"/>
              <w:right w:val="nil"/>
            </w:tcBorders>
            <w:vAlign w:val="bottom"/>
          </w:tcPr>
          <w:p w14:paraId="57B53932"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p>
          <w:p w14:paraId="5E600595"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Retained earnings</w:t>
            </w:r>
          </w:p>
        </w:tc>
        <w:tc>
          <w:tcPr>
            <w:tcW w:w="907" w:type="dxa"/>
            <w:tcBorders>
              <w:top w:val="nil"/>
              <w:left w:val="nil"/>
              <w:bottom w:val="nil"/>
              <w:right w:val="nil"/>
            </w:tcBorders>
            <w:vAlign w:val="bottom"/>
          </w:tcPr>
          <w:p w14:paraId="24C31DD7" w14:textId="77777777" w:rsidR="00756913" w:rsidRPr="00756913" w:rsidRDefault="00756913" w:rsidP="00756913">
            <w:pPr>
              <w:tabs>
                <w:tab w:val="decimal" w:pos="684"/>
              </w:tabs>
              <w:autoSpaceDE w:val="0"/>
              <w:autoSpaceDN w:val="0"/>
              <w:adjustRightInd w:val="0"/>
              <w:spacing w:after="0" w:line="240" w:lineRule="auto"/>
              <w:jc w:val="right"/>
              <w:rPr>
                <w:rFonts w:ascii="Arial" w:hAnsi="Arial" w:cs="Arial"/>
                <w:sz w:val="18"/>
                <w:szCs w:val="18"/>
                <w14:ligatures w14:val="standardContextual"/>
              </w:rPr>
            </w:pPr>
          </w:p>
          <w:p w14:paraId="6C5C8C7B"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Other reserves</w:t>
            </w:r>
          </w:p>
        </w:tc>
        <w:tc>
          <w:tcPr>
            <w:tcW w:w="1133" w:type="dxa"/>
            <w:tcBorders>
              <w:top w:val="nil"/>
              <w:left w:val="nil"/>
              <w:bottom w:val="nil"/>
              <w:right w:val="nil"/>
            </w:tcBorders>
            <w:vAlign w:val="bottom"/>
          </w:tcPr>
          <w:p w14:paraId="3586408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Equity attributable to the owners of the Company</w:t>
            </w:r>
          </w:p>
        </w:tc>
        <w:tc>
          <w:tcPr>
            <w:tcW w:w="1060" w:type="dxa"/>
            <w:tcBorders>
              <w:top w:val="nil"/>
              <w:left w:val="nil"/>
              <w:bottom w:val="nil"/>
              <w:right w:val="nil"/>
            </w:tcBorders>
            <w:vAlign w:val="bottom"/>
          </w:tcPr>
          <w:p w14:paraId="7A670A0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Non-controlling interest</w:t>
            </w:r>
          </w:p>
        </w:tc>
        <w:tc>
          <w:tcPr>
            <w:tcW w:w="850" w:type="dxa"/>
            <w:tcBorders>
              <w:top w:val="nil"/>
              <w:left w:val="nil"/>
              <w:bottom w:val="nil"/>
              <w:right w:val="nil"/>
            </w:tcBorders>
            <w:vAlign w:val="bottom"/>
          </w:tcPr>
          <w:p w14:paraId="5DF9BB1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Total Equity</w:t>
            </w:r>
          </w:p>
        </w:tc>
      </w:tr>
      <w:tr w:rsidR="00756913" w:rsidRPr="00756913" w14:paraId="149ABC86" w14:textId="77777777">
        <w:tblPrEx>
          <w:tblCellMar>
            <w:top w:w="0" w:type="dxa"/>
            <w:bottom w:w="0" w:type="dxa"/>
          </w:tblCellMar>
        </w:tblPrEx>
        <w:trPr>
          <w:trHeight w:val="278"/>
        </w:trPr>
        <w:tc>
          <w:tcPr>
            <w:tcW w:w="2438" w:type="dxa"/>
            <w:tcBorders>
              <w:top w:val="nil"/>
              <w:left w:val="nil"/>
              <w:bottom w:val="nil"/>
              <w:right w:val="nil"/>
            </w:tcBorders>
            <w:vAlign w:val="center"/>
          </w:tcPr>
          <w:p w14:paraId="6190FE4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p>
        </w:tc>
        <w:tc>
          <w:tcPr>
            <w:tcW w:w="737" w:type="dxa"/>
            <w:tcBorders>
              <w:top w:val="nil"/>
              <w:left w:val="nil"/>
              <w:bottom w:val="nil"/>
              <w:right w:val="nil"/>
            </w:tcBorders>
            <w:vAlign w:val="center"/>
          </w:tcPr>
          <w:p w14:paraId="1278C37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£m</w:t>
            </w:r>
          </w:p>
        </w:tc>
        <w:tc>
          <w:tcPr>
            <w:tcW w:w="964" w:type="dxa"/>
            <w:tcBorders>
              <w:top w:val="nil"/>
              <w:left w:val="nil"/>
              <w:bottom w:val="nil"/>
              <w:right w:val="nil"/>
            </w:tcBorders>
            <w:vAlign w:val="center"/>
          </w:tcPr>
          <w:p w14:paraId="3DEE760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£m</w:t>
            </w:r>
          </w:p>
        </w:tc>
        <w:tc>
          <w:tcPr>
            <w:tcW w:w="907" w:type="dxa"/>
            <w:tcBorders>
              <w:top w:val="nil"/>
              <w:left w:val="nil"/>
              <w:bottom w:val="nil"/>
              <w:right w:val="nil"/>
            </w:tcBorders>
            <w:vAlign w:val="center"/>
          </w:tcPr>
          <w:p w14:paraId="0031E7C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£m</w:t>
            </w:r>
          </w:p>
        </w:tc>
        <w:tc>
          <w:tcPr>
            <w:tcW w:w="964" w:type="dxa"/>
            <w:tcBorders>
              <w:top w:val="nil"/>
              <w:left w:val="nil"/>
              <w:bottom w:val="nil"/>
              <w:right w:val="nil"/>
            </w:tcBorders>
            <w:vAlign w:val="center"/>
          </w:tcPr>
          <w:p w14:paraId="15963203"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£m</w:t>
            </w:r>
          </w:p>
        </w:tc>
        <w:tc>
          <w:tcPr>
            <w:tcW w:w="907" w:type="dxa"/>
            <w:tcBorders>
              <w:top w:val="nil"/>
              <w:left w:val="nil"/>
              <w:bottom w:val="nil"/>
              <w:right w:val="nil"/>
            </w:tcBorders>
            <w:vAlign w:val="center"/>
          </w:tcPr>
          <w:p w14:paraId="3E0959B5"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£m</w:t>
            </w:r>
          </w:p>
        </w:tc>
        <w:tc>
          <w:tcPr>
            <w:tcW w:w="1133" w:type="dxa"/>
            <w:tcBorders>
              <w:top w:val="nil"/>
              <w:left w:val="nil"/>
              <w:bottom w:val="nil"/>
              <w:right w:val="nil"/>
            </w:tcBorders>
            <w:vAlign w:val="center"/>
          </w:tcPr>
          <w:p w14:paraId="07C35AF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£m</w:t>
            </w:r>
          </w:p>
        </w:tc>
        <w:tc>
          <w:tcPr>
            <w:tcW w:w="1060" w:type="dxa"/>
            <w:tcBorders>
              <w:top w:val="nil"/>
              <w:left w:val="nil"/>
              <w:bottom w:val="nil"/>
              <w:right w:val="nil"/>
            </w:tcBorders>
            <w:vAlign w:val="center"/>
          </w:tcPr>
          <w:p w14:paraId="6C84819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£m</w:t>
            </w:r>
          </w:p>
        </w:tc>
        <w:tc>
          <w:tcPr>
            <w:tcW w:w="850" w:type="dxa"/>
            <w:tcBorders>
              <w:top w:val="nil"/>
              <w:left w:val="nil"/>
              <w:bottom w:val="nil"/>
              <w:right w:val="nil"/>
            </w:tcBorders>
            <w:vAlign w:val="center"/>
          </w:tcPr>
          <w:p w14:paraId="326CD7A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£m</w:t>
            </w:r>
          </w:p>
        </w:tc>
      </w:tr>
      <w:tr w:rsidR="00756913" w:rsidRPr="00756913" w14:paraId="41FB37A9" w14:textId="77777777">
        <w:tblPrEx>
          <w:tblCellMar>
            <w:top w:w="0" w:type="dxa"/>
            <w:bottom w:w="0" w:type="dxa"/>
          </w:tblCellMar>
        </w:tblPrEx>
        <w:trPr>
          <w:trHeight w:val="278"/>
        </w:trPr>
        <w:tc>
          <w:tcPr>
            <w:tcW w:w="2438" w:type="dxa"/>
            <w:tcBorders>
              <w:top w:val="nil"/>
              <w:left w:val="nil"/>
              <w:bottom w:val="nil"/>
              <w:right w:val="nil"/>
            </w:tcBorders>
            <w:vAlign w:val="center"/>
          </w:tcPr>
          <w:p w14:paraId="0F3F2EC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color w:val="FF0000"/>
                <w:sz w:val="18"/>
                <w:szCs w:val="18"/>
                <w14:ligatures w14:val="standardContextual"/>
              </w:rPr>
            </w:pPr>
          </w:p>
        </w:tc>
        <w:tc>
          <w:tcPr>
            <w:tcW w:w="737" w:type="dxa"/>
            <w:tcBorders>
              <w:top w:val="nil"/>
              <w:left w:val="nil"/>
              <w:bottom w:val="nil"/>
              <w:right w:val="nil"/>
            </w:tcBorders>
            <w:vAlign w:val="center"/>
          </w:tcPr>
          <w:p w14:paraId="05F1864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964" w:type="dxa"/>
            <w:tcBorders>
              <w:top w:val="nil"/>
              <w:left w:val="nil"/>
              <w:bottom w:val="nil"/>
              <w:right w:val="nil"/>
            </w:tcBorders>
            <w:vAlign w:val="center"/>
          </w:tcPr>
          <w:p w14:paraId="1DB9BF7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907" w:type="dxa"/>
            <w:tcBorders>
              <w:top w:val="nil"/>
              <w:left w:val="nil"/>
              <w:bottom w:val="nil"/>
              <w:right w:val="nil"/>
            </w:tcBorders>
            <w:vAlign w:val="center"/>
          </w:tcPr>
          <w:p w14:paraId="79F3185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964" w:type="dxa"/>
            <w:tcBorders>
              <w:top w:val="nil"/>
              <w:left w:val="nil"/>
              <w:bottom w:val="nil"/>
              <w:right w:val="nil"/>
            </w:tcBorders>
            <w:vAlign w:val="center"/>
          </w:tcPr>
          <w:p w14:paraId="7DFA835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907" w:type="dxa"/>
            <w:tcBorders>
              <w:top w:val="nil"/>
              <w:left w:val="nil"/>
              <w:bottom w:val="nil"/>
              <w:right w:val="nil"/>
            </w:tcBorders>
            <w:vAlign w:val="center"/>
          </w:tcPr>
          <w:p w14:paraId="0E8DC5F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1133" w:type="dxa"/>
            <w:tcBorders>
              <w:top w:val="nil"/>
              <w:left w:val="nil"/>
              <w:bottom w:val="nil"/>
              <w:right w:val="nil"/>
            </w:tcBorders>
            <w:vAlign w:val="center"/>
          </w:tcPr>
          <w:p w14:paraId="6FF0B6C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1060" w:type="dxa"/>
            <w:tcBorders>
              <w:top w:val="nil"/>
              <w:left w:val="nil"/>
              <w:bottom w:val="nil"/>
              <w:right w:val="nil"/>
            </w:tcBorders>
            <w:vAlign w:val="center"/>
          </w:tcPr>
          <w:p w14:paraId="00A1AC0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850" w:type="dxa"/>
            <w:tcBorders>
              <w:top w:val="nil"/>
              <w:left w:val="nil"/>
              <w:bottom w:val="nil"/>
              <w:right w:val="nil"/>
            </w:tcBorders>
            <w:vAlign w:val="center"/>
          </w:tcPr>
          <w:p w14:paraId="5551E64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r>
      <w:tr w:rsidR="00756913" w:rsidRPr="00756913" w14:paraId="2179C4DA" w14:textId="77777777">
        <w:tblPrEx>
          <w:tblCellMar>
            <w:top w:w="0" w:type="dxa"/>
            <w:bottom w:w="0" w:type="dxa"/>
          </w:tblCellMar>
        </w:tblPrEx>
        <w:trPr>
          <w:trHeight w:val="278"/>
        </w:trPr>
        <w:tc>
          <w:tcPr>
            <w:tcW w:w="2438" w:type="dxa"/>
            <w:tcBorders>
              <w:top w:val="nil"/>
              <w:left w:val="nil"/>
              <w:bottom w:val="nil"/>
              <w:right w:val="nil"/>
            </w:tcBorders>
            <w:vAlign w:val="center"/>
          </w:tcPr>
          <w:p w14:paraId="5D9330D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At 1 January 2023</w:t>
            </w:r>
          </w:p>
        </w:tc>
        <w:tc>
          <w:tcPr>
            <w:tcW w:w="737" w:type="dxa"/>
            <w:tcBorders>
              <w:top w:val="nil"/>
              <w:left w:val="nil"/>
              <w:bottom w:val="single" w:sz="4" w:space="0" w:color="auto"/>
              <w:right w:val="nil"/>
            </w:tcBorders>
            <w:vAlign w:val="center"/>
          </w:tcPr>
          <w:p w14:paraId="72C5E89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0.1</w:t>
            </w:r>
          </w:p>
        </w:tc>
        <w:tc>
          <w:tcPr>
            <w:tcW w:w="964" w:type="dxa"/>
            <w:tcBorders>
              <w:top w:val="nil"/>
              <w:left w:val="nil"/>
              <w:bottom w:val="single" w:sz="4" w:space="0" w:color="auto"/>
              <w:right w:val="nil"/>
            </w:tcBorders>
            <w:vAlign w:val="center"/>
          </w:tcPr>
          <w:p w14:paraId="2D79016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205.4</w:t>
            </w:r>
          </w:p>
        </w:tc>
        <w:tc>
          <w:tcPr>
            <w:tcW w:w="907" w:type="dxa"/>
            <w:tcBorders>
              <w:top w:val="nil"/>
              <w:left w:val="nil"/>
              <w:bottom w:val="single" w:sz="4" w:space="0" w:color="auto"/>
              <w:right w:val="nil"/>
            </w:tcBorders>
            <w:vAlign w:val="center"/>
          </w:tcPr>
          <w:p w14:paraId="1637EC1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(2.4)</w:t>
            </w:r>
          </w:p>
        </w:tc>
        <w:tc>
          <w:tcPr>
            <w:tcW w:w="964" w:type="dxa"/>
            <w:tcBorders>
              <w:top w:val="nil"/>
              <w:left w:val="nil"/>
              <w:bottom w:val="single" w:sz="4" w:space="0" w:color="auto"/>
              <w:right w:val="nil"/>
            </w:tcBorders>
            <w:vAlign w:val="center"/>
          </w:tcPr>
          <w:p w14:paraId="7A690B1D"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(58.1)</w:t>
            </w:r>
          </w:p>
        </w:tc>
        <w:tc>
          <w:tcPr>
            <w:tcW w:w="907" w:type="dxa"/>
            <w:tcBorders>
              <w:top w:val="nil"/>
              <w:left w:val="nil"/>
              <w:bottom w:val="single" w:sz="4" w:space="0" w:color="auto"/>
              <w:right w:val="nil"/>
            </w:tcBorders>
            <w:vAlign w:val="center"/>
          </w:tcPr>
          <w:p w14:paraId="2ADC52CB"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63.7</w:t>
            </w:r>
          </w:p>
        </w:tc>
        <w:tc>
          <w:tcPr>
            <w:tcW w:w="1133" w:type="dxa"/>
            <w:tcBorders>
              <w:top w:val="nil"/>
              <w:left w:val="nil"/>
              <w:bottom w:val="single" w:sz="4" w:space="0" w:color="auto"/>
              <w:right w:val="nil"/>
            </w:tcBorders>
            <w:vAlign w:val="center"/>
          </w:tcPr>
          <w:p w14:paraId="616107F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b/>
                <w:bCs/>
                <w:sz w:val="18"/>
                <w:szCs w:val="18"/>
                <w14:ligatures w14:val="standardContextual"/>
              </w:rPr>
              <w:t>208.7</w:t>
            </w:r>
          </w:p>
        </w:tc>
        <w:tc>
          <w:tcPr>
            <w:tcW w:w="1060" w:type="dxa"/>
            <w:tcBorders>
              <w:top w:val="nil"/>
              <w:left w:val="nil"/>
              <w:bottom w:val="single" w:sz="4" w:space="0" w:color="auto"/>
              <w:right w:val="nil"/>
            </w:tcBorders>
            <w:vAlign w:val="center"/>
          </w:tcPr>
          <w:p w14:paraId="627A8C5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6.0</w:t>
            </w:r>
          </w:p>
        </w:tc>
        <w:tc>
          <w:tcPr>
            <w:tcW w:w="850" w:type="dxa"/>
            <w:tcBorders>
              <w:top w:val="nil"/>
              <w:left w:val="nil"/>
              <w:bottom w:val="single" w:sz="4" w:space="0" w:color="auto"/>
              <w:right w:val="nil"/>
            </w:tcBorders>
            <w:vAlign w:val="center"/>
          </w:tcPr>
          <w:p w14:paraId="126756CD"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214.7</w:t>
            </w:r>
          </w:p>
        </w:tc>
      </w:tr>
      <w:tr w:rsidR="00756913" w:rsidRPr="00756913" w14:paraId="2A2579B6" w14:textId="77777777">
        <w:tblPrEx>
          <w:tblCellMar>
            <w:top w:w="0" w:type="dxa"/>
            <w:bottom w:w="0" w:type="dxa"/>
          </w:tblCellMar>
        </w:tblPrEx>
        <w:trPr>
          <w:trHeight w:val="278"/>
        </w:trPr>
        <w:tc>
          <w:tcPr>
            <w:tcW w:w="2438" w:type="dxa"/>
            <w:tcBorders>
              <w:top w:val="nil"/>
              <w:left w:val="nil"/>
              <w:bottom w:val="nil"/>
              <w:right w:val="nil"/>
            </w:tcBorders>
            <w:vAlign w:val="center"/>
          </w:tcPr>
          <w:p w14:paraId="5781928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Profit for the period</w:t>
            </w:r>
          </w:p>
        </w:tc>
        <w:tc>
          <w:tcPr>
            <w:tcW w:w="737" w:type="dxa"/>
            <w:tcBorders>
              <w:top w:val="single" w:sz="4" w:space="0" w:color="auto"/>
              <w:left w:val="nil"/>
              <w:bottom w:val="nil"/>
              <w:right w:val="nil"/>
            </w:tcBorders>
            <w:vAlign w:val="center"/>
          </w:tcPr>
          <w:p w14:paraId="20DEE26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single" w:sz="4" w:space="0" w:color="auto"/>
              <w:left w:val="nil"/>
              <w:bottom w:val="nil"/>
              <w:right w:val="nil"/>
            </w:tcBorders>
            <w:vAlign w:val="center"/>
          </w:tcPr>
          <w:p w14:paraId="21A0DE24"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single" w:sz="4" w:space="0" w:color="auto"/>
              <w:left w:val="nil"/>
              <w:bottom w:val="nil"/>
              <w:right w:val="nil"/>
            </w:tcBorders>
            <w:vAlign w:val="center"/>
          </w:tcPr>
          <w:p w14:paraId="3376D88E"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single" w:sz="4" w:space="0" w:color="auto"/>
              <w:left w:val="nil"/>
              <w:bottom w:val="nil"/>
              <w:right w:val="nil"/>
            </w:tcBorders>
            <w:vAlign w:val="center"/>
          </w:tcPr>
          <w:p w14:paraId="715E9261"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40.7</w:t>
            </w:r>
          </w:p>
        </w:tc>
        <w:tc>
          <w:tcPr>
            <w:tcW w:w="907" w:type="dxa"/>
            <w:tcBorders>
              <w:top w:val="single" w:sz="4" w:space="0" w:color="auto"/>
              <w:left w:val="nil"/>
              <w:bottom w:val="nil"/>
              <w:right w:val="nil"/>
            </w:tcBorders>
            <w:vAlign w:val="center"/>
          </w:tcPr>
          <w:p w14:paraId="5422886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single" w:sz="4" w:space="0" w:color="auto"/>
              <w:left w:val="nil"/>
              <w:bottom w:val="nil"/>
              <w:right w:val="nil"/>
            </w:tcBorders>
            <w:vAlign w:val="center"/>
          </w:tcPr>
          <w:p w14:paraId="4BD89AB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40.7</w:t>
            </w:r>
          </w:p>
        </w:tc>
        <w:tc>
          <w:tcPr>
            <w:tcW w:w="1060" w:type="dxa"/>
            <w:tcBorders>
              <w:top w:val="single" w:sz="4" w:space="0" w:color="auto"/>
              <w:left w:val="nil"/>
              <w:bottom w:val="nil"/>
              <w:right w:val="nil"/>
            </w:tcBorders>
            <w:vAlign w:val="center"/>
          </w:tcPr>
          <w:p w14:paraId="4FB4EFA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c>
          <w:tcPr>
            <w:tcW w:w="850" w:type="dxa"/>
            <w:tcBorders>
              <w:top w:val="single" w:sz="4" w:space="0" w:color="auto"/>
              <w:left w:val="nil"/>
              <w:bottom w:val="nil"/>
              <w:right w:val="nil"/>
            </w:tcBorders>
            <w:vAlign w:val="center"/>
          </w:tcPr>
          <w:p w14:paraId="6B5B570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41.0</w:t>
            </w:r>
          </w:p>
        </w:tc>
      </w:tr>
      <w:tr w:rsidR="00756913" w:rsidRPr="00756913" w14:paraId="339C81F1" w14:textId="77777777">
        <w:tblPrEx>
          <w:tblCellMar>
            <w:top w:w="0" w:type="dxa"/>
            <w:bottom w:w="0" w:type="dxa"/>
          </w:tblCellMar>
        </w:tblPrEx>
        <w:trPr>
          <w:trHeight w:val="278"/>
        </w:trPr>
        <w:tc>
          <w:tcPr>
            <w:tcW w:w="2438" w:type="dxa"/>
            <w:tcBorders>
              <w:top w:val="nil"/>
              <w:left w:val="nil"/>
              <w:bottom w:val="nil"/>
              <w:right w:val="nil"/>
            </w:tcBorders>
            <w:vAlign w:val="center"/>
          </w:tcPr>
          <w:p w14:paraId="7ABB055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Other comprehensive income</w:t>
            </w:r>
          </w:p>
        </w:tc>
        <w:tc>
          <w:tcPr>
            <w:tcW w:w="737" w:type="dxa"/>
            <w:tcBorders>
              <w:top w:val="nil"/>
              <w:left w:val="nil"/>
              <w:bottom w:val="single" w:sz="4" w:space="0" w:color="auto"/>
              <w:right w:val="nil"/>
            </w:tcBorders>
            <w:vAlign w:val="center"/>
          </w:tcPr>
          <w:p w14:paraId="73C9E79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single" w:sz="4" w:space="0" w:color="auto"/>
              <w:right w:val="nil"/>
            </w:tcBorders>
            <w:vAlign w:val="center"/>
          </w:tcPr>
          <w:p w14:paraId="23C5D922"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single" w:sz="4" w:space="0" w:color="auto"/>
              <w:right w:val="nil"/>
            </w:tcBorders>
            <w:vAlign w:val="center"/>
          </w:tcPr>
          <w:p w14:paraId="7827A206"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single" w:sz="4" w:space="0" w:color="auto"/>
              <w:right w:val="nil"/>
            </w:tcBorders>
            <w:vAlign w:val="center"/>
          </w:tcPr>
          <w:p w14:paraId="237FB49F"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single" w:sz="4" w:space="0" w:color="auto"/>
              <w:right w:val="nil"/>
            </w:tcBorders>
            <w:vAlign w:val="center"/>
          </w:tcPr>
          <w:p w14:paraId="7540F5B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single" w:sz="4" w:space="0" w:color="auto"/>
              <w:right w:val="nil"/>
            </w:tcBorders>
            <w:vAlign w:val="center"/>
          </w:tcPr>
          <w:p w14:paraId="581FC2B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060" w:type="dxa"/>
            <w:tcBorders>
              <w:top w:val="nil"/>
              <w:left w:val="nil"/>
              <w:bottom w:val="single" w:sz="4" w:space="0" w:color="auto"/>
              <w:right w:val="nil"/>
            </w:tcBorders>
            <w:vAlign w:val="center"/>
          </w:tcPr>
          <w:p w14:paraId="557E319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single" w:sz="4" w:space="0" w:color="auto"/>
              <w:right w:val="nil"/>
            </w:tcBorders>
            <w:vAlign w:val="center"/>
          </w:tcPr>
          <w:p w14:paraId="654217E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r>
      <w:tr w:rsidR="00756913" w:rsidRPr="00756913" w14:paraId="25E672F1" w14:textId="77777777">
        <w:tblPrEx>
          <w:tblCellMar>
            <w:top w:w="0" w:type="dxa"/>
            <w:bottom w:w="0" w:type="dxa"/>
          </w:tblCellMar>
        </w:tblPrEx>
        <w:trPr>
          <w:trHeight w:val="278"/>
        </w:trPr>
        <w:tc>
          <w:tcPr>
            <w:tcW w:w="2438" w:type="dxa"/>
            <w:tcBorders>
              <w:top w:val="nil"/>
              <w:left w:val="nil"/>
              <w:bottom w:val="nil"/>
              <w:right w:val="nil"/>
            </w:tcBorders>
            <w:vAlign w:val="center"/>
          </w:tcPr>
          <w:p w14:paraId="1631BFC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Total comprehensive income</w:t>
            </w:r>
          </w:p>
        </w:tc>
        <w:tc>
          <w:tcPr>
            <w:tcW w:w="737" w:type="dxa"/>
            <w:tcBorders>
              <w:top w:val="single" w:sz="4" w:space="0" w:color="auto"/>
              <w:left w:val="nil"/>
              <w:bottom w:val="nil"/>
              <w:right w:val="nil"/>
            </w:tcBorders>
            <w:vAlign w:val="center"/>
          </w:tcPr>
          <w:p w14:paraId="0D97559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single" w:sz="4" w:space="0" w:color="auto"/>
              <w:left w:val="nil"/>
              <w:bottom w:val="nil"/>
              <w:right w:val="nil"/>
            </w:tcBorders>
            <w:vAlign w:val="center"/>
          </w:tcPr>
          <w:p w14:paraId="01BA6376"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single" w:sz="4" w:space="0" w:color="auto"/>
              <w:left w:val="nil"/>
              <w:bottom w:val="nil"/>
              <w:right w:val="nil"/>
            </w:tcBorders>
            <w:vAlign w:val="center"/>
          </w:tcPr>
          <w:p w14:paraId="668659C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single" w:sz="4" w:space="0" w:color="auto"/>
              <w:left w:val="nil"/>
              <w:bottom w:val="nil"/>
              <w:right w:val="nil"/>
            </w:tcBorders>
            <w:vAlign w:val="center"/>
          </w:tcPr>
          <w:p w14:paraId="4B2F95D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40.7</w:t>
            </w:r>
          </w:p>
        </w:tc>
        <w:tc>
          <w:tcPr>
            <w:tcW w:w="907" w:type="dxa"/>
            <w:tcBorders>
              <w:top w:val="single" w:sz="4" w:space="0" w:color="auto"/>
              <w:left w:val="nil"/>
              <w:bottom w:val="nil"/>
              <w:right w:val="nil"/>
            </w:tcBorders>
            <w:vAlign w:val="center"/>
          </w:tcPr>
          <w:p w14:paraId="7B953D5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single" w:sz="4" w:space="0" w:color="auto"/>
              <w:left w:val="nil"/>
              <w:bottom w:val="nil"/>
              <w:right w:val="nil"/>
            </w:tcBorders>
            <w:vAlign w:val="center"/>
          </w:tcPr>
          <w:p w14:paraId="275E13D6"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40.7</w:t>
            </w:r>
          </w:p>
        </w:tc>
        <w:tc>
          <w:tcPr>
            <w:tcW w:w="1060" w:type="dxa"/>
            <w:tcBorders>
              <w:top w:val="single" w:sz="4" w:space="0" w:color="auto"/>
              <w:left w:val="nil"/>
              <w:bottom w:val="nil"/>
              <w:right w:val="nil"/>
            </w:tcBorders>
            <w:vAlign w:val="center"/>
          </w:tcPr>
          <w:p w14:paraId="5F2BB043"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c>
          <w:tcPr>
            <w:tcW w:w="850" w:type="dxa"/>
            <w:tcBorders>
              <w:top w:val="single" w:sz="4" w:space="0" w:color="auto"/>
              <w:left w:val="nil"/>
              <w:bottom w:val="nil"/>
              <w:right w:val="nil"/>
            </w:tcBorders>
            <w:vAlign w:val="center"/>
          </w:tcPr>
          <w:p w14:paraId="2A15EB0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41.0</w:t>
            </w:r>
          </w:p>
        </w:tc>
      </w:tr>
      <w:tr w:rsidR="00756913" w:rsidRPr="00756913" w14:paraId="3F1BD052" w14:textId="77777777">
        <w:tblPrEx>
          <w:tblCellMar>
            <w:top w:w="0" w:type="dxa"/>
            <w:bottom w:w="0" w:type="dxa"/>
          </w:tblCellMar>
        </w:tblPrEx>
        <w:trPr>
          <w:trHeight w:val="278"/>
        </w:trPr>
        <w:tc>
          <w:tcPr>
            <w:tcW w:w="2438" w:type="dxa"/>
            <w:tcBorders>
              <w:top w:val="nil"/>
              <w:left w:val="nil"/>
              <w:bottom w:val="nil"/>
              <w:right w:val="nil"/>
            </w:tcBorders>
            <w:vAlign w:val="center"/>
          </w:tcPr>
          <w:p w14:paraId="14D443A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Purchase of shares by employee trusts</w:t>
            </w:r>
          </w:p>
        </w:tc>
        <w:tc>
          <w:tcPr>
            <w:tcW w:w="737" w:type="dxa"/>
            <w:tcBorders>
              <w:top w:val="nil"/>
              <w:left w:val="nil"/>
              <w:bottom w:val="nil"/>
              <w:right w:val="nil"/>
            </w:tcBorders>
            <w:vAlign w:val="center"/>
          </w:tcPr>
          <w:p w14:paraId="2E33DE5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vAlign w:val="center"/>
          </w:tcPr>
          <w:p w14:paraId="16E5A1CD"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vAlign w:val="center"/>
          </w:tcPr>
          <w:p w14:paraId="027CE20F"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(0.5)</w:t>
            </w:r>
          </w:p>
        </w:tc>
        <w:tc>
          <w:tcPr>
            <w:tcW w:w="964" w:type="dxa"/>
            <w:tcBorders>
              <w:top w:val="nil"/>
              <w:left w:val="nil"/>
              <w:bottom w:val="nil"/>
              <w:right w:val="nil"/>
            </w:tcBorders>
            <w:vAlign w:val="center"/>
          </w:tcPr>
          <w:p w14:paraId="0BF90FDA"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vAlign w:val="center"/>
          </w:tcPr>
          <w:p w14:paraId="6CE1CCB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nil"/>
              <w:right w:val="nil"/>
            </w:tcBorders>
            <w:vAlign w:val="center"/>
          </w:tcPr>
          <w:p w14:paraId="2D77E4B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(0.5)</w:t>
            </w:r>
          </w:p>
        </w:tc>
        <w:tc>
          <w:tcPr>
            <w:tcW w:w="1060" w:type="dxa"/>
            <w:tcBorders>
              <w:top w:val="nil"/>
              <w:left w:val="nil"/>
              <w:bottom w:val="nil"/>
              <w:right w:val="nil"/>
            </w:tcBorders>
            <w:vAlign w:val="center"/>
          </w:tcPr>
          <w:p w14:paraId="6B8CF87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nil"/>
              <w:right w:val="nil"/>
            </w:tcBorders>
            <w:vAlign w:val="center"/>
          </w:tcPr>
          <w:p w14:paraId="1A2601B2"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(0.5)</w:t>
            </w:r>
          </w:p>
        </w:tc>
      </w:tr>
      <w:tr w:rsidR="00756913" w:rsidRPr="00756913" w14:paraId="5048EC0C" w14:textId="77777777">
        <w:tblPrEx>
          <w:tblCellMar>
            <w:top w:w="0" w:type="dxa"/>
            <w:bottom w:w="0" w:type="dxa"/>
          </w:tblCellMar>
        </w:tblPrEx>
        <w:trPr>
          <w:trHeight w:val="278"/>
        </w:trPr>
        <w:tc>
          <w:tcPr>
            <w:tcW w:w="2438" w:type="dxa"/>
            <w:tcBorders>
              <w:top w:val="nil"/>
              <w:left w:val="nil"/>
              <w:bottom w:val="nil"/>
              <w:right w:val="nil"/>
            </w:tcBorders>
            <w:vAlign w:val="center"/>
          </w:tcPr>
          <w:p w14:paraId="2913BEA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Exercise of LTIP awards</w:t>
            </w:r>
          </w:p>
        </w:tc>
        <w:tc>
          <w:tcPr>
            <w:tcW w:w="737" w:type="dxa"/>
            <w:tcBorders>
              <w:top w:val="nil"/>
              <w:left w:val="nil"/>
              <w:bottom w:val="nil"/>
              <w:right w:val="nil"/>
            </w:tcBorders>
            <w:vAlign w:val="center"/>
          </w:tcPr>
          <w:p w14:paraId="75858625"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vAlign w:val="center"/>
          </w:tcPr>
          <w:p w14:paraId="1E78413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vAlign w:val="center"/>
          </w:tcPr>
          <w:p w14:paraId="066A938E"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0.2</w:t>
            </w:r>
          </w:p>
        </w:tc>
        <w:tc>
          <w:tcPr>
            <w:tcW w:w="964" w:type="dxa"/>
            <w:tcBorders>
              <w:top w:val="nil"/>
              <w:left w:val="nil"/>
              <w:bottom w:val="nil"/>
              <w:right w:val="nil"/>
            </w:tcBorders>
            <w:vAlign w:val="center"/>
          </w:tcPr>
          <w:p w14:paraId="41AB6762"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(0.2)</w:t>
            </w:r>
          </w:p>
        </w:tc>
        <w:tc>
          <w:tcPr>
            <w:tcW w:w="907" w:type="dxa"/>
            <w:tcBorders>
              <w:top w:val="nil"/>
              <w:left w:val="nil"/>
              <w:bottom w:val="nil"/>
              <w:right w:val="nil"/>
            </w:tcBorders>
            <w:vAlign w:val="center"/>
          </w:tcPr>
          <w:p w14:paraId="67A9E84D"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nil"/>
              <w:right w:val="nil"/>
            </w:tcBorders>
            <w:vAlign w:val="center"/>
          </w:tcPr>
          <w:p w14:paraId="7C41B9A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060" w:type="dxa"/>
            <w:tcBorders>
              <w:top w:val="nil"/>
              <w:left w:val="nil"/>
              <w:bottom w:val="nil"/>
              <w:right w:val="nil"/>
            </w:tcBorders>
            <w:vAlign w:val="center"/>
          </w:tcPr>
          <w:p w14:paraId="007CE45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nil"/>
              <w:right w:val="nil"/>
            </w:tcBorders>
            <w:vAlign w:val="center"/>
          </w:tcPr>
          <w:p w14:paraId="524F890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r>
      <w:tr w:rsidR="00756913" w:rsidRPr="00756913" w14:paraId="2D122D46" w14:textId="77777777">
        <w:tblPrEx>
          <w:tblCellMar>
            <w:top w:w="0" w:type="dxa"/>
            <w:bottom w:w="0" w:type="dxa"/>
          </w:tblCellMar>
        </w:tblPrEx>
        <w:trPr>
          <w:trHeight w:val="278"/>
        </w:trPr>
        <w:tc>
          <w:tcPr>
            <w:tcW w:w="2438" w:type="dxa"/>
            <w:tcBorders>
              <w:top w:val="nil"/>
              <w:left w:val="nil"/>
              <w:bottom w:val="nil"/>
              <w:right w:val="nil"/>
            </w:tcBorders>
            <w:vAlign w:val="center"/>
          </w:tcPr>
          <w:p w14:paraId="18945C2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Equity dividends</w:t>
            </w:r>
          </w:p>
        </w:tc>
        <w:tc>
          <w:tcPr>
            <w:tcW w:w="737" w:type="dxa"/>
            <w:tcBorders>
              <w:top w:val="nil"/>
              <w:left w:val="nil"/>
              <w:bottom w:val="nil"/>
              <w:right w:val="nil"/>
            </w:tcBorders>
            <w:vAlign w:val="center"/>
          </w:tcPr>
          <w:p w14:paraId="0E9F3AA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vAlign w:val="center"/>
          </w:tcPr>
          <w:p w14:paraId="0D9ACCC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vAlign w:val="center"/>
          </w:tcPr>
          <w:p w14:paraId="06AE9E2D"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vAlign w:val="center"/>
          </w:tcPr>
          <w:p w14:paraId="73F6DA7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(46.2)</w:t>
            </w:r>
          </w:p>
        </w:tc>
        <w:tc>
          <w:tcPr>
            <w:tcW w:w="907" w:type="dxa"/>
            <w:tcBorders>
              <w:top w:val="nil"/>
              <w:left w:val="nil"/>
              <w:bottom w:val="nil"/>
              <w:right w:val="nil"/>
            </w:tcBorders>
            <w:vAlign w:val="center"/>
          </w:tcPr>
          <w:p w14:paraId="602726C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nil"/>
              <w:right w:val="nil"/>
            </w:tcBorders>
            <w:vAlign w:val="center"/>
          </w:tcPr>
          <w:p w14:paraId="590842C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(46.2)</w:t>
            </w:r>
          </w:p>
        </w:tc>
        <w:tc>
          <w:tcPr>
            <w:tcW w:w="1060" w:type="dxa"/>
            <w:tcBorders>
              <w:top w:val="nil"/>
              <w:left w:val="nil"/>
              <w:bottom w:val="nil"/>
              <w:right w:val="nil"/>
            </w:tcBorders>
            <w:vAlign w:val="center"/>
          </w:tcPr>
          <w:p w14:paraId="2CF721B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nil"/>
              <w:right w:val="nil"/>
            </w:tcBorders>
            <w:vAlign w:val="center"/>
          </w:tcPr>
          <w:p w14:paraId="1FD442C4"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(46.2)</w:t>
            </w:r>
          </w:p>
        </w:tc>
      </w:tr>
      <w:tr w:rsidR="00756913" w:rsidRPr="00756913" w14:paraId="00A3E5E1" w14:textId="77777777">
        <w:tblPrEx>
          <w:tblCellMar>
            <w:top w:w="0" w:type="dxa"/>
            <w:bottom w:w="0" w:type="dxa"/>
          </w:tblCellMar>
        </w:tblPrEx>
        <w:trPr>
          <w:trHeight w:val="278"/>
        </w:trPr>
        <w:tc>
          <w:tcPr>
            <w:tcW w:w="2438" w:type="dxa"/>
            <w:tcBorders>
              <w:top w:val="nil"/>
              <w:left w:val="nil"/>
              <w:bottom w:val="nil"/>
              <w:right w:val="nil"/>
            </w:tcBorders>
            <w:vAlign w:val="center"/>
          </w:tcPr>
          <w:p w14:paraId="2D5FA8A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Share-based payments</w:t>
            </w:r>
          </w:p>
        </w:tc>
        <w:tc>
          <w:tcPr>
            <w:tcW w:w="737" w:type="dxa"/>
            <w:tcBorders>
              <w:top w:val="nil"/>
              <w:left w:val="nil"/>
              <w:bottom w:val="single" w:sz="4" w:space="0" w:color="auto"/>
              <w:right w:val="nil"/>
            </w:tcBorders>
            <w:vAlign w:val="center"/>
          </w:tcPr>
          <w:p w14:paraId="49D4E5E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single" w:sz="4" w:space="0" w:color="auto"/>
              <w:right w:val="nil"/>
            </w:tcBorders>
            <w:vAlign w:val="center"/>
          </w:tcPr>
          <w:p w14:paraId="0785B335"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single" w:sz="4" w:space="0" w:color="auto"/>
              <w:right w:val="nil"/>
            </w:tcBorders>
            <w:vAlign w:val="center"/>
          </w:tcPr>
          <w:p w14:paraId="2F38A044"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single" w:sz="4" w:space="0" w:color="auto"/>
              <w:right w:val="nil"/>
            </w:tcBorders>
            <w:vAlign w:val="center"/>
          </w:tcPr>
          <w:p w14:paraId="2A692A65"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w:t>
            </w:r>
          </w:p>
        </w:tc>
        <w:tc>
          <w:tcPr>
            <w:tcW w:w="907" w:type="dxa"/>
            <w:tcBorders>
              <w:top w:val="nil"/>
              <w:left w:val="nil"/>
              <w:bottom w:val="single" w:sz="4" w:space="0" w:color="auto"/>
              <w:right w:val="nil"/>
            </w:tcBorders>
            <w:vAlign w:val="center"/>
          </w:tcPr>
          <w:p w14:paraId="1F8C286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single" w:sz="4" w:space="0" w:color="auto"/>
              <w:right w:val="nil"/>
            </w:tcBorders>
            <w:vAlign w:val="center"/>
          </w:tcPr>
          <w:p w14:paraId="5EF7BF3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w:t>
            </w:r>
          </w:p>
        </w:tc>
        <w:tc>
          <w:tcPr>
            <w:tcW w:w="1060" w:type="dxa"/>
            <w:tcBorders>
              <w:top w:val="nil"/>
              <w:left w:val="nil"/>
              <w:bottom w:val="single" w:sz="4" w:space="0" w:color="auto"/>
              <w:right w:val="nil"/>
            </w:tcBorders>
            <w:vAlign w:val="center"/>
          </w:tcPr>
          <w:p w14:paraId="617007E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single" w:sz="4" w:space="0" w:color="auto"/>
              <w:right w:val="nil"/>
            </w:tcBorders>
            <w:vAlign w:val="center"/>
          </w:tcPr>
          <w:p w14:paraId="21EC487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w:t>
            </w:r>
          </w:p>
        </w:tc>
      </w:tr>
      <w:tr w:rsidR="00756913" w:rsidRPr="00756913" w14:paraId="3DDDF84C" w14:textId="77777777">
        <w:tblPrEx>
          <w:tblCellMar>
            <w:top w:w="0" w:type="dxa"/>
            <w:bottom w:w="0" w:type="dxa"/>
          </w:tblCellMar>
        </w:tblPrEx>
        <w:trPr>
          <w:trHeight w:val="56"/>
        </w:trPr>
        <w:tc>
          <w:tcPr>
            <w:tcW w:w="2438" w:type="dxa"/>
            <w:tcBorders>
              <w:top w:val="nil"/>
              <w:left w:val="nil"/>
              <w:bottom w:val="nil"/>
              <w:right w:val="nil"/>
            </w:tcBorders>
            <w:vAlign w:val="center"/>
          </w:tcPr>
          <w:p w14:paraId="2AB69F8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At 30 June 2023</w:t>
            </w:r>
          </w:p>
        </w:tc>
        <w:tc>
          <w:tcPr>
            <w:tcW w:w="737" w:type="dxa"/>
            <w:tcBorders>
              <w:top w:val="single" w:sz="4" w:space="0" w:color="auto"/>
              <w:left w:val="nil"/>
              <w:bottom w:val="single" w:sz="4" w:space="0" w:color="auto"/>
              <w:right w:val="nil"/>
            </w:tcBorders>
            <w:vAlign w:val="center"/>
          </w:tcPr>
          <w:p w14:paraId="3B1235F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0.1</w:t>
            </w:r>
          </w:p>
        </w:tc>
        <w:tc>
          <w:tcPr>
            <w:tcW w:w="964" w:type="dxa"/>
            <w:tcBorders>
              <w:top w:val="single" w:sz="4" w:space="0" w:color="auto"/>
              <w:left w:val="nil"/>
              <w:bottom w:val="single" w:sz="4" w:space="0" w:color="auto"/>
              <w:right w:val="nil"/>
            </w:tcBorders>
            <w:vAlign w:val="center"/>
          </w:tcPr>
          <w:p w14:paraId="44AD0DC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205.4</w:t>
            </w:r>
          </w:p>
        </w:tc>
        <w:tc>
          <w:tcPr>
            <w:tcW w:w="907" w:type="dxa"/>
            <w:tcBorders>
              <w:top w:val="single" w:sz="4" w:space="0" w:color="auto"/>
              <w:left w:val="nil"/>
              <w:bottom w:val="single" w:sz="4" w:space="0" w:color="auto"/>
              <w:right w:val="nil"/>
            </w:tcBorders>
            <w:vAlign w:val="center"/>
          </w:tcPr>
          <w:p w14:paraId="3DF545C8" w14:textId="77777777" w:rsidR="00756913" w:rsidRPr="00756913" w:rsidRDefault="00756913" w:rsidP="00756913">
            <w:pPr>
              <w:tabs>
                <w:tab w:val="decimal" w:pos="77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(2.7)</w:t>
            </w:r>
          </w:p>
        </w:tc>
        <w:tc>
          <w:tcPr>
            <w:tcW w:w="964" w:type="dxa"/>
            <w:tcBorders>
              <w:top w:val="single" w:sz="4" w:space="0" w:color="auto"/>
              <w:left w:val="nil"/>
              <w:bottom w:val="single" w:sz="4" w:space="0" w:color="auto"/>
              <w:right w:val="nil"/>
            </w:tcBorders>
            <w:vAlign w:val="center"/>
          </w:tcPr>
          <w:p w14:paraId="0582EAFE" w14:textId="77777777" w:rsidR="00756913" w:rsidRPr="00756913" w:rsidRDefault="00756913" w:rsidP="00756913">
            <w:pPr>
              <w:tabs>
                <w:tab w:val="decimal" w:pos="77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(62.3)</w:t>
            </w:r>
          </w:p>
        </w:tc>
        <w:tc>
          <w:tcPr>
            <w:tcW w:w="907" w:type="dxa"/>
            <w:tcBorders>
              <w:top w:val="single" w:sz="4" w:space="0" w:color="auto"/>
              <w:left w:val="nil"/>
              <w:bottom w:val="single" w:sz="4" w:space="0" w:color="auto"/>
              <w:right w:val="nil"/>
            </w:tcBorders>
            <w:vAlign w:val="center"/>
          </w:tcPr>
          <w:p w14:paraId="0A7DC3E1" w14:textId="77777777" w:rsidR="00756913" w:rsidRPr="00756913" w:rsidRDefault="00756913" w:rsidP="00756913">
            <w:pPr>
              <w:tabs>
                <w:tab w:val="decimal" w:pos="68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63.7</w:t>
            </w:r>
          </w:p>
        </w:tc>
        <w:tc>
          <w:tcPr>
            <w:tcW w:w="1133" w:type="dxa"/>
            <w:tcBorders>
              <w:top w:val="single" w:sz="4" w:space="0" w:color="auto"/>
              <w:left w:val="nil"/>
              <w:bottom w:val="single" w:sz="4" w:space="0" w:color="auto"/>
              <w:right w:val="nil"/>
            </w:tcBorders>
            <w:vAlign w:val="center"/>
          </w:tcPr>
          <w:p w14:paraId="15D04BA8" w14:textId="77777777" w:rsidR="00756913" w:rsidRPr="00756913" w:rsidRDefault="00756913" w:rsidP="00756913">
            <w:pPr>
              <w:tabs>
                <w:tab w:val="decimal" w:pos="68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204.2</w:t>
            </w:r>
          </w:p>
        </w:tc>
        <w:tc>
          <w:tcPr>
            <w:tcW w:w="1060" w:type="dxa"/>
            <w:tcBorders>
              <w:top w:val="single" w:sz="4" w:space="0" w:color="auto"/>
              <w:left w:val="nil"/>
              <w:bottom w:val="single" w:sz="4" w:space="0" w:color="auto"/>
              <w:right w:val="nil"/>
            </w:tcBorders>
            <w:vAlign w:val="center"/>
          </w:tcPr>
          <w:p w14:paraId="72F3395B" w14:textId="77777777" w:rsidR="00756913" w:rsidRPr="00756913" w:rsidRDefault="00756913" w:rsidP="00756913">
            <w:pPr>
              <w:tabs>
                <w:tab w:val="decimal" w:pos="68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6.3</w:t>
            </w:r>
          </w:p>
        </w:tc>
        <w:tc>
          <w:tcPr>
            <w:tcW w:w="850" w:type="dxa"/>
            <w:tcBorders>
              <w:top w:val="single" w:sz="4" w:space="0" w:color="auto"/>
              <w:left w:val="nil"/>
              <w:bottom w:val="single" w:sz="4" w:space="0" w:color="auto"/>
              <w:right w:val="nil"/>
            </w:tcBorders>
            <w:vAlign w:val="center"/>
          </w:tcPr>
          <w:p w14:paraId="77EC4347" w14:textId="77777777" w:rsidR="00756913" w:rsidRPr="00756913" w:rsidRDefault="00756913" w:rsidP="00756913">
            <w:pPr>
              <w:tabs>
                <w:tab w:val="decimal" w:pos="68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210.5</w:t>
            </w:r>
          </w:p>
        </w:tc>
      </w:tr>
      <w:tr w:rsidR="00756913" w:rsidRPr="00756913" w14:paraId="62FA92AE" w14:textId="77777777">
        <w:tblPrEx>
          <w:tblCellMar>
            <w:top w:w="0" w:type="dxa"/>
            <w:bottom w:w="0" w:type="dxa"/>
          </w:tblCellMar>
        </w:tblPrEx>
        <w:trPr>
          <w:trHeight w:val="278"/>
        </w:trPr>
        <w:tc>
          <w:tcPr>
            <w:tcW w:w="2438" w:type="dxa"/>
            <w:tcBorders>
              <w:top w:val="nil"/>
              <w:left w:val="nil"/>
              <w:bottom w:val="nil"/>
              <w:right w:val="nil"/>
            </w:tcBorders>
            <w:vAlign w:val="center"/>
          </w:tcPr>
          <w:p w14:paraId="078B5F0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color w:val="FF0000"/>
                <w:sz w:val="18"/>
                <w:szCs w:val="18"/>
                <w14:ligatures w14:val="standardContextual"/>
              </w:rPr>
            </w:pPr>
          </w:p>
        </w:tc>
        <w:tc>
          <w:tcPr>
            <w:tcW w:w="737" w:type="dxa"/>
            <w:tcBorders>
              <w:top w:val="nil"/>
              <w:left w:val="nil"/>
              <w:bottom w:val="nil"/>
              <w:right w:val="nil"/>
            </w:tcBorders>
            <w:vAlign w:val="center"/>
          </w:tcPr>
          <w:p w14:paraId="08C9DDE6"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964" w:type="dxa"/>
            <w:tcBorders>
              <w:top w:val="nil"/>
              <w:left w:val="nil"/>
              <w:bottom w:val="nil"/>
              <w:right w:val="nil"/>
            </w:tcBorders>
            <w:vAlign w:val="center"/>
          </w:tcPr>
          <w:p w14:paraId="43527D2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907" w:type="dxa"/>
            <w:tcBorders>
              <w:top w:val="nil"/>
              <w:left w:val="nil"/>
              <w:bottom w:val="nil"/>
              <w:right w:val="nil"/>
            </w:tcBorders>
            <w:vAlign w:val="center"/>
          </w:tcPr>
          <w:p w14:paraId="4E98D8CD"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964" w:type="dxa"/>
            <w:tcBorders>
              <w:top w:val="nil"/>
              <w:left w:val="nil"/>
              <w:bottom w:val="nil"/>
              <w:right w:val="nil"/>
            </w:tcBorders>
            <w:vAlign w:val="center"/>
          </w:tcPr>
          <w:p w14:paraId="58C205D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907" w:type="dxa"/>
            <w:tcBorders>
              <w:top w:val="nil"/>
              <w:left w:val="nil"/>
              <w:bottom w:val="nil"/>
              <w:right w:val="nil"/>
            </w:tcBorders>
            <w:vAlign w:val="center"/>
          </w:tcPr>
          <w:p w14:paraId="2665F87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1133" w:type="dxa"/>
            <w:tcBorders>
              <w:top w:val="nil"/>
              <w:left w:val="nil"/>
              <w:bottom w:val="nil"/>
              <w:right w:val="nil"/>
            </w:tcBorders>
            <w:vAlign w:val="center"/>
          </w:tcPr>
          <w:p w14:paraId="30FAE43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1060" w:type="dxa"/>
            <w:tcBorders>
              <w:top w:val="nil"/>
              <w:left w:val="nil"/>
              <w:bottom w:val="nil"/>
              <w:right w:val="nil"/>
            </w:tcBorders>
            <w:vAlign w:val="center"/>
          </w:tcPr>
          <w:p w14:paraId="2413230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850" w:type="dxa"/>
            <w:tcBorders>
              <w:top w:val="nil"/>
              <w:left w:val="nil"/>
              <w:bottom w:val="nil"/>
              <w:right w:val="nil"/>
            </w:tcBorders>
            <w:vAlign w:val="center"/>
          </w:tcPr>
          <w:p w14:paraId="0D326FE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color w:val="FF0000"/>
                <w:sz w:val="18"/>
                <w:szCs w:val="18"/>
                <w14:ligatures w14:val="standardContextual"/>
              </w:rPr>
            </w:pPr>
          </w:p>
        </w:tc>
      </w:tr>
      <w:tr w:rsidR="00756913" w:rsidRPr="00756913" w14:paraId="422883D4" w14:textId="77777777">
        <w:tblPrEx>
          <w:tblCellMar>
            <w:top w:w="0" w:type="dxa"/>
            <w:bottom w:w="0" w:type="dxa"/>
          </w:tblCellMar>
        </w:tblPrEx>
        <w:trPr>
          <w:trHeight w:val="278"/>
        </w:trPr>
        <w:tc>
          <w:tcPr>
            <w:tcW w:w="2438" w:type="dxa"/>
            <w:tcBorders>
              <w:top w:val="nil"/>
              <w:left w:val="nil"/>
              <w:bottom w:val="nil"/>
              <w:right w:val="nil"/>
            </w:tcBorders>
            <w:vAlign w:val="center"/>
          </w:tcPr>
          <w:p w14:paraId="41DA00C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At 1 July 2023</w:t>
            </w:r>
          </w:p>
        </w:tc>
        <w:tc>
          <w:tcPr>
            <w:tcW w:w="737" w:type="dxa"/>
            <w:tcBorders>
              <w:top w:val="nil"/>
              <w:left w:val="nil"/>
              <w:bottom w:val="single" w:sz="4" w:space="0" w:color="auto"/>
              <w:right w:val="nil"/>
            </w:tcBorders>
          </w:tcPr>
          <w:p w14:paraId="635D2E95"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0.1</w:t>
            </w:r>
          </w:p>
        </w:tc>
        <w:tc>
          <w:tcPr>
            <w:tcW w:w="964" w:type="dxa"/>
            <w:tcBorders>
              <w:top w:val="nil"/>
              <w:left w:val="nil"/>
              <w:bottom w:val="single" w:sz="4" w:space="0" w:color="auto"/>
              <w:right w:val="nil"/>
            </w:tcBorders>
          </w:tcPr>
          <w:p w14:paraId="08D0E4D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205.4</w:t>
            </w:r>
          </w:p>
        </w:tc>
        <w:tc>
          <w:tcPr>
            <w:tcW w:w="907" w:type="dxa"/>
            <w:tcBorders>
              <w:top w:val="nil"/>
              <w:left w:val="nil"/>
              <w:bottom w:val="single" w:sz="4" w:space="0" w:color="auto"/>
              <w:right w:val="nil"/>
            </w:tcBorders>
          </w:tcPr>
          <w:p w14:paraId="50E8F13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(2.7)</w:t>
            </w:r>
          </w:p>
        </w:tc>
        <w:tc>
          <w:tcPr>
            <w:tcW w:w="964" w:type="dxa"/>
            <w:tcBorders>
              <w:top w:val="nil"/>
              <w:left w:val="nil"/>
              <w:bottom w:val="single" w:sz="4" w:space="0" w:color="auto"/>
              <w:right w:val="nil"/>
            </w:tcBorders>
          </w:tcPr>
          <w:p w14:paraId="137A994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(62.3)</w:t>
            </w:r>
          </w:p>
        </w:tc>
        <w:tc>
          <w:tcPr>
            <w:tcW w:w="907" w:type="dxa"/>
            <w:tcBorders>
              <w:top w:val="nil"/>
              <w:left w:val="nil"/>
              <w:bottom w:val="single" w:sz="4" w:space="0" w:color="auto"/>
              <w:right w:val="nil"/>
            </w:tcBorders>
          </w:tcPr>
          <w:p w14:paraId="615731E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63.7</w:t>
            </w:r>
          </w:p>
        </w:tc>
        <w:tc>
          <w:tcPr>
            <w:tcW w:w="1133" w:type="dxa"/>
            <w:tcBorders>
              <w:top w:val="nil"/>
              <w:left w:val="nil"/>
              <w:bottom w:val="single" w:sz="4" w:space="0" w:color="auto"/>
              <w:right w:val="nil"/>
            </w:tcBorders>
          </w:tcPr>
          <w:p w14:paraId="69214C9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204.2</w:t>
            </w:r>
          </w:p>
        </w:tc>
        <w:tc>
          <w:tcPr>
            <w:tcW w:w="1060" w:type="dxa"/>
            <w:tcBorders>
              <w:top w:val="nil"/>
              <w:left w:val="nil"/>
              <w:bottom w:val="single" w:sz="4" w:space="0" w:color="auto"/>
              <w:right w:val="nil"/>
            </w:tcBorders>
          </w:tcPr>
          <w:p w14:paraId="3D84447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6.3</w:t>
            </w:r>
          </w:p>
        </w:tc>
        <w:tc>
          <w:tcPr>
            <w:tcW w:w="850" w:type="dxa"/>
            <w:tcBorders>
              <w:top w:val="nil"/>
              <w:left w:val="nil"/>
              <w:bottom w:val="single" w:sz="4" w:space="0" w:color="auto"/>
              <w:right w:val="nil"/>
            </w:tcBorders>
          </w:tcPr>
          <w:p w14:paraId="1643CD52"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210.5</w:t>
            </w:r>
          </w:p>
        </w:tc>
      </w:tr>
      <w:tr w:rsidR="00756913" w:rsidRPr="00756913" w14:paraId="732C46D6" w14:textId="77777777">
        <w:tblPrEx>
          <w:tblCellMar>
            <w:top w:w="0" w:type="dxa"/>
            <w:bottom w:w="0" w:type="dxa"/>
          </w:tblCellMar>
        </w:tblPrEx>
        <w:trPr>
          <w:trHeight w:val="87"/>
        </w:trPr>
        <w:tc>
          <w:tcPr>
            <w:tcW w:w="2438" w:type="dxa"/>
            <w:tcBorders>
              <w:top w:val="nil"/>
              <w:left w:val="nil"/>
              <w:bottom w:val="nil"/>
              <w:right w:val="nil"/>
            </w:tcBorders>
            <w:vAlign w:val="center"/>
          </w:tcPr>
          <w:p w14:paraId="275628F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Profit for the period</w:t>
            </w:r>
          </w:p>
        </w:tc>
        <w:tc>
          <w:tcPr>
            <w:tcW w:w="737" w:type="dxa"/>
            <w:tcBorders>
              <w:top w:val="single" w:sz="4" w:space="0" w:color="auto"/>
              <w:left w:val="nil"/>
              <w:bottom w:val="nil"/>
              <w:right w:val="nil"/>
            </w:tcBorders>
          </w:tcPr>
          <w:p w14:paraId="2F6E7A7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964" w:type="dxa"/>
            <w:tcBorders>
              <w:top w:val="single" w:sz="4" w:space="0" w:color="auto"/>
              <w:left w:val="nil"/>
              <w:bottom w:val="nil"/>
              <w:right w:val="nil"/>
            </w:tcBorders>
          </w:tcPr>
          <w:p w14:paraId="3C5D5FA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907" w:type="dxa"/>
            <w:tcBorders>
              <w:top w:val="single" w:sz="4" w:space="0" w:color="auto"/>
              <w:left w:val="nil"/>
              <w:bottom w:val="nil"/>
              <w:right w:val="nil"/>
            </w:tcBorders>
          </w:tcPr>
          <w:p w14:paraId="652A7E0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964" w:type="dxa"/>
            <w:tcBorders>
              <w:top w:val="single" w:sz="4" w:space="0" w:color="auto"/>
              <w:left w:val="nil"/>
              <w:bottom w:val="nil"/>
              <w:right w:val="nil"/>
            </w:tcBorders>
          </w:tcPr>
          <w:p w14:paraId="2A30B006"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32.0</w:t>
            </w:r>
          </w:p>
        </w:tc>
        <w:tc>
          <w:tcPr>
            <w:tcW w:w="907" w:type="dxa"/>
            <w:tcBorders>
              <w:top w:val="single" w:sz="4" w:space="0" w:color="auto"/>
              <w:left w:val="nil"/>
              <w:bottom w:val="nil"/>
              <w:right w:val="nil"/>
            </w:tcBorders>
          </w:tcPr>
          <w:p w14:paraId="28DDB0D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1133" w:type="dxa"/>
            <w:tcBorders>
              <w:top w:val="single" w:sz="4" w:space="0" w:color="auto"/>
              <w:left w:val="nil"/>
              <w:bottom w:val="nil"/>
              <w:right w:val="nil"/>
            </w:tcBorders>
          </w:tcPr>
          <w:p w14:paraId="5BD6201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32.0</w:t>
            </w:r>
          </w:p>
        </w:tc>
        <w:tc>
          <w:tcPr>
            <w:tcW w:w="1060" w:type="dxa"/>
            <w:tcBorders>
              <w:top w:val="single" w:sz="4" w:space="0" w:color="auto"/>
              <w:left w:val="nil"/>
              <w:bottom w:val="nil"/>
              <w:right w:val="nil"/>
            </w:tcBorders>
          </w:tcPr>
          <w:p w14:paraId="4098FE9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(0.7)</w:t>
            </w:r>
          </w:p>
        </w:tc>
        <w:tc>
          <w:tcPr>
            <w:tcW w:w="850" w:type="dxa"/>
            <w:tcBorders>
              <w:top w:val="single" w:sz="4" w:space="0" w:color="auto"/>
              <w:left w:val="nil"/>
              <w:bottom w:val="nil"/>
              <w:right w:val="nil"/>
            </w:tcBorders>
          </w:tcPr>
          <w:p w14:paraId="486C05E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31.3</w:t>
            </w:r>
          </w:p>
        </w:tc>
      </w:tr>
      <w:tr w:rsidR="00756913" w:rsidRPr="00756913" w14:paraId="3EDFFD20" w14:textId="77777777">
        <w:tblPrEx>
          <w:tblCellMar>
            <w:top w:w="0" w:type="dxa"/>
            <w:bottom w:w="0" w:type="dxa"/>
          </w:tblCellMar>
        </w:tblPrEx>
        <w:trPr>
          <w:trHeight w:val="89"/>
        </w:trPr>
        <w:tc>
          <w:tcPr>
            <w:tcW w:w="2438" w:type="dxa"/>
            <w:tcBorders>
              <w:top w:val="nil"/>
              <w:left w:val="nil"/>
              <w:bottom w:val="nil"/>
              <w:right w:val="nil"/>
            </w:tcBorders>
            <w:vAlign w:val="center"/>
          </w:tcPr>
          <w:p w14:paraId="04A6759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Other comprehensive income</w:t>
            </w:r>
          </w:p>
        </w:tc>
        <w:tc>
          <w:tcPr>
            <w:tcW w:w="737" w:type="dxa"/>
            <w:tcBorders>
              <w:top w:val="nil"/>
              <w:left w:val="nil"/>
              <w:bottom w:val="single" w:sz="4" w:space="0" w:color="auto"/>
              <w:right w:val="nil"/>
            </w:tcBorders>
          </w:tcPr>
          <w:p w14:paraId="00FA8A83"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single" w:sz="4" w:space="0" w:color="auto"/>
              <w:right w:val="nil"/>
            </w:tcBorders>
          </w:tcPr>
          <w:p w14:paraId="26A076D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single" w:sz="4" w:space="0" w:color="auto"/>
              <w:right w:val="nil"/>
            </w:tcBorders>
          </w:tcPr>
          <w:p w14:paraId="74FBF93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single" w:sz="4" w:space="0" w:color="auto"/>
              <w:right w:val="nil"/>
            </w:tcBorders>
          </w:tcPr>
          <w:p w14:paraId="0195640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single" w:sz="4" w:space="0" w:color="auto"/>
              <w:right w:val="nil"/>
            </w:tcBorders>
          </w:tcPr>
          <w:p w14:paraId="5B2C2282" w14:textId="77777777" w:rsidR="00756913" w:rsidRPr="00756913" w:rsidRDefault="00756913" w:rsidP="00756913">
            <w:pPr>
              <w:tabs>
                <w:tab w:val="decimal" w:pos="864"/>
              </w:tabs>
              <w:autoSpaceDE w:val="0"/>
              <w:autoSpaceDN w:val="0"/>
              <w:adjustRightInd w:val="0"/>
              <w:spacing w:after="0" w:line="240" w:lineRule="auto"/>
              <w:jc w:val="center"/>
              <w:rPr>
                <w:rFonts w:ascii="Arial" w:hAnsi="Arial" w:cs="Arial"/>
                <w:b/>
                <w:bCs/>
                <w:sz w:val="18"/>
                <w:szCs w:val="18"/>
                <w14:ligatures w14:val="standardContextual"/>
              </w:rPr>
            </w:pPr>
            <w:r w:rsidRPr="00756913">
              <w:rPr>
                <w:rFonts w:ascii="Arial" w:hAnsi="Arial" w:cs="Arial"/>
                <w:sz w:val="18"/>
                <w:szCs w:val="18"/>
                <w14:ligatures w14:val="standardContextual"/>
              </w:rPr>
              <w:t>(0.1)</w:t>
            </w:r>
          </w:p>
        </w:tc>
        <w:tc>
          <w:tcPr>
            <w:tcW w:w="1133" w:type="dxa"/>
            <w:tcBorders>
              <w:top w:val="nil"/>
              <w:left w:val="nil"/>
              <w:bottom w:val="single" w:sz="4" w:space="0" w:color="auto"/>
              <w:right w:val="nil"/>
            </w:tcBorders>
          </w:tcPr>
          <w:p w14:paraId="4734C29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(0.1)</w:t>
            </w:r>
          </w:p>
        </w:tc>
        <w:tc>
          <w:tcPr>
            <w:tcW w:w="1060" w:type="dxa"/>
            <w:tcBorders>
              <w:top w:val="nil"/>
              <w:left w:val="nil"/>
              <w:bottom w:val="single" w:sz="4" w:space="0" w:color="auto"/>
              <w:right w:val="nil"/>
            </w:tcBorders>
          </w:tcPr>
          <w:p w14:paraId="4E1B3A8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single" w:sz="4" w:space="0" w:color="auto"/>
              <w:right w:val="nil"/>
            </w:tcBorders>
          </w:tcPr>
          <w:p w14:paraId="05A24FE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(0.1)</w:t>
            </w:r>
          </w:p>
        </w:tc>
      </w:tr>
      <w:tr w:rsidR="00756913" w:rsidRPr="00756913" w14:paraId="2D7AA78F" w14:textId="77777777">
        <w:tblPrEx>
          <w:tblCellMar>
            <w:top w:w="0" w:type="dxa"/>
            <w:bottom w:w="0" w:type="dxa"/>
          </w:tblCellMar>
        </w:tblPrEx>
        <w:trPr>
          <w:trHeight w:val="89"/>
        </w:trPr>
        <w:tc>
          <w:tcPr>
            <w:tcW w:w="2438" w:type="dxa"/>
            <w:tcBorders>
              <w:top w:val="nil"/>
              <w:left w:val="nil"/>
              <w:bottom w:val="nil"/>
              <w:right w:val="nil"/>
            </w:tcBorders>
            <w:vAlign w:val="center"/>
          </w:tcPr>
          <w:p w14:paraId="31FE94E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Total comprehensive income</w:t>
            </w:r>
          </w:p>
        </w:tc>
        <w:tc>
          <w:tcPr>
            <w:tcW w:w="737" w:type="dxa"/>
            <w:tcBorders>
              <w:top w:val="nil"/>
              <w:left w:val="nil"/>
              <w:bottom w:val="nil"/>
              <w:right w:val="nil"/>
            </w:tcBorders>
          </w:tcPr>
          <w:p w14:paraId="0EA371C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tcPr>
          <w:p w14:paraId="2F50D5E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tcPr>
          <w:p w14:paraId="4B2AED5D"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tcPr>
          <w:p w14:paraId="48E0D895"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32.0</w:t>
            </w:r>
          </w:p>
        </w:tc>
        <w:tc>
          <w:tcPr>
            <w:tcW w:w="907" w:type="dxa"/>
            <w:tcBorders>
              <w:top w:val="nil"/>
              <w:left w:val="nil"/>
              <w:bottom w:val="nil"/>
              <w:right w:val="nil"/>
            </w:tcBorders>
          </w:tcPr>
          <w:p w14:paraId="74E1B72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(0.1)</w:t>
            </w:r>
          </w:p>
        </w:tc>
        <w:tc>
          <w:tcPr>
            <w:tcW w:w="1133" w:type="dxa"/>
            <w:tcBorders>
              <w:top w:val="nil"/>
              <w:left w:val="nil"/>
              <w:bottom w:val="nil"/>
              <w:right w:val="nil"/>
            </w:tcBorders>
          </w:tcPr>
          <w:p w14:paraId="123B2F2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31.9</w:t>
            </w:r>
          </w:p>
        </w:tc>
        <w:tc>
          <w:tcPr>
            <w:tcW w:w="1060" w:type="dxa"/>
            <w:tcBorders>
              <w:top w:val="nil"/>
              <w:left w:val="nil"/>
              <w:bottom w:val="nil"/>
              <w:right w:val="nil"/>
            </w:tcBorders>
          </w:tcPr>
          <w:p w14:paraId="038CADA2"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(0.7)</w:t>
            </w:r>
          </w:p>
        </w:tc>
        <w:tc>
          <w:tcPr>
            <w:tcW w:w="850" w:type="dxa"/>
            <w:tcBorders>
              <w:top w:val="nil"/>
              <w:left w:val="nil"/>
              <w:bottom w:val="nil"/>
              <w:right w:val="nil"/>
            </w:tcBorders>
          </w:tcPr>
          <w:p w14:paraId="46EDD7B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31.2</w:t>
            </w:r>
          </w:p>
        </w:tc>
      </w:tr>
      <w:tr w:rsidR="00756913" w:rsidRPr="00756913" w14:paraId="4A62722D" w14:textId="77777777">
        <w:tblPrEx>
          <w:tblCellMar>
            <w:top w:w="0" w:type="dxa"/>
            <w:bottom w:w="0" w:type="dxa"/>
          </w:tblCellMar>
        </w:tblPrEx>
        <w:trPr>
          <w:trHeight w:val="89"/>
        </w:trPr>
        <w:tc>
          <w:tcPr>
            <w:tcW w:w="2438" w:type="dxa"/>
            <w:tcBorders>
              <w:top w:val="nil"/>
              <w:left w:val="nil"/>
              <w:bottom w:val="nil"/>
              <w:right w:val="nil"/>
            </w:tcBorders>
            <w:vAlign w:val="center"/>
          </w:tcPr>
          <w:p w14:paraId="557AE56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New shares issued</w:t>
            </w:r>
          </w:p>
        </w:tc>
        <w:tc>
          <w:tcPr>
            <w:tcW w:w="737" w:type="dxa"/>
            <w:tcBorders>
              <w:top w:val="nil"/>
              <w:left w:val="nil"/>
              <w:bottom w:val="nil"/>
              <w:right w:val="nil"/>
            </w:tcBorders>
          </w:tcPr>
          <w:p w14:paraId="66BE7834"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tcPr>
          <w:p w14:paraId="3416450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c>
          <w:tcPr>
            <w:tcW w:w="907" w:type="dxa"/>
            <w:tcBorders>
              <w:top w:val="nil"/>
              <w:left w:val="nil"/>
              <w:bottom w:val="nil"/>
              <w:right w:val="nil"/>
            </w:tcBorders>
          </w:tcPr>
          <w:p w14:paraId="5563B54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tcPr>
          <w:p w14:paraId="6D2D348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tcPr>
          <w:p w14:paraId="7A4649C2"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nil"/>
              <w:right w:val="nil"/>
            </w:tcBorders>
          </w:tcPr>
          <w:p w14:paraId="75888265"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c>
          <w:tcPr>
            <w:tcW w:w="1060" w:type="dxa"/>
            <w:tcBorders>
              <w:top w:val="nil"/>
              <w:left w:val="nil"/>
              <w:bottom w:val="nil"/>
              <w:right w:val="nil"/>
            </w:tcBorders>
          </w:tcPr>
          <w:p w14:paraId="10FF64B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nil"/>
              <w:right w:val="nil"/>
            </w:tcBorders>
          </w:tcPr>
          <w:p w14:paraId="30C6817D"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r>
      <w:tr w:rsidR="00756913" w:rsidRPr="00756913" w14:paraId="3B5B2E1B" w14:textId="77777777">
        <w:tblPrEx>
          <w:tblCellMar>
            <w:top w:w="0" w:type="dxa"/>
            <w:bottom w:w="0" w:type="dxa"/>
          </w:tblCellMar>
        </w:tblPrEx>
        <w:trPr>
          <w:trHeight w:val="89"/>
        </w:trPr>
        <w:tc>
          <w:tcPr>
            <w:tcW w:w="2438" w:type="dxa"/>
            <w:tcBorders>
              <w:top w:val="nil"/>
              <w:left w:val="nil"/>
              <w:bottom w:val="nil"/>
              <w:right w:val="nil"/>
            </w:tcBorders>
            <w:vAlign w:val="center"/>
          </w:tcPr>
          <w:p w14:paraId="3DC2F30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Purchase of shares by employee trusts</w:t>
            </w:r>
          </w:p>
        </w:tc>
        <w:tc>
          <w:tcPr>
            <w:tcW w:w="737" w:type="dxa"/>
            <w:tcBorders>
              <w:top w:val="nil"/>
              <w:left w:val="nil"/>
              <w:bottom w:val="nil"/>
              <w:right w:val="nil"/>
            </w:tcBorders>
          </w:tcPr>
          <w:p w14:paraId="7AF3173B"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tcPr>
          <w:p w14:paraId="5ACF26A5"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tcPr>
          <w:p w14:paraId="580A7DA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tcPr>
          <w:p w14:paraId="2583573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tcPr>
          <w:p w14:paraId="3AB5DA3B"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nil"/>
              <w:right w:val="nil"/>
            </w:tcBorders>
          </w:tcPr>
          <w:p w14:paraId="6D81EFE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060" w:type="dxa"/>
            <w:tcBorders>
              <w:top w:val="nil"/>
              <w:left w:val="nil"/>
              <w:bottom w:val="nil"/>
              <w:right w:val="nil"/>
            </w:tcBorders>
          </w:tcPr>
          <w:p w14:paraId="2CDE903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nil"/>
              <w:right w:val="nil"/>
            </w:tcBorders>
          </w:tcPr>
          <w:p w14:paraId="7150946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r>
      <w:tr w:rsidR="00756913" w:rsidRPr="00756913" w14:paraId="58E7A8AE" w14:textId="77777777">
        <w:tblPrEx>
          <w:tblCellMar>
            <w:top w:w="0" w:type="dxa"/>
            <w:bottom w:w="0" w:type="dxa"/>
          </w:tblCellMar>
        </w:tblPrEx>
        <w:trPr>
          <w:trHeight w:val="89"/>
        </w:trPr>
        <w:tc>
          <w:tcPr>
            <w:tcW w:w="2438" w:type="dxa"/>
            <w:tcBorders>
              <w:top w:val="nil"/>
              <w:left w:val="nil"/>
              <w:bottom w:val="nil"/>
              <w:right w:val="nil"/>
            </w:tcBorders>
            <w:vAlign w:val="center"/>
          </w:tcPr>
          <w:p w14:paraId="34049C4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Exercise of LTIP awards</w:t>
            </w:r>
          </w:p>
        </w:tc>
        <w:tc>
          <w:tcPr>
            <w:tcW w:w="737" w:type="dxa"/>
            <w:tcBorders>
              <w:top w:val="nil"/>
              <w:left w:val="nil"/>
              <w:bottom w:val="nil"/>
              <w:right w:val="nil"/>
            </w:tcBorders>
          </w:tcPr>
          <w:p w14:paraId="2FEAFFF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tcPr>
          <w:p w14:paraId="65699F55"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tcPr>
          <w:p w14:paraId="2012777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c>
          <w:tcPr>
            <w:tcW w:w="964" w:type="dxa"/>
            <w:tcBorders>
              <w:top w:val="nil"/>
              <w:left w:val="nil"/>
              <w:bottom w:val="nil"/>
              <w:right w:val="nil"/>
            </w:tcBorders>
          </w:tcPr>
          <w:p w14:paraId="7F7DE62B"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c>
          <w:tcPr>
            <w:tcW w:w="907" w:type="dxa"/>
            <w:tcBorders>
              <w:top w:val="nil"/>
              <w:left w:val="nil"/>
              <w:bottom w:val="nil"/>
              <w:right w:val="nil"/>
            </w:tcBorders>
          </w:tcPr>
          <w:p w14:paraId="1BF40CF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nil"/>
              <w:right w:val="nil"/>
            </w:tcBorders>
          </w:tcPr>
          <w:p w14:paraId="7CA11CD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060" w:type="dxa"/>
            <w:tcBorders>
              <w:top w:val="nil"/>
              <w:left w:val="nil"/>
              <w:bottom w:val="nil"/>
              <w:right w:val="nil"/>
            </w:tcBorders>
          </w:tcPr>
          <w:p w14:paraId="4BDC5326"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nil"/>
              <w:right w:val="nil"/>
            </w:tcBorders>
          </w:tcPr>
          <w:p w14:paraId="5E6EBA23"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r>
      <w:tr w:rsidR="00756913" w:rsidRPr="00756913" w14:paraId="70545B0F" w14:textId="77777777">
        <w:tblPrEx>
          <w:tblCellMar>
            <w:top w:w="0" w:type="dxa"/>
            <w:bottom w:w="0" w:type="dxa"/>
          </w:tblCellMar>
        </w:tblPrEx>
        <w:trPr>
          <w:trHeight w:val="89"/>
        </w:trPr>
        <w:tc>
          <w:tcPr>
            <w:tcW w:w="2438" w:type="dxa"/>
            <w:tcBorders>
              <w:top w:val="nil"/>
              <w:left w:val="nil"/>
              <w:bottom w:val="nil"/>
              <w:right w:val="nil"/>
            </w:tcBorders>
            <w:vAlign w:val="center"/>
          </w:tcPr>
          <w:p w14:paraId="4A3EFE7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Equity dividends</w:t>
            </w:r>
          </w:p>
        </w:tc>
        <w:tc>
          <w:tcPr>
            <w:tcW w:w="737" w:type="dxa"/>
            <w:tcBorders>
              <w:top w:val="nil"/>
              <w:left w:val="nil"/>
              <w:bottom w:val="nil"/>
              <w:right w:val="nil"/>
            </w:tcBorders>
          </w:tcPr>
          <w:p w14:paraId="6DB5F51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tcPr>
          <w:p w14:paraId="7888AB4D"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tcPr>
          <w:p w14:paraId="2E20A67B"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tcPr>
          <w:p w14:paraId="359F79C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(17.2)</w:t>
            </w:r>
          </w:p>
        </w:tc>
        <w:tc>
          <w:tcPr>
            <w:tcW w:w="907" w:type="dxa"/>
            <w:tcBorders>
              <w:top w:val="nil"/>
              <w:left w:val="nil"/>
              <w:bottom w:val="nil"/>
              <w:right w:val="nil"/>
            </w:tcBorders>
          </w:tcPr>
          <w:p w14:paraId="420E9603"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nil"/>
              <w:right w:val="nil"/>
            </w:tcBorders>
          </w:tcPr>
          <w:p w14:paraId="449DD412"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(17.2)</w:t>
            </w:r>
          </w:p>
        </w:tc>
        <w:tc>
          <w:tcPr>
            <w:tcW w:w="1060" w:type="dxa"/>
            <w:tcBorders>
              <w:top w:val="nil"/>
              <w:left w:val="nil"/>
              <w:bottom w:val="nil"/>
              <w:right w:val="nil"/>
            </w:tcBorders>
          </w:tcPr>
          <w:p w14:paraId="75DD8E5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nil"/>
              <w:right w:val="nil"/>
            </w:tcBorders>
          </w:tcPr>
          <w:p w14:paraId="4FAB0E6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(17.2)</w:t>
            </w:r>
          </w:p>
        </w:tc>
      </w:tr>
      <w:tr w:rsidR="00756913" w:rsidRPr="00756913" w14:paraId="2B6DC2D3" w14:textId="77777777">
        <w:tblPrEx>
          <w:tblCellMar>
            <w:top w:w="0" w:type="dxa"/>
            <w:bottom w:w="0" w:type="dxa"/>
          </w:tblCellMar>
        </w:tblPrEx>
        <w:trPr>
          <w:trHeight w:val="89"/>
        </w:trPr>
        <w:tc>
          <w:tcPr>
            <w:tcW w:w="2438" w:type="dxa"/>
            <w:tcBorders>
              <w:top w:val="nil"/>
              <w:left w:val="nil"/>
              <w:bottom w:val="nil"/>
              <w:right w:val="nil"/>
            </w:tcBorders>
            <w:vAlign w:val="center"/>
          </w:tcPr>
          <w:p w14:paraId="6F363FE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Share-based payments</w:t>
            </w:r>
          </w:p>
        </w:tc>
        <w:tc>
          <w:tcPr>
            <w:tcW w:w="737" w:type="dxa"/>
            <w:tcBorders>
              <w:top w:val="nil"/>
              <w:left w:val="nil"/>
              <w:bottom w:val="nil"/>
              <w:right w:val="nil"/>
            </w:tcBorders>
          </w:tcPr>
          <w:p w14:paraId="0F3DE7F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tcPr>
          <w:p w14:paraId="54F8DC5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tcPr>
          <w:p w14:paraId="6A2A389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tcPr>
          <w:p w14:paraId="70C904A4"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w:t>
            </w:r>
          </w:p>
        </w:tc>
        <w:tc>
          <w:tcPr>
            <w:tcW w:w="907" w:type="dxa"/>
            <w:tcBorders>
              <w:top w:val="nil"/>
              <w:left w:val="nil"/>
              <w:bottom w:val="nil"/>
              <w:right w:val="nil"/>
            </w:tcBorders>
          </w:tcPr>
          <w:p w14:paraId="6AC3EBFB"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nil"/>
              <w:right w:val="nil"/>
            </w:tcBorders>
          </w:tcPr>
          <w:p w14:paraId="7940E54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w:t>
            </w:r>
          </w:p>
        </w:tc>
        <w:tc>
          <w:tcPr>
            <w:tcW w:w="1060" w:type="dxa"/>
            <w:tcBorders>
              <w:top w:val="nil"/>
              <w:left w:val="nil"/>
              <w:bottom w:val="nil"/>
              <w:right w:val="nil"/>
            </w:tcBorders>
          </w:tcPr>
          <w:p w14:paraId="49A9DB7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nil"/>
              <w:right w:val="nil"/>
            </w:tcBorders>
          </w:tcPr>
          <w:p w14:paraId="1455676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w:t>
            </w:r>
          </w:p>
        </w:tc>
      </w:tr>
      <w:tr w:rsidR="00756913" w:rsidRPr="00756913" w14:paraId="7CE3F91B" w14:textId="77777777">
        <w:tblPrEx>
          <w:tblCellMar>
            <w:top w:w="0" w:type="dxa"/>
            <w:bottom w:w="0" w:type="dxa"/>
          </w:tblCellMar>
        </w:tblPrEx>
        <w:trPr>
          <w:trHeight w:val="89"/>
        </w:trPr>
        <w:tc>
          <w:tcPr>
            <w:tcW w:w="2438" w:type="dxa"/>
            <w:tcBorders>
              <w:top w:val="nil"/>
              <w:left w:val="nil"/>
              <w:bottom w:val="nil"/>
              <w:right w:val="nil"/>
            </w:tcBorders>
            <w:vAlign w:val="center"/>
          </w:tcPr>
          <w:p w14:paraId="2CD7E6A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At 31 December 2023</w:t>
            </w:r>
          </w:p>
        </w:tc>
        <w:tc>
          <w:tcPr>
            <w:tcW w:w="737" w:type="dxa"/>
            <w:tcBorders>
              <w:top w:val="single" w:sz="4" w:space="0" w:color="auto"/>
              <w:left w:val="nil"/>
              <w:bottom w:val="single" w:sz="4" w:space="0" w:color="auto"/>
              <w:right w:val="nil"/>
            </w:tcBorders>
          </w:tcPr>
          <w:p w14:paraId="71B871E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0.1</w:t>
            </w:r>
          </w:p>
        </w:tc>
        <w:tc>
          <w:tcPr>
            <w:tcW w:w="964" w:type="dxa"/>
            <w:tcBorders>
              <w:top w:val="single" w:sz="4" w:space="0" w:color="auto"/>
              <w:left w:val="nil"/>
              <w:bottom w:val="single" w:sz="4" w:space="0" w:color="auto"/>
              <w:right w:val="nil"/>
            </w:tcBorders>
          </w:tcPr>
          <w:p w14:paraId="4BF59D14"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205.5</w:t>
            </w:r>
          </w:p>
        </w:tc>
        <w:tc>
          <w:tcPr>
            <w:tcW w:w="907" w:type="dxa"/>
            <w:tcBorders>
              <w:top w:val="single" w:sz="4" w:space="0" w:color="auto"/>
              <w:left w:val="nil"/>
              <w:bottom w:val="single" w:sz="4" w:space="0" w:color="auto"/>
              <w:right w:val="nil"/>
            </w:tcBorders>
          </w:tcPr>
          <w:p w14:paraId="2897E81A"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(2.4)</w:t>
            </w:r>
          </w:p>
        </w:tc>
        <w:tc>
          <w:tcPr>
            <w:tcW w:w="964" w:type="dxa"/>
            <w:tcBorders>
              <w:top w:val="single" w:sz="4" w:space="0" w:color="auto"/>
              <w:left w:val="nil"/>
              <w:bottom w:val="single" w:sz="4" w:space="0" w:color="auto"/>
              <w:right w:val="nil"/>
            </w:tcBorders>
          </w:tcPr>
          <w:p w14:paraId="66AFED22"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(46.3)</w:t>
            </w:r>
          </w:p>
        </w:tc>
        <w:tc>
          <w:tcPr>
            <w:tcW w:w="907" w:type="dxa"/>
            <w:tcBorders>
              <w:top w:val="single" w:sz="4" w:space="0" w:color="auto"/>
              <w:left w:val="nil"/>
              <w:bottom w:val="single" w:sz="4" w:space="0" w:color="auto"/>
              <w:right w:val="nil"/>
            </w:tcBorders>
          </w:tcPr>
          <w:p w14:paraId="06291A54"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63.6</w:t>
            </w:r>
          </w:p>
        </w:tc>
        <w:tc>
          <w:tcPr>
            <w:tcW w:w="1133" w:type="dxa"/>
            <w:tcBorders>
              <w:top w:val="single" w:sz="4" w:space="0" w:color="auto"/>
              <w:left w:val="nil"/>
              <w:bottom w:val="single" w:sz="4" w:space="0" w:color="auto"/>
              <w:right w:val="nil"/>
            </w:tcBorders>
          </w:tcPr>
          <w:p w14:paraId="71E3CE5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220.5</w:t>
            </w:r>
          </w:p>
        </w:tc>
        <w:tc>
          <w:tcPr>
            <w:tcW w:w="1060" w:type="dxa"/>
            <w:tcBorders>
              <w:top w:val="single" w:sz="4" w:space="0" w:color="auto"/>
              <w:left w:val="nil"/>
              <w:bottom w:val="single" w:sz="4" w:space="0" w:color="auto"/>
              <w:right w:val="nil"/>
            </w:tcBorders>
          </w:tcPr>
          <w:p w14:paraId="4B701143"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5.6</w:t>
            </w:r>
          </w:p>
        </w:tc>
        <w:tc>
          <w:tcPr>
            <w:tcW w:w="850" w:type="dxa"/>
            <w:tcBorders>
              <w:top w:val="single" w:sz="4" w:space="0" w:color="auto"/>
              <w:left w:val="nil"/>
              <w:bottom w:val="single" w:sz="4" w:space="0" w:color="auto"/>
              <w:right w:val="nil"/>
            </w:tcBorders>
          </w:tcPr>
          <w:p w14:paraId="2553049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sz w:val="18"/>
                <w:szCs w:val="18"/>
                <w14:ligatures w14:val="standardContextual"/>
              </w:rPr>
              <w:t>226.1</w:t>
            </w:r>
          </w:p>
        </w:tc>
      </w:tr>
    </w:tbl>
    <w:p w14:paraId="50D8825C" w14:textId="77777777" w:rsidR="00756913" w:rsidRPr="00756913" w:rsidRDefault="00756913" w:rsidP="00756913">
      <w:pPr>
        <w:tabs>
          <w:tab w:val="decimal" w:pos="864"/>
        </w:tabs>
        <w:autoSpaceDE w:val="0"/>
        <w:autoSpaceDN w:val="0"/>
        <w:adjustRightInd w:val="0"/>
        <w:spacing w:after="0" w:line="240" w:lineRule="auto"/>
        <w:rPr>
          <w:rFonts w:ascii="Arial" w:hAnsi="Arial" w:cs="Arial"/>
          <w:color w:val="FF0000"/>
          <w14:ligatures w14:val="standardContextual"/>
        </w:rPr>
      </w:pPr>
    </w:p>
    <w:tbl>
      <w:tblPr>
        <w:tblW w:w="0" w:type="auto"/>
        <w:tblLayout w:type="fixed"/>
        <w:tblLook w:val="0000" w:firstRow="0" w:lastRow="0" w:firstColumn="0" w:lastColumn="0" w:noHBand="0" w:noVBand="0"/>
      </w:tblPr>
      <w:tblGrid>
        <w:gridCol w:w="2438"/>
        <w:gridCol w:w="737"/>
        <w:gridCol w:w="964"/>
        <w:gridCol w:w="907"/>
        <w:gridCol w:w="965"/>
        <w:gridCol w:w="907"/>
        <w:gridCol w:w="1133"/>
        <w:gridCol w:w="1060"/>
        <w:gridCol w:w="850"/>
      </w:tblGrid>
      <w:tr w:rsidR="00756913" w:rsidRPr="00756913" w14:paraId="2C261CA8" w14:textId="77777777">
        <w:tblPrEx>
          <w:tblCellMar>
            <w:top w:w="0" w:type="dxa"/>
            <w:bottom w:w="0" w:type="dxa"/>
          </w:tblCellMar>
        </w:tblPrEx>
        <w:trPr>
          <w:trHeight w:val="278"/>
        </w:trPr>
        <w:tc>
          <w:tcPr>
            <w:tcW w:w="2438" w:type="dxa"/>
            <w:tcBorders>
              <w:top w:val="nil"/>
              <w:left w:val="nil"/>
              <w:bottom w:val="nil"/>
              <w:right w:val="nil"/>
            </w:tcBorders>
            <w:vAlign w:val="center"/>
          </w:tcPr>
          <w:p w14:paraId="1D0DDF8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At 1 January 2024</w:t>
            </w:r>
          </w:p>
        </w:tc>
        <w:tc>
          <w:tcPr>
            <w:tcW w:w="737" w:type="dxa"/>
            <w:tcBorders>
              <w:top w:val="nil"/>
              <w:left w:val="nil"/>
              <w:bottom w:val="single" w:sz="4" w:space="0" w:color="auto"/>
              <w:right w:val="nil"/>
            </w:tcBorders>
            <w:vAlign w:val="center"/>
          </w:tcPr>
          <w:p w14:paraId="38446122"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0.1</w:t>
            </w:r>
          </w:p>
        </w:tc>
        <w:tc>
          <w:tcPr>
            <w:tcW w:w="964" w:type="dxa"/>
            <w:tcBorders>
              <w:top w:val="nil"/>
              <w:left w:val="nil"/>
              <w:bottom w:val="single" w:sz="4" w:space="0" w:color="auto"/>
              <w:right w:val="nil"/>
            </w:tcBorders>
            <w:vAlign w:val="center"/>
          </w:tcPr>
          <w:p w14:paraId="324F2633"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205.5</w:t>
            </w:r>
          </w:p>
        </w:tc>
        <w:tc>
          <w:tcPr>
            <w:tcW w:w="907" w:type="dxa"/>
            <w:tcBorders>
              <w:top w:val="nil"/>
              <w:left w:val="nil"/>
              <w:bottom w:val="single" w:sz="4" w:space="0" w:color="auto"/>
              <w:right w:val="nil"/>
            </w:tcBorders>
            <w:vAlign w:val="center"/>
          </w:tcPr>
          <w:p w14:paraId="21794BF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(2.4)</w:t>
            </w:r>
          </w:p>
        </w:tc>
        <w:tc>
          <w:tcPr>
            <w:tcW w:w="965" w:type="dxa"/>
            <w:tcBorders>
              <w:top w:val="nil"/>
              <w:left w:val="nil"/>
              <w:bottom w:val="single" w:sz="4" w:space="0" w:color="auto"/>
              <w:right w:val="nil"/>
            </w:tcBorders>
            <w:vAlign w:val="center"/>
          </w:tcPr>
          <w:p w14:paraId="4565247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(46.3)</w:t>
            </w:r>
          </w:p>
        </w:tc>
        <w:tc>
          <w:tcPr>
            <w:tcW w:w="907" w:type="dxa"/>
            <w:tcBorders>
              <w:top w:val="nil"/>
              <w:left w:val="nil"/>
              <w:bottom w:val="single" w:sz="4" w:space="0" w:color="auto"/>
              <w:right w:val="nil"/>
            </w:tcBorders>
            <w:vAlign w:val="center"/>
          </w:tcPr>
          <w:p w14:paraId="5434D73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63.6</w:t>
            </w:r>
          </w:p>
        </w:tc>
        <w:tc>
          <w:tcPr>
            <w:tcW w:w="1133" w:type="dxa"/>
            <w:tcBorders>
              <w:top w:val="nil"/>
              <w:left w:val="nil"/>
              <w:bottom w:val="single" w:sz="4" w:space="0" w:color="auto"/>
              <w:right w:val="nil"/>
            </w:tcBorders>
            <w:vAlign w:val="center"/>
          </w:tcPr>
          <w:p w14:paraId="0A31986D"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220.5</w:t>
            </w:r>
          </w:p>
        </w:tc>
        <w:tc>
          <w:tcPr>
            <w:tcW w:w="1060" w:type="dxa"/>
            <w:tcBorders>
              <w:top w:val="nil"/>
              <w:left w:val="nil"/>
              <w:bottom w:val="single" w:sz="4" w:space="0" w:color="auto"/>
              <w:right w:val="nil"/>
            </w:tcBorders>
            <w:vAlign w:val="center"/>
          </w:tcPr>
          <w:p w14:paraId="2BB1449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5.6</w:t>
            </w:r>
          </w:p>
        </w:tc>
        <w:tc>
          <w:tcPr>
            <w:tcW w:w="850" w:type="dxa"/>
            <w:tcBorders>
              <w:top w:val="nil"/>
              <w:left w:val="nil"/>
              <w:bottom w:val="single" w:sz="4" w:space="0" w:color="auto"/>
              <w:right w:val="nil"/>
            </w:tcBorders>
            <w:vAlign w:val="center"/>
          </w:tcPr>
          <w:p w14:paraId="4AA1617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226.1</w:t>
            </w:r>
          </w:p>
        </w:tc>
      </w:tr>
      <w:tr w:rsidR="00756913" w:rsidRPr="00756913" w14:paraId="7ECDC57C" w14:textId="77777777">
        <w:tblPrEx>
          <w:tblCellMar>
            <w:top w:w="0" w:type="dxa"/>
            <w:bottom w:w="0" w:type="dxa"/>
          </w:tblCellMar>
        </w:tblPrEx>
        <w:trPr>
          <w:trHeight w:val="278"/>
        </w:trPr>
        <w:tc>
          <w:tcPr>
            <w:tcW w:w="2438" w:type="dxa"/>
            <w:tcBorders>
              <w:top w:val="nil"/>
              <w:left w:val="nil"/>
              <w:bottom w:val="nil"/>
              <w:right w:val="nil"/>
            </w:tcBorders>
            <w:vAlign w:val="center"/>
          </w:tcPr>
          <w:p w14:paraId="4D26128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Profit for the period</w:t>
            </w:r>
          </w:p>
        </w:tc>
        <w:tc>
          <w:tcPr>
            <w:tcW w:w="737" w:type="dxa"/>
            <w:tcBorders>
              <w:top w:val="single" w:sz="4" w:space="0" w:color="auto"/>
              <w:left w:val="nil"/>
              <w:bottom w:val="nil"/>
              <w:right w:val="nil"/>
            </w:tcBorders>
            <w:vAlign w:val="center"/>
          </w:tcPr>
          <w:p w14:paraId="48A09E8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single" w:sz="4" w:space="0" w:color="auto"/>
              <w:left w:val="nil"/>
              <w:bottom w:val="nil"/>
              <w:right w:val="nil"/>
            </w:tcBorders>
            <w:vAlign w:val="center"/>
          </w:tcPr>
          <w:p w14:paraId="54EF7032"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single" w:sz="4" w:space="0" w:color="auto"/>
              <w:left w:val="nil"/>
              <w:bottom w:val="nil"/>
              <w:right w:val="nil"/>
            </w:tcBorders>
            <w:vAlign w:val="center"/>
          </w:tcPr>
          <w:p w14:paraId="00B01A5D"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5" w:type="dxa"/>
            <w:tcBorders>
              <w:top w:val="single" w:sz="4" w:space="0" w:color="auto"/>
              <w:left w:val="nil"/>
              <w:bottom w:val="nil"/>
              <w:right w:val="nil"/>
            </w:tcBorders>
            <w:vAlign w:val="center"/>
          </w:tcPr>
          <w:p w14:paraId="7EF02059"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44.2</w:t>
            </w:r>
          </w:p>
        </w:tc>
        <w:tc>
          <w:tcPr>
            <w:tcW w:w="907" w:type="dxa"/>
            <w:tcBorders>
              <w:top w:val="single" w:sz="4" w:space="0" w:color="auto"/>
              <w:left w:val="nil"/>
              <w:bottom w:val="nil"/>
              <w:right w:val="nil"/>
            </w:tcBorders>
            <w:vAlign w:val="center"/>
          </w:tcPr>
          <w:p w14:paraId="5D15E9D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single" w:sz="4" w:space="0" w:color="auto"/>
              <w:left w:val="nil"/>
              <w:bottom w:val="nil"/>
              <w:right w:val="nil"/>
            </w:tcBorders>
            <w:vAlign w:val="center"/>
          </w:tcPr>
          <w:p w14:paraId="2CB9F8D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44.2</w:t>
            </w:r>
          </w:p>
        </w:tc>
        <w:tc>
          <w:tcPr>
            <w:tcW w:w="1060" w:type="dxa"/>
            <w:tcBorders>
              <w:top w:val="single" w:sz="4" w:space="0" w:color="auto"/>
              <w:left w:val="nil"/>
              <w:bottom w:val="nil"/>
              <w:right w:val="nil"/>
            </w:tcBorders>
            <w:vAlign w:val="center"/>
          </w:tcPr>
          <w:p w14:paraId="758C080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c>
          <w:tcPr>
            <w:tcW w:w="850" w:type="dxa"/>
            <w:tcBorders>
              <w:top w:val="single" w:sz="4" w:space="0" w:color="auto"/>
              <w:left w:val="nil"/>
              <w:bottom w:val="nil"/>
              <w:right w:val="nil"/>
            </w:tcBorders>
            <w:vAlign w:val="center"/>
          </w:tcPr>
          <w:p w14:paraId="181BD52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44.1</w:t>
            </w:r>
          </w:p>
        </w:tc>
      </w:tr>
      <w:tr w:rsidR="00756913" w:rsidRPr="00756913" w14:paraId="47276C31" w14:textId="77777777">
        <w:tblPrEx>
          <w:tblCellMar>
            <w:top w:w="0" w:type="dxa"/>
            <w:bottom w:w="0" w:type="dxa"/>
          </w:tblCellMar>
        </w:tblPrEx>
        <w:trPr>
          <w:trHeight w:val="278"/>
        </w:trPr>
        <w:tc>
          <w:tcPr>
            <w:tcW w:w="2438" w:type="dxa"/>
            <w:tcBorders>
              <w:top w:val="nil"/>
              <w:left w:val="nil"/>
              <w:bottom w:val="nil"/>
              <w:right w:val="nil"/>
            </w:tcBorders>
            <w:vAlign w:val="center"/>
          </w:tcPr>
          <w:p w14:paraId="371E115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Other comprehensive income</w:t>
            </w:r>
          </w:p>
        </w:tc>
        <w:tc>
          <w:tcPr>
            <w:tcW w:w="737" w:type="dxa"/>
            <w:tcBorders>
              <w:top w:val="nil"/>
              <w:left w:val="nil"/>
              <w:bottom w:val="single" w:sz="4" w:space="0" w:color="auto"/>
              <w:right w:val="nil"/>
            </w:tcBorders>
            <w:vAlign w:val="center"/>
          </w:tcPr>
          <w:p w14:paraId="178C3B0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single" w:sz="4" w:space="0" w:color="auto"/>
              <w:right w:val="nil"/>
            </w:tcBorders>
            <w:vAlign w:val="center"/>
          </w:tcPr>
          <w:p w14:paraId="79C06DA0"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single" w:sz="4" w:space="0" w:color="auto"/>
              <w:right w:val="nil"/>
            </w:tcBorders>
            <w:vAlign w:val="center"/>
          </w:tcPr>
          <w:p w14:paraId="663A9247"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5" w:type="dxa"/>
            <w:tcBorders>
              <w:top w:val="nil"/>
              <w:left w:val="nil"/>
              <w:bottom w:val="single" w:sz="4" w:space="0" w:color="auto"/>
              <w:right w:val="nil"/>
            </w:tcBorders>
            <w:vAlign w:val="center"/>
          </w:tcPr>
          <w:p w14:paraId="700A9112" w14:textId="77777777" w:rsidR="00756913" w:rsidRPr="00756913" w:rsidRDefault="00756913" w:rsidP="00756913">
            <w:pPr>
              <w:tabs>
                <w:tab w:val="left" w:pos="709"/>
                <w:tab w:val="decimal" w:pos="864"/>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single" w:sz="4" w:space="0" w:color="auto"/>
              <w:right w:val="nil"/>
            </w:tcBorders>
            <w:vAlign w:val="center"/>
          </w:tcPr>
          <w:p w14:paraId="606C533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0.2</w:t>
            </w:r>
          </w:p>
        </w:tc>
        <w:tc>
          <w:tcPr>
            <w:tcW w:w="1133" w:type="dxa"/>
            <w:tcBorders>
              <w:top w:val="nil"/>
              <w:left w:val="nil"/>
              <w:bottom w:val="single" w:sz="4" w:space="0" w:color="auto"/>
              <w:right w:val="nil"/>
            </w:tcBorders>
            <w:vAlign w:val="center"/>
          </w:tcPr>
          <w:p w14:paraId="36C1C34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0.2</w:t>
            </w:r>
          </w:p>
        </w:tc>
        <w:tc>
          <w:tcPr>
            <w:tcW w:w="1060" w:type="dxa"/>
            <w:tcBorders>
              <w:top w:val="nil"/>
              <w:left w:val="nil"/>
              <w:bottom w:val="single" w:sz="4" w:space="0" w:color="auto"/>
              <w:right w:val="nil"/>
            </w:tcBorders>
            <w:vAlign w:val="center"/>
          </w:tcPr>
          <w:p w14:paraId="426DEB5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single" w:sz="4" w:space="0" w:color="auto"/>
              <w:right w:val="nil"/>
            </w:tcBorders>
            <w:vAlign w:val="center"/>
          </w:tcPr>
          <w:p w14:paraId="0DE9387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sz w:val="18"/>
                <w:szCs w:val="18"/>
                <w14:ligatures w14:val="standardContextual"/>
              </w:rPr>
            </w:pPr>
            <w:r w:rsidRPr="00756913">
              <w:rPr>
                <w:rFonts w:ascii="Arial" w:hAnsi="Arial" w:cs="Arial"/>
                <w:sz w:val="18"/>
                <w:szCs w:val="18"/>
                <w14:ligatures w14:val="standardContextual"/>
              </w:rPr>
              <w:t>0.2</w:t>
            </w:r>
          </w:p>
        </w:tc>
      </w:tr>
      <w:tr w:rsidR="00756913" w:rsidRPr="00756913" w14:paraId="163DAFE2" w14:textId="77777777">
        <w:tblPrEx>
          <w:tblCellMar>
            <w:top w:w="0" w:type="dxa"/>
            <w:bottom w:w="0" w:type="dxa"/>
          </w:tblCellMar>
        </w:tblPrEx>
        <w:trPr>
          <w:trHeight w:val="278"/>
        </w:trPr>
        <w:tc>
          <w:tcPr>
            <w:tcW w:w="2438" w:type="dxa"/>
            <w:tcBorders>
              <w:top w:val="nil"/>
              <w:left w:val="nil"/>
              <w:bottom w:val="nil"/>
              <w:right w:val="nil"/>
            </w:tcBorders>
            <w:vAlign w:val="center"/>
          </w:tcPr>
          <w:p w14:paraId="4E6E7A8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Total comprehensive income</w:t>
            </w:r>
          </w:p>
        </w:tc>
        <w:tc>
          <w:tcPr>
            <w:tcW w:w="737" w:type="dxa"/>
            <w:tcBorders>
              <w:top w:val="single" w:sz="4" w:space="0" w:color="auto"/>
              <w:left w:val="nil"/>
              <w:bottom w:val="nil"/>
              <w:right w:val="nil"/>
            </w:tcBorders>
            <w:vAlign w:val="center"/>
          </w:tcPr>
          <w:p w14:paraId="7F5F680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single" w:sz="4" w:space="0" w:color="auto"/>
              <w:left w:val="nil"/>
              <w:bottom w:val="nil"/>
              <w:right w:val="nil"/>
            </w:tcBorders>
            <w:vAlign w:val="center"/>
          </w:tcPr>
          <w:p w14:paraId="0A25DBD6"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single" w:sz="4" w:space="0" w:color="auto"/>
              <w:left w:val="nil"/>
              <w:bottom w:val="nil"/>
              <w:right w:val="nil"/>
            </w:tcBorders>
            <w:vAlign w:val="center"/>
          </w:tcPr>
          <w:p w14:paraId="696F62C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5" w:type="dxa"/>
            <w:tcBorders>
              <w:top w:val="single" w:sz="4" w:space="0" w:color="auto"/>
              <w:left w:val="nil"/>
              <w:bottom w:val="nil"/>
              <w:right w:val="nil"/>
            </w:tcBorders>
            <w:vAlign w:val="center"/>
          </w:tcPr>
          <w:p w14:paraId="712C60E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44.2</w:t>
            </w:r>
          </w:p>
        </w:tc>
        <w:tc>
          <w:tcPr>
            <w:tcW w:w="907" w:type="dxa"/>
            <w:tcBorders>
              <w:top w:val="single" w:sz="4" w:space="0" w:color="auto"/>
              <w:left w:val="nil"/>
              <w:bottom w:val="nil"/>
              <w:right w:val="nil"/>
            </w:tcBorders>
            <w:vAlign w:val="center"/>
          </w:tcPr>
          <w:p w14:paraId="4E8F43A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0.2</w:t>
            </w:r>
          </w:p>
        </w:tc>
        <w:tc>
          <w:tcPr>
            <w:tcW w:w="1133" w:type="dxa"/>
            <w:tcBorders>
              <w:top w:val="single" w:sz="4" w:space="0" w:color="auto"/>
              <w:left w:val="nil"/>
              <w:bottom w:val="nil"/>
              <w:right w:val="nil"/>
            </w:tcBorders>
            <w:vAlign w:val="center"/>
          </w:tcPr>
          <w:p w14:paraId="6922681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44.4</w:t>
            </w:r>
          </w:p>
        </w:tc>
        <w:tc>
          <w:tcPr>
            <w:tcW w:w="1060" w:type="dxa"/>
            <w:tcBorders>
              <w:top w:val="single" w:sz="4" w:space="0" w:color="auto"/>
              <w:left w:val="nil"/>
              <w:bottom w:val="nil"/>
              <w:right w:val="nil"/>
            </w:tcBorders>
            <w:vAlign w:val="center"/>
          </w:tcPr>
          <w:p w14:paraId="6800ADD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c>
          <w:tcPr>
            <w:tcW w:w="850" w:type="dxa"/>
            <w:tcBorders>
              <w:top w:val="single" w:sz="4" w:space="0" w:color="auto"/>
              <w:left w:val="nil"/>
              <w:bottom w:val="nil"/>
              <w:right w:val="nil"/>
            </w:tcBorders>
            <w:vAlign w:val="center"/>
          </w:tcPr>
          <w:p w14:paraId="7D1B2A96"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44.3</w:t>
            </w:r>
          </w:p>
        </w:tc>
      </w:tr>
      <w:tr w:rsidR="00756913" w:rsidRPr="00756913" w14:paraId="298DD1D2" w14:textId="77777777">
        <w:tblPrEx>
          <w:tblCellMar>
            <w:top w:w="0" w:type="dxa"/>
            <w:bottom w:w="0" w:type="dxa"/>
          </w:tblCellMar>
        </w:tblPrEx>
        <w:trPr>
          <w:trHeight w:val="278"/>
        </w:trPr>
        <w:tc>
          <w:tcPr>
            <w:tcW w:w="2438" w:type="dxa"/>
            <w:tcBorders>
              <w:top w:val="nil"/>
              <w:left w:val="nil"/>
              <w:bottom w:val="nil"/>
              <w:right w:val="nil"/>
            </w:tcBorders>
            <w:vAlign w:val="center"/>
          </w:tcPr>
          <w:p w14:paraId="5791407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New shares issued</w:t>
            </w:r>
          </w:p>
        </w:tc>
        <w:tc>
          <w:tcPr>
            <w:tcW w:w="737" w:type="dxa"/>
            <w:tcBorders>
              <w:top w:val="single" w:sz="4" w:space="0" w:color="auto"/>
              <w:left w:val="nil"/>
              <w:bottom w:val="nil"/>
              <w:right w:val="nil"/>
            </w:tcBorders>
            <w:vAlign w:val="center"/>
          </w:tcPr>
          <w:p w14:paraId="7A626353"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single" w:sz="4" w:space="0" w:color="auto"/>
              <w:left w:val="nil"/>
              <w:bottom w:val="nil"/>
              <w:right w:val="nil"/>
            </w:tcBorders>
            <w:vAlign w:val="center"/>
          </w:tcPr>
          <w:p w14:paraId="2B89686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single" w:sz="4" w:space="0" w:color="auto"/>
              <w:left w:val="nil"/>
              <w:bottom w:val="nil"/>
              <w:right w:val="nil"/>
            </w:tcBorders>
            <w:vAlign w:val="center"/>
          </w:tcPr>
          <w:p w14:paraId="51771DFE"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5" w:type="dxa"/>
            <w:tcBorders>
              <w:top w:val="single" w:sz="4" w:space="0" w:color="auto"/>
              <w:left w:val="nil"/>
              <w:bottom w:val="nil"/>
              <w:right w:val="nil"/>
            </w:tcBorders>
            <w:vAlign w:val="center"/>
          </w:tcPr>
          <w:p w14:paraId="61C68CA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single" w:sz="4" w:space="0" w:color="auto"/>
              <w:left w:val="nil"/>
              <w:bottom w:val="nil"/>
              <w:right w:val="nil"/>
            </w:tcBorders>
            <w:vAlign w:val="center"/>
          </w:tcPr>
          <w:p w14:paraId="190F251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single" w:sz="4" w:space="0" w:color="auto"/>
              <w:left w:val="nil"/>
              <w:bottom w:val="nil"/>
              <w:right w:val="nil"/>
            </w:tcBorders>
            <w:vAlign w:val="center"/>
          </w:tcPr>
          <w:p w14:paraId="750F645B"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060" w:type="dxa"/>
            <w:tcBorders>
              <w:top w:val="single" w:sz="4" w:space="0" w:color="auto"/>
              <w:left w:val="nil"/>
              <w:bottom w:val="nil"/>
              <w:right w:val="nil"/>
            </w:tcBorders>
            <w:vAlign w:val="center"/>
          </w:tcPr>
          <w:p w14:paraId="6A89F84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single" w:sz="4" w:space="0" w:color="auto"/>
              <w:left w:val="nil"/>
              <w:bottom w:val="nil"/>
              <w:right w:val="nil"/>
            </w:tcBorders>
            <w:vAlign w:val="center"/>
          </w:tcPr>
          <w:p w14:paraId="4A07D54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r>
      <w:tr w:rsidR="00756913" w:rsidRPr="00756913" w14:paraId="610AED3B" w14:textId="77777777">
        <w:tblPrEx>
          <w:tblCellMar>
            <w:top w:w="0" w:type="dxa"/>
            <w:bottom w:w="0" w:type="dxa"/>
          </w:tblCellMar>
        </w:tblPrEx>
        <w:trPr>
          <w:trHeight w:val="278"/>
        </w:trPr>
        <w:tc>
          <w:tcPr>
            <w:tcW w:w="2438" w:type="dxa"/>
            <w:tcBorders>
              <w:top w:val="nil"/>
              <w:left w:val="nil"/>
              <w:bottom w:val="nil"/>
              <w:right w:val="nil"/>
            </w:tcBorders>
            <w:vAlign w:val="center"/>
          </w:tcPr>
          <w:p w14:paraId="40B734A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Purchase of shares by employee trusts</w:t>
            </w:r>
          </w:p>
        </w:tc>
        <w:tc>
          <w:tcPr>
            <w:tcW w:w="737" w:type="dxa"/>
            <w:tcBorders>
              <w:top w:val="nil"/>
              <w:left w:val="nil"/>
              <w:bottom w:val="nil"/>
              <w:right w:val="nil"/>
            </w:tcBorders>
            <w:vAlign w:val="center"/>
          </w:tcPr>
          <w:p w14:paraId="4F6B38C4"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vAlign w:val="center"/>
          </w:tcPr>
          <w:p w14:paraId="5F6D9217"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vAlign w:val="center"/>
          </w:tcPr>
          <w:p w14:paraId="098A62DC"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c>
          <w:tcPr>
            <w:tcW w:w="965" w:type="dxa"/>
            <w:tcBorders>
              <w:top w:val="nil"/>
              <w:left w:val="nil"/>
              <w:bottom w:val="nil"/>
              <w:right w:val="nil"/>
            </w:tcBorders>
            <w:vAlign w:val="center"/>
          </w:tcPr>
          <w:p w14:paraId="1CFF57FB"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vAlign w:val="center"/>
          </w:tcPr>
          <w:p w14:paraId="0ADF0BA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nil"/>
              <w:right w:val="nil"/>
            </w:tcBorders>
            <w:vAlign w:val="center"/>
          </w:tcPr>
          <w:p w14:paraId="29CEECD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c>
          <w:tcPr>
            <w:tcW w:w="1060" w:type="dxa"/>
            <w:tcBorders>
              <w:top w:val="nil"/>
              <w:left w:val="nil"/>
              <w:bottom w:val="nil"/>
              <w:right w:val="nil"/>
            </w:tcBorders>
            <w:vAlign w:val="center"/>
          </w:tcPr>
          <w:p w14:paraId="0260F8E2"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nil"/>
              <w:right w:val="nil"/>
            </w:tcBorders>
            <w:vAlign w:val="center"/>
          </w:tcPr>
          <w:p w14:paraId="5D38A47B"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r>
      <w:tr w:rsidR="00756913" w:rsidRPr="00756913" w14:paraId="245B5B0B" w14:textId="77777777">
        <w:tblPrEx>
          <w:tblCellMar>
            <w:top w:w="0" w:type="dxa"/>
            <w:bottom w:w="0" w:type="dxa"/>
          </w:tblCellMar>
        </w:tblPrEx>
        <w:trPr>
          <w:trHeight w:val="278"/>
        </w:trPr>
        <w:tc>
          <w:tcPr>
            <w:tcW w:w="2438" w:type="dxa"/>
            <w:tcBorders>
              <w:top w:val="nil"/>
              <w:left w:val="nil"/>
              <w:bottom w:val="nil"/>
              <w:right w:val="nil"/>
            </w:tcBorders>
            <w:vAlign w:val="center"/>
          </w:tcPr>
          <w:p w14:paraId="7B3BEC8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Exercise of LTIP awards</w:t>
            </w:r>
          </w:p>
        </w:tc>
        <w:tc>
          <w:tcPr>
            <w:tcW w:w="737" w:type="dxa"/>
            <w:tcBorders>
              <w:top w:val="nil"/>
              <w:left w:val="nil"/>
              <w:bottom w:val="nil"/>
              <w:right w:val="nil"/>
            </w:tcBorders>
            <w:vAlign w:val="center"/>
          </w:tcPr>
          <w:p w14:paraId="44ED560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vAlign w:val="center"/>
          </w:tcPr>
          <w:p w14:paraId="600913F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vAlign w:val="center"/>
          </w:tcPr>
          <w:p w14:paraId="574EEB80"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0.9</w:t>
            </w:r>
          </w:p>
        </w:tc>
        <w:tc>
          <w:tcPr>
            <w:tcW w:w="965" w:type="dxa"/>
            <w:tcBorders>
              <w:top w:val="nil"/>
              <w:left w:val="nil"/>
              <w:bottom w:val="nil"/>
              <w:right w:val="nil"/>
            </w:tcBorders>
            <w:vAlign w:val="center"/>
          </w:tcPr>
          <w:p w14:paraId="09AD7D5F"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(0.9)</w:t>
            </w:r>
          </w:p>
        </w:tc>
        <w:tc>
          <w:tcPr>
            <w:tcW w:w="907" w:type="dxa"/>
            <w:tcBorders>
              <w:top w:val="nil"/>
              <w:left w:val="nil"/>
              <w:bottom w:val="nil"/>
              <w:right w:val="nil"/>
            </w:tcBorders>
            <w:vAlign w:val="center"/>
          </w:tcPr>
          <w:p w14:paraId="5FAF604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nil"/>
              <w:right w:val="nil"/>
            </w:tcBorders>
            <w:vAlign w:val="center"/>
          </w:tcPr>
          <w:p w14:paraId="660C870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060" w:type="dxa"/>
            <w:tcBorders>
              <w:top w:val="nil"/>
              <w:left w:val="nil"/>
              <w:bottom w:val="nil"/>
              <w:right w:val="nil"/>
            </w:tcBorders>
            <w:vAlign w:val="center"/>
          </w:tcPr>
          <w:p w14:paraId="09A553EB"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nil"/>
              <w:right w:val="nil"/>
            </w:tcBorders>
            <w:vAlign w:val="center"/>
          </w:tcPr>
          <w:p w14:paraId="26910436"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r>
      <w:tr w:rsidR="00756913" w:rsidRPr="00756913" w14:paraId="1D65B355" w14:textId="77777777">
        <w:tblPrEx>
          <w:tblCellMar>
            <w:top w:w="0" w:type="dxa"/>
            <w:bottom w:w="0" w:type="dxa"/>
          </w:tblCellMar>
        </w:tblPrEx>
        <w:trPr>
          <w:trHeight w:val="278"/>
        </w:trPr>
        <w:tc>
          <w:tcPr>
            <w:tcW w:w="2438" w:type="dxa"/>
            <w:tcBorders>
              <w:top w:val="nil"/>
              <w:left w:val="nil"/>
              <w:bottom w:val="nil"/>
              <w:right w:val="nil"/>
            </w:tcBorders>
            <w:vAlign w:val="center"/>
          </w:tcPr>
          <w:p w14:paraId="5FC07D2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Equity dividends</w:t>
            </w:r>
          </w:p>
        </w:tc>
        <w:tc>
          <w:tcPr>
            <w:tcW w:w="737" w:type="dxa"/>
            <w:tcBorders>
              <w:top w:val="nil"/>
              <w:left w:val="nil"/>
              <w:bottom w:val="nil"/>
              <w:right w:val="nil"/>
            </w:tcBorders>
            <w:vAlign w:val="center"/>
          </w:tcPr>
          <w:p w14:paraId="768E17EF"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nil"/>
              <w:right w:val="nil"/>
            </w:tcBorders>
            <w:vAlign w:val="center"/>
          </w:tcPr>
          <w:p w14:paraId="443912B3"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nil"/>
              <w:right w:val="nil"/>
            </w:tcBorders>
            <w:vAlign w:val="center"/>
          </w:tcPr>
          <w:p w14:paraId="5C8F4600"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5" w:type="dxa"/>
            <w:tcBorders>
              <w:top w:val="nil"/>
              <w:left w:val="nil"/>
              <w:bottom w:val="nil"/>
              <w:right w:val="nil"/>
            </w:tcBorders>
            <w:vAlign w:val="center"/>
          </w:tcPr>
          <w:p w14:paraId="7F7D5A31"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(47.8)</w:t>
            </w:r>
          </w:p>
        </w:tc>
        <w:tc>
          <w:tcPr>
            <w:tcW w:w="907" w:type="dxa"/>
            <w:tcBorders>
              <w:top w:val="nil"/>
              <w:left w:val="nil"/>
              <w:bottom w:val="nil"/>
              <w:right w:val="nil"/>
            </w:tcBorders>
            <w:vAlign w:val="center"/>
          </w:tcPr>
          <w:p w14:paraId="06FA151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nil"/>
              <w:right w:val="nil"/>
            </w:tcBorders>
            <w:vAlign w:val="center"/>
          </w:tcPr>
          <w:p w14:paraId="430806F8"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(47.8)</w:t>
            </w:r>
          </w:p>
        </w:tc>
        <w:tc>
          <w:tcPr>
            <w:tcW w:w="1060" w:type="dxa"/>
            <w:tcBorders>
              <w:top w:val="nil"/>
              <w:left w:val="nil"/>
              <w:bottom w:val="nil"/>
              <w:right w:val="nil"/>
            </w:tcBorders>
            <w:vAlign w:val="center"/>
          </w:tcPr>
          <w:p w14:paraId="26003C5A"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nil"/>
              <w:right w:val="nil"/>
            </w:tcBorders>
            <w:vAlign w:val="center"/>
          </w:tcPr>
          <w:p w14:paraId="7217FD84"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(47.8)</w:t>
            </w:r>
          </w:p>
        </w:tc>
      </w:tr>
      <w:tr w:rsidR="00756913" w:rsidRPr="00756913" w14:paraId="02B49583" w14:textId="77777777">
        <w:tblPrEx>
          <w:tblCellMar>
            <w:top w:w="0" w:type="dxa"/>
            <w:bottom w:w="0" w:type="dxa"/>
          </w:tblCellMar>
        </w:tblPrEx>
        <w:trPr>
          <w:trHeight w:val="278"/>
        </w:trPr>
        <w:tc>
          <w:tcPr>
            <w:tcW w:w="2438" w:type="dxa"/>
            <w:tcBorders>
              <w:top w:val="nil"/>
              <w:left w:val="nil"/>
              <w:bottom w:val="nil"/>
              <w:right w:val="nil"/>
            </w:tcBorders>
            <w:vAlign w:val="center"/>
          </w:tcPr>
          <w:p w14:paraId="619D797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Share-based payments</w:t>
            </w:r>
          </w:p>
        </w:tc>
        <w:tc>
          <w:tcPr>
            <w:tcW w:w="737" w:type="dxa"/>
            <w:tcBorders>
              <w:top w:val="nil"/>
              <w:left w:val="nil"/>
              <w:bottom w:val="single" w:sz="4" w:space="0" w:color="auto"/>
              <w:right w:val="nil"/>
            </w:tcBorders>
            <w:vAlign w:val="center"/>
          </w:tcPr>
          <w:p w14:paraId="71492C1B"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4" w:type="dxa"/>
            <w:tcBorders>
              <w:top w:val="nil"/>
              <w:left w:val="nil"/>
              <w:bottom w:val="single" w:sz="4" w:space="0" w:color="auto"/>
              <w:right w:val="nil"/>
            </w:tcBorders>
            <w:vAlign w:val="center"/>
          </w:tcPr>
          <w:p w14:paraId="1F2E0744"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07" w:type="dxa"/>
            <w:tcBorders>
              <w:top w:val="nil"/>
              <w:left w:val="nil"/>
              <w:bottom w:val="single" w:sz="4" w:space="0" w:color="auto"/>
              <w:right w:val="nil"/>
            </w:tcBorders>
            <w:vAlign w:val="center"/>
          </w:tcPr>
          <w:p w14:paraId="43D96E21"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965" w:type="dxa"/>
            <w:tcBorders>
              <w:top w:val="nil"/>
              <w:left w:val="nil"/>
              <w:bottom w:val="single" w:sz="4" w:space="0" w:color="auto"/>
              <w:right w:val="nil"/>
            </w:tcBorders>
            <w:vAlign w:val="center"/>
          </w:tcPr>
          <w:p w14:paraId="0762CB32" w14:textId="77777777" w:rsidR="00756913" w:rsidRPr="00756913" w:rsidRDefault="00756913" w:rsidP="00756913">
            <w:pPr>
              <w:tabs>
                <w:tab w:val="decimal" w:pos="774"/>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w:t>
            </w:r>
          </w:p>
        </w:tc>
        <w:tc>
          <w:tcPr>
            <w:tcW w:w="907" w:type="dxa"/>
            <w:tcBorders>
              <w:top w:val="nil"/>
              <w:left w:val="nil"/>
              <w:bottom w:val="single" w:sz="4" w:space="0" w:color="auto"/>
              <w:right w:val="nil"/>
            </w:tcBorders>
            <w:vAlign w:val="center"/>
          </w:tcPr>
          <w:p w14:paraId="741A0385"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33" w:type="dxa"/>
            <w:tcBorders>
              <w:top w:val="nil"/>
              <w:left w:val="nil"/>
              <w:bottom w:val="single" w:sz="4" w:space="0" w:color="auto"/>
              <w:right w:val="nil"/>
            </w:tcBorders>
            <w:vAlign w:val="center"/>
          </w:tcPr>
          <w:p w14:paraId="2505F4A9"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w:t>
            </w:r>
          </w:p>
        </w:tc>
        <w:tc>
          <w:tcPr>
            <w:tcW w:w="1060" w:type="dxa"/>
            <w:tcBorders>
              <w:top w:val="nil"/>
              <w:left w:val="nil"/>
              <w:bottom w:val="single" w:sz="4" w:space="0" w:color="auto"/>
              <w:right w:val="nil"/>
            </w:tcBorders>
            <w:vAlign w:val="center"/>
          </w:tcPr>
          <w:p w14:paraId="7087CE3C"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850" w:type="dxa"/>
            <w:tcBorders>
              <w:top w:val="nil"/>
              <w:left w:val="nil"/>
              <w:bottom w:val="single" w:sz="4" w:space="0" w:color="auto"/>
              <w:right w:val="nil"/>
            </w:tcBorders>
            <w:vAlign w:val="center"/>
          </w:tcPr>
          <w:p w14:paraId="24FFC1A5"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w:t>
            </w:r>
          </w:p>
        </w:tc>
      </w:tr>
      <w:tr w:rsidR="00756913" w:rsidRPr="00756913" w14:paraId="42E3FBEA" w14:textId="77777777">
        <w:tblPrEx>
          <w:tblCellMar>
            <w:top w:w="0" w:type="dxa"/>
            <w:bottom w:w="0" w:type="dxa"/>
          </w:tblCellMar>
        </w:tblPrEx>
        <w:trPr>
          <w:trHeight w:val="56"/>
        </w:trPr>
        <w:tc>
          <w:tcPr>
            <w:tcW w:w="2438" w:type="dxa"/>
            <w:tcBorders>
              <w:top w:val="nil"/>
              <w:left w:val="nil"/>
              <w:bottom w:val="nil"/>
              <w:right w:val="nil"/>
            </w:tcBorders>
            <w:vAlign w:val="center"/>
          </w:tcPr>
          <w:p w14:paraId="64D8696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left="-108"/>
              <w:rPr>
                <w:rFonts w:ascii="Arial" w:hAnsi="Arial" w:cs="Arial"/>
                <w:sz w:val="18"/>
                <w:szCs w:val="18"/>
                <w14:ligatures w14:val="standardContextual"/>
              </w:rPr>
            </w:pPr>
            <w:r w:rsidRPr="00756913">
              <w:rPr>
                <w:rFonts w:ascii="Arial" w:hAnsi="Arial" w:cs="Arial"/>
                <w:sz w:val="18"/>
                <w:szCs w:val="18"/>
                <w14:ligatures w14:val="standardContextual"/>
              </w:rPr>
              <w:t>At 30 June 2024</w:t>
            </w:r>
          </w:p>
        </w:tc>
        <w:tc>
          <w:tcPr>
            <w:tcW w:w="737" w:type="dxa"/>
            <w:tcBorders>
              <w:top w:val="single" w:sz="4" w:space="0" w:color="auto"/>
              <w:left w:val="nil"/>
              <w:bottom w:val="single" w:sz="4" w:space="0" w:color="auto"/>
              <w:right w:val="nil"/>
            </w:tcBorders>
            <w:vAlign w:val="center"/>
          </w:tcPr>
          <w:p w14:paraId="5D5071B4"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0.1</w:t>
            </w:r>
          </w:p>
        </w:tc>
        <w:tc>
          <w:tcPr>
            <w:tcW w:w="964" w:type="dxa"/>
            <w:tcBorders>
              <w:top w:val="single" w:sz="4" w:space="0" w:color="auto"/>
              <w:left w:val="nil"/>
              <w:bottom w:val="single" w:sz="4" w:space="0" w:color="auto"/>
              <w:right w:val="nil"/>
            </w:tcBorders>
            <w:vAlign w:val="center"/>
          </w:tcPr>
          <w:p w14:paraId="7226FCB3" w14:textId="77777777" w:rsidR="00756913" w:rsidRPr="00756913" w:rsidRDefault="00756913" w:rsidP="00756913">
            <w:pPr>
              <w:tabs>
                <w:tab w:val="decimal" w:pos="86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205.5</w:t>
            </w:r>
          </w:p>
        </w:tc>
        <w:tc>
          <w:tcPr>
            <w:tcW w:w="907" w:type="dxa"/>
            <w:tcBorders>
              <w:top w:val="single" w:sz="4" w:space="0" w:color="auto"/>
              <w:left w:val="nil"/>
              <w:bottom w:val="single" w:sz="4" w:space="0" w:color="auto"/>
              <w:right w:val="nil"/>
            </w:tcBorders>
            <w:vAlign w:val="center"/>
          </w:tcPr>
          <w:p w14:paraId="5CB957F6" w14:textId="77777777" w:rsidR="00756913" w:rsidRPr="00756913" w:rsidRDefault="00756913" w:rsidP="00756913">
            <w:pPr>
              <w:tabs>
                <w:tab w:val="decimal" w:pos="77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(1.9)</w:t>
            </w:r>
          </w:p>
        </w:tc>
        <w:tc>
          <w:tcPr>
            <w:tcW w:w="965" w:type="dxa"/>
            <w:tcBorders>
              <w:top w:val="single" w:sz="4" w:space="0" w:color="auto"/>
              <w:left w:val="nil"/>
              <w:bottom w:val="single" w:sz="4" w:space="0" w:color="auto"/>
              <w:right w:val="nil"/>
            </w:tcBorders>
            <w:vAlign w:val="center"/>
          </w:tcPr>
          <w:p w14:paraId="4D7058CD" w14:textId="77777777" w:rsidR="00756913" w:rsidRPr="00756913" w:rsidRDefault="00756913" w:rsidP="00756913">
            <w:pPr>
              <w:tabs>
                <w:tab w:val="decimal" w:pos="77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(49.3)</w:t>
            </w:r>
          </w:p>
        </w:tc>
        <w:tc>
          <w:tcPr>
            <w:tcW w:w="907" w:type="dxa"/>
            <w:tcBorders>
              <w:top w:val="single" w:sz="4" w:space="0" w:color="auto"/>
              <w:left w:val="nil"/>
              <w:bottom w:val="single" w:sz="4" w:space="0" w:color="auto"/>
              <w:right w:val="nil"/>
            </w:tcBorders>
            <w:vAlign w:val="center"/>
          </w:tcPr>
          <w:p w14:paraId="6A0B818B" w14:textId="77777777" w:rsidR="00756913" w:rsidRPr="00756913" w:rsidRDefault="00756913" w:rsidP="00756913">
            <w:pPr>
              <w:tabs>
                <w:tab w:val="decimal" w:pos="68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63.8</w:t>
            </w:r>
          </w:p>
        </w:tc>
        <w:tc>
          <w:tcPr>
            <w:tcW w:w="1133" w:type="dxa"/>
            <w:tcBorders>
              <w:top w:val="single" w:sz="4" w:space="0" w:color="auto"/>
              <w:left w:val="nil"/>
              <w:bottom w:val="single" w:sz="4" w:space="0" w:color="auto"/>
              <w:right w:val="nil"/>
            </w:tcBorders>
            <w:vAlign w:val="center"/>
          </w:tcPr>
          <w:p w14:paraId="56759FDD" w14:textId="77777777" w:rsidR="00756913" w:rsidRPr="00756913" w:rsidRDefault="00756913" w:rsidP="00756913">
            <w:pPr>
              <w:tabs>
                <w:tab w:val="decimal" w:pos="68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218.2</w:t>
            </w:r>
          </w:p>
        </w:tc>
        <w:tc>
          <w:tcPr>
            <w:tcW w:w="1060" w:type="dxa"/>
            <w:tcBorders>
              <w:top w:val="single" w:sz="4" w:space="0" w:color="auto"/>
              <w:left w:val="nil"/>
              <w:bottom w:val="single" w:sz="4" w:space="0" w:color="auto"/>
              <w:right w:val="nil"/>
            </w:tcBorders>
            <w:vAlign w:val="center"/>
          </w:tcPr>
          <w:p w14:paraId="7982D07A" w14:textId="77777777" w:rsidR="00756913" w:rsidRPr="00756913" w:rsidRDefault="00756913" w:rsidP="00756913">
            <w:pPr>
              <w:tabs>
                <w:tab w:val="decimal" w:pos="68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5.5</w:t>
            </w:r>
          </w:p>
        </w:tc>
        <w:tc>
          <w:tcPr>
            <w:tcW w:w="850" w:type="dxa"/>
            <w:tcBorders>
              <w:top w:val="single" w:sz="4" w:space="0" w:color="auto"/>
              <w:left w:val="nil"/>
              <w:bottom w:val="single" w:sz="4" w:space="0" w:color="auto"/>
              <w:right w:val="nil"/>
            </w:tcBorders>
            <w:vAlign w:val="center"/>
          </w:tcPr>
          <w:p w14:paraId="2A84C771" w14:textId="77777777" w:rsidR="00756913" w:rsidRPr="00756913" w:rsidRDefault="00756913" w:rsidP="00756913">
            <w:pPr>
              <w:tabs>
                <w:tab w:val="decimal" w:pos="684"/>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223.7</w:t>
            </w:r>
          </w:p>
        </w:tc>
      </w:tr>
    </w:tbl>
    <w:p w14:paraId="3F440CE2" w14:textId="77777777" w:rsidR="00756913" w:rsidRPr="00756913" w:rsidRDefault="00756913" w:rsidP="00756913">
      <w:pPr>
        <w:autoSpaceDE w:val="0"/>
        <w:autoSpaceDN w:val="0"/>
        <w:adjustRightInd w:val="0"/>
        <w:rPr>
          <w:rFonts w:ascii="Arial" w:hAnsi="Arial" w:cs="Arial"/>
          <w14:ligatures w14:val="standardContextual"/>
        </w:rPr>
      </w:pPr>
    </w:p>
    <w:p w14:paraId="30AF21E1" w14:textId="77777777" w:rsidR="00756913" w:rsidRPr="00756913" w:rsidRDefault="00756913" w:rsidP="00756913">
      <w:pPr>
        <w:pageBreakBefore/>
        <w:autoSpaceDE w:val="0"/>
        <w:autoSpaceDN w:val="0"/>
        <w:adjustRightInd w:val="0"/>
        <w:spacing w:after="0" w:line="240" w:lineRule="auto"/>
        <w:jc w:val="both"/>
        <w:rPr>
          <w:rFonts w:ascii="Arial" w:hAnsi="Arial" w:cs="Arial"/>
          <w:b/>
          <w:bCs/>
          <w:sz w:val="26"/>
          <w:szCs w:val="26"/>
          <w14:ligatures w14:val="standardContextual"/>
        </w:rPr>
      </w:pPr>
      <w:r w:rsidRPr="00756913">
        <w:rPr>
          <w:rFonts w:ascii="Arial" w:hAnsi="Arial" w:cs="Arial"/>
          <w:b/>
          <w:bCs/>
          <w:sz w:val="26"/>
          <w:szCs w:val="26"/>
          <w14:ligatures w14:val="standardContextual"/>
        </w:rPr>
        <w:t>Consolidated statement of cash flows</w:t>
      </w:r>
    </w:p>
    <w:p w14:paraId="49B37E2B" w14:textId="77777777" w:rsidR="00756913" w:rsidRPr="00756913" w:rsidRDefault="00756913" w:rsidP="00756913">
      <w:pPr>
        <w:widowControl w:val="0"/>
        <w:suppressAutoHyphens/>
        <w:autoSpaceDE w:val="0"/>
        <w:autoSpaceDN w:val="0"/>
        <w:adjustRightInd w:val="0"/>
        <w:spacing w:after="0" w:line="240" w:lineRule="auto"/>
        <w:rPr>
          <w:rFonts w:ascii="Arial" w:hAnsi="Arial" w:cs="Arial"/>
          <w:i/>
          <w:iCs/>
          <w:sz w:val="20"/>
          <w:szCs w:val="20"/>
          <w14:ligatures w14:val="standardContextual"/>
        </w:rPr>
      </w:pPr>
      <w:r w:rsidRPr="00756913">
        <w:rPr>
          <w:rFonts w:ascii="Arial" w:hAnsi="Arial" w:cs="Arial"/>
          <w:i/>
          <w:iCs/>
          <w:sz w:val="20"/>
          <w:szCs w:val="20"/>
          <w14:ligatures w14:val="standardContextual"/>
        </w:rPr>
        <w:t>for the six months ended 30 June 2024 and 30 June 2023</w:t>
      </w:r>
    </w:p>
    <w:p w14:paraId="05FC11C4" w14:textId="77777777" w:rsidR="00756913" w:rsidRPr="00756913" w:rsidRDefault="00756913" w:rsidP="00756913">
      <w:pPr>
        <w:widowControl w:val="0"/>
        <w:suppressAutoHyphens/>
        <w:autoSpaceDE w:val="0"/>
        <w:autoSpaceDN w:val="0"/>
        <w:adjustRightInd w:val="0"/>
        <w:spacing w:after="0" w:line="240" w:lineRule="auto"/>
        <w:rPr>
          <w:rFonts w:ascii="Arial" w:hAnsi="Arial" w:cs="Arial"/>
          <w:i/>
          <w:iCs/>
          <w:color w:val="FF0000"/>
          <w:sz w:val="20"/>
          <w:szCs w:val="20"/>
          <w14:ligatures w14:val="standardContextual"/>
        </w:rPr>
      </w:pPr>
    </w:p>
    <w:tbl>
      <w:tblPr>
        <w:tblW w:w="0" w:type="auto"/>
        <w:tblInd w:w="8" w:type="dxa"/>
        <w:tblLayout w:type="fixed"/>
        <w:tblCellMar>
          <w:left w:w="10" w:type="dxa"/>
          <w:right w:w="10" w:type="dxa"/>
        </w:tblCellMar>
        <w:tblLook w:val="0000" w:firstRow="0" w:lastRow="0" w:firstColumn="0" w:lastColumn="0" w:noHBand="0" w:noVBand="0"/>
      </w:tblPr>
      <w:tblGrid>
        <w:gridCol w:w="4812"/>
        <w:gridCol w:w="567"/>
        <w:gridCol w:w="992"/>
        <w:gridCol w:w="100"/>
        <w:gridCol w:w="183"/>
        <w:gridCol w:w="1154"/>
        <w:gridCol w:w="1276"/>
      </w:tblGrid>
      <w:tr w:rsidR="00756913" w:rsidRPr="00756913" w14:paraId="6E3FD0C7" w14:textId="77777777">
        <w:tblPrEx>
          <w:tblCellMar>
            <w:top w:w="0" w:type="dxa"/>
            <w:bottom w:w="0" w:type="dxa"/>
          </w:tblCellMar>
        </w:tblPrEx>
        <w:tc>
          <w:tcPr>
            <w:tcW w:w="4812" w:type="dxa"/>
            <w:tcBorders>
              <w:top w:val="nil"/>
              <w:left w:val="nil"/>
              <w:bottom w:val="nil"/>
              <w:right w:val="nil"/>
            </w:tcBorders>
            <w:vAlign w:val="bottom"/>
          </w:tcPr>
          <w:p w14:paraId="32422D0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color w:val="FF0000"/>
                <w:sz w:val="18"/>
                <w:szCs w:val="18"/>
                <w14:ligatures w14:val="standardContextual"/>
              </w:rPr>
            </w:pPr>
          </w:p>
        </w:tc>
        <w:tc>
          <w:tcPr>
            <w:tcW w:w="567" w:type="dxa"/>
            <w:tcBorders>
              <w:top w:val="nil"/>
              <w:left w:val="nil"/>
              <w:bottom w:val="nil"/>
              <w:right w:val="nil"/>
            </w:tcBorders>
            <w:vAlign w:val="bottom"/>
          </w:tcPr>
          <w:p w14:paraId="2FC6081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rPr>
                <w:rFonts w:ascii="Arial" w:hAnsi="Arial" w:cs="Arial"/>
                <w:i/>
                <w:iCs/>
                <w:color w:val="FF0000"/>
                <w:sz w:val="18"/>
                <w:szCs w:val="18"/>
                <w14:ligatures w14:val="standardContextual"/>
              </w:rPr>
            </w:pPr>
          </w:p>
        </w:tc>
        <w:tc>
          <w:tcPr>
            <w:tcW w:w="992" w:type="dxa"/>
            <w:tcBorders>
              <w:top w:val="nil"/>
              <w:left w:val="nil"/>
              <w:bottom w:val="nil"/>
              <w:right w:val="nil"/>
            </w:tcBorders>
            <w:vAlign w:val="bottom"/>
          </w:tcPr>
          <w:p w14:paraId="5B3103B7"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color w:val="FF0000"/>
                <w:sz w:val="18"/>
                <w:szCs w:val="18"/>
                <w14:ligatures w14:val="standardContextual"/>
              </w:rPr>
            </w:pPr>
          </w:p>
        </w:tc>
        <w:tc>
          <w:tcPr>
            <w:tcW w:w="100" w:type="dxa"/>
            <w:tcBorders>
              <w:top w:val="nil"/>
              <w:left w:val="nil"/>
              <w:bottom w:val="nil"/>
              <w:right w:val="nil"/>
            </w:tcBorders>
            <w:vAlign w:val="bottom"/>
          </w:tcPr>
          <w:p w14:paraId="02686784"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color w:val="FF0000"/>
                <w:sz w:val="18"/>
                <w:szCs w:val="18"/>
                <w14:ligatures w14:val="standardContextual"/>
              </w:rPr>
            </w:pPr>
          </w:p>
        </w:tc>
        <w:tc>
          <w:tcPr>
            <w:tcW w:w="1337" w:type="dxa"/>
            <w:gridSpan w:val="2"/>
            <w:tcBorders>
              <w:top w:val="nil"/>
              <w:left w:val="nil"/>
              <w:bottom w:val="nil"/>
              <w:right w:val="nil"/>
            </w:tcBorders>
          </w:tcPr>
          <w:p w14:paraId="7A57D2DF"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color w:val="FF0000"/>
                <w:sz w:val="18"/>
                <w:szCs w:val="18"/>
                <w14:ligatures w14:val="standardContextual"/>
              </w:rPr>
            </w:pPr>
          </w:p>
        </w:tc>
        <w:tc>
          <w:tcPr>
            <w:tcW w:w="1276" w:type="dxa"/>
            <w:tcBorders>
              <w:top w:val="nil"/>
              <w:left w:val="nil"/>
              <w:bottom w:val="nil"/>
              <w:right w:val="nil"/>
            </w:tcBorders>
          </w:tcPr>
          <w:p w14:paraId="16419D64"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color w:val="FF0000"/>
                <w:sz w:val="18"/>
                <w:szCs w:val="18"/>
                <w14:ligatures w14:val="standardContextual"/>
              </w:rPr>
            </w:pPr>
          </w:p>
        </w:tc>
      </w:tr>
      <w:tr w:rsidR="00756913" w:rsidRPr="00756913" w14:paraId="58969582" w14:textId="77777777">
        <w:tblPrEx>
          <w:tblCellMar>
            <w:top w:w="0" w:type="dxa"/>
            <w:bottom w:w="0" w:type="dxa"/>
          </w:tblCellMar>
        </w:tblPrEx>
        <w:tc>
          <w:tcPr>
            <w:tcW w:w="4812" w:type="dxa"/>
            <w:tcBorders>
              <w:top w:val="nil"/>
              <w:left w:val="nil"/>
              <w:bottom w:val="nil"/>
              <w:right w:val="nil"/>
            </w:tcBorders>
            <w:vAlign w:val="bottom"/>
          </w:tcPr>
          <w:p w14:paraId="21395F2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color w:val="FF0000"/>
                <w:sz w:val="18"/>
                <w:szCs w:val="18"/>
                <w14:ligatures w14:val="standardContextual"/>
              </w:rPr>
            </w:pPr>
          </w:p>
        </w:tc>
        <w:tc>
          <w:tcPr>
            <w:tcW w:w="567" w:type="dxa"/>
            <w:tcBorders>
              <w:top w:val="nil"/>
              <w:left w:val="nil"/>
              <w:bottom w:val="nil"/>
              <w:right w:val="nil"/>
            </w:tcBorders>
            <w:vAlign w:val="bottom"/>
          </w:tcPr>
          <w:p w14:paraId="310319C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rPr>
                <w:rFonts w:ascii="Arial" w:hAnsi="Arial" w:cs="Arial"/>
                <w:color w:val="FF0000"/>
                <w:sz w:val="18"/>
                <w:szCs w:val="18"/>
                <w14:ligatures w14:val="standardContextual"/>
              </w:rPr>
            </w:pPr>
          </w:p>
        </w:tc>
        <w:tc>
          <w:tcPr>
            <w:tcW w:w="992" w:type="dxa"/>
            <w:tcBorders>
              <w:top w:val="nil"/>
              <w:left w:val="nil"/>
              <w:bottom w:val="nil"/>
              <w:right w:val="nil"/>
            </w:tcBorders>
            <w:vAlign w:val="bottom"/>
          </w:tcPr>
          <w:p w14:paraId="5F00C840"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color w:val="FF0000"/>
                <w:sz w:val="18"/>
                <w:szCs w:val="18"/>
                <w14:ligatures w14:val="standardContextual"/>
              </w:rPr>
            </w:pPr>
          </w:p>
        </w:tc>
        <w:tc>
          <w:tcPr>
            <w:tcW w:w="100" w:type="dxa"/>
            <w:tcBorders>
              <w:top w:val="nil"/>
              <w:left w:val="nil"/>
              <w:bottom w:val="nil"/>
              <w:right w:val="nil"/>
            </w:tcBorders>
            <w:vAlign w:val="bottom"/>
          </w:tcPr>
          <w:p w14:paraId="3C0F1ABD"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color w:val="FF0000"/>
                <w:sz w:val="18"/>
                <w:szCs w:val="18"/>
                <w14:ligatures w14:val="standardContextual"/>
              </w:rPr>
            </w:pPr>
          </w:p>
        </w:tc>
        <w:tc>
          <w:tcPr>
            <w:tcW w:w="1337" w:type="dxa"/>
            <w:gridSpan w:val="2"/>
            <w:tcBorders>
              <w:top w:val="nil"/>
              <w:left w:val="nil"/>
              <w:bottom w:val="nil"/>
              <w:right w:val="nil"/>
            </w:tcBorders>
          </w:tcPr>
          <w:p w14:paraId="2A81962F"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color w:val="FF0000"/>
                <w:sz w:val="18"/>
                <w:szCs w:val="18"/>
                <w14:ligatures w14:val="standardContextual"/>
              </w:rPr>
            </w:pPr>
          </w:p>
        </w:tc>
        <w:tc>
          <w:tcPr>
            <w:tcW w:w="1276" w:type="dxa"/>
            <w:tcBorders>
              <w:top w:val="nil"/>
              <w:left w:val="nil"/>
              <w:bottom w:val="nil"/>
              <w:right w:val="nil"/>
            </w:tcBorders>
          </w:tcPr>
          <w:p w14:paraId="486B5487"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color w:val="FF0000"/>
                <w:sz w:val="18"/>
                <w:szCs w:val="18"/>
                <w14:ligatures w14:val="standardContextual"/>
              </w:rPr>
            </w:pPr>
          </w:p>
        </w:tc>
      </w:tr>
      <w:tr w:rsidR="00756913" w:rsidRPr="00756913" w14:paraId="08B71069" w14:textId="77777777">
        <w:tblPrEx>
          <w:tblCellMar>
            <w:top w:w="0" w:type="dxa"/>
            <w:bottom w:w="0" w:type="dxa"/>
          </w:tblCellMar>
        </w:tblPrEx>
        <w:tc>
          <w:tcPr>
            <w:tcW w:w="4812" w:type="dxa"/>
            <w:tcBorders>
              <w:top w:val="nil"/>
              <w:left w:val="nil"/>
              <w:bottom w:val="nil"/>
              <w:right w:val="nil"/>
            </w:tcBorders>
            <w:vAlign w:val="center"/>
          </w:tcPr>
          <w:p w14:paraId="23F28D98" w14:textId="77777777" w:rsidR="00756913" w:rsidRPr="00756913" w:rsidRDefault="00756913" w:rsidP="00756913">
            <w:pPr>
              <w:autoSpaceDE w:val="0"/>
              <w:autoSpaceDN w:val="0"/>
              <w:adjustRightInd w:val="0"/>
              <w:spacing w:after="0" w:line="240" w:lineRule="auto"/>
              <w:rPr>
                <w:rFonts w:ascii="Arial" w:hAnsi="Arial" w:cs="Arial"/>
                <w:b/>
                <w:bCs/>
                <w:color w:val="FF0000"/>
                <w:sz w:val="18"/>
                <w:szCs w:val="18"/>
                <w14:ligatures w14:val="standardContextual"/>
              </w:rPr>
            </w:pPr>
          </w:p>
        </w:tc>
        <w:tc>
          <w:tcPr>
            <w:tcW w:w="567" w:type="dxa"/>
            <w:tcBorders>
              <w:top w:val="nil"/>
              <w:left w:val="nil"/>
              <w:bottom w:val="nil"/>
              <w:right w:val="nil"/>
            </w:tcBorders>
            <w:vAlign w:val="center"/>
          </w:tcPr>
          <w:p w14:paraId="2B2ED33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sz w:val="18"/>
                <w:szCs w:val="18"/>
                <w14:ligatures w14:val="standardContextual"/>
              </w:rPr>
            </w:pPr>
          </w:p>
        </w:tc>
        <w:tc>
          <w:tcPr>
            <w:tcW w:w="992" w:type="dxa"/>
            <w:vMerge w:val="restart"/>
            <w:tcBorders>
              <w:top w:val="nil"/>
              <w:left w:val="nil"/>
              <w:bottom w:val="nil"/>
              <w:right w:val="nil"/>
            </w:tcBorders>
            <w:vAlign w:val="center"/>
          </w:tcPr>
          <w:p w14:paraId="3E6AAEE4"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r w:rsidRPr="00756913">
              <w:rPr>
                <w:rFonts w:ascii="Arial" w:hAnsi="Arial" w:cs="Arial"/>
                <w:i/>
                <w:iCs/>
                <w:sz w:val="18"/>
                <w:szCs w:val="18"/>
                <w14:ligatures w14:val="standardContextual"/>
              </w:rPr>
              <w:t>Note</w:t>
            </w:r>
          </w:p>
        </w:tc>
        <w:tc>
          <w:tcPr>
            <w:tcW w:w="100" w:type="dxa"/>
            <w:tcBorders>
              <w:top w:val="nil"/>
              <w:left w:val="nil"/>
              <w:bottom w:val="nil"/>
              <w:right w:val="nil"/>
            </w:tcBorders>
            <w:vAlign w:val="bottom"/>
          </w:tcPr>
          <w:p w14:paraId="1DC4319A"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color w:val="FF0000"/>
                <w:sz w:val="18"/>
                <w:szCs w:val="18"/>
                <w14:ligatures w14:val="standardContextual"/>
              </w:rPr>
            </w:pPr>
          </w:p>
        </w:tc>
        <w:tc>
          <w:tcPr>
            <w:tcW w:w="1337" w:type="dxa"/>
            <w:gridSpan w:val="2"/>
            <w:tcBorders>
              <w:top w:val="nil"/>
              <w:left w:val="nil"/>
              <w:bottom w:val="nil"/>
              <w:right w:val="nil"/>
            </w:tcBorders>
            <w:vAlign w:val="center"/>
          </w:tcPr>
          <w:p w14:paraId="0AAFB372"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2024</w:t>
            </w:r>
          </w:p>
        </w:tc>
        <w:tc>
          <w:tcPr>
            <w:tcW w:w="1276" w:type="dxa"/>
            <w:tcBorders>
              <w:top w:val="nil"/>
              <w:left w:val="nil"/>
              <w:bottom w:val="nil"/>
              <w:right w:val="nil"/>
            </w:tcBorders>
            <w:vAlign w:val="center"/>
          </w:tcPr>
          <w:p w14:paraId="1183CF5E" w14:textId="77777777" w:rsidR="00756913" w:rsidRPr="00756913" w:rsidRDefault="00756913" w:rsidP="00756913">
            <w:pPr>
              <w:tabs>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2023</w:t>
            </w:r>
          </w:p>
        </w:tc>
      </w:tr>
      <w:tr w:rsidR="00756913" w:rsidRPr="00756913" w14:paraId="67B37199" w14:textId="77777777">
        <w:tblPrEx>
          <w:tblCellMar>
            <w:top w:w="0" w:type="dxa"/>
            <w:bottom w:w="0" w:type="dxa"/>
          </w:tblCellMar>
        </w:tblPrEx>
        <w:tc>
          <w:tcPr>
            <w:tcW w:w="4812" w:type="dxa"/>
            <w:tcBorders>
              <w:top w:val="nil"/>
              <w:left w:val="nil"/>
              <w:bottom w:val="nil"/>
              <w:right w:val="nil"/>
            </w:tcBorders>
            <w:vAlign w:val="center"/>
          </w:tcPr>
          <w:p w14:paraId="71FD35A7" w14:textId="77777777" w:rsidR="00756913" w:rsidRPr="00756913" w:rsidRDefault="00756913" w:rsidP="00756913">
            <w:pPr>
              <w:autoSpaceDE w:val="0"/>
              <w:autoSpaceDN w:val="0"/>
              <w:adjustRightInd w:val="0"/>
              <w:spacing w:after="0" w:line="240" w:lineRule="auto"/>
              <w:rPr>
                <w:rFonts w:ascii="Arial" w:hAnsi="Arial" w:cs="Arial"/>
                <w:b/>
                <w:bCs/>
                <w:color w:val="FF0000"/>
                <w:sz w:val="18"/>
                <w:szCs w:val="18"/>
                <w14:ligatures w14:val="standardContextual"/>
              </w:rPr>
            </w:pPr>
          </w:p>
        </w:tc>
        <w:tc>
          <w:tcPr>
            <w:tcW w:w="567" w:type="dxa"/>
            <w:tcBorders>
              <w:top w:val="nil"/>
              <w:left w:val="nil"/>
              <w:bottom w:val="nil"/>
              <w:right w:val="nil"/>
            </w:tcBorders>
            <w:vAlign w:val="center"/>
          </w:tcPr>
          <w:p w14:paraId="1A0039A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sz w:val="18"/>
                <w:szCs w:val="18"/>
                <w14:ligatures w14:val="standardContextual"/>
              </w:rPr>
            </w:pPr>
          </w:p>
        </w:tc>
        <w:tc>
          <w:tcPr>
            <w:tcW w:w="992" w:type="dxa"/>
            <w:vMerge/>
            <w:tcBorders>
              <w:top w:val="nil"/>
              <w:left w:val="nil"/>
              <w:bottom w:val="nil"/>
              <w:right w:val="nil"/>
            </w:tcBorders>
            <w:vAlign w:val="center"/>
          </w:tcPr>
          <w:p w14:paraId="15AFE055"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color w:val="FF0000"/>
                <w:sz w:val="18"/>
                <w:szCs w:val="18"/>
                <w14:ligatures w14:val="standardContextual"/>
              </w:rPr>
            </w:pPr>
          </w:p>
        </w:tc>
        <w:tc>
          <w:tcPr>
            <w:tcW w:w="283" w:type="dxa"/>
            <w:gridSpan w:val="2"/>
            <w:tcBorders>
              <w:top w:val="nil"/>
              <w:left w:val="nil"/>
              <w:bottom w:val="nil"/>
              <w:right w:val="nil"/>
            </w:tcBorders>
            <w:vAlign w:val="center"/>
          </w:tcPr>
          <w:p w14:paraId="173DE69C"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color w:val="FF0000"/>
                <w:sz w:val="18"/>
                <w:szCs w:val="18"/>
                <w14:ligatures w14:val="standardContextual"/>
              </w:rPr>
            </w:pPr>
          </w:p>
        </w:tc>
        <w:tc>
          <w:tcPr>
            <w:tcW w:w="1154" w:type="dxa"/>
            <w:tcBorders>
              <w:top w:val="nil"/>
              <w:left w:val="nil"/>
              <w:bottom w:val="nil"/>
              <w:right w:val="nil"/>
            </w:tcBorders>
            <w:vAlign w:val="center"/>
          </w:tcPr>
          <w:p w14:paraId="3CC4BE52"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276" w:type="dxa"/>
            <w:tcBorders>
              <w:top w:val="nil"/>
              <w:left w:val="nil"/>
              <w:bottom w:val="nil"/>
              <w:right w:val="nil"/>
            </w:tcBorders>
            <w:vAlign w:val="center"/>
          </w:tcPr>
          <w:p w14:paraId="62C62CD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r>
      <w:tr w:rsidR="00756913" w:rsidRPr="00756913" w14:paraId="55F70477" w14:textId="77777777">
        <w:tblPrEx>
          <w:tblCellMar>
            <w:top w:w="0" w:type="dxa"/>
            <w:bottom w:w="0" w:type="dxa"/>
          </w:tblCellMar>
        </w:tblPrEx>
        <w:tc>
          <w:tcPr>
            <w:tcW w:w="4812" w:type="dxa"/>
            <w:tcBorders>
              <w:top w:val="nil"/>
              <w:left w:val="nil"/>
              <w:bottom w:val="nil"/>
              <w:right w:val="nil"/>
            </w:tcBorders>
            <w:vAlign w:val="center"/>
          </w:tcPr>
          <w:p w14:paraId="6A19E295" w14:textId="77777777" w:rsidR="00756913" w:rsidRPr="00756913" w:rsidRDefault="00756913" w:rsidP="00756913">
            <w:pPr>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b/>
                <w:bCs/>
                <w:sz w:val="18"/>
                <w:szCs w:val="18"/>
                <w14:ligatures w14:val="standardContextual"/>
              </w:rPr>
              <w:t>Operating activities</w:t>
            </w:r>
          </w:p>
        </w:tc>
        <w:tc>
          <w:tcPr>
            <w:tcW w:w="567" w:type="dxa"/>
            <w:tcBorders>
              <w:top w:val="nil"/>
              <w:left w:val="nil"/>
              <w:bottom w:val="nil"/>
              <w:right w:val="nil"/>
            </w:tcBorders>
            <w:vAlign w:val="center"/>
          </w:tcPr>
          <w:p w14:paraId="7E164C7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sz w:val="18"/>
                <w:szCs w:val="18"/>
                <w14:ligatures w14:val="standardContextual"/>
              </w:rPr>
            </w:pPr>
          </w:p>
        </w:tc>
        <w:tc>
          <w:tcPr>
            <w:tcW w:w="992" w:type="dxa"/>
            <w:tcBorders>
              <w:top w:val="nil"/>
              <w:left w:val="nil"/>
              <w:bottom w:val="nil"/>
              <w:right w:val="nil"/>
            </w:tcBorders>
            <w:vAlign w:val="center"/>
          </w:tcPr>
          <w:p w14:paraId="38803F02"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color w:val="FF0000"/>
                <w:sz w:val="18"/>
                <w:szCs w:val="18"/>
                <w14:ligatures w14:val="standardContextual"/>
              </w:rPr>
            </w:pPr>
          </w:p>
        </w:tc>
        <w:tc>
          <w:tcPr>
            <w:tcW w:w="283" w:type="dxa"/>
            <w:gridSpan w:val="2"/>
            <w:tcBorders>
              <w:top w:val="nil"/>
              <w:left w:val="nil"/>
              <w:bottom w:val="nil"/>
              <w:right w:val="nil"/>
            </w:tcBorders>
            <w:vAlign w:val="bottom"/>
          </w:tcPr>
          <w:p w14:paraId="2AFDF82F"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color w:val="FF0000"/>
                <w:sz w:val="18"/>
                <w:szCs w:val="18"/>
                <w14:ligatures w14:val="standardContextual"/>
              </w:rPr>
            </w:pPr>
          </w:p>
        </w:tc>
        <w:tc>
          <w:tcPr>
            <w:tcW w:w="1154" w:type="dxa"/>
            <w:tcBorders>
              <w:top w:val="nil"/>
              <w:left w:val="nil"/>
              <w:bottom w:val="nil"/>
              <w:right w:val="nil"/>
            </w:tcBorders>
            <w:vAlign w:val="center"/>
          </w:tcPr>
          <w:p w14:paraId="6C26EF5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1276" w:type="dxa"/>
            <w:tcBorders>
              <w:top w:val="nil"/>
              <w:left w:val="nil"/>
              <w:bottom w:val="nil"/>
              <w:right w:val="nil"/>
            </w:tcBorders>
            <w:vAlign w:val="center"/>
          </w:tcPr>
          <w:p w14:paraId="2CB9261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3424CCD5" w14:textId="77777777">
        <w:tblPrEx>
          <w:tblCellMar>
            <w:top w:w="0" w:type="dxa"/>
            <w:bottom w:w="0" w:type="dxa"/>
          </w:tblCellMar>
        </w:tblPrEx>
        <w:tc>
          <w:tcPr>
            <w:tcW w:w="4812" w:type="dxa"/>
            <w:tcBorders>
              <w:top w:val="nil"/>
              <w:left w:val="nil"/>
              <w:bottom w:val="nil"/>
              <w:right w:val="nil"/>
            </w:tcBorders>
            <w:vAlign w:val="center"/>
          </w:tcPr>
          <w:p w14:paraId="00732758" w14:textId="77777777" w:rsidR="00756913" w:rsidRPr="00756913" w:rsidRDefault="00756913" w:rsidP="00756913">
            <w:pPr>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Profit for the period</w:t>
            </w:r>
          </w:p>
        </w:tc>
        <w:tc>
          <w:tcPr>
            <w:tcW w:w="567" w:type="dxa"/>
            <w:tcBorders>
              <w:top w:val="nil"/>
              <w:left w:val="nil"/>
              <w:bottom w:val="nil"/>
              <w:right w:val="nil"/>
            </w:tcBorders>
            <w:vAlign w:val="center"/>
          </w:tcPr>
          <w:p w14:paraId="5CB913D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sz w:val="18"/>
                <w:szCs w:val="18"/>
                <w14:ligatures w14:val="standardContextual"/>
              </w:rPr>
            </w:pPr>
          </w:p>
        </w:tc>
        <w:tc>
          <w:tcPr>
            <w:tcW w:w="992" w:type="dxa"/>
            <w:tcBorders>
              <w:top w:val="nil"/>
              <w:left w:val="nil"/>
              <w:bottom w:val="nil"/>
              <w:right w:val="nil"/>
            </w:tcBorders>
            <w:vAlign w:val="center"/>
          </w:tcPr>
          <w:p w14:paraId="433AF3C7"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color w:val="FF0000"/>
                <w:sz w:val="18"/>
                <w:szCs w:val="18"/>
                <w14:ligatures w14:val="standardContextual"/>
              </w:rPr>
            </w:pPr>
          </w:p>
        </w:tc>
        <w:tc>
          <w:tcPr>
            <w:tcW w:w="283" w:type="dxa"/>
            <w:gridSpan w:val="2"/>
            <w:tcBorders>
              <w:top w:val="nil"/>
              <w:left w:val="nil"/>
              <w:bottom w:val="nil"/>
              <w:right w:val="nil"/>
            </w:tcBorders>
            <w:vAlign w:val="bottom"/>
          </w:tcPr>
          <w:p w14:paraId="47A6E1F9"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color w:val="FF0000"/>
                <w:sz w:val="18"/>
                <w:szCs w:val="18"/>
                <w14:ligatures w14:val="standardContextual"/>
              </w:rPr>
            </w:pPr>
          </w:p>
        </w:tc>
        <w:tc>
          <w:tcPr>
            <w:tcW w:w="1154" w:type="dxa"/>
            <w:tcBorders>
              <w:top w:val="nil"/>
              <w:left w:val="nil"/>
              <w:bottom w:val="nil"/>
              <w:right w:val="nil"/>
            </w:tcBorders>
            <w:vAlign w:val="center"/>
          </w:tcPr>
          <w:p w14:paraId="6837EEA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44.1</w:t>
            </w:r>
          </w:p>
        </w:tc>
        <w:tc>
          <w:tcPr>
            <w:tcW w:w="1276" w:type="dxa"/>
            <w:tcBorders>
              <w:top w:val="nil"/>
              <w:left w:val="nil"/>
              <w:bottom w:val="nil"/>
              <w:right w:val="nil"/>
            </w:tcBorders>
            <w:vAlign w:val="center"/>
          </w:tcPr>
          <w:p w14:paraId="44CAD39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41.0</w:t>
            </w:r>
          </w:p>
        </w:tc>
      </w:tr>
      <w:tr w:rsidR="00756913" w:rsidRPr="00756913" w14:paraId="49F829D4" w14:textId="77777777">
        <w:tblPrEx>
          <w:tblCellMar>
            <w:top w:w="0" w:type="dxa"/>
            <w:bottom w:w="0" w:type="dxa"/>
          </w:tblCellMar>
        </w:tblPrEx>
        <w:trPr>
          <w:trHeight w:val="510"/>
        </w:trPr>
        <w:tc>
          <w:tcPr>
            <w:tcW w:w="4812" w:type="dxa"/>
            <w:tcBorders>
              <w:top w:val="nil"/>
              <w:left w:val="nil"/>
              <w:bottom w:val="nil"/>
              <w:right w:val="nil"/>
            </w:tcBorders>
            <w:vAlign w:val="center"/>
          </w:tcPr>
          <w:p w14:paraId="02D2D3F6" w14:textId="77777777" w:rsidR="00756913" w:rsidRPr="00756913" w:rsidRDefault="00756913" w:rsidP="00756913">
            <w:pPr>
              <w:autoSpaceDE w:val="0"/>
              <w:autoSpaceDN w:val="0"/>
              <w:adjustRightInd w:val="0"/>
              <w:spacing w:after="0" w:line="240" w:lineRule="auto"/>
              <w:rPr>
                <w:rFonts w:ascii="Arial" w:hAnsi="Arial" w:cs="Arial"/>
                <w:i/>
                <w:iCs/>
                <w:sz w:val="18"/>
                <w:szCs w:val="18"/>
                <w14:ligatures w14:val="standardContextual"/>
              </w:rPr>
            </w:pPr>
            <w:r w:rsidRPr="00756913">
              <w:rPr>
                <w:rFonts w:ascii="Arial" w:hAnsi="Arial" w:cs="Arial"/>
                <w:i/>
                <w:iCs/>
                <w:sz w:val="18"/>
                <w:szCs w:val="18"/>
                <w14:ligatures w14:val="standardContextual"/>
              </w:rPr>
              <w:t>Adjustments to reconcile Group profit to net cash flow from operating activities:</w:t>
            </w:r>
          </w:p>
        </w:tc>
        <w:tc>
          <w:tcPr>
            <w:tcW w:w="567" w:type="dxa"/>
            <w:tcBorders>
              <w:top w:val="nil"/>
              <w:left w:val="nil"/>
              <w:bottom w:val="nil"/>
              <w:right w:val="nil"/>
            </w:tcBorders>
            <w:vAlign w:val="center"/>
          </w:tcPr>
          <w:p w14:paraId="6D1A29E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sz w:val="18"/>
                <w:szCs w:val="18"/>
                <w14:ligatures w14:val="standardContextual"/>
              </w:rPr>
            </w:pPr>
          </w:p>
        </w:tc>
        <w:tc>
          <w:tcPr>
            <w:tcW w:w="992" w:type="dxa"/>
            <w:tcBorders>
              <w:top w:val="nil"/>
              <w:left w:val="nil"/>
              <w:bottom w:val="nil"/>
              <w:right w:val="nil"/>
            </w:tcBorders>
            <w:vAlign w:val="center"/>
          </w:tcPr>
          <w:p w14:paraId="1FC68333"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color w:val="FF0000"/>
                <w:sz w:val="18"/>
                <w:szCs w:val="18"/>
                <w14:ligatures w14:val="standardContextual"/>
              </w:rPr>
            </w:pPr>
          </w:p>
        </w:tc>
        <w:tc>
          <w:tcPr>
            <w:tcW w:w="283" w:type="dxa"/>
            <w:gridSpan w:val="2"/>
            <w:tcBorders>
              <w:top w:val="nil"/>
              <w:left w:val="nil"/>
              <w:bottom w:val="nil"/>
              <w:right w:val="nil"/>
            </w:tcBorders>
            <w:vAlign w:val="bottom"/>
          </w:tcPr>
          <w:p w14:paraId="1DA404E2"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color w:val="FF0000"/>
                <w:sz w:val="18"/>
                <w:szCs w:val="18"/>
                <w14:ligatures w14:val="standardContextual"/>
              </w:rPr>
            </w:pPr>
          </w:p>
        </w:tc>
        <w:tc>
          <w:tcPr>
            <w:tcW w:w="1154" w:type="dxa"/>
            <w:tcBorders>
              <w:top w:val="nil"/>
              <w:left w:val="nil"/>
              <w:bottom w:val="nil"/>
              <w:right w:val="nil"/>
            </w:tcBorders>
            <w:vAlign w:val="center"/>
          </w:tcPr>
          <w:p w14:paraId="385C254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p>
        </w:tc>
        <w:tc>
          <w:tcPr>
            <w:tcW w:w="1276" w:type="dxa"/>
            <w:tcBorders>
              <w:top w:val="nil"/>
              <w:left w:val="nil"/>
              <w:bottom w:val="nil"/>
              <w:right w:val="nil"/>
            </w:tcBorders>
            <w:vAlign w:val="center"/>
          </w:tcPr>
          <w:p w14:paraId="420EB9B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7A341B3D" w14:textId="77777777">
        <w:tblPrEx>
          <w:tblCellMar>
            <w:top w:w="0" w:type="dxa"/>
            <w:bottom w:w="0" w:type="dxa"/>
          </w:tblCellMar>
        </w:tblPrEx>
        <w:trPr>
          <w:trHeight w:val="260"/>
        </w:trPr>
        <w:tc>
          <w:tcPr>
            <w:tcW w:w="4812" w:type="dxa"/>
            <w:tcBorders>
              <w:top w:val="nil"/>
              <w:left w:val="nil"/>
              <w:bottom w:val="nil"/>
              <w:right w:val="nil"/>
            </w:tcBorders>
            <w:vAlign w:val="center"/>
          </w:tcPr>
          <w:p w14:paraId="50697D43" w14:textId="77777777" w:rsidR="00756913" w:rsidRPr="00756913" w:rsidRDefault="00756913" w:rsidP="00756913">
            <w:pPr>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 xml:space="preserve">  Amortisation of intangible assets</w:t>
            </w:r>
          </w:p>
        </w:tc>
        <w:tc>
          <w:tcPr>
            <w:tcW w:w="567" w:type="dxa"/>
            <w:tcBorders>
              <w:top w:val="nil"/>
              <w:left w:val="nil"/>
              <w:bottom w:val="nil"/>
              <w:right w:val="nil"/>
            </w:tcBorders>
            <w:vAlign w:val="center"/>
          </w:tcPr>
          <w:p w14:paraId="79F7459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14:ligatures w14:val="standardContextual"/>
              </w:rPr>
            </w:pPr>
          </w:p>
        </w:tc>
        <w:tc>
          <w:tcPr>
            <w:tcW w:w="992" w:type="dxa"/>
            <w:tcBorders>
              <w:top w:val="nil"/>
              <w:left w:val="nil"/>
              <w:bottom w:val="nil"/>
              <w:right w:val="nil"/>
            </w:tcBorders>
            <w:vAlign w:val="center"/>
          </w:tcPr>
          <w:p w14:paraId="1E365C72"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color w:val="FF0000"/>
                <w14:ligatures w14:val="standardContextual"/>
              </w:rPr>
            </w:pPr>
          </w:p>
        </w:tc>
        <w:tc>
          <w:tcPr>
            <w:tcW w:w="283" w:type="dxa"/>
            <w:gridSpan w:val="2"/>
            <w:tcBorders>
              <w:top w:val="nil"/>
              <w:left w:val="nil"/>
              <w:bottom w:val="nil"/>
              <w:right w:val="nil"/>
            </w:tcBorders>
            <w:vAlign w:val="bottom"/>
          </w:tcPr>
          <w:p w14:paraId="2685551C"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color w:val="FF0000"/>
                <w14:ligatures w14:val="standardContextual"/>
              </w:rPr>
            </w:pPr>
          </w:p>
        </w:tc>
        <w:tc>
          <w:tcPr>
            <w:tcW w:w="1154" w:type="dxa"/>
            <w:tcBorders>
              <w:top w:val="nil"/>
              <w:left w:val="nil"/>
              <w:bottom w:val="nil"/>
              <w:right w:val="nil"/>
            </w:tcBorders>
            <w:vAlign w:val="center"/>
          </w:tcPr>
          <w:p w14:paraId="641EE8E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10.3</w:t>
            </w:r>
          </w:p>
        </w:tc>
        <w:tc>
          <w:tcPr>
            <w:tcW w:w="1276" w:type="dxa"/>
            <w:tcBorders>
              <w:top w:val="nil"/>
              <w:left w:val="nil"/>
              <w:bottom w:val="nil"/>
              <w:right w:val="nil"/>
            </w:tcBorders>
            <w:vAlign w:val="center"/>
          </w:tcPr>
          <w:p w14:paraId="10D944E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9.9</w:t>
            </w:r>
          </w:p>
        </w:tc>
      </w:tr>
      <w:tr w:rsidR="00756913" w:rsidRPr="00756913" w14:paraId="1E802BFA" w14:textId="77777777">
        <w:tblPrEx>
          <w:tblCellMar>
            <w:top w:w="0" w:type="dxa"/>
            <w:bottom w:w="0" w:type="dxa"/>
          </w:tblCellMar>
        </w:tblPrEx>
        <w:trPr>
          <w:trHeight w:val="260"/>
        </w:trPr>
        <w:tc>
          <w:tcPr>
            <w:tcW w:w="4812" w:type="dxa"/>
            <w:tcBorders>
              <w:top w:val="nil"/>
              <w:left w:val="nil"/>
              <w:bottom w:val="nil"/>
              <w:right w:val="nil"/>
            </w:tcBorders>
            <w:vAlign w:val="center"/>
          </w:tcPr>
          <w:p w14:paraId="3C05F982" w14:textId="77777777" w:rsidR="00756913" w:rsidRPr="00756913" w:rsidRDefault="00756913" w:rsidP="00756913">
            <w:pPr>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 xml:space="preserve">  Depreciation of property, plant and equipment</w:t>
            </w:r>
          </w:p>
        </w:tc>
        <w:tc>
          <w:tcPr>
            <w:tcW w:w="567" w:type="dxa"/>
            <w:tcBorders>
              <w:top w:val="nil"/>
              <w:left w:val="nil"/>
              <w:bottom w:val="nil"/>
              <w:right w:val="nil"/>
            </w:tcBorders>
            <w:vAlign w:val="center"/>
          </w:tcPr>
          <w:p w14:paraId="4C41BDE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14:ligatures w14:val="standardContextual"/>
              </w:rPr>
            </w:pPr>
          </w:p>
        </w:tc>
        <w:tc>
          <w:tcPr>
            <w:tcW w:w="992" w:type="dxa"/>
            <w:tcBorders>
              <w:top w:val="nil"/>
              <w:left w:val="nil"/>
              <w:bottom w:val="nil"/>
              <w:right w:val="nil"/>
            </w:tcBorders>
            <w:vAlign w:val="center"/>
          </w:tcPr>
          <w:p w14:paraId="112014CD"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color w:val="FF0000"/>
                <w14:ligatures w14:val="standardContextual"/>
              </w:rPr>
            </w:pPr>
          </w:p>
        </w:tc>
        <w:tc>
          <w:tcPr>
            <w:tcW w:w="283" w:type="dxa"/>
            <w:gridSpan w:val="2"/>
            <w:tcBorders>
              <w:top w:val="nil"/>
              <w:left w:val="nil"/>
              <w:bottom w:val="nil"/>
              <w:right w:val="nil"/>
            </w:tcBorders>
            <w:vAlign w:val="bottom"/>
          </w:tcPr>
          <w:p w14:paraId="16CABEF0"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color w:val="FF0000"/>
                <w14:ligatures w14:val="standardContextual"/>
              </w:rPr>
            </w:pPr>
          </w:p>
        </w:tc>
        <w:tc>
          <w:tcPr>
            <w:tcW w:w="1154" w:type="dxa"/>
            <w:tcBorders>
              <w:top w:val="nil"/>
              <w:left w:val="nil"/>
              <w:bottom w:val="nil"/>
              <w:right w:val="nil"/>
            </w:tcBorders>
            <w:vAlign w:val="center"/>
          </w:tcPr>
          <w:p w14:paraId="7B0BB51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2.3</w:t>
            </w:r>
          </w:p>
        </w:tc>
        <w:tc>
          <w:tcPr>
            <w:tcW w:w="1276" w:type="dxa"/>
            <w:tcBorders>
              <w:top w:val="nil"/>
              <w:left w:val="nil"/>
              <w:bottom w:val="nil"/>
              <w:right w:val="nil"/>
            </w:tcBorders>
            <w:vAlign w:val="center"/>
          </w:tcPr>
          <w:p w14:paraId="0B2ED3C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2.1</w:t>
            </w:r>
          </w:p>
        </w:tc>
      </w:tr>
      <w:tr w:rsidR="00756913" w:rsidRPr="00756913" w14:paraId="333E54A8" w14:textId="77777777">
        <w:tblPrEx>
          <w:tblCellMar>
            <w:top w:w="0" w:type="dxa"/>
            <w:bottom w:w="0" w:type="dxa"/>
          </w:tblCellMar>
        </w:tblPrEx>
        <w:tc>
          <w:tcPr>
            <w:tcW w:w="4812" w:type="dxa"/>
            <w:tcBorders>
              <w:top w:val="nil"/>
              <w:left w:val="nil"/>
              <w:bottom w:val="nil"/>
              <w:right w:val="nil"/>
            </w:tcBorders>
            <w:vAlign w:val="center"/>
          </w:tcPr>
          <w:p w14:paraId="3623DAC1" w14:textId="77777777" w:rsidR="00756913" w:rsidRPr="00756913" w:rsidRDefault="00756913" w:rsidP="00756913">
            <w:pPr>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 xml:space="preserve">  Net finance expense</w:t>
            </w:r>
          </w:p>
        </w:tc>
        <w:tc>
          <w:tcPr>
            <w:tcW w:w="567" w:type="dxa"/>
            <w:tcBorders>
              <w:top w:val="nil"/>
              <w:left w:val="nil"/>
              <w:bottom w:val="nil"/>
              <w:right w:val="nil"/>
            </w:tcBorders>
            <w:vAlign w:val="center"/>
          </w:tcPr>
          <w:p w14:paraId="188BFC2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14:ligatures w14:val="standardContextual"/>
              </w:rPr>
            </w:pPr>
          </w:p>
        </w:tc>
        <w:tc>
          <w:tcPr>
            <w:tcW w:w="992" w:type="dxa"/>
            <w:tcBorders>
              <w:top w:val="nil"/>
              <w:left w:val="nil"/>
              <w:bottom w:val="nil"/>
              <w:right w:val="nil"/>
            </w:tcBorders>
            <w:vAlign w:val="center"/>
          </w:tcPr>
          <w:p w14:paraId="4D551612"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color w:val="FF0000"/>
                <w14:ligatures w14:val="standardContextual"/>
              </w:rPr>
            </w:pPr>
          </w:p>
        </w:tc>
        <w:tc>
          <w:tcPr>
            <w:tcW w:w="283" w:type="dxa"/>
            <w:gridSpan w:val="2"/>
            <w:tcBorders>
              <w:top w:val="nil"/>
              <w:left w:val="nil"/>
              <w:bottom w:val="nil"/>
              <w:right w:val="nil"/>
            </w:tcBorders>
            <w:vAlign w:val="bottom"/>
          </w:tcPr>
          <w:p w14:paraId="543C8954"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color w:val="FF0000"/>
                <w14:ligatures w14:val="standardContextual"/>
              </w:rPr>
            </w:pPr>
          </w:p>
        </w:tc>
        <w:tc>
          <w:tcPr>
            <w:tcW w:w="1154" w:type="dxa"/>
            <w:tcBorders>
              <w:top w:val="nil"/>
              <w:left w:val="nil"/>
              <w:bottom w:val="nil"/>
              <w:right w:val="nil"/>
            </w:tcBorders>
            <w:vAlign w:val="center"/>
          </w:tcPr>
          <w:p w14:paraId="316D3EB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2.3</w:t>
            </w:r>
          </w:p>
        </w:tc>
        <w:tc>
          <w:tcPr>
            <w:tcW w:w="1276" w:type="dxa"/>
            <w:tcBorders>
              <w:top w:val="nil"/>
              <w:left w:val="nil"/>
              <w:bottom w:val="nil"/>
              <w:right w:val="nil"/>
            </w:tcBorders>
            <w:vAlign w:val="center"/>
          </w:tcPr>
          <w:p w14:paraId="470C059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2.4</w:t>
            </w:r>
          </w:p>
        </w:tc>
      </w:tr>
      <w:tr w:rsidR="00756913" w:rsidRPr="00756913" w14:paraId="3C9B418A" w14:textId="77777777">
        <w:tblPrEx>
          <w:tblCellMar>
            <w:top w:w="0" w:type="dxa"/>
            <w:bottom w:w="0" w:type="dxa"/>
          </w:tblCellMar>
        </w:tblPrEx>
        <w:tc>
          <w:tcPr>
            <w:tcW w:w="4812" w:type="dxa"/>
            <w:tcBorders>
              <w:top w:val="nil"/>
              <w:left w:val="nil"/>
              <w:bottom w:val="nil"/>
              <w:right w:val="nil"/>
            </w:tcBorders>
            <w:vAlign w:val="center"/>
          </w:tcPr>
          <w:p w14:paraId="794287B8" w14:textId="77777777" w:rsidR="00756913" w:rsidRPr="00756913" w:rsidRDefault="00756913" w:rsidP="00756913">
            <w:pPr>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 xml:space="preserve">  Equity settled share-based payment transactions</w:t>
            </w:r>
          </w:p>
        </w:tc>
        <w:tc>
          <w:tcPr>
            <w:tcW w:w="567" w:type="dxa"/>
            <w:tcBorders>
              <w:top w:val="nil"/>
              <w:left w:val="nil"/>
              <w:bottom w:val="nil"/>
              <w:right w:val="nil"/>
            </w:tcBorders>
            <w:vAlign w:val="center"/>
          </w:tcPr>
          <w:p w14:paraId="085DA41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14:ligatures w14:val="standardContextual"/>
              </w:rPr>
            </w:pPr>
          </w:p>
        </w:tc>
        <w:tc>
          <w:tcPr>
            <w:tcW w:w="992" w:type="dxa"/>
            <w:tcBorders>
              <w:top w:val="nil"/>
              <w:left w:val="nil"/>
              <w:bottom w:val="nil"/>
              <w:right w:val="nil"/>
            </w:tcBorders>
            <w:vAlign w:val="center"/>
          </w:tcPr>
          <w:p w14:paraId="0B6DD98F"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color w:val="FF0000"/>
                <w14:ligatures w14:val="standardContextual"/>
              </w:rPr>
            </w:pPr>
          </w:p>
        </w:tc>
        <w:tc>
          <w:tcPr>
            <w:tcW w:w="283" w:type="dxa"/>
            <w:gridSpan w:val="2"/>
            <w:tcBorders>
              <w:top w:val="nil"/>
              <w:left w:val="nil"/>
              <w:bottom w:val="nil"/>
              <w:right w:val="nil"/>
            </w:tcBorders>
            <w:vAlign w:val="bottom"/>
          </w:tcPr>
          <w:p w14:paraId="10400171"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color w:val="FF0000"/>
                <w14:ligatures w14:val="standardContextual"/>
              </w:rPr>
            </w:pPr>
          </w:p>
        </w:tc>
        <w:tc>
          <w:tcPr>
            <w:tcW w:w="1154" w:type="dxa"/>
            <w:tcBorders>
              <w:top w:val="nil"/>
              <w:left w:val="nil"/>
              <w:bottom w:val="nil"/>
              <w:right w:val="nil"/>
            </w:tcBorders>
            <w:vAlign w:val="center"/>
          </w:tcPr>
          <w:p w14:paraId="0284124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1.5</w:t>
            </w:r>
          </w:p>
        </w:tc>
        <w:tc>
          <w:tcPr>
            <w:tcW w:w="1276" w:type="dxa"/>
            <w:tcBorders>
              <w:top w:val="nil"/>
              <w:left w:val="nil"/>
              <w:bottom w:val="nil"/>
              <w:right w:val="nil"/>
            </w:tcBorders>
            <w:vAlign w:val="center"/>
          </w:tcPr>
          <w:p w14:paraId="1FBD4F6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w:t>
            </w:r>
          </w:p>
        </w:tc>
      </w:tr>
      <w:tr w:rsidR="00756913" w:rsidRPr="00756913" w14:paraId="15DF5FDE" w14:textId="77777777">
        <w:tblPrEx>
          <w:tblCellMar>
            <w:top w:w="0" w:type="dxa"/>
            <w:bottom w:w="0" w:type="dxa"/>
          </w:tblCellMar>
        </w:tblPrEx>
        <w:tc>
          <w:tcPr>
            <w:tcW w:w="4812" w:type="dxa"/>
            <w:tcBorders>
              <w:top w:val="nil"/>
              <w:left w:val="nil"/>
              <w:bottom w:val="nil"/>
              <w:right w:val="nil"/>
            </w:tcBorders>
            <w:vAlign w:val="center"/>
          </w:tcPr>
          <w:p w14:paraId="2B2E1AEF" w14:textId="77777777" w:rsidR="00756913" w:rsidRPr="00756913" w:rsidRDefault="00756913" w:rsidP="00756913">
            <w:pPr>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 xml:space="preserve">  Taxation expense</w:t>
            </w:r>
          </w:p>
        </w:tc>
        <w:tc>
          <w:tcPr>
            <w:tcW w:w="567" w:type="dxa"/>
            <w:tcBorders>
              <w:top w:val="nil"/>
              <w:left w:val="nil"/>
              <w:bottom w:val="nil"/>
              <w:right w:val="nil"/>
            </w:tcBorders>
            <w:vAlign w:val="center"/>
          </w:tcPr>
          <w:p w14:paraId="22CC077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color w:val="FF0000"/>
                <w14:ligatures w14:val="standardContextual"/>
              </w:rPr>
            </w:pPr>
          </w:p>
        </w:tc>
        <w:tc>
          <w:tcPr>
            <w:tcW w:w="992" w:type="dxa"/>
            <w:tcBorders>
              <w:top w:val="nil"/>
              <w:left w:val="nil"/>
              <w:bottom w:val="nil"/>
              <w:right w:val="nil"/>
            </w:tcBorders>
            <w:vAlign w:val="center"/>
          </w:tcPr>
          <w:p w14:paraId="0846FC08"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color w:val="FF0000"/>
                <w14:ligatures w14:val="standardContextual"/>
              </w:rPr>
            </w:pPr>
          </w:p>
        </w:tc>
        <w:tc>
          <w:tcPr>
            <w:tcW w:w="283" w:type="dxa"/>
            <w:gridSpan w:val="2"/>
            <w:tcBorders>
              <w:top w:val="nil"/>
              <w:left w:val="nil"/>
              <w:bottom w:val="nil"/>
              <w:right w:val="nil"/>
            </w:tcBorders>
            <w:vAlign w:val="bottom"/>
          </w:tcPr>
          <w:p w14:paraId="263F814B"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color w:val="FF0000"/>
                <w14:ligatures w14:val="standardContextual"/>
              </w:rPr>
            </w:pPr>
          </w:p>
        </w:tc>
        <w:tc>
          <w:tcPr>
            <w:tcW w:w="1154" w:type="dxa"/>
            <w:tcBorders>
              <w:top w:val="nil"/>
              <w:left w:val="nil"/>
              <w:bottom w:val="nil"/>
              <w:right w:val="nil"/>
            </w:tcBorders>
            <w:vAlign w:val="center"/>
          </w:tcPr>
          <w:p w14:paraId="6D4FF18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14.0</w:t>
            </w:r>
          </w:p>
        </w:tc>
        <w:tc>
          <w:tcPr>
            <w:tcW w:w="1276" w:type="dxa"/>
            <w:tcBorders>
              <w:top w:val="nil"/>
              <w:left w:val="nil"/>
              <w:bottom w:val="nil"/>
              <w:right w:val="nil"/>
            </w:tcBorders>
            <w:vAlign w:val="center"/>
          </w:tcPr>
          <w:p w14:paraId="2EF2061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12.3</w:t>
            </w:r>
          </w:p>
        </w:tc>
      </w:tr>
      <w:tr w:rsidR="00756913" w:rsidRPr="00756913" w14:paraId="37566B41" w14:textId="77777777">
        <w:tblPrEx>
          <w:tblCellMar>
            <w:top w:w="0" w:type="dxa"/>
            <w:bottom w:w="0" w:type="dxa"/>
          </w:tblCellMar>
        </w:tblPrEx>
        <w:tc>
          <w:tcPr>
            <w:tcW w:w="4812" w:type="dxa"/>
            <w:tcBorders>
              <w:top w:val="nil"/>
              <w:left w:val="nil"/>
              <w:bottom w:val="nil"/>
              <w:right w:val="nil"/>
            </w:tcBorders>
            <w:vAlign w:val="center"/>
          </w:tcPr>
          <w:p w14:paraId="356D8923" w14:textId="77777777" w:rsidR="00756913" w:rsidRPr="00756913" w:rsidRDefault="00756913" w:rsidP="00756913">
            <w:pPr>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 xml:space="preserve">  Changes in trade and other receivables</w:t>
            </w:r>
          </w:p>
        </w:tc>
        <w:tc>
          <w:tcPr>
            <w:tcW w:w="567" w:type="dxa"/>
            <w:tcBorders>
              <w:top w:val="nil"/>
              <w:left w:val="nil"/>
              <w:bottom w:val="nil"/>
              <w:right w:val="nil"/>
            </w:tcBorders>
            <w:vAlign w:val="center"/>
          </w:tcPr>
          <w:p w14:paraId="4632D41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14:ligatures w14:val="standardContextual"/>
              </w:rPr>
            </w:pPr>
          </w:p>
        </w:tc>
        <w:tc>
          <w:tcPr>
            <w:tcW w:w="992" w:type="dxa"/>
            <w:tcBorders>
              <w:top w:val="nil"/>
              <w:left w:val="nil"/>
              <w:bottom w:val="nil"/>
              <w:right w:val="nil"/>
            </w:tcBorders>
            <w:vAlign w:val="center"/>
          </w:tcPr>
          <w:p w14:paraId="2700328E"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14:ligatures w14:val="standardContextual"/>
              </w:rPr>
            </w:pPr>
          </w:p>
        </w:tc>
        <w:tc>
          <w:tcPr>
            <w:tcW w:w="283" w:type="dxa"/>
            <w:gridSpan w:val="2"/>
            <w:tcBorders>
              <w:top w:val="nil"/>
              <w:left w:val="nil"/>
              <w:bottom w:val="nil"/>
              <w:right w:val="nil"/>
            </w:tcBorders>
            <w:vAlign w:val="bottom"/>
          </w:tcPr>
          <w:p w14:paraId="4DA03924"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14:ligatures w14:val="standardContextual"/>
              </w:rPr>
            </w:pPr>
          </w:p>
        </w:tc>
        <w:tc>
          <w:tcPr>
            <w:tcW w:w="1154" w:type="dxa"/>
            <w:tcBorders>
              <w:top w:val="nil"/>
              <w:left w:val="nil"/>
              <w:bottom w:val="nil"/>
              <w:right w:val="nil"/>
            </w:tcBorders>
            <w:vAlign w:val="center"/>
          </w:tcPr>
          <w:p w14:paraId="16BD05D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(5.2)</w:t>
            </w:r>
          </w:p>
        </w:tc>
        <w:tc>
          <w:tcPr>
            <w:tcW w:w="1276" w:type="dxa"/>
            <w:tcBorders>
              <w:top w:val="nil"/>
              <w:left w:val="nil"/>
              <w:bottom w:val="nil"/>
              <w:right w:val="nil"/>
            </w:tcBorders>
            <w:vAlign w:val="center"/>
          </w:tcPr>
          <w:p w14:paraId="6C955122"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(20.1)</w:t>
            </w:r>
          </w:p>
        </w:tc>
      </w:tr>
      <w:tr w:rsidR="00756913" w:rsidRPr="00756913" w14:paraId="31C1DC0C" w14:textId="77777777">
        <w:tblPrEx>
          <w:tblCellMar>
            <w:top w:w="0" w:type="dxa"/>
            <w:bottom w:w="0" w:type="dxa"/>
          </w:tblCellMar>
        </w:tblPrEx>
        <w:tc>
          <w:tcPr>
            <w:tcW w:w="4812" w:type="dxa"/>
            <w:tcBorders>
              <w:top w:val="nil"/>
              <w:left w:val="nil"/>
              <w:bottom w:val="nil"/>
              <w:right w:val="nil"/>
            </w:tcBorders>
            <w:vAlign w:val="center"/>
          </w:tcPr>
          <w:p w14:paraId="095D77A8" w14:textId="77777777" w:rsidR="00756913" w:rsidRPr="00756913" w:rsidRDefault="00756913" w:rsidP="00756913">
            <w:pPr>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 xml:space="preserve">  Changes in trade and other payables</w:t>
            </w:r>
          </w:p>
        </w:tc>
        <w:tc>
          <w:tcPr>
            <w:tcW w:w="567" w:type="dxa"/>
            <w:tcBorders>
              <w:top w:val="nil"/>
              <w:left w:val="nil"/>
              <w:bottom w:val="nil"/>
              <w:right w:val="nil"/>
            </w:tcBorders>
            <w:vAlign w:val="center"/>
          </w:tcPr>
          <w:p w14:paraId="61C40FB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14:ligatures w14:val="standardContextual"/>
              </w:rPr>
            </w:pPr>
          </w:p>
        </w:tc>
        <w:tc>
          <w:tcPr>
            <w:tcW w:w="992" w:type="dxa"/>
            <w:tcBorders>
              <w:top w:val="nil"/>
              <w:left w:val="nil"/>
              <w:bottom w:val="nil"/>
              <w:right w:val="nil"/>
            </w:tcBorders>
            <w:vAlign w:val="center"/>
          </w:tcPr>
          <w:p w14:paraId="399CD034"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14:ligatures w14:val="standardContextual"/>
              </w:rPr>
            </w:pPr>
          </w:p>
        </w:tc>
        <w:tc>
          <w:tcPr>
            <w:tcW w:w="283" w:type="dxa"/>
            <w:gridSpan w:val="2"/>
            <w:tcBorders>
              <w:top w:val="nil"/>
              <w:left w:val="nil"/>
              <w:bottom w:val="nil"/>
              <w:right w:val="nil"/>
            </w:tcBorders>
            <w:vAlign w:val="bottom"/>
          </w:tcPr>
          <w:p w14:paraId="4FEC2F1C"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14:ligatures w14:val="standardContextual"/>
              </w:rPr>
            </w:pPr>
          </w:p>
        </w:tc>
        <w:tc>
          <w:tcPr>
            <w:tcW w:w="1154" w:type="dxa"/>
            <w:tcBorders>
              <w:top w:val="nil"/>
              <w:left w:val="nil"/>
              <w:bottom w:val="nil"/>
              <w:right w:val="nil"/>
            </w:tcBorders>
            <w:vAlign w:val="center"/>
          </w:tcPr>
          <w:p w14:paraId="32D8254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(0.8)</w:t>
            </w:r>
          </w:p>
        </w:tc>
        <w:tc>
          <w:tcPr>
            <w:tcW w:w="1276" w:type="dxa"/>
            <w:tcBorders>
              <w:top w:val="nil"/>
              <w:left w:val="nil"/>
              <w:bottom w:val="nil"/>
              <w:right w:val="nil"/>
            </w:tcBorders>
            <w:vAlign w:val="center"/>
          </w:tcPr>
          <w:p w14:paraId="291BFCE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7.0</w:t>
            </w:r>
          </w:p>
        </w:tc>
      </w:tr>
      <w:tr w:rsidR="00756913" w:rsidRPr="00756913" w14:paraId="647C80A5" w14:textId="77777777">
        <w:tblPrEx>
          <w:tblCellMar>
            <w:top w:w="0" w:type="dxa"/>
            <w:bottom w:w="0" w:type="dxa"/>
          </w:tblCellMar>
        </w:tblPrEx>
        <w:tc>
          <w:tcPr>
            <w:tcW w:w="4812" w:type="dxa"/>
            <w:tcBorders>
              <w:top w:val="nil"/>
              <w:left w:val="nil"/>
              <w:bottom w:val="nil"/>
              <w:right w:val="nil"/>
            </w:tcBorders>
            <w:vAlign w:val="center"/>
          </w:tcPr>
          <w:p w14:paraId="75237FB0" w14:textId="77777777" w:rsidR="00756913" w:rsidRPr="00756913" w:rsidRDefault="00756913" w:rsidP="00756913">
            <w:pPr>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 xml:space="preserve">  Taxation paid</w:t>
            </w:r>
          </w:p>
        </w:tc>
        <w:tc>
          <w:tcPr>
            <w:tcW w:w="567" w:type="dxa"/>
            <w:tcBorders>
              <w:top w:val="nil"/>
              <w:left w:val="nil"/>
              <w:bottom w:val="nil"/>
              <w:right w:val="nil"/>
            </w:tcBorders>
            <w:vAlign w:val="center"/>
          </w:tcPr>
          <w:p w14:paraId="6DE6802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14:ligatures w14:val="standardContextual"/>
              </w:rPr>
            </w:pPr>
          </w:p>
        </w:tc>
        <w:tc>
          <w:tcPr>
            <w:tcW w:w="992" w:type="dxa"/>
            <w:tcBorders>
              <w:top w:val="nil"/>
              <w:left w:val="nil"/>
              <w:bottom w:val="nil"/>
              <w:right w:val="nil"/>
            </w:tcBorders>
            <w:vAlign w:val="center"/>
          </w:tcPr>
          <w:p w14:paraId="3ECED300"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14:ligatures w14:val="standardContextual"/>
              </w:rPr>
            </w:pPr>
          </w:p>
        </w:tc>
        <w:tc>
          <w:tcPr>
            <w:tcW w:w="283" w:type="dxa"/>
            <w:gridSpan w:val="2"/>
            <w:tcBorders>
              <w:top w:val="nil"/>
              <w:left w:val="nil"/>
              <w:bottom w:val="nil"/>
              <w:right w:val="nil"/>
            </w:tcBorders>
            <w:vAlign w:val="bottom"/>
          </w:tcPr>
          <w:p w14:paraId="1F816C76"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14:ligatures w14:val="standardContextual"/>
              </w:rPr>
            </w:pPr>
          </w:p>
        </w:tc>
        <w:tc>
          <w:tcPr>
            <w:tcW w:w="1154" w:type="dxa"/>
            <w:tcBorders>
              <w:top w:val="nil"/>
              <w:left w:val="nil"/>
              <w:bottom w:val="nil"/>
              <w:right w:val="nil"/>
            </w:tcBorders>
            <w:vAlign w:val="center"/>
          </w:tcPr>
          <w:p w14:paraId="432AACF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(16.7)</w:t>
            </w:r>
          </w:p>
        </w:tc>
        <w:tc>
          <w:tcPr>
            <w:tcW w:w="1276" w:type="dxa"/>
            <w:tcBorders>
              <w:top w:val="nil"/>
              <w:left w:val="nil"/>
              <w:bottom w:val="nil"/>
              <w:right w:val="nil"/>
            </w:tcBorders>
            <w:vAlign w:val="center"/>
          </w:tcPr>
          <w:p w14:paraId="5739EE6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(15.0)</w:t>
            </w:r>
          </w:p>
        </w:tc>
      </w:tr>
      <w:tr w:rsidR="00756913" w:rsidRPr="00756913" w14:paraId="4026B4BC" w14:textId="77777777">
        <w:tblPrEx>
          <w:tblCellMar>
            <w:top w:w="0" w:type="dxa"/>
            <w:bottom w:w="0" w:type="dxa"/>
          </w:tblCellMar>
        </w:tblPrEx>
        <w:tc>
          <w:tcPr>
            <w:tcW w:w="4812" w:type="dxa"/>
            <w:tcBorders>
              <w:top w:val="nil"/>
              <w:left w:val="nil"/>
              <w:bottom w:val="nil"/>
              <w:right w:val="nil"/>
            </w:tcBorders>
            <w:vAlign w:val="center"/>
          </w:tcPr>
          <w:p w14:paraId="17602ADC" w14:textId="77777777" w:rsidR="00756913" w:rsidRPr="00756913" w:rsidRDefault="00756913" w:rsidP="00756913">
            <w:pPr>
              <w:autoSpaceDE w:val="0"/>
              <w:autoSpaceDN w:val="0"/>
              <w:adjustRightInd w:val="0"/>
              <w:spacing w:after="0" w:line="240" w:lineRule="auto"/>
              <w:ind w:left="142" w:hanging="142"/>
              <w:rPr>
                <w:rFonts w:ascii="Arial" w:hAnsi="Arial" w:cs="Arial"/>
                <w:b/>
                <w:bCs/>
                <w:sz w:val="18"/>
                <w:szCs w:val="18"/>
                <w14:ligatures w14:val="standardContextual"/>
              </w:rPr>
            </w:pPr>
            <w:r w:rsidRPr="00756913">
              <w:rPr>
                <w:rFonts w:ascii="Arial" w:hAnsi="Arial" w:cs="Arial"/>
                <w:b/>
                <w:bCs/>
                <w:sz w:val="18"/>
                <w:szCs w:val="18"/>
                <w14:ligatures w14:val="standardContextual"/>
              </w:rPr>
              <w:t>Net cash flow from operating activities</w:t>
            </w:r>
          </w:p>
        </w:tc>
        <w:tc>
          <w:tcPr>
            <w:tcW w:w="567" w:type="dxa"/>
            <w:tcBorders>
              <w:top w:val="nil"/>
              <w:left w:val="nil"/>
              <w:bottom w:val="nil"/>
              <w:right w:val="nil"/>
            </w:tcBorders>
            <w:vAlign w:val="center"/>
          </w:tcPr>
          <w:p w14:paraId="5F59097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b/>
                <w:bCs/>
                <w:i/>
                <w:iCs/>
                <w:color w:val="FF0000"/>
                <w14:ligatures w14:val="standardContextual"/>
              </w:rPr>
            </w:pPr>
          </w:p>
        </w:tc>
        <w:tc>
          <w:tcPr>
            <w:tcW w:w="992" w:type="dxa"/>
            <w:tcBorders>
              <w:top w:val="nil"/>
              <w:left w:val="nil"/>
              <w:bottom w:val="nil"/>
              <w:right w:val="nil"/>
            </w:tcBorders>
            <w:vAlign w:val="center"/>
          </w:tcPr>
          <w:p w14:paraId="75CE233A"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14:ligatures w14:val="standardContextual"/>
              </w:rPr>
            </w:pPr>
          </w:p>
        </w:tc>
        <w:tc>
          <w:tcPr>
            <w:tcW w:w="283" w:type="dxa"/>
            <w:gridSpan w:val="2"/>
            <w:tcBorders>
              <w:top w:val="nil"/>
              <w:left w:val="nil"/>
              <w:bottom w:val="nil"/>
              <w:right w:val="nil"/>
            </w:tcBorders>
            <w:vAlign w:val="bottom"/>
          </w:tcPr>
          <w:p w14:paraId="002A5CF6"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14:ligatures w14:val="standardContextual"/>
              </w:rPr>
            </w:pPr>
          </w:p>
        </w:tc>
        <w:tc>
          <w:tcPr>
            <w:tcW w:w="1154" w:type="dxa"/>
            <w:tcBorders>
              <w:top w:val="single" w:sz="4" w:space="0" w:color="auto"/>
              <w:left w:val="nil"/>
              <w:bottom w:val="single" w:sz="4" w:space="0" w:color="auto"/>
              <w:right w:val="nil"/>
            </w:tcBorders>
            <w:vAlign w:val="center"/>
          </w:tcPr>
          <w:p w14:paraId="743D0AA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51.8</w:t>
            </w:r>
          </w:p>
        </w:tc>
        <w:tc>
          <w:tcPr>
            <w:tcW w:w="1276" w:type="dxa"/>
            <w:tcBorders>
              <w:top w:val="single" w:sz="4" w:space="0" w:color="auto"/>
              <w:left w:val="nil"/>
              <w:bottom w:val="single" w:sz="4" w:space="0" w:color="auto"/>
              <w:right w:val="nil"/>
            </w:tcBorders>
            <w:vAlign w:val="center"/>
          </w:tcPr>
          <w:p w14:paraId="64CDA458" w14:textId="77777777" w:rsidR="00756913" w:rsidRPr="00756913" w:rsidRDefault="00756913" w:rsidP="00756913">
            <w:pPr>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41.1</w:t>
            </w:r>
          </w:p>
        </w:tc>
      </w:tr>
      <w:tr w:rsidR="00756913" w:rsidRPr="00756913" w14:paraId="3D53FCB1" w14:textId="77777777">
        <w:tblPrEx>
          <w:tblCellMar>
            <w:top w:w="0" w:type="dxa"/>
            <w:bottom w:w="0" w:type="dxa"/>
          </w:tblCellMar>
        </w:tblPrEx>
        <w:tc>
          <w:tcPr>
            <w:tcW w:w="4812" w:type="dxa"/>
            <w:tcBorders>
              <w:top w:val="nil"/>
              <w:left w:val="nil"/>
              <w:bottom w:val="nil"/>
              <w:right w:val="nil"/>
            </w:tcBorders>
            <w:vAlign w:val="center"/>
          </w:tcPr>
          <w:p w14:paraId="27F0784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Investing activities</w:t>
            </w:r>
          </w:p>
        </w:tc>
        <w:tc>
          <w:tcPr>
            <w:tcW w:w="567" w:type="dxa"/>
            <w:tcBorders>
              <w:top w:val="nil"/>
              <w:left w:val="nil"/>
              <w:bottom w:val="nil"/>
              <w:right w:val="nil"/>
            </w:tcBorders>
            <w:vAlign w:val="center"/>
          </w:tcPr>
          <w:p w14:paraId="4F43D9F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992" w:type="dxa"/>
            <w:tcBorders>
              <w:top w:val="nil"/>
              <w:left w:val="nil"/>
              <w:bottom w:val="nil"/>
              <w:right w:val="nil"/>
            </w:tcBorders>
            <w:vAlign w:val="center"/>
          </w:tcPr>
          <w:p w14:paraId="790CE6B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7EFADC9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single" w:sz="4" w:space="0" w:color="auto"/>
              <w:left w:val="nil"/>
              <w:bottom w:val="nil"/>
              <w:right w:val="nil"/>
            </w:tcBorders>
            <w:vAlign w:val="center"/>
          </w:tcPr>
          <w:p w14:paraId="78EE0B1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1276" w:type="dxa"/>
            <w:tcBorders>
              <w:top w:val="single" w:sz="4" w:space="0" w:color="auto"/>
              <w:left w:val="nil"/>
              <w:bottom w:val="nil"/>
              <w:right w:val="nil"/>
            </w:tcBorders>
            <w:vAlign w:val="center"/>
          </w:tcPr>
          <w:p w14:paraId="5F2C30A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7BECC7D7" w14:textId="77777777">
        <w:tblPrEx>
          <w:tblCellMar>
            <w:top w:w="0" w:type="dxa"/>
            <w:bottom w:w="0" w:type="dxa"/>
          </w:tblCellMar>
        </w:tblPrEx>
        <w:tc>
          <w:tcPr>
            <w:tcW w:w="4812" w:type="dxa"/>
            <w:tcBorders>
              <w:top w:val="nil"/>
              <w:left w:val="nil"/>
              <w:bottom w:val="nil"/>
              <w:right w:val="nil"/>
            </w:tcBorders>
            <w:vAlign w:val="center"/>
          </w:tcPr>
          <w:p w14:paraId="5A11F3B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Interest received</w:t>
            </w:r>
          </w:p>
        </w:tc>
        <w:tc>
          <w:tcPr>
            <w:tcW w:w="567" w:type="dxa"/>
            <w:tcBorders>
              <w:top w:val="nil"/>
              <w:left w:val="nil"/>
              <w:bottom w:val="nil"/>
              <w:right w:val="nil"/>
            </w:tcBorders>
            <w:vAlign w:val="center"/>
          </w:tcPr>
          <w:p w14:paraId="7DBF45A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2DE15019"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37CA9CEF"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nil"/>
              <w:left w:val="nil"/>
              <w:bottom w:val="nil"/>
              <w:right w:val="nil"/>
            </w:tcBorders>
            <w:vAlign w:val="center"/>
          </w:tcPr>
          <w:p w14:paraId="72F34C1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0.1</w:t>
            </w:r>
          </w:p>
        </w:tc>
        <w:tc>
          <w:tcPr>
            <w:tcW w:w="1276" w:type="dxa"/>
            <w:tcBorders>
              <w:top w:val="nil"/>
              <w:left w:val="nil"/>
              <w:bottom w:val="nil"/>
              <w:right w:val="nil"/>
            </w:tcBorders>
            <w:vAlign w:val="center"/>
          </w:tcPr>
          <w:p w14:paraId="7ABB3BA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0.0</w:t>
            </w:r>
          </w:p>
        </w:tc>
      </w:tr>
      <w:tr w:rsidR="00756913" w:rsidRPr="00756913" w14:paraId="2BADA6A3" w14:textId="77777777">
        <w:tblPrEx>
          <w:tblCellMar>
            <w:top w:w="0" w:type="dxa"/>
            <w:bottom w:w="0" w:type="dxa"/>
          </w:tblCellMar>
        </w:tblPrEx>
        <w:tc>
          <w:tcPr>
            <w:tcW w:w="4812" w:type="dxa"/>
            <w:tcBorders>
              <w:top w:val="nil"/>
              <w:left w:val="nil"/>
              <w:bottom w:val="nil"/>
              <w:right w:val="nil"/>
            </w:tcBorders>
            <w:vAlign w:val="center"/>
          </w:tcPr>
          <w:p w14:paraId="45BB704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Acquisition of property, plant and equipment</w:t>
            </w:r>
          </w:p>
        </w:tc>
        <w:tc>
          <w:tcPr>
            <w:tcW w:w="567" w:type="dxa"/>
            <w:tcBorders>
              <w:top w:val="nil"/>
              <w:left w:val="nil"/>
              <w:bottom w:val="nil"/>
              <w:right w:val="nil"/>
            </w:tcBorders>
            <w:vAlign w:val="center"/>
          </w:tcPr>
          <w:p w14:paraId="42CF204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1F16C88C"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48185A88"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nil"/>
              <w:left w:val="nil"/>
              <w:bottom w:val="nil"/>
              <w:right w:val="nil"/>
            </w:tcBorders>
            <w:vAlign w:val="center"/>
          </w:tcPr>
          <w:p w14:paraId="6955EBA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(0.0)</w:t>
            </w:r>
          </w:p>
        </w:tc>
        <w:tc>
          <w:tcPr>
            <w:tcW w:w="1276" w:type="dxa"/>
            <w:tcBorders>
              <w:top w:val="nil"/>
              <w:left w:val="nil"/>
              <w:bottom w:val="nil"/>
              <w:right w:val="nil"/>
            </w:tcBorders>
            <w:vAlign w:val="center"/>
          </w:tcPr>
          <w:p w14:paraId="203EFE4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r>
      <w:tr w:rsidR="00756913" w:rsidRPr="00756913" w14:paraId="58DDCE74" w14:textId="77777777">
        <w:tblPrEx>
          <w:tblCellMar>
            <w:top w:w="0" w:type="dxa"/>
            <w:bottom w:w="0" w:type="dxa"/>
          </w:tblCellMar>
        </w:tblPrEx>
        <w:tc>
          <w:tcPr>
            <w:tcW w:w="4812" w:type="dxa"/>
            <w:tcBorders>
              <w:top w:val="nil"/>
              <w:left w:val="nil"/>
              <w:bottom w:val="nil"/>
              <w:right w:val="nil"/>
            </w:tcBorders>
            <w:vAlign w:val="center"/>
          </w:tcPr>
          <w:p w14:paraId="3FDE819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Acquisition of intangible assets</w:t>
            </w:r>
          </w:p>
        </w:tc>
        <w:tc>
          <w:tcPr>
            <w:tcW w:w="567" w:type="dxa"/>
            <w:tcBorders>
              <w:top w:val="nil"/>
              <w:left w:val="nil"/>
              <w:bottom w:val="nil"/>
              <w:right w:val="nil"/>
            </w:tcBorders>
            <w:vAlign w:val="center"/>
          </w:tcPr>
          <w:p w14:paraId="561DAD6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4B915F4B"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2301A028"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nil"/>
              <w:left w:val="nil"/>
              <w:bottom w:val="nil"/>
              <w:right w:val="nil"/>
            </w:tcBorders>
            <w:vAlign w:val="center"/>
          </w:tcPr>
          <w:p w14:paraId="1069E53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(5.1)</w:t>
            </w:r>
          </w:p>
        </w:tc>
        <w:tc>
          <w:tcPr>
            <w:tcW w:w="1276" w:type="dxa"/>
            <w:tcBorders>
              <w:top w:val="nil"/>
              <w:left w:val="nil"/>
              <w:bottom w:val="nil"/>
              <w:right w:val="nil"/>
            </w:tcBorders>
            <w:vAlign w:val="center"/>
          </w:tcPr>
          <w:p w14:paraId="498A474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(5.6)</w:t>
            </w:r>
          </w:p>
        </w:tc>
      </w:tr>
      <w:tr w:rsidR="00756913" w:rsidRPr="00756913" w14:paraId="4A23F33F" w14:textId="77777777">
        <w:tblPrEx>
          <w:tblCellMar>
            <w:top w:w="0" w:type="dxa"/>
            <w:bottom w:w="0" w:type="dxa"/>
          </w:tblCellMar>
        </w:tblPrEx>
        <w:tc>
          <w:tcPr>
            <w:tcW w:w="4812" w:type="dxa"/>
            <w:tcBorders>
              <w:top w:val="nil"/>
              <w:left w:val="nil"/>
              <w:bottom w:val="nil"/>
              <w:right w:val="nil"/>
            </w:tcBorders>
            <w:vAlign w:val="center"/>
          </w:tcPr>
          <w:p w14:paraId="5046198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sz w:val="18"/>
                <w:szCs w:val="18"/>
                <w14:ligatures w14:val="standardContextual"/>
              </w:rPr>
              <w:t>Net cash used in investing activities</w:t>
            </w:r>
          </w:p>
        </w:tc>
        <w:tc>
          <w:tcPr>
            <w:tcW w:w="567" w:type="dxa"/>
            <w:tcBorders>
              <w:top w:val="nil"/>
              <w:left w:val="nil"/>
              <w:bottom w:val="nil"/>
              <w:right w:val="nil"/>
            </w:tcBorders>
            <w:vAlign w:val="center"/>
          </w:tcPr>
          <w:p w14:paraId="2C4EEEC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6B2BC0E7"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089451FC"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single" w:sz="4" w:space="0" w:color="auto"/>
              <w:left w:val="nil"/>
              <w:bottom w:val="single" w:sz="4" w:space="0" w:color="auto"/>
              <w:right w:val="nil"/>
            </w:tcBorders>
            <w:vAlign w:val="center"/>
          </w:tcPr>
          <w:p w14:paraId="3D19F1F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(5.0)</w:t>
            </w:r>
          </w:p>
        </w:tc>
        <w:tc>
          <w:tcPr>
            <w:tcW w:w="1276" w:type="dxa"/>
            <w:tcBorders>
              <w:top w:val="single" w:sz="4" w:space="0" w:color="auto"/>
              <w:left w:val="nil"/>
              <w:bottom w:val="single" w:sz="4" w:space="0" w:color="auto"/>
              <w:right w:val="nil"/>
            </w:tcBorders>
            <w:vAlign w:val="center"/>
          </w:tcPr>
          <w:p w14:paraId="276433C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(6.0)</w:t>
            </w:r>
          </w:p>
        </w:tc>
      </w:tr>
      <w:tr w:rsidR="00756913" w:rsidRPr="00756913" w14:paraId="179ACC09" w14:textId="77777777">
        <w:tblPrEx>
          <w:tblCellMar>
            <w:top w:w="0" w:type="dxa"/>
            <w:bottom w:w="0" w:type="dxa"/>
          </w:tblCellMar>
        </w:tblPrEx>
        <w:tc>
          <w:tcPr>
            <w:tcW w:w="4812" w:type="dxa"/>
            <w:tcBorders>
              <w:top w:val="nil"/>
              <w:left w:val="nil"/>
              <w:bottom w:val="nil"/>
              <w:right w:val="nil"/>
            </w:tcBorders>
            <w:vAlign w:val="center"/>
          </w:tcPr>
          <w:p w14:paraId="6037A56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14:ligatures w14:val="standardContextual"/>
              </w:rPr>
            </w:pPr>
          </w:p>
        </w:tc>
        <w:tc>
          <w:tcPr>
            <w:tcW w:w="567" w:type="dxa"/>
            <w:tcBorders>
              <w:top w:val="nil"/>
              <w:left w:val="nil"/>
              <w:bottom w:val="nil"/>
              <w:right w:val="nil"/>
            </w:tcBorders>
            <w:vAlign w:val="center"/>
          </w:tcPr>
          <w:p w14:paraId="51D25C3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14:ligatures w14:val="standardContextual"/>
              </w:rPr>
            </w:pPr>
          </w:p>
        </w:tc>
        <w:tc>
          <w:tcPr>
            <w:tcW w:w="992" w:type="dxa"/>
            <w:tcBorders>
              <w:top w:val="nil"/>
              <w:left w:val="nil"/>
              <w:bottom w:val="nil"/>
              <w:right w:val="nil"/>
            </w:tcBorders>
            <w:vAlign w:val="center"/>
          </w:tcPr>
          <w:p w14:paraId="0E291329"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14:ligatures w14:val="standardContextual"/>
              </w:rPr>
            </w:pPr>
          </w:p>
        </w:tc>
        <w:tc>
          <w:tcPr>
            <w:tcW w:w="283" w:type="dxa"/>
            <w:gridSpan w:val="2"/>
            <w:tcBorders>
              <w:top w:val="nil"/>
              <w:left w:val="nil"/>
              <w:bottom w:val="nil"/>
              <w:right w:val="nil"/>
            </w:tcBorders>
            <w:vAlign w:val="bottom"/>
          </w:tcPr>
          <w:p w14:paraId="58D0C98F"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14:ligatures w14:val="standardContextual"/>
              </w:rPr>
            </w:pPr>
          </w:p>
        </w:tc>
        <w:tc>
          <w:tcPr>
            <w:tcW w:w="1154" w:type="dxa"/>
            <w:tcBorders>
              <w:top w:val="single" w:sz="4" w:space="0" w:color="auto"/>
              <w:left w:val="nil"/>
              <w:bottom w:val="nil"/>
              <w:right w:val="nil"/>
            </w:tcBorders>
            <w:vAlign w:val="center"/>
          </w:tcPr>
          <w:p w14:paraId="5CD15F9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1276" w:type="dxa"/>
            <w:tcBorders>
              <w:top w:val="single" w:sz="4" w:space="0" w:color="auto"/>
              <w:left w:val="nil"/>
              <w:bottom w:val="nil"/>
              <w:right w:val="nil"/>
            </w:tcBorders>
            <w:vAlign w:val="center"/>
          </w:tcPr>
          <w:p w14:paraId="674D329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4C983EA3" w14:textId="77777777">
        <w:tblPrEx>
          <w:tblCellMar>
            <w:top w:w="0" w:type="dxa"/>
            <w:bottom w:w="0" w:type="dxa"/>
          </w:tblCellMar>
        </w:tblPrEx>
        <w:tc>
          <w:tcPr>
            <w:tcW w:w="4812" w:type="dxa"/>
            <w:tcBorders>
              <w:top w:val="nil"/>
              <w:left w:val="nil"/>
              <w:bottom w:val="nil"/>
              <w:right w:val="nil"/>
            </w:tcBorders>
            <w:vAlign w:val="center"/>
          </w:tcPr>
          <w:p w14:paraId="28922E7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14:ligatures w14:val="standardContextual"/>
              </w:rPr>
            </w:pPr>
            <w:r w:rsidRPr="00756913">
              <w:rPr>
                <w:rFonts w:ascii="Arial" w:hAnsi="Arial" w:cs="Arial"/>
                <w:b/>
                <w:bCs/>
                <w:sz w:val="18"/>
                <w:szCs w:val="18"/>
                <w14:ligatures w14:val="standardContextual"/>
              </w:rPr>
              <w:t>Financing activities</w:t>
            </w:r>
          </w:p>
        </w:tc>
        <w:tc>
          <w:tcPr>
            <w:tcW w:w="567" w:type="dxa"/>
            <w:tcBorders>
              <w:top w:val="nil"/>
              <w:left w:val="nil"/>
              <w:bottom w:val="nil"/>
              <w:right w:val="nil"/>
            </w:tcBorders>
            <w:vAlign w:val="center"/>
          </w:tcPr>
          <w:p w14:paraId="0B0C6F3C" w14:textId="77777777" w:rsidR="00756913" w:rsidRPr="00756913" w:rsidRDefault="00756913" w:rsidP="00756913">
            <w:pPr>
              <w:autoSpaceDE w:val="0"/>
              <w:autoSpaceDN w:val="0"/>
              <w:adjustRightInd w:val="0"/>
              <w:spacing w:after="0" w:line="240" w:lineRule="auto"/>
              <w:ind w:left="153" w:right="142" w:hanging="153"/>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7713FD87" w14:textId="77777777" w:rsidR="00756913" w:rsidRPr="00756913" w:rsidRDefault="00756913" w:rsidP="00756913">
            <w:pPr>
              <w:tabs>
                <w:tab w:val="decimal" w:pos="1015"/>
              </w:tabs>
              <w:autoSpaceDE w:val="0"/>
              <w:autoSpaceDN w:val="0"/>
              <w:adjustRightInd w:val="0"/>
              <w:spacing w:after="0" w:line="240" w:lineRule="auto"/>
              <w:ind w:left="153" w:hanging="153"/>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54F20EBD" w14:textId="77777777" w:rsidR="00756913" w:rsidRPr="00756913" w:rsidRDefault="00756913" w:rsidP="00756913">
            <w:pPr>
              <w:tabs>
                <w:tab w:val="decimal" w:pos="1015"/>
              </w:tabs>
              <w:autoSpaceDE w:val="0"/>
              <w:autoSpaceDN w:val="0"/>
              <w:adjustRightInd w:val="0"/>
              <w:spacing w:after="0" w:line="240" w:lineRule="auto"/>
              <w:ind w:left="153" w:hanging="153"/>
              <w:jc w:val="right"/>
              <w:rPr>
                <w:rFonts w:ascii="Arial" w:hAnsi="Arial" w:cs="Arial"/>
                <w:b/>
                <w:bCs/>
                <w:i/>
                <w:iCs/>
                <w:color w:val="FF0000"/>
                <w:sz w:val="18"/>
                <w:szCs w:val="18"/>
                <w14:ligatures w14:val="standardContextual"/>
              </w:rPr>
            </w:pPr>
          </w:p>
        </w:tc>
        <w:tc>
          <w:tcPr>
            <w:tcW w:w="1154" w:type="dxa"/>
            <w:tcBorders>
              <w:top w:val="nil"/>
              <w:left w:val="nil"/>
              <w:bottom w:val="nil"/>
              <w:right w:val="nil"/>
            </w:tcBorders>
            <w:vAlign w:val="center"/>
          </w:tcPr>
          <w:p w14:paraId="652C5BA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1276" w:type="dxa"/>
            <w:tcBorders>
              <w:top w:val="nil"/>
              <w:left w:val="nil"/>
              <w:bottom w:val="nil"/>
              <w:right w:val="nil"/>
            </w:tcBorders>
            <w:vAlign w:val="center"/>
          </w:tcPr>
          <w:p w14:paraId="71C5CEB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2347ED12" w14:textId="77777777">
        <w:tblPrEx>
          <w:tblCellMar>
            <w:top w:w="0" w:type="dxa"/>
            <w:bottom w:w="0" w:type="dxa"/>
          </w:tblCellMar>
        </w:tblPrEx>
        <w:tc>
          <w:tcPr>
            <w:tcW w:w="4812" w:type="dxa"/>
            <w:tcBorders>
              <w:top w:val="nil"/>
              <w:left w:val="nil"/>
              <w:bottom w:val="nil"/>
              <w:right w:val="nil"/>
            </w:tcBorders>
            <w:vAlign w:val="center"/>
          </w:tcPr>
          <w:p w14:paraId="07A7CC4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Dividends paid</w:t>
            </w:r>
          </w:p>
        </w:tc>
        <w:tc>
          <w:tcPr>
            <w:tcW w:w="567" w:type="dxa"/>
            <w:tcBorders>
              <w:top w:val="nil"/>
              <w:left w:val="nil"/>
              <w:bottom w:val="nil"/>
              <w:right w:val="nil"/>
            </w:tcBorders>
            <w:vAlign w:val="center"/>
          </w:tcPr>
          <w:p w14:paraId="4B55A50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2FA9BFF6"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i/>
                <w:iCs/>
                <w:color w:val="FF0000"/>
                <w:sz w:val="18"/>
                <w:szCs w:val="18"/>
                <w14:ligatures w14:val="standardContextual"/>
              </w:rPr>
            </w:pPr>
            <w:r w:rsidRPr="00756913">
              <w:rPr>
                <w:rFonts w:ascii="Arial" w:hAnsi="Arial" w:cs="Arial"/>
                <w:i/>
                <w:iCs/>
                <w:sz w:val="18"/>
                <w:szCs w:val="18"/>
                <w14:ligatures w14:val="standardContextual"/>
              </w:rPr>
              <w:t>6</w:t>
            </w:r>
          </w:p>
        </w:tc>
        <w:tc>
          <w:tcPr>
            <w:tcW w:w="283" w:type="dxa"/>
            <w:gridSpan w:val="2"/>
            <w:tcBorders>
              <w:top w:val="nil"/>
              <w:left w:val="nil"/>
              <w:bottom w:val="nil"/>
              <w:right w:val="nil"/>
            </w:tcBorders>
            <w:vAlign w:val="bottom"/>
          </w:tcPr>
          <w:p w14:paraId="1E360AD9"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nil"/>
              <w:left w:val="nil"/>
              <w:bottom w:val="nil"/>
              <w:right w:val="nil"/>
            </w:tcBorders>
            <w:vAlign w:val="center"/>
          </w:tcPr>
          <w:p w14:paraId="1A4AEF7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(47.8)</w:t>
            </w:r>
          </w:p>
        </w:tc>
        <w:tc>
          <w:tcPr>
            <w:tcW w:w="1276" w:type="dxa"/>
            <w:tcBorders>
              <w:top w:val="nil"/>
              <w:left w:val="nil"/>
              <w:bottom w:val="nil"/>
              <w:right w:val="nil"/>
            </w:tcBorders>
            <w:vAlign w:val="center"/>
          </w:tcPr>
          <w:p w14:paraId="47D075E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(46.2)</w:t>
            </w:r>
          </w:p>
        </w:tc>
      </w:tr>
      <w:tr w:rsidR="00756913" w:rsidRPr="00756913" w14:paraId="2A0E2A52" w14:textId="77777777">
        <w:tblPrEx>
          <w:tblCellMar>
            <w:top w:w="0" w:type="dxa"/>
            <w:bottom w:w="0" w:type="dxa"/>
          </w:tblCellMar>
        </w:tblPrEx>
        <w:tc>
          <w:tcPr>
            <w:tcW w:w="4812" w:type="dxa"/>
            <w:tcBorders>
              <w:top w:val="nil"/>
              <w:left w:val="nil"/>
              <w:bottom w:val="nil"/>
              <w:right w:val="nil"/>
            </w:tcBorders>
            <w:vAlign w:val="center"/>
          </w:tcPr>
          <w:p w14:paraId="195E905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Purchase of shares by employee trusts</w:t>
            </w:r>
          </w:p>
        </w:tc>
        <w:tc>
          <w:tcPr>
            <w:tcW w:w="567" w:type="dxa"/>
            <w:tcBorders>
              <w:top w:val="nil"/>
              <w:left w:val="nil"/>
              <w:bottom w:val="nil"/>
              <w:right w:val="nil"/>
            </w:tcBorders>
            <w:vAlign w:val="center"/>
          </w:tcPr>
          <w:p w14:paraId="5BD3904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5E51C7C2"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02693585"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nil"/>
              <w:left w:val="nil"/>
              <w:bottom w:val="nil"/>
              <w:right w:val="nil"/>
            </w:tcBorders>
            <w:vAlign w:val="center"/>
          </w:tcPr>
          <w:p w14:paraId="1936F33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(0.4)</w:t>
            </w:r>
          </w:p>
        </w:tc>
        <w:tc>
          <w:tcPr>
            <w:tcW w:w="1276" w:type="dxa"/>
            <w:tcBorders>
              <w:top w:val="nil"/>
              <w:left w:val="nil"/>
              <w:bottom w:val="nil"/>
              <w:right w:val="nil"/>
            </w:tcBorders>
            <w:vAlign w:val="center"/>
          </w:tcPr>
          <w:p w14:paraId="6C1CDB1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(0.5)</w:t>
            </w:r>
          </w:p>
        </w:tc>
      </w:tr>
      <w:tr w:rsidR="00756913" w:rsidRPr="00756913" w14:paraId="5B03A466" w14:textId="77777777">
        <w:tblPrEx>
          <w:tblCellMar>
            <w:top w:w="0" w:type="dxa"/>
            <w:bottom w:w="0" w:type="dxa"/>
          </w:tblCellMar>
        </w:tblPrEx>
        <w:tc>
          <w:tcPr>
            <w:tcW w:w="4812" w:type="dxa"/>
            <w:tcBorders>
              <w:top w:val="nil"/>
              <w:left w:val="nil"/>
              <w:bottom w:val="nil"/>
              <w:right w:val="nil"/>
            </w:tcBorders>
            <w:vAlign w:val="center"/>
          </w:tcPr>
          <w:p w14:paraId="7C7A565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Proceeds from borrowings</w:t>
            </w:r>
          </w:p>
        </w:tc>
        <w:tc>
          <w:tcPr>
            <w:tcW w:w="567" w:type="dxa"/>
            <w:tcBorders>
              <w:top w:val="nil"/>
              <w:left w:val="nil"/>
              <w:bottom w:val="nil"/>
              <w:right w:val="nil"/>
            </w:tcBorders>
            <w:vAlign w:val="center"/>
          </w:tcPr>
          <w:p w14:paraId="7C4F3D8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06F8D3BE"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12DFD633"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nil"/>
              <w:left w:val="nil"/>
              <w:bottom w:val="nil"/>
              <w:right w:val="nil"/>
            </w:tcBorders>
            <w:vAlign w:val="center"/>
          </w:tcPr>
          <w:p w14:paraId="3029228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47.0</w:t>
            </w:r>
          </w:p>
        </w:tc>
        <w:tc>
          <w:tcPr>
            <w:tcW w:w="1276" w:type="dxa"/>
            <w:tcBorders>
              <w:top w:val="nil"/>
              <w:left w:val="nil"/>
              <w:bottom w:val="nil"/>
              <w:right w:val="nil"/>
            </w:tcBorders>
            <w:vAlign w:val="center"/>
          </w:tcPr>
          <w:p w14:paraId="351E007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40.0</w:t>
            </w:r>
          </w:p>
        </w:tc>
      </w:tr>
      <w:tr w:rsidR="00756913" w:rsidRPr="00756913" w14:paraId="276C0E8F" w14:textId="77777777">
        <w:tblPrEx>
          <w:tblCellMar>
            <w:top w:w="0" w:type="dxa"/>
            <w:bottom w:w="0" w:type="dxa"/>
          </w:tblCellMar>
        </w:tblPrEx>
        <w:tc>
          <w:tcPr>
            <w:tcW w:w="4812" w:type="dxa"/>
            <w:tcBorders>
              <w:top w:val="nil"/>
              <w:left w:val="nil"/>
              <w:bottom w:val="nil"/>
              <w:right w:val="nil"/>
            </w:tcBorders>
            <w:vAlign w:val="center"/>
          </w:tcPr>
          <w:p w14:paraId="35C6C37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Repayment of borrowings</w:t>
            </w:r>
          </w:p>
        </w:tc>
        <w:tc>
          <w:tcPr>
            <w:tcW w:w="567" w:type="dxa"/>
            <w:tcBorders>
              <w:top w:val="nil"/>
              <w:left w:val="nil"/>
              <w:bottom w:val="nil"/>
              <w:right w:val="nil"/>
            </w:tcBorders>
            <w:vAlign w:val="center"/>
          </w:tcPr>
          <w:p w14:paraId="25462B2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0FF1B54F"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46C55823"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nil"/>
              <w:left w:val="nil"/>
              <w:bottom w:val="nil"/>
              <w:right w:val="nil"/>
            </w:tcBorders>
            <w:vAlign w:val="center"/>
          </w:tcPr>
          <w:p w14:paraId="1BD318A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(33.5)</w:t>
            </w:r>
          </w:p>
        </w:tc>
        <w:tc>
          <w:tcPr>
            <w:tcW w:w="1276" w:type="dxa"/>
            <w:tcBorders>
              <w:top w:val="nil"/>
              <w:left w:val="nil"/>
              <w:bottom w:val="nil"/>
              <w:right w:val="nil"/>
            </w:tcBorders>
            <w:vAlign w:val="center"/>
          </w:tcPr>
          <w:p w14:paraId="0C655B4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(21.0)</w:t>
            </w:r>
          </w:p>
        </w:tc>
      </w:tr>
      <w:tr w:rsidR="00756913" w:rsidRPr="00756913" w14:paraId="5883A881" w14:textId="77777777">
        <w:tblPrEx>
          <w:tblCellMar>
            <w:top w:w="0" w:type="dxa"/>
            <w:bottom w:w="0" w:type="dxa"/>
          </w:tblCellMar>
        </w:tblPrEx>
        <w:tc>
          <w:tcPr>
            <w:tcW w:w="4812" w:type="dxa"/>
            <w:tcBorders>
              <w:top w:val="nil"/>
              <w:left w:val="nil"/>
              <w:bottom w:val="nil"/>
              <w:right w:val="nil"/>
            </w:tcBorders>
            <w:vAlign w:val="center"/>
          </w:tcPr>
          <w:p w14:paraId="7777544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Interest paid</w:t>
            </w:r>
          </w:p>
        </w:tc>
        <w:tc>
          <w:tcPr>
            <w:tcW w:w="567" w:type="dxa"/>
            <w:tcBorders>
              <w:top w:val="nil"/>
              <w:left w:val="nil"/>
              <w:bottom w:val="nil"/>
              <w:right w:val="nil"/>
            </w:tcBorders>
            <w:vAlign w:val="center"/>
          </w:tcPr>
          <w:p w14:paraId="37E8D07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7992CA6F"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0F6CF6AB"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nil"/>
              <w:left w:val="nil"/>
              <w:bottom w:val="nil"/>
              <w:right w:val="nil"/>
            </w:tcBorders>
            <w:vAlign w:val="center"/>
          </w:tcPr>
          <w:p w14:paraId="623FB8C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(2.4)</w:t>
            </w:r>
          </w:p>
        </w:tc>
        <w:tc>
          <w:tcPr>
            <w:tcW w:w="1276" w:type="dxa"/>
            <w:tcBorders>
              <w:top w:val="nil"/>
              <w:left w:val="nil"/>
              <w:bottom w:val="nil"/>
              <w:right w:val="nil"/>
            </w:tcBorders>
            <w:vAlign w:val="center"/>
          </w:tcPr>
          <w:p w14:paraId="41A0FFD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(2.4)</w:t>
            </w:r>
          </w:p>
        </w:tc>
      </w:tr>
      <w:tr w:rsidR="00756913" w:rsidRPr="00756913" w14:paraId="506A9206" w14:textId="77777777">
        <w:tblPrEx>
          <w:tblCellMar>
            <w:top w:w="0" w:type="dxa"/>
            <w:bottom w:w="0" w:type="dxa"/>
          </w:tblCellMar>
        </w:tblPrEx>
        <w:tc>
          <w:tcPr>
            <w:tcW w:w="4812" w:type="dxa"/>
            <w:tcBorders>
              <w:top w:val="nil"/>
              <w:left w:val="nil"/>
              <w:bottom w:val="nil"/>
              <w:right w:val="nil"/>
            </w:tcBorders>
            <w:vAlign w:val="center"/>
          </w:tcPr>
          <w:p w14:paraId="4DE44F0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Repayment of lease liabilities</w:t>
            </w:r>
          </w:p>
        </w:tc>
        <w:tc>
          <w:tcPr>
            <w:tcW w:w="567" w:type="dxa"/>
            <w:tcBorders>
              <w:top w:val="nil"/>
              <w:left w:val="nil"/>
              <w:bottom w:val="nil"/>
              <w:right w:val="nil"/>
            </w:tcBorders>
            <w:vAlign w:val="center"/>
          </w:tcPr>
          <w:p w14:paraId="4AB99F0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4E16D2AB"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5C9CBF03"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nil"/>
              <w:left w:val="nil"/>
              <w:bottom w:val="nil"/>
              <w:right w:val="nil"/>
            </w:tcBorders>
            <w:vAlign w:val="center"/>
          </w:tcPr>
          <w:p w14:paraId="0458CE9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(1.4)</w:t>
            </w:r>
          </w:p>
        </w:tc>
        <w:tc>
          <w:tcPr>
            <w:tcW w:w="1276" w:type="dxa"/>
            <w:tcBorders>
              <w:top w:val="nil"/>
              <w:left w:val="nil"/>
              <w:bottom w:val="nil"/>
              <w:right w:val="nil"/>
            </w:tcBorders>
            <w:vAlign w:val="center"/>
          </w:tcPr>
          <w:p w14:paraId="5DF9BA3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(1.4)</w:t>
            </w:r>
          </w:p>
        </w:tc>
      </w:tr>
      <w:tr w:rsidR="00756913" w:rsidRPr="00756913" w14:paraId="3FC53A54" w14:textId="77777777">
        <w:tblPrEx>
          <w:tblCellMar>
            <w:top w:w="0" w:type="dxa"/>
            <w:bottom w:w="0" w:type="dxa"/>
          </w:tblCellMar>
        </w:tblPrEx>
        <w:tc>
          <w:tcPr>
            <w:tcW w:w="4812" w:type="dxa"/>
            <w:tcBorders>
              <w:top w:val="nil"/>
              <w:left w:val="nil"/>
              <w:bottom w:val="nil"/>
              <w:right w:val="nil"/>
            </w:tcBorders>
            <w:vAlign w:val="center"/>
          </w:tcPr>
          <w:p w14:paraId="2370BE2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sz w:val="18"/>
                <w:szCs w:val="18"/>
                <w14:ligatures w14:val="standardContextual"/>
              </w:rPr>
              <w:t>Net cash used in financing activities</w:t>
            </w:r>
          </w:p>
        </w:tc>
        <w:tc>
          <w:tcPr>
            <w:tcW w:w="567" w:type="dxa"/>
            <w:tcBorders>
              <w:top w:val="nil"/>
              <w:left w:val="nil"/>
              <w:bottom w:val="nil"/>
              <w:right w:val="nil"/>
            </w:tcBorders>
            <w:vAlign w:val="center"/>
          </w:tcPr>
          <w:p w14:paraId="373CC7E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31CE8113"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5A3A95A9"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single" w:sz="4" w:space="0" w:color="auto"/>
              <w:left w:val="nil"/>
              <w:bottom w:val="nil"/>
              <w:right w:val="nil"/>
            </w:tcBorders>
            <w:vAlign w:val="center"/>
          </w:tcPr>
          <w:p w14:paraId="148C537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(38.5)</w:t>
            </w:r>
          </w:p>
        </w:tc>
        <w:tc>
          <w:tcPr>
            <w:tcW w:w="1276" w:type="dxa"/>
            <w:tcBorders>
              <w:top w:val="single" w:sz="4" w:space="0" w:color="auto"/>
              <w:left w:val="nil"/>
              <w:bottom w:val="nil"/>
              <w:right w:val="nil"/>
            </w:tcBorders>
            <w:vAlign w:val="center"/>
          </w:tcPr>
          <w:p w14:paraId="666B5C6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(31.5)</w:t>
            </w:r>
          </w:p>
        </w:tc>
      </w:tr>
      <w:tr w:rsidR="00756913" w:rsidRPr="00756913" w14:paraId="38C21141" w14:textId="77777777">
        <w:tblPrEx>
          <w:tblCellMar>
            <w:top w:w="0" w:type="dxa"/>
            <w:bottom w:w="0" w:type="dxa"/>
          </w:tblCellMar>
        </w:tblPrEx>
        <w:tc>
          <w:tcPr>
            <w:tcW w:w="4812" w:type="dxa"/>
            <w:tcBorders>
              <w:top w:val="nil"/>
              <w:left w:val="nil"/>
              <w:bottom w:val="nil"/>
              <w:right w:val="nil"/>
            </w:tcBorders>
            <w:vAlign w:val="center"/>
          </w:tcPr>
          <w:p w14:paraId="0C5B90F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567" w:type="dxa"/>
            <w:tcBorders>
              <w:top w:val="nil"/>
              <w:left w:val="nil"/>
              <w:bottom w:val="nil"/>
              <w:right w:val="nil"/>
            </w:tcBorders>
            <w:vAlign w:val="center"/>
          </w:tcPr>
          <w:p w14:paraId="2FD5358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2172BE01"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49EFF6EB"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single" w:sz="4" w:space="0" w:color="auto"/>
              <w:left w:val="nil"/>
              <w:bottom w:val="nil"/>
              <w:right w:val="nil"/>
            </w:tcBorders>
            <w:vAlign w:val="center"/>
          </w:tcPr>
          <w:p w14:paraId="15E064F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1276" w:type="dxa"/>
            <w:tcBorders>
              <w:top w:val="single" w:sz="4" w:space="0" w:color="auto"/>
              <w:left w:val="nil"/>
              <w:bottom w:val="nil"/>
              <w:right w:val="nil"/>
            </w:tcBorders>
            <w:vAlign w:val="center"/>
          </w:tcPr>
          <w:p w14:paraId="5C8D6E0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23EE4510" w14:textId="77777777">
        <w:tblPrEx>
          <w:tblCellMar>
            <w:top w:w="0" w:type="dxa"/>
            <w:bottom w:w="0" w:type="dxa"/>
          </w:tblCellMar>
        </w:tblPrEx>
        <w:tc>
          <w:tcPr>
            <w:tcW w:w="4812" w:type="dxa"/>
            <w:tcBorders>
              <w:top w:val="nil"/>
              <w:left w:val="nil"/>
              <w:bottom w:val="nil"/>
              <w:right w:val="nil"/>
            </w:tcBorders>
            <w:vAlign w:val="center"/>
          </w:tcPr>
          <w:p w14:paraId="081CABE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b/>
                <w:bCs/>
                <w:sz w:val="18"/>
                <w:szCs w:val="18"/>
                <w14:ligatures w14:val="standardContextual"/>
              </w:rPr>
              <w:t>Net increase in cash and cash equivalents</w:t>
            </w:r>
          </w:p>
        </w:tc>
        <w:tc>
          <w:tcPr>
            <w:tcW w:w="567" w:type="dxa"/>
            <w:tcBorders>
              <w:top w:val="nil"/>
              <w:left w:val="nil"/>
              <w:bottom w:val="nil"/>
              <w:right w:val="nil"/>
            </w:tcBorders>
            <w:vAlign w:val="center"/>
          </w:tcPr>
          <w:p w14:paraId="4EFA923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7DC8C3D0"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1A0CEF5C"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nil"/>
              <w:left w:val="nil"/>
              <w:bottom w:val="nil"/>
              <w:right w:val="nil"/>
            </w:tcBorders>
            <w:vAlign w:val="center"/>
          </w:tcPr>
          <w:p w14:paraId="7D476C5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8.3</w:t>
            </w:r>
          </w:p>
        </w:tc>
        <w:tc>
          <w:tcPr>
            <w:tcW w:w="1276" w:type="dxa"/>
            <w:tcBorders>
              <w:top w:val="nil"/>
              <w:left w:val="nil"/>
              <w:bottom w:val="nil"/>
              <w:right w:val="nil"/>
            </w:tcBorders>
            <w:vAlign w:val="center"/>
          </w:tcPr>
          <w:p w14:paraId="38154B1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3.6</w:t>
            </w:r>
          </w:p>
        </w:tc>
      </w:tr>
      <w:tr w:rsidR="00756913" w:rsidRPr="00756913" w14:paraId="1325C67C" w14:textId="77777777">
        <w:tblPrEx>
          <w:tblCellMar>
            <w:top w:w="0" w:type="dxa"/>
            <w:bottom w:w="0" w:type="dxa"/>
          </w:tblCellMar>
        </w:tblPrEx>
        <w:tc>
          <w:tcPr>
            <w:tcW w:w="4812" w:type="dxa"/>
            <w:tcBorders>
              <w:top w:val="nil"/>
              <w:left w:val="nil"/>
              <w:bottom w:val="nil"/>
              <w:right w:val="nil"/>
            </w:tcBorders>
            <w:vAlign w:val="center"/>
          </w:tcPr>
          <w:p w14:paraId="06DC47E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Cash and cash equivalents at 1 January</w:t>
            </w:r>
          </w:p>
        </w:tc>
        <w:tc>
          <w:tcPr>
            <w:tcW w:w="567" w:type="dxa"/>
            <w:tcBorders>
              <w:top w:val="nil"/>
              <w:left w:val="nil"/>
              <w:bottom w:val="nil"/>
              <w:right w:val="nil"/>
            </w:tcBorders>
            <w:vAlign w:val="center"/>
          </w:tcPr>
          <w:p w14:paraId="4BBE977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69C5C5C9"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i/>
                <w:iCs/>
                <w:color w:val="FF0000"/>
                <w:sz w:val="18"/>
                <w:szCs w:val="18"/>
                <w14:ligatures w14:val="standardContextual"/>
              </w:rPr>
            </w:pPr>
          </w:p>
        </w:tc>
        <w:tc>
          <w:tcPr>
            <w:tcW w:w="283" w:type="dxa"/>
            <w:gridSpan w:val="2"/>
            <w:tcBorders>
              <w:top w:val="nil"/>
              <w:left w:val="nil"/>
              <w:bottom w:val="nil"/>
              <w:right w:val="nil"/>
            </w:tcBorders>
            <w:vAlign w:val="bottom"/>
          </w:tcPr>
          <w:p w14:paraId="63419F23"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i/>
                <w:iCs/>
                <w:color w:val="FF0000"/>
                <w:sz w:val="18"/>
                <w:szCs w:val="18"/>
                <w14:ligatures w14:val="standardContextual"/>
              </w:rPr>
            </w:pPr>
          </w:p>
        </w:tc>
        <w:tc>
          <w:tcPr>
            <w:tcW w:w="1154" w:type="dxa"/>
            <w:tcBorders>
              <w:top w:val="nil"/>
              <w:left w:val="nil"/>
              <w:bottom w:val="single" w:sz="4" w:space="0" w:color="auto"/>
              <w:right w:val="nil"/>
            </w:tcBorders>
            <w:vAlign w:val="center"/>
          </w:tcPr>
          <w:p w14:paraId="6782E9D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16.6</w:t>
            </w:r>
          </w:p>
        </w:tc>
        <w:tc>
          <w:tcPr>
            <w:tcW w:w="1276" w:type="dxa"/>
            <w:tcBorders>
              <w:top w:val="nil"/>
              <w:left w:val="nil"/>
              <w:bottom w:val="single" w:sz="4" w:space="0" w:color="auto"/>
              <w:right w:val="nil"/>
            </w:tcBorders>
            <w:vAlign w:val="center"/>
          </w:tcPr>
          <w:p w14:paraId="2452AF8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16.6</w:t>
            </w:r>
          </w:p>
        </w:tc>
      </w:tr>
      <w:tr w:rsidR="00756913" w:rsidRPr="00756913" w14:paraId="63F767D0" w14:textId="77777777">
        <w:tblPrEx>
          <w:tblCellMar>
            <w:top w:w="0" w:type="dxa"/>
            <w:bottom w:w="0" w:type="dxa"/>
          </w:tblCellMar>
        </w:tblPrEx>
        <w:trPr>
          <w:trHeight w:val="283"/>
        </w:trPr>
        <w:tc>
          <w:tcPr>
            <w:tcW w:w="4812" w:type="dxa"/>
            <w:tcBorders>
              <w:top w:val="nil"/>
              <w:left w:val="nil"/>
              <w:bottom w:val="nil"/>
              <w:right w:val="nil"/>
            </w:tcBorders>
            <w:vAlign w:val="center"/>
          </w:tcPr>
          <w:p w14:paraId="2B3C4C1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Cash and cash equivalents at 30 June</w:t>
            </w:r>
          </w:p>
        </w:tc>
        <w:tc>
          <w:tcPr>
            <w:tcW w:w="567" w:type="dxa"/>
            <w:tcBorders>
              <w:top w:val="nil"/>
              <w:left w:val="nil"/>
              <w:bottom w:val="nil"/>
              <w:right w:val="nil"/>
            </w:tcBorders>
            <w:vAlign w:val="center"/>
          </w:tcPr>
          <w:p w14:paraId="43405F1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ind w:right="142"/>
              <w:jc w:val="center"/>
              <w:rPr>
                <w:rFonts w:ascii="Arial" w:hAnsi="Arial" w:cs="Arial"/>
                <w:i/>
                <w:iCs/>
                <w:color w:val="FF0000"/>
                <w:sz w:val="18"/>
                <w:szCs w:val="18"/>
                <w14:ligatures w14:val="standardContextual"/>
              </w:rPr>
            </w:pPr>
          </w:p>
        </w:tc>
        <w:tc>
          <w:tcPr>
            <w:tcW w:w="992" w:type="dxa"/>
            <w:tcBorders>
              <w:top w:val="nil"/>
              <w:left w:val="nil"/>
              <w:bottom w:val="nil"/>
              <w:right w:val="nil"/>
            </w:tcBorders>
            <w:vAlign w:val="center"/>
          </w:tcPr>
          <w:p w14:paraId="178D6A99"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center"/>
              <w:rPr>
                <w:rFonts w:ascii="Arial" w:hAnsi="Arial" w:cs="Arial"/>
                <w:b/>
                <w:bCs/>
                <w:i/>
                <w:iCs/>
                <w:color w:val="FF0000"/>
                <w:sz w:val="18"/>
                <w:szCs w:val="18"/>
                <w14:ligatures w14:val="standardContextual"/>
              </w:rPr>
            </w:pPr>
          </w:p>
        </w:tc>
        <w:tc>
          <w:tcPr>
            <w:tcW w:w="283" w:type="dxa"/>
            <w:gridSpan w:val="2"/>
            <w:tcBorders>
              <w:top w:val="nil"/>
              <w:left w:val="nil"/>
              <w:bottom w:val="nil"/>
              <w:right w:val="nil"/>
            </w:tcBorders>
            <w:vAlign w:val="bottom"/>
          </w:tcPr>
          <w:p w14:paraId="273F369E" w14:textId="77777777" w:rsidR="00756913" w:rsidRPr="00756913" w:rsidRDefault="00756913" w:rsidP="00756913">
            <w:pPr>
              <w:tabs>
                <w:tab w:val="left" w:pos="709"/>
                <w:tab w:val="decimal" w:pos="1015"/>
                <w:tab w:val="left" w:pos="1559"/>
                <w:tab w:val="left" w:pos="2268"/>
                <w:tab w:val="left" w:pos="2977"/>
                <w:tab w:val="left" w:pos="3686"/>
                <w:tab w:val="left" w:pos="4394"/>
                <w:tab w:val="right" w:pos="8789"/>
              </w:tabs>
              <w:autoSpaceDE w:val="0"/>
              <w:autoSpaceDN w:val="0"/>
              <w:adjustRightInd w:val="0"/>
              <w:spacing w:after="0" w:line="260" w:lineRule="atLeast"/>
              <w:jc w:val="right"/>
              <w:rPr>
                <w:rFonts w:ascii="Arial" w:hAnsi="Arial" w:cs="Arial"/>
                <w:b/>
                <w:bCs/>
                <w:i/>
                <w:iCs/>
                <w:color w:val="FF0000"/>
                <w:sz w:val="18"/>
                <w:szCs w:val="18"/>
                <w14:ligatures w14:val="standardContextual"/>
              </w:rPr>
            </w:pPr>
          </w:p>
        </w:tc>
        <w:tc>
          <w:tcPr>
            <w:tcW w:w="1154" w:type="dxa"/>
            <w:tcBorders>
              <w:top w:val="single" w:sz="4" w:space="0" w:color="auto"/>
              <w:left w:val="nil"/>
              <w:bottom w:val="single" w:sz="4" w:space="0" w:color="auto"/>
              <w:right w:val="nil"/>
            </w:tcBorders>
            <w:vAlign w:val="center"/>
          </w:tcPr>
          <w:p w14:paraId="3F1F065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24.9</w:t>
            </w:r>
          </w:p>
        </w:tc>
        <w:tc>
          <w:tcPr>
            <w:tcW w:w="1276" w:type="dxa"/>
            <w:tcBorders>
              <w:top w:val="single" w:sz="4" w:space="0" w:color="auto"/>
              <w:left w:val="nil"/>
              <w:bottom w:val="single" w:sz="4" w:space="0" w:color="auto"/>
              <w:right w:val="nil"/>
            </w:tcBorders>
            <w:vAlign w:val="center"/>
          </w:tcPr>
          <w:p w14:paraId="24441C1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20.2</w:t>
            </w:r>
          </w:p>
        </w:tc>
      </w:tr>
    </w:tbl>
    <w:p w14:paraId="25568A41" w14:textId="77777777" w:rsidR="00756913" w:rsidRPr="00756913" w:rsidRDefault="00756913" w:rsidP="00756913">
      <w:pPr>
        <w:widowControl w:val="0"/>
        <w:suppressAutoHyphens/>
        <w:autoSpaceDE w:val="0"/>
        <w:autoSpaceDN w:val="0"/>
        <w:adjustRightInd w:val="0"/>
        <w:spacing w:after="0" w:line="240" w:lineRule="auto"/>
        <w:rPr>
          <w:rFonts w:ascii="Arial" w:hAnsi="Arial" w:cs="Arial"/>
          <w:i/>
          <w:iCs/>
          <w:color w:val="FF0000"/>
          <w:sz w:val="20"/>
          <w:szCs w:val="20"/>
          <w14:ligatures w14:val="standardContextual"/>
        </w:rPr>
      </w:pPr>
    </w:p>
    <w:p w14:paraId="0402A47A" w14:textId="77777777" w:rsidR="00756913" w:rsidRPr="00756913" w:rsidRDefault="00756913" w:rsidP="00756913">
      <w:pPr>
        <w:pageBreakBefore/>
        <w:autoSpaceDE w:val="0"/>
        <w:autoSpaceDN w:val="0"/>
        <w:adjustRightInd w:val="0"/>
        <w:spacing w:after="0" w:line="240" w:lineRule="auto"/>
        <w:jc w:val="both"/>
        <w:rPr>
          <w:rFonts w:ascii="Arial" w:hAnsi="Arial" w:cs="Arial"/>
          <w:b/>
          <w:bCs/>
          <w:sz w:val="26"/>
          <w:szCs w:val="26"/>
          <w14:ligatures w14:val="standardContextual"/>
        </w:rPr>
      </w:pPr>
      <w:r w:rsidRPr="00756913">
        <w:rPr>
          <w:rFonts w:ascii="Arial" w:hAnsi="Arial" w:cs="Arial"/>
          <w:b/>
          <w:bCs/>
          <w:sz w:val="26"/>
          <w:szCs w:val="26"/>
          <w14:ligatures w14:val="standardContextual"/>
        </w:rPr>
        <w:t>Notes</w:t>
      </w:r>
    </w:p>
    <w:p w14:paraId="746C8D05" w14:textId="77777777" w:rsidR="00756913" w:rsidRPr="00756913" w:rsidRDefault="00756913" w:rsidP="00756913">
      <w:pPr>
        <w:widowControl w:val="0"/>
        <w:suppressAutoHyphens/>
        <w:autoSpaceDE w:val="0"/>
        <w:autoSpaceDN w:val="0"/>
        <w:adjustRightInd w:val="0"/>
        <w:spacing w:after="0" w:line="240" w:lineRule="auto"/>
        <w:rPr>
          <w:rFonts w:ascii="Arial" w:hAnsi="Arial" w:cs="Arial"/>
          <w:sz w:val="20"/>
          <w:szCs w:val="20"/>
          <w14:ligatures w14:val="standardContextual"/>
        </w:rPr>
      </w:pPr>
    </w:p>
    <w:p w14:paraId="036AFB92" w14:textId="77777777" w:rsidR="00756913" w:rsidRPr="00756913" w:rsidRDefault="00756913" w:rsidP="00756913">
      <w:pPr>
        <w:numPr>
          <w:ilvl w:val="0"/>
          <w:numId w:val="22"/>
        </w:numPr>
        <w:tabs>
          <w:tab w:val="left" w:pos="1559"/>
          <w:tab w:val="left" w:pos="2268"/>
          <w:tab w:val="left" w:pos="2977"/>
          <w:tab w:val="left" w:pos="3686"/>
          <w:tab w:val="left" w:pos="4394"/>
          <w:tab w:val="right" w:pos="8789"/>
        </w:tabs>
        <w:autoSpaceDE w:val="0"/>
        <w:autoSpaceDN w:val="0"/>
        <w:adjustRightInd w:val="0"/>
        <w:spacing w:after="130" w:line="260" w:lineRule="exact"/>
        <w:ind w:left="360" w:hanging="360"/>
        <w:jc w:val="both"/>
        <w:rPr>
          <w:rFonts w:ascii="Arial" w:hAnsi="Arial" w:cs="Arial"/>
          <w:b/>
          <w:bCs/>
          <w14:ligatures w14:val="standardContextual"/>
        </w:rPr>
      </w:pPr>
      <w:r w:rsidRPr="00756913">
        <w:rPr>
          <w:rFonts w:ascii="Arial" w:hAnsi="Arial" w:cs="Arial"/>
          <w:b/>
          <w:bCs/>
          <w:sz w:val="20"/>
          <w:szCs w:val="20"/>
          <w14:ligatures w14:val="standardContextual"/>
        </w:rPr>
        <w:t>Basis of preparation</w:t>
      </w:r>
    </w:p>
    <w:p w14:paraId="3A41C22B" w14:textId="77777777" w:rsidR="00756913" w:rsidRPr="00756913" w:rsidRDefault="00756913" w:rsidP="00756913">
      <w:pPr>
        <w:suppressAutoHyphens/>
        <w:autoSpaceDE w:val="0"/>
        <w:autoSpaceDN w:val="0"/>
        <w:adjustRightInd w:val="0"/>
        <w:spacing w:before="13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MONY Group PLC (the Company) changed its name from Moneysupermarket.com Group PLC on 20 May 2024. The Company is a public limited company registered and domiciled in England and Wales and listed on the London Stock Exchange.</w:t>
      </w:r>
    </w:p>
    <w:p w14:paraId="07C2B2F5" w14:textId="77777777" w:rsidR="00756913" w:rsidRPr="00756913" w:rsidRDefault="00756913" w:rsidP="00756913">
      <w:pPr>
        <w:suppressAutoHyphens/>
        <w:autoSpaceDE w:val="0"/>
        <w:autoSpaceDN w:val="0"/>
        <w:adjustRightInd w:val="0"/>
        <w:spacing w:before="13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The financial statements are prepared on the historical cost basis. Comparative figures presented in the financial statements represent the six months ended 30 June 2023. </w:t>
      </w:r>
    </w:p>
    <w:p w14:paraId="5358117B" w14:textId="77777777" w:rsidR="00756913" w:rsidRPr="00756913" w:rsidRDefault="00756913" w:rsidP="00756913">
      <w:pPr>
        <w:suppressAutoHyphens/>
        <w:autoSpaceDE w:val="0"/>
        <w:autoSpaceDN w:val="0"/>
        <w:adjustRightInd w:val="0"/>
        <w:spacing w:before="13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The financial statements have been prepared on the same basis as those for the year ended 31 December 2023.</w:t>
      </w:r>
    </w:p>
    <w:p w14:paraId="74A38987" w14:textId="77777777" w:rsidR="00756913" w:rsidRPr="00756913" w:rsidRDefault="00756913" w:rsidP="00756913">
      <w:pPr>
        <w:suppressAutoHyphens/>
        <w:autoSpaceDE w:val="0"/>
        <w:autoSpaceDN w:val="0"/>
        <w:adjustRightInd w:val="0"/>
        <w:spacing w:before="130"/>
        <w:rPr>
          <w:rFonts w:ascii="Arial" w:hAnsi="Arial" w:cs="Arial"/>
          <w:b/>
          <w:bCs/>
          <w:sz w:val="20"/>
          <w:szCs w:val="20"/>
          <w14:ligatures w14:val="standardContextual"/>
        </w:rPr>
      </w:pPr>
      <w:r w:rsidRPr="00756913">
        <w:rPr>
          <w:rFonts w:ascii="Arial" w:hAnsi="Arial" w:cs="Arial"/>
          <w:b/>
          <w:bCs/>
          <w:sz w:val="20"/>
          <w:szCs w:val="20"/>
          <w14:ligatures w14:val="standardContextual"/>
        </w:rPr>
        <w:t>Statement of compliance</w:t>
      </w:r>
    </w:p>
    <w:p w14:paraId="40DFE4D2" w14:textId="77777777" w:rsidR="00756913" w:rsidRPr="00756913" w:rsidRDefault="00756913" w:rsidP="00756913">
      <w:pPr>
        <w:keepNext/>
        <w:keepLines/>
        <w:autoSpaceDE w:val="0"/>
        <w:autoSpaceDN w:val="0"/>
        <w:adjustRightInd w:val="0"/>
        <w:spacing w:before="130" w:line="240" w:lineRule="auto"/>
        <w:jc w:val="both"/>
        <w:outlineLvl w:val="6"/>
        <w:rPr>
          <w:rFonts w:ascii="Arial" w:hAnsi="Arial" w:cs="Arial"/>
          <w:sz w:val="20"/>
          <w:szCs w:val="20"/>
          <w14:ligatures w14:val="standardContextual"/>
        </w:rPr>
      </w:pPr>
      <w:r w:rsidRPr="00756913">
        <w:rPr>
          <w:rFonts w:ascii="Arial" w:hAnsi="Arial" w:cs="Arial"/>
          <w:sz w:val="20"/>
          <w:szCs w:val="20"/>
          <w14:ligatures w14:val="standardContextual"/>
        </w:rPr>
        <w:t xml:space="preserve">This condensed set of financial statements has been prepared in accordance with IAS 34 - Interim Financial Reporting as adopted for use in the UK.  </w:t>
      </w:r>
    </w:p>
    <w:p w14:paraId="685A31F7" w14:textId="77777777" w:rsidR="00756913" w:rsidRPr="00756913" w:rsidRDefault="00756913" w:rsidP="00756913">
      <w:pPr>
        <w:keepNext/>
        <w:keepLines/>
        <w:autoSpaceDE w:val="0"/>
        <w:autoSpaceDN w:val="0"/>
        <w:adjustRightInd w:val="0"/>
        <w:spacing w:before="130" w:line="240" w:lineRule="auto"/>
        <w:jc w:val="both"/>
        <w:outlineLvl w:val="6"/>
        <w:rPr>
          <w:rFonts w:ascii="Arial" w:hAnsi="Arial" w:cs="Arial"/>
          <w:sz w:val="20"/>
          <w:szCs w:val="20"/>
          <w14:ligatures w14:val="standardContextual"/>
        </w:rPr>
      </w:pPr>
      <w:r w:rsidRPr="00756913">
        <w:rPr>
          <w:rFonts w:ascii="Arial" w:hAnsi="Arial" w:cs="Arial"/>
          <w:sz w:val="20"/>
          <w:szCs w:val="20"/>
          <w14:ligatures w14:val="standardContextual"/>
        </w:rPr>
        <w:t xml:space="preserve">The annual financial statements of the Group are prepared in accordance with UK-adopted international accounting standards.  As required by the Disclosure Guidance and Transparency Rules of the Financial Conduct Authority, the condensed set of financial statements has been prepared applying the accounting policies and presentation that were applied in the preparation of the Company’s published consolidated financial statements for the year ended 31 December 2023.  </w:t>
      </w:r>
    </w:p>
    <w:p w14:paraId="673BBD39" w14:textId="77777777" w:rsidR="00756913" w:rsidRPr="00756913" w:rsidRDefault="00756913" w:rsidP="00756913">
      <w:pPr>
        <w:suppressAutoHyphens/>
        <w:autoSpaceDE w:val="0"/>
        <w:autoSpaceDN w:val="0"/>
        <w:adjustRightInd w:val="0"/>
        <w:spacing w:before="130"/>
        <w:jc w:val="both"/>
        <w:rPr>
          <w:rFonts w:ascii="Arial" w:hAnsi="Arial" w:cs="Arial"/>
          <w:sz w:val="20"/>
          <w:szCs w:val="20"/>
          <w14:ligatures w14:val="standardContextual"/>
        </w:rPr>
      </w:pPr>
      <w:r w:rsidRPr="00756913">
        <w:rPr>
          <w:rFonts w:ascii="Arial" w:hAnsi="Arial" w:cs="Arial"/>
          <w:sz w:val="20"/>
          <w:szCs w:val="20"/>
          <w14:ligatures w14:val="standardContextual"/>
        </w:rPr>
        <w:t>These condensed consolidated interim financial statements were approved by the board of directors on 19 July 2024.</w:t>
      </w:r>
    </w:p>
    <w:p w14:paraId="79D73481"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 xml:space="preserve">Going concern </w:t>
      </w:r>
    </w:p>
    <w:p w14:paraId="50064248" w14:textId="77777777" w:rsidR="00756913" w:rsidRPr="00756913" w:rsidRDefault="00756913" w:rsidP="00756913">
      <w:pPr>
        <w:tabs>
          <w:tab w:val="left" w:pos="340"/>
        </w:tabs>
        <w:suppressAutoHyphens/>
        <w:autoSpaceDE w:val="0"/>
        <w:autoSpaceDN w:val="0"/>
        <w:adjustRightInd w:val="0"/>
        <w:spacing w:after="120" w:line="200" w:lineRule="atLeast"/>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The Directors have prepared the condensed set of consolidated interim financial statements on a going concern basis for the following reasons. </w:t>
      </w:r>
    </w:p>
    <w:p w14:paraId="1B29A318" w14:textId="77777777" w:rsidR="00756913" w:rsidRPr="00756913" w:rsidRDefault="00756913" w:rsidP="00756913">
      <w:pPr>
        <w:tabs>
          <w:tab w:val="left" w:pos="340"/>
        </w:tabs>
        <w:suppressAutoHyphens/>
        <w:autoSpaceDE w:val="0"/>
        <w:autoSpaceDN w:val="0"/>
        <w:adjustRightInd w:val="0"/>
        <w:spacing w:after="120" w:line="200" w:lineRule="atLeast"/>
        <w:jc w:val="both"/>
        <w:rPr>
          <w:rFonts w:ascii="Arial" w:hAnsi="Arial" w:cs="Arial"/>
          <w:sz w:val="20"/>
          <w:szCs w:val="20"/>
          <w14:ligatures w14:val="standardContextual"/>
        </w:rPr>
      </w:pPr>
      <w:r w:rsidRPr="00756913">
        <w:rPr>
          <w:rFonts w:ascii="Arial" w:hAnsi="Arial" w:cs="Arial"/>
          <w:sz w:val="20"/>
          <w:szCs w:val="20"/>
          <w14:ligatures w14:val="standardContextual"/>
        </w:rPr>
        <w:t>As at 30 June 2024, the Group’s external debt comprised an amortising loan (with a balance outstanding of £15m, repayable by October 2024) and a revolving credit facility (‘RCF’), (of which £33m of the £125m available was drawn down), which is due for renewal in June 2027.</w:t>
      </w:r>
    </w:p>
    <w:p w14:paraId="27628884" w14:textId="77777777" w:rsidR="00756913" w:rsidRPr="00756913" w:rsidRDefault="00756913" w:rsidP="00756913">
      <w:pPr>
        <w:tabs>
          <w:tab w:val="left" w:pos="340"/>
        </w:tabs>
        <w:suppressAutoHyphens/>
        <w:autoSpaceDE w:val="0"/>
        <w:autoSpaceDN w:val="0"/>
        <w:adjustRightInd w:val="0"/>
        <w:spacing w:after="120" w:line="200" w:lineRule="atLeast"/>
        <w:jc w:val="both"/>
        <w:rPr>
          <w:rFonts w:ascii="Arial" w:hAnsi="Arial" w:cs="Arial"/>
          <w:sz w:val="20"/>
          <w:szCs w:val="20"/>
          <w14:ligatures w14:val="standardContextual"/>
        </w:rPr>
      </w:pPr>
      <w:r w:rsidRPr="00756913">
        <w:rPr>
          <w:rFonts w:ascii="Arial" w:hAnsi="Arial" w:cs="Arial"/>
          <w:sz w:val="20"/>
          <w:szCs w:val="20"/>
          <w14:ligatures w14:val="standardContextual"/>
        </w:rPr>
        <w:t>Since 30 June 2024, no further amounts have been drawn down on the RCF and repayments of £9m have been made. The Group remains profitable, cash generative and compliant with the covenants of the bank loan and RCF.</w:t>
      </w:r>
    </w:p>
    <w:p w14:paraId="0A1BFDA8" w14:textId="77777777" w:rsidR="00756913" w:rsidRPr="00756913" w:rsidRDefault="00756913" w:rsidP="00756913">
      <w:pPr>
        <w:tabs>
          <w:tab w:val="left" w:pos="340"/>
        </w:tabs>
        <w:suppressAutoHyphens/>
        <w:autoSpaceDE w:val="0"/>
        <w:autoSpaceDN w:val="0"/>
        <w:adjustRightInd w:val="0"/>
        <w:spacing w:after="120" w:line="200" w:lineRule="atLeast"/>
        <w:jc w:val="both"/>
        <w:rPr>
          <w:rFonts w:ascii="Arial" w:hAnsi="Arial" w:cs="Arial"/>
          <w:sz w:val="20"/>
          <w:szCs w:val="20"/>
          <w14:ligatures w14:val="standardContextual"/>
        </w:rPr>
      </w:pPr>
      <w:r w:rsidRPr="00756913">
        <w:rPr>
          <w:rFonts w:ascii="Arial" w:hAnsi="Arial" w:cs="Arial"/>
          <w:sz w:val="20"/>
          <w:szCs w:val="20"/>
          <w14:ligatures w14:val="standardContextual"/>
        </w:rPr>
        <w:t>The Directors have prepared cash flow forecasts for the Group, including its cash position, for a period of at least 12 months from the date of approval of the condensed set of consolidated interim financial statements. The Directors note the Group’s net current liability position and have also considered the effect of potential cost-of-living trading headwinds and recession and competition such as new entrants upon the Group’s business, financial position, and liquidity in severe, but plausible, downside scenarios. The scenarios modelled take into account the potential downside trading impacts from recession, sustained cost-of-living increases, competitive pressures and any one-off cash impacts on top of a base scenario derived from the Group’s latest forecasts. The severe, but plausible, downside scenarios modelled, under a detailed exercise at a channel level, included minimal recovery of energy over the period of the cash flow forecasts and in the most severe scenarios reflected some of the possible cost mitigations that could be taken. The impact these scenarios have on the financial resources, including the extent of utilisation of the available debt arrangements and impact on covenant calculations has been modelled. The possible mitigating circumstances and actions in the event of such scenarios occurring that were considered by the Directors included cost mitigations such as a reduction in the ordinary dividend payment, a reduction in operating expenses or the slowdown of capital expenditure. A reverse stress test has also been performed, which assumes the maximum available drawdown of borrowings, whilst maintaining covenant compliance.</w:t>
      </w:r>
    </w:p>
    <w:p w14:paraId="6EDED75E" w14:textId="77777777" w:rsidR="00756913" w:rsidRPr="00756913" w:rsidRDefault="00756913" w:rsidP="00756913">
      <w:pPr>
        <w:tabs>
          <w:tab w:val="left" w:pos="340"/>
        </w:tabs>
        <w:suppressAutoHyphens/>
        <w:autoSpaceDE w:val="0"/>
        <w:autoSpaceDN w:val="0"/>
        <w:adjustRightInd w:val="0"/>
        <w:spacing w:after="120" w:line="200" w:lineRule="atLeast"/>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The scenarios modelled and the reverse stress test showed that the Group and the Parent Company will be able to operate at adequate levels of liquidity for at least the next 12 months from the date of signing the condensed set of consolidated interim financial statements. The Directors, therefore, consider that the Group and Parent Company have adequate resources to continue in operational existence for at least 12 months from the date of approval of the condensed set of consolidated interim financial statements and have prepared them on a going concern basis. </w:t>
      </w:r>
    </w:p>
    <w:p w14:paraId="75F919F8"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hanging="360"/>
        <w:jc w:val="both"/>
        <w:rPr>
          <w:rFonts w:ascii="Arial" w:hAnsi="Arial" w:cs="Arial"/>
          <w:b/>
          <w:bCs/>
          <w:sz w:val="20"/>
          <w:szCs w:val="20"/>
          <w14:ligatures w14:val="standardContextual"/>
        </w:rPr>
      </w:pPr>
      <w:r w:rsidRPr="00756913">
        <w:rPr>
          <w:rFonts w:ascii="Arial" w:hAnsi="Arial" w:cs="Arial"/>
          <w:sz w:val="20"/>
          <w:szCs w:val="20"/>
          <w14:ligatures w14:val="standardContextual"/>
        </w:rPr>
        <w:t>2.</w:t>
      </w:r>
      <w:r w:rsidRPr="00756913">
        <w:rPr>
          <w:rFonts w:ascii="Arial" w:hAnsi="Arial" w:cs="Arial"/>
          <w:sz w:val="20"/>
          <w:szCs w:val="20"/>
          <w14:ligatures w14:val="standardContextual"/>
        </w:rPr>
        <w:tab/>
      </w:r>
      <w:r w:rsidRPr="00756913">
        <w:rPr>
          <w:rFonts w:ascii="Arial" w:hAnsi="Arial" w:cs="Arial"/>
          <w:b/>
          <w:bCs/>
          <w:sz w:val="20"/>
          <w:szCs w:val="20"/>
          <w14:ligatures w14:val="standardContextual"/>
        </w:rPr>
        <w:t>Segmental information</w:t>
      </w:r>
    </w:p>
    <w:p w14:paraId="706643CA" w14:textId="77777777" w:rsidR="00756913" w:rsidRPr="00756913" w:rsidRDefault="00756913" w:rsidP="00756913">
      <w:pPr>
        <w:autoSpaceDE w:val="0"/>
        <w:autoSpaceDN w:val="0"/>
        <w:adjustRightInd w:val="0"/>
        <w:spacing w:line="240" w:lineRule="auto"/>
        <w:jc w:val="both"/>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 xml:space="preserve">Below we report a measure of profitability at segment level that reflects the way performance is assessed internally. Inter-vertical revenue and inter-vertical cost of sales are presented within the verticals in order to give a more accurate view of performance and are deducted in a separate “inter-vertical eliminations” column to arrive at the consolidated total values. The Group has a number of teams, capabilities and infrastructure which are used to support all verticals e.g. data platform and brand marketing. These are shared costs of the Group rather than “central costs”. We have concluded there is no direct or accurate basis for allocating these costs to the operating segments and therefore they are disclosed separately, which is how they are presented to the Chief Operating Decision Maker. </w:t>
      </w:r>
    </w:p>
    <w:p w14:paraId="1E439099" w14:textId="77777777" w:rsidR="00756913" w:rsidRPr="00756913" w:rsidRDefault="00756913" w:rsidP="00756913">
      <w:pPr>
        <w:autoSpaceDE w:val="0"/>
        <w:autoSpaceDN w:val="0"/>
        <w:adjustRightInd w:val="0"/>
        <w:spacing w:line="240" w:lineRule="auto"/>
        <w:jc w:val="both"/>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 xml:space="preserve">The Group’s reportable segments are Insurance, Money, Home Services, Travel and Cashback. These segments represent individual trading verticals which are reported separately for revenue and directly attributable expenses. Net finance expense, tax and net assets are only reviewed by the Chief Operating Decision Maker at a consolidated level and therefore have not been allocated between segments. All assets held by the Group are located in the UK. </w:t>
      </w:r>
    </w:p>
    <w:p w14:paraId="210F0CEF" w14:textId="77777777" w:rsidR="00756913" w:rsidRPr="00756913" w:rsidRDefault="00756913" w:rsidP="00756913">
      <w:pPr>
        <w:autoSpaceDE w:val="0"/>
        <w:autoSpaceDN w:val="0"/>
        <w:adjustRightInd w:val="0"/>
        <w:jc w:val="both"/>
        <w:rPr>
          <w:rFonts w:ascii="Aptos" w:hAnsi="Aptos" w:cs="Aptos"/>
          <w14:ligatures w14:val="standardContextual"/>
        </w:rPr>
      </w:pPr>
      <w:r w:rsidRPr="00756913">
        <w:rPr>
          <w:rFonts w:ascii="Arial" w:hAnsi="Arial" w:cs="Arial"/>
          <w:color w:val="000000"/>
          <w:sz w:val="20"/>
          <w:szCs w:val="20"/>
          <w14:ligatures w14:val="standardContextual"/>
        </w:rPr>
        <w:t xml:space="preserve">The following summary describes the products and services in each segment. </w:t>
      </w:r>
    </w:p>
    <w:tbl>
      <w:tblPr>
        <w:tblW w:w="0" w:type="auto"/>
        <w:tblLayout w:type="fixed"/>
        <w:tblCellMar>
          <w:left w:w="10" w:type="dxa"/>
          <w:right w:w="10" w:type="dxa"/>
        </w:tblCellMar>
        <w:tblLook w:val="0000" w:firstRow="0" w:lastRow="0" w:firstColumn="0" w:lastColumn="0" w:noHBand="0" w:noVBand="0"/>
      </w:tblPr>
      <w:tblGrid>
        <w:gridCol w:w="1886"/>
        <w:gridCol w:w="100"/>
        <w:gridCol w:w="7612"/>
      </w:tblGrid>
      <w:tr w:rsidR="00756913" w:rsidRPr="00756913" w14:paraId="539D1A36" w14:textId="77777777">
        <w:tblPrEx>
          <w:tblCellMar>
            <w:top w:w="0" w:type="dxa"/>
            <w:bottom w:w="0" w:type="dxa"/>
          </w:tblCellMar>
        </w:tblPrEx>
        <w:trPr>
          <w:trHeight w:val="233"/>
        </w:trPr>
        <w:tc>
          <w:tcPr>
            <w:tcW w:w="1886" w:type="dxa"/>
            <w:tcBorders>
              <w:top w:val="nil"/>
              <w:left w:val="nil"/>
              <w:bottom w:val="single" w:sz="4" w:space="0" w:color="000000"/>
              <w:right w:val="nil"/>
            </w:tcBorders>
          </w:tcPr>
          <w:p w14:paraId="596FEE03" w14:textId="77777777" w:rsidR="00756913" w:rsidRPr="00756913" w:rsidRDefault="00756913" w:rsidP="00756913">
            <w:pPr>
              <w:keepNext/>
              <w:keepLines/>
              <w:widowControl w:val="0"/>
              <w:suppressAutoHyphens/>
              <w:autoSpaceDE w:val="0"/>
              <w:autoSpaceDN w:val="0"/>
              <w:adjustRightInd w:val="0"/>
              <w:spacing w:after="0" w:line="240" w:lineRule="auto"/>
              <w:rPr>
                <w:rFonts w:ascii="Arial" w:hAnsi="Arial" w:cs="Arial"/>
                <w:b/>
                <w:bCs/>
                <w:sz w:val="20"/>
                <w:szCs w:val="20"/>
                <w14:ligatures w14:val="standardContextual"/>
              </w:rPr>
            </w:pPr>
            <w:r w:rsidRPr="00756913">
              <w:rPr>
                <w:rFonts w:ascii="Arial" w:hAnsi="Arial" w:cs="Arial"/>
                <w:b/>
                <w:bCs/>
                <w:sz w:val="20"/>
                <w:szCs w:val="20"/>
                <w14:ligatures w14:val="standardContextual"/>
              </w:rPr>
              <w:t>Segment</w:t>
            </w:r>
          </w:p>
        </w:tc>
        <w:tc>
          <w:tcPr>
            <w:tcW w:w="100" w:type="dxa"/>
            <w:tcBorders>
              <w:top w:val="nil"/>
              <w:left w:val="nil"/>
              <w:bottom w:val="single" w:sz="4" w:space="0" w:color="000000"/>
              <w:right w:val="nil"/>
            </w:tcBorders>
          </w:tcPr>
          <w:p w14:paraId="360AC3FB" w14:textId="77777777" w:rsidR="00756913" w:rsidRPr="00756913" w:rsidRDefault="00756913" w:rsidP="00756913">
            <w:pPr>
              <w:keepNext/>
              <w:keepLines/>
              <w:widowControl w:val="0"/>
              <w:suppressAutoHyphens/>
              <w:autoSpaceDE w:val="0"/>
              <w:autoSpaceDN w:val="0"/>
              <w:adjustRightInd w:val="0"/>
              <w:spacing w:after="0" w:line="240" w:lineRule="auto"/>
              <w:rPr>
                <w:rFonts w:ascii="Arial" w:hAnsi="Arial" w:cs="Arial"/>
                <w:b/>
                <w:bCs/>
                <w:sz w:val="20"/>
                <w:szCs w:val="20"/>
                <w14:ligatures w14:val="standardContextual"/>
              </w:rPr>
            </w:pPr>
          </w:p>
        </w:tc>
        <w:tc>
          <w:tcPr>
            <w:tcW w:w="7612" w:type="dxa"/>
            <w:tcBorders>
              <w:top w:val="nil"/>
              <w:left w:val="nil"/>
              <w:bottom w:val="single" w:sz="4" w:space="0" w:color="000000"/>
              <w:right w:val="nil"/>
            </w:tcBorders>
          </w:tcPr>
          <w:p w14:paraId="560D3452" w14:textId="77777777" w:rsidR="00756913" w:rsidRPr="00756913" w:rsidRDefault="00756913" w:rsidP="00756913">
            <w:pPr>
              <w:keepNext/>
              <w:keepLines/>
              <w:widowControl w:val="0"/>
              <w:suppressAutoHyphens/>
              <w:autoSpaceDE w:val="0"/>
              <w:autoSpaceDN w:val="0"/>
              <w:adjustRightInd w:val="0"/>
              <w:spacing w:after="0" w:line="240" w:lineRule="auto"/>
              <w:rPr>
                <w:rFonts w:ascii="Arial" w:hAnsi="Arial" w:cs="Arial"/>
                <w:b/>
                <w:bCs/>
                <w:sz w:val="20"/>
                <w:szCs w:val="20"/>
                <w14:ligatures w14:val="standardContextual"/>
              </w:rPr>
            </w:pPr>
            <w:r w:rsidRPr="00756913">
              <w:rPr>
                <w:rFonts w:ascii="Arial" w:hAnsi="Arial" w:cs="Arial"/>
                <w:b/>
                <w:bCs/>
                <w:sz w:val="20"/>
                <w:szCs w:val="20"/>
                <w14:ligatures w14:val="standardContextual"/>
              </w:rPr>
              <w:t>Products and services</w:t>
            </w:r>
          </w:p>
        </w:tc>
      </w:tr>
      <w:tr w:rsidR="00756913" w:rsidRPr="00756913" w14:paraId="5A09F3A6" w14:textId="77777777">
        <w:tblPrEx>
          <w:tblCellMar>
            <w:top w:w="0" w:type="dxa"/>
            <w:bottom w:w="0" w:type="dxa"/>
          </w:tblCellMar>
        </w:tblPrEx>
        <w:trPr>
          <w:trHeight w:val="227"/>
        </w:trPr>
        <w:tc>
          <w:tcPr>
            <w:tcW w:w="1886" w:type="dxa"/>
            <w:tcBorders>
              <w:top w:val="single" w:sz="4" w:space="0" w:color="000000"/>
              <w:left w:val="nil"/>
              <w:bottom w:val="nil"/>
              <w:right w:val="nil"/>
            </w:tcBorders>
            <w:vAlign w:val="center"/>
          </w:tcPr>
          <w:p w14:paraId="4D035D16" w14:textId="77777777" w:rsidR="00756913" w:rsidRPr="00756913" w:rsidRDefault="00756913" w:rsidP="00756913">
            <w:pPr>
              <w:widowControl w:val="0"/>
              <w:suppressAutoHyphens/>
              <w:autoSpaceDE w:val="0"/>
              <w:autoSpaceDN w:val="0"/>
              <w:adjustRightInd w:val="0"/>
              <w:spacing w:before="40" w:after="0" w:line="240" w:lineRule="auto"/>
              <w:rPr>
                <w:rFonts w:ascii="Arial" w:hAnsi="Arial" w:cs="Arial"/>
                <w:sz w:val="20"/>
                <w:szCs w:val="20"/>
                <w14:ligatures w14:val="standardContextual"/>
              </w:rPr>
            </w:pPr>
            <w:r w:rsidRPr="00756913">
              <w:rPr>
                <w:rFonts w:ascii="Arial" w:hAnsi="Arial" w:cs="Arial"/>
                <w:sz w:val="20"/>
                <w:szCs w:val="20"/>
                <w14:ligatures w14:val="standardContextual"/>
              </w:rPr>
              <w:t>Insurance</w:t>
            </w:r>
          </w:p>
        </w:tc>
        <w:tc>
          <w:tcPr>
            <w:tcW w:w="100" w:type="dxa"/>
            <w:tcBorders>
              <w:top w:val="single" w:sz="4" w:space="0" w:color="000000"/>
              <w:left w:val="nil"/>
              <w:bottom w:val="nil"/>
              <w:right w:val="nil"/>
            </w:tcBorders>
            <w:vAlign w:val="center"/>
          </w:tcPr>
          <w:p w14:paraId="1516FC2C" w14:textId="77777777" w:rsidR="00756913" w:rsidRPr="00756913" w:rsidRDefault="00756913" w:rsidP="00756913">
            <w:pPr>
              <w:widowControl w:val="0"/>
              <w:suppressAutoHyphens/>
              <w:autoSpaceDE w:val="0"/>
              <w:autoSpaceDN w:val="0"/>
              <w:adjustRightInd w:val="0"/>
              <w:spacing w:before="40" w:after="0" w:line="240" w:lineRule="auto"/>
              <w:rPr>
                <w:rFonts w:ascii="Arial" w:hAnsi="Arial" w:cs="Arial"/>
                <w:sz w:val="20"/>
                <w:szCs w:val="20"/>
                <w14:ligatures w14:val="standardContextual"/>
              </w:rPr>
            </w:pPr>
          </w:p>
        </w:tc>
        <w:tc>
          <w:tcPr>
            <w:tcW w:w="7612" w:type="dxa"/>
            <w:tcBorders>
              <w:top w:val="single" w:sz="4" w:space="0" w:color="000000"/>
              <w:left w:val="nil"/>
              <w:bottom w:val="nil"/>
              <w:right w:val="nil"/>
            </w:tcBorders>
            <w:vAlign w:val="center"/>
          </w:tcPr>
          <w:p w14:paraId="2DD4DC08" w14:textId="77777777" w:rsidR="00756913" w:rsidRPr="00756913" w:rsidRDefault="00756913" w:rsidP="00756913">
            <w:pPr>
              <w:widowControl w:val="0"/>
              <w:suppressAutoHyphens/>
              <w:autoSpaceDE w:val="0"/>
              <w:autoSpaceDN w:val="0"/>
              <w:adjustRightInd w:val="0"/>
              <w:spacing w:before="40" w:after="0" w:line="240" w:lineRule="auto"/>
              <w:rPr>
                <w:rFonts w:ascii="Arial" w:hAnsi="Arial" w:cs="Arial"/>
                <w:sz w:val="20"/>
                <w:szCs w:val="20"/>
                <w14:ligatures w14:val="standardContextual"/>
              </w:rPr>
            </w:pPr>
            <w:r w:rsidRPr="00756913">
              <w:rPr>
                <w:rFonts w:ascii="Arial" w:hAnsi="Arial" w:cs="Arial"/>
                <w:sz w:val="20"/>
                <w:szCs w:val="20"/>
                <w14:ligatures w14:val="standardContextual"/>
              </w:rPr>
              <w:t>Customer completes transaction for insurance policy on any of the following: provider website, our website or a telephone call.</w:t>
            </w:r>
          </w:p>
        </w:tc>
      </w:tr>
      <w:tr w:rsidR="00756913" w:rsidRPr="00756913" w14:paraId="4234068A" w14:textId="77777777">
        <w:tblPrEx>
          <w:tblCellMar>
            <w:top w:w="0" w:type="dxa"/>
            <w:bottom w:w="0" w:type="dxa"/>
          </w:tblCellMar>
        </w:tblPrEx>
        <w:trPr>
          <w:trHeight w:val="283"/>
        </w:trPr>
        <w:tc>
          <w:tcPr>
            <w:tcW w:w="1886" w:type="dxa"/>
            <w:tcBorders>
              <w:top w:val="nil"/>
              <w:left w:val="nil"/>
              <w:bottom w:val="nil"/>
              <w:right w:val="nil"/>
            </w:tcBorders>
            <w:vAlign w:val="center"/>
          </w:tcPr>
          <w:p w14:paraId="4AD511DA" w14:textId="77777777" w:rsidR="00756913" w:rsidRPr="00756913" w:rsidRDefault="00756913" w:rsidP="00756913">
            <w:pPr>
              <w:widowControl w:val="0"/>
              <w:suppressAutoHyphens/>
              <w:autoSpaceDE w:val="0"/>
              <w:autoSpaceDN w:val="0"/>
              <w:adjustRightInd w:val="0"/>
              <w:spacing w:before="80" w:after="0" w:line="240" w:lineRule="auto"/>
              <w:rPr>
                <w:rFonts w:ascii="Arial" w:hAnsi="Arial" w:cs="Arial"/>
                <w:sz w:val="20"/>
                <w:szCs w:val="20"/>
                <w14:ligatures w14:val="standardContextual"/>
              </w:rPr>
            </w:pPr>
            <w:r w:rsidRPr="00756913">
              <w:rPr>
                <w:rFonts w:ascii="Arial" w:hAnsi="Arial" w:cs="Arial"/>
                <w:sz w:val="20"/>
                <w:szCs w:val="20"/>
                <w14:ligatures w14:val="standardContextual"/>
              </w:rPr>
              <w:t>Money</w:t>
            </w:r>
          </w:p>
        </w:tc>
        <w:tc>
          <w:tcPr>
            <w:tcW w:w="100" w:type="dxa"/>
            <w:tcBorders>
              <w:top w:val="nil"/>
              <w:left w:val="nil"/>
              <w:bottom w:val="nil"/>
              <w:right w:val="nil"/>
            </w:tcBorders>
            <w:vAlign w:val="center"/>
          </w:tcPr>
          <w:p w14:paraId="6B1ABD45" w14:textId="77777777" w:rsidR="00756913" w:rsidRPr="00756913" w:rsidRDefault="00756913" w:rsidP="00756913">
            <w:pPr>
              <w:widowControl w:val="0"/>
              <w:suppressAutoHyphens/>
              <w:autoSpaceDE w:val="0"/>
              <w:autoSpaceDN w:val="0"/>
              <w:adjustRightInd w:val="0"/>
              <w:spacing w:before="80" w:after="0" w:line="240" w:lineRule="auto"/>
              <w:rPr>
                <w:rFonts w:ascii="Arial" w:hAnsi="Arial" w:cs="Arial"/>
                <w:sz w:val="20"/>
                <w:szCs w:val="20"/>
                <w14:ligatures w14:val="standardContextual"/>
              </w:rPr>
            </w:pPr>
          </w:p>
        </w:tc>
        <w:tc>
          <w:tcPr>
            <w:tcW w:w="7612" w:type="dxa"/>
            <w:tcBorders>
              <w:top w:val="nil"/>
              <w:left w:val="nil"/>
              <w:bottom w:val="nil"/>
              <w:right w:val="nil"/>
            </w:tcBorders>
            <w:vAlign w:val="center"/>
          </w:tcPr>
          <w:p w14:paraId="7BDC018A" w14:textId="77777777" w:rsidR="00756913" w:rsidRPr="00756913" w:rsidRDefault="00756913" w:rsidP="00756913">
            <w:pPr>
              <w:widowControl w:val="0"/>
              <w:suppressAutoHyphens/>
              <w:autoSpaceDE w:val="0"/>
              <w:autoSpaceDN w:val="0"/>
              <w:adjustRightInd w:val="0"/>
              <w:spacing w:before="80" w:after="0" w:line="240" w:lineRule="auto"/>
              <w:rPr>
                <w:rFonts w:ascii="Arial" w:hAnsi="Arial" w:cs="Arial"/>
                <w:sz w:val="20"/>
                <w:szCs w:val="20"/>
                <w14:ligatures w14:val="standardContextual"/>
              </w:rPr>
            </w:pPr>
            <w:r w:rsidRPr="00756913">
              <w:rPr>
                <w:rFonts w:ascii="Arial" w:hAnsi="Arial" w:cs="Arial"/>
                <w:sz w:val="20"/>
                <w:szCs w:val="20"/>
                <w14:ligatures w14:val="standardContextual"/>
              </w:rPr>
              <w:t>Customer completes transaction for money products such as credit cards, loans and mortgages on provider website.</w:t>
            </w:r>
          </w:p>
        </w:tc>
      </w:tr>
      <w:tr w:rsidR="00756913" w:rsidRPr="00756913" w14:paraId="1E37A280" w14:textId="77777777">
        <w:tblPrEx>
          <w:tblCellMar>
            <w:top w:w="0" w:type="dxa"/>
            <w:bottom w:w="0" w:type="dxa"/>
          </w:tblCellMar>
        </w:tblPrEx>
        <w:trPr>
          <w:trHeight w:val="283"/>
        </w:trPr>
        <w:tc>
          <w:tcPr>
            <w:tcW w:w="1886" w:type="dxa"/>
            <w:tcBorders>
              <w:top w:val="nil"/>
              <w:left w:val="nil"/>
              <w:bottom w:val="nil"/>
              <w:right w:val="nil"/>
            </w:tcBorders>
            <w:vAlign w:val="center"/>
          </w:tcPr>
          <w:p w14:paraId="60EBBC44" w14:textId="77777777" w:rsidR="00756913" w:rsidRPr="00756913" w:rsidRDefault="00756913" w:rsidP="00756913">
            <w:pPr>
              <w:widowControl w:val="0"/>
              <w:suppressAutoHyphens/>
              <w:autoSpaceDE w:val="0"/>
              <w:autoSpaceDN w:val="0"/>
              <w:adjustRightInd w:val="0"/>
              <w:spacing w:before="80" w:after="0" w:line="240" w:lineRule="auto"/>
              <w:rPr>
                <w:rFonts w:ascii="Arial" w:hAnsi="Arial" w:cs="Arial"/>
                <w:sz w:val="20"/>
                <w:szCs w:val="20"/>
                <w14:ligatures w14:val="standardContextual"/>
              </w:rPr>
            </w:pPr>
            <w:r w:rsidRPr="00756913">
              <w:rPr>
                <w:rFonts w:ascii="Arial" w:hAnsi="Arial" w:cs="Arial"/>
                <w:sz w:val="20"/>
                <w:szCs w:val="20"/>
                <w14:ligatures w14:val="standardContextual"/>
              </w:rPr>
              <w:t>Home Services</w:t>
            </w:r>
          </w:p>
        </w:tc>
        <w:tc>
          <w:tcPr>
            <w:tcW w:w="100" w:type="dxa"/>
            <w:tcBorders>
              <w:top w:val="nil"/>
              <w:left w:val="nil"/>
              <w:bottom w:val="nil"/>
              <w:right w:val="nil"/>
            </w:tcBorders>
            <w:vAlign w:val="center"/>
          </w:tcPr>
          <w:p w14:paraId="4EA25844" w14:textId="77777777" w:rsidR="00756913" w:rsidRPr="00756913" w:rsidRDefault="00756913" w:rsidP="00756913">
            <w:pPr>
              <w:widowControl w:val="0"/>
              <w:suppressAutoHyphens/>
              <w:autoSpaceDE w:val="0"/>
              <w:autoSpaceDN w:val="0"/>
              <w:adjustRightInd w:val="0"/>
              <w:spacing w:before="80" w:after="0" w:line="240" w:lineRule="auto"/>
              <w:rPr>
                <w:rFonts w:ascii="Arial" w:hAnsi="Arial" w:cs="Arial"/>
                <w:sz w:val="20"/>
                <w:szCs w:val="20"/>
                <w14:ligatures w14:val="standardContextual"/>
              </w:rPr>
            </w:pPr>
          </w:p>
        </w:tc>
        <w:tc>
          <w:tcPr>
            <w:tcW w:w="7612" w:type="dxa"/>
            <w:tcBorders>
              <w:top w:val="nil"/>
              <w:left w:val="nil"/>
              <w:bottom w:val="nil"/>
              <w:right w:val="nil"/>
            </w:tcBorders>
            <w:vAlign w:val="center"/>
          </w:tcPr>
          <w:p w14:paraId="45210132" w14:textId="77777777" w:rsidR="00756913" w:rsidRPr="00756913" w:rsidRDefault="00756913" w:rsidP="00756913">
            <w:pPr>
              <w:widowControl w:val="0"/>
              <w:suppressAutoHyphens/>
              <w:autoSpaceDE w:val="0"/>
              <w:autoSpaceDN w:val="0"/>
              <w:adjustRightInd w:val="0"/>
              <w:spacing w:before="80" w:after="0" w:line="240" w:lineRule="auto"/>
              <w:rPr>
                <w:rFonts w:ascii="Arial" w:hAnsi="Arial" w:cs="Arial"/>
                <w:sz w:val="20"/>
                <w:szCs w:val="20"/>
                <w14:ligatures w14:val="standardContextual"/>
              </w:rPr>
            </w:pPr>
            <w:r w:rsidRPr="00756913">
              <w:rPr>
                <w:rFonts w:ascii="Arial" w:hAnsi="Arial" w:cs="Arial"/>
                <w:sz w:val="20"/>
                <w:szCs w:val="20"/>
                <w14:ligatures w14:val="standardContextual"/>
              </w:rPr>
              <w:t>Customer completes transaction for home services products such as energy and broadband on provider website.</w:t>
            </w:r>
          </w:p>
        </w:tc>
      </w:tr>
      <w:tr w:rsidR="00756913" w:rsidRPr="00756913" w14:paraId="0912AF60" w14:textId="77777777">
        <w:tblPrEx>
          <w:tblCellMar>
            <w:top w:w="0" w:type="dxa"/>
            <w:bottom w:w="0" w:type="dxa"/>
          </w:tblCellMar>
        </w:tblPrEx>
        <w:trPr>
          <w:trHeight w:val="283"/>
        </w:trPr>
        <w:tc>
          <w:tcPr>
            <w:tcW w:w="1886" w:type="dxa"/>
            <w:tcBorders>
              <w:top w:val="nil"/>
              <w:left w:val="nil"/>
              <w:bottom w:val="nil"/>
              <w:right w:val="nil"/>
            </w:tcBorders>
            <w:vAlign w:val="center"/>
          </w:tcPr>
          <w:p w14:paraId="5761B8FA" w14:textId="77777777" w:rsidR="00756913" w:rsidRPr="00756913" w:rsidRDefault="00756913" w:rsidP="00756913">
            <w:pPr>
              <w:widowControl w:val="0"/>
              <w:suppressAutoHyphens/>
              <w:autoSpaceDE w:val="0"/>
              <w:autoSpaceDN w:val="0"/>
              <w:adjustRightInd w:val="0"/>
              <w:spacing w:before="80" w:after="0" w:line="240" w:lineRule="auto"/>
              <w:rPr>
                <w:rFonts w:ascii="Arial" w:hAnsi="Arial" w:cs="Arial"/>
                <w:sz w:val="20"/>
                <w:szCs w:val="20"/>
                <w14:ligatures w14:val="standardContextual"/>
              </w:rPr>
            </w:pPr>
            <w:r w:rsidRPr="00756913">
              <w:rPr>
                <w:rFonts w:ascii="Arial" w:hAnsi="Arial" w:cs="Arial"/>
                <w:sz w:val="20"/>
                <w:szCs w:val="20"/>
                <w14:ligatures w14:val="standardContextual"/>
              </w:rPr>
              <w:t xml:space="preserve">Travel </w:t>
            </w:r>
          </w:p>
        </w:tc>
        <w:tc>
          <w:tcPr>
            <w:tcW w:w="100" w:type="dxa"/>
            <w:tcBorders>
              <w:top w:val="nil"/>
              <w:left w:val="nil"/>
              <w:bottom w:val="nil"/>
              <w:right w:val="nil"/>
            </w:tcBorders>
            <w:vAlign w:val="center"/>
          </w:tcPr>
          <w:p w14:paraId="5B023CAA" w14:textId="77777777" w:rsidR="00756913" w:rsidRPr="00756913" w:rsidRDefault="00756913" w:rsidP="00756913">
            <w:pPr>
              <w:widowControl w:val="0"/>
              <w:suppressAutoHyphens/>
              <w:autoSpaceDE w:val="0"/>
              <w:autoSpaceDN w:val="0"/>
              <w:adjustRightInd w:val="0"/>
              <w:spacing w:before="80" w:after="0" w:line="240" w:lineRule="auto"/>
              <w:rPr>
                <w:rFonts w:ascii="Arial" w:hAnsi="Arial" w:cs="Arial"/>
                <w:sz w:val="20"/>
                <w:szCs w:val="20"/>
                <w14:ligatures w14:val="standardContextual"/>
              </w:rPr>
            </w:pPr>
          </w:p>
        </w:tc>
        <w:tc>
          <w:tcPr>
            <w:tcW w:w="7612" w:type="dxa"/>
            <w:tcBorders>
              <w:top w:val="nil"/>
              <w:left w:val="nil"/>
              <w:bottom w:val="nil"/>
              <w:right w:val="nil"/>
            </w:tcBorders>
            <w:vAlign w:val="center"/>
          </w:tcPr>
          <w:p w14:paraId="7FDE2A88" w14:textId="77777777" w:rsidR="00756913" w:rsidRPr="00756913" w:rsidRDefault="00756913" w:rsidP="00756913">
            <w:pPr>
              <w:widowControl w:val="0"/>
              <w:suppressAutoHyphens/>
              <w:autoSpaceDE w:val="0"/>
              <w:autoSpaceDN w:val="0"/>
              <w:adjustRightInd w:val="0"/>
              <w:spacing w:before="80" w:after="0" w:line="240" w:lineRule="auto"/>
              <w:rPr>
                <w:rFonts w:ascii="Arial" w:hAnsi="Arial" w:cs="Arial"/>
                <w:sz w:val="20"/>
                <w:szCs w:val="20"/>
                <w14:ligatures w14:val="standardContextual"/>
              </w:rPr>
            </w:pPr>
            <w:r w:rsidRPr="00756913">
              <w:rPr>
                <w:rFonts w:ascii="Arial" w:hAnsi="Arial" w:cs="Arial"/>
                <w:sz w:val="20"/>
                <w:szCs w:val="20"/>
                <w14:ligatures w14:val="standardContextual"/>
              </w:rPr>
              <w:t>Customer completes transaction for travel products on provider website or our website.</w:t>
            </w:r>
          </w:p>
        </w:tc>
      </w:tr>
      <w:tr w:rsidR="00756913" w:rsidRPr="00756913" w14:paraId="7A83BA10" w14:textId="77777777">
        <w:tblPrEx>
          <w:tblCellMar>
            <w:top w:w="0" w:type="dxa"/>
            <w:bottom w:w="0" w:type="dxa"/>
          </w:tblCellMar>
        </w:tblPrEx>
        <w:trPr>
          <w:trHeight w:val="283"/>
        </w:trPr>
        <w:tc>
          <w:tcPr>
            <w:tcW w:w="1886" w:type="dxa"/>
            <w:tcBorders>
              <w:top w:val="nil"/>
              <w:left w:val="nil"/>
              <w:bottom w:val="single" w:sz="12" w:space="0" w:color="000000"/>
              <w:right w:val="nil"/>
            </w:tcBorders>
            <w:vAlign w:val="center"/>
          </w:tcPr>
          <w:p w14:paraId="2CDEB50B" w14:textId="77777777" w:rsidR="00756913" w:rsidRPr="00756913" w:rsidRDefault="00756913" w:rsidP="00756913">
            <w:pPr>
              <w:widowControl w:val="0"/>
              <w:suppressAutoHyphens/>
              <w:autoSpaceDE w:val="0"/>
              <w:autoSpaceDN w:val="0"/>
              <w:adjustRightInd w:val="0"/>
              <w:spacing w:before="80" w:after="0" w:line="240" w:lineRule="auto"/>
              <w:rPr>
                <w:rFonts w:ascii="Arial" w:hAnsi="Arial" w:cs="Arial"/>
                <w:sz w:val="20"/>
                <w:szCs w:val="20"/>
                <w14:ligatures w14:val="standardContextual"/>
              </w:rPr>
            </w:pPr>
            <w:r w:rsidRPr="00756913">
              <w:rPr>
                <w:rFonts w:ascii="Arial" w:hAnsi="Arial" w:cs="Arial"/>
                <w:sz w:val="20"/>
                <w:szCs w:val="20"/>
                <w14:ligatures w14:val="standardContextual"/>
              </w:rPr>
              <w:t>Cashback</w:t>
            </w:r>
          </w:p>
        </w:tc>
        <w:tc>
          <w:tcPr>
            <w:tcW w:w="100" w:type="dxa"/>
            <w:tcBorders>
              <w:top w:val="nil"/>
              <w:left w:val="nil"/>
              <w:bottom w:val="single" w:sz="12" w:space="0" w:color="000000"/>
              <w:right w:val="nil"/>
            </w:tcBorders>
            <w:vAlign w:val="center"/>
          </w:tcPr>
          <w:p w14:paraId="76D41F30" w14:textId="77777777" w:rsidR="00756913" w:rsidRPr="00756913" w:rsidRDefault="00756913" w:rsidP="00756913">
            <w:pPr>
              <w:widowControl w:val="0"/>
              <w:suppressAutoHyphens/>
              <w:autoSpaceDE w:val="0"/>
              <w:autoSpaceDN w:val="0"/>
              <w:adjustRightInd w:val="0"/>
              <w:spacing w:before="80" w:after="0" w:line="240" w:lineRule="auto"/>
              <w:rPr>
                <w:rFonts w:ascii="Arial" w:hAnsi="Arial" w:cs="Arial"/>
                <w:sz w:val="20"/>
                <w:szCs w:val="20"/>
                <w14:ligatures w14:val="standardContextual"/>
              </w:rPr>
            </w:pPr>
          </w:p>
        </w:tc>
        <w:tc>
          <w:tcPr>
            <w:tcW w:w="7612" w:type="dxa"/>
            <w:tcBorders>
              <w:top w:val="nil"/>
              <w:left w:val="nil"/>
              <w:bottom w:val="single" w:sz="12" w:space="0" w:color="000000"/>
              <w:right w:val="nil"/>
            </w:tcBorders>
            <w:vAlign w:val="center"/>
          </w:tcPr>
          <w:p w14:paraId="42BD7D7B" w14:textId="77777777" w:rsidR="00756913" w:rsidRPr="00756913" w:rsidRDefault="00756913" w:rsidP="00756913">
            <w:pPr>
              <w:widowControl w:val="0"/>
              <w:suppressAutoHyphens/>
              <w:autoSpaceDE w:val="0"/>
              <w:autoSpaceDN w:val="0"/>
              <w:adjustRightInd w:val="0"/>
              <w:spacing w:before="80" w:line="240" w:lineRule="auto"/>
              <w:rPr>
                <w:rFonts w:ascii="Arial" w:hAnsi="Arial" w:cs="Arial"/>
                <w:sz w:val="20"/>
                <w:szCs w:val="20"/>
                <w14:ligatures w14:val="standardContextual"/>
              </w:rPr>
            </w:pPr>
            <w:r w:rsidRPr="00756913">
              <w:rPr>
                <w:rFonts w:ascii="Arial" w:hAnsi="Arial" w:cs="Arial"/>
                <w:sz w:val="20"/>
                <w:szCs w:val="20"/>
                <w14:ligatures w14:val="standardContextual"/>
              </w:rPr>
              <w:t xml:space="preserve">Customer completes transaction for retail, telecommunications, services and travel products with a cashback incentive on merchant website. Customer receives confirmed cashback incentive on our site. </w:t>
            </w:r>
          </w:p>
        </w:tc>
      </w:tr>
    </w:tbl>
    <w:p w14:paraId="2A85E49C"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0" w:line="240" w:lineRule="auto"/>
        <w:rPr>
          <w:rFonts w:ascii="Arial" w:hAnsi="Arial" w:cs="Arial"/>
          <w:color w:val="FF0000"/>
          <w:sz w:val="20"/>
          <w:szCs w:val="20"/>
          <w14:ligatures w14:val="standardContextual"/>
        </w:rPr>
      </w:pPr>
    </w:p>
    <w:p w14:paraId="6DA0049E" w14:textId="77777777" w:rsidR="00756913" w:rsidRPr="00756913" w:rsidRDefault="00756913" w:rsidP="00756913">
      <w:pPr>
        <w:autoSpaceDE w:val="0"/>
        <w:autoSpaceDN w:val="0"/>
        <w:adjustRightInd w:val="0"/>
        <w:rPr>
          <w:rFonts w:ascii="Arial" w:hAnsi="Arial" w:cs="Arial"/>
          <w:color w:val="FF0000"/>
          <w:sz w:val="20"/>
          <w:szCs w:val="20"/>
          <w14:ligatures w14:val="standardContextual"/>
        </w:rPr>
      </w:pPr>
      <w:r w:rsidRPr="00756913">
        <w:rPr>
          <w:rFonts w:ascii="Arial" w:hAnsi="Arial" w:cs="Arial"/>
          <w:color w:val="FF0000"/>
          <w:sz w:val="20"/>
          <w:szCs w:val="20"/>
          <w14:ligatures w14:val="standardContextual"/>
        </w:rPr>
        <w:br w:type="page"/>
      </w:r>
    </w:p>
    <w:tbl>
      <w:tblPr>
        <w:tblW w:w="0" w:type="auto"/>
        <w:tblLayout w:type="fixed"/>
        <w:tblCellMar>
          <w:left w:w="28" w:type="dxa"/>
          <w:right w:w="28" w:type="dxa"/>
        </w:tblCellMar>
        <w:tblLook w:val="0000" w:firstRow="0" w:lastRow="0" w:firstColumn="0" w:lastColumn="0" w:noHBand="0" w:noVBand="0"/>
      </w:tblPr>
      <w:tblGrid>
        <w:gridCol w:w="2778"/>
        <w:gridCol w:w="850"/>
        <w:gridCol w:w="680"/>
        <w:gridCol w:w="737"/>
        <w:gridCol w:w="680"/>
        <w:gridCol w:w="850"/>
        <w:gridCol w:w="796"/>
        <w:gridCol w:w="993"/>
        <w:gridCol w:w="992"/>
      </w:tblGrid>
      <w:tr w:rsidR="00756913" w:rsidRPr="00756913" w14:paraId="2D9A83D2" w14:textId="77777777">
        <w:tblPrEx>
          <w:tblCellMar>
            <w:top w:w="0" w:type="dxa"/>
            <w:bottom w:w="0" w:type="dxa"/>
          </w:tblCellMar>
        </w:tblPrEx>
        <w:trPr>
          <w:trHeight w:val="567"/>
        </w:trPr>
        <w:tc>
          <w:tcPr>
            <w:tcW w:w="2778" w:type="dxa"/>
            <w:tcBorders>
              <w:top w:val="nil"/>
              <w:left w:val="nil"/>
              <w:bottom w:val="single" w:sz="4" w:space="0" w:color="auto"/>
              <w:right w:val="nil"/>
            </w:tcBorders>
            <w:vAlign w:val="center"/>
          </w:tcPr>
          <w:p w14:paraId="2EDE1A56" w14:textId="77777777" w:rsidR="00756913" w:rsidRPr="00756913" w:rsidRDefault="00756913" w:rsidP="00756913">
            <w:pPr>
              <w:tabs>
                <w:tab w:val="left" w:pos="709"/>
                <w:tab w:val="left" w:pos="1559"/>
                <w:tab w:val="left" w:pos="2268"/>
                <w:tab w:val="left" w:pos="2977"/>
                <w:tab w:val="left" w:pos="3686"/>
                <w:tab w:val="left" w:pos="4394"/>
                <w:tab w:val="right" w:pos="8789"/>
              </w:tabs>
              <w:suppressAutoHyphens/>
              <w:autoSpaceDE w:val="0"/>
              <w:autoSpaceDN w:val="0"/>
              <w:adjustRightInd w:val="0"/>
              <w:spacing w:before="130" w:after="0" w:line="260" w:lineRule="atLeast"/>
              <w:rPr>
                <w:rFonts w:ascii="Arial" w:hAnsi="Arial" w:cs="Arial"/>
                <w:b/>
                <w:bCs/>
                <w14:ligatures w14:val="standardContextual"/>
              </w:rPr>
            </w:pPr>
            <w:r w:rsidRPr="00756913">
              <w:rPr>
                <w:rFonts w:ascii="Arial" w:hAnsi="Arial" w:cs="Arial"/>
                <w:b/>
                <w:bCs/>
                <w:sz w:val="18"/>
                <w:szCs w:val="18"/>
                <w14:ligatures w14:val="standardContextual"/>
              </w:rPr>
              <w:t>Segment</w:t>
            </w:r>
          </w:p>
        </w:tc>
        <w:tc>
          <w:tcPr>
            <w:tcW w:w="850" w:type="dxa"/>
            <w:tcBorders>
              <w:top w:val="nil"/>
              <w:left w:val="nil"/>
              <w:bottom w:val="single" w:sz="4" w:space="0" w:color="auto"/>
              <w:right w:val="nil"/>
            </w:tcBorders>
            <w:vAlign w:val="bottom"/>
          </w:tcPr>
          <w:p w14:paraId="19A50F5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Insurance</w:t>
            </w:r>
          </w:p>
          <w:p w14:paraId="6C494122"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680" w:type="dxa"/>
            <w:tcBorders>
              <w:top w:val="nil"/>
              <w:left w:val="nil"/>
              <w:bottom w:val="single" w:sz="4" w:space="0" w:color="auto"/>
              <w:right w:val="nil"/>
            </w:tcBorders>
            <w:vAlign w:val="bottom"/>
          </w:tcPr>
          <w:p w14:paraId="5154A3B8"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Money</w:t>
            </w:r>
          </w:p>
          <w:p w14:paraId="3719B91D"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737" w:type="dxa"/>
            <w:tcBorders>
              <w:top w:val="nil"/>
              <w:left w:val="nil"/>
              <w:bottom w:val="single" w:sz="4" w:space="0" w:color="auto"/>
              <w:right w:val="nil"/>
            </w:tcBorders>
            <w:vAlign w:val="bottom"/>
          </w:tcPr>
          <w:p w14:paraId="70DF5D42"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Home Services</w:t>
            </w:r>
          </w:p>
          <w:p w14:paraId="44099102"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680" w:type="dxa"/>
            <w:tcBorders>
              <w:top w:val="nil"/>
              <w:left w:val="nil"/>
              <w:bottom w:val="single" w:sz="4" w:space="0" w:color="auto"/>
              <w:right w:val="nil"/>
            </w:tcBorders>
            <w:vAlign w:val="bottom"/>
          </w:tcPr>
          <w:p w14:paraId="3E0CC01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Travel</w:t>
            </w:r>
          </w:p>
          <w:p w14:paraId="0A31D4F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850" w:type="dxa"/>
            <w:tcBorders>
              <w:top w:val="nil"/>
              <w:left w:val="nil"/>
              <w:bottom w:val="single" w:sz="4" w:space="0" w:color="auto"/>
              <w:right w:val="nil"/>
            </w:tcBorders>
            <w:vAlign w:val="bottom"/>
          </w:tcPr>
          <w:p w14:paraId="34C42B2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Cashback</w:t>
            </w:r>
          </w:p>
          <w:p w14:paraId="64B830B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796" w:type="dxa"/>
            <w:tcBorders>
              <w:top w:val="nil"/>
              <w:left w:val="nil"/>
              <w:bottom w:val="single" w:sz="4" w:space="0" w:color="auto"/>
              <w:right w:val="nil"/>
            </w:tcBorders>
            <w:vAlign w:val="bottom"/>
          </w:tcPr>
          <w:p w14:paraId="0931A324"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Shared costs</w:t>
            </w:r>
          </w:p>
          <w:p w14:paraId="504C5A91"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993" w:type="dxa"/>
            <w:tcBorders>
              <w:top w:val="nil"/>
              <w:left w:val="nil"/>
              <w:bottom w:val="single" w:sz="4" w:space="0" w:color="auto"/>
              <w:right w:val="nil"/>
            </w:tcBorders>
          </w:tcPr>
          <w:p w14:paraId="1C3B594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p>
          <w:p w14:paraId="2BDBA74C"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Inter-vertical eliminations**</w:t>
            </w:r>
          </w:p>
          <w:p w14:paraId="24ADC72F"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992" w:type="dxa"/>
            <w:tcBorders>
              <w:top w:val="nil"/>
              <w:left w:val="nil"/>
              <w:bottom w:val="single" w:sz="4" w:space="0" w:color="auto"/>
              <w:right w:val="nil"/>
            </w:tcBorders>
            <w:vAlign w:val="bottom"/>
          </w:tcPr>
          <w:p w14:paraId="39BF0EDF"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Total</w:t>
            </w:r>
          </w:p>
          <w:p w14:paraId="71AA4EB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4"/>
                <w:szCs w:val="14"/>
                <w14:ligatures w14:val="standardContextual"/>
              </w:rPr>
            </w:pPr>
            <w:r w:rsidRPr="00756913">
              <w:rPr>
                <w:rFonts w:ascii="Arial" w:hAnsi="Arial" w:cs="Arial"/>
                <w:b/>
                <w:bCs/>
                <w:sz w:val="14"/>
                <w:szCs w:val="14"/>
                <w14:ligatures w14:val="standardContextual"/>
              </w:rPr>
              <w:t>£m</w:t>
            </w:r>
          </w:p>
        </w:tc>
      </w:tr>
      <w:tr w:rsidR="00756913" w:rsidRPr="00756913" w14:paraId="362964D5" w14:textId="77777777">
        <w:tblPrEx>
          <w:tblCellMar>
            <w:top w:w="0" w:type="dxa"/>
            <w:bottom w:w="0" w:type="dxa"/>
          </w:tblCellMar>
        </w:tblPrEx>
        <w:trPr>
          <w:trHeight w:val="267"/>
        </w:trPr>
        <w:tc>
          <w:tcPr>
            <w:tcW w:w="2778" w:type="dxa"/>
            <w:tcBorders>
              <w:top w:val="single" w:sz="4" w:space="0" w:color="auto"/>
              <w:left w:val="nil"/>
              <w:bottom w:val="nil"/>
              <w:right w:val="nil"/>
            </w:tcBorders>
            <w:vAlign w:val="center"/>
          </w:tcPr>
          <w:p w14:paraId="1BBFD1C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Period ended 30 June 2024</w:t>
            </w:r>
          </w:p>
        </w:tc>
        <w:tc>
          <w:tcPr>
            <w:tcW w:w="850" w:type="dxa"/>
            <w:tcBorders>
              <w:top w:val="single" w:sz="4" w:space="0" w:color="auto"/>
              <w:left w:val="nil"/>
              <w:bottom w:val="nil"/>
              <w:right w:val="nil"/>
            </w:tcBorders>
            <w:vAlign w:val="center"/>
          </w:tcPr>
          <w:p w14:paraId="28DE910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680" w:type="dxa"/>
            <w:tcBorders>
              <w:top w:val="single" w:sz="4" w:space="0" w:color="auto"/>
              <w:left w:val="nil"/>
              <w:bottom w:val="nil"/>
              <w:right w:val="nil"/>
            </w:tcBorders>
            <w:vAlign w:val="center"/>
          </w:tcPr>
          <w:p w14:paraId="7D6DE6E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737" w:type="dxa"/>
            <w:tcBorders>
              <w:top w:val="single" w:sz="4" w:space="0" w:color="auto"/>
              <w:left w:val="nil"/>
              <w:bottom w:val="nil"/>
              <w:right w:val="nil"/>
            </w:tcBorders>
            <w:vAlign w:val="center"/>
          </w:tcPr>
          <w:p w14:paraId="7C3FD1F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u w:val="single"/>
                <w14:ligatures w14:val="standardContextual"/>
              </w:rPr>
            </w:pPr>
          </w:p>
        </w:tc>
        <w:tc>
          <w:tcPr>
            <w:tcW w:w="680" w:type="dxa"/>
            <w:tcBorders>
              <w:top w:val="single" w:sz="4" w:space="0" w:color="auto"/>
              <w:left w:val="nil"/>
              <w:bottom w:val="nil"/>
              <w:right w:val="nil"/>
            </w:tcBorders>
            <w:vAlign w:val="center"/>
          </w:tcPr>
          <w:p w14:paraId="37676E8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850" w:type="dxa"/>
            <w:tcBorders>
              <w:top w:val="single" w:sz="4" w:space="0" w:color="auto"/>
              <w:left w:val="nil"/>
              <w:bottom w:val="nil"/>
              <w:right w:val="nil"/>
            </w:tcBorders>
            <w:vAlign w:val="center"/>
          </w:tcPr>
          <w:p w14:paraId="160779D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796" w:type="dxa"/>
            <w:tcBorders>
              <w:top w:val="single" w:sz="4" w:space="0" w:color="auto"/>
              <w:left w:val="nil"/>
              <w:bottom w:val="nil"/>
              <w:right w:val="nil"/>
            </w:tcBorders>
            <w:vAlign w:val="center"/>
          </w:tcPr>
          <w:p w14:paraId="37D94C2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993" w:type="dxa"/>
            <w:tcBorders>
              <w:top w:val="single" w:sz="4" w:space="0" w:color="auto"/>
              <w:left w:val="nil"/>
              <w:bottom w:val="nil"/>
              <w:right w:val="nil"/>
            </w:tcBorders>
            <w:vAlign w:val="center"/>
          </w:tcPr>
          <w:p w14:paraId="264B25FF"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992" w:type="dxa"/>
            <w:tcBorders>
              <w:top w:val="single" w:sz="4" w:space="0" w:color="auto"/>
              <w:left w:val="nil"/>
              <w:bottom w:val="nil"/>
              <w:right w:val="nil"/>
            </w:tcBorders>
            <w:vAlign w:val="center"/>
          </w:tcPr>
          <w:p w14:paraId="2BFD797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r>
      <w:tr w:rsidR="00756913" w:rsidRPr="00756913" w14:paraId="778BBF53" w14:textId="77777777">
        <w:tblPrEx>
          <w:tblCellMar>
            <w:top w:w="0" w:type="dxa"/>
            <w:bottom w:w="0" w:type="dxa"/>
          </w:tblCellMar>
        </w:tblPrEx>
        <w:trPr>
          <w:trHeight w:val="250"/>
        </w:trPr>
        <w:tc>
          <w:tcPr>
            <w:tcW w:w="2778" w:type="dxa"/>
            <w:tcBorders>
              <w:top w:val="nil"/>
              <w:left w:val="nil"/>
              <w:bottom w:val="nil"/>
              <w:right w:val="nil"/>
            </w:tcBorders>
            <w:vAlign w:val="center"/>
          </w:tcPr>
          <w:p w14:paraId="6D0E055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Revenue</w:t>
            </w:r>
          </w:p>
        </w:tc>
        <w:tc>
          <w:tcPr>
            <w:tcW w:w="850" w:type="dxa"/>
            <w:tcBorders>
              <w:top w:val="nil"/>
              <w:left w:val="nil"/>
              <w:bottom w:val="nil"/>
              <w:right w:val="nil"/>
            </w:tcBorders>
            <w:vAlign w:val="center"/>
          </w:tcPr>
          <w:p w14:paraId="4DF08D49"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119.9</w:t>
            </w:r>
          </w:p>
        </w:tc>
        <w:tc>
          <w:tcPr>
            <w:tcW w:w="680" w:type="dxa"/>
            <w:tcBorders>
              <w:top w:val="nil"/>
              <w:left w:val="nil"/>
              <w:bottom w:val="nil"/>
              <w:right w:val="nil"/>
            </w:tcBorders>
            <w:vAlign w:val="center"/>
          </w:tcPr>
          <w:p w14:paraId="206914E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50.9</w:t>
            </w:r>
          </w:p>
        </w:tc>
        <w:tc>
          <w:tcPr>
            <w:tcW w:w="737" w:type="dxa"/>
            <w:tcBorders>
              <w:top w:val="nil"/>
              <w:left w:val="nil"/>
              <w:bottom w:val="nil"/>
              <w:right w:val="nil"/>
            </w:tcBorders>
            <w:vAlign w:val="center"/>
          </w:tcPr>
          <w:p w14:paraId="7A5353D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16.7</w:t>
            </w:r>
          </w:p>
        </w:tc>
        <w:tc>
          <w:tcPr>
            <w:tcW w:w="680" w:type="dxa"/>
            <w:tcBorders>
              <w:top w:val="nil"/>
              <w:left w:val="nil"/>
              <w:bottom w:val="nil"/>
              <w:right w:val="nil"/>
            </w:tcBorders>
            <w:vAlign w:val="center"/>
          </w:tcPr>
          <w:p w14:paraId="69C3E68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11.7</w:t>
            </w:r>
          </w:p>
        </w:tc>
        <w:tc>
          <w:tcPr>
            <w:tcW w:w="850" w:type="dxa"/>
            <w:tcBorders>
              <w:top w:val="nil"/>
              <w:left w:val="nil"/>
              <w:bottom w:val="nil"/>
              <w:right w:val="nil"/>
            </w:tcBorders>
            <w:vAlign w:val="center"/>
          </w:tcPr>
          <w:p w14:paraId="1B6F7BE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29.8</w:t>
            </w:r>
          </w:p>
        </w:tc>
        <w:tc>
          <w:tcPr>
            <w:tcW w:w="796" w:type="dxa"/>
            <w:tcBorders>
              <w:top w:val="nil"/>
              <w:left w:val="nil"/>
              <w:bottom w:val="nil"/>
              <w:right w:val="nil"/>
            </w:tcBorders>
            <w:vAlign w:val="center"/>
          </w:tcPr>
          <w:p w14:paraId="1EF1CD06"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p>
        </w:tc>
        <w:tc>
          <w:tcPr>
            <w:tcW w:w="993" w:type="dxa"/>
            <w:tcBorders>
              <w:top w:val="nil"/>
              <w:left w:val="nil"/>
              <w:bottom w:val="nil"/>
              <w:right w:val="nil"/>
            </w:tcBorders>
            <w:vAlign w:val="center"/>
          </w:tcPr>
          <w:p w14:paraId="3D53332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(5.5)</w:t>
            </w:r>
          </w:p>
        </w:tc>
        <w:tc>
          <w:tcPr>
            <w:tcW w:w="992" w:type="dxa"/>
            <w:tcBorders>
              <w:top w:val="nil"/>
              <w:left w:val="nil"/>
              <w:bottom w:val="nil"/>
              <w:right w:val="nil"/>
            </w:tcBorders>
            <w:vAlign w:val="center"/>
          </w:tcPr>
          <w:p w14:paraId="3BDF109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000000"/>
                <w:sz w:val="18"/>
                <w:szCs w:val="18"/>
                <w14:ligatures w14:val="standardContextual"/>
              </w:rPr>
            </w:pPr>
            <w:r w:rsidRPr="00756913">
              <w:rPr>
                <w:rFonts w:ascii="Arial" w:hAnsi="Arial" w:cs="Arial"/>
                <w:b/>
                <w:bCs/>
                <w:color w:val="000000"/>
                <w:sz w:val="18"/>
                <w:szCs w:val="18"/>
                <w14:ligatures w14:val="standardContextual"/>
              </w:rPr>
              <w:t>223.5</w:t>
            </w:r>
          </w:p>
        </w:tc>
      </w:tr>
      <w:tr w:rsidR="00756913" w:rsidRPr="00756913" w14:paraId="076C0B8F" w14:textId="77777777">
        <w:tblPrEx>
          <w:tblCellMar>
            <w:top w:w="0" w:type="dxa"/>
            <w:bottom w:w="0" w:type="dxa"/>
          </w:tblCellMar>
        </w:tblPrEx>
        <w:trPr>
          <w:trHeight w:val="267"/>
        </w:trPr>
        <w:tc>
          <w:tcPr>
            <w:tcW w:w="2778" w:type="dxa"/>
            <w:tcBorders>
              <w:top w:val="nil"/>
              <w:left w:val="nil"/>
              <w:bottom w:val="single" w:sz="4" w:space="0" w:color="auto"/>
              <w:right w:val="nil"/>
            </w:tcBorders>
            <w:vAlign w:val="center"/>
          </w:tcPr>
          <w:p w14:paraId="4737D0E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Directly attributable expenses</w:t>
            </w:r>
          </w:p>
        </w:tc>
        <w:tc>
          <w:tcPr>
            <w:tcW w:w="850" w:type="dxa"/>
            <w:tcBorders>
              <w:top w:val="nil"/>
              <w:left w:val="nil"/>
              <w:bottom w:val="single" w:sz="4" w:space="0" w:color="auto"/>
              <w:right w:val="nil"/>
            </w:tcBorders>
            <w:vAlign w:val="center"/>
          </w:tcPr>
          <w:p w14:paraId="43554026"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(49.4)</w:t>
            </w:r>
          </w:p>
        </w:tc>
        <w:tc>
          <w:tcPr>
            <w:tcW w:w="680" w:type="dxa"/>
            <w:tcBorders>
              <w:top w:val="nil"/>
              <w:left w:val="nil"/>
              <w:bottom w:val="single" w:sz="4" w:space="0" w:color="auto"/>
              <w:right w:val="nil"/>
            </w:tcBorders>
            <w:vAlign w:val="center"/>
          </w:tcPr>
          <w:p w14:paraId="388AC7A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(15.9)</w:t>
            </w:r>
          </w:p>
        </w:tc>
        <w:tc>
          <w:tcPr>
            <w:tcW w:w="737" w:type="dxa"/>
            <w:tcBorders>
              <w:top w:val="nil"/>
              <w:left w:val="nil"/>
              <w:bottom w:val="single" w:sz="4" w:space="0" w:color="auto"/>
              <w:right w:val="nil"/>
            </w:tcBorders>
            <w:vAlign w:val="center"/>
          </w:tcPr>
          <w:p w14:paraId="3F1AF17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(5.9)</w:t>
            </w:r>
          </w:p>
        </w:tc>
        <w:tc>
          <w:tcPr>
            <w:tcW w:w="680" w:type="dxa"/>
            <w:tcBorders>
              <w:top w:val="nil"/>
              <w:left w:val="nil"/>
              <w:bottom w:val="single" w:sz="4" w:space="0" w:color="auto"/>
              <w:right w:val="nil"/>
            </w:tcBorders>
            <w:vAlign w:val="center"/>
          </w:tcPr>
          <w:p w14:paraId="07AE5639"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(9.2)</w:t>
            </w:r>
          </w:p>
        </w:tc>
        <w:tc>
          <w:tcPr>
            <w:tcW w:w="850" w:type="dxa"/>
            <w:tcBorders>
              <w:top w:val="nil"/>
              <w:left w:val="nil"/>
              <w:bottom w:val="single" w:sz="4" w:space="0" w:color="auto"/>
              <w:right w:val="nil"/>
            </w:tcBorders>
            <w:vAlign w:val="center"/>
          </w:tcPr>
          <w:p w14:paraId="462E831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(25.9)</w:t>
            </w:r>
          </w:p>
        </w:tc>
        <w:tc>
          <w:tcPr>
            <w:tcW w:w="796" w:type="dxa"/>
            <w:tcBorders>
              <w:top w:val="nil"/>
              <w:left w:val="nil"/>
              <w:bottom w:val="single" w:sz="4" w:space="0" w:color="auto"/>
              <w:right w:val="nil"/>
            </w:tcBorders>
            <w:vAlign w:val="center"/>
          </w:tcPr>
          <w:p w14:paraId="01675CDA"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(49.7)</w:t>
            </w:r>
          </w:p>
        </w:tc>
        <w:tc>
          <w:tcPr>
            <w:tcW w:w="993" w:type="dxa"/>
            <w:tcBorders>
              <w:top w:val="nil"/>
              <w:left w:val="nil"/>
              <w:bottom w:val="single" w:sz="4" w:space="0" w:color="auto"/>
              <w:right w:val="nil"/>
            </w:tcBorders>
            <w:vAlign w:val="center"/>
          </w:tcPr>
          <w:p w14:paraId="7561CEB7"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5.5</w:t>
            </w:r>
          </w:p>
        </w:tc>
        <w:tc>
          <w:tcPr>
            <w:tcW w:w="992" w:type="dxa"/>
            <w:tcBorders>
              <w:top w:val="nil"/>
              <w:left w:val="nil"/>
              <w:bottom w:val="single" w:sz="4" w:space="0" w:color="auto"/>
              <w:right w:val="nil"/>
            </w:tcBorders>
            <w:vAlign w:val="center"/>
          </w:tcPr>
          <w:p w14:paraId="4444332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000000"/>
                <w:sz w:val="18"/>
                <w:szCs w:val="18"/>
                <w14:ligatures w14:val="standardContextual"/>
              </w:rPr>
            </w:pPr>
            <w:r w:rsidRPr="00756913">
              <w:rPr>
                <w:rFonts w:ascii="Arial" w:hAnsi="Arial" w:cs="Arial"/>
                <w:b/>
                <w:bCs/>
                <w:color w:val="000000"/>
                <w:sz w:val="18"/>
                <w:szCs w:val="18"/>
                <w14:ligatures w14:val="standardContextual"/>
              </w:rPr>
              <w:t>(150.5)</w:t>
            </w:r>
          </w:p>
        </w:tc>
      </w:tr>
      <w:tr w:rsidR="00756913" w:rsidRPr="00756913" w14:paraId="42D5DE1E" w14:textId="77777777">
        <w:tblPrEx>
          <w:tblCellMar>
            <w:top w:w="0" w:type="dxa"/>
            <w:bottom w:w="0" w:type="dxa"/>
          </w:tblCellMar>
        </w:tblPrEx>
        <w:trPr>
          <w:trHeight w:val="65"/>
        </w:trPr>
        <w:tc>
          <w:tcPr>
            <w:tcW w:w="2778" w:type="dxa"/>
            <w:tcBorders>
              <w:top w:val="single" w:sz="4" w:space="0" w:color="auto"/>
              <w:left w:val="nil"/>
              <w:bottom w:val="nil"/>
              <w:right w:val="nil"/>
            </w:tcBorders>
            <w:vAlign w:val="center"/>
          </w:tcPr>
          <w:p w14:paraId="570427F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EBITDA contribution</w:t>
            </w:r>
          </w:p>
        </w:tc>
        <w:tc>
          <w:tcPr>
            <w:tcW w:w="850" w:type="dxa"/>
            <w:tcBorders>
              <w:top w:val="single" w:sz="4" w:space="0" w:color="auto"/>
              <w:left w:val="nil"/>
              <w:bottom w:val="nil"/>
              <w:right w:val="nil"/>
            </w:tcBorders>
            <w:vAlign w:val="center"/>
          </w:tcPr>
          <w:p w14:paraId="557F1A3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70.5</w:t>
            </w:r>
          </w:p>
        </w:tc>
        <w:tc>
          <w:tcPr>
            <w:tcW w:w="680" w:type="dxa"/>
            <w:tcBorders>
              <w:top w:val="single" w:sz="4" w:space="0" w:color="auto"/>
              <w:left w:val="nil"/>
              <w:bottom w:val="nil"/>
              <w:right w:val="nil"/>
            </w:tcBorders>
            <w:vAlign w:val="center"/>
          </w:tcPr>
          <w:p w14:paraId="081D426B"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35.0</w:t>
            </w:r>
          </w:p>
        </w:tc>
        <w:tc>
          <w:tcPr>
            <w:tcW w:w="737" w:type="dxa"/>
            <w:tcBorders>
              <w:top w:val="single" w:sz="4" w:space="0" w:color="auto"/>
              <w:left w:val="nil"/>
              <w:bottom w:val="nil"/>
              <w:right w:val="nil"/>
            </w:tcBorders>
            <w:vAlign w:val="center"/>
          </w:tcPr>
          <w:p w14:paraId="6589AA3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10.8</w:t>
            </w:r>
          </w:p>
        </w:tc>
        <w:tc>
          <w:tcPr>
            <w:tcW w:w="680" w:type="dxa"/>
            <w:tcBorders>
              <w:top w:val="single" w:sz="4" w:space="0" w:color="auto"/>
              <w:left w:val="nil"/>
              <w:bottom w:val="nil"/>
              <w:right w:val="nil"/>
            </w:tcBorders>
            <w:vAlign w:val="center"/>
          </w:tcPr>
          <w:p w14:paraId="6D539AF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2.5</w:t>
            </w:r>
          </w:p>
        </w:tc>
        <w:tc>
          <w:tcPr>
            <w:tcW w:w="850" w:type="dxa"/>
            <w:tcBorders>
              <w:top w:val="single" w:sz="4" w:space="0" w:color="auto"/>
              <w:left w:val="nil"/>
              <w:bottom w:val="nil"/>
              <w:right w:val="nil"/>
            </w:tcBorders>
            <w:vAlign w:val="center"/>
          </w:tcPr>
          <w:p w14:paraId="3B6C6B77"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3.9</w:t>
            </w:r>
          </w:p>
        </w:tc>
        <w:tc>
          <w:tcPr>
            <w:tcW w:w="796" w:type="dxa"/>
            <w:tcBorders>
              <w:top w:val="single" w:sz="4" w:space="0" w:color="auto"/>
              <w:left w:val="nil"/>
              <w:bottom w:val="nil"/>
              <w:right w:val="nil"/>
            </w:tcBorders>
            <w:vAlign w:val="center"/>
          </w:tcPr>
          <w:p w14:paraId="49639291"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(49.7)</w:t>
            </w:r>
          </w:p>
        </w:tc>
        <w:tc>
          <w:tcPr>
            <w:tcW w:w="993" w:type="dxa"/>
            <w:tcBorders>
              <w:top w:val="single" w:sz="4" w:space="0" w:color="auto"/>
              <w:left w:val="nil"/>
              <w:bottom w:val="nil"/>
              <w:right w:val="nil"/>
            </w:tcBorders>
            <w:vAlign w:val="center"/>
          </w:tcPr>
          <w:p w14:paraId="0BFA927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p>
        </w:tc>
        <w:tc>
          <w:tcPr>
            <w:tcW w:w="992" w:type="dxa"/>
            <w:tcBorders>
              <w:top w:val="single" w:sz="4" w:space="0" w:color="auto"/>
              <w:left w:val="nil"/>
              <w:bottom w:val="nil"/>
              <w:right w:val="nil"/>
            </w:tcBorders>
            <w:vAlign w:val="center"/>
          </w:tcPr>
          <w:p w14:paraId="26D1347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000000"/>
                <w:sz w:val="18"/>
                <w:szCs w:val="18"/>
                <w14:ligatures w14:val="standardContextual"/>
              </w:rPr>
            </w:pPr>
            <w:r w:rsidRPr="00756913">
              <w:rPr>
                <w:rFonts w:ascii="Arial" w:hAnsi="Arial" w:cs="Arial"/>
                <w:b/>
                <w:bCs/>
                <w:color w:val="000000"/>
                <w:sz w:val="18"/>
                <w:szCs w:val="18"/>
                <w14:ligatures w14:val="standardContextual"/>
              </w:rPr>
              <w:t>73.0</w:t>
            </w:r>
          </w:p>
        </w:tc>
      </w:tr>
      <w:tr w:rsidR="00756913" w:rsidRPr="00756913" w14:paraId="578B0D76" w14:textId="77777777">
        <w:tblPrEx>
          <w:tblCellMar>
            <w:top w:w="0" w:type="dxa"/>
            <w:bottom w:w="0" w:type="dxa"/>
          </w:tblCellMar>
        </w:tblPrEx>
        <w:trPr>
          <w:trHeight w:val="250"/>
        </w:trPr>
        <w:tc>
          <w:tcPr>
            <w:tcW w:w="2778" w:type="dxa"/>
            <w:tcBorders>
              <w:top w:val="nil"/>
              <w:left w:val="nil"/>
              <w:bottom w:val="nil"/>
              <w:right w:val="nil"/>
            </w:tcBorders>
            <w:vAlign w:val="center"/>
          </w:tcPr>
          <w:p w14:paraId="21B7038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i/>
                <w:iCs/>
                <w:sz w:val="18"/>
                <w:szCs w:val="18"/>
                <w14:ligatures w14:val="standardContextual"/>
              </w:rPr>
            </w:pPr>
            <w:r w:rsidRPr="00756913">
              <w:rPr>
                <w:rFonts w:ascii="Arial" w:hAnsi="Arial" w:cs="Arial"/>
                <w:i/>
                <w:iCs/>
                <w:sz w:val="18"/>
                <w:szCs w:val="18"/>
                <w14:ligatures w14:val="standardContextual"/>
              </w:rPr>
              <w:t>EBITDA contribution margin*</w:t>
            </w:r>
          </w:p>
        </w:tc>
        <w:tc>
          <w:tcPr>
            <w:tcW w:w="850" w:type="dxa"/>
            <w:tcBorders>
              <w:top w:val="nil"/>
              <w:left w:val="nil"/>
              <w:bottom w:val="nil"/>
              <w:right w:val="nil"/>
            </w:tcBorders>
            <w:vAlign w:val="center"/>
          </w:tcPr>
          <w:p w14:paraId="050F620F"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r w:rsidRPr="00756913">
              <w:rPr>
                <w:rFonts w:ascii="Arial" w:hAnsi="Arial" w:cs="Arial"/>
                <w:i/>
                <w:iCs/>
                <w:color w:val="000000"/>
                <w:sz w:val="18"/>
                <w:szCs w:val="18"/>
                <w14:ligatures w14:val="standardContextual"/>
              </w:rPr>
              <w:t>59%</w:t>
            </w:r>
          </w:p>
        </w:tc>
        <w:tc>
          <w:tcPr>
            <w:tcW w:w="680" w:type="dxa"/>
            <w:tcBorders>
              <w:top w:val="nil"/>
              <w:left w:val="nil"/>
              <w:bottom w:val="nil"/>
              <w:right w:val="nil"/>
            </w:tcBorders>
            <w:vAlign w:val="center"/>
          </w:tcPr>
          <w:p w14:paraId="3A31914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r w:rsidRPr="00756913">
              <w:rPr>
                <w:rFonts w:ascii="Arial" w:hAnsi="Arial" w:cs="Arial"/>
                <w:i/>
                <w:iCs/>
                <w:color w:val="000000"/>
                <w:sz w:val="18"/>
                <w:szCs w:val="18"/>
                <w14:ligatures w14:val="standardContextual"/>
              </w:rPr>
              <w:t>69%</w:t>
            </w:r>
          </w:p>
        </w:tc>
        <w:tc>
          <w:tcPr>
            <w:tcW w:w="737" w:type="dxa"/>
            <w:tcBorders>
              <w:top w:val="nil"/>
              <w:left w:val="nil"/>
              <w:bottom w:val="nil"/>
              <w:right w:val="nil"/>
            </w:tcBorders>
            <w:vAlign w:val="center"/>
          </w:tcPr>
          <w:p w14:paraId="1A9EEA4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r w:rsidRPr="00756913">
              <w:rPr>
                <w:rFonts w:ascii="Arial" w:hAnsi="Arial" w:cs="Arial"/>
                <w:i/>
                <w:iCs/>
                <w:color w:val="000000"/>
                <w:sz w:val="18"/>
                <w:szCs w:val="18"/>
                <w14:ligatures w14:val="standardContextual"/>
              </w:rPr>
              <w:t>64%</w:t>
            </w:r>
          </w:p>
        </w:tc>
        <w:tc>
          <w:tcPr>
            <w:tcW w:w="680" w:type="dxa"/>
            <w:tcBorders>
              <w:top w:val="nil"/>
              <w:left w:val="nil"/>
              <w:bottom w:val="nil"/>
              <w:right w:val="nil"/>
            </w:tcBorders>
            <w:vAlign w:val="center"/>
          </w:tcPr>
          <w:p w14:paraId="5D8E299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r w:rsidRPr="00756913">
              <w:rPr>
                <w:rFonts w:ascii="Arial" w:hAnsi="Arial" w:cs="Arial"/>
                <w:i/>
                <w:iCs/>
                <w:color w:val="000000"/>
                <w:sz w:val="18"/>
                <w:szCs w:val="18"/>
                <w14:ligatures w14:val="standardContextual"/>
              </w:rPr>
              <w:t>22%</w:t>
            </w:r>
          </w:p>
        </w:tc>
        <w:tc>
          <w:tcPr>
            <w:tcW w:w="850" w:type="dxa"/>
            <w:tcBorders>
              <w:top w:val="nil"/>
              <w:left w:val="nil"/>
              <w:bottom w:val="nil"/>
              <w:right w:val="nil"/>
            </w:tcBorders>
            <w:vAlign w:val="center"/>
          </w:tcPr>
          <w:p w14:paraId="31DF4FFE"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r w:rsidRPr="00756913">
              <w:rPr>
                <w:rFonts w:ascii="Arial" w:hAnsi="Arial" w:cs="Arial"/>
                <w:i/>
                <w:iCs/>
                <w:color w:val="000000"/>
                <w:sz w:val="18"/>
                <w:szCs w:val="18"/>
                <w14:ligatures w14:val="standardContextual"/>
              </w:rPr>
              <w:t>13%</w:t>
            </w:r>
          </w:p>
        </w:tc>
        <w:tc>
          <w:tcPr>
            <w:tcW w:w="796" w:type="dxa"/>
            <w:tcBorders>
              <w:top w:val="nil"/>
              <w:left w:val="nil"/>
              <w:bottom w:val="nil"/>
              <w:right w:val="nil"/>
            </w:tcBorders>
            <w:vAlign w:val="center"/>
          </w:tcPr>
          <w:p w14:paraId="5F0C8296"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p>
        </w:tc>
        <w:tc>
          <w:tcPr>
            <w:tcW w:w="993" w:type="dxa"/>
            <w:tcBorders>
              <w:top w:val="nil"/>
              <w:left w:val="nil"/>
              <w:bottom w:val="nil"/>
              <w:right w:val="nil"/>
            </w:tcBorders>
            <w:vAlign w:val="center"/>
          </w:tcPr>
          <w:p w14:paraId="7DFAA0F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p>
        </w:tc>
        <w:tc>
          <w:tcPr>
            <w:tcW w:w="992" w:type="dxa"/>
            <w:tcBorders>
              <w:top w:val="nil"/>
              <w:left w:val="nil"/>
              <w:bottom w:val="nil"/>
              <w:right w:val="nil"/>
            </w:tcBorders>
            <w:vAlign w:val="center"/>
          </w:tcPr>
          <w:p w14:paraId="12FEE45A"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i/>
                <w:iCs/>
                <w:color w:val="000000"/>
                <w:sz w:val="18"/>
                <w:szCs w:val="18"/>
                <w14:ligatures w14:val="standardContextual"/>
              </w:rPr>
            </w:pPr>
            <w:r w:rsidRPr="00756913">
              <w:rPr>
                <w:rFonts w:ascii="Arial" w:hAnsi="Arial" w:cs="Arial"/>
                <w:b/>
                <w:bCs/>
                <w:i/>
                <w:iCs/>
                <w:color w:val="000000"/>
                <w:sz w:val="18"/>
                <w:szCs w:val="18"/>
                <w14:ligatures w14:val="standardContextual"/>
              </w:rPr>
              <w:t>33%</w:t>
            </w:r>
          </w:p>
        </w:tc>
      </w:tr>
      <w:tr w:rsidR="00756913" w:rsidRPr="00756913" w14:paraId="31E17041" w14:textId="77777777">
        <w:tblPrEx>
          <w:tblCellMar>
            <w:top w:w="0" w:type="dxa"/>
            <w:bottom w:w="0" w:type="dxa"/>
          </w:tblCellMar>
        </w:tblPrEx>
        <w:trPr>
          <w:trHeight w:val="267"/>
        </w:trPr>
        <w:tc>
          <w:tcPr>
            <w:tcW w:w="2778" w:type="dxa"/>
            <w:tcBorders>
              <w:top w:val="nil"/>
              <w:left w:val="nil"/>
              <w:bottom w:val="nil"/>
              <w:right w:val="nil"/>
            </w:tcBorders>
            <w:vAlign w:val="center"/>
          </w:tcPr>
          <w:p w14:paraId="0C904DA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Depreciation and amortisation</w:t>
            </w:r>
          </w:p>
        </w:tc>
        <w:tc>
          <w:tcPr>
            <w:tcW w:w="850" w:type="dxa"/>
            <w:tcBorders>
              <w:top w:val="nil"/>
              <w:left w:val="nil"/>
              <w:bottom w:val="nil"/>
              <w:right w:val="nil"/>
            </w:tcBorders>
            <w:vAlign w:val="center"/>
          </w:tcPr>
          <w:p w14:paraId="16FE99DE"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nil"/>
              <w:right w:val="nil"/>
            </w:tcBorders>
            <w:vAlign w:val="center"/>
          </w:tcPr>
          <w:p w14:paraId="4061899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37" w:type="dxa"/>
            <w:tcBorders>
              <w:top w:val="nil"/>
              <w:left w:val="nil"/>
              <w:bottom w:val="nil"/>
              <w:right w:val="nil"/>
            </w:tcBorders>
            <w:vAlign w:val="center"/>
          </w:tcPr>
          <w:p w14:paraId="78E8BC5F"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nil"/>
              <w:right w:val="nil"/>
            </w:tcBorders>
            <w:vAlign w:val="center"/>
          </w:tcPr>
          <w:p w14:paraId="138F8A24"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850" w:type="dxa"/>
            <w:tcBorders>
              <w:top w:val="nil"/>
              <w:left w:val="nil"/>
              <w:bottom w:val="nil"/>
              <w:right w:val="nil"/>
            </w:tcBorders>
            <w:vAlign w:val="center"/>
          </w:tcPr>
          <w:p w14:paraId="04B343D9"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96" w:type="dxa"/>
            <w:tcBorders>
              <w:top w:val="nil"/>
              <w:left w:val="nil"/>
              <w:bottom w:val="nil"/>
              <w:right w:val="nil"/>
            </w:tcBorders>
            <w:vAlign w:val="center"/>
          </w:tcPr>
          <w:p w14:paraId="6C3E9B38"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3" w:type="dxa"/>
            <w:tcBorders>
              <w:top w:val="nil"/>
              <w:left w:val="nil"/>
              <w:bottom w:val="nil"/>
              <w:right w:val="nil"/>
            </w:tcBorders>
            <w:vAlign w:val="center"/>
          </w:tcPr>
          <w:p w14:paraId="38D5A6CF"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776D2997"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000000"/>
                <w:sz w:val="18"/>
                <w:szCs w:val="18"/>
                <w14:ligatures w14:val="standardContextual"/>
              </w:rPr>
            </w:pPr>
            <w:r w:rsidRPr="00756913">
              <w:rPr>
                <w:rFonts w:ascii="Arial" w:hAnsi="Arial" w:cs="Arial"/>
                <w:b/>
                <w:bCs/>
                <w:color w:val="000000"/>
                <w:sz w:val="18"/>
                <w:szCs w:val="18"/>
                <w14:ligatures w14:val="standardContextual"/>
              </w:rPr>
              <w:t>(12.6)</w:t>
            </w:r>
          </w:p>
        </w:tc>
      </w:tr>
      <w:tr w:rsidR="00756913" w:rsidRPr="00756913" w14:paraId="6A685A43" w14:textId="77777777">
        <w:tblPrEx>
          <w:tblCellMar>
            <w:top w:w="0" w:type="dxa"/>
            <w:bottom w:w="0" w:type="dxa"/>
          </w:tblCellMar>
        </w:tblPrEx>
        <w:trPr>
          <w:trHeight w:val="266"/>
        </w:trPr>
        <w:tc>
          <w:tcPr>
            <w:tcW w:w="2778" w:type="dxa"/>
            <w:tcBorders>
              <w:top w:val="nil"/>
              <w:left w:val="nil"/>
              <w:bottom w:val="nil"/>
              <w:right w:val="nil"/>
            </w:tcBorders>
            <w:vAlign w:val="center"/>
          </w:tcPr>
          <w:p w14:paraId="309C44C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Net finance expense</w:t>
            </w:r>
          </w:p>
        </w:tc>
        <w:tc>
          <w:tcPr>
            <w:tcW w:w="850" w:type="dxa"/>
            <w:tcBorders>
              <w:top w:val="nil"/>
              <w:left w:val="nil"/>
              <w:bottom w:val="nil"/>
              <w:right w:val="nil"/>
            </w:tcBorders>
            <w:vAlign w:val="center"/>
          </w:tcPr>
          <w:p w14:paraId="76068377"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nil"/>
              <w:right w:val="nil"/>
            </w:tcBorders>
            <w:vAlign w:val="center"/>
          </w:tcPr>
          <w:p w14:paraId="72EE66E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37" w:type="dxa"/>
            <w:tcBorders>
              <w:top w:val="nil"/>
              <w:left w:val="nil"/>
              <w:bottom w:val="nil"/>
              <w:right w:val="nil"/>
            </w:tcBorders>
            <w:vAlign w:val="center"/>
          </w:tcPr>
          <w:p w14:paraId="3EEDF9A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nil"/>
              <w:right w:val="nil"/>
            </w:tcBorders>
            <w:vAlign w:val="center"/>
          </w:tcPr>
          <w:p w14:paraId="4A8EE71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850" w:type="dxa"/>
            <w:tcBorders>
              <w:top w:val="nil"/>
              <w:left w:val="nil"/>
              <w:bottom w:val="nil"/>
              <w:right w:val="nil"/>
            </w:tcBorders>
            <w:vAlign w:val="center"/>
          </w:tcPr>
          <w:p w14:paraId="67432C8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96" w:type="dxa"/>
            <w:tcBorders>
              <w:top w:val="nil"/>
              <w:left w:val="nil"/>
              <w:bottom w:val="nil"/>
              <w:right w:val="nil"/>
            </w:tcBorders>
            <w:vAlign w:val="center"/>
          </w:tcPr>
          <w:p w14:paraId="170FF71C"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3" w:type="dxa"/>
            <w:tcBorders>
              <w:top w:val="nil"/>
              <w:left w:val="nil"/>
              <w:bottom w:val="nil"/>
              <w:right w:val="nil"/>
            </w:tcBorders>
            <w:vAlign w:val="center"/>
          </w:tcPr>
          <w:p w14:paraId="5A87AC4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21E85DEF"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(2.3)</w:t>
            </w:r>
          </w:p>
        </w:tc>
      </w:tr>
      <w:tr w:rsidR="00756913" w:rsidRPr="00756913" w14:paraId="7CDE1035" w14:textId="77777777">
        <w:tblPrEx>
          <w:tblCellMar>
            <w:top w:w="0" w:type="dxa"/>
            <w:bottom w:w="0" w:type="dxa"/>
          </w:tblCellMar>
        </w:tblPrEx>
        <w:trPr>
          <w:trHeight w:val="267"/>
        </w:trPr>
        <w:tc>
          <w:tcPr>
            <w:tcW w:w="2778" w:type="dxa"/>
            <w:tcBorders>
              <w:top w:val="single" w:sz="4" w:space="0" w:color="auto"/>
              <w:left w:val="nil"/>
              <w:bottom w:val="nil"/>
              <w:right w:val="nil"/>
            </w:tcBorders>
            <w:vAlign w:val="center"/>
          </w:tcPr>
          <w:p w14:paraId="405B9E4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Profit before tax</w:t>
            </w:r>
          </w:p>
        </w:tc>
        <w:tc>
          <w:tcPr>
            <w:tcW w:w="850" w:type="dxa"/>
            <w:tcBorders>
              <w:top w:val="single" w:sz="4" w:space="0" w:color="auto"/>
              <w:left w:val="nil"/>
              <w:bottom w:val="nil"/>
              <w:right w:val="nil"/>
            </w:tcBorders>
            <w:vAlign w:val="center"/>
          </w:tcPr>
          <w:p w14:paraId="15D3A66B"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single" w:sz="4" w:space="0" w:color="auto"/>
              <w:left w:val="nil"/>
              <w:bottom w:val="nil"/>
              <w:right w:val="nil"/>
            </w:tcBorders>
            <w:vAlign w:val="center"/>
          </w:tcPr>
          <w:p w14:paraId="73A4192E"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37" w:type="dxa"/>
            <w:tcBorders>
              <w:top w:val="single" w:sz="4" w:space="0" w:color="auto"/>
              <w:left w:val="nil"/>
              <w:bottom w:val="nil"/>
              <w:right w:val="nil"/>
            </w:tcBorders>
            <w:vAlign w:val="center"/>
          </w:tcPr>
          <w:p w14:paraId="7966F06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single" w:sz="4" w:space="0" w:color="auto"/>
              <w:left w:val="nil"/>
              <w:bottom w:val="nil"/>
              <w:right w:val="nil"/>
            </w:tcBorders>
            <w:vAlign w:val="center"/>
          </w:tcPr>
          <w:p w14:paraId="7D21481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850" w:type="dxa"/>
            <w:tcBorders>
              <w:top w:val="single" w:sz="4" w:space="0" w:color="auto"/>
              <w:left w:val="nil"/>
              <w:bottom w:val="nil"/>
              <w:right w:val="nil"/>
            </w:tcBorders>
            <w:vAlign w:val="center"/>
          </w:tcPr>
          <w:p w14:paraId="00D7FF91"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96" w:type="dxa"/>
            <w:tcBorders>
              <w:top w:val="single" w:sz="4" w:space="0" w:color="auto"/>
              <w:left w:val="nil"/>
              <w:bottom w:val="nil"/>
              <w:right w:val="nil"/>
            </w:tcBorders>
            <w:vAlign w:val="center"/>
          </w:tcPr>
          <w:p w14:paraId="7974035D"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3" w:type="dxa"/>
            <w:tcBorders>
              <w:top w:val="single" w:sz="4" w:space="0" w:color="auto"/>
              <w:left w:val="nil"/>
              <w:bottom w:val="nil"/>
              <w:right w:val="nil"/>
            </w:tcBorders>
            <w:vAlign w:val="center"/>
          </w:tcPr>
          <w:p w14:paraId="72B1EEA2"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single" w:sz="4" w:space="0" w:color="auto"/>
              <w:left w:val="nil"/>
              <w:bottom w:val="nil"/>
              <w:right w:val="nil"/>
            </w:tcBorders>
            <w:vAlign w:val="center"/>
          </w:tcPr>
          <w:p w14:paraId="2F1CBF27"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58.1</w:t>
            </w:r>
          </w:p>
        </w:tc>
      </w:tr>
      <w:tr w:rsidR="00756913" w:rsidRPr="00756913" w14:paraId="002475AE" w14:textId="77777777">
        <w:tblPrEx>
          <w:tblCellMar>
            <w:top w:w="0" w:type="dxa"/>
            <w:bottom w:w="0" w:type="dxa"/>
          </w:tblCellMar>
        </w:tblPrEx>
        <w:trPr>
          <w:trHeight w:val="250"/>
        </w:trPr>
        <w:tc>
          <w:tcPr>
            <w:tcW w:w="2778" w:type="dxa"/>
            <w:tcBorders>
              <w:top w:val="nil"/>
              <w:left w:val="nil"/>
              <w:bottom w:val="single" w:sz="4" w:space="0" w:color="auto"/>
              <w:right w:val="nil"/>
            </w:tcBorders>
            <w:vAlign w:val="center"/>
          </w:tcPr>
          <w:p w14:paraId="6E20C7A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Taxation</w:t>
            </w:r>
          </w:p>
        </w:tc>
        <w:tc>
          <w:tcPr>
            <w:tcW w:w="850" w:type="dxa"/>
            <w:tcBorders>
              <w:top w:val="nil"/>
              <w:left w:val="nil"/>
              <w:bottom w:val="single" w:sz="4" w:space="0" w:color="auto"/>
              <w:right w:val="nil"/>
            </w:tcBorders>
            <w:vAlign w:val="center"/>
          </w:tcPr>
          <w:p w14:paraId="7A990C97"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single" w:sz="4" w:space="0" w:color="auto"/>
              <w:right w:val="nil"/>
            </w:tcBorders>
            <w:vAlign w:val="center"/>
          </w:tcPr>
          <w:p w14:paraId="5C84E77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37" w:type="dxa"/>
            <w:tcBorders>
              <w:top w:val="nil"/>
              <w:left w:val="nil"/>
              <w:bottom w:val="single" w:sz="4" w:space="0" w:color="auto"/>
              <w:right w:val="nil"/>
            </w:tcBorders>
            <w:vAlign w:val="center"/>
          </w:tcPr>
          <w:p w14:paraId="71B11F7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single" w:sz="4" w:space="0" w:color="auto"/>
              <w:right w:val="nil"/>
            </w:tcBorders>
            <w:vAlign w:val="center"/>
          </w:tcPr>
          <w:p w14:paraId="3310100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850" w:type="dxa"/>
            <w:tcBorders>
              <w:top w:val="nil"/>
              <w:left w:val="nil"/>
              <w:bottom w:val="single" w:sz="4" w:space="0" w:color="auto"/>
              <w:right w:val="nil"/>
            </w:tcBorders>
            <w:vAlign w:val="center"/>
          </w:tcPr>
          <w:p w14:paraId="0A43148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96" w:type="dxa"/>
            <w:tcBorders>
              <w:top w:val="nil"/>
              <w:left w:val="nil"/>
              <w:bottom w:val="single" w:sz="4" w:space="0" w:color="auto"/>
              <w:right w:val="nil"/>
            </w:tcBorders>
            <w:vAlign w:val="center"/>
          </w:tcPr>
          <w:p w14:paraId="4A77B69E"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3" w:type="dxa"/>
            <w:tcBorders>
              <w:top w:val="nil"/>
              <w:left w:val="nil"/>
              <w:bottom w:val="single" w:sz="4" w:space="0" w:color="auto"/>
              <w:right w:val="nil"/>
            </w:tcBorders>
            <w:vAlign w:val="center"/>
          </w:tcPr>
          <w:p w14:paraId="6DA5A5FC"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single" w:sz="4" w:space="0" w:color="auto"/>
              <w:right w:val="nil"/>
            </w:tcBorders>
            <w:vAlign w:val="center"/>
          </w:tcPr>
          <w:p w14:paraId="06DDA58B"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(14.0)</w:t>
            </w:r>
          </w:p>
        </w:tc>
      </w:tr>
      <w:tr w:rsidR="00756913" w:rsidRPr="00756913" w14:paraId="4B894E6D" w14:textId="77777777">
        <w:tblPrEx>
          <w:tblCellMar>
            <w:top w:w="0" w:type="dxa"/>
            <w:bottom w:w="0" w:type="dxa"/>
          </w:tblCellMar>
        </w:tblPrEx>
        <w:trPr>
          <w:trHeight w:val="250"/>
        </w:trPr>
        <w:tc>
          <w:tcPr>
            <w:tcW w:w="2778" w:type="dxa"/>
            <w:tcBorders>
              <w:top w:val="single" w:sz="4" w:space="0" w:color="auto"/>
              <w:left w:val="nil"/>
              <w:bottom w:val="single" w:sz="12" w:space="0" w:color="auto"/>
              <w:right w:val="nil"/>
            </w:tcBorders>
            <w:vAlign w:val="center"/>
          </w:tcPr>
          <w:p w14:paraId="11C33FD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Profit for the period</w:t>
            </w:r>
          </w:p>
        </w:tc>
        <w:tc>
          <w:tcPr>
            <w:tcW w:w="850" w:type="dxa"/>
            <w:tcBorders>
              <w:top w:val="single" w:sz="4" w:space="0" w:color="auto"/>
              <w:left w:val="nil"/>
              <w:bottom w:val="single" w:sz="12" w:space="0" w:color="auto"/>
              <w:right w:val="nil"/>
            </w:tcBorders>
            <w:vAlign w:val="center"/>
          </w:tcPr>
          <w:p w14:paraId="0A742A32"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single" w:sz="4" w:space="0" w:color="auto"/>
              <w:left w:val="nil"/>
              <w:bottom w:val="single" w:sz="12" w:space="0" w:color="auto"/>
              <w:right w:val="nil"/>
            </w:tcBorders>
            <w:vAlign w:val="center"/>
          </w:tcPr>
          <w:p w14:paraId="258365E9"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37" w:type="dxa"/>
            <w:tcBorders>
              <w:top w:val="single" w:sz="4" w:space="0" w:color="auto"/>
              <w:left w:val="nil"/>
              <w:bottom w:val="single" w:sz="12" w:space="0" w:color="auto"/>
              <w:right w:val="nil"/>
            </w:tcBorders>
            <w:vAlign w:val="center"/>
          </w:tcPr>
          <w:p w14:paraId="3CE96BF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single" w:sz="4" w:space="0" w:color="auto"/>
              <w:left w:val="nil"/>
              <w:bottom w:val="single" w:sz="12" w:space="0" w:color="auto"/>
              <w:right w:val="nil"/>
            </w:tcBorders>
            <w:vAlign w:val="center"/>
          </w:tcPr>
          <w:p w14:paraId="61DF2031"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850" w:type="dxa"/>
            <w:tcBorders>
              <w:top w:val="single" w:sz="4" w:space="0" w:color="auto"/>
              <w:left w:val="nil"/>
              <w:bottom w:val="single" w:sz="12" w:space="0" w:color="auto"/>
              <w:right w:val="nil"/>
            </w:tcBorders>
            <w:vAlign w:val="center"/>
          </w:tcPr>
          <w:p w14:paraId="47E2EC9D"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96" w:type="dxa"/>
            <w:tcBorders>
              <w:top w:val="single" w:sz="4" w:space="0" w:color="auto"/>
              <w:left w:val="nil"/>
              <w:bottom w:val="single" w:sz="12" w:space="0" w:color="auto"/>
              <w:right w:val="nil"/>
            </w:tcBorders>
            <w:vAlign w:val="center"/>
          </w:tcPr>
          <w:p w14:paraId="679C23B1"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3" w:type="dxa"/>
            <w:tcBorders>
              <w:top w:val="single" w:sz="4" w:space="0" w:color="auto"/>
              <w:left w:val="nil"/>
              <w:bottom w:val="single" w:sz="12" w:space="0" w:color="auto"/>
              <w:right w:val="nil"/>
            </w:tcBorders>
            <w:vAlign w:val="center"/>
          </w:tcPr>
          <w:p w14:paraId="6C122347"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single" w:sz="4" w:space="0" w:color="auto"/>
              <w:left w:val="nil"/>
              <w:bottom w:val="single" w:sz="12" w:space="0" w:color="auto"/>
              <w:right w:val="nil"/>
            </w:tcBorders>
            <w:vAlign w:val="center"/>
          </w:tcPr>
          <w:p w14:paraId="0EE03CC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44.1</w:t>
            </w:r>
          </w:p>
        </w:tc>
      </w:tr>
      <w:tr w:rsidR="00756913" w:rsidRPr="00756913" w14:paraId="39DEC3FD" w14:textId="77777777">
        <w:tblPrEx>
          <w:tblCellMar>
            <w:top w:w="0" w:type="dxa"/>
            <w:bottom w:w="0" w:type="dxa"/>
          </w:tblCellMar>
        </w:tblPrEx>
        <w:trPr>
          <w:trHeight w:val="625"/>
        </w:trPr>
        <w:tc>
          <w:tcPr>
            <w:tcW w:w="2778" w:type="dxa"/>
            <w:tcBorders>
              <w:top w:val="nil"/>
              <w:left w:val="nil"/>
              <w:bottom w:val="single" w:sz="4" w:space="0" w:color="auto"/>
              <w:right w:val="nil"/>
            </w:tcBorders>
            <w:vAlign w:val="center"/>
          </w:tcPr>
          <w:p w14:paraId="6D929026" w14:textId="77777777" w:rsidR="00756913" w:rsidRPr="00756913" w:rsidRDefault="00756913" w:rsidP="00756913">
            <w:pPr>
              <w:tabs>
                <w:tab w:val="left" w:pos="709"/>
                <w:tab w:val="left" w:pos="1559"/>
                <w:tab w:val="left" w:pos="2268"/>
                <w:tab w:val="left" w:pos="2977"/>
                <w:tab w:val="left" w:pos="3686"/>
                <w:tab w:val="left" w:pos="4394"/>
                <w:tab w:val="right" w:pos="8789"/>
              </w:tabs>
              <w:suppressAutoHyphens/>
              <w:autoSpaceDE w:val="0"/>
              <w:autoSpaceDN w:val="0"/>
              <w:adjustRightInd w:val="0"/>
              <w:spacing w:before="130" w:after="0" w:line="260" w:lineRule="atLeast"/>
              <w:rPr>
                <w:rFonts w:ascii="Arial" w:hAnsi="Arial" w:cs="Arial"/>
                <w:b/>
                <w:bCs/>
                <w14:ligatures w14:val="standardContextual"/>
              </w:rPr>
            </w:pPr>
            <w:r w:rsidRPr="00756913">
              <w:rPr>
                <w:rFonts w:ascii="Arial" w:hAnsi="Arial" w:cs="Arial"/>
                <w:b/>
                <w:bCs/>
                <w:sz w:val="18"/>
                <w:szCs w:val="18"/>
                <w14:ligatures w14:val="standardContextual"/>
              </w:rPr>
              <w:t>Segment</w:t>
            </w:r>
          </w:p>
        </w:tc>
        <w:tc>
          <w:tcPr>
            <w:tcW w:w="850" w:type="dxa"/>
            <w:tcBorders>
              <w:top w:val="nil"/>
              <w:left w:val="nil"/>
              <w:bottom w:val="single" w:sz="4" w:space="0" w:color="auto"/>
              <w:right w:val="nil"/>
            </w:tcBorders>
            <w:vAlign w:val="bottom"/>
          </w:tcPr>
          <w:p w14:paraId="2AB0F8DE"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Insurance</w:t>
            </w:r>
          </w:p>
          <w:p w14:paraId="6248284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680" w:type="dxa"/>
            <w:tcBorders>
              <w:top w:val="nil"/>
              <w:left w:val="nil"/>
              <w:bottom w:val="single" w:sz="4" w:space="0" w:color="auto"/>
              <w:right w:val="nil"/>
            </w:tcBorders>
            <w:vAlign w:val="bottom"/>
          </w:tcPr>
          <w:p w14:paraId="053D03A8"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Money</w:t>
            </w:r>
          </w:p>
          <w:p w14:paraId="10C206CC"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737" w:type="dxa"/>
            <w:tcBorders>
              <w:top w:val="nil"/>
              <w:left w:val="nil"/>
              <w:bottom w:val="single" w:sz="4" w:space="0" w:color="auto"/>
              <w:right w:val="nil"/>
            </w:tcBorders>
            <w:vAlign w:val="bottom"/>
          </w:tcPr>
          <w:p w14:paraId="7E8B6D8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Home Services</w:t>
            </w:r>
          </w:p>
          <w:p w14:paraId="45F53DA4"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680" w:type="dxa"/>
            <w:tcBorders>
              <w:top w:val="nil"/>
              <w:left w:val="nil"/>
              <w:bottom w:val="single" w:sz="4" w:space="0" w:color="auto"/>
              <w:right w:val="nil"/>
            </w:tcBorders>
            <w:vAlign w:val="bottom"/>
          </w:tcPr>
          <w:p w14:paraId="6C4A8A9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Travel</w:t>
            </w:r>
          </w:p>
          <w:p w14:paraId="02B32CFB"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850" w:type="dxa"/>
            <w:tcBorders>
              <w:top w:val="nil"/>
              <w:left w:val="nil"/>
              <w:bottom w:val="single" w:sz="4" w:space="0" w:color="auto"/>
              <w:right w:val="nil"/>
            </w:tcBorders>
            <w:vAlign w:val="bottom"/>
          </w:tcPr>
          <w:p w14:paraId="2ED14B2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Cashback</w:t>
            </w:r>
          </w:p>
          <w:p w14:paraId="2E3D43A8"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796" w:type="dxa"/>
            <w:tcBorders>
              <w:top w:val="nil"/>
              <w:left w:val="nil"/>
              <w:bottom w:val="single" w:sz="4" w:space="0" w:color="auto"/>
              <w:right w:val="nil"/>
            </w:tcBorders>
            <w:vAlign w:val="bottom"/>
          </w:tcPr>
          <w:p w14:paraId="7F5953C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Shared costs</w:t>
            </w:r>
          </w:p>
          <w:p w14:paraId="20EEF72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993" w:type="dxa"/>
            <w:tcBorders>
              <w:top w:val="nil"/>
              <w:left w:val="nil"/>
              <w:bottom w:val="single" w:sz="4" w:space="0" w:color="auto"/>
              <w:right w:val="nil"/>
            </w:tcBorders>
          </w:tcPr>
          <w:p w14:paraId="0A8C0CCD"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p>
          <w:p w14:paraId="39D3DD74"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Inter-vertical eliminations**</w:t>
            </w:r>
          </w:p>
          <w:p w14:paraId="0FE381D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£m</w:t>
            </w:r>
          </w:p>
        </w:tc>
        <w:tc>
          <w:tcPr>
            <w:tcW w:w="992" w:type="dxa"/>
            <w:tcBorders>
              <w:top w:val="nil"/>
              <w:left w:val="nil"/>
              <w:bottom w:val="single" w:sz="4" w:space="0" w:color="auto"/>
              <w:right w:val="nil"/>
            </w:tcBorders>
            <w:vAlign w:val="bottom"/>
          </w:tcPr>
          <w:p w14:paraId="25F8A84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4"/>
                <w:szCs w:val="14"/>
                <w14:ligatures w14:val="standardContextual"/>
              </w:rPr>
            </w:pPr>
            <w:r w:rsidRPr="00756913">
              <w:rPr>
                <w:rFonts w:ascii="Arial" w:hAnsi="Arial" w:cs="Arial"/>
                <w:b/>
                <w:bCs/>
                <w:sz w:val="14"/>
                <w:szCs w:val="14"/>
                <w14:ligatures w14:val="standardContextual"/>
              </w:rPr>
              <w:t>Total</w:t>
            </w:r>
          </w:p>
          <w:p w14:paraId="4F5CE58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4"/>
                <w:szCs w:val="14"/>
                <w14:ligatures w14:val="standardContextual"/>
              </w:rPr>
            </w:pPr>
            <w:r w:rsidRPr="00756913">
              <w:rPr>
                <w:rFonts w:ascii="Arial" w:hAnsi="Arial" w:cs="Arial"/>
                <w:b/>
                <w:bCs/>
                <w:sz w:val="14"/>
                <w:szCs w:val="14"/>
                <w14:ligatures w14:val="standardContextual"/>
              </w:rPr>
              <w:t>£m</w:t>
            </w:r>
          </w:p>
        </w:tc>
      </w:tr>
      <w:tr w:rsidR="00756913" w:rsidRPr="00756913" w14:paraId="56F88F92" w14:textId="77777777">
        <w:tblPrEx>
          <w:tblCellMar>
            <w:top w:w="0" w:type="dxa"/>
            <w:bottom w:w="0" w:type="dxa"/>
          </w:tblCellMar>
        </w:tblPrEx>
        <w:trPr>
          <w:trHeight w:val="267"/>
        </w:trPr>
        <w:tc>
          <w:tcPr>
            <w:tcW w:w="2778" w:type="dxa"/>
            <w:tcBorders>
              <w:top w:val="single" w:sz="4" w:space="0" w:color="auto"/>
              <w:left w:val="nil"/>
              <w:bottom w:val="nil"/>
              <w:right w:val="nil"/>
            </w:tcBorders>
            <w:vAlign w:val="center"/>
          </w:tcPr>
          <w:p w14:paraId="3211871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Period ended 30 June 2023</w:t>
            </w:r>
          </w:p>
        </w:tc>
        <w:tc>
          <w:tcPr>
            <w:tcW w:w="850" w:type="dxa"/>
            <w:tcBorders>
              <w:top w:val="single" w:sz="4" w:space="0" w:color="auto"/>
              <w:left w:val="nil"/>
              <w:bottom w:val="nil"/>
              <w:right w:val="nil"/>
            </w:tcBorders>
            <w:vAlign w:val="center"/>
          </w:tcPr>
          <w:p w14:paraId="65796B4E"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680" w:type="dxa"/>
            <w:tcBorders>
              <w:top w:val="single" w:sz="4" w:space="0" w:color="auto"/>
              <w:left w:val="nil"/>
              <w:bottom w:val="nil"/>
              <w:right w:val="nil"/>
            </w:tcBorders>
            <w:vAlign w:val="center"/>
          </w:tcPr>
          <w:p w14:paraId="7E166E44"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737" w:type="dxa"/>
            <w:tcBorders>
              <w:top w:val="single" w:sz="4" w:space="0" w:color="auto"/>
              <w:left w:val="nil"/>
              <w:bottom w:val="nil"/>
              <w:right w:val="nil"/>
            </w:tcBorders>
            <w:vAlign w:val="center"/>
          </w:tcPr>
          <w:p w14:paraId="3D912C3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u w:val="single"/>
                <w14:ligatures w14:val="standardContextual"/>
              </w:rPr>
            </w:pPr>
          </w:p>
        </w:tc>
        <w:tc>
          <w:tcPr>
            <w:tcW w:w="680" w:type="dxa"/>
            <w:tcBorders>
              <w:top w:val="single" w:sz="4" w:space="0" w:color="auto"/>
              <w:left w:val="nil"/>
              <w:bottom w:val="nil"/>
              <w:right w:val="nil"/>
            </w:tcBorders>
            <w:vAlign w:val="center"/>
          </w:tcPr>
          <w:p w14:paraId="055A7AED"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850" w:type="dxa"/>
            <w:tcBorders>
              <w:top w:val="single" w:sz="4" w:space="0" w:color="auto"/>
              <w:left w:val="nil"/>
              <w:bottom w:val="nil"/>
              <w:right w:val="nil"/>
            </w:tcBorders>
            <w:vAlign w:val="center"/>
          </w:tcPr>
          <w:p w14:paraId="7B2A7F01"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796" w:type="dxa"/>
            <w:tcBorders>
              <w:top w:val="single" w:sz="4" w:space="0" w:color="auto"/>
              <w:left w:val="nil"/>
              <w:bottom w:val="nil"/>
              <w:right w:val="nil"/>
            </w:tcBorders>
            <w:vAlign w:val="center"/>
          </w:tcPr>
          <w:p w14:paraId="2857505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993" w:type="dxa"/>
            <w:tcBorders>
              <w:top w:val="single" w:sz="4" w:space="0" w:color="auto"/>
              <w:left w:val="nil"/>
              <w:bottom w:val="nil"/>
              <w:right w:val="nil"/>
            </w:tcBorders>
            <w:vAlign w:val="center"/>
          </w:tcPr>
          <w:p w14:paraId="38B0C5C9"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c>
          <w:tcPr>
            <w:tcW w:w="992" w:type="dxa"/>
            <w:tcBorders>
              <w:top w:val="single" w:sz="4" w:space="0" w:color="auto"/>
              <w:left w:val="nil"/>
              <w:bottom w:val="nil"/>
              <w:right w:val="nil"/>
            </w:tcBorders>
            <w:vAlign w:val="center"/>
          </w:tcPr>
          <w:p w14:paraId="70A076C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color w:val="FF0000"/>
                <w:sz w:val="18"/>
                <w:szCs w:val="18"/>
                <w:u w:val="single"/>
                <w14:ligatures w14:val="standardContextual"/>
              </w:rPr>
            </w:pPr>
          </w:p>
        </w:tc>
      </w:tr>
      <w:tr w:rsidR="00756913" w:rsidRPr="00756913" w14:paraId="585F4808" w14:textId="77777777">
        <w:tblPrEx>
          <w:tblCellMar>
            <w:top w:w="0" w:type="dxa"/>
            <w:bottom w:w="0" w:type="dxa"/>
          </w:tblCellMar>
        </w:tblPrEx>
        <w:trPr>
          <w:trHeight w:val="250"/>
        </w:trPr>
        <w:tc>
          <w:tcPr>
            <w:tcW w:w="2778" w:type="dxa"/>
            <w:tcBorders>
              <w:top w:val="nil"/>
              <w:left w:val="nil"/>
              <w:bottom w:val="nil"/>
              <w:right w:val="nil"/>
            </w:tcBorders>
            <w:vAlign w:val="center"/>
          </w:tcPr>
          <w:p w14:paraId="18A8BC9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Revenue</w:t>
            </w:r>
          </w:p>
        </w:tc>
        <w:tc>
          <w:tcPr>
            <w:tcW w:w="850" w:type="dxa"/>
            <w:tcBorders>
              <w:top w:val="nil"/>
              <w:left w:val="nil"/>
              <w:bottom w:val="nil"/>
              <w:right w:val="nil"/>
            </w:tcBorders>
            <w:vAlign w:val="center"/>
          </w:tcPr>
          <w:p w14:paraId="1C56C911"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105.6</w:t>
            </w:r>
          </w:p>
        </w:tc>
        <w:tc>
          <w:tcPr>
            <w:tcW w:w="680" w:type="dxa"/>
            <w:tcBorders>
              <w:top w:val="nil"/>
              <w:left w:val="nil"/>
              <w:bottom w:val="nil"/>
              <w:right w:val="nil"/>
            </w:tcBorders>
            <w:vAlign w:val="center"/>
          </w:tcPr>
          <w:p w14:paraId="486C421B"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51.9</w:t>
            </w:r>
          </w:p>
        </w:tc>
        <w:tc>
          <w:tcPr>
            <w:tcW w:w="737" w:type="dxa"/>
            <w:tcBorders>
              <w:top w:val="nil"/>
              <w:left w:val="nil"/>
              <w:bottom w:val="nil"/>
              <w:right w:val="nil"/>
            </w:tcBorders>
            <w:vAlign w:val="center"/>
          </w:tcPr>
          <w:p w14:paraId="7C30D0B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18.7</w:t>
            </w:r>
          </w:p>
        </w:tc>
        <w:tc>
          <w:tcPr>
            <w:tcW w:w="680" w:type="dxa"/>
            <w:tcBorders>
              <w:top w:val="nil"/>
              <w:left w:val="nil"/>
              <w:bottom w:val="nil"/>
              <w:right w:val="nil"/>
            </w:tcBorders>
            <w:vAlign w:val="center"/>
          </w:tcPr>
          <w:p w14:paraId="77C4AEB6"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11.6</w:t>
            </w:r>
          </w:p>
        </w:tc>
        <w:tc>
          <w:tcPr>
            <w:tcW w:w="850" w:type="dxa"/>
            <w:tcBorders>
              <w:top w:val="nil"/>
              <w:left w:val="nil"/>
              <w:bottom w:val="nil"/>
              <w:right w:val="nil"/>
            </w:tcBorders>
            <w:vAlign w:val="center"/>
          </w:tcPr>
          <w:p w14:paraId="4F6F640B"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29.0</w:t>
            </w:r>
          </w:p>
        </w:tc>
        <w:tc>
          <w:tcPr>
            <w:tcW w:w="796" w:type="dxa"/>
            <w:tcBorders>
              <w:top w:val="nil"/>
              <w:left w:val="nil"/>
              <w:bottom w:val="nil"/>
              <w:right w:val="nil"/>
            </w:tcBorders>
            <w:vAlign w:val="center"/>
          </w:tcPr>
          <w:p w14:paraId="7F5DD16F"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w:t>
            </w:r>
          </w:p>
        </w:tc>
        <w:tc>
          <w:tcPr>
            <w:tcW w:w="993" w:type="dxa"/>
            <w:tcBorders>
              <w:top w:val="nil"/>
              <w:left w:val="nil"/>
              <w:bottom w:val="nil"/>
              <w:right w:val="nil"/>
            </w:tcBorders>
            <w:vAlign w:val="center"/>
          </w:tcPr>
          <w:p w14:paraId="4D388E8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(3.0)</w:t>
            </w:r>
          </w:p>
        </w:tc>
        <w:tc>
          <w:tcPr>
            <w:tcW w:w="992" w:type="dxa"/>
            <w:tcBorders>
              <w:top w:val="nil"/>
              <w:left w:val="nil"/>
              <w:bottom w:val="nil"/>
              <w:right w:val="nil"/>
            </w:tcBorders>
            <w:vAlign w:val="center"/>
          </w:tcPr>
          <w:p w14:paraId="0DC1A18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000000"/>
                <w:sz w:val="18"/>
                <w:szCs w:val="18"/>
                <w14:ligatures w14:val="standardContextual"/>
              </w:rPr>
            </w:pPr>
            <w:r w:rsidRPr="00756913">
              <w:rPr>
                <w:rFonts w:ascii="Arial" w:hAnsi="Arial" w:cs="Arial"/>
                <w:b/>
                <w:bCs/>
                <w:color w:val="000000"/>
                <w:sz w:val="18"/>
                <w:szCs w:val="18"/>
                <w14:ligatures w14:val="standardContextual"/>
              </w:rPr>
              <w:t>213.8</w:t>
            </w:r>
          </w:p>
        </w:tc>
      </w:tr>
      <w:tr w:rsidR="00756913" w:rsidRPr="00756913" w14:paraId="47C59C9E" w14:textId="77777777">
        <w:tblPrEx>
          <w:tblCellMar>
            <w:top w:w="0" w:type="dxa"/>
            <w:bottom w:w="0" w:type="dxa"/>
          </w:tblCellMar>
        </w:tblPrEx>
        <w:trPr>
          <w:trHeight w:val="267"/>
        </w:trPr>
        <w:tc>
          <w:tcPr>
            <w:tcW w:w="2778" w:type="dxa"/>
            <w:tcBorders>
              <w:top w:val="nil"/>
              <w:left w:val="nil"/>
              <w:bottom w:val="single" w:sz="4" w:space="0" w:color="auto"/>
              <w:right w:val="nil"/>
            </w:tcBorders>
            <w:vAlign w:val="center"/>
          </w:tcPr>
          <w:p w14:paraId="5A5B426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Directly attributable expenses</w:t>
            </w:r>
          </w:p>
        </w:tc>
        <w:tc>
          <w:tcPr>
            <w:tcW w:w="850" w:type="dxa"/>
            <w:tcBorders>
              <w:top w:val="nil"/>
              <w:left w:val="nil"/>
              <w:bottom w:val="single" w:sz="4" w:space="0" w:color="auto"/>
              <w:right w:val="nil"/>
            </w:tcBorders>
            <w:vAlign w:val="center"/>
          </w:tcPr>
          <w:p w14:paraId="7A0E7D8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(45.3)</w:t>
            </w:r>
          </w:p>
        </w:tc>
        <w:tc>
          <w:tcPr>
            <w:tcW w:w="680" w:type="dxa"/>
            <w:tcBorders>
              <w:top w:val="nil"/>
              <w:left w:val="nil"/>
              <w:bottom w:val="single" w:sz="4" w:space="0" w:color="auto"/>
              <w:right w:val="nil"/>
            </w:tcBorders>
            <w:vAlign w:val="center"/>
          </w:tcPr>
          <w:p w14:paraId="18F241F1"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(16.9)</w:t>
            </w:r>
          </w:p>
        </w:tc>
        <w:tc>
          <w:tcPr>
            <w:tcW w:w="737" w:type="dxa"/>
            <w:tcBorders>
              <w:top w:val="nil"/>
              <w:left w:val="nil"/>
              <w:bottom w:val="single" w:sz="4" w:space="0" w:color="auto"/>
              <w:right w:val="nil"/>
            </w:tcBorders>
            <w:vAlign w:val="center"/>
          </w:tcPr>
          <w:p w14:paraId="20D8805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(6.2)</w:t>
            </w:r>
          </w:p>
        </w:tc>
        <w:tc>
          <w:tcPr>
            <w:tcW w:w="680" w:type="dxa"/>
            <w:tcBorders>
              <w:top w:val="nil"/>
              <w:left w:val="nil"/>
              <w:bottom w:val="single" w:sz="4" w:space="0" w:color="auto"/>
              <w:right w:val="nil"/>
            </w:tcBorders>
            <w:vAlign w:val="center"/>
          </w:tcPr>
          <w:p w14:paraId="2CBF34A9"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(8.2)</w:t>
            </w:r>
          </w:p>
        </w:tc>
        <w:tc>
          <w:tcPr>
            <w:tcW w:w="850" w:type="dxa"/>
            <w:tcBorders>
              <w:top w:val="nil"/>
              <w:left w:val="nil"/>
              <w:bottom w:val="single" w:sz="4" w:space="0" w:color="auto"/>
              <w:right w:val="nil"/>
            </w:tcBorders>
            <w:vAlign w:val="center"/>
          </w:tcPr>
          <w:p w14:paraId="3E5408B1"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(24.0)</w:t>
            </w:r>
          </w:p>
        </w:tc>
        <w:tc>
          <w:tcPr>
            <w:tcW w:w="796" w:type="dxa"/>
            <w:tcBorders>
              <w:top w:val="nil"/>
              <w:left w:val="nil"/>
              <w:bottom w:val="single" w:sz="4" w:space="0" w:color="auto"/>
              <w:right w:val="nil"/>
            </w:tcBorders>
            <w:vAlign w:val="center"/>
          </w:tcPr>
          <w:p w14:paraId="38DE4B36"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(48.5)</w:t>
            </w:r>
          </w:p>
        </w:tc>
        <w:tc>
          <w:tcPr>
            <w:tcW w:w="993" w:type="dxa"/>
            <w:tcBorders>
              <w:top w:val="nil"/>
              <w:left w:val="nil"/>
              <w:bottom w:val="single" w:sz="4" w:space="0" w:color="auto"/>
              <w:right w:val="nil"/>
            </w:tcBorders>
            <w:vAlign w:val="center"/>
          </w:tcPr>
          <w:p w14:paraId="42F8397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3.0</w:t>
            </w:r>
          </w:p>
        </w:tc>
        <w:tc>
          <w:tcPr>
            <w:tcW w:w="992" w:type="dxa"/>
            <w:tcBorders>
              <w:top w:val="nil"/>
              <w:left w:val="nil"/>
              <w:bottom w:val="single" w:sz="4" w:space="0" w:color="auto"/>
              <w:right w:val="nil"/>
            </w:tcBorders>
            <w:vAlign w:val="center"/>
          </w:tcPr>
          <w:p w14:paraId="47C0BAA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000000"/>
                <w:sz w:val="18"/>
                <w:szCs w:val="18"/>
                <w14:ligatures w14:val="standardContextual"/>
              </w:rPr>
            </w:pPr>
            <w:r w:rsidRPr="00756913">
              <w:rPr>
                <w:rFonts w:ascii="Arial" w:hAnsi="Arial" w:cs="Arial"/>
                <w:b/>
                <w:bCs/>
                <w:color w:val="000000"/>
                <w:sz w:val="18"/>
                <w:szCs w:val="18"/>
                <w14:ligatures w14:val="standardContextual"/>
              </w:rPr>
              <w:t>(146.1)</w:t>
            </w:r>
          </w:p>
        </w:tc>
      </w:tr>
      <w:tr w:rsidR="00756913" w:rsidRPr="00756913" w14:paraId="2917190F" w14:textId="77777777">
        <w:tblPrEx>
          <w:tblCellMar>
            <w:top w:w="0" w:type="dxa"/>
            <w:bottom w:w="0" w:type="dxa"/>
          </w:tblCellMar>
        </w:tblPrEx>
        <w:trPr>
          <w:trHeight w:val="65"/>
        </w:trPr>
        <w:tc>
          <w:tcPr>
            <w:tcW w:w="2778" w:type="dxa"/>
            <w:tcBorders>
              <w:top w:val="single" w:sz="4" w:space="0" w:color="auto"/>
              <w:left w:val="nil"/>
              <w:bottom w:val="nil"/>
              <w:right w:val="nil"/>
            </w:tcBorders>
            <w:vAlign w:val="center"/>
          </w:tcPr>
          <w:p w14:paraId="03162E3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EBITDA contribution</w:t>
            </w:r>
          </w:p>
        </w:tc>
        <w:tc>
          <w:tcPr>
            <w:tcW w:w="850" w:type="dxa"/>
            <w:tcBorders>
              <w:top w:val="single" w:sz="4" w:space="0" w:color="auto"/>
              <w:left w:val="nil"/>
              <w:bottom w:val="nil"/>
              <w:right w:val="nil"/>
            </w:tcBorders>
            <w:vAlign w:val="center"/>
          </w:tcPr>
          <w:p w14:paraId="04F7E58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60.3</w:t>
            </w:r>
          </w:p>
        </w:tc>
        <w:tc>
          <w:tcPr>
            <w:tcW w:w="680" w:type="dxa"/>
            <w:tcBorders>
              <w:top w:val="single" w:sz="4" w:space="0" w:color="auto"/>
              <w:left w:val="nil"/>
              <w:bottom w:val="nil"/>
              <w:right w:val="nil"/>
            </w:tcBorders>
            <w:vAlign w:val="center"/>
          </w:tcPr>
          <w:p w14:paraId="352C1A19"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35.0</w:t>
            </w:r>
          </w:p>
        </w:tc>
        <w:tc>
          <w:tcPr>
            <w:tcW w:w="737" w:type="dxa"/>
            <w:tcBorders>
              <w:top w:val="single" w:sz="4" w:space="0" w:color="auto"/>
              <w:left w:val="nil"/>
              <w:bottom w:val="nil"/>
              <w:right w:val="nil"/>
            </w:tcBorders>
            <w:vAlign w:val="center"/>
          </w:tcPr>
          <w:p w14:paraId="77F1FD32"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12.5</w:t>
            </w:r>
          </w:p>
        </w:tc>
        <w:tc>
          <w:tcPr>
            <w:tcW w:w="680" w:type="dxa"/>
            <w:tcBorders>
              <w:top w:val="single" w:sz="4" w:space="0" w:color="auto"/>
              <w:left w:val="nil"/>
              <w:bottom w:val="nil"/>
              <w:right w:val="nil"/>
            </w:tcBorders>
            <w:vAlign w:val="center"/>
          </w:tcPr>
          <w:p w14:paraId="198B6D1A"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3.4</w:t>
            </w:r>
          </w:p>
        </w:tc>
        <w:tc>
          <w:tcPr>
            <w:tcW w:w="850" w:type="dxa"/>
            <w:tcBorders>
              <w:top w:val="single" w:sz="4" w:space="0" w:color="auto"/>
              <w:left w:val="nil"/>
              <w:bottom w:val="nil"/>
              <w:right w:val="nil"/>
            </w:tcBorders>
            <w:vAlign w:val="center"/>
          </w:tcPr>
          <w:p w14:paraId="14E538F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5.0</w:t>
            </w:r>
          </w:p>
        </w:tc>
        <w:tc>
          <w:tcPr>
            <w:tcW w:w="796" w:type="dxa"/>
            <w:tcBorders>
              <w:top w:val="single" w:sz="4" w:space="0" w:color="auto"/>
              <w:left w:val="nil"/>
              <w:bottom w:val="nil"/>
              <w:right w:val="nil"/>
            </w:tcBorders>
            <w:vAlign w:val="center"/>
          </w:tcPr>
          <w:p w14:paraId="38C7304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(48.5)</w:t>
            </w:r>
          </w:p>
        </w:tc>
        <w:tc>
          <w:tcPr>
            <w:tcW w:w="993" w:type="dxa"/>
            <w:tcBorders>
              <w:top w:val="single" w:sz="4" w:space="0" w:color="auto"/>
              <w:left w:val="nil"/>
              <w:bottom w:val="nil"/>
              <w:right w:val="nil"/>
            </w:tcBorders>
            <w:vAlign w:val="center"/>
          </w:tcPr>
          <w:p w14:paraId="4C92DCE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w:t>
            </w:r>
          </w:p>
        </w:tc>
        <w:tc>
          <w:tcPr>
            <w:tcW w:w="992" w:type="dxa"/>
            <w:tcBorders>
              <w:top w:val="single" w:sz="4" w:space="0" w:color="auto"/>
              <w:left w:val="nil"/>
              <w:bottom w:val="nil"/>
              <w:right w:val="nil"/>
            </w:tcBorders>
            <w:vAlign w:val="center"/>
          </w:tcPr>
          <w:p w14:paraId="3931084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000000"/>
                <w:sz w:val="18"/>
                <w:szCs w:val="18"/>
                <w14:ligatures w14:val="standardContextual"/>
              </w:rPr>
            </w:pPr>
            <w:r w:rsidRPr="00756913">
              <w:rPr>
                <w:rFonts w:ascii="Arial" w:hAnsi="Arial" w:cs="Arial"/>
                <w:b/>
                <w:bCs/>
                <w:color w:val="000000"/>
                <w:sz w:val="18"/>
                <w:szCs w:val="18"/>
                <w14:ligatures w14:val="standardContextual"/>
              </w:rPr>
              <w:t>67.7</w:t>
            </w:r>
          </w:p>
        </w:tc>
      </w:tr>
      <w:tr w:rsidR="00756913" w:rsidRPr="00756913" w14:paraId="5EF71900" w14:textId="77777777">
        <w:tblPrEx>
          <w:tblCellMar>
            <w:top w:w="0" w:type="dxa"/>
            <w:bottom w:w="0" w:type="dxa"/>
          </w:tblCellMar>
        </w:tblPrEx>
        <w:trPr>
          <w:trHeight w:val="250"/>
        </w:trPr>
        <w:tc>
          <w:tcPr>
            <w:tcW w:w="2778" w:type="dxa"/>
            <w:tcBorders>
              <w:top w:val="nil"/>
              <w:left w:val="nil"/>
              <w:bottom w:val="nil"/>
              <w:right w:val="nil"/>
            </w:tcBorders>
            <w:vAlign w:val="center"/>
          </w:tcPr>
          <w:p w14:paraId="76290DB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i/>
                <w:iCs/>
                <w:sz w:val="18"/>
                <w:szCs w:val="18"/>
                <w14:ligatures w14:val="standardContextual"/>
              </w:rPr>
            </w:pPr>
            <w:r w:rsidRPr="00756913">
              <w:rPr>
                <w:rFonts w:ascii="Arial" w:hAnsi="Arial" w:cs="Arial"/>
                <w:i/>
                <w:iCs/>
                <w:sz w:val="18"/>
                <w:szCs w:val="18"/>
                <w14:ligatures w14:val="standardContextual"/>
              </w:rPr>
              <w:t>EBITDA contribution margin*</w:t>
            </w:r>
          </w:p>
        </w:tc>
        <w:tc>
          <w:tcPr>
            <w:tcW w:w="850" w:type="dxa"/>
            <w:tcBorders>
              <w:top w:val="nil"/>
              <w:left w:val="nil"/>
              <w:bottom w:val="nil"/>
              <w:right w:val="nil"/>
            </w:tcBorders>
            <w:vAlign w:val="center"/>
          </w:tcPr>
          <w:p w14:paraId="1FFF36D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r w:rsidRPr="00756913">
              <w:rPr>
                <w:rFonts w:ascii="Arial" w:hAnsi="Arial" w:cs="Arial"/>
                <w:i/>
                <w:iCs/>
                <w:color w:val="000000"/>
                <w:sz w:val="18"/>
                <w:szCs w:val="18"/>
                <w14:ligatures w14:val="standardContextual"/>
              </w:rPr>
              <w:t>57%</w:t>
            </w:r>
          </w:p>
        </w:tc>
        <w:tc>
          <w:tcPr>
            <w:tcW w:w="680" w:type="dxa"/>
            <w:tcBorders>
              <w:top w:val="nil"/>
              <w:left w:val="nil"/>
              <w:bottom w:val="nil"/>
              <w:right w:val="nil"/>
            </w:tcBorders>
            <w:vAlign w:val="center"/>
          </w:tcPr>
          <w:p w14:paraId="1CE6989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r w:rsidRPr="00756913">
              <w:rPr>
                <w:rFonts w:ascii="Arial" w:hAnsi="Arial" w:cs="Arial"/>
                <w:i/>
                <w:iCs/>
                <w:color w:val="000000"/>
                <w:sz w:val="18"/>
                <w:szCs w:val="18"/>
                <w14:ligatures w14:val="standardContextual"/>
              </w:rPr>
              <w:t>67%</w:t>
            </w:r>
          </w:p>
        </w:tc>
        <w:tc>
          <w:tcPr>
            <w:tcW w:w="737" w:type="dxa"/>
            <w:tcBorders>
              <w:top w:val="nil"/>
              <w:left w:val="nil"/>
              <w:bottom w:val="nil"/>
              <w:right w:val="nil"/>
            </w:tcBorders>
            <w:vAlign w:val="center"/>
          </w:tcPr>
          <w:p w14:paraId="55798AB6"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r w:rsidRPr="00756913">
              <w:rPr>
                <w:rFonts w:ascii="Arial" w:hAnsi="Arial" w:cs="Arial"/>
                <w:i/>
                <w:iCs/>
                <w:color w:val="000000"/>
                <w:sz w:val="18"/>
                <w:szCs w:val="18"/>
                <w14:ligatures w14:val="standardContextual"/>
              </w:rPr>
              <w:t>67%</w:t>
            </w:r>
          </w:p>
        </w:tc>
        <w:tc>
          <w:tcPr>
            <w:tcW w:w="680" w:type="dxa"/>
            <w:tcBorders>
              <w:top w:val="nil"/>
              <w:left w:val="nil"/>
              <w:bottom w:val="nil"/>
              <w:right w:val="nil"/>
            </w:tcBorders>
            <w:vAlign w:val="center"/>
          </w:tcPr>
          <w:p w14:paraId="32CB537E"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r w:rsidRPr="00756913">
              <w:rPr>
                <w:rFonts w:ascii="Arial" w:hAnsi="Arial" w:cs="Arial"/>
                <w:i/>
                <w:iCs/>
                <w:color w:val="000000"/>
                <w:sz w:val="18"/>
                <w:szCs w:val="18"/>
                <w14:ligatures w14:val="standardContextual"/>
              </w:rPr>
              <w:t>29%</w:t>
            </w:r>
          </w:p>
        </w:tc>
        <w:tc>
          <w:tcPr>
            <w:tcW w:w="850" w:type="dxa"/>
            <w:tcBorders>
              <w:top w:val="nil"/>
              <w:left w:val="nil"/>
              <w:bottom w:val="nil"/>
              <w:right w:val="nil"/>
            </w:tcBorders>
            <w:vAlign w:val="center"/>
          </w:tcPr>
          <w:p w14:paraId="3D4EC76A"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r w:rsidRPr="00756913">
              <w:rPr>
                <w:rFonts w:ascii="Arial" w:hAnsi="Arial" w:cs="Arial"/>
                <w:i/>
                <w:iCs/>
                <w:color w:val="000000"/>
                <w:sz w:val="18"/>
                <w:szCs w:val="18"/>
                <w14:ligatures w14:val="standardContextual"/>
              </w:rPr>
              <w:t>17%</w:t>
            </w:r>
          </w:p>
        </w:tc>
        <w:tc>
          <w:tcPr>
            <w:tcW w:w="796" w:type="dxa"/>
            <w:tcBorders>
              <w:top w:val="nil"/>
              <w:left w:val="nil"/>
              <w:bottom w:val="nil"/>
              <w:right w:val="nil"/>
            </w:tcBorders>
            <w:vAlign w:val="center"/>
          </w:tcPr>
          <w:p w14:paraId="124501A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r w:rsidRPr="00756913">
              <w:rPr>
                <w:rFonts w:ascii="Arial" w:hAnsi="Arial" w:cs="Arial"/>
                <w:i/>
                <w:iCs/>
                <w:color w:val="000000"/>
                <w:sz w:val="18"/>
                <w:szCs w:val="18"/>
                <w14:ligatures w14:val="standardContextual"/>
              </w:rPr>
              <w:t>-</w:t>
            </w:r>
          </w:p>
        </w:tc>
        <w:tc>
          <w:tcPr>
            <w:tcW w:w="993" w:type="dxa"/>
            <w:tcBorders>
              <w:top w:val="nil"/>
              <w:left w:val="nil"/>
              <w:bottom w:val="nil"/>
              <w:right w:val="nil"/>
            </w:tcBorders>
            <w:vAlign w:val="center"/>
          </w:tcPr>
          <w:p w14:paraId="7C5D3CD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i/>
                <w:iCs/>
                <w:color w:val="000000"/>
                <w:sz w:val="18"/>
                <w:szCs w:val="18"/>
                <w14:ligatures w14:val="standardContextual"/>
              </w:rPr>
            </w:pPr>
          </w:p>
        </w:tc>
        <w:tc>
          <w:tcPr>
            <w:tcW w:w="992" w:type="dxa"/>
            <w:tcBorders>
              <w:top w:val="nil"/>
              <w:left w:val="nil"/>
              <w:bottom w:val="nil"/>
              <w:right w:val="nil"/>
            </w:tcBorders>
            <w:vAlign w:val="center"/>
          </w:tcPr>
          <w:p w14:paraId="1FF39711"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i/>
                <w:iCs/>
                <w:color w:val="000000"/>
                <w:sz w:val="18"/>
                <w:szCs w:val="18"/>
                <w14:ligatures w14:val="standardContextual"/>
              </w:rPr>
            </w:pPr>
            <w:r w:rsidRPr="00756913">
              <w:rPr>
                <w:rFonts w:ascii="Arial" w:hAnsi="Arial" w:cs="Arial"/>
                <w:b/>
                <w:bCs/>
                <w:i/>
                <w:iCs/>
                <w:color w:val="000000"/>
                <w:sz w:val="18"/>
                <w:szCs w:val="18"/>
                <w14:ligatures w14:val="standardContextual"/>
              </w:rPr>
              <w:t>32%</w:t>
            </w:r>
          </w:p>
        </w:tc>
      </w:tr>
      <w:tr w:rsidR="00756913" w:rsidRPr="00756913" w14:paraId="2CBBA92C" w14:textId="77777777">
        <w:tblPrEx>
          <w:tblCellMar>
            <w:top w:w="0" w:type="dxa"/>
            <w:bottom w:w="0" w:type="dxa"/>
          </w:tblCellMar>
        </w:tblPrEx>
        <w:trPr>
          <w:trHeight w:val="267"/>
        </w:trPr>
        <w:tc>
          <w:tcPr>
            <w:tcW w:w="2778" w:type="dxa"/>
            <w:tcBorders>
              <w:top w:val="nil"/>
              <w:left w:val="nil"/>
              <w:bottom w:val="nil"/>
              <w:right w:val="nil"/>
            </w:tcBorders>
            <w:vAlign w:val="center"/>
          </w:tcPr>
          <w:p w14:paraId="48870D2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Depreciation and amortisation</w:t>
            </w:r>
          </w:p>
        </w:tc>
        <w:tc>
          <w:tcPr>
            <w:tcW w:w="850" w:type="dxa"/>
            <w:tcBorders>
              <w:top w:val="nil"/>
              <w:left w:val="nil"/>
              <w:bottom w:val="nil"/>
              <w:right w:val="nil"/>
            </w:tcBorders>
            <w:vAlign w:val="center"/>
          </w:tcPr>
          <w:p w14:paraId="0011AB68"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nil"/>
              <w:right w:val="nil"/>
            </w:tcBorders>
            <w:vAlign w:val="center"/>
          </w:tcPr>
          <w:p w14:paraId="40E95467"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37" w:type="dxa"/>
            <w:tcBorders>
              <w:top w:val="nil"/>
              <w:left w:val="nil"/>
              <w:bottom w:val="nil"/>
              <w:right w:val="nil"/>
            </w:tcBorders>
            <w:vAlign w:val="center"/>
          </w:tcPr>
          <w:p w14:paraId="5257BFE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nil"/>
              <w:right w:val="nil"/>
            </w:tcBorders>
            <w:vAlign w:val="center"/>
          </w:tcPr>
          <w:p w14:paraId="0B6A934F"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850" w:type="dxa"/>
            <w:tcBorders>
              <w:top w:val="nil"/>
              <w:left w:val="nil"/>
              <w:bottom w:val="nil"/>
              <w:right w:val="nil"/>
            </w:tcBorders>
            <w:vAlign w:val="center"/>
          </w:tcPr>
          <w:p w14:paraId="12A1F79F"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96" w:type="dxa"/>
            <w:tcBorders>
              <w:top w:val="nil"/>
              <w:left w:val="nil"/>
              <w:bottom w:val="nil"/>
              <w:right w:val="nil"/>
            </w:tcBorders>
            <w:vAlign w:val="center"/>
          </w:tcPr>
          <w:p w14:paraId="6AA551E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3" w:type="dxa"/>
            <w:tcBorders>
              <w:top w:val="nil"/>
              <w:left w:val="nil"/>
              <w:bottom w:val="nil"/>
              <w:right w:val="nil"/>
            </w:tcBorders>
            <w:vAlign w:val="center"/>
          </w:tcPr>
          <w:p w14:paraId="6343B4CD"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377C0AEB"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000000"/>
                <w:sz w:val="18"/>
                <w:szCs w:val="18"/>
                <w14:ligatures w14:val="standardContextual"/>
              </w:rPr>
            </w:pPr>
            <w:r w:rsidRPr="00756913">
              <w:rPr>
                <w:rFonts w:ascii="Arial" w:hAnsi="Arial" w:cs="Arial"/>
                <w:b/>
                <w:bCs/>
                <w:color w:val="000000"/>
                <w:sz w:val="18"/>
                <w:szCs w:val="18"/>
                <w14:ligatures w14:val="standardContextual"/>
              </w:rPr>
              <w:t>(12.0)</w:t>
            </w:r>
          </w:p>
        </w:tc>
      </w:tr>
      <w:tr w:rsidR="00756913" w:rsidRPr="00756913" w14:paraId="5DEB7729" w14:textId="77777777">
        <w:tblPrEx>
          <w:tblCellMar>
            <w:top w:w="0" w:type="dxa"/>
            <w:bottom w:w="0" w:type="dxa"/>
          </w:tblCellMar>
        </w:tblPrEx>
        <w:trPr>
          <w:trHeight w:val="266"/>
        </w:trPr>
        <w:tc>
          <w:tcPr>
            <w:tcW w:w="2778" w:type="dxa"/>
            <w:tcBorders>
              <w:top w:val="nil"/>
              <w:left w:val="nil"/>
              <w:bottom w:val="nil"/>
              <w:right w:val="nil"/>
            </w:tcBorders>
            <w:vAlign w:val="center"/>
          </w:tcPr>
          <w:p w14:paraId="3655C19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Net finance expense</w:t>
            </w:r>
          </w:p>
        </w:tc>
        <w:tc>
          <w:tcPr>
            <w:tcW w:w="850" w:type="dxa"/>
            <w:tcBorders>
              <w:top w:val="nil"/>
              <w:left w:val="nil"/>
              <w:bottom w:val="nil"/>
              <w:right w:val="nil"/>
            </w:tcBorders>
            <w:vAlign w:val="center"/>
          </w:tcPr>
          <w:p w14:paraId="12F1B2ED"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nil"/>
              <w:right w:val="nil"/>
            </w:tcBorders>
            <w:vAlign w:val="center"/>
          </w:tcPr>
          <w:p w14:paraId="5D69F07C"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37" w:type="dxa"/>
            <w:tcBorders>
              <w:top w:val="nil"/>
              <w:left w:val="nil"/>
              <w:bottom w:val="nil"/>
              <w:right w:val="nil"/>
            </w:tcBorders>
            <w:vAlign w:val="center"/>
          </w:tcPr>
          <w:p w14:paraId="443B9C57"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nil"/>
              <w:right w:val="nil"/>
            </w:tcBorders>
            <w:vAlign w:val="center"/>
          </w:tcPr>
          <w:p w14:paraId="3DE98089"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850" w:type="dxa"/>
            <w:tcBorders>
              <w:top w:val="nil"/>
              <w:left w:val="nil"/>
              <w:bottom w:val="nil"/>
              <w:right w:val="nil"/>
            </w:tcBorders>
            <w:vAlign w:val="center"/>
          </w:tcPr>
          <w:p w14:paraId="41F4D3D2"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96" w:type="dxa"/>
            <w:tcBorders>
              <w:top w:val="nil"/>
              <w:left w:val="nil"/>
              <w:bottom w:val="nil"/>
              <w:right w:val="nil"/>
            </w:tcBorders>
            <w:vAlign w:val="center"/>
          </w:tcPr>
          <w:p w14:paraId="686F072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3" w:type="dxa"/>
            <w:tcBorders>
              <w:top w:val="nil"/>
              <w:left w:val="nil"/>
              <w:bottom w:val="nil"/>
              <w:right w:val="nil"/>
            </w:tcBorders>
            <w:vAlign w:val="center"/>
          </w:tcPr>
          <w:p w14:paraId="0671C07B"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54F1DE56"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(2.4)</w:t>
            </w:r>
          </w:p>
        </w:tc>
      </w:tr>
      <w:tr w:rsidR="00756913" w:rsidRPr="00756913" w14:paraId="32750B19" w14:textId="77777777">
        <w:tblPrEx>
          <w:tblCellMar>
            <w:top w:w="0" w:type="dxa"/>
            <w:bottom w:w="0" w:type="dxa"/>
          </w:tblCellMar>
        </w:tblPrEx>
        <w:trPr>
          <w:trHeight w:val="267"/>
        </w:trPr>
        <w:tc>
          <w:tcPr>
            <w:tcW w:w="2778" w:type="dxa"/>
            <w:tcBorders>
              <w:top w:val="single" w:sz="4" w:space="0" w:color="auto"/>
              <w:left w:val="nil"/>
              <w:bottom w:val="nil"/>
              <w:right w:val="nil"/>
            </w:tcBorders>
            <w:vAlign w:val="center"/>
          </w:tcPr>
          <w:p w14:paraId="2D474BA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Profit before tax</w:t>
            </w:r>
          </w:p>
        </w:tc>
        <w:tc>
          <w:tcPr>
            <w:tcW w:w="850" w:type="dxa"/>
            <w:tcBorders>
              <w:top w:val="single" w:sz="4" w:space="0" w:color="auto"/>
              <w:left w:val="nil"/>
              <w:bottom w:val="nil"/>
              <w:right w:val="nil"/>
            </w:tcBorders>
            <w:vAlign w:val="center"/>
          </w:tcPr>
          <w:p w14:paraId="232DB41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single" w:sz="4" w:space="0" w:color="auto"/>
              <w:left w:val="nil"/>
              <w:bottom w:val="nil"/>
              <w:right w:val="nil"/>
            </w:tcBorders>
            <w:vAlign w:val="center"/>
          </w:tcPr>
          <w:p w14:paraId="2B61895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37" w:type="dxa"/>
            <w:tcBorders>
              <w:top w:val="single" w:sz="4" w:space="0" w:color="auto"/>
              <w:left w:val="nil"/>
              <w:bottom w:val="nil"/>
              <w:right w:val="nil"/>
            </w:tcBorders>
            <w:vAlign w:val="center"/>
          </w:tcPr>
          <w:p w14:paraId="57DF1CBB"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single" w:sz="4" w:space="0" w:color="auto"/>
              <w:left w:val="nil"/>
              <w:bottom w:val="nil"/>
              <w:right w:val="nil"/>
            </w:tcBorders>
            <w:vAlign w:val="center"/>
          </w:tcPr>
          <w:p w14:paraId="255E266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850" w:type="dxa"/>
            <w:tcBorders>
              <w:top w:val="single" w:sz="4" w:space="0" w:color="auto"/>
              <w:left w:val="nil"/>
              <w:bottom w:val="nil"/>
              <w:right w:val="nil"/>
            </w:tcBorders>
            <w:vAlign w:val="center"/>
          </w:tcPr>
          <w:p w14:paraId="27F2EEB1"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96" w:type="dxa"/>
            <w:tcBorders>
              <w:top w:val="single" w:sz="4" w:space="0" w:color="auto"/>
              <w:left w:val="nil"/>
              <w:bottom w:val="nil"/>
              <w:right w:val="nil"/>
            </w:tcBorders>
            <w:vAlign w:val="center"/>
          </w:tcPr>
          <w:p w14:paraId="2DBBD08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3" w:type="dxa"/>
            <w:tcBorders>
              <w:top w:val="single" w:sz="4" w:space="0" w:color="auto"/>
              <w:left w:val="nil"/>
              <w:bottom w:val="nil"/>
              <w:right w:val="nil"/>
            </w:tcBorders>
            <w:vAlign w:val="center"/>
          </w:tcPr>
          <w:p w14:paraId="193B5E74"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single" w:sz="4" w:space="0" w:color="auto"/>
              <w:left w:val="nil"/>
              <w:bottom w:val="nil"/>
              <w:right w:val="nil"/>
            </w:tcBorders>
            <w:vAlign w:val="center"/>
          </w:tcPr>
          <w:p w14:paraId="15A33D5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53.3</w:t>
            </w:r>
          </w:p>
        </w:tc>
      </w:tr>
      <w:tr w:rsidR="00756913" w:rsidRPr="00756913" w14:paraId="4989597C" w14:textId="77777777">
        <w:tblPrEx>
          <w:tblCellMar>
            <w:top w:w="0" w:type="dxa"/>
            <w:bottom w:w="0" w:type="dxa"/>
          </w:tblCellMar>
        </w:tblPrEx>
        <w:trPr>
          <w:trHeight w:val="250"/>
        </w:trPr>
        <w:tc>
          <w:tcPr>
            <w:tcW w:w="2778" w:type="dxa"/>
            <w:tcBorders>
              <w:top w:val="nil"/>
              <w:left w:val="nil"/>
              <w:bottom w:val="single" w:sz="4" w:space="0" w:color="auto"/>
              <w:right w:val="nil"/>
            </w:tcBorders>
            <w:vAlign w:val="center"/>
          </w:tcPr>
          <w:p w14:paraId="4F37856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Taxation</w:t>
            </w:r>
          </w:p>
        </w:tc>
        <w:tc>
          <w:tcPr>
            <w:tcW w:w="850" w:type="dxa"/>
            <w:tcBorders>
              <w:top w:val="nil"/>
              <w:left w:val="nil"/>
              <w:bottom w:val="single" w:sz="4" w:space="0" w:color="auto"/>
              <w:right w:val="nil"/>
            </w:tcBorders>
            <w:vAlign w:val="center"/>
          </w:tcPr>
          <w:p w14:paraId="20060A5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single" w:sz="4" w:space="0" w:color="auto"/>
              <w:right w:val="nil"/>
            </w:tcBorders>
            <w:vAlign w:val="center"/>
          </w:tcPr>
          <w:p w14:paraId="22C7E62E"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37" w:type="dxa"/>
            <w:tcBorders>
              <w:top w:val="nil"/>
              <w:left w:val="nil"/>
              <w:bottom w:val="single" w:sz="4" w:space="0" w:color="auto"/>
              <w:right w:val="nil"/>
            </w:tcBorders>
            <w:vAlign w:val="center"/>
          </w:tcPr>
          <w:p w14:paraId="69D6312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nil"/>
              <w:left w:val="nil"/>
              <w:bottom w:val="single" w:sz="4" w:space="0" w:color="auto"/>
              <w:right w:val="nil"/>
            </w:tcBorders>
            <w:vAlign w:val="center"/>
          </w:tcPr>
          <w:p w14:paraId="59277E3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850" w:type="dxa"/>
            <w:tcBorders>
              <w:top w:val="nil"/>
              <w:left w:val="nil"/>
              <w:bottom w:val="single" w:sz="4" w:space="0" w:color="auto"/>
              <w:right w:val="nil"/>
            </w:tcBorders>
            <w:vAlign w:val="center"/>
          </w:tcPr>
          <w:p w14:paraId="5B225C99"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96" w:type="dxa"/>
            <w:tcBorders>
              <w:top w:val="nil"/>
              <w:left w:val="nil"/>
              <w:bottom w:val="single" w:sz="4" w:space="0" w:color="auto"/>
              <w:right w:val="nil"/>
            </w:tcBorders>
            <w:vAlign w:val="center"/>
          </w:tcPr>
          <w:p w14:paraId="50473824"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3" w:type="dxa"/>
            <w:tcBorders>
              <w:top w:val="nil"/>
              <w:left w:val="nil"/>
              <w:bottom w:val="single" w:sz="4" w:space="0" w:color="auto"/>
              <w:right w:val="nil"/>
            </w:tcBorders>
            <w:vAlign w:val="center"/>
          </w:tcPr>
          <w:p w14:paraId="57419FC2"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single" w:sz="4" w:space="0" w:color="auto"/>
              <w:right w:val="nil"/>
            </w:tcBorders>
            <w:vAlign w:val="center"/>
          </w:tcPr>
          <w:p w14:paraId="0B9AB7C9"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(12.3)</w:t>
            </w:r>
          </w:p>
        </w:tc>
      </w:tr>
      <w:tr w:rsidR="00756913" w:rsidRPr="00756913" w14:paraId="76022538" w14:textId="77777777">
        <w:tblPrEx>
          <w:tblCellMar>
            <w:top w:w="0" w:type="dxa"/>
            <w:bottom w:w="0" w:type="dxa"/>
          </w:tblCellMar>
        </w:tblPrEx>
        <w:trPr>
          <w:trHeight w:val="250"/>
        </w:trPr>
        <w:tc>
          <w:tcPr>
            <w:tcW w:w="2778" w:type="dxa"/>
            <w:tcBorders>
              <w:top w:val="single" w:sz="4" w:space="0" w:color="auto"/>
              <w:left w:val="nil"/>
              <w:bottom w:val="single" w:sz="12" w:space="0" w:color="auto"/>
              <w:right w:val="nil"/>
            </w:tcBorders>
            <w:vAlign w:val="center"/>
          </w:tcPr>
          <w:p w14:paraId="353ABE1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Profit for the period</w:t>
            </w:r>
          </w:p>
        </w:tc>
        <w:tc>
          <w:tcPr>
            <w:tcW w:w="850" w:type="dxa"/>
            <w:tcBorders>
              <w:top w:val="single" w:sz="4" w:space="0" w:color="auto"/>
              <w:left w:val="nil"/>
              <w:bottom w:val="single" w:sz="12" w:space="0" w:color="auto"/>
              <w:right w:val="nil"/>
            </w:tcBorders>
            <w:vAlign w:val="center"/>
          </w:tcPr>
          <w:p w14:paraId="299C5719"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single" w:sz="4" w:space="0" w:color="auto"/>
              <w:left w:val="nil"/>
              <w:bottom w:val="single" w:sz="12" w:space="0" w:color="auto"/>
              <w:right w:val="nil"/>
            </w:tcBorders>
            <w:vAlign w:val="center"/>
          </w:tcPr>
          <w:p w14:paraId="6DC6178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37" w:type="dxa"/>
            <w:tcBorders>
              <w:top w:val="single" w:sz="4" w:space="0" w:color="auto"/>
              <w:left w:val="nil"/>
              <w:bottom w:val="single" w:sz="12" w:space="0" w:color="auto"/>
              <w:right w:val="nil"/>
            </w:tcBorders>
            <w:vAlign w:val="center"/>
          </w:tcPr>
          <w:p w14:paraId="6381476B"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680" w:type="dxa"/>
            <w:tcBorders>
              <w:top w:val="single" w:sz="4" w:space="0" w:color="auto"/>
              <w:left w:val="nil"/>
              <w:bottom w:val="single" w:sz="12" w:space="0" w:color="auto"/>
              <w:right w:val="nil"/>
            </w:tcBorders>
            <w:vAlign w:val="center"/>
          </w:tcPr>
          <w:p w14:paraId="719DC8AE"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850" w:type="dxa"/>
            <w:tcBorders>
              <w:top w:val="single" w:sz="4" w:space="0" w:color="auto"/>
              <w:left w:val="nil"/>
              <w:bottom w:val="single" w:sz="12" w:space="0" w:color="auto"/>
              <w:right w:val="nil"/>
            </w:tcBorders>
            <w:vAlign w:val="center"/>
          </w:tcPr>
          <w:p w14:paraId="4D28C23B"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796" w:type="dxa"/>
            <w:tcBorders>
              <w:top w:val="single" w:sz="4" w:space="0" w:color="auto"/>
              <w:left w:val="nil"/>
              <w:bottom w:val="single" w:sz="12" w:space="0" w:color="auto"/>
              <w:right w:val="nil"/>
            </w:tcBorders>
            <w:vAlign w:val="center"/>
          </w:tcPr>
          <w:p w14:paraId="2FB0379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3" w:type="dxa"/>
            <w:tcBorders>
              <w:top w:val="single" w:sz="4" w:space="0" w:color="auto"/>
              <w:left w:val="nil"/>
              <w:bottom w:val="single" w:sz="12" w:space="0" w:color="auto"/>
              <w:right w:val="nil"/>
            </w:tcBorders>
            <w:vAlign w:val="center"/>
          </w:tcPr>
          <w:p w14:paraId="165058E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single" w:sz="4" w:space="0" w:color="auto"/>
              <w:left w:val="nil"/>
              <w:bottom w:val="single" w:sz="12" w:space="0" w:color="auto"/>
              <w:right w:val="nil"/>
            </w:tcBorders>
            <w:vAlign w:val="center"/>
          </w:tcPr>
          <w:p w14:paraId="236F0AE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41.0</w:t>
            </w:r>
          </w:p>
        </w:tc>
      </w:tr>
    </w:tbl>
    <w:p w14:paraId="4B5AC55C" w14:textId="77777777" w:rsidR="00756913" w:rsidRPr="00756913" w:rsidRDefault="00756913" w:rsidP="00756913">
      <w:pPr>
        <w:autoSpaceDE w:val="0"/>
        <w:autoSpaceDN w:val="0"/>
        <w:adjustRightInd w:val="0"/>
        <w:spacing w:before="240"/>
        <w:jc w:val="both"/>
        <w:rPr>
          <w:rFonts w:ascii="Arial" w:hAnsi="Arial" w:cs="Arial"/>
          <w:i/>
          <w:iCs/>
          <w:sz w:val="18"/>
          <w:szCs w:val="18"/>
          <w14:ligatures w14:val="standardContextual"/>
        </w:rPr>
      </w:pPr>
      <w:r w:rsidRPr="00756913">
        <w:rPr>
          <w:rFonts w:ascii="Arial" w:hAnsi="Arial" w:cs="Arial"/>
          <w:i/>
          <w:iCs/>
          <w:sz w:val="18"/>
          <w:szCs w:val="18"/>
          <w14:ligatures w14:val="standardContextual"/>
        </w:rPr>
        <w:t xml:space="preserve">* EBITDA contribution margin is calculated by dividing EBITDA contribution by revenue. </w:t>
      </w:r>
    </w:p>
    <w:p w14:paraId="7452498A" w14:textId="77777777" w:rsidR="00756913" w:rsidRPr="00756913" w:rsidRDefault="00756913" w:rsidP="00756913">
      <w:pPr>
        <w:autoSpaceDE w:val="0"/>
        <w:autoSpaceDN w:val="0"/>
        <w:adjustRightInd w:val="0"/>
        <w:spacing w:before="240"/>
        <w:jc w:val="both"/>
        <w:rPr>
          <w:rFonts w:ascii="Arial" w:hAnsi="Arial" w:cs="Arial"/>
          <w:i/>
          <w:iCs/>
          <w:sz w:val="18"/>
          <w:szCs w:val="18"/>
          <w14:ligatures w14:val="standardContextual"/>
        </w:rPr>
      </w:pPr>
      <w:r w:rsidRPr="00756913">
        <w:rPr>
          <w:rFonts w:ascii="Arial" w:hAnsi="Arial" w:cs="Arial"/>
          <w:i/>
          <w:iCs/>
          <w:sz w:val="18"/>
          <w:szCs w:val="18"/>
          <w14:ligatures w14:val="standardContextual"/>
        </w:rPr>
        <w:t>** The inter-vertical eliminations revenue line reflects transactions where revenue in Cashback and Travel has also been recorded as cost of sales in other verticals.</w:t>
      </w:r>
    </w:p>
    <w:p w14:paraId="13DC1B49" w14:textId="77777777" w:rsidR="00756913" w:rsidRPr="00756913" w:rsidRDefault="00756913" w:rsidP="00756913">
      <w:pPr>
        <w:autoSpaceDE w:val="0"/>
        <w:autoSpaceDN w:val="0"/>
        <w:adjustRightInd w:val="0"/>
        <w:jc w:val="both"/>
        <w:rPr>
          <w:rFonts w:ascii="Arial" w:hAnsi="Arial" w:cs="Arial"/>
          <w:sz w:val="20"/>
          <w:szCs w:val="20"/>
          <w14:ligatures w14:val="standardContextual"/>
        </w:rPr>
      </w:pPr>
      <w:r w:rsidRPr="00756913">
        <w:rPr>
          <w:rFonts w:ascii="Arial" w:hAnsi="Arial" w:cs="Arial"/>
          <w:sz w:val="20"/>
          <w:szCs w:val="20"/>
          <w14:ligatures w14:val="standardContextual"/>
        </w:rPr>
        <w:t>Insurance EBITDA contribution margin increased from 57% to 59%, benefitting from mix into higher margin channels and paid media cost discipline.</w:t>
      </w:r>
    </w:p>
    <w:p w14:paraId="7E0F8593" w14:textId="77777777" w:rsidR="00756913" w:rsidRPr="00756913" w:rsidRDefault="00756913" w:rsidP="00756913">
      <w:pPr>
        <w:autoSpaceDE w:val="0"/>
        <w:autoSpaceDN w:val="0"/>
        <w:adjustRightInd w:val="0"/>
        <w:jc w:val="both"/>
        <w:rPr>
          <w:rFonts w:ascii="Arial" w:hAnsi="Arial" w:cs="Arial"/>
          <w:color w:val="FF0000"/>
          <w:sz w:val="20"/>
          <w:szCs w:val="20"/>
          <w14:ligatures w14:val="standardContextual"/>
        </w:rPr>
      </w:pPr>
      <w:r w:rsidRPr="00756913">
        <w:rPr>
          <w:rFonts w:ascii="Arial" w:hAnsi="Arial" w:cs="Arial"/>
          <w:sz w:val="20"/>
          <w:szCs w:val="20"/>
          <w14:ligatures w14:val="standardContextual"/>
        </w:rPr>
        <w:t>Money saw an increase in EBITDA contribution margin from 67% to 69%, mixing into higher margin brands and maintaining cost discipline</w:t>
      </w:r>
      <w:r w:rsidRPr="00756913">
        <w:rPr>
          <w:rFonts w:ascii="Arial" w:hAnsi="Arial" w:cs="Arial"/>
          <w:color w:val="FF0000"/>
          <w:sz w:val="20"/>
          <w:szCs w:val="20"/>
          <w14:ligatures w14:val="standardContextual"/>
        </w:rPr>
        <w:t xml:space="preserve">. </w:t>
      </w:r>
    </w:p>
    <w:p w14:paraId="3484523D" w14:textId="77777777" w:rsidR="00756913" w:rsidRPr="00756913" w:rsidRDefault="00756913" w:rsidP="00756913">
      <w:pPr>
        <w:autoSpaceDE w:val="0"/>
        <w:autoSpaceDN w:val="0"/>
        <w:adjustRightInd w:val="0"/>
        <w:jc w:val="both"/>
        <w:rPr>
          <w:rFonts w:ascii="Arial" w:hAnsi="Arial" w:cs="Arial"/>
          <w:color w:val="FF0000"/>
          <w:sz w:val="20"/>
          <w:szCs w:val="20"/>
          <w14:ligatures w14:val="standardContextual"/>
        </w:rPr>
      </w:pPr>
      <w:r w:rsidRPr="00756913">
        <w:rPr>
          <w:rFonts w:ascii="Arial" w:hAnsi="Arial" w:cs="Arial"/>
          <w:sz w:val="20"/>
          <w:szCs w:val="20"/>
          <w14:ligatures w14:val="standardContextual"/>
        </w:rPr>
        <w:t xml:space="preserve">Home Services EBITDA contribution margin decreased from 67% to 64%, with growth in our lower margin B2B business offset by tight control of operating costs. </w:t>
      </w:r>
    </w:p>
    <w:p w14:paraId="5353AF1F" w14:textId="77777777" w:rsidR="00756913" w:rsidRPr="00756913" w:rsidRDefault="00756913" w:rsidP="00756913">
      <w:pPr>
        <w:autoSpaceDE w:val="0"/>
        <w:autoSpaceDN w:val="0"/>
        <w:adjustRightInd w:val="0"/>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Travel EBITDA contribution margin declined from 29% to 22%, with a competitive market driving increased marketing costs. </w:t>
      </w:r>
    </w:p>
    <w:p w14:paraId="4C72249C" w14:textId="77777777" w:rsidR="00756913" w:rsidRPr="00756913" w:rsidRDefault="00756913" w:rsidP="00756913">
      <w:pPr>
        <w:autoSpaceDE w:val="0"/>
        <w:autoSpaceDN w:val="0"/>
        <w:adjustRightInd w:val="0"/>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Margin for Cashback is significantly lower than other verticals as a large proportion of commission is paid out to members as cashback. EBITDA contribution margin decreased from 17% to 13% reflecting accelerated investment in marketing in the half to drive member growth momentum. </w:t>
      </w:r>
    </w:p>
    <w:p w14:paraId="51F3412C" w14:textId="77777777" w:rsidR="00756913" w:rsidRPr="00756913" w:rsidRDefault="00756913" w:rsidP="00756913">
      <w:pPr>
        <w:autoSpaceDE w:val="0"/>
        <w:autoSpaceDN w:val="0"/>
        <w:adjustRightInd w:val="0"/>
        <w:jc w:val="both"/>
        <w:rPr>
          <w:rFonts w:ascii="Arial" w:hAnsi="Arial" w:cs="Arial"/>
          <w:sz w:val="20"/>
          <w:szCs w:val="20"/>
          <w14:ligatures w14:val="standardContextual"/>
        </w:rPr>
      </w:pPr>
      <w:r w:rsidRPr="00756913">
        <w:rPr>
          <w:rFonts w:ascii="Arial" w:hAnsi="Arial" w:cs="Arial"/>
          <w:sz w:val="20"/>
          <w:szCs w:val="20"/>
          <w14:ligatures w14:val="standardContextual"/>
        </w:rPr>
        <w:t>Shared costs increased 2% with cost control helping to mitigate the impact of inflation and one-off costs in the half.</w:t>
      </w:r>
    </w:p>
    <w:p w14:paraId="7C182047" w14:textId="77777777" w:rsidR="00756913" w:rsidRPr="00756913" w:rsidRDefault="00756913" w:rsidP="00756913">
      <w:pPr>
        <w:autoSpaceDE w:val="0"/>
        <w:autoSpaceDN w:val="0"/>
        <w:adjustRightInd w:val="0"/>
        <w:jc w:val="both"/>
        <w:rPr>
          <w:rFonts w:ascii="Arial" w:hAnsi="Arial" w:cs="Arial"/>
          <w:sz w:val="20"/>
          <w:szCs w:val="20"/>
          <w14:ligatures w14:val="standardContextual"/>
        </w:rPr>
      </w:pPr>
      <w:r w:rsidRPr="00756913">
        <w:rPr>
          <w:rFonts w:ascii="Arial" w:hAnsi="Arial" w:cs="Arial"/>
          <w:sz w:val="20"/>
          <w:szCs w:val="20"/>
          <w14:ligatures w14:val="standardContextual"/>
        </w:rPr>
        <w:t>The Group recovers input VAT that it incurs on expenditure using a partial exemption special method which was agreed with HMRC in 2012. This is currently being reviewed (as occurs periodically) to ensure that it still reflects the way in which the Group incurs costs.</w:t>
      </w:r>
    </w:p>
    <w:p w14:paraId="449B4831" w14:textId="77777777" w:rsidR="00756913" w:rsidRPr="00756913" w:rsidRDefault="00756913" w:rsidP="00756913">
      <w:pPr>
        <w:autoSpaceDE w:val="0"/>
        <w:autoSpaceDN w:val="0"/>
        <w:adjustRightInd w:val="0"/>
        <w:ind w:left="360" w:hanging="360"/>
        <w:rPr>
          <w:rFonts w:ascii="Aptos" w:hAnsi="Aptos" w:cs="Aptos"/>
          <w:b/>
          <w:bCs/>
          <w14:ligatures w14:val="standardContextual"/>
        </w:rPr>
      </w:pPr>
      <w:r w:rsidRPr="00756913">
        <w:rPr>
          <w:rFonts w:ascii="Aptos" w:hAnsi="Aptos" w:cs="Aptos"/>
          <w:sz w:val="20"/>
          <w:szCs w:val="20"/>
          <w14:ligatures w14:val="standardContextual"/>
        </w:rPr>
        <w:t>3.</w:t>
      </w:r>
      <w:r w:rsidRPr="00756913">
        <w:rPr>
          <w:rFonts w:ascii="Aptos" w:hAnsi="Aptos" w:cs="Aptos"/>
          <w:sz w:val="20"/>
          <w:szCs w:val="20"/>
          <w14:ligatures w14:val="standardContextual"/>
        </w:rPr>
        <w:tab/>
      </w:r>
      <w:r w:rsidRPr="00756913">
        <w:rPr>
          <w:rFonts w:ascii="Aptos" w:hAnsi="Aptos" w:cs="Aptos"/>
          <w:b/>
          <w:bCs/>
          <w14:ligatures w14:val="standardContextual"/>
        </w:rPr>
        <w:t>Net finance expense</w:t>
      </w:r>
    </w:p>
    <w:tbl>
      <w:tblPr>
        <w:tblW w:w="0" w:type="auto"/>
        <w:tblLayout w:type="fixed"/>
        <w:tblCellMar>
          <w:left w:w="54" w:type="dxa"/>
          <w:right w:w="54" w:type="dxa"/>
        </w:tblCellMar>
        <w:tblLook w:val="0000" w:firstRow="0" w:lastRow="0" w:firstColumn="0" w:lastColumn="0" w:noHBand="0" w:noVBand="0"/>
      </w:tblPr>
      <w:tblGrid>
        <w:gridCol w:w="5103"/>
        <w:gridCol w:w="1985"/>
        <w:gridCol w:w="992"/>
        <w:gridCol w:w="992"/>
      </w:tblGrid>
      <w:tr w:rsidR="00756913" w:rsidRPr="00756913" w14:paraId="21ADE60B" w14:textId="77777777">
        <w:tblPrEx>
          <w:tblCellMar>
            <w:top w:w="0" w:type="dxa"/>
            <w:bottom w:w="0" w:type="dxa"/>
          </w:tblCellMar>
        </w:tblPrEx>
        <w:tc>
          <w:tcPr>
            <w:tcW w:w="5103" w:type="dxa"/>
            <w:tcBorders>
              <w:top w:val="nil"/>
              <w:left w:val="nil"/>
              <w:bottom w:val="nil"/>
              <w:right w:val="nil"/>
            </w:tcBorders>
          </w:tcPr>
          <w:p w14:paraId="142D582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color w:val="FF0000"/>
                <w:sz w:val="20"/>
                <w:szCs w:val="20"/>
                <w14:ligatures w14:val="standardContextual"/>
              </w:rPr>
            </w:pPr>
          </w:p>
        </w:tc>
        <w:tc>
          <w:tcPr>
            <w:tcW w:w="1985" w:type="dxa"/>
            <w:tcBorders>
              <w:top w:val="nil"/>
              <w:left w:val="nil"/>
              <w:bottom w:val="nil"/>
              <w:right w:val="nil"/>
            </w:tcBorders>
          </w:tcPr>
          <w:p w14:paraId="2A9B3CD7"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2079BCD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2024</w:t>
            </w:r>
          </w:p>
          <w:p w14:paraId="794DD7BF"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r w:rsidRPr="00756913">
              <w:rPr>
                <w:rFonts w:ascii="Arial" w:hAnsi="Arial" w:cs="Arial"/>
                <w:b/>
                <w:bCs/>
                <w:sz w:val="18"/>
                <w:szCs w:val="18"/>
                <w14:ligatures w14:val="standardContextual"/>
              </w:rPr>
              <w:t>£m</w:t>
            </w:r>
          </w:p>
        </w:tc>
        <w:tc>
          <w:tcPr>
            <w:tcW w:w="992" w:type="dxa"/>
            <w:tcBorders>
              <w:top w:val="nil"/>
              <w:left w:val="nil"/>
              <w:bottom w:val="nil"/>
              <w:right w:val="nil"/>
            </w:tcBorders>
            <w:vAlign w:val="center"/>
          </w:tcPr>
          <w:p w14:paraId="3A5AA636"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2023</w:t>
            </w:r>
          </w:p>
          <w:p w14:paraId="42A727C7"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r>
      <w:tr w:rsidR="00756913" w:rsidRPr="00756913" w14:paraId="57E319DD" w14:textId="77777777">
        <w:tblPrEx>
          <w:tblCellMar>
            <w:top w:w="0" w:type="dxa"/>
            <w:bottom w:w="0" w:type="dxa"/>
          </w:tblCellMar>
        </w:tblPrEx>
        <w:tc>
          <w:tcPr>
            <w:tcW w:w="5103" w:type="dxa"/>
            <w:tcBorders>
              <w:top w:val="nil"/>
              <w:left w:val="nil"/>
              <w:bottom w:val="nil"/>
              <w:right w:val="nil"/>
            </w:tcBorders>
            <w:vAlign w:val="center"/>
          </w:tcPr>
          <w:p w14:paraId="275F0B4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1985" w:type="dxa"/>
            <w:tcBorders>
              <w:top w:val="nil"/>
              <w:left w:val="nil"/>
              <w:bottom w:val="nil"/>
              <w:right w:val="nil"/>
            </w:tcBorders>
            <w:vAlign w:val="center"/>
          </w:tcPr>
          <w:p w14:paraId="0440E0D1"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47FD579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nil"/>
              <w:left w:val="nil"/>
              <w:bottom w:val="nil"/>
              <w:right w:val="nil"/>
            </w:tcBorders>
            <w:vAlign w:val="center"/>
          </w:tcPr>
          <w:p w14:paraId="5D1709E2"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p>
        </w:tc>
      </w:tr>
      <w:tr w:rsidR="00756913" w:rsidRPr="00756913" w14:paraId="333FFE01" w14:textId="77777777">
        <w:tblPrEx>
          <w:tblCellMar>
            <w:top w:w="0" w:type="dxa"/>
            <w:bottom w:w="0" w:type="dxa"/>
          </w:tblCellMar>
        </w:tblPrEx>
        <w:tc>
          <w:tcPr>
            <w:tcW w:w="5103" w:type="dxa"/>
            <w:tcBorders>
              <w:top w:val="nil"/>
              <w:left w:val="nil"/>
              <w:bottom w:val="nil"/>
              <w:right w:val="nil"/>
            </w:tcBorders>
            <w:vAlign w:val="center"/>
          </w:tcPr>
          <w:p w14:paraId="3E64094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sz w:val="18"/>
                <w:szCs w:val="18"/>
                <w14:ligatures w14:val="standardContextual"/>
              </w:rPr>
              <w:t>Finance income</w:t>
            </w:r>
          </w:p>
        </w:tc>
        <w:tc>
          <w:tcPr>
            <w:tcW w:w="1985" w:type="dxa"/>
            <w:tcBorders>
              <w:top w:val="nil"/>
              <w:left w:val="nil"/>
              <w:bottom w:val="nil"/>
              <w:right w:val="nil"/>
            </w:tcBorders>
            <w:vAlign w:val="center"/>
          </w:tcPr>
          <w:p w14:paraId="1EC5BCE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22EC629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nil"/>
              <w:left w:val="nil"/>
              <w:bottom w:val="nil"/>
              <w:right w:val="nil"/>
            </w:tcBorders>
            <w:vAlign w:val="center"/>
          </w:tcPr>
          <w:p w14:paraId="618E82E2"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p>
        </w:tc>
      </w:tr>
      <w:tr w:rsidR="00756913" w:rsidRPr="00756913" w14:paraId="705A010D" w14:textId="77777777">
        <w:tblPrEx>
          <w:tblCellMar>
            <w:top w:w="0" w:type="dxa"/>
            <w:bottom w:w="0" w:type="dxa"/>
          </w:tblCellMar>
        </w:tblPrEx>
        <w:tc>
          <w:tcPr>
            <w:tcW w:w="5103" w:type="dxa"/>
            <w:tcBorders>
              <w:top w:val="nil"/>
              <w:left w:val="nil"/>
              <w:bottom w:val="nil"/>
              <w:right w:val="nil"/>
            </w:tcBorders>
            <w:vAlign w:val="center"/>
          </w:tcPr>
          <w:p w14:paraId="3900476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Bank deposits</w:t>
            </w:r>
          </w:p>
        </w:tc>
        <w:tc>
          <w:tcPr>
            <w:tcW w:w="1985" w:type="dxa"/>
            <w:tcBorders>
              <w:top w:val="nil"/>
              <w:left w:val="nil"/>
              <w:bottom w:val="nil"/>
              <w:right w:val="nil"/>
            </w:tcBorders>
            <w:vAlign w:val="center"/>
          </w:tcPr>
          <w:p w14:paraId="5AC0087E"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single" w:sz="4" w:space="0" w:color="auto"/>
              <w:right w:val="nil"/>
            </w:tcBorders>
            <w:vAlign w:val="center"/>
          </w:tcPr>
          <w:p w14:paraId="1412ADF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0.1</w:t>
            </w:r>
          </w:p>
        </w:tc>
        <w:tc>
          <w:tcPr>
            <w:tcW w:w="992" w:type="dxa"/>
            <w:tcBorders>
              <w:top w:val="nil"/>
              <w:left w:val="nil"/>
              <w:bottom w:val="single" w:sz="4" w:space="0" w:color="auto"/>
              <w:right w:val="nil"/>
            </w:tcBorders>
            <w:vAlign w:val="center"/>
          </w:tcPr>
          <w:p w14:paraId="2BA83DD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0.0</w:t>
            </w:r>
          </w:p>
        </w:tc>
      </w:tr>
      <w:tr w:rsidR="00756913" w:rsidRPr="00756913" w14:paraId="3080E414" w14:textId="77777777">
        <w:tblPrEx>
          <w:tblCellMar>
            <w:top w:w="0" w:type="dxa"/>
            <w:bottom w:w="0" w:type="dxa"/>
          </w:tblCellMar>
        </w:tblPrEx>
        <w:tc>
          <w:tcPr>
            <w:tcW w:w="5103" w:type="dxa"/>
            <w:tcBorders>
              <w:top w:val="nil"/>
              <w:left w:val="nil"/>
              <w:bottom w:val="nil"/>
              <w:right w:val="nil"/>
            </w:tcBorders>
            <w:vAlign w:val="center"/>
          </w:tcPr>
          <w:p w14:paraId="47E751A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1985" w:type="dxa"/>
            <w:tcBorders>
              <w:top w:val="nil"/>
              <w:left w:val="nil"/>
              <w:bottom w:val="nil"/>
              <w:right w:val="nil"/>
            </w:tcBorders>
            <w:vAlign w:val="center"/>
          </w:tcPr>
          <w:p w14:paraId="103425F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single" w:sz="4" w:space="0" w:color="auto"/>
              <w:left w:val="nil"/>
              <w:bottom w:val="single" w:sz="4" w:space="0" w:color="auto"/>
              <w:right w:val="nil"/>
            </w:tcBorders>
            <w:vAlign w:val="center"/>
          </w:tcPr>
          <w:p w14:paraId="3BA08A2F"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0.1</w:t>
            </w:r>
          </w:p>
        </w:tc>
        <w:tc>
          <w:tcPr>
            <w:tcW w:w="992" w:type="dxa"/>
            <w:tcBorders>
              <w:top w:val="single" w:sz="4" w:space="0" w:color="auto"/>
              <w:left w:val="nil"/>
              <w:bottom w:val="single" w:sz="4" w:space="0" w:color="auto"/>
              <w:right w:val="nil"/>
            </w:tcBorders>
            <w:vAlign w:val="center"/>
          </w:tcPr>
          <w:p w14:paraId="18E1FBA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0.0</w:t>
            </w:r>
          </w:p>
        </w:tc>
      </w:tr>
      <w:tr w:rsidR="00756913" w:rsidRPr="00756913" w14:paraId="30ED3DEE" w14:textId="77777777">
        <w:tblPrEx>
          <w:tblCellMar>
            <w:top w:w="0" w:type="dxa"/>
            <w:bottom w:w="0" w:type="dxa"/>
          </w:tblCellMar>
        </w:tblPrEx>
        <w:tc>
          <w:tcPr>
            <w:tcW w:w="5103" w:type="dxa"/>
            <w:tcBorders>
              <w:top w:val="nil"/>
              <w:left w:val="nil"/>
              <w:bottom w:val="nil"/>
              <w:right w:val="nil"/>
            </w:tcBorders>
            <w:vAlign w:val="center"/>
          </w:tcPr>
          <w:p w14:paraId="5BBAB10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Finance expense</w:t>
            </w:r>
          </w:p>
        </w:tc>
        <w:tc>
          <w:tcPr>
            <w:tcW w:w="1985" w:type="dxa"/>
            <w:tcBorders>
              <w:top w:val="nil"/>
              <w:left w:val="nil"/>
              <w:bottom w:val="nil"/>
              <w:right w:val="nil"/>
            </w:tcBorders>
            <w:vAlign w:val="center"/>
          </w:tcPr>
          <w:p w14:paraId="24252FC2"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41A5E86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nil"/>
              <w:left w:val="nil"/>
              <w:bottom w:val="nil"/>
              <w:right w:val="nil"/>
            </w:tcBorders>
            <w:vAlign w:val="center"/>
          </w:tcPr>
          <w:p w14:paraId="14D0FFA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p>
        </w:tc>
      </w:tr>
      <w:tr w:rsidR="00756913" w:rsidRPr="00756913" w14:paraId="5F1B6B94" w14:textId="77777777">
        <w:tblPrEx>
          <w:tblCellMar>
            <w:top w:w="0" w:type="dxa"/>
            <w:bottom w:w="0" w:type="dxa"/>
          </w:tblCellMar>
        </w:tblPrEx>
        <w:tc>
          <w:tcPr>
            <w:tcW w:w="5103" w:type="dxa"/>
            <w:tcBorders>
              <w:top w:val="nil"/>
              <w:left w:val="nil"/>
              <w:bottom w:val="nil"/>
              <w:right w:val="nil"/>
            </w:tcBorders>
            <w:vAlign w:val="center"/>
          </w:tcPr>
          <w:p w14:paraId="186DA22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Revolving credit facility</w:t>
            </w:r>
          </w:p>
        </w:tc>
        <w:tc>
          <w:tcPr>
            <w:tcW w:w="1985" w:type="dxa"/>
            <w:tcBorders>
              <w:top w:val="nil"/>
              <w:left w:val="nil"/>
              <w:bottom w:val="nil"/>
              <w:right w:val="nil"/>
            </w:tcBorders>
            <w:vAlign w:val="center"/>
          </w:tcPr>
          <w:p w14:paraId="40F1E7EA"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1B5AD5A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1.0</w:t>
            </w:r>
          </w:p>
        </w:tc>
        <w:tc>
          <w:tcPr>
            <w:tcW w:w="992" w:type="dxa"/>
            <w:tcBorders>
              <w:top w:val="nil"/>
              <w:left w:val="nil"/>
              <w:bottom w:val="nil"/>
              <w:right w:val="nil"/>
            </w:tcBorders>
            <w:vAlign w:val="center"/>
          </w:tcPr>
          <w:p w14:paraId="06C217E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0.5</w:t>
            </w:r>
          </w:p>
        </w:tc>
      </w:tr>
      <w:tr w:rsidR="00756913" w:rsidRPr="00756913" w14:paraId="6CB58861" w14:textId="77777777">
        <w:tblPrEx>
          <w:tblCellMar>
            <w:top w:w="0" w:type="dxa"/>
            <w:bottom w:w="0" w:type="dxa"/>
          </w:tblCellMar>
        </w:tblPrEx>
        <w:tc>
          <w:tcPr>
            <w:tcW w:w="5103" w:type="dxa"/>
            <w:tcBorders>
              <w:top w:val="nil"/>
              <w:left w:val="nil"/>
              <w:bottom w:val="nil"/>
              <w:right w:val="nil"/>
            </w:tcBorders>
            <w:vAlign w:val="center"/>
          </w:tcPr>
          <w:p w14:paraId="39FB003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Bank loan</w:t>
            </w:r>
          </w:p>
        </w:tc>
        <w:tc>
          <w:tcPr>
            <w:tcW w:w="1985" w:type="dxa"/>
            <w:tcBorders>
              <w:top w:val="nil"/>
              <w:left w:val="nil"/>
              <w:bottom w:val="nil"/>
              <w:right w:val="nil"/>
            </w:tcBorders>
            <w:vAlign w:val="center"/>
          </w:tcPr>
          <w:p w14:paraId="6D44ADC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7ECA822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0.9</w:t>
            </w:r>
          </w:p>
        </w:tc>
        <w:tc>
          <w:tcPr>
            <w:tcW w:w="992" w:type="dxa"/>
            <w:tcBorders>
              <w:top w:val="nil"/>
              <w:left w:val="nil"/>
              <w:bottom w:val="nil"/>
              <w:right w:val="nil"/>
            </w:tcBorders>
            <w:vAlign w:val="center"/>
          </w:tcPr>
          <w:p w14:paraId="39F0FA0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1.3</w:t>
            </w:r>
          </w:p>
        </w:tc>
      </w:tr>
      <w:tr w:rsidR="00756913" w:rsidRPr="00756913" w14:paraId="082CC47F" w14:textId="77777777">
        <w:tblPrEx>
          <w:tblCellMar>
            <w:top w:w="0" w:type="dxa"/>
            <w:bottom w:w="0" w:type="dxa"/>
          </w:tblCellMar>
        </w:tblPrEx>
        <w:tc>
          <w:tcPr>
            <w:tcW w:w="5103" w:type="dxa"/>
            <w:tcBorders>
              <w:top w:val="nil"/>
              <w:left w:val="nil"/>
              <w:bottom w:val="nil"/>
              <w:right w:val="nil"/>
            </w:tcBorders>
            <w:vAlign w:val="center"/>
          </w:tcPr>
          <w:p w14:paraId="0B3DF24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Leases</w:t>
            </w:r>
          </w:p>
        </w:tc>
        <w:tc>
          <w:tcPr>
            <w:tcW w:w="1985" w:type="dxa"/>
            <w:tcBorders>
              <w:top w:val="nil"/>
              <w:left w:val="nil"/>
              <w:bottom w:val="nil"/>
              <w:right w:val="nil"/>
            </w:tcBorders>
            <w:vAlign w:val="center"/>
          </w:tcPr>
          <w:p w14:paraId="6283EC7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nil"/>
              <w:left w:val="nil"/>
              <w:bottom w:val="nil"/>
              <w:right w:val="nil"/>
            </w:tcBorders>
            <w:vAlign w:val="center"/>
          </w:tcPr>
          <w:p w14:paraId="7A12D822"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0.4</w:t>
            </w:r>
          </w:p>
        </w:tc>
        <w:tc>
          <w:tcPr>
            <w:tcW w:w="992" w:type="dxa"/>
            <w:tcBorders>
              <w:top w:val="nil"/>
              <w:left w:val="nil"/>
              <w:bottom w:val="nil"/>
              <w:right w:val="nil"/>
            </w:tcBorders>
            <w:vAlign w:val="center"/>
          </w:tcPr>
          <w:p w14:paraId="3FFA80D2"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0.5</w:t>
            </w:r>
          </w:p>
        </w:tc>
      </w:tr>
      <w:tr w:rsidR="00756913" w:rsidRPr="00756913" w14:paraId="13E52896" w14:textId="77777777">
        <w:tblPrEx>
          <w:tblCellMar>
            <w:top w:w="0" w:type="dxa"/>
            <w:bottom w:w="0" w:type="dxa"/>
          </w:tblCellMar>
        </w:tblPrEx>
        <w:tc>
          <w:tcPr>
            <w:tcW w:w="5103" w:type="dxa"/>
            <w:tcBorders>
              <w:top w:val="nil"/>
              <w:left w:val="nil"/>
              <w:bottom w:val="nil"/>
              <w:right w:val="nil"/>
            </w:tcBorders>
            <w:vAlign w:val="center"/>
          </w:tcPr>
          <w:p w14:paraId="387AE53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Loan notes</w:t>
            </w:r>
          </w:p>
        </w:tc>
        <w:tc>
          <w:tcPr>
            <w:tcW w:w="1985" w:type="dxa"/>
            <w:tcBorders>
              <w:top w:val="nil"/>
              <w:left w:val="nil"/>
              <w:bottom w:val="nil"/>
              <w:right w:val="nil"/>
            </w:tcBorders>
            <w:vAlign w:val="center"/>
          </w:tcPr>
          <w:p w14:paraId="5DB79DAF"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nil"/>
              <w:left w:val="nil"/>
              <w:bottom w:val="nil"/>
              <w:right w:val="nil"/>
            </w:tcBorders>
            <w:vAlign w:val="center"/>
          </w:tcPr>
          <w:p w14:paraId="68291957"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0.1</w:t>
            </w:r>
          </w:p>
        </w:tc>
        <w:tc>
          <w:tcPr>
            <w:tcW w:w="992" w:type="dxa"/>
            <w:tcBorders>
              <w:top w:val="nil"/>
              <w:left w:val="nil"/>
              <w:bottom w:val="nil"/>
              <w:right w:val="nil"/>
            </w:tcBorders>
            <w:vAlign w:val="center"/>
          </w:tcPr>
          <w:p w14:paraId="0BBE057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r>
      <w:tr w:rsidR="00756913" w:rsidRPr="00756913" w14:paraId="3E918641" w14:textId="77777777">
        <w:tblPrEx>
          <w:tblCellMar>
            <w:top w:w="0" w:type="dxa"/>
            <w:bottom w:w="0" w:type="dxa"/>
          </w:tblCellMar>
        </w:tblPrEx>
        <w:trPr>
          <w:trHeight w:val="66"/>
        </w:trPr>
        <w:tc>
          <w:tcPr>
            <w:tcW w:w="5103" w:type="dxa"/>
            <w:tcBorders>
              <w:top w:val="nil"/>
              <w:left w:val="nil"/>
              <w:bottom w:val="nil"/>
              <w:right w:val="nil"/>
            </w:tcBorders>
            <w:vAlign w:val="center"/>
          </w:tcPr>
          <w:p w14:paraId="5952C15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1985" w:type="dxa"/>
            <w:tcBorders>
              <w:top w:val="nil"/>
              <w:left w:val="nil"/>
              <w:bottom w:val="nil"/>
              <w:right w:val="nil"/>
            </w:tcBorders>
            <w:vAlign w:val="center"/>
          </w:tcPr>
          <w:p w14:paraId="56D0A91B"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single" w:sz="4" w:space="0" w:color="auto"/>
              <w:left w:val="nil"/>
              <w:bottom w:val="single" w:sz="4" w:space="0" w:color="auto"/>
              <w:right w:val="nil"/>
            </w:tcBorders>
            <w:vAlign w:val="center"/>
          </w:tcPr>
          <w:p w14:paraId="1DF463FA"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2.4</w:t>
            </w:r>
          </w:p>
        </w:tc>
        <w:tc>
          <w:tcPr>
            <w:tcW w:w="992" w:type="dxa"/>
            <w:tcBorders>
              <w:top w:val="single" w:sz="4" w:space="0" w:color="auto"/>
              <w:left w:val="nil"/>
              <w:bottom w:val="single" w:sz="4" w:space="0" w:color="auto"/>
              <w:right w:val="nil"/>
            </w:tcBorders>
            <w:vAlign w:val="center"/>
          </w:tcPr>
          <w:p w14:paraId="43AC284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2.4</w:t>
            </w:r>
          </w:p>
        </w:tc>
      </w:tr>
      <w:tr w:rsidR="00756913" w:rsidRPr="00756913" w14:paraId="23FC40ED" w14:textId="77777777">
        <w:tblPrEx>
          <w:tblCellMar>
            <w:top w:w="0" w:type="dxa"/>
            <w:bottom w:w="0" w:type="dxa"/>
          </w:tblCellMar>
        </w:tblPrEx>
        <w:trPr>
          <w:trHeight w:val="66"/>
        </w:trPr>
        <w:tc>
          <w:tcPr>
            <w:tcW w:w="5103" w:type="dxa"/>
            <w:tcBorders>
              <w:top w:val="nil"/>
              <w:left w:val="nil"/>
              <w:bottom w:val="nil"/>
              <w:right w:val="nil"/>
            </w:tcBorders>
            <w:vAlign w:val="center"/>
          </w:tcPr>
          <w:p w14:paraId="6FD8456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Net finance expense</w:t>
            </w:r>
          </w:p>
        </w:tc>
        <w:tc>
          <w:tcPr>
            <w:tcW w:w="1985" w:type="dxa"/>
            <w:tcBorders>
              <w:top w:val="nil"/>
              <w:left w:val="nil"/>
              <w:bottom w:val="nil"/>
              <w:right w:val="nil"/>
            </w:tcBorders>
            <w:vAlign w:val="center"/>
          </w:tcPr>
          <w:p w14:paraId="56EA64F1"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single" w:sz="4" w:space="0" w:color="auto"/>
              <w:left w:val="nil"/>
              <w:bottom w:val="single" w:sz="4" w:space="0" w:color="auto"/>
              <w:right w:val="nil"/>
            </w:tcBorders>
            <w:vAlign w:val="center"/>
          </w:tcPr>
          <w:p w14:paraId="792F4F22"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2.3</w:t>
            </w:r>
          </w:p>
        </w:tc>
        <w:tc>
          <w:tcPr>
            <w:tcW w:w="992" w:type="dxa"/>
            <w:tcBorders>
              <w:top w:val="single" w:sz="4" w:space="0" w:color="auto"/>
              <w:left w:val="nil"/>
              <w:bottom w:val="single" w:sz="4" w:space="0" w:color="auto"/>
              <w:right w:val="nil"/>
            </w:tcBorders>
            <w:vAlign w:val="center"/>
          </w:tcPr>
          <w:p w14:paraId="26FBC689"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2.4</w:t>
            </w:r>
          </w:p>
        </w:tc>
      </w:tr>
    </w:tbl>
    <w:p w14:paraId="1F537EB2"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jc w:val="both"/>
        <w:rPr>
          <w:rFonts w:ascii="Arial" w:hAnsi="Arial" w:cs="Arial"/>
          <w:b/>
          <w:bCs/>
          <w14:ligatures w14:val="standardContextual"/>
        </w:rPr>
      </w:pPr>
    </w:p>
    <w:p w14:paraId="613027C9"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hanging="360"/>
        <w:jc w:val="both"/>
        <w:rPr>
          <w:rFonts w:ascii="Arial" w:hAnsi="Arial" w:cs="Arial"/>
          <w:b/>
          <w:bCs/>
          <w14:ligatures w14:val="standardContextual"/>
        </w:rPr>
      </w:pPr>
      <w:r w:rsidRPr="00756913">
        <w:rPr>
          <w:rFonts w:ascii="Arial" w:hAnsi="Arial" w:cs="Arial"/>
          <w:sz w:val="20"/>
          <w:szCs w:val="20"/>
          <w14:ligatures w14:val="standardContextual"/>
        </w:rPr>
        <w:t>4.</w:t>
      </w:r>
      <w:r w:rsidRPr="00756913">
        <w:rPr>
          <w:rFonts w:ascii="Arial" w:hAnsi="Arial" w:cs="Arial"/>
          <w:sz w:val="20"/>
          <w:szCs w:val="20"/>
          <w14:ligatures w14:val="standardContextual"/>
        </w:rPr>
        <w:tab/>
      </w:r>
      <w:r w:rsidRPr="00756913">
        <w:rPr>
          <w:rFonts w:ascii="Arial" w:hAnsi="Arial" w:cs="Arial"/>
          <w:b/>
          <w:bCs/>
          <w:sz w:val="20"/>
          <w:szCs w:val="20"/>
          <w14:ligatures w14:val="standardContextual"/>
        </w:rPr>
        <w:t>Taxation</w:t>
      </w:r>
    </w:p>
    <w:p w14:paraId="0F7341E8" w14:textId="77777777" w:rsidR="00756913" w:rsidRPr="00756913" w:rsidRDefault="00756913" w:rsidP="00756913">
      <w:pPr>
        <w:autoSpaceDE w:val="0"/>
        <w:autoSpaceDN w:val="0"/>
        <w:adjustRightInd w:val="0"/>
        <w:spacing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The effective tax rate of 24.0% is below the UK standard rate of 25.0%. This is primarily due to the impact of temporary timing differences. For the six months ended 30 June 2023, the effective tax rate of 23.1% was below the UK standard rate of 25.0%. This was driven by the change in tax rate in April 2023, which resulted in a blended rate for the year of 23.5%. The effective tax rate was lower than this blended rate due to an adjustment in respect of the prior period which reduced the tax charge. </w:t>
      </w:r>
    </w:p>
    <w:tbl>
      <w:tblPr>
        <w:tblW w:w="0" w:type="auto"/>
        <w:tblLayout w:type="fixed"/>
        <w:tblLook w:val="0000" w:firstRow="0" w:lastRow="0" w:firstColumn="0" w:lastColumn="0" w:noHBand="0" w:noVBand="0"/>
      </w:tblPr>
      <w:tblGrid>
        <w:gridCol w:w="5103"/>
        <w:gridCol w:w="1984"/>
        <w:gridCol w:w="992"/>
        <w:gridCol w:w="992"/>
      </w:tblGrid>
      <w:tr w:rsidR="00756913" w:rsidRPr="00756913" w14:paraId="6403C07C" w14:textId="77777777">
        <w:tblPrEx>
          <w:tblCellMar>
            <w:top w:w="0" w:type="dxa"/>
            <w:bottom w:w="0" w:type="dxa"/>
          </w:tblCellMar>
        </w:tblPrEx>
        <w:tc>
          <w:tcPr>
            <w:tcW w:w="5103" w:type="dxa"/>
            <w:tcBorders>
              <w:top w:val="nil"/>
              <w:left w:val="nil"/>
              <w:bottom w:val="nil"/>
              <w:right w:val="nil"/>
            </w:tcBorders>
          </w:tcPr>
          <w:p w14:paraId="53B42CBC" w14:textId="77777777" w:rsidR="00756913" w:rsidRPr="00756913" w:rsidRDefault="00756913" w:rsidP="00756913">
            <w:pPr>
              <w:tabs>
                <w:tab w:val="left" w:pos="709"/>
                <w:tab w:val="left" w:pos="1559"/>
                <w:tab w:val="left" w:pos="2268"/>
                <w:tab w:val="left" w:pos="2977"/>
                <w:tab w:val="left" w:pos="3686"/>
                <w:tab w:val="left" w:pos="4394"/>
                <w:tab w:val="right" w:pos="8789"/>
              </w:tabs>
              <w:suppressAutoHyphens/>
              <w:autoSpaceDE w:val="0"/>
              <w:autoSpaceDN w:val="0"/>
              <w:adjustRightInd w:val="0"/>
              <w:spacing w:before="130" w:after="0" w:line="260" w:lineRule="atLeast"/>
              <w:jc w:val="both"/>
              <w:rPr>
                <w:rFonts w:ascii="Arial" w:hAnsi="Arial" w:cs="Arial"/>
                <w:color w:val="FF0000"/>
                <w14:ligatures w14:val="standardContextual"/>
              </w:rPr>
            </w:pPr>
          </w:p>
        </w:tc>
        <w:tc>
          <w:tcPr>
            <w:tcW w:w="1984" w:type="dxa"/>
            <w:tcBorders>
              <w:top w:val="nil"/>
              <w:left w:val="nil"/>
              <w:bottom w:val="nil"/>
              <w:right w:val="nil"/>
            </w:tcBorders>
          </w:tcPr>
          <w:p w14:paraId="4224FEC4"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tcPr>
          <w:p w14:paraId="204E703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2024</w:t>
            </w:r>
          </w:p>
          <w:p w14:paraId="7C33744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992" w:type="dxa"/>
            <w:tcBorders>
              <w:top w:val="nil"/>
              <w:left w:val="nil"/>
              <w:bottom w:val="nil"/>
              <w:right w:val="nil"/>
            </w:tcBorders>
          </w:tcPr>
          <w:p w14:paraId="5D008528"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2023</w:t>
            </w:r>
          </w:p>
          <w:p w14:paraId="780146BD"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r>
      <w:tr w:rsidR="00756913" w:rsidRPr="00756913" w14:paraId="697D0196" w14:textId="77777777">
        <w:tblPrEx>
          <w:tblCellMar>
            <w:top w:w="0" w:type="dxa"/>
            <w:bottom w:w="0" w:type="dxa"/>
          </w:tblCellMar>
        </w:tblPrEx>
        <w:trPr>
          <w:trHeight w:val="90"/>
        </w:trPr>
        <w:tc>
          <w:tcPr>
            <w:tcW w:w="5103" w:type="dxa"/>
            <w:tcBorders>
              <w:top w:val="nil"/>
              <w:left w:val="nil"/>
              <w:bottom w:val="nil"/>
              <w:right w:val="nil"/>
            </w:tcBorders>
            <w:vAlign w:val="center"/>
          </w:tcPr>
          <w:p w14:paraId="7EFC50C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1984" w:type="dxa"/>
            <w:tcBorders>
              <w:top w:val="nil"/>
              <w:left w:val="nil"/>
              <w:bottom w:val="nil"/>
              <w:right w:val="nil"/>
            </w:tcBorders>
            <w:vAlign w:val="center"/>
          </w:tcPr>
          <w:p w14:paraId="30B2D1AF" w14:textId="77777777" w:rsidR="00756913" w:rsidRPr="00756913" w:rsidRDefault="00756913" w:rsidP="00756913">
            <w:pPr>
              <w:tabs>
                <w:tab w:val="decimal" w:pos="964"/>
              </w:tabs>
              <w:autoSpaceDE w:val="0"/>
              <w:autoSpaceDN w:val="0"/>
              <w:adjustRightInd w:val="0"/>
              <w:spacing w:after="0" w:line="240" w:lineRule="auto"/>
              <w:ind w:right="80"/>
              <w:rPr>
                <w:rFonts w:ascii="Arial" w:hAnsi="Arial" w:cs="Arial"/>
                <w:color w:val="FF0000"/>
                <w:sz w:val="18"/>
                <w:szCs w:val="18"/>
                <w:u w:val="single"/>
                <w14:ligatures w14:val="standardContextual"/>
              </w:rPr>
            </w:pPr>
          </w:p>
        </w:tc>
        <w:tc>
          <w:tcPr>
            <w:tcW w:w="992" w:type="dxa"/>
            <w:tcBorders>
              <w:top w:val="nil"/>
              <w:left w:val="nil"/>
              <w:bottom w:val="nil"/>
              <w:right w:val="nil"/>
            </w:tcBorders>
            <w:vAlign w:val="center"/>
          </w:tcPr>
          <w:p w14:paraId="5722EAD5" w14:textId="77777777" w:rsidR="00756913" w:rsidRPr="00756913" w:rsidRDefault="00756913" w:rsidP="00756913">
            <w:pPr>
              <w:tabs>
                <w:tab w:val="decimal" w:pos="964"/>
              </w:tabs>
              <w:autoSpaceDE w:val="0"/>
              <w:autoSpaceDN w:val="0"/>
              <w:adjustRightInd w:val="0"/>
              <w:spacing w:after="0" w:line="240" w:lineRule="auto"/>
              <w:ind w:right="80"/>
              <w:jc w:val="center"/>
              <w:rPr>
                <w:rFonts w:ascii="Arial" w:hAnsi="Arial" w:cs="Arial"/>
                <w:b/>
                <w:bCs/>
                <w:sz w:val="18"/>
                <w:szCs w:val="18"/>
                <w14:ligatures w14:val="standardContextual"/>
              </w:rPr>
            </w:pPr>
          </w:p>
        </w:tc>
        <w:tc>
          <w:tcPr>
            <w:tcW w:w="992" w:type="dxa"/>
            <w:tcBorders>
              <w:top w:val="nil"/>
              <w:left w:val="nil"/>
              <w:bottom w:val="nil"/>
              <w:right w:val="nil"/>
            </w:tcBorders>
            <w:vAlign w:val="center"/>
          </w:tcPr>
          <w:p w14:paraId="7197D96C" w14:textId="77777777" w:rsidR="00756913" w:rsidRPr="00756913" w:rsidRDefault="00756913" w:rsidP="00756913">
            <w:pPr>
              <w:tabs>
                <w:tab w:val="decimal" w:pos="964"/>
              </w:tabs>
              <w:autoSpaceDE w:val="0"/>
              <w:autoSpaceDN w:val="0"/>
              <w:adjustRightInd w:val="0"/>
              <w:spacing w:after="0" w:line="240" w:lineRule="auto"/>
              <w:ind w:right="80"/>
              <w:rPr>
                <w:rFonts w:ascii="Arial" w:hAnsi="Arial" w:cs="Arial"/>
                <w:sz w:val="18"/>
                <w:szCs w:val="18"/>
                <w:u w:val="single"/>
                <w14:ligatures w14:val="standardContextual"/>
              </w:rPr>
            </w:pPr>
          </w:p>
        </w:tc>
      </w:tr>
      <w:tr w:rsidR="00756913" w:rsidRPr="00756913" w14:paraId="10EE399F" w14:textId="77777777">
        <w:tblPrEx>
          <w:tblCellMar>
            <w:top w:w="0" w:type="dxa"/>
            <w:bottom w:w="0" w:type="dxa"/>
          </w:tblCellMar>
        </w:tblPrEx>
        <w:trPr>
          <w:trHeight w:val="90"/>
        </w:trPr>
        <w:tc>
          <w:tcPr>
            <w:tcW w:w="5103" w:type="dxa"/>
            <w:tcBorders>
              <w:top w:val="nil"/>
              <w:left w:val="nil"/>
              <w:bottom w:val="nil"/>
              <w:right w:val="nil"/>
            </w:tcBorders>
            <w:vAlign w:val="center"/>
          </w:tcPr>
          <w:p w14:paraId="7BB2D35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Current tax</w:t>
            </w:r>
          </w:p>
        </w:tc>
        <w:tc>
          <w:tcPr>
            <w:tcW w:w="1984" w:type="dxa"/>
            <w:tcBorders>
              <w:top w:val="nil"/>
              <w:left w:val="nil"/>
              <w:bottom w:val="nil"/>
              <w:right w:val="nil"/>
            </w:tcBorders>
            <w:vAlign w:val="center"/>
          </w:tcPr>
          <w:p w14:paraId="1662E0D7" w14:textId="77777777" w:rsidR="00756913" w:rsidRPr="00756913" w:rsidRDefault="00756913" w:rsidP="00756913">
            <w:pPr>
              <w:tabs>
                <w:tab w:val="decimal" w:pos="964"/>
              </w:tabs>
              <w:autoSpaceDE w:val="0"/>
              <w:autoSpaceDN w:val="0"/>
              <w:adjustRightInd w:val="0"/>
              <w:spacing w:after="0" w:line="240" w:lineRule="auto"/>
              <w:ind w:right="80"/>
              <w:rPr>
                <w:rFonts w:ascii="Arial" w:hAnsi="Arial" w:cs="Arial"/>
                <w:color w:val="FF0000"/>
                <w:sz w:val="18"/>
                <w:szCs w:val="18"/>
                <w:u w:val="single"/>
                <w14:ligatures w14:val="standardContextual"/>
              </w:rPr>
            </w:pPr>
          </w:p>
        </w:tc>
        <w:tc>
          <w:tcPr>
            <w:tcW w:w="992" w:type="dxa"/>
            <w:tcBorders>
              <w:top w:val="nil"/>
              <w:left w:val="nil"/>
              <w:bottom w:val="nil"/>
              <w:right w:val="nil"/>
            </w:tcBorders>
            <w:vAlign w:val="center"/>
          </w:tcPr>
          <w:p w14:paraId="6A5853F9"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nil"/>
              <w:left w:val="nil"/>
              <w:bottom w:val="nil"/>
              <w:right w:val="nil"/>
            </w:tcBorders>
            <w:vAlign w:val="center"/>
          </w:tcPr>
          <w:p w14:paraId="599A5651"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p>
        </w:tc>
      </w:tr>
      <w:tr w:rsidR="00756913" w:rsidRPr="00756913" w14:paraId="50DD0304" w14:textId="77777777">
        <w:tblPrEx>
          <w:tblCellMar>
            <w:top w:w="0" w:type="dxa"/>
            <w:bottom w:w="0" w:type="dxa"/>
          </w:tblCellMar>
        </w:tblPrEx>
        <w:tc>
          <w:tcPr>
            <w:tcW w:w="5103" w:type="dxa"/>
            <w:tcBorders>
              <w:top w:val="nil"/>
              <w:left w:val="nil"/>
              <w:bottom w:val="nil"/>
              <w:right w:val="nil"/>
            </w:tcBorders>
            <w:vAlign w:val="center"/>
          </w:tcPr>
          <w:p w14:paraId="1E25343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Current tax on income for the period</w:t>
            </w:r>
          </w:p>
        </w:tc>
        <w:tc>
          <w:tcPr>
            <w:tcW w:w="1984" w:type="dxa"/>
            <w:tcBorders>
              <w:top w:val="nil"/>
              <w:left w:val="nil"/>
              <w:bottom w:val="nil"/>
              <w:right w:val="nil"/>
            </w:tcBorders>
            <w:vAlign w:val="center"/>
          </w:tcPr>
          <w:p w14:paraId="14512FA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099E9F79"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15.3</w:t>
            </w:r>
          </w:p>
        </w:tc>
        <w:tc>
          <w:tcPr>
            <w:tcW w:w="992" w:type="dxa"/>
            <w:tcBorders>
              <w:top w:val="nil"/>
              <w:left w:val="nil"/>
              <w:bottom w:val="nil"/>
              <w:right w:val="nil"/>
            </w:tcBorders>
            <w:vAlign w:val="center"/>
          </w:tcPr>
          <w:p w14:paraId="25588B19" w14:textId="77777777" w:rsidR="00756913" w:rsidRPr="00756913" w:rsidRDefault="00756913" w:rsidP="00756913">
            <w:pPr>
              <w:tabs>
                <w:tab w:val="decimal" w:pos="46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14.3</w:t>
            </w:r>
          </w:p>
        </w:tc>
      </w:tr>
      <w:tr w:rsidR="00756913" w:rsidRPr="00756913" w14:paraId="5E917F97" w14:textId="77777777">
        <w:tblPrEx>
          <w:tblCellMar>
            <w:top w:w="0" w:type="dxa"/>
            <w:bottom w:w="0" w:type="dxa"/>
          </w:tblCellMar>
        </w:tblPrEx>
        <w:tc>
          <w:tcPr>
            <w:tcW w:w="5103" w:type="dxa"/>
            <w:tcBorders>
              <w:top w:val="nil"/>
              <w:left w:val="nil"/>
              <w:bottom w:val="nil"/>
              <w:right w:val="nil"/>
            </w:tcBorders>
            <w:vAlign w:val="center"/>
          </w:tcPr>
          <w:p w14:paraId="49C98E7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Adjustments in respect of prior periods</w:t>
            </w:r>
          </w:p>
        </w:tc>
        <w:tc>
          <w:tcPr>
            <w:tcW w:w="1984" w:type="dxa"/>
            <w:tcBorders>
              <w:top w:val="nil"/>
              <w:left w:val="nil"/>
              <w:bottom w:val="nil"/>
              <w:right w:val="nil"/>
            </w:tcBorders>
            <w:vAlign w:val="center"/>
          </w:tcPr>
          <w:p w14:paraId="546C29A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nil"/>
              <w:left w:val="nil"/>
              <w:bottom w:val="nil"/>
              <w:right w:val="nil"/>
            </w:tcBorders>
            <w:vAlign w:val="center"/>
          </w:tcPr>
          <w:p w14:paraId="5487AAA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w:t>
            </w:r>
          </w:p>
        </w:tc>
        <w:tc>
          <w:tcPr>
            <w:tcW w:w="992" w:type="dxa"/>
            <w:tcBorders>
              <w:top w:val="nil"/>
              <w:left w:val="nil"/>
              <w:bottom w:val="nil"/>
              <w:right w:val="nil"/>
            </w:tcBorders>
            <w:vAlign w:val="center"/>
          </w:tcPr>
          <w:p w14:paraId="73AA126B" w14:textId="77777777" w:rsidR="00756913" w:rsidRPr="00756913" w:rsidRDefault="00756913" w:rsidP="00756913">
            <w:pPr>
              <w:tabs>
                <w:tab w:val="decimal" w:pos="46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r>
      <w:tr w:rsidR="00756913" w:rsidRPr="00756913" w14:paraId="1AD1F54B" w14:textId="77777777">
        <w:tblPrEx>
          <w:tblCellMar>
            <w:top w:w="0" w:type="dxa"/>
            <w:bottom w:w="0" w:type="dxa"/>
          </w:tblCellMar>
        </w:tblPrEx>
        <w:trPr>
          <w:trHeight w:val="66"/>
        </w:trPr>
        <w:tc>
          <w:tcPr>
            <w:tcW w:w="5103" w:type="dxa"/>
            <w:tcBorders>
              <w:top w:val="nil"/>
              <w:left w:val="nil"/>
              <w:bottom w:val="nil"/>
              <w:right w:val="nil"/>
            </w:tcBorders>
            <w:vAlign w:val="center"/>
          </w:tcPr>
          <w:p w14:paraId="0ED8B34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1984" w:type="dxa"/>
            <w:tcBorders>
              <w:top w:val="nil"/>
              <w:left w:val="nil"/>
              <w:bottom w:val="nil"/>
              <w:right w:val="nil"/>
            </w:tcBorders>
            <w:vAlign w:val="center"/>
          </w:tcPr>
          <w:p w14:paraId="2A626217"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single" w:sz="4" w:space="0" w:color="auto"/>
              <w:left w:val="nil"/>
              <w:bottom w:val="single" w:sz="4" w:space="0" w:color="auto"/>
              <w:right w:val="nil"/>
            </w:tcBorders>
            <w:vAlign w:val="center"/>
          </w:tcPr>
          <w:p w14:paraId="1B59E82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15.3</w:t>
            </w:r>
          </w:p>
        </w:tc>
        <w:tc>
          <w:tcPr>
            <w:tcW w:w="992" w:type="dxa"/>
            <w:tcBorders>
              <w:top w:val="single" w:sz="4" w:space="0" w:color="auto"/>
              <w:left w:val="nil"/>
              <w:bottom w:val="single" w:sz="4" w:space="0" w:color="auto"/>
              <w:right w:val="nil"/>
            </w:tcBorders>
            <w:vAlign w:val="center"/>
          </w:tcPr>
          <w:p w14:paraId="632B9A79" w14:textId="77777777" w:rsidR="00756913" w:rsidRPr="00756913" w:rsidRDefault="00756913" w:rsidP="00756913">
            <w:pPr>
              <w:tabs>
                <w:tab w:val="decimal" w:pos="46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13.9</w:t>
            </w:r>
          </w:p>
        </w:tc>
      </w:tr>
      <w:tr w:rsidR="00756913" w:rsidRPr="00756913" w14:paraId="10F10D83" w14:textId="77777777">
        <w:tblPrEx>
          <w:tblCellMar>
            <w:top w:w="0" w:type="dxa"/>
            <w:bottom w:w="0" w:type="dxa"/>
          </w:tblCellMar>
        </w:tblPrEx>
        <w:tc>
          <w:tcPr>
            <w:tcW w:w="5103" w:type="dxa"/>
            <w:tcBorders>
              <w:top w:val="nil"/>
              <w:left w:val="nil"/>
              <w:bottom w:val="nil"/>
              <w:right w:val="nil"/>
            </w:tcBorders>
            <w:vAlign w:val="center"/>
          </w:tcPr>
          <w:p w14:paraId="03BBEFD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Deferred tax</w:t>
            </w:r>
          </w:p>
        </w:tc>
        <w:tc>
          <w:tcPr>
            <w:tcW w:w="1984" w:type="dxa"/>
            <w:tcBorders>
              <w:top w:val="nil"/>
              <w:left w:val="nil"/>
              <w:bottom w:val="nil"/>
              <w:right w:val="nil"/>
            </w:tcBorders>
            <w:vAlign w:val="center"/>
          </w:tcPr>
          <w:p w14:paraId="5BED3B1C"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single" w:sz="4" w:space="0" w:color="auto"/>
              <w:left w:val="nil"/>
              <w:bottom w:val="nil"/>
              <w:right w:val="nil"/>
            </w:tcBorders>
            <w:vAlign w:val="center"/>
          </w:tcPr>
          <w:p w14:paraId="370194DD"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single" w:sz="4" w:space="0" w:color="auto"/>
              <w:left w:val="nil"/>
              <w:bottom w:val="nil"/>
              <w:right w:val="nil"/>
            </w:tcBorders>
            <w:vAlign w:val="center"/>
          </w:tcPr>
          <w:p w14:paraId="52B8A725" w14:textId="77777777" w:rsidR="00756913" w:rsidRPr="00756913" w:rsidRDefault="00756913" w:rsidP="00756913">
            <w:pPr>
              <w:tabs>
                <w:tab w:val="decimal" w:pos="460"/>
              </w:tabs>
              <w:autoSpaceDE w:val="0"/>
              <w:autoSpaceDN w:val="0"/>
              <w:adjustRightInd w:val="0"/>
              <w:spacing w:after="0" w:line="240" w:lineRule="auto"/>
              <w:ind w:right="80"/>
              <w:rPr>
                <w:rFonts w:ascii="Arial" w:hAnsi="Arial" w:cs="Arial"/>
                <w:sz w:val="18"/>
                <w:szCs w:val="18"/>
                <w14:ligatures w14:val="standardContextual"/>
              </w:rPr>
            </w:pPr>
          </w:p>
        </w:tc>
      </w:tr>
      <w:tr w:rsidR="00756913" w:rsidRPr="00756913" w14:paraId="76A53C1F" w14:textId="77777777">
        <w:tblPrEx>
          <w:tblCellMar>
            <w:top w:w="0" w:type="dxa"/>
            <w:bottom w:w="0" w:type="dxa"/>
          </w:tblCellMar>
        </w:tblPrEx>
        <w:tc>
          <w:tcPr>
            <w:tcW w:w="5103" w:type="dxa"/>
            <w:tcBorders>
              <w:top w:val="nil"/>
              <w:left w:val="nil"/>
              <w:bottom w:val="nil"/>
              <w:right w:val="nil"/>
            </w:tcBorders>
            <w:vAlign w:val="center"/>
          </w:tcPr>
          <w:p w14:paraId="0AA0109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Origination and reversal of temporary differences</w:t>
            </w:r>
          </w:p>
        </w:tc>
        <w:tc>
          <w:tcPr>
            <w:tcW w:w="1984" w:type="dxa"/>
            <w:tcBorders>
              <w:top w:val="nil"/>
              <w:left w:val="nil"/>
              <w:bottom w:val="nil"/>
              <w:right w:val="nil"/>
            </w:tcBorders>
            <w:vAlign w:val="center"/>
          </w:tcPr>
          <w:p w14:paraId="39AA2F7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FF0000"/>
                <w:sz w:val="18"/>
                <w:szCs w:val="18"/>
                <w14:ligatures w14:val="standardContextual"/>
              </w:rPr>
            </w:pPr>
          </w:p>
        </w:tc>
        <w:tc>
          <w:tcPr>
            <w:tcW w:w="992" w:type="dxa"/>
            <w:tcBorders>
              <w:top w:val="nil"/>
              <w:left w:val="nil"/>
              <w:bottom w:val="nil"/>
              <w:right w:val="nil"/>
            </w:tcBorders>
            <w:vAlign w:val="center"/>
          </w:tcPr>
          <w:p w14:paraId="50EB3581"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(1.3)</w:t>
            </w:r>
          </w:p>
        </w:tc>
        <w:tc>
          <w:tcPr>
            <w:tcW w:w="992" w:type="dxa"/>
            <w:tcBorders>
              <w:top w:val="nil"/>
              <w:left w:val="nil"/>
              <w:bottom w:val="nil"/>
              <w:right w:val="nil"/>
            </w:tcBorders>
            <w:vAlign w:val="center"/>
          </w:tcPr>
          <w:p w14:paraId="6A7070D3" w14:textId="77777777" w:rsidR="00756913" w:rsidRPr="00756913" w:rsidRDefault="00756913" w:rsidP="00756913">
            <w:pPr>
              <w:tabs>
                <w:tab w:val="decimal" w:pos="46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(1.6)</w:t>
            </w:r>
          </w:p>
        </w:tc>
      </w:tr>
      <w:tr w:rsidR="00756913" w:rsidRPr="00756913" w14:paraId="1A5132E2" w14:textId="77777777">
        <w:tblPrEx>
          <w:tblCellMar>
            <w:top w:w="0" w:type="dxa"/>
            <w:bottom w:w="0" w:type="dxa"/>
          </w:tblCellMar>
        </w:tblPrEx>
        <w:tc>
          <w:tcPr>
            <w:tcW w:w="5103" w:type="dxa"/>
            <w:tcBorders>
              <w:top w:val="nil"/>
              <w:left w:val="nil"/>
              <w:bottom w:val="nil"/>
              <w:right w:val="nil"/>
            </w:tcBorders>
            <w:vAlign w:val="center"/>
          </w:tcPr>
          <w:p w14:paraId="3C00599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1984" w:type="dxa"/>
            <w:tcBorders>
              <w:top w:val="nil"/>
              <w:left w:val="nil"/>
              <w:bottom w:val="nil"/>
              <w:right w:val="nil"/>
            </w:tcBorders>
            <w:vAlign w:val="center"/>
          </w:tcPr>
          <w:p w14:paraId="7478BD2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FF0000"/>
                <w:sz w:val="18"/>
                <w:szCs w:val="18"/>
                <w14:ligatures w14:val="standardContextual"/>
              </w:rPr>
            </w:pPr>
          </w:p>
        </w:tc>
        <w:tc>
          <w:tcPr>
            <w:tcW w:w="992" w:type="dxa"/>
            <w:tcBorders>
              <w:top w:val="single" w:sz="4" w:space="0" w:color="auto"/>
              <w:left w:val="nil"/>
              <w:bottom w:val="single" w:sz="4" w:space="0" w:color="auto"/>
              <w:right w:val="nil"/>
            </w:tcBorders>
            <w:vAlign w:val="center"/>
          </w:tcPr>
          <w:p w14:paraId="56FD8B2F"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(1.3)</w:t>
            </w:r>
          </w:p>
        </w:tc>
        <w:tc>
          <w:tcPr>
            <w:tcW w:w="992" w:type="dxa"/>
            <w:tcBorders>
              <w:top w:val="single" w:sz="4" w:space="0" w:color="auto"/>
              <w:left w:val="nil"/>
              <w:bottom w:val="single" w:sz="4" w:space="0" w:color="auto"/>
              <w:right w:val="nil"/>
            </w:tcBorders>
            <w:vAlign w:val="center"/>
          </w:tcPr>
          <w:p w14:paraId="57D17A64" w14:textId="77777777" w:rsidR="00756913" w:rsidRPr="00756913" w:rsidRDefault="00756913" w:rsidP="00756913">
            <w:pPr>
              <w:tabs>
                <w:tab w:val="decimal" w:pos="46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(1.6)</w:t>
            </w:r>
          </w:p>
        </w:tc>
      </w:tr>
      <w:tr w:rsidR="00756913" w:rsidRPr="00756913" w14:paraId="7D57186E" w14:textId="77777777">
        <w:tblPrEx>
          <w:tblCellMar>
            <w:top w:w="0" w:type="dxa"/>
            <w:bottom w:w="0" w:type="dxa"/>
          </w:tblCellMar>
        </w:tblPrEx>
        <w:tc>
          <w:tcPr>
            <w:tcW w:w="5103" w:type="dxa"/>
            <w:tcBorders>
              <w:top w:val="nil"/>
              <w:left w:val="nil"/>
              <w:bottom w:val="nil"/>
              <w:right w:val="nil"/>
            </w:tcBorders>
            <w:vAlign w:val="center"/>
          </w:tcPr>
          <w:p w14:paraId="3819D8C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color w:val="FF0000"/>
                <w:sz w:val="18"/>
                <w:szCs w:val="18"/>
                <w14:ligatures w14:val="standardContextual"/>
              </w:rPr>
            </w:pPr>
          </w:p>
        </w:tc>
        <w:tc>
          <w:tcPr>
            <w:tcW w:w="1984" w:type="dxa"/>
            <w:tcBorders>
              <w:top w:val="nil"/>
              <w:left w:val="nil"/>
              <w:bottom w:val="nil"/>
              <w:right w:val="nil"/>
            </w:tcBorders>
            <w:vAlign w:val="center"/>
          </w:tcPr>
          <w:p w14:paraId="529EFC0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FF0000"/>
                <w:sz w:val="18"/>
                <w:szCs w:val="18"/>
                <w14:ligatures w14:val="standardContextual"/>
              </w:rPr>
            </w:pPr>
          </w:p>
        </w:tc>
        <w:tc>
          <w:tcPr>
            <w:tcW w:w="992" w:type="dxa"/>
            <w:tcBorders>
              <w:top w:val="single" w:sz="4" w:space="0" w:color="auto"/>
              <w:left w:val="nil"/>
              <w:bottom w:val="single" w:sz="4" w:space="0" w:color="auto"/>
              <w:right w:val="nil"/>
            </w:tcBorders>
            <w:vAlign w:val="center"/>
          </w:tcPr>
          <w:p w14:paraId="3836697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14.0</w:t>
            </w:r>
          </w:p>
        </w:tc>
        <w:tc>
          <w:tcPr>
            <w:tcW w:w="992" w:type="dxa"/>
            <w:tcBorders>
              <w:top w:val="single" w:sz="4" w:space="0" w:color="auto"/>
              <w:left w:val="nil"/>
              <w:bottom w:val="single" w:sz="4" w:space="0" w:color="auto"/>
              <w:right w:val="nil"/>
            </w:tcBorders>
            <w:vAlign w:val="center"/>
          </w:tcPr>
          <w:p w14:paraId="1A77B493" w14:textId="77777777" w:rsidR="00756913" w:rsidRPr="00756913" w:rsidRDefault="00756913" w:rsidP="00756913">
            <w:pPr>
              <w:tabs>
                <w:tab w:val="decimal" w:pos="46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12.3</w:t>
            </w:r>
          </w:p>
        </w:tc>
      </w:tr>
    </w:tbl>
    <w:p w14:paraId="11513A89" w14:textId="77777777" w:rsidR="00756913" w:rsidRPr="00756913" w:rsidRDefault="00756913" w:rsidP="00756913">
      <w:pPr>
        <w:autoSpaceDE w:val="0"/>
        <w:autoSpaceDN w:val="0"/>
        <w:adjustRightInd w:val="0"/>
        <w:spacing w:after="120" w:line="240" w:lineRule="auto"/>
        <w:jc w:val="both"/>
        <w:rPr>
          <w:rFonts w:ascii="Arial" w:hAnsi="Arial" w:cs="Arial"/>
          <w:sz w:val="20"/>
          <w:szCs w:val="20"/>
          <w14:ligatures w14:val="standardContextual"/>
        </w:rPr>
      </w:pPr>
    </w:p>
    <w:p w14:paraId="743F55EF"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hanging="360"/>
        <w:jc w:val="both"/>
        <w:rPr>
          <w:rFonts w:ascii="Arial" w:hAnsi="Arial" w:cs="Arial"/>
          <w:b/>
          <w:bCs/>
          <w:sz w:val="20"/>
          <w:szCs w:val="20"/>
          <w14:ligatures w14:val="standardContextual"/>
        </w:rPr>
      </w:pPr>
      <w:r w:rsidRPr="00756913">
        <w:rPr>
          <w:rFonts w:ascii="Arial" w:hAnsi="Arial" w:cs="Arial"/>
          <w:sz w:val="20"/>
          <w:szCs w:val="20"/>
          <w14:ligatures w14:val="standardContextual"/>
        </w:rPr>
        <w:t>5.</w:t>
      </w:r>
      <w:r w:rsidRPr="00756913">
        <w:rPr>
          <w:rFonts w:ascii="Arial" w:hAnsi="Arial" w:cs="Arial"/>
          <w:sz w:val="20"/>
          <w:szCs w:val="20"/>
          <w14:ligatures w14:val="standardContextual"/>
        </w:rPr>
        <w:tab/>
      </w:r>
      <w:r w:rsidRPr="00756913">
        <w:rPr>
          <w:rFonts w:ascii="Arial" w:hAnsi="Arial" w:cs="Arial"/>
          <w:b/>
          <w:bCs/>
          <w:sz w:val="20"/>
          <w:szCs w:val="20"/>
          <w14:ligatures w14:val="standardContextual"/>
        </w:rPr>
        <w:t>Earnings per share</w:t>
      </w:r>
    </w:p>
    <w:p w14:paraId="3CD0AC8F" w14:textId="77777777" w:rsidR="00756913" w:rsidRPr="00756913" w:rsidRDefault="00756913" w:rsidP="00756913">
      <w:pPr>
        <w:autoSpaceDE w:val="0"/>
        <w:autoSpaceDN w:val="0"/>
        <w:adjustRightInd w:val="0"/>
        <w:spacing w:after="0" w:line="240" w:lineRule="auto"/>
        <w:rPr>
          <w:rFonts w:ascii="Arial" w:hAnsi="Arial" w:cs="Arial"/>
          <w:i/>
          <w:iCs/>
          <w:sz w:val="20"/>
          <w:szCs w:val="20"/>
          <w14:ligatures w14:val="standardContextual"/>
        </w:rPr>
      </w:pPr>
      <w:r w:rsidRPr="00756913">
        <w:rPr>
          <w:rFonts w:ascii="Arial" w:hAnsi="Arial" w:cs="Arial"/>
          <w:i/>
          <w:iCs/>
          <w:sz w:val="20"/>
          <w:szCs w:val="20"/>
          <w14:ligatures w14:val="standardContextual"/>
        </w:rPr>
        <w:t>Basic earnings per share</w:t>
      </w:r>
    </w:p>
    <w:p w14:paraId="2C78B1CF"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Basic earnings per share is calculated by dividing the profit or loss for the period attributable to ordinary equity holders of the Company, by the weighted average number of ordinary shares outstanding during the period. The Company’s own shares held by employee trusts are excluded when calculating the weighted average number of ordinary shares outstanding.</w:t>
      </w:r>
    </w:p>
    <w:p w14:paraId="2D4A0D18"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p>
    <w:p w14:paraId="0CE522B8" w14:textId="77777777" w:rsidR="00756913" w:rsidRPr="00756913" w:rsidRDefault="00756913" w:rsidP="00756913">
      <w:pPr>
        <w:autoSpaceDE w:val="0"/>
        <w:autoSpaceDN w:val="0"/>
        <w:adjustRightInd w:val="0"/>
        <w:spacing w:after="0" w:line="240" w:lineRule="auto"/>
        <w:jc w:val="both"/>
        <w:rPr>
          <w:rFonts w:ascii="Arial" w:hAnsi="Arial" w:cs="Arial"/>
          <w:i/>
          <w:iCs/>
          <w:sz w:val="20"/>
          <w:szCs w:val="20"/>
          <w14:ligatures w14:val="standardContextual"/>
        </w:rPr>
      </w:pPr>
      <w:r w:rsidRPr="00756913">
        <w:rPr>
          <w:rFonts w:ascii="Arial" w:hAnsi="Arial" w:cs="Arial"/>
          <w:i/>
          <w:iCs/>
          <w:sz w:val="20"/>
          <w:szCs w:val="20"/>
          <w14:ligatures w14:val="standardContextual"/>
        </w:rPr>
        <w:t>Diluted earnings per share</w:t>
      </w:r>
    </w:p>
    <w:p w14:paraId="4D71ADE2"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Diluted earnings per share is calculated by dividing the profit or loss for the period attributable to ordinary equity holders of the Company, by the weighted average number of ordinary shares outstanding during the period plus the weighted average number of ordinary shares that would be issued on the conversion of all dilutive potential ordinary shares into ordinary shares.</w:t>
      </w:r>
    </w:p>
    <w:p w14:paraId="1D28840E" w14:textId="77777777" w:rsidR="00756913" w:rsidRPr="00756913" w:rsidRDefault="00756913" w:rsidP="00756913">
      <w:pPr>
        <w:autoSpaceDE w:val="0"/>
        <w:autoSpaceDN w:val="0"/>
        <w:adjustRightInd w:val="0"/>
        <w:spacing w:after="0" w:line="240" w:lineRule="auto"/>
        <w:jc w:val="both"/>
        <w:rPr>
          <w:rFonts w:ascii="Arial" w:hAnsi="Arial" w:cs="Arial"/>
          <w:i/>
          <w:iCs/>
          <w:color w:val="FF0000"/>
          <w:sz w:val="20"/>
          <w:szCs w:val="20"/>
          <w14:ligatures w14:val="standardContextual"/>
        </w:rPr>
      </w:pPr>
    </w:p>
    <w:p w14:paraId="365ED578" w14:textId="77777777" w:rsidR="00756913" w:rsidRPr="00756913" w:rsidRDefault="00756913" w:rsidP="00756913">
      <w:pPr>
        <w:autoSpaceDE w:val="0"/>
        <w:autoSpaceDN w:val="0"/>
        <w:adjustRightInd w:val="0"/>
        <w:spacing w:after="0" w:line="240" w:lineRule="auto"/>
        <w:jc w:val="both"/>
        <w:rPr>
          <w:rFonts w:ascii="Arial" w:hAnsi="Arial" w:cs="Arial"/>
          <w:i/>
          <w:iCs/>
          <w:color w:val="FF0000"/>
          <w:sz w:val="20"/>
          <w:szCs w:val="20"/>
          <w14:ligatures w14:val="standardContextual"/>
        </w:rPr>
      </w:pPr>
    </w:p>
    <w:p w14:paraId="6F3021E6" w14:textId="77777777" w:rsidR="00756913" w:rsidRPr="00756913" w:rsidRDefault="00756913" w:rsidP="00756913">
      <w:pPr>
        <w:autoSpaceDE w:val="0"/>
        <w:autoSpaceDN w:val="0"/>
        <w:adjustRightInd w:val="0"/>
        <w:rPr>
          <w:rFonts w:ascii="Arial" w:hAnsi="Arial" w:cs="Arial"/>
          <w:i/>
          <w:iCs/>
          <w:sz w:val="20"/>
          <w:szCs w:val="20"/>
          <w14:ligatures w14:val="standardContextual"/>
        </w:rPr>
      </w:pPr>
      <w:r w:rsidRPr="00756913">
        <w:rPr>
          <w:rFonts w:ascii="Arial" w:hAnsi="Arial" w:cs="Arial"/>
          <w:i/>
          <w:iCs/>
          <w:sz w:val="20"/>
          <w:szCs w:val="20"/>
          <w14:ligatures w14:val="standardContextual"/>
        </w:rPr>
        <w:br w:type="page"/>
      </w:r>
    </w:p>
    <w:p w14:paraId="2491756F"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Basic and diluted earnings per share have been calculated on the following basis:</w:t>
      </w:r>
    </w:p>
    <w:p w14:paraId="7B52E6FB" w14:textId="77777777" w:rsidR="00756913" w:rsidRPr="00756913" w:rsidRDefault="00756913" w:rsidP="00756913">
      <w:pPr>
        <w:autoSpaceDE w:val="0"/>
        <w:autoSpaceDN w:val="0"/>
        <w:adjustRightInd w:val="0"/>
        <w:spacing w:after="0" w:line="240" w:lineRule="auto"/>
        <w:jc w:val="both"/>
        <w:rPr>
          <w:rFonts w:ascii="Arial" w:hAnsi="Arial" w:cs="Arial"/>
          <w:color w:val="FF0000"/>
          <w:sz w:val="20"/>
          <w:szCs w:val="20"/>
          <w14:ligatures w14:val="standardContextual"/>
        </w:rPr>
      </w:pPr>
    </w:p>
    <w:tbl>
      <w:tblPr>
        <w:tblW w:w="0" w:type="auto"/>
        <w:tblLayout w:type="fixed"/>
        <w:tblCellMar>
          <w:left w:w="54" w:type="dxa"/>
          <w:right w:w="54" w:type="dxa"/>
        </w:tblCellMar>
        <w:tblLook w:val="0000" w:firstRow="0" w:lastRow="0" w:firstColumn="0" w:lastColumn="0" w:noHBand="0" w:noVBand="0"/>
      </w:tblPr>
      <w:tblGrid>
        <w:gridCol w:w="7225"/>
        <w:gridCol w:w="992"/>
        <w:gridCol w:w="992"/>
      </w:tblGrid>
      <w:tr w:rsidR="00756913" w:rsidRPr="00756913" w14:paraId="60B5625D" w14:textId="77777777">
        <w:tblPrEx>
          <w:tblCellMar>
            <w:top w:w="0" w:type="dxa"/>
            <w:bottom w:w="0" w:type="dxa"/>
          </w:tblCellMar>
        </w:tblPrEx>
        <w:tc>
          <w:tcPr>
            <w:tcW w:w="7225" w:type="dxa"/>
            <w:tcBorders>
              <w:top w:val="nil"/>
              <w:left w:val="nil"/>
              <w:bottom w:val="nil"/>
              <w:right w:val="nil"/>
            </w:tcBorders>
            <w:vAlign w:val="center"/>
          </w:tcPr>
          <w:p w14:paraId="36742C36" w14:textId="77777777" w:rsidR="00756913" w:rsidRPr="00756913" w:rsidRDefault="00756913" w:rsidP="00756913">
            <w:pPr>
              <w:tabs>
                <w:tab w:val="left" w:pos="709"/>
                <w:tab w:val="left" w:pos="1559"/>
                <w:tab w:val="left" w:pos="2268"/>
                <w:tab w:val="left" w:pos="2977"/>
                <w:tab w:val="left" w:pos="3686"/>
                <w:tab w:val="left" w:pos="4394"/>
                <w:tab w:val="right" w:pos="8789"/>
              </w:tabs>
              <w:suppressAutoHyphens/>
              <w:autoSpaceDE w:val="0"/>
              <w:autoSpaceDN w:val="0"/>
              <w:adjustRightInd w:val="0"/>
              <w:spacing w:before="130" w:after="0" w:line="260" w:lineRule="atLeast"/>
              <w:rPr>
                <w:rFonts w:ascii="Arial" w:hAnsi="Arial" w:cs="Arial"/>
                <w:color w:val="FF0000"/>
                <w:sz w:val="18"/>
                <w:szCs w:val="18"/>
                <w14:ligatures w14:val="standardContextual"/>
              </w:rPr>
            </w:pPr>
          </w:p>
        </w:tc>
        <w:tc>
          <w:tcPr>
            <w:tcW w:w="992" w:type="dxa"/>
            <w:tcBorders>
              <w:top w:val="nil"/>
              <w:left w:val="nil"/>
              <w:bottom w:val="nil"/>
              <w:right w:val="nil"/>
            </w:tcBorders>
            <w:vAlign w:val="center"/>
          </w:tcPr>
          <w:p w14:paraId="21D0E55E"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2024</w:t>
            </w:r>
          </w:p>
          <w:p w14:paraId="65FC0124"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992" w:type="dxa"/>
            <w:tcBorders>
              <w:top w:val="nil"/>
              <w:left w:val="nil"/>
              <w:bottom w:val="nil"/>
              <w:right w:val="nil"/>
            </w:tcBorders>
            <w:vAlign w:val="center"/>
          </w:tcPr>
          <w:p w14:paraId="0FC4B28C"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2023</w:t>
            </w:r>
          </w:p>
          <w:p w14:paraId="080270FE"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£m</w:t>
            </w:r>
          </w:p>
        </w:tc>
      </w:tr>
      <w:tr w:rsidR="00756913" w:rsidRPr="00756913" w14:paraId="6C46E0D7" w14:textId="77777777">
        <w:tblPrEx>
          <w:tblCellMar>
            <w:top w:w="0" w:type="dxa"/>
            <w:bottom w:w="0" w:type="dxa"/>
          </w:tblCellMar>
        </w:tblPrEx>
        <w:tc>
          <w:tcPr>
            <w:tcW w:w="7225" w:type="dxa"/>
            <w:tcBorders>
              <w:top w:val="nil"/>
              <w:left w:val="nil"/>
              <w:bottom w:val="nil"/>
              <w:right w:val="nil"/>
            </w:tcBorders>
            <w:vAlign w:val="center"/>
          </w:tcPr>
          <w:p w14:paraId="298B7C6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color w:val="FF0000"/>
                <w:sz w:val="18"/>
                <w:szCs w:val="18"/>
                <w14:ligatures w14:val="standardContextual"/>
              </w:rPr>
            </w:pPr>
          </w:p>
        </w:tc>
        <w:tc>
          <w:tcPr>
            <w:tcW w:w="992" w:type="dxa"/>
            <w:tcBorders>
              <w:top w:val="nil"/>
              <w:left w:val="nil"/>
              <w:bottom w:val="nil"/>
              <w:right w:val="nil"/>
            </w:tcBorders>
            <w:vAlign w:val="center"/>
          </w:tcPr>
          <w:p w14:paraId="673137FD"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nil"/>
              <w:left w:val="nil"/>
              <w:bottom w:val="nil"/>
              <w:right w:val="nil"/>
            </w:tcBorders>
            <w:vAlign w:val="center"/>
          </w:tcPr>
          <w:p w14:paraId="663DCF4E"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p>
        </w:tc>
      </w:tr>
      <w:tr w:rsidR="00756913" w:rsidRPr="00756913" w14:paraId="1FF202BB" w14:textId="77777777">
        <w:tblPrEx>
          <w:tblCellMar>
            <w:top w:w="0" w:type="dxa"/>
            <w:bottom w:w="0" w:type="dxa"/>
          </w:tblCellMar>
        </w:tblPrEx>
        <w:tc>
          <w:tcPr>
            <w:tcW w:w="7225" w:type="dxa"/>
            <w:tcBorders>
              <w:top w:val="nil"/>
              <w:left w:val="nil"/>
              <w:bottom w:val="nil"/>
              <w:right w:val="nil"/>
            </w:tcBorders>
            <w:vAlign w:val="center"/>
          </w:tcPr>
          <w:p w14:paraId="762C7B7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 xml:space="preserve">Profit after taxation attributable to the owners of the Company </w:t>
            </w:r>
          </w:p>
        </w:tc>
        <w:tc>
          <w:tcPr>
            <w:tcW w:w="992" w:type="dxa"/>
            <w:tcBorders>
              <w:top w:val="nil"/>
              <w:left w:val="nil"/>
              <w:bottom w:val="nil"/>
              <w:right w:val="nil"/>
            </w:tcBorders>
            <w:vAlign w:val="center"/>
          </w:tcPr>
          <w:p w14:paraId="2389325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44.2</w:t>
            </w:r>
          </w:p>
        </w:tc>
        <w:tc>
          <w:tcPr>
            <w:tcW w:w="992" w:type="dxa"/>
            <w:tcBorders>
              <w:top w:val="nil"/>
              <w:left w:val="nil"/>
              <w:bottom w:val="nil"/>
              <w:right w:val="nil"/>
            </w:tcBorders>
            <w:vAlign w:val="center"/>
          </w:tcPr>
          <w:p w14:paraId="615BF5CF"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40.7</w:t>
            </w:r>
          </w:p>
        </w:tc>
      </w:tr>
      <w:tr w:rsidR="00756913" w:rsidRPr="00756913" w14:paraId="7915C0B4" w14:textId="77777777">
        <w:tblPrEx>
          <w:tblCellMar>
            <w:top w:w="0" w:type="dxa"/>
            <w:bottom w:w="0" w:type="dxa"/>
          </w:tblCellMar>
        </w:tblPrEx>
        <w:tc>
          <w:tcPr>
            <w:tcW w:w="7225" w:type="dxa"/>
            <w:tcBorders>
              <w:top w:val="nil"/>
              <w:left w:val="nil"/>
              <w:bottom w:val="nil"/>
              <w:right w:val="nil"/>
            </w:tcBorders>
            <w:vAlign w:val="center"/>
          </w:tcPr>
          <w:p w14:paraId="225F956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992" w:type="dxa"/>
            <w:tcBorders>
              <w:top w:val="nil"/>
              <w:left w:val="nil"/>
              <w:bottom w:val="nil"/>
              <w:right w:val="nil"/>
            </w:tcBorders>
            <w:vAlign w:val="center"/>
          </w:tcPr>
          <w:p w14:paraId="47F45A1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nil"/>
              <w:left w:val="nil"/>
              <w:bottom w:val="nil"/>
              <w:right w:val="nil"/>
            </w:tcBorders>
            <w:vAlign w:val="center"/>
          </w:tcPr>
          <w:p w14:paraId="043179AE" w14:textId="77777777" w:rsidR="00756913" w:rsidRPr="00756913" w:rsidRDefault="00756913" w:rsidP="00756913">
            <w:pPr>
              <w:tabs>
                <w:tab w:val="decimal" w:pos="964"/>
              </w:tabs>
              <w:autoSpaceDE w:val="0"/>
              <w:autoSpaceDN w:val="0"/>
              <w:adjustRightInd w:val="0"/>
              <w:spacing w:after="130" w:line="240" w:lineRule="auto"/>
              <w:ind w:right="80"/>
              <w:jc w:val="right"/>
              <w:rPr>
                <w:rFonts w:ascii="Arial" w:hAnsi="Arial" w:cs="Arial"/>
                <w:sz w:val="18"/>
                <w:szCs w:val="18"/>
                <w:u w:val="single"/>
                <w14:ligatures w14:val="standardContextual"/>
              </w:rPr>
            </w:pPr>
          </w:p>
        </w:tc>
      </w:tr>
      <w:tr w:rsidR="00756913" w:rsidRPr="00756913" w14:paraId="31F52100" w14:textId="77777777">
        <w:tblPrEx>
          <w:tblCellMar>
            <w:top w:w="0" w:type="dxa"/>
            <w:bottom w:w="0" w:type="dxa"/>
          </w:tblCellMar>
        </w:tblPrEx>
        <w:tc>
          <w:tcPr>
            <w:tcW w:w="7225" w:type="dxa"/>
            <w:tcBorders>
              <w:top w:val="nil"/>
              <w:left w:val="nil"/>
              <w:bottom w:val="nil"/>
              <w:right w:val="nil"/>
            </w:tcBorders>
            <w:vAlign w:val="center"/>
          </w:tcPr>
          <w:p w14:paraId="528EB7F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Basic weighted average ordinary shares in issue (millions)</w:t>
            </w:r>
          </w:p>
        </w:tc>
        <w:tc>
          <w:tcPr>
            <w:tcW w:w="992" w:type="dxa"/>
            <w:tcBorders>
              <w:top w:val="nil"/>
              <w:left w:val="nil"/>
              <w:bottom w:val="nil"/>
              <w:right w:val="nil"/>
            </w:tcBorders>
            <w:vAlign w:val="center"/>
          </w:tcPr>
          <w:p w14:paraId="483390CF"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536.7</w:t>
            </w:r>
          </w:p>
        </w:tc>
        <w:tc>
          <w:tcPr>
            <w:tcW w:w="992" w:type="dxa"/>
            <w:tcBorders>
              <w:top w:val="nil"/>
              <w:left w:val="nil"/>
              <w:bottom w:val="nil"/>
              <w:right w:val="nil"/>
            </w:tcBorders>
            <w:vAlign w:val="center"/>
          </w:tcPr>
          <w:p w14:paraId="7D47437E"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536.4</w:t>
            </w:r>
          </w:p>
        </w:tc>
      </w:tr>
      <w:tr w:rsidR="00756913" w:rsidRPr="00756913" w14:paraId="59F382EC" w14:textId="77777777">
        <w:tblPrEx>
          <w:tblCellMar>
            <w:top w:w="0" w:type="dxa"/>
            <w:bottom w:w="0" w:type="dxa"/>
          </w:tblCellMar>
        </w:tblPrEx>
        <w:tc>
          <w:tcPr>
            <w:tcW w:w="7225" w:type="dxa"/>
            <w:tcBorders>
              <w:top w:val="nil"/>
              <w:left w:val="nil"/>
              <w:bottom w:val="nil"/>
              <w:right w:val="nil"/>
            </w:tcBorders>
            <w:vAlign w:val="center"/>
          </w:tcPr>
          <w:p w14:paraId="23FFC9F4"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Dilutive effect of share-based instruments (millions)</w:t>
            </w:r>
          </w:p>
        </w:tc>
        <w:tc>
          <w:tcPr>
            <w:tcW w:w="992" w:type="dxa"/>
            <w:tcBorders>
              <w:top w:val="nil"/>
              <w:left w:val="nil"/>
              <w:bottom w:val="single" w:sz="4" w:space="0" w:color="auto"/>
              <w:right w:val="nil"/>
            </w:tcBorders>
            <w:vAlign w:val="center"/>
          </w:tcPr>
          <w:p w14:paraId="26F35E0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3.1</w:t>
            </w:r>
          </w:p>
        </w:tc>
        <w:tc>
          <w:tcPr>
            <w:tcW w:w="992" w:type="dxa"/>
            <w:tcBorders>
              <w:top w:val="nil"/>
              <w:left w:val="nil"/>
              <w:bottom w:val="single" w:sz="4" w:space="0" w:color="auto"/>
              <w:right w:val="nil"/>
            </w:tcBorders>
            <w:vAlign w:val="center"/>
          </w:tcPr>
          <w:p w14:paraId="616AD17D"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2.4</w:t>
            </w:r>
          </w:p>
        </w:tc>
      </w:tr>
      <w:tr w:rsidR="00756913" w:rsidRPr="00756913" w14:paraId="2D36B703" w14:textId="77777777">
        <w:tblPrEx>
          <w:tblCellMar>
            <w:top w:w="0" w:type="dxa"/>
            <w:bottom w:w="0" w:type="dxa"/>
          </w:tblCellMar>
        </w:tblPrEx>
        <w:tc>
          <w:tcPr>
            <w:tcW w:w="7225" w:type="dxa"/>
            <w:tcBorders>
              <w:top w:val="nil"/>
              <w:left w:val="nil"/>
              <w:bottom w:val="nil"/>
              <w:right w:val="nil"/>
            </w:tcBorders>
            <w:vAlign w:val="center"/>
          </w:tcPr>
          <w:p w14:paraId="6DF281C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Diluted weighted average ordinary shares in issue (millions)</w:t>
            </w:r>
          </w:p>
        </w:tc>
        <w:tc>
          <w:tcPr>
            <w:tcW w:w="992" w:type="dxa"/>
            <w:tcBorders>
              <w:top w:val="single" w:sz="4" w:space="0" w:color="auto"/>
              <w:left w:val="nil"/>
              <w:bottom w:val="single" w:sz="4" w:space="0" w:color="auto"/>
              <w:right w:val="nil"/>
            </w:tcBorders>
            <w:vAlign w:val="center"/>
          </w:tcPr>
          <w:p w14:paraId="0B68CA2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539.8</w:t>
            </w:r>
          </w:p>
        </w:tc>
        <w:tc>
          <w:tcPr>
            <w:tcW w:w="992" w:type="dxa"/>
            <w:tcBorders>
              <w:top w:val="single" w:sz="4" w:space="0" w:color="auto"/>
              <w:left w:val="nil"/>
              <w:bottom w:val="single" w:sz="4" w:space="0" w:color="auto"/>
              <w:right w:val="nil"/>
            </w:tcBorders>
            <w:vAlign w:val="center"/>
          </w:tcPr>
          <w:p w14:paraId="4E1F98D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538.8</w:t>
            </w:r>
          </w:p>
        </w:tc>
      </w:tr>
      <w:tr w:rsidR="00756913" w:rsidRPr="00756913" w14:paraId="6A6648AA" w14:textId="77777777">
        <w:tblPrEx>
          <w:tblCellMar>
            <w:top w:w="0" w:type="dxa"/>
            <w:bottom w:w="0" w:type="dxa"/>
          </w:tblCellMar>
        </w:tblPrEx>
        <w:tc>
          <w:tcPr>
            <w:tcW w:w="7225" w:type="dxa"/>
            <w:tcBorders>
              <w:top w:val="nil"/>
              <w:left w:val="nil"/>
              <w:bottom w:val="nil"/>
              <w:right w:val="nil"/>
            </w:tcBorders>
            <w:vAlign w:val="center"/>
          </w:tcPr>
          <w:p w14:paraId="2717B83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Basic earnings per ordinary share (pence)</w:t>
            </w:r>
          </w:p>
        </w:tc>
        <w:tc>
          <w:tcPr>
            <w:tcW w:w="992" w:type="dxa"/>
            <w:tcBorders>
              <w:top w:val="single" w:sz="4" w:space="0" w:color="auto"/>
              <w:left w:val="nil"/>
              <w:bottom w:val="nil"/>
              <w:right w:val="nil"/>
            </w:tcBorders>
            <w:vAlign w:val="center"/>
          </w:tcPr>
          <w:p w14:paraId="5402224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8.3</w:t>
            </w:r>
          </w:p>
        </w:tc>
        <w:tc>
          <w:tcPr>
            <w:tcW w:w="992" w:type="dxa"/>
            <w:tcBorders>
              <w:top w:val="single" w:sz="4" w:space="0" w:color="auto"/>
              <w:left w:val="nil"/>
              <w:bottom w:val="nil"/>
              <w:right w:val="nil"/>
            </w:tcBorders>
            <w:vAlign w:val="center"/>
          </w:tcPr>
          <w:p w14:paraId="70EA5FB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7.6</w:t>
            </w:r>
          </w:p>
        </w:tc>
      </w:tr>
      <w:tr w:rsidR="00756913" w:rsidRPr="00756913" w14:paraId="6E588C4C" w14:textId="77777777">
        <w:tblPrEx>
          <w:tblCellMar>
            <w:top w:w="0" w:type="dxa"/>
            <w:bottom w:w="0" w:type="dxa"/>
          </w:tblCellMar>
        </w:tblPrEx>
        <w:tc>
          <w:tcPr>
            <w:tcW w:w="7225" w:type="dxa"/>
            <w:tcBorders>
              <w:top w:val="nil"/>
              <w:left w:val="nil"/>
              <w:bottom w:val="nil"/>
              <w:right w:val="nil"/>
            </w:tcBorders>
            <w:vAlign w:val="center"/>
          </w:tcPr>
          <w:p w14:paraId="70FE9EA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Diluted earnings per ordinary share (pence)</w:t>
            </w:r>
          </w:p>
        </w:tc>
        <w:tc>
          <w:tcPr>
            <w:tcW w:w="992" w:type="dxa"/>
            <w:tcBorders>
              <w:top w:val="nil"/>
              <w:left w:val="nil"/>
              <w:bottom w:val="nil"/>
              <w:right w:val="nil"/>
            </w:tcBorders>
            <w:vAlign w:val="center"/>
          </w:tcPr>
          <w:p w14:paraId="7319B1BA"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8.2</w:t>
            </w:r>
          </w:p>
        </w:tc>
        <w:tc>
          <w:tcPr>
            <w:tcW w:w="992" w:type="dxa"/>
            <w:tcBorders>
              <w:top w:val="nil"/>
              <w:left w:val="nil"/>
              <w:bottom w:val="nil"/>
              <w:right w:val="nil"/>
            </w:tcBorders>
            <w:vAlign w:val="center"/>
          </w:tcPr>
          <w:p w14:paraId="3BC421F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7.6</w:t>
            </w:r>
          </w:p>
        </w:tc>
      </w:tr>
      <w:tr w:rsidR="00756913" w:rsidRPr="00756913" w14:paraId="2116D8EF" w14:textId="77777777">
        <w:tblPrEx>
          <w:tblCellMar>
            <w:top w:w="0" w:type="dxa"/>
            <w:bottom w:w="0" w:type="dxa"/>
          </w:tblCellMar>
        </w:tblPrEx>
        <w:tc>
          <w:tcPr>
            <w:tcW w:w="7225" w:type="dxa"/>
            <w:tcBorders>
              <w:top w:val="nil"/>
              <w:left w:val="nil"/>
              <w:bottom w:val="nil"/>
              <w:right w:val="nil"/>
            </w:tcBorders>
          </w:tcPr>
          <w:p w14:paraId="560B31F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color w:val="FF0000"/>
                <w:sz w:val="18"/>
                <w:szCs w:val="18"/>
                <w14:ligatures w14:val="standardContextual"/>
              </w:rPr>
            </w:pPr>
          </w:p>
        </w:tc>
        <w:tc>
          <w:tcPr>
            <w:tcW w:w="992" w:type="dxa"/>
            <w:tcBorders>
              <w:top w:val="nil"/>
              <w:left w:val="nil"/>
              <w:bottom w:val="nil"/>
              <w:right w:val="nil"/>
            </w:tcBorders>
          </w:tcPr>
          <w:p w14:paraId="06881850"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color w:val="FF0000"/>
                <w:sz w:val="18"/>
                <w:szCs w:val="18"/>
                <w:u w:val="double"/>
                <w14:ligatures w14:val="standardContextual"/>
              </w:rPr>
            </w:pPr>
          </w:p>
        </w:tc>
        <w:tc>
          <w:tcPr>
            <w:tcW w:w="992" w:type="dxa"/>
            <w:tcBorders>
              <w:top w:val="nil"/>
              <w:left w:val="nil"/>
              <w:bottom w:val="nil"/>
              <w:right w:val="nil"/>
            </w:tcBorders>
          </w:tcPr>
          <w:p w14:paraId="2E197128"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u w:val="double"/>
                <w14:ligatures w14:val="standardContextual"/>
              </w:rPr>
            </w:pPr>
          </w:p>
        </w:tc>
      </w:tr>
      <w:tr w:rsidR="00756913" w:rsidRPr="00756913" w14:paraId="51632301" w14:textId="77777777">
        <w:tblPrEx>
          <w:tblCellMar>
            <w:top w:w="0" w:type="dxa"/>
            <w:bottom w:w="0" w:type="dxa"/>
          </w:tblCellMar>
        </w:tblPrEx>
        <w:trPr>
          <w:trHeight w:val="258"/>
        </w:trPr>
        <w:tc>
          <w:tcPr>
            <w:tcW w:w="9209" w:type="dxa"/>
            <w:gridSpan w:val="3"/>
            <w:tcBorders>
              <w:top w:val="nil"/>
              <w:left w:val="nil"/>
              <w:bottom w:val="nil"/>
              <w:right w:val="nil"/>
            </w:tcBorders>
          </w:tcPr>
          <w:p w14:paraId="048D14A8" w14:textId="77777777" w:rsidR="00756913" w:rsidRPr="00756913" w:rsidRDefault="00756913" w:rsidP="00756913">
            <w:pPr>
              <w:tabs>
                <w:tab w:val="decimal" w:pos="964"/>
              </w:tabs>
              <w:autoSpaceDE w:val="0"/>
              <w:autoSpaceDN w:val="0"/>
              <w:adjustRightInd w:val="0"/>
              <w:spacing w:after="0" w:line="240" w:lineRule="auto"/>
              <w:ind w:right="80"/>
              <w:jc w:val="both"/>
              <w:rPr>
                <w:rFonts w:ascii="Arial" w:hAnsi="Arial" w:cs="Arial"/>
                <w:sz w:val="18"/>
                <w:szCs w:val="18"/>
                <w14:ligatures w14:val="standardContextual"/>
              </w:rPr>
            </w:pPr>
          </w:p>
          <w:p w14:paraId="335E1D9D" w14:textId="77777777" w:rsidR="00756913" w:rsidRPr="00756913" w:rsidRDefault="00756913" w:rsidP="00756913">
            <w:pPr>
              <w:tabs>
                <w:tab w:val="decimal" w:pos="964"/>
              </w:tabs>
              <w:autoSpaceDE w:val="0"/>
              <w:autoSpaceDN w:val="0"/>
              <w:adjustRightInd w:val="0"/>
              <w:spacing w:after="0" w:line="240" w:lineRule="auto"/>
              <w:ind w:right="80"/>
              <w:jc w:val="both"/>
              <w:rPr>
                <w:rFonts w:ascii="Arial" w:hAnsi="Arial" w:cs="Arial"/>
                <w:sz w:val="20"/>
                <w:szCs w:val="20"/>
                <w14:ligatures w14:val="standardContextual"/>
              </w:rPr>
            </w:pPr>
          </w:p>
          <w:p w14:paraId="3CA2ECCC" w14:textId="77777777" w:rsidR="00756913" w:rsidRPr="00756913" w:rsidRDefault="00756913" w:rsidP="00756913">
            <w:pPr>
              <w:autoSpaceDE w:val="0"/>
              <w:autoSpaceDN w:val="0"/>
              <w:adjustRightInd w:val="0"/>
              <w:jc w:val="both"/>
              <w:rPr>
                <w:rFonts w:ascii="Aptos" w:hAnsi="Aptos" w:cs="Aptos"/>
                <w14:ligatures w14:val="standardContextual"/>
              </w:rPr>
            </w:pPr>
            <w:r w:rsidRPr="00756913">
              <w:rPr>
                <w:rFonts w:ascii="Arial" w:hAnsi="Arial" w:cs="Arial"/>
                <w:sz w:val="20"/>
                <w:szCs w:val="20"/>
                <w14:ligatures w14:val="standardContextual"/>
              </w:rPr>
              <w:t>Adjusted basic and diluted earnings per share are based on profit before tax after adding back adjusting items. They have been calculated as follows:</w:t>
            </w:r>
          </w:p>
        </w:tc>
      </w:tr>
      <w:tr w:rsidR="00756913" w:rsidRPr="00756913" w14:paraId="58DCD4C8" w14:textId="77777777">
        <w:tblPrEx>
          <w:tblCellMar>
            <w:top w:w="0" w:type="dxa"/>
            <w:bottom w:w="0" w:type="dxa"/>
          </w:tblCellMar>
        </w:tblPrEx>
        <w:tc>
          <w:tcPr>
            <w:tcW w:w="7225" w:type="dxa"/>
            <w:tcBorders>
              <w:top w:val="nil"/>
              <w:left w:val="nil"/>
              <w:bottom w:val="nil"/>
              <w:right w:val="nil"/>
            </w:tcBorders>
            <w:vAlign w:val="center"/>
          </w:tcPr>
          <w:p w14:paraId="6342AF7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992" w:type="dxa"/>
            <w:tcBorders>
              <w:top w:val="nil"/>
              <w:left w:val="nil"/>
              <w:bottom w:val="nil"/>
              <w:right w:val="nil"/>
            </w:tcBorders>
            <w:vAlign w:val="center"/>
          </w:tcPr>
          <w:p w14:paraId="105304E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2024</w:t>
            </w:r>
          </w:p>
          <w:p w14:paraId="5BEF2DF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992" w:type="dxa"/>
            <w:tcBorders>
              <w:top w:val="nil"/>
              <w:left w:val="nil"/>
              <w:bottom w:val="nil"/>
              <w:right w:val="nil"/>
            </w:tcBorders>
            <w:vAlign w:val="center"/>
          </w:tcPr>
          <w:p w14:paraId="01C32ABC"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2023</w:t>
            </w:r>
          </w:p>
          <w:p w14:paraId="374B252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b/>
                <w:bCs/>
                <w:sz w:val="18"/>
                <w:szCs w:val="18"/>
                <w14:ligatures w14:val="standardContextual"/>
              </w:rPr>
              <w:t>£m</w:t>
            </w:r>
          </w:p>
        </w:tc>
      </w:tr>
      <w:tr w:rsidR="00756913" w:rsidRPr="00756913" w14:paraId="23C9925A" w14:textId="77777777">
        <w:tblPrEx>
          <w:tblCellMar>
            <w:top w:w="0" w:type="dxa"/>
            <w:bottom w:w="0" w:type="dxa"/>
          </w:tblCellMar>
        </w:tblPrEx>
        <w:tc>
          <w:tcPr>
            <w:tcW w:w="7225" w:type="dxa"/>
            <w:tcBorders>
              <w:top w:val="nil"/>
              <w:left w:val="nil"/>
              <w:bottom w:val="nil"/>
              <w:right w:val="nil"/>
            </w:tcBorders>
            <w:vAlign w:val="center"/>
          </w:tcPr>
          <w:p w14:paraId="2ADBF36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992" w:type="dxa"/>
            <w:tcBorders>
              <w:top w:val="nil"/>
              <w:left w:val="nil"/>
              <w:bottom w:val="nil"/>
              <w:right w:val="nil"/>
            </w:tcBorders>
            <w:vAlign w:val="center"/>
          </w:tcPr>
          <w:p w14:paraId="531625E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992" w:type="dxa"/>
            <w:tcBorders>
              <w:top w:val="nil"/>
              <w:left w:val="nil"/>
              <w:bottom w:val="nil"/>
              <w:right w:val="nil"/>
            </w:tcBorders>
            <w:vAlign w:val="center"/>
          </w:tcPr>
          <w:p w14:paraId="13B8636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p>
        </w:tc>
      </w:tr>
      <w:tr w:rsidR="00756913" w:rsidRPr="00756913" w14:paraId="794CB323" w14:textId="77777777">
        <w:tblPrEx>
          <w:tblCellMar>
            <w:top w:w="0" w:type="dxa"/>
            <w:bottom w:w="0" w:type="dxa"/>
          </w:tblCellMar>
        </w:tblPrEx>
        <w:tc>
          <w:tcPr>
            <w:tcW w:w="7225" w:type="dxa"/>
            <w:tcBorders>
              <w:top w:val="nil"/>
              <w:left w:val="nil"/>
              <w:bottom w:val="nil"/>
              <w:right w:val="nil"/>
            </w:tcBorders>
            <w:vAlign w:val="center"/>
          </w:tcPr>
          <w:p w14:paraId="070041D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 xml:space="preserve">Profit before tax </w:t>
            </w:r>
          </w:p>
        </w:tc>
        <w:tc>
          <w:tcPr>
            <w:tcW w:w="992" w:type="dxa"/>
            <w:tcBorders>
              <w:top w:val="nil"/>
              <w:left w:val="nil"/>
              <w:bottom w:val="nil"/>
              <w:right w:val="nil"/>
            </w:tcBorders>
            <w:vAlign w:val="center"/>
          </w:tcPr>
          <w:p w14:paraId="2FE9AE77"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58.1</w:t>
            </w:r>
          </w:p>
        </w:tc>
        <w:tc>
          <w:tcPr>
            <w:tcW w:w="992" w:type="dxa"/>
            <w:tcBorders>
              <w:top w:val="nil"/>
              <w:left w:val="nil"/>
              <w:bottom w:val="nil"/>
              <w:right w:val="nil"/>
            </w:tcBorders>
            <w:vAlign w:val="center"/>
          </w:tcPr>
          <w:p w14:paraId="32D6E64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53.3</w:t>
            </w:r>
          </w:p>
        </w:tc>
      </w:tr>
      <w:tr w:rsidR="00756913" w:rsidRPr="00756913" w14:paraId="776DD70F" w14:textId="77777777">
        <w:tblPrEx>
          <w:tblCellMar>
            <w:top w:w="0" w:type="dxa"/>
            <w:bottom w:w="0" w:type="dxa"/>
          </w:tblCellMar>
        </w:tblPrEx>
        <w:tc>
          <w:tcPr>
            <w:tcW w:w="7225" w:type="dxa"/>
            <w:tcBorders>
              <w:top w:val="nil"/>
              <w:left w:val="nil"/>
              <w:bottom w:val="nil"/>
              <w:right w:val="nil"/>
            </w:tcBorders>
            <w:vAlign w:val="center"/>
          </w:tcPr>
          <w:p w14:paraId="0E81504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Adjusted for loss/(profit) before tax attributable to non-controlling interest</w:t>
            </w:r>
          </w:p>
        </w:tc>
        <w:tc>
          <w:tcPr>
            <w:tcW w:w="992" w:type="dxa"/>
            <w:tcBorders>
              <w:top w:val="nil"/>
              <w:left w:val="nil"/>
              <w:bottom w:val="single" w:sz="4" w:space="0" w:color="auto"/>
              <w:right w:val="nil"/>
            </w:tcBorders>
            <w:vAlign w:val="center"/>
          </w:tcPr>
          <w:p w14:paraId="11F0C84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0.0</w:t>
            </w:r>
          </w:p>
        </w:tc>
        <w:tc>
          <w:tcPr>
            <w:tcW w:w="992" w:type="dxa"/>
            <w:tcBorders>
              <w:top w:val="nil"/>
              <w:left w:val="nil"/>
              <w:bottom w:val="single" w:sz="4" w:space="0" w:color="auto"/>
              <w:right w:val="nil"/>
            </w:tcBorders>
            <w:vAlign w:val="center"/>
          </w:tcPr>
          <w:p w14:paraId="5D3FE62B"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r>
      <w:tr w:rsidR="00756913" w:rsidRPr="00756913" w14:paraId="55B33A28" w14:textId="77777777">
        <w:tblPrEx>
          <w:tblCellMar>
            <w:top w:w="0" w:type="dxa"/>
            <w:bottom w:w="0" w:type="dxa"/>
          </w:tblCellMar>
        </w:tblPrEx>
        <w:tc>
          <w:tcPr>
            <w:tcW w:w="7225" w:type="dxa"/>
            <w:tcBorders>
              <w:top w:val="nil"/>
              <w:left w:val="nil"/>
              <w:bottom w:val="nil"/>
              <w:right w:val="nil"/>
            </w:tcBorders>
            <w:vAlign w:val="center"/>
          </w:tcPr>
          <w:p w14:paraId="4BE059A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Profit before tax attributable to the owners of the Company</w:t>
            </w:r>
          </w:p>
        </w:tc>
        <w:tc>
          <w:tcPr>
            <w:tcW w:w="992" w:type="dxa"/>
            <w:tcBorders>
              <w:top w:val="single" w:sz="4" w:space="0" w:color="auto"/>
              <w:left w:val="nil"/>
              <w:bottom w:val="nil"/>
              <w:right w:val="nil"/>
            </w:tcBorders>
            <w:vAlign w:val="center"/>
          </w:tcPr>
          <w:p w14:paraId="78DD2C2B"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58.1</w:t>
            </w:r>
          </w:p>
        </w:tc>
        <w:tc>
          <w:tcPr>
            <w:tcW w:w="992" w:type="dxa"/>
            <w:tcBorders>
              <w:top w:val="single" w:sz="4" w:space="0" w:color="auto"/>
              <w:left w:val="nil"/>
              <w:bottom w:val="nil"/>
              <w:right w:val="nil"/>
            </w:tcBorders>
            <w:vAlign w:val="center"/>
          </w:tcPr>
          <w:p w14:paraId="57F46428"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52.9</w:t>
            </w:r>
          </w:p>
        </w:tc>
      </w:tr>
      <w:tr w:rsidR="00756913" w:rsidRPr="00756913" w14:paraId="15708D28" w14:textId="77777777">
        <w:tblPrEx>
          <w:tblCellMar>
            <w:top w:w="0" w:type="dxa"/>
            <w:bottom w:w="0" w:type="dxa"/>
          </w:tblCellMar>
        </w:tblPrEx>
        <w:tc>
          <w:tcPr>
            <w:tcW w:w="7225" w:type="dxa"/>
            <w:tcBorders>
              <w:top w:val="nil"/>
              <w:left w:val="nil"/>
              <w:bottom w:val="nil"/>
              <w:right w:val="nil"/>
            </w:tcBorders>
            <w:vAlign w:val="center"/>
          </w:tcPr>
          <w:p w14:paraId="57CAF26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 xml:space="preserve">Amortisation of acquisition related intangible assets </w:t>
            </w:r>
          </w:p>
        </w:tc>
        <w:tc>
          <w:tcPr>
            <w:tcW w:w="992" w:type="dxa"/>
            <w:tcBorders>
              <w:top w:val="nil"/>
              <w:left w:val="nil"/>
              <w:bottom w:val="nil"/>
              <w:right w:val="nil"/>
            </w:tcBorders>
            <w:vAlign w:val="center"/>
          </w:tcPr>
          <w:p w14:paraId="1FC1A259"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5.4</w:t>
            </w:r>
          </w:p>
        </w:tc>
        <w:tc>
          <w:tcPr>
            <w:tcW w:w="992" w:type="dxa"/>
            <w:tcBorders>
              <w:top w:val="nil"/>
              <w:left w:val="nil"/>
              <w:bottom w:val="nil"/>
              <w:right w:val="nil"/>
            </w:tcBorders>
            <w:vAlign w:val="center"/>
          </w:tcPr>
          <w:p w14:paraId="627DF6C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5.5</w:t>
            </w:r>
          </w:p>
        </w:tc>
      </w:tr>
      <w:tr w:rsidR="00756913" w:rsidRPr="00756913" w14:paraId="71F5FEF8" w14:textId="77777777">
        <w:tblPrEx>
          <w:tblCellMar>
            <w:top w:w="0" w:type="dxa"/>
            <w:bottom w:w="0" w:type="dxa"/>
          </w:tblCellMar>
        </w:tblPrEx>
        <w:tc>
          <w:tcPr>
            <w:tcW w:w="7225" w:type="dxa"/>
            <w:tcBorders>
              <w:top w:val="nil"/>
              <w:left w:val="nil"/>
              <w:bottom w:val="nil"/>
              <w:right w:val="nil"/>
            </w:tcBorders>
            <w:vAlign w:val="center"/>
          </w:tcPr>
          <w:p w14:paraId="19E3E3B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 xml:space="preserve">Amortisation of acquisition related intangible assets attributable to non-controlling interest </w:t>
            </w:r>
          </w:p>
        </w:tc>
        <w:tc>
          <w:tcPr>
            <w:tcW w:w="992" w:type="dxa"/>
            <w:tcBorders>
              <w:top w:val="nil"/>
              <w:left w:val="nil"/>
              <w:bottom w:val="nil"/>
              <w:right w:val="nil"/>
            </w:tcBorders>
            <w:vAlign w:val="center"/>
          </w:tcPr>
          <w:p w14:paraId="56A4A9F1"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(0.4)</w:t>
            </w:r>
          </w:p>
        </w:tc>
        <w:tc>
          <w:tcPr>
            <w:tcW w:w="992" w:type="dxa"/>
            <w:tcBorders>
              <w:top w:val="nil"/>
              <w:left w:val="nil"/>
              <w:bottom w:val="nil"/>
              <w:right w:val="nil"/>
            </w:tcBorders>
            <w:vAlign w:val="center"/>
          </w:tcPr>
          <w:p w14:paraId="06186C0E"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r>
      <w:tr w:rsidR="00756913" w:rsidRPr="00756913" w14:paraId="0DC460D0" w14:textId="77777777">
        <w:tblPrEx>
          <w:tblCellMar>
            <w:top w:w="0" w:type="dxa"/>
            <w:bottom w:w="0" w:type="dxa"/>
          </w:tblCellMar>
        </w:tblPrEx>
        <w:tc>
          <w:tcPr>
            <w:tcW w:w="7225" w:type="dxa"/>
            <w:tcBorders>
              <w:top w:val="nil"/>
              <w:left w:val="nil"/>
              <w:bottom w:val="nil"/>
              <w:right w:val="nil"/>
            </w:tcBorders>
            <w:vAlign w:val="center"/>
          </w:tcPr>
          <w:p w14:paraId="05435E8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992" w:type="dxa"/>
            <w:tcBorders>
              <w:top w:val="single" w:sz="4" w:space="0" w:color="auto"/>
              <w:left w:val="nil"/>
              <w:bottom w:val="nil"/>
              <w:right w:val="nil"/>
            </w:tcBorders>
            <w:vAlign w:val="center"/>
          </w:tcPr>
          <w:p w14:paraId="048EA41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63.1</w:t>
            </w:r>
          </w:p>
        </w:tc>
        <w:tc>
          <w:tcPr>
            <w:tcW w:w="992" w:type="dxa"/>
            <w:tcBorders>
              <w:top w:val="single" w:sz="4" w:space="0" w:color="auto"/>
              <w:left w:val="nil"/>
              <w:bottom w:val="nil"/>
              <w:right w:val="nil"/>
            </w:tcBorders>
            <w:vAlign w:val="center"/>
          </w:tcPr>
          <w:p w14:paraId="6F398C3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58.0</w:t>
            </w:r>
          </w:p>
        </w:tc>
      </w:tr>
      <w:tr w:rsidR="00756913" w:rsidRPr="00756913" w14:paraId="66129160" w14:textId="77777777">
        <w:tblPrEx>
          <w:tblCellMar>
            <w:top w:w="0" w:type="dxa"/>
            <w:bottom w:w="0" w:type="dxa"/>
          </w:tblCellMar>
        </w:tblPrEx>
        <w:tc>
          <w:tcPr>
            <w:tcW w:w="7225" w:type="dxa"/>
            <w:tcBorders>
              <w:top w:val="nil"/>
              <w:left w:val="nil"/>
              <w:bottom w:val="nil"/>
              <w:right w:val="nil"/>
            </w:tcBorders>
            <w:vAlign w:val="center"/>
          </w:tcPr>
          <w:p w14:paraId="41C2CEC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 xml:space="preserve">Estimated taxation at 25% (2023: 23.5%*) </w:t>
            </w:r>
          </w:p>
        </w:tc>
        <w:tc>
          <w:tcPr>
            <w:tcW w:w="992" w:type="dxa"/>
            <w:tcBorders>
              <w:top w:val="nil"/>
              <w:left w:val="nil"/>
              <w:bottom w:val="single" w:sz="4" w:space="0" w:color="auto"/>
              <w:right w:val="nil"/>
            </w:tcBorders>
            <w:vAlign w:val="center"/>
          </w:tcPr>
          <w:p w14:paraId="69835925"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(15.8)</w:t>
            </w:r>
          </w:p>
        </w:tc>
        <w:tc>
          <w:tcPr>
            <w:tcW w:w="992" w:type="dxa"/>
            <w:tcBorders>
              <w:top w:val="nil"/>
              <w:left w:val="nil"/>
              <w:bottom w:val="single" w:sz="4" w:space="0" w:color="auto"/>
              <w:right w:val="nil"/>
            </w:tcBorders>
            <w:vAlign w:val="center"/>
          </w:tcPr>
          <w:p w14:paraId="6EFFCAC3"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(13.6)</w:t>
            </w:r>
          </w:p>
        </w:tc>
      </w:tr>
      <w:tr w:rsidR="00756913" w:rsidRPr="00756913" w14:paraId="1058293A" w14:textId="77777777">
        <w:tblPrEx>
          <w:tblCellMar>
            <w:top w:w="0" w:type="dxa"/>
            <w:bottom w:w="0" w:type="dxa"/>
          </w:tblCellMar>
        </w:tblPrEx>
        <w:tc>
          <w:tcPr>
            <w:tcW w:w="7225" w:type="dxa"/>
            <w:tcBorders>
              <w:top w:val="nil"/>
              <w:left w:val="nil"/>
              <w:bottom w:val="nil"/>
              <w:right w:val="nil"/>
            </w:tcBorders>
            <w:vAlign w:val="center"/>
          </w:tcPr>
          <w:p w14:paraId="715FF78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 xml:space="preserve">Profit for adjusted EPS purposes </w:t>
            </w:r>
          </w:p>
        </w:tc>
        <w:tc>
          <w:tcPr>
            <w:tcW w:w="992" w:type="dxa"/>
            <w:tcBorders>
              <w:top w:val="single" w:sz="4" w:space="0" w:color="auto"/>
              <w:left w:val="nil"/>
              <w:bottom w:val="single" w:sz="4" w:space="0" w:color="auto"/>
              <w:right w:val="nil"/>
            </w:tcBorders>
            <w:vAlign w:val="center"/>
          </w:tcPr>
          <w:p w14:paraId="09A6CB5C"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47.3</w:t>
            </w:r>
          </w:p>
        </w:tc>
        <w:tc>
          <w:tcPr>
            <w:tcW w:w="992" w:type="dxa"/>
            <w:tcBorders>
              <w:top w:val="single" w:sz="4" w:space="0" w:color="auto"/>
              <w:left w:val="nil"/>
              <w:bottom w:val="single" w:sz="4" w:space="0" w:color="auto"/>
              <w:right w:val="nil"/>
            </w:tcBorders>
            <w:vAlign w:val="center"/>
          </w:tcPr>
          <w:p w14:paraId="5ED4449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44.4</w:t>
            </w:r>
          </w:p>
        </w:tc>
      </w:tr>
      <w:tr w:rsidR="00756913" w:rsidRPr="00756913" w14:paraId="6E7EA214" w14:textId="77777777">
        <w:tblPrEx>
          <w:tblCellMar>
            <w:top w:w="0" w:type="dxa"/>
            <w:bottom w:w="0" w:type="dxa"/>
          </w:tblCellMar>
        </w:tblPrEx>
        <w:tc>
          <w:tcPr>
            <w:tcW w:w="7225" w:type="dxa"/>
            <w:tcBorders>
              <w:top w:val="nil"/>
              <w:left w:val="nil"/>
              <w:bottom w:val="nil"/>
              <w:right w:val="nil"/>
            </w:tcBorders>
            <w:vAlign w:val="center"/>
          </w:tcPr>
          <w:p w14:paraId="21325DC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Adjusted basic earnings per share (pence)</w:t>
            </w:r>
          </w:p>
        </w:tc>
        <w:tc>
          <w:tcPr>
            <w:tcW w:w="992" w:type="dxa"/>
            <w:tcBorders>
              <w:top w:val="single" w:sz="4" w:space="0" w:color="auto"/>
              <w:left w:val="nil"/>
              <w:bottom w:val="nil"/>
              <w:right w:val="nil"/>
            </w:tcBorders>
            <w:vAlign w:val="center"/>
          </w:tcPr>
          <w:p w14:paraId="24446E9E"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8.8</w:t>
            </w:r>
          </w:p>
        </w:tc>
        <w:tc>
          <w:tcPr>
            <w:tcW w:w="992" w:type="dxa"/>
            <w:tcBorders>
              <w:top w:val="single" w:sz="4" w:space="0" w:color="auto"/>
              <w:left w:val="nil"/>
              <w:bottom w:val="nil"/>
              <w:right w:val="nil"/>
            </w:tcBorders>
            <w:vAlign w:val="center"/>
          </w:tcPr>
          <w:p w14:paraId="7054564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8.3</w:t>
            </w:r>
          </w:p>
        </w:tc>
      </w:tr>
      <w:tr w:rsidR="00756913" w:rsidRPr="00756913" w14:paraId="6929D592" w14:textId="77777777">
        <w:tblPrEx>
          <w:tblCellMar>
            <w:top w:w="0" w:type="dxa"/>
            <w:bottom w:w="0" w:type="dxa"/>
          </w:tblCellMar>
        </w:tblPrEx>
        <w:trPr>
          <w:trHeight w:val="40"/>
        </w:trPr>
        <w:tc>
          <w:tcPr>
            <w:tcW w:w="7225" w:type="dxa"/>
            <w:tcBorders>
              <w:top w:val="nil"/>
              <w:left w:val="nil"/>
              <w:bottom w:val="nil"/>
              <w:right w:val="nil"/>
            </w:tcBorders>
            <w:vAlign w:val="center"/>
          </w:tcPr>
          <w:p w14:paraId="0B1CD3C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Adjusted diluted earnings per share (pence)</w:t>
            </w:r>
          </w:p>
        </w:tc>
        <w:tc>
          <w:tcPr>
            <w:tcW w:w="992" w:type="dxa"/>
            <w:tcBorders>
              <w:top w:val="nil"/>
              <w:left w:val="nil"/>
              <w:bottom w:val="nil"/>
              <w:right w:val="nil"/>
            </w:tcBorders>
            <w:vAlign w:val="center"/>
          </w:tcPr>
          <w:p w14:paraId="6BF52C2B"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8.8</w:t>
            </w:r>
          </w:p>
        </w:tc>
        <w:tc>
          <w:tcPr>
            <w:tcW w:w="992" w:type="dxa"/>
            <w:tcBorders>
              <w:top w:val="nil"/>
              <w:left w:val="nil"/>
              <w:bottom w:val="nil"/>
              <w:right w:val="nil"/>
            </w:tcBorders>
            <w:vAlign w:val="center"/>
          </w:tcPr>
          <w:p w14:paraId="37AC5446" w14:textId="77777777" w:rsidR="00756913" w:rsidRPr="00756913" w:rsidRDefault="00756913" w:rsidP="00756913">
            <w:pPr>
              <w:tabs>
                <w:tab w:val="decimal" w:pos="964"/>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8.2</w:t>
            </w:r>
          </w:p>
        </w:tc>
      </w:tr>
    </w:tbl>
    <w:p w14:paraId="04F34192"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jc w:val="both"/>
        <w:rPr>
          <w:rFonts w:ascii="Arial" w:hAnsi="Arial" w:cs="Arial"/>
          <w:b/>
          <w:bCs/>
          <w:sz w:val="20"/>
          <w:szCs w:val="20"/>
          <w14:ligatures w14:val="standardContextual"/>
        </w:rPr>
      </w:pPr>
    </w:p>
    <w:p w14:paraId="0327375D"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jc w:val="both"/>
        <w:rPr>
          <w:rFonts w:ascii="Arial" w:hAnsi="Arial" w:cs="Arial"/>
          <w:i/>
          <w:iCs/>
          <w:sz w:val="18"/>
          <w:szCs w:val="18"/>
          <w14:ligatures w14:val="standardContextual"/>
        </w:rPr>
      </w:pPr>
      <w:r w:rsidRPr="00756913">
        <w:rPr>
          <w:rFonts w:ascii="Arial" w:hAnsi="Arial" w:cs="Arial"/>
          <w:i/>
          <w:iCs/>
          <w:sz w:val="18"/>
          <w:szCs w:val="18"/>
          <w14:ligatures w14:val="standardContextual"/>
        </w:rPr>
        <w:t xml:space="preserve">* For the period ended 30 June 2023, estimated taxation at the blended rate of 23.5% is derived from the standard rate of corporation tax increasing from 19% to 25% in April 2023. </w:t>
      </w:r>
    </w:p>
    <w:p w14:paraId="12839C8A"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jc w:val="both"/>
        <w:rPr>
          <w:rFonts w:ascii="Arial" w:hAnsi="Arial" w:cs="Arial"/>
          <w:i/>
          <w:iCs/>
          <w:sz w:val="18"/>
          <w:szCs w:val="18"/>
          <w14:ligatures w14:val="standardContextual"/>
        </w:rPr>
      </w:pPr>
    </w:p>
    <w:p w14:paraId="5E1924FD"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hanging="360"/>
        <w:jc w:val="both"/>
        <w:rPr>
          <w:rFonts w:ascii="Arial" w:hAnsi="Arial" w:cs="Arial"/>
          <w:b/>
          <w:bCs/>
          <w:sz w:val="20"/>
          <w:szCs w:val="20"/>
          <w14:ligatures w14:val="standardContextual"/>
        </w:rPr>
      </w:pPr>
      <w:r w:rsidRPr="00756913">
        <w:rPr>
          <w:rFonts w:ascii="Arial" w:hAnsi="Arial" w:cs="Arial"/>
          <w:sz w:val="20"/>
          <w:szCs w:val="20"/>
          <w14:ligatures w14:val="standardContextual"/>
        </w:rPr>
        <w:t>6.</w:t>
      </w:r>
      <w:r w:rsidRPr="00756913">
        <w:rPr>
          <w:rFonts w:ascii="Arial" w:hAnsi="Arial" w:cs="Arial"/>
          <w:sz w:val="20"/>
          <w:szCs w:val="20"/>
          <w14:ligatures w14:val="standardContextual"/>
        </w:rPr>
        <w:tab/>
      </w:r>
      <w:r w:rsidRPr="00756913">
        <w:rPr>
          <w:rFonts w:ascii="Arial" w:hAnsi="Arial" w:cs="Arial"/>
          <w:b/>
          <w:bCs/>
          <w:sz w:val="20"/>
          <w:szCs w:val="20"/>
          <w14:ligatures w14:val="standardContextual"/>
        </w:rPr>
        <w:t>Dividends</w:t>
      </w:r>
    </w:p>
    <w:tbl>
      <w:tblPr>
        <w:tblW w:w="0" w:type="auto"/>
        <w:tblLayout w:type="fixed"/>
        <w:tblCellMar>
          <w:left w:w="54" w:type="dxa"/>
          <w:right w:w="54" w:type="dxa"/>
        </w:tblCellMar>
        <w:tblLook w:val="0000" w:firstRow="0" w:lastRow="0" w:firstColumn="0" w:lastColumn="0" w:noHBand="0" w:noVBand="0"/>
      </w:tblPr>
      <w:tblGrid>
        <w:gridCol w:w="7200"/>
        <w:gridCol w:w="992"/>
        <w:gridCol w:w="992"/>
      </w:tblGrid>
      <w:tr w:rsidR="00756913" w:rsidRPr="00756913" w14:paraId="314CD86F" w14:textId="77777777">
        <w:tblPrEx>
          <w:tblCellMar>
            <w:top w:w="0" w:type="dxa"/>
            <w:bottom w:w="0" w:type="dxa"/>
          </w:tblCellMar>
        </w:tblPrEx>
        <w:tc>
          <w:tcPr>
            <w:tcW w:w="7200" w:type="dxa"/>
            <w:tcBorders>
              <w:top w:val="nil"/>
              <w:left w:val="nil"/>
              <w:bottom w:val="nil"/>
              <w:right w:val="nil"/>
            </w:tcBorders>
          </w:tcPr>
          <w:p w14:paraId="05ACDA0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color w:val="FF0000"/>
                <w:sz w:val="18"/>
                <w:szCs w:val="18"/>
                <w14:ligatures w14:val="standardContextual"/>
              </w:rPr>
            </w:pPr>
          </w:p>
        </w:tc>
        <w:tc>
          <w:tcPr>
            <w:tcW w:w="992" w:type="dxa"/>
            <w:tcBorders>
              <w:top w:val="nil"/>
              <w:left w:val="nil"/>
              <w:bottom w:val="nil"/>
              <w:right w:val="nil"/>
            </w:tcBorders>
          </w:tcPr>
          <w:p w14:paraId="5333EE8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2024</w:t>
            </w:r>
          </w:p>
        </w:tc>
        <w:tc>
          <w:tcPr>
            <w:tcW w:w="992" w:type="dxa"/>
            <w:tcBorders>
              <w:top w:val="nil"/>
              <w:left w:val="nil"/>
              <w:bottom w:val="nil"/>
              <w:right w:val="nil"/>
            </w:tcBorders>
          </w:tcPr>
          <w:p w14:paraId="0A531B59" w14:textId="77777777" w:rsidR="00756913" w:rsidRPr="00756913" w:rsidRDefault="00756913" w:rsidP="00756913">
            <w:pPr>
              <w:tabs>
                <w:tab w:val="decimal" w:pos="1021"/>
                <w:tab w:val="decimal" w:pos="1152"/>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2023</w:t>
            </w:r>
          </w:p>
        </w:tc>
      </w:tr>
      <w:tr w:rsidR="00756913" w:rsidRPr="00756913" w14:paraId="138863ED" w14:textId="77777777">
        <w:tblPrEx>
          <w:tblCellMar>
            <w:top w:w="0" w:type="dxa"/>
            <w:bottom w:w="0" w:type="dxa"/>
          </w:tblCellMar>
        </w:tblPrEx>
        <w:trPr>
          <w:trHeight w:val="278"/>
        </w:trPr>
        <w:tc>
          <w:tcPr>
            <w:tcW w:w="7200" w:type="dxa"/>
            <w:tcBorders>
              <w:top w:val="nil"/>
              <w:left w:val="nil"/>
              <w:bottom w:val="nil"/>
              <w:right w:val="nil"/>
            </w:tcBorders>
          </w:tcPr>
          <w:p w14:paraId="6C17EF84" w14:textId="77777777" w:rsidR="00756913" w:rsidRPr="00756913" w:rsidRDefault="00756913" w:rsidP="00756913">
            <w:pPr>
              <w:autoSpaceDE w:val="0"/>
              <w:autoSpaceDN w:val="0"/>
              <w:adjustRightInd w:val="0"/>
              <w:spacing w:after="0" w:line="240" w:lineRule="auto"/>
              <w:jc w:val="both"/>
              <w:rPr>
                <w:rFonts w:ascii="Arial" w:hAnsi="Arial" w:cs="Arial"/>
                <w:i/>
                <w:iCs/>
                <w:color w:val="FF0000"/>
                <w:sz w:val="18"/>
                <w:szCs w:val="18"/>
                <w14:ligatures w14:val="standardContextual"/>
              </w:rPr>
            </w:pPr>
          </w:p>
        </w:tc>
        <w:tc>
          <w:tcPr>
            <w:tcW w:w="992" w:type="dxa"/>
            <w:tcBorders>
              <w:top w:val="nil"/>
              <w:left w:val="nil"/>
              <w:bottom w:val="nil"/>
              <w:right w:val="nil"/>
            </w:tcBorders>
          </w:tcPr>
          <w:p w14:paraId="6D4C88F2"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992" w:type="dxa"/>
            <w:tcBorders>
              <w:top w:val="nil"/>
              <w:left w:val="nil"/>
              <w:bottom w:val="nil"/>
              <w:right w:val="nil"/>
            </w:tcBorders>
          </w:tcPr>
          <w:p w14:paraId="2C2E9EA1" w14:textId="77777777" w:rsidR="00756913" w:rsidRPr="00756913" w:rsidRDefault="00756913" w:rsidP="00756913">
            <w:pPr>
              <w:tabs>
                <w:tab w:val="decimal" w:pos="1021"/>
                <w:tab w:val="decimal" w:pos="1152"/>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r>
      <w:tr w:rsidR="00756913" w:rsidRPr="00756913" w14:paraId="441800DC" w14:textId="77777777">
        <w:tblPrEx>
          <w:tblCellMar>
            <w:top w:w="0" w:type="dxa"/>
            <w:bottom w:w="0" w:type="dxa"/>
          </w:tblCellMar>
        </w:tblPrEx>
        <w:tc>
          <w:tcPr>
            <w:tcW w:w="7200" w:type="dxa"/>
            <w:tcBorders>
              <w:top w:val="nil"/>
              <w:left w:val="nil"/>
              <w:bottom w:val="nil"/>
              <w:right w:val="nil"/>
            </w:tcBorders>
            <w:vAlign w:val="center"/>
          </w:tcPr>
          <w:p w14:paraId="726E41FA" w14:textId="77777777" w:rsidR="00756913" w:rsidRPr="00756913" w:rsidRDefault="00756913" w:rsidP="00756913">
            <w:pPr>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Equity dividends on ordinary shares:</w:t>
            </w:r>
          </w:p>
        </w:tc>
        <w:tc>
          <w:tcPr>
            <w:tcW w:w="992" w:type="dxa"/>
            <w:tcBorders>
              <w:top w:val="nil"/>
              <w:left w:val="nil"/>
              <w:bottom w:val="nil"/>
              <w:right w:val="nil"/>
            </w:tcBorders>
          </w:tcPr>
          <w:p w14:paraId="0AE60D9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color w:val="FF0000"/>
                <w:sz w:val="18"/>
                <w:szCs w:val="18"/>
                <w14:ligatures w14:val="standardContextual"/>
              </w:rPr>
            </w:pPr>
          </w:p>
        </w:tc>
        <w:tc>
          <w:tcPr>
            <w:tcW w:w="992" w:type="dxa"/>
            <w:tcBorders>
              <w:top w:val="nil"/>
              <w:left w:val="nil"/>
              <w:bottom w:val="nil"/>
              <w:right w:val="nil"/>
            </w:tcBorders>
          </w:tcPr>
          <w:p w14:paraId="36A3C70D" w14:textId="77777777" w:rsidR="00756913" w:rsidRPr="00756913" w:rsidRDefault="00756913" w:rsidP="00756913">
            <w:pPr>
              <w:tabs>
                <w:tab w:val="decimal" w:pos="1021"/>
                <w:tab w:val="decimal" w:pos="1152"/>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4B1B9287" w14:textId="77777777">
        <w:tblPrEx>
          <w:tblCellMar>
            <w:top w:w="0" w:type="dxa"/>
            <w:bottom w:w="0" w:type="dxa"/>
          </w:tblCellMar>
        </w:tblPrEx>
        <w:tc>
          <w:tcPr>
            <w:tcW w:w="7200" w:type="dxa"/>
            <w:tcBorders>
              <w:top w:val="nil"/>
              <w:left w:val="nil"/>
              <w:bottom w:val="nil"/>
              <w:right w:val="nil"/>
            </w:tcBorders>
            <w:vAlign w:val="center"/>
          </w:tcPr>
          <w:p w14:paraId="67E5C82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992" w:type="dxa"/>
            <w:tcBorders>
              <w:top w:val="nil"/>
              <w:left w:val="nil"/>
              <w:bottom w:val="nil"/>
              <w:right w:val="nil"/>
            </w:tcBorders>
          </w:tcPr>
          <w:p w14:paraId="753D0810" w14:textId="77777777" w:rsidR="00756913" w:rsidRPr="00756913" w:rsidRDefault="00756913" w:rsidP="00756913">
            <w:pPr>
              <w:tabs>
                <w:tab w:val="decimal" w:pos="1304"/>
              </w:tabs>
              <w:autoSpaceDE w:val="0"/>
              <w:autoSpaceDN w:val="0"/>
              <w:adjustRightInd w:val="0"/>
              <w:spacing w:after="0" w:line="240" w:lineRule="auto"/>
              <w:ind w:right="72"/>
              <w:jc w:val="right"/>
              <w:rPr>
                <w:rFonts w:ascii="Arial" w:hAnsi="Arial" w:cs="Arial"/>
                <w:b/>
                <w:bCs/>
                <w:color w:val="FF0000"/>
                <w:sz w:val="18"/>
                <w:szCs w:val="18"/>
                <w14:ligatures w14:val="standardContextual"/>
              </w:rPr>
            </w:pPr>
          </w:p>
        </w:tc>
        <w:tc>
          <w:tcPr>
            <w:tcW w:w="992" w:type="dxa"/>
            <w:tcBorders>
              <w:top w:val="nil"/>
              <w:left w:val="nil"/>
              <w:bottom w:val="nil"/>
              <w:right w:val="nil"/>
            </w:tcBorders>
          </w:tcPr>
          <w:p w14:paraId="416B43FA" w14:textId="77777777" w:rsidR="00756913" w:rsidRPr="00756913" w:rsidRDefault="00756913" w:rsidP="00756913">
            <w:pPr>
              <w:tabs>
                <w:tab w:val="decimal" w:pos="1304"/>
              </w:tabs>
              <w:autoSpaceDE w:val="0"/>
              <w:autoSpaceDN w:val="0"/>
              <w:adjustRightInd w:val="0"/>
              <w:spacing w:after="0" w:line="240" w:lineRule="auto"/>
              <w:ind w:right="72"/>
              <w:jc w:val="right"/>
              <w:rPr>
                <w:rFonts w:ascii="Arial" w:hAnsi="Arial" w:cs="Arial"/>
                <w:sz w:val="18"/>
                <w:szCs w:val="18"/>
                <w14:ligatures w14:val="standardContextual"/>
              </w:rPr>
            </w:pPr>
          </w:p>
        </w:tc>
      </w:tr>
      <w:tr w:rsidR="00756913" w:rsidRPr="00756913" w14:paraId="66D2D07B" w14:textId="77777777">
        <w:tblPrEx>
          <w:tblCellMar>
            <w:top w:w="0" w:type="dxa"/>
            <w:bottom w:w="0" w:type="dxa"/>
          </w:tblCellMar>
        </w:tblPrEx>
        <w:tc>
          <w:tcPr>
            <w:tcW w:w="7200" w:type="dxa"/>
            <w:tcBorders>
              <w:top w:val="nil"/>
              <w:left w:val="nil"/>
              <w:bottom w:val="nil"/>
              <w:right w:val="nil"/>
            </w:tcBorders>
            <w:vAlign w:val="center"/>
          </w:tcPr>
          <w:p w14:paraId="7BD1348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i/>
                <w:iCs/>
                <w:sz w:val="18"/>
                <w:szCs w:val="18"/>
                <w14:ligatures w14:val="standardContextual"/>
              </w:rPr>
            </w:pPr>
            <w:r w:rsidRPr="00756913">
              <w:rPr>
                <w:rFonts w:ascii="Arial" w:hAnsi="Arial" w:cs="Arial"/>
                <w:sz w:val="18"/>
                <w:szCs w:val="18"/>
                <w14:ligatures w14:val="standardContextual"/>
              </w:rPr>
              <w:t>Final dividend for 2023: 8.90 pence per share (2022: 8.61 pence per share)</w:t>
            </w:r>
          </w:p>
        </w:tc>
        <w:tc>
          <w:tcPr>
            <w:tcW w:w="992" w:type="dxa"/>
            <w:tcBorders>
              <w:top w:val="nil"/>
              <w:left w:val="nil"/>
              <w:bottom w:val="nil"/>
              <w:right w:val="nil"/>
            </w:tcBorders>
            <w:vAlign w:val="center"/>
          </w:tcPr>
          <w:p w14:paraId="23D95066"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r w:rsidRPr="00756913">
              <w:rPr>
                <w:rFonts w:ascii="Arial" w:hAnsi="Arial" w:cs="Arial"/>
                <w:b/>
                <w:bCs/>
                <w:sz w:val="18"/>
                <w:szCs w:val="18"/>
                <w14:ligatures w14:val="standardContextual"/>
              </w:rPr>
              <w:t>47.8</w:t>
            </w:r>
          </w:p>
        </w:tc>
        <w:tc>
          <w:tcPr>
            <w:tcW w:w="992" w:type="dxa"/>
            <w:tcBorders>
              <w:top w:val="nil"/>
              <w:left w:val="nil"/>
              <w:bottom w:val="nil"/>
              <w:right w:val="nil"/>
            </w:tcBorders>
            <w:vAlign w:val="center"/>
          </w:tcPr>
          <w:p w14:paraId="62EE30CB"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46.2</w:t>
            </w:r>
          </w:p>
        </w:tc>
      </w:tr>
      <w:tr w:rsidR="00756913" w:rsidRPr="00756913" w14:paraId="32B7EDA1" w14:textId="77777777">
        <w:tblPrEx>
          <w:tblCellMar>
            <w:top w:w="0" w:type="dxa"/>
            <w:bottom w:w="0" w:type="dxa"/>
          </w:tblCellMar>
        </w:tblPrEx>
        <w:tc>
          <w:tcPr>
            <w:tcW w:w="7200" w:type="dxa"/>
            <w:tcBorders>
              <w:top w:val="nil"/>
              <w:left w:val="nil"/>
              <w:bottom w:val="nil"/>
              <w:right w:val="nil"/>
            </w:tcBorders>
            <w:vAlign w:val="center"/>
          </w:tcPr>
          <w:p w14:paraId="4094FEB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992" w:type="dxa"/>
            <w:tcBorders>
              <w:top w:val="single" w:sz="4" w:space="0" w:color="auto"/>
              <w:left w:val="nil"/>
              <w:bottom w:val="nil"/>
              <w:right w:val="nil"/>
            </w:tcBorders>
            <w:vAlign w:val="center"/>
          </w:tcPr>
          <w:p w14:paraId="2EFD5C66"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FF0000"/>
                <w:sz w:val="18"/>
                <w:szCs w:val="18"/>
                <w14:ligatures w14:val="standardContextual"/>
              </w:rPr>
            </w:pPr>
          </w:p>
        </w:tc>
        <w:tc>
          <w:tcPr>
            <w:tcW w:w="992" w:type="dxa"/>
            <w:tcBorders>
              <w:top w:val="single" w:sz="4" w:space="0" w:color="auto"/>
              <w:left w:val="nil"/>
              <w:bottom w:val="nil"/>
              <w:right w:val="nil"/>
            </w:tcBorders>
            <w:vAlign w:val="center"/>
          </w:tcPr>
          <w:p w14:paraId="48CE705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p>
        </w:tc>
      </w:tr>
      <w:tr w:rsidR="00756913" w:rsidRPr="00756913" w14:paraId="5731C92E" w14:textId="77777777">
        <w:tblPrEx>
          <w:tblCellMar>
            <w:top w:w="0" w:type="dxa"/>
            <w:bottom w:w="0" w:type="dxa"/>
          </w:tblCellMar>
        </w:tblPrEx>
        <w:trPr>
          <w:trHeight w:val="371"/>
        </w:trPr>
        <w:tc>
          <w:tcPr>
            <w:tcW w:w="7200" w:type="dxa"/>
            <w:tcBorders>
              <w:top w:val="nil"/>
              <w:left w:val="nil"/>
              <w:bottom w:val="nil"/>
              <w:right w:val="nil"/>
            </w:tcBorders>
            <w:vAlign w:val="center"/>
          </w:tcPr>
          <w:p w14:paraId="55240C4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Proposed for approval (not recognised as a liability as at 30 June):</w:t>
            </w:r>
          </w:p>
        </w:tc>
        <w:tc>
          <w:tcPr>
            <w:tcW w:w="992" w:type="dxa"/>
            <w:tcBorders>
              <w:top w:val="nil"/>
              <w:left w:val="nil"/>
              <w:bottom w:val="nil"/>
              <w:right w:val="nil"/>
            </w:tcBorders>
            <w:vAlign w:val="center"/>
          </w:tcPr>
          <w:p w14:paraId="62F81B5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000000"/>
                <w:sz w:val="18"/>
                <w:szCs w:val="18"/>
                <w14:ligatures w14:val="standardContextual"/>
              </w:rPr>
            </w:pPr>
          </w:p>
        </w:tc>
        <w:tc>
          <w:tcPr>
            <w:tcW w:w="992" w:type="dxa"/>
            <w:tcBorders>
              <w:top w:val="nil"/>
              <w:left w:val="nil"/>
              <w:bottom w:val="nil"/>
              <w:right w:val="nil"/>
            </w:tcBorders>
            <w:vAlign w:val="center"/>
          </w:tcPr>
          <w:p w14:paraId="633DDC1A"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p>
        </w:tc>
      </w:tr>
      <w:tr w:rsidR="00756913" w:rsidRPr="00756913" w14:paraId="061B3087" w14:textId="77777777">
        <w:tblPrEx>
          <w:tblCellMar>
            <w:top w:w="0" w:type="dxa"/>
            <w:bottom w:w="0" w:type="dxa"/>
          </w:tblCellMar>
        </w:tblPrEx>
        <w:tc>
          <w:tcPr>
            <w:tcW w:w="7200" w:type="dxa"/>
            <w:tcBorders>
              <w:top w:val="nil"/>
              <w:left w:val="nil"/>
              <w:bottom w:val="nil"/>
              <w:right w:val="nil"/>
            </w:tcBorders>
            <w:vAlign w:val="center"/>
          </w:tcPr>
          <w:p w14:paraId="2BFFCD9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i/>
                <w:iCs/>
                <w:color w:val="000000"/>
                <w:sz w:val="18"/>
                <w:szCs w:val="18"/>
                <w14:ligatures w14:val="standardContextual"/>
              </w:rPr>
            </w:pPr>
            <w:r w:rsidRPr="00756913">
              <w:rPr>
                <w:rFonts w:ascii="Arial" w:hAnsi="Arial" w:cs="Arial"/>
                <w:color w:val="000000"/>
                <w:sz w:val="18"/>
                <w:szCs w:val="18"/>
                <w14:ligatures w14:val="standardContextual"/>
              </w:rPr>
              <w:t>Interim dividend for 2024: 3.3 pence per share (2023: 3.2 pence per share)</w:t>
            </w:r>
          </w:p>
        </w:tc>
        <w:tc>
          <w:tcPr>
            <w:tcW w:w="992" w:type="dxa"/>
            <w:tcBorders>
              <w:top w:val="nil"/>
              <w:left w:val="nil"/>
              <w:bottom w:val="single" w:sz="4" w:space="0" w:color="auto"/>
              <w:right w:val="nil"/>
            </w:tcBorders>
            <w:vAlign w:val="center"/>
          </w:tcPr>
          <w:p w14:paraId="0F7EF891"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color w:val="000000"/>
                <w:sz w:val="18"/>
                <w:szCs w:val="18"/>
                <w14:ligatures w14:val="standardContextual"/>
              </w:rPr>
            </w:pPr>
            <w:r w:rsidRPr="00756913">
              <w:rPr>
                <w:rFonts w:ascii="Arial" w:hAnsi="Arial" w:cs="Arial"/>
                <w:b/>
                <w:bCs/>
                <w:color w:val="000000"/>
                <w:sz w:val="18"/>
                <w:szCs w:val="18"/>
                <w14:ligatures w14:val="standardContextual"/>
              </w:rPr>
              <w:t>17.7</w:t>
            </w:r>
          </w:p>
        </w:tc>
        <w:tc>
          <w:tcPr>
            <w:tcW w:w="992" w:type="dxa"/>
            <w:tcBorders>
              <w:top w:val="nil"/>
              <w:left w:val="nil"/>
              <w:bottom w:val="single" w:sz="4" w:space="0" w:color="auto"/>
              <w:right w:val="nil"/>
            </w:tcBorders>
            <w:vAlign w:val="center"/>
          </w:tcPr>
          <w:p w14:paraId="15129CEF"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color w:val="000000"/>
                <w:sz w:val="18"/>
                <w:szCs w:val="18"/>
                <w14:ligatures w14:val="standardContextual"/>
              </w:rPr>
            </w:pPr>
            <w:r w:rsidRPr="00756913">
              <w:rPr>
                <w:rFonts w:ascii="Arial" w:hAnsi="Arial" w:cs="Arial"/>
                <w:color w:val="000000"/>
                <w:sz w:val="18"/>
                <w:szCs w:val="18"/>
                <w14:ligatures w14:val="standardContextual"/>
              </w:rPr>
              <w:t>17.2</w:t>
            </w:r>
          </w:p>
        </w:tc>
      </w:tr>
    </w:tbl>
    <w:p w14:paraId="5C216B41"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jc w:val="both"/>
        <w:rPr>
          <w:rFonts w:ascii="Arial" w:hAnsi="Arial" w:cs="Arial"/>
          <w:b/>
          <w:bCs/>
          <w:color w:val="FF0000"/>
          <w:sz w:val="20"/>
          <w:szCs w:val="20"/>
          <w14:ligatures w14:val="standardContextual"/>
        </w:rPr>
      </w:pPr>
    </w:p>
    <w:p w14:paraId="091C9002"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jc w:val="both"/>
        <w:rPr>
          <w:rFonts w:ascii="Arial" w:hAnsi="Arial" w:cs="Arial"/>
          <w:b/>
          <w:bCs/>
          <w:color w:val="FF0000"/>
          <w:sz w:val="20"/>
          <w:szCs w:val="20"/>
          <w14:ligatures w14:val="standardContextual"/>
        </w:rPr>
      </w:pPr>
    </w:p>
    <w:p w14:paraId="27CD45B7"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jc w:val="both"/>
        <w:rPr>
          <w:rFonts w:ascii="Arial" w:hAnsi="Arial" w:cs="Arial"/>
          <w:b/>
          <w:bCs/>
          <w:color w:val="FF0000"/>
          <w:sz w:val="20"/>
          <w:szCs w:val="20"/>
          <w14:ligatures w14:val="standardContextual"/>
        </w:rPr>
      </w:pPr>
    </w:p>
    <w:p w14:paraId="08F83EAC"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jc w:val="both"/>
        <w:rPr>
          <w:rFonts w:ascii="Arial" w:hAnsi="Arial" w:cs="Arial"/>
          <w:b/>
          <w:bCs/>
          <w:color w:val="FF0000"/>
          <w:sz w:val="20"/>
          <w:szCs w:val="20"/>
          <w14:ligatures w14:val="standardContextual"/>
        </w:rPr>
      </w:pPr>
    </w:p>
    <w:p w14:paraId="36890103"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jc w:val="both"/>
        <w:rPr>
          <w:rFonts w:ascii="Arial" w:hAnsi="Arial" w:cs="Arial"/>
          <w:b/>
          <w:bCs/>
          <w:color w:val="FF0000"/>
          <w:sz w:val="20"/>
          <w:szCs w:val="20"/>
          <w14:ligatures w14:val="standardContextual"/>
        </w:rPr>
      </w:pPr>
    </w:p>
    <w:p w14:paraId="40F8903B"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hanging="360"/>
        <w:jc w:val="both"/>
        <w:rPr>
          <w:rFonts w:ascii="Arial" w:hAnsi="Arial" w:cs="Arial"/>
          <w:b/>
          <w:bCs/>
          <w:sz w:val="20"/>
          <w:szCs w:val="20"/>
          <w14:ligatures w14:val="standardContextual"/>
        </w:rPr>
      </w:pPr>
      <w:r w:rsidRPr="00756913">
        <w:rPr>
          <w:rFonts w:ascii="Arial" w:hAnsi="Arial" w:cs="Arial"/>
          <w:sz w:val="20"/>
          <w:szCs w:val="20"/>
          <w14:ligatures w14:val="standardContextual"/>
        </w:rPr>
        <w:t>7.</w:t>
      </w:r>
      <w:r w:rsidRPr="00756913">
        <w:rPr>
          <w:rFonts w:ascii="Arial" w:hAnsi="Arial" w:cs="Arial"/>
          <w:sz w:val="20"/>
          <w:szCs w:val="20"/>
          <w14:ligatures w14:val="standardContextual"/>
        </w:rPr>
        <w:tab/>
      </w:r>
      <w:r w:rsidRPr="00756913">
        <w:rPr>
          <w:rFonts w:ascii="Arial" w:hAnsi="Arial" w:cs="Arial"/>
          <w:b/>
          <w:bCs/>
          <w:sz w:val="20"/>
          <w:szCs w:val="20"/>
          <w14:ligatures w14:val="standardContextual"/>
        </w:rPr>
        <w:t>Intangible assets</w:t>
      </w:r>
    </w:p>
    <w:tbl>
      <w:tblPr>
        <w:tblW w:w="0" w:type="auto"/>
        <w:tblInd w:w="64" w:type="dxa"/>
        <w:tblLayout w:type="fixed"/>
        <w:tblCellMar>
          <w:left w:w="10" w:type="dxa"/>
          <w:right w:w="10" w:type="dxa"/>
        </w:tblCellMar>
        <w:tblLook w:val="0000" w:firstRow="0" w:lastRow="0" w:firstColumn="0" w:lastColumn="0" w:noHBand="0" w:noVBand="0"/>
      </w:tblPr>
      <w:tblGrid>
        <w:gridCol w:w="3061"/>
        <w:gridCol w:w="1191"/>
        <w:gridCol w:w="1247"/>
        <w:gridCol w:w="1191"/>
        <w:gridCol w:w="1191"/>
        <w:gridCol w:w="1191"/>
      </w:tblGrid>
      <w:tr w:rsidR="00756913" w:rsidRPr="00756913" w14:paraId="6DC5DF4D" w14:textId="77777777">
        <w:tblPrEx>
          <w:tblCellMar>
            <w:top w:w="0" w:type="dxa"/>
            <w:bottom w:w="0" w:type="dxa"/>
          </w:tblCellMar>
        </w:tblPrEx>
        <w:trPr>
          <w:trHeight w:val="441"/>
        </w:trPr>
        <w:tc>
          <w:tcPr>
            <w:tcW w:w="3061" w:type="dxa"/>
            <w:tcBorders>
              <w:top w:val="nil"/>
              <w:left w:val="nil"/>
              <w:bottom w:val="nil"/>
              <w:right w:val="nil"/>
            </w:tcBorders>
          </w:tcPr>
          <w:p w14:paraId="1AC1ED7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130" w:line="260" w:lineRule="atLeast"/>
              <w:ind w:left="284" w:hanging="284"/>
              <w:jc w:val="both"/>
              <w:rPr>
                <w:rFonts w:ascii="Arial" w:hAnsi="Arial" w:cs="Arial"/>
                <w:sz w:val="18"/>
                <w:szCs w:val="18"/>
                <w14:ligatures w14:val="standardContextual"/>
              </w:rPr>
            </w:pPr>
          </w:p>
        </w:tc>
        <w:tc>
          <w:tcPr>
            <w:tcW w:w="1191" w:type="dxa"/>
            <w:tcBorders>
              <w:top w:val="nil"/>
              <w:left w:val="nil"/>
              <w:bottom w:val="nil"/>
              <w:right w:val="nil"/>
            </w:tcBorders>
            <w:vAlign w:val="bottom"/>
          </w:tcPr>
          <w:p w14:paraId="1CC0CE3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Market related</w:t>
            </w:r>
          </w:p>
        </w:tc>
        <w:tc>
          <w:tcPr>
            <w:tcW w:w="1247" w:type="dxa"/>
            <w:tcBorders>
              <w:top w:val="nil"/>
              <w:left w:val="nil"/>
              <w:bottom w:val="nil"/>
              <w:right w:val="nil"/>
            </w:tcBorders>
            <w:vAlign w:val="bottom"/>
          </w:tcPr>
          <w:p w14:paraId="2BB507B4" w14:textId="77777777" w:rsidR="00756913" w:rsidRPr="00756913" w:rsidRDefault="00756913" w:rsidP="00756913">
            <w:pPr>
              <w:tabs>
                <w:tab w:val="decimal" w:pos="1021"/>
              </w:tabs>
              <w:autoSpaceDE w:val="0"/>
              <w:autoSpaceDN w:val="0"/>
              <w:adjustRightInd w:val="0"/>
              <w:spacing w:after="0" w:line="240" w:lineRule="auto"/>
              <w:ind w:left="-77" w:hanging="142"/>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Member relationship</w:t>
            </w:r>
          </w:p>
        </w:tc>
        <w:tc>
          <w:tcPr>
            <w:tcW w:w="1191" w:type="dxa"/>
            <w:tcBorders>
              <w:top w:val="nil"/>
              <w:left w:val="nil"/>
              <w:bottom w:val="nil"/>
              <w:right w:val="nil"/>
            </w:tcBorders>
            <w:vAlign w:val="bottom"/>
          </w:tcPr>
          <w:p w14:paraId="5AF53C7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Technology related</w:t>
            </w:r>
          </w:p>
        </w:tc>
        <w:tc>
          <w:tcPr>
            <w:tcW w:w="1191" w:type="dxa"/>
            <w:tcBorders>
              <w:top w:val="nil"/>
              <w:left w:val="nil"/>
              <w:bottom w:val="nil"/>
              <w:right w:val="nil"/>
            </w:tcBorders>
            <w:vAlign w:val="bottom"/>
          </w:tcPr>
          <w:p w14:paraId="0D1C696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Goodwill</w:t>
            </w:r>
          </w:p>
        </w:tc>
        <w:tc>
          <w:tcPr>
            <w:tcW w:w="1191" w:type="dxa"/>
            <w:tcBorders>
              <w:top w:val="nil"/>
              <w:left w:val="nil"/>
              <w:bottom w:val="nil"/>
              <w:right w:val="nil"/>
            </w:tcBorders>
            <w:vAlign w:val="bottom"/>
          </w:tcPr>
          <w:p w14:paraId="16058B8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Total</w:t>
            </w:r>
          </w:p>
        </w:tc>
      </w:tr>
      <w:tr w:rsidR="00756913" w:rsidRPr="00756913" w14:paraId="244B2445" w14:textId="77777777">
        <w:tblPrEx>
          <w:tblCellMar>
            <w:top w:w="0" w:type="dxa"/>
            <w:bottom w:w="0" w:type="dxa"/>
          </w:tblCellMar>
        </w:tblPrEx>
        <w:trPr>
          <w:trHeight w:val="268"/>
        </w:trPr>
        <w:tc>
          <w:tcPr>
            <w:tcW w:w="3061" w:type="dxa"/>
            <w:tcBorders>
              <w:top w:val="nil"/>
              <w:left w:val="nil"/>
              <w:bottom w:val="nil"/>
              <w:right w:val="nil"/>
            </w:tcBorders>
            <w:vAlign w:val="center"/>
          </w:tcPr>
          <w:p w14:paraId="5B148E7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1191" w:type="dxa"/>
            <w:tcBorders>
              <w:top w:val="nil"/>
              <w:left w:val="nil"/>
              <w:bottom w:val="nil"/>
              <w:right w:val="nil"/>
            </w:tcBorders>
            <w:vAlign w:val="bottom"/>
          </w:tcPr>
          <w:p w14:paraId="3EA9A6D2"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247" w:type="dxa"/>
            <w:tcBorders>
              <w:top w:val="nil"/>
              <w:left w:val="nil"/>
              <w:bottom w:val="nil"/>
              <w:right w:val="nil"/>
            </w:tcBorders>
            <w:vAlign w:val="bottom"/>
          </w:tcPr>
          <w:p w14:paraId="0D71A65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191" w:type="dxa"/>
            <w:tcBorders>
              <w:top w:val="nil"/>
              <w:left w:val="nil"/>
              <w:bottom w:val="nil"/>
              <w:right w:val="nil"/>
            </w:tcBorders>
            <w:vAlign w:val="bottom"/>
          </w:tcPr>
          <w:p w14:paraId="5C0778E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191" w:type="dxa"/>
            <w:tcBorders>
              <w:top w:val="nil"/>
              <w:left w:val="nil"/>
              <w:bottom w:val="nil"/>
              <w:right w:val="nil"/>
            </w:tcBorders>
            <w:vAlign w:val="bottom"/>
          </w:tcPr>
          <w:p w14:paraId="25B6F8B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191" w:type="dxa"/>
            <w:tcBorders>
              <w:top w:val="nil"/>
              <w:left w:val="nil"/>
              <w:bottom w:val="nil"/>
              <w:right w:val="nil"/>
            </w:tcBorders>
            <w:vAlign w:val="bottom"/>
          </w:tcPr>
          <w:p w14:paraId="77702512"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r>
      <w:tr w:rsidR="00756913" w:rsidRPr="00756913" w14:paraId="61FAA780" w14:textId="77777777">
        <w:tblPrEx>
          <w:tblCellMar>
            <w:top w:w="0" w:type="dxa"/>
            <w:bottom w:w="0" w:type="dxa"/>
          </w:tblCellMar>
        </w:tblPrEx>
        <w:trPr>
          <w:trHeight w:val="268"/>
        </w:trPr>
        <w:tc>
          <w:tcPr>
            <w:tcW w:w="3061" w:type="dxa"/>
            <w:tcBorders>
              <w:top w:val="nil"/>
              <w:left w:val="nil"/>
              <w:bottom w:val="nil"/>
              <w:right w:val="nil"/>
            </w:tcBorders>
            <w:vAlign w:val="center"/>
          </w:tcPr>
          <w:p w14:paraId="71BB20F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b/>
                <w:bCs/>
                <w:i/>
                <w:iCs/>
                <w:sz w:val="18"/>
                <w:szCs w:val="18"/>
                <w14:ligatures w14:val="standardContextual"/>
              </w:rPr>
              <w:t>Cost</w:t>
            </w:r>
          </w:p>
        </w:tc>
        <w:tc>
          <w:tcPr>
            <w:tcW w:w="1191" w:type="dxa"/>
            <w:tcBorders>
              <w:top w:val="nil"/>
              <w:left w:val="nil"/>
              <w:bottom w:val="nil"/>
              <w:right w:val="nil"/>
            </w:tcBorders>
            <w:vAlign w:val="center"/>
          </w:tcPr>
          <w:p w14:paraId="32EB880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247" w:type="dxa"/>
            <w:tcBorders>
              <w:top w:val="nil"/>
              <w:left w:val="nil"/>
              <w:bottom w:val="nil"/>
              <w:right w:val="nil"/>
            </w:tcBorders>
            <w:vAlign w:val="center"/>
          </w:tcPr>
          <w:p w14:paraId="10CE63A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58D2328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12E9EAC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32E04D1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r>
      <w:tr w:rsidR="00756913" w:rsidRPr="00756913" w14:paraId="6A28839E" w14:textId="77777777">
        <w:tblPrEx>
          <w:tblCellMar>
            <w:top w:w="0" w:type="dxa"/>
            <w:bottom w:w="0" w:type="dxa"/>
          </w:tblCellMar>
        </w:tblPrEx>
        <w:trPr>
          <w:trHeight w:val="284"/>
        </w:trPr>
        <w:tc>
          <w:tcPr>
            <w:tcW w:w="3061" w:type="dxa"/>
            <w:tcBorders>
              <w:top w:val="nil"/>
              <w:left w:val="nil"/>
              <w:bottom w:val="nil"/>
              <w:right w:val="nil"/>
            </w:tcBorders>
            <w:vAlign w:val="center"/>
          </w:tcPr>
          <w:p w14:paraId="67F8B72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sz w:val="18"/>
                <w:szCs w:val="18"/>
                <w14:ligatures w14:val="standardContextual"/>
              </w:rPr>
              <w:t>At 1 January 2023</w:t>
            </w:r>
          </w:p>
        </w:tc>
        <w:tc>
          <w:tcPr>
            <w:tcW w:w="1191" w:type="dxa"/>
            <w:tcBorders>
              <w:top w:val="nil"/>
              <w:left w:val="nil"/>
              <w:bottom w:val="nil"/>
              <w:right w:val="nil"/>
            </w:tcBorders>
            <w:vAlign w:val="center"/>
          </w:tcPr>
          <w:p w14:paraId="4B977BA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169.6</w:t>
            </w:r>
          </w:p>
        </w:tc>
        <w:tc>
          <w:tcPr>
            <w:tcW w:w="1247" w:type="dxa"/>
            <w:tcBorders>
              <w:top w:val="nil"/>
              <w:left w:val="nil"/>
              <w:bottom w:val="nil"/>
              <w:right w:val="nil"/>
            </w:tcBorders>
            <w:vAlign w:val="center"/>
          </w:tcPr>
          <w:p w14:paraId="0D70AF9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21.2</w:t>
            </w:r>
          </w:p>
        </w:tc>
        <w:tc>
          <w:tcPr>
            <w:tcW w:w="1191" w:type="dxa"/>
            <w:tcBorders>
              <w:top w:val="nil"/>
              <w:left w:val="nil"/>
              <w:bottom w:val="nil"/>
              <w:right w:val="nil"/>
            </w:tcBorders>
            <w:vAlign w:val="center"/>
          </w:tcPr>
          <w:p w14:paraId="370DAEA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137.1</w:t>
            </w:r>
          </w:p>
        </w:tc>
        <w:tc>
          <w:tcPr>
            <w:tcW w:w="1191" w:type="dxa"/>
            <w:tcBorders>
              <w:top w:val="nil"/>
              <w:left w:val="nil"/>
              <w:bottom w:val="nil"/>
              <w:right w:val="nil"/>
            </w:tcBorders>
            <w:vAlign w:val="center"/>
          </w:tcPr>
          <w:p w14:paraId="22F1A18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288.6</w:t>
            </w:r>
          </w:p>
        </w:tc>
        <w:tc>
          <w:tcPr>
            <w:tcW w:w="1191" w:type="dxa"/>
            <w:tcBorders>
              <w:top w:val="nil"/>
              <w:left w:val="nil"/>
              <w:bottom w:val="nil"/>
              <w:right w:val="nil"/>
            </w:tcBorders>
            <w:vAlign w:val="center"/>
          </w:tcPr>
          <w:p w14:paraId="2ACF34C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616.5</w:t>
            </w:r>
          </w:p>
        </w:tc>
      </w:tr>
      <w:tr w:rsidR="00756913" w:rsidRPr="00756913" w14:paraId="1F84B00A" w14:textId="77777777">
        <w:tblPrEx>
          <w:tblCellMar>
            <w:top w:w="0" w:type="dxa"/>
            <w:bottom w:w="0" w:type="dxa"/>
          </w:tblCellMar>
        </w:tblPrEx>
        <w:trPr>
          <w:trHeight w:val="268"/>
        </w:trPr>
        <w:tc>
          <w:tcPr>
            <w:tcW w:w="3061" w:type="dxa"/>
            <w:tcBorders>
              <w:top w:val="nil"/>
              <w:left w:val="nil"/>
              <w:bottom w:val="nil"/>
              <w:right w:val="nil"/>
            </w:tcBorders>
            <w:vAlign w:val="center"/>
          </w:tcPr>
          <w:p w14:paraId="2F4E2F9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sz w:val="18"/>
                <w:szCs w:val="18"/>
                <w14:ligatures w14:val="standardContextual"/>
              </w:rPr>
              <w:t>Additions</w:t>
            </w:r>
          </w:p>
        </w:tc>
        <w:tc>
          <w:tcPr>
            <w:tcW w:w="1191" w:type="dxa"/>
            <w:tcBorders>
              <w:top w:val="nil"/>
              <w:left w:val="nil"/>
              <w:bottom w:val="single" w:sz="4" w:space="0" w:color="auto"/>
              <w:right w:val="nil"/>
            </w:tcBorders>
            <w:vAlign w:val="center"/>
          </w:tcPr>
          <w:p w14:paraId="6585BDD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247" w:type="dxa"/>
            <w:tcBorders>
              <w:top w:val="nil"/>
              <w:left w:val="nil"/>
              <w:bottom w:val="single" w:sz="4" w:space="0" w:color="auto"/>
              <w:right w:val="nil"/>
            </w:tcBorders>
            <w:vAlign w:val="center"/>
          </w:tcPr>
          <w:p w14:paraId="56D04A6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91" w:type="dxa"/>
            <w:tcBorders>
              <w:top w:val="nil"/>
              <w:left w:val="nil"/>
              <w:bottom w:val="single" w:sz="4" w:space="0" w:color="auto"/>
              <w:right w:val="nil"/>
            </w:tcBorders>
            <w:vAlign w:val="center"/>
          </w:tcPr>
          <w:p w14:paraId="0FC329D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5.6</w:t>
            </w:r>
          </w:p>
        </w:tc>
        <w:tc>
          <w:tcPr>
            <w:tcW w:w="1191" w:type="dxa"/>
            <w:tcBorders>
              <w:top w:val="nil"/>
              <w:left w:val="nil"/>
              <w:bottom w:val="single" w:sz="4" w:space="0" w:color="auto"/>
              <w:right w:val="nil"/>
            </w:tcBorders>
            <w:vAlign w:val="center"/>
          </w:tcPr>
          <w:p w14:paraId="4D28B71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91" w:type="dxa"/>
            <w:tcBorders>
              <w:top w:val="nil"/>
              <w:left w:val="nil"/>
              <w:bottom w:val="single" w:sz="4" w:space="0" w:color="auto"/>
              <w:right w:val="nil"/>
            </w:tcBorders>
            <w:vAlign w:val="center"/>
          </w:tcPr>
          <w:p w14:paraId="2E0561C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5.6</w:t>
            </w:r>
          </w:p>
        </w:tc>
      </w:tr>
      <w:tr w:rsidR="00756913" w:rsidRPr="00756913" w14:paraId="0A20222E" w14:textId="77777777">
        <w:tblPrEx>
          <w:tblCellMar>
            <w:top w:w="0" w:type="dxa"/>
            <w:bottom w:w="0" w:type="dxa"/>
          </w:tblCellMar>
        </w:tblPrEx>
        <w:trPr>
          <w:trHeight w:val="268"/>
        </w:trPr>
        <w:tc>
          <w:tcPr>
            <w:tcW w:w="3061" w:type="dxa"/>
            <w:tcBorders>
              <w:top w:val="nil"/>
              <w:left w:val="nil"/>
              <w:bottom w:val="nil"/>
              <w:right w:val="nil"/>
            </w:tcBorders>
            <w:vAlign w:val="center"/>
          </w:tcPr>
          <w:p w14:paraId="4062319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sz w:val="18"/>
                <w:szCs w:val="18"/>
                <w14:ligatures w14:val="standardContextual"/>
              </w:rPr>
              <w:t>At 30 June 2023</w:t>
            </w:r>
          </w:p>
        </w:tc>
        <w:tc>
          <w:tcPr>
            <w:tcW w:w="1191" w:type="dxa"/>
            <w:tcBorders>
              <w:top w:val="single" w:sz="4" w:space="0" w:color="auto"/>
              <w:left w:val="nil"/>
              <w:bottom w:val="single" w:sz="4" w:space="0" w:color="auto"/>
              <w:right w:val="nil"/>
            </w:tcBorders>
            <w:vAlign w:val="center"/>
          </w:tcPr>
          <w:p w14:paraId="121481E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u w:val="single"/>
                <w14:ligatures w14:val="standardContextual"/>
              </w:rPr>
            </w:pPr>
            <w:r w:rsidRPr="00756913">
              <w:rPr>
                <w:rFonts w:ascii="Arial" w:hAnsi="Arial" w:cs="Arial"/>
                <w:sz w:val="18"/>
                <w:szCs w:val="18"/>
                <w14:ligatures w14:val="standardContextual"/>
              </w:rPr>
              <w:t>169.6</w:t>
            </w:r>
          </w:p>
        </w:tc>
        <w:tc>
          <w:tcPr>
            <w:tcW w:w="1247" w:type="dxa"/>
            <w:tcBorders>
              <w:top w:val="single" w:sz="4" w:space="0" w:color="auto"/>
              <w:left w:val="nil"/>
              <w:bottom w:val="single" w:sz="4" w:space="0" w:color="auto"/>
              <w:right w:val="nil"/>
            </w:tcBorders>
            <w:vAlign w:val="center"/>
          </w:tcPr>
          <w:p w14:paraId="37C79EC2"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u w:val="single"/>
                <w14:ligatures w14:val="standardContextual"/>
              </w:rPr>
            </w:pPr>
            <w:r w:rsidRPr="00756913">
              <w:rPr>
                <w:rFonts w:ascii="Arial" w:hAnsi="Arial" w:cs="Arial"/>
                <w:sz w:val="18"/>
                <w:szCs w:val="18"/>
                <w14:ligatures w14:val="standardContextual"/>
              </w:rPr>
              <w:t>21.2</w:t>
            </w:r>
          </w:p>
        </w:tc>
        <w:tc>
          <w:tcPr>
            <w:tcW w:w="1191" w:type="dxa"/>
            <w:tcBorders>
              <w:top w:val="single" w:sz="4" w:space="0" w:color="auto"/>
              <w:left w:val="nil"/>
              <w:bottom w:val="single" w:sz="4" w:space="0" w:color="auto"/>
              <w:right w:val="nil"/>
            </w:tcBorders>
            <w:vAlign w:val="center"/>
          </w:tcPr>
          <w:p w14:paraId="0022424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u w:val="single"/>
                <w14:ligatures w14:val="standardContextual"/>
              </w:rPr>
            </w:pPr>
            <w:r w:rsidRPr="00756913">
              <w:rPr>
                <w:rFonts w:ascii="Arial" w:hAnsi="Arial" w:cs="Arial"/>
                <w:sz w:val="18"/>
                <w:szCs w:val="18"/>
                <w14:ligatures w14:val="standardContextual"/>
              </w:rPr>
              <w:t>142.7</w:t>
            </w:r>
          </w:p>
        </w:tc>
        <w:tc>
          <w:tcPr>
            <w:tcW w:w="1191" w:type="dxa"/>
            <w:tcBorders>
              <w:top w:val="single" w:sz="4" w:space="0" w:color="auto"/>
              <w:left w:val="nil"/>
              <w:bottom w:val="single" w:sz="4" w:space="0" w:color="auto"/>
              <w:right w:val="nil"/>
            </w:tcBorders>
            <w:vAlign w:val="center"/>
          </w:tcPr>
          <w:p w14:paraId="3D559AC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u w:val="single"/>
                <w14:ligatures w14:val="standardContextual"/>
              </w:rPr>
            </w:pPr>
            <w:r w:rsidRPr="00756913">
              <w:rPr>
                <w:rFonts w:ascii="Arial" w:hAnsi="Arial" w:cs="Arial"/>
                <w:sz w:val="18"/>
                <w:szCs w:val="18"/>
                <w14:ligatures w14:val="standardContextual"/>
              </w:rPr>
              <w:t>288.6</w:t>
            </w:r>
          </w:p>
        </w:tc>
        <w:tc>
          <w:tcPr>
            <w:tcW w:w="1191" w:type="dxa"/>
            <w:tcBorders>
              <w:top w:val="single" w:sz="4" w:space="0" w:color="auto"/>
              <w:left w:val="nil"/>
              <w:bottom w:val="single" w:sz="4" w:space="0" w:color="auto"/>
              <w:right w:val="nil"/>
            </w:tcBorders>
            <w:vAlign w:val="center"/>
          </w:tcPr>
          <w:p w14:paraId="181F76E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u w:val="single"/>
                <w14:ligatures w14:val="standardContextual"/>
              </w:rPr>
            </w:pPr>
            <w:r w:rsidRPr="00756913">
              <w:rPr>
                <w:rFonts w:ascii="Arial" w:hAnsi="Arial" w:cs="Arial"/>
                <w:sz w:val="18"/>
                <w:szCs w:val="18"/>
                <w14:ligatures w14:val="standardContextual"/>
              </w:rPr>
              <w:t>622.1</w:t>
            </w:r>
          </w:p>
        </w:tc>
      </w:tr>
      <w:tr w:rsidR="00756913" w:rsidRPr="00756913" w14:paraId="29540EC4" w14:textId="77777777">
        <w:tblPrEx>
          <w:tblCellMar>
            <w:top w:w="0" w:type="dxa"/>
            <w:bottom w:w="0" w:type="dxa"/>
          </w:tblCellMar>
        </w:tblPrEx>
        <w:trPr>
          <w:trHeight w:val="284"/>
        </w:trPr>
        <w:tc>
          <w:tcPr>
            <w:tcW w:w="3061" w:type="dxa"/>
            <w:tcBorders>
              <w:top w:val="nil"/>
              <w:left w:val="nil"/>
              <w:bottom w:val="nil"/>
              <w:right w:val="nil"/>
            </w:tcBorders>
            <w:vAlign w:val="center"/>
          </w:tcPr>
          <w:p w14:paraId="0DCBF809"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p>
        </w:tc>
        <w:tc>
          <w:tcPr>
            <w:tcW w:w="1191" w:type="dxa"/>
            <w:tcBorders>
              <w:top w:val="single" w:sz="4" w:space="0" w:color="auto"/>
              <w:left w:val="nil"/>
              <w:bottom w:val="nil"/>
              <w:right w:val="nil"/>
            </w:tcBorders>
            <w:vAlign w:val="center"/>
          </w:tcPr>
          <w:p w14:paraId="64F7230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247" w:type="dxa"/>
            <w:tcBorders>
              <w:top w:val="single" w:sz="4" w:space="0" w:color="auto"/>
              <w:left w:val="nil"/>
              <w:bottom w:val="nil"/>
              <w:right w:val="nil"/>
            </w:tcBorders>
            <w:vAlign w:val="center"/>
          </w:tcPr>
          <w:p w14:paraId="7807680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single" w:sz="4" w:space="0" w:color="auto"/>
              <w:left w:val="nil"/>
              <w:bottom w:val="nil"/>
              <w:right w:val="nil"/>
            </w:tcBorders>
            <w:vAlign w:val="center"/>
          </w:tcPr>
          <w:p w14:paraId="4F2EE65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single" w:sz="4" w:space="0" w:color="auto"/>
              <w:left w:val="nil"/>
              <w:bottom w:val="nil"/>
              <w:right w:val="nil"/>
            </w:tcBorders>
            <w:vAlign w:val="center"/>
          </w:tcPr>
          <w:p w14:paraId="5547F6D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single" w:sz="4" w:space="0" w:color="auto"/>
              <w:left w:val="nil"/>
              <w:bottom w:val="nil"/>
              <w:right w:val="nil"/>
            </w:tcBorders>
            <w:vAlign w:val="center"/>
          </w:tcPr>
          <w:p w14:paraId="44D48DE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690C2791" w14:textId="77777777">
        <w:tblPrEx>
          <w:tblCellMar>
            <w:top w:w="0" w:type="dxa"/>
            <w:bottom w:w="0" w:type="dxa"/>
          </w:tblCellMar>
        </w:tblPrEx>
        <w:trPr>
          <w:trHeight w:val="268"/>
        </w:trPr>
        <w:tc>
          <w:tcPr>
            <w:tcW w:w="3061" w:type="dxa"/>
            <w:tcBorders>
              <w:top w:val="nil"/>
              <w:left w:val="nil"/>
              <w:bottom w:val="nil"/>
              <w:right w:val="nil"/>
            </w:tcBorders>
            <w:vAlign w:val="center"/>
          </w:tcPr>
          <w:p w14:paraId="18C72BC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b/>
                <w:bCs/>
                <w:i/>
                <w:iCs/>
                <w:sz w:val="18"/>
                <w:szCs w:val="18"/>
                <w14:ligatures w14:val="standardContextual"/>
              </w:rPr>
              <w:t>Amortisation</w:t>
            </w:r>
          </w:p>
        </w:tc>
        <w:tc>
          <w:tcPr>
            <w:tcW w:w="1191" w:type="dxa"/>
            <w:tcBorders>
              <w:top w:val="nil"/>
              <w:left w:val="nil"/>
              <w:bottom w:val="nil"/>
              <w:right w:val="nil"/>
            </w:tcBorders>
            <w:vAlign w:val="center"/>
          </w:tcPr>
          <w:p w14:paraId="2BE6479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247" w:type="dxa"/>
            <w:tcBorders>
              <w:top w:val="nil"/>
              <w:left w:val="nil"/>
              <w:bottom w:val="nil"/>
              <w:right w:val="nil"/>
            </w:tcBorders>
            <w:vAlign w:val="center"/>
          </w:tcPr>
          <w:p w14:paraId="3C54E902"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nil"/>
              <w:left w:val="nil"/>
              <w:bottom w:val="nil"/>
              <w:right w:val="nil"/>
            </w:tcBorders>
            <w:vAlign w:val="center"/>
          </w:tcPr>
          <w:p w14:paraId="207BCF5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nil"/>
              <w:left w:val="nil"/>
              <w:bottom w:val="nil"/>
              <w:right w:val="nil"/>
            </w:tcBorders>
            <w:vAlign w:val="center"/>
          </w:tcPr>
          <w:p w14:paraId="48CD04E2"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nil"/>
              <w:left w:val="nil"/>
              <w:bottom w:val="nil"/>
              <w:right w:val="nil"/>
            </w:tcBorders>
            <w:vAlign w:val="center"/>
          </w:tcPr>
          <w:p w14:paraId="7C411D4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54ED4F13" w14:textId="77777777">
        <w:tblPrEx>
          <w:tblCellMar>
            <w:top w:w="0" w:type="dxa"/>
            <w:bottom w:w="0" w:type="dxa"/>
          </w:tblCellMar>
        </w:tblPrEx>
        <w:trPr>
          <w:trHeight w:val="268"/>
        </w:trPr>
        <w:tc>
          <w:tcPr>
            <w:tcW w:w="3061" w:type="dxa"/>
            <w:tcBorders>
              <w:top w:val="nil"/>
              <w:left w:val="nil"/>
              <w:bottom w:val="nil"/>
              <w:right w:val="nil"/>
            </w:tcBorders>
            <w:vAlign w:val="center"/>
          </w:tcPr>
          <w:p w14:paraId="1256E7A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sz w:val="18"/>
                <w:szCs w:val="18"/>
                <w14:ligatures w14:val="standardContextual"/>
              </w:rPr>
              <w:t>At 1 January 2023</w:t>
            </w:r>
          </w:p>
        </w:tc>
        <w:tc>
          <w:tcPr>
            <w:tcW w:w="1191" w:type="dxa"/>
            <w:tcBorders>
              <w:top w:val="nil"/>
              <w:left w:val="nil"/>
              <w:bottom w:val="nil"/>
              <w:right w:val="nil"/>
            </w:tcBorders>
            <w:vAlign w:val="center"/>
          </w:tcPr>
          <w:p w14:paraId="2B02B74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153.3</w:t>
            </w:r>
          </w:p>
        </w:tc>
        <w:tc>
          <w:tcPr>
            <w:tcW w:w="1247" w:type="dxa"/>
            <w:tcBorders>
              <w:top w:val="nil"/>
              <w:left w:val="nil"/>
              <w:bottom w:val="nil"/>
              <w:right w:val="nil"/>
            </w:tcBorders>
            <w:vAlign w:val="center"/>
          </w:tcPr>
          <w:p w14:paraId="223F14E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2.5</w:t>
            </w:r>
          </w:p>
        </w:tc>
        <w:tc>
          <w:tcPr>
            <w:tcW w:w="1191" w:type="dxa"/>
            <w:tcBorders>
              <w:top w:val="nil"/>
              <w:left w:val="nil"/>
              <w:bottom w:val="nil"/>
              <w:right w:val="nil"/>
            </w:tcBorders>
            <w:vAlign w:val="center"/>
          </w:tcPr>
          <w:p w14:paraId="691205D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106.5</w:t>
            </w:r>
          </w:p>
        </w:tc>
        <w:tc>
          <w:tcPr>
            <w:tcW w:w="1191" w:type="dxa"/>
            <w:tcBorders>
              <w:top w:val="nil"/>
              <w:left w:val="nil"/>
              <w:bottom w:val="nil"/>
              <w:right w:val="nil"/>
            </w:tcBorders>
            <w:vAlign w:val="center"/>
          </w:tcPr>
          <w:p w14:paraId="7377B33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74.3</w:t>
            </w:r>
          </w:p>
        </w:tc>
        <w:tc>
          <w:tcPr>
            <w:tcW w:w="1191" w:type="dxa"/>
            <w:tcBorders>
              <w:top w:val="nil"/>
              <w:left w:val="nil"/>
              <w:bottom w:val="nil"/>
              <w:right w:val="nil"/>
            </w:tcBorders>
            <w:vAlign w:val="center"/>
          </w:tcPr>
          <w:p w14:paraId="5224480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336.6</w:t>
            </w:r>
          </w:p>
        </w:tc>
      </w:tr>
      <w:tr w:rsidR="00756913" w:rsidRPr="00756913" w14:paraId="7C8B547C" w14:textId="77777777">
        <w:tblPrEx>
          <w:tblCellMar>
            <w:top w:w="0" w:type="dxa"/>
            <w:bottom w:w="0" w:type="dxa"/>
          </w:tblCellMar>
        </w:tblPrEx>
        <w:trPr>
          <w:trHeight w:val="284"/>
        </w:trPr>
        <w:tc>
          <w:tcPr>
            <w:tcW w:w="3061" w:type="dxa"/>
            <w:tcBorders>
              <w:top w:val="nil"/>
              <w:left w:val="nil"/>
              <w:bottom w:val="nil"/>
              <w:right w:val="nil"/>
            </w:tcBorders>
            <w:vAlign w:val="center"/>
          </w:tcPr>
          <w:p w14:paraId="2EFF6DC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Charge for the period</w:t>
            </w:r>
          </w:p>
        </w:tc>
        <w:tc>
          <w:tcPr>
            <w:tcW w:w="1191" w:type="dxa"/>
            <w:tcBorders>
              <w:top w:val="nil"/>
              <w:left w:val="nil"/>
              <w:bottom w:val="single" w:sz="4" w:space="0" w:color="auto"/>
              <w:right w:val="nil"/>
            </w:tcBorders>
            <w:vAlign w:val="center"/>
          </w:tcPr>
          <w:p w14:paraId="18228DD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1.0</w:t>
            </w:r>
          </w:p>
        </w:tc>
        <w:tc>
          <w:tcPr>
            <w:tcW w:w="1247" w:type="dxa"/>
            <w:tcBorders>
              <w:top w:val="nil"/>
              <w:left w:val="nil"/>
              <w:bottom w:val="single" w:sz="4" w:space="0" w:color="auto"/>
              <w:right w:val="nil"/>
            </w:tcBorders>
            <w:vAlign w:val="center"/>
          </w:tcPr>
          <w:p w14:paraId="00A8F75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1.1</w:t>
            </w:r>
          </w:p>
        </w:tc>
        <w:tc>
          <w:tcPr>
            <w:tcW w:w="1191" w:type="dxa"/>
            <w:tcBorders>
              <w:top w:val="nil"/>
              <w:left w:val="nil"/>
              <w:bottom w:val="single" w:sz="4" w:space="0" w:color="auto"/>
              <w:right w:val="nil"/>
            </w:tcBorders>
            <w:vAlign w:val="center"/>
          </w:tcPr>
          <w:p w14:paraId="6D262E0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7.8</w:t>
            </w:r>
          </w:p>
        </w:tc>
        <w:tc>
          <w:tcPr>
            <w:tcW w:w="1191" w:type="dxa"/>
            <w:tcBorders>
              <w:top w:val="nil"/>
              <w:left w:val="nil"/>
              <w:bottom w:val="single" w:sz="4" w:space="0" w:color="auto"/>
              <w:right w:val="nil"/>
            </w:tcBorders>
            <w:vAlign w:val="center"/>
          </w:tcPr>
          <w:p w14:paraId="6CBFD54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91" w:type="dxa"/>
            <w:tcBorders>
              <w:top w:val="nil"/>
              <w:left w:val="nil"/>
              <w:bottom w:val="single" w:sz="4" w:space="0" w:color="auto"/>
              <w:right w:val="nil"/>
            </w:tcBorders>
            <w:vAlign w:val="center"/>
          </w:tcPr>
          <w:p w14:paraId="1666B06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9.9</w:t>
            </w:r>
          </w:p>
        </w:tc>
      </w:tr>
      <w:tr w:rsidR="00756913" w:rsidRPr="00756913" w14:paraId="56CCB55E" w14:textId="77777777">
        <w:tblPrEx>
          <w:tblCellMar>
            <w:top w:w="0" w:type="dxa"/>
            <w:bottom w:w="0" w:type="dxa"/>
          </w:tblCellMar>
        </w:tblPrEx>
        <w:trPr>
          <w:trHeight w:val="268"/>
        </w:trPr>
        <w:tc>
          <w:tcPr>
            <w:tcW w:w="3061" w:type="dxa"/>
            <w:tcBorders>
              <w:top w:val="nil"/>
              <w:left w:val="nil"/>
              <w:bottom w:val="nil"/>
              <w:right w:val="nil"/>
            </w:tcBorders>
            <w:vAlign w:val="center"/>
          </w:tcPr>
          <w:p w14:paraId="083501C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sz w:val="18"/>
                <w:szCs w:val="18"/>
                <w14:ligatures w14:val="standardContextual"/>
              </w:rPr>
              <w:t>At 30 June 2023</w:t>
            </w:r>
          </w:p>
        </w:tc>
        <w:tc>
          <w:tcPr>
            <w:tcW w:w="1191" w:type="dxa"/>
            <w:tcBorders>
              <w:top w:val="single" w:sz="4" w:space="0" w:color="auto"/>
              <w:left w:val="nil"/>
              <w:bottom w:val="single" w:sz="4" w:space="0" w:color="auto"/>
              <w:right w:val="nil"/>
            </w:tcBorders>
            <w:vAlign w:val="center"/>
          </w:tcPr>
          <w:p w14:paraId="7492C68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154.3</w:t>
            </w:r>
          </w:p>
        </w:tc>
        <w:tc>
          <w:tcPr>
            <w:tcW w:w="1247" w:type="dxa"/>
            <w:tcBorders>
              <w:top w:val="single" w:sz="4" w:space="0" w:color="auto"/>
              <w:left w:val="nil"/>
              <w:bottom w:val="single" w:sz="4" w:space="0" w:color="auto"/>
              <w:right w:val="nil"/>
            </w:tcBorders>
            <w:vAlign w:val="center"/>
          </w:tcPr>
          <w:p w14:paraId="3DD7E81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3.6</w:t>
            </w:r>
          </w:p>
        </w:tc>
        <w:tc>
          <w:tcPr>
            <w:tcW w:w="1191" w:type="dxa"/>
            <w:tcBorders>
              <w:top w:val="single" w:sz="4" w:space="0" w:color="auto"/>
              <w:left w:val="nil"/>
              <w:bottom w:val="single" w:sz="4" w:space="0" w:color="auto"/>
              <w:right w:val="nil"/>
            </w:tcBorders>
            <w:vAlign w:val="center"/>
          </w:tcPr>
          <w:p w14:paraId="1EEF7E5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114.3</w:t>
            </w:r>
          </w:p>
        </w:tc>
        <w:tc>
          <w:tcPr>
            <w:tcW w:w="1191" w:type="dxa"/>
            <w:tcBorders>
              <w:top w:val="single" w:sz="4" w:space="0" w:color="auto"/>
              <w:left w:val="nil"/>
              <w:bottom w:val="single" w:sz="4" w:space="0" w:color="auto"/>
              <w:right w:val="nil"/>
            </w:tcBorders>
            <w:vAlign w:val="center"/>
          </w:tcPr>
          <w:p w14:paraId="64CDB99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74.3</w:t>
            </w:r>
          </w:p>
        </w:tc>
        <w:tc>
          <w:tcPr>
            <w:tcW w:w="1191" w:type="dxa"/>
            <w:tcBorders>
              <w:top w:val="single" w:sz="4" w:space="0" w:color="auto"/>
              <w:left w:val="nil"/>
              <w:bottom w:val="single" w:sz="4" w:space="0" w:color="auto"/>
              <w:right w:val="nil"/>
            </w:tcBorders>
            <w:vAlign w:val="center"/>
          </w:tcPr>
          <w:p w14:paraId="43560A0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346.5</w:t>
            </w:r>
          </w:p>
        </w:tc>
      </w:tr>
      <w:tr w:rsidR="00756913" w:rsidRPr="00756913" w14:paraId="7BB1038C" w14:textId="77777777">
        <w:tblPrEx>
          <w:tblCellMar>
            <w:top w:w="0" w:type="dxa"/>
            <w:bottom w:w="0" w:type="dxa"/>
          </w:tblCellMar>
        </w:tblPrEx>
        <w:trPr>
          <w:trHeight w:val="268"/>
        </w:trPr>
        <w:tc>
          <w:tcPr>
            <w:tcW w:w="3061" w:type="dxa"/>
            <w:tcBorders>
              <w:top w:val="nil"/>
              <w:left w:val="nil"/>
              <w:bottom w:val="nil"/>
              <w:right w:val="nil"/>
            </w:tcBorders>
            <w:vAlign w:val="center"/>
          </w:tcPr>
          <w:p w14:paraId="0656C1C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p>
        </w:tc>
        <w:tc>
          <w:tcPr>
            <w:tcW w:w="1191" w:type="dxa"/>
            <w:tcBorders>
              <w:top w:val="single" w:sz="4" w:space="0" w:color="auto"/>
              <w:left w:val="nil"/>
              <w:bottom w:val="nil"/>
              <w:right w:val="nil"/>
            </w:tcBorders>
            <w:vAlign w:val="center"/>
          </w:tcPr>
          <w:p w14:paraId="49548E9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247" w:type="dxa"/>
            <w:tcBorders>
              <w:top w:val="single" w:sz="4" w:space="0" w:color="auto"/>
              <w:left w:val="nil"/>
              <w:bottom w:val="nil"/>
              <w:right w:val="nil"/>
            </w:tcBorders>
            <w:vAlign w:val="center"/>
          </w:tcPr>
          <w:p w14:paraId="4BEFF40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single" w:sz="4" w:space="0" w:color="auto"/>
              <w:left w:val="nil"/>
              <w:bottom w:val="nil"/>
              <w:right w:val="nil"/>
            </w:tcBorders>
            <w:vAlign w:val="center"/>
          </w:tcPr>
          <w:p w14:paraId="4F7185F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single" w:sz="4" w:space="0" w:color="auto"/>
              <w:left w:val="nil"/>
              <w:bottom w:val="nil"/>
              <w:right w:val="nil"/>
            </w:tcBorders>
            <w:vAlign w:val="center"/>
          </w:tcPr>
          <w:p w14:paraId="512D0AE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single" w:sz="4" w:space="0" w:color="auto"/>
              <w:left w:val="nil"/>
              <w:bottom w:val="nil"/>
              <w:right w:val="nil"/>
            </w:tcBorders>
            <w:vAlign w:val="center"/>
          </w:tcPr>
          <w:p w14:paraId="4808264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67EA8FAB" w14:textId="77777777">
        <w:tblPrEx>
          <w:tblCellMar>
            <w:top w:w="0" w:type="dxa"/>
            <w:bottom w:w="0" w:type="dxa"/>
          </w:tblCellMar>
        </w:tblPrEx>
        <w:trPr>
          <w:trHeight w:val="284"/>
        </w:trPr>
        <w:tc>
          <w:tcPr>
            <w:tcW w:w="3061" w:type="dxa"/>
            <w:tcBorders>
              <w:top w:val="nil"/>
              <w:left w:val="nil"/>
              <w:bottom w:val="nil"/>
              <w:right w:val="nil"/>
            </w:tcBorders>
            <w:vAlign w:val="center"/>
          </w:tcPr>
          <w:p w14:paraId="50E213E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b/>
                <w:bCs/>
                <w:i/>
                <w:iCs/>
                <w:sz w:val="18"/>
                <w:szCs w:val="18"/>
                <w14:ligatures w14:val="standardContextual"/>
              </w:rPr>
              <w:t>Carrying value</w:t>
            </w:r>
          </w:p>
        </w:tc>
        <w:tc>
          <w:tcPr>
            <w:tcW w:w="1191" w:type="dxa"/>
            <w:tcBorders>
              <w:top w:val="nil"/>
              <w:left w:val="nil"/>
              <w:bottom w:val="nil"/>
              <w:right w:val="nil"/>
            </w:tcBorders>
            <w:vAlign w:val="center"/>
          </w:tcPr>
          <w:p w14:paraId="0C239E4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247" w:type="dxa"/>
            <w:tcBorders>
              <w:top w:val="nil"/>
              <w:left w:val="nil"/>
              <w:bottom w:val="nil"/>
              <w:right w:val="nil"/>
            </w:tcBorders>
            <w:vAlign w:val="center"/>
          </w:tcPr>
          <w:p w14:paraId="4D7AE2B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nil"/>
              <w:left w:val="nil"/>
              <w:bottom w:val="nil"/>
              <w:right w:val="nil"/>
            </w:tcBorders>
            <w:vAlign w:val="center"/>
          </w:tcPr>
          <w:p w14:paraId="7E57EAF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nil"/>
              <w:left w:val="nil"/>
              <w:bottom w:val="nil"/>
              <w:right w:val="nil"/>
            </w:tcBorders>
            <w:vAlign w:val="center"/>
          </w:tcPr>
          <w:p w14:paraId="0DDE85F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nil"/>
              <w:left w:val="nil"/>
              <w:bottom w:val="nil"/>
              <w:right w:val="nil"/>
            </w:tcBorders>
            <w:vAlign w:val="center"/>
          </w:tcPr>
          <w:p w14:paraId="2CC6F67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14E62ADB" w14:textId="77777777">
        <w:tblPrEx>
          <w:tblCellMar>
            <w:top w:w="0" w:type="dxa"/>
            <w:bottom w:w="0" w:type="dxa"/>
          </w:tblCellMar>
        </w:tblPrEx>
        <w:trPr>
          <w:trHeight w:val="268"/>
        </w:trPr>
        <w:tc>
          <w:tcPr>
            <w:tcW w:w="3061" w:type="dxa"/>
            <w:tcBorders>
              <w:top w:val="nil"/>
              <w:left w:val="nil"/>
              <w:bottom w:val="nil"/>
              <w:right w:val="nil"/>
            </w:tcBorders>
            <w:vAlign w:val="center"/>
          </w:tcPr>
          <w:p w14:paraId="2C967BC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sz w:val="18"/>
                <w:szCs w:val="18"/>
                <w14:ligatures w14:val="standardContextual"/>
              </w:rPr>
              <w:t>At 1 January 2023</w:t>
            </w:r>
          </w:p>
        </w:tc>
        <w:tc>
          <w:tcPr>
            <w:tcW w:w="1191" w:type="dxa"/>
            <w:tcBorders>
              <w:top w:val="nil"/>
              <w:left w:val="nil"/>
              <w:bottom w:val="nil"/>
              <w:right w:val="nil"/>
            </w:tcBorders>
          </w:tcPr>
          <w:p w14:paraId="2418116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16.3</w:t>
            </w:r>
          </w:p>
        </w:tc>
        <w:tc>
          <w:tcPr>
            <w:tcW w:w="1247" w:type="dxa"/>
            <w:tcBorders>
              <w:top w:val="nil"/>
              <w:left w:val="nil"/>
              <w:bottom w:val="nil"/>
              <w:right w:val="nil"/>
            </w:tcBorders>
          </w:tcPr>
          <w:p w14:paraId="4A619E6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18.7</w:t>
            </w:r>
          </w:p>
        </w:tc>
        <w:tc>
          <w:tcPr>
            <w:tcW w:w="1191" w:type="dxa"/>
            <w:tcBorders>
              <w:top w:val="nil"/>
              <w:left w:val="nil"/>
              <w:bottom w:val="nil"/>
              <w:right w:val="nil"/>
            </w:tcBorders>
          </w:tcPr>
          <w:p w14:paraId="1E05948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30.6</w:t>
            </w:r>
          </w:p>
        </w:tc>
        <w:tc>
          <w:tcPr>
            <w:tcW w:w="1191" w:type="dxa"/>
            <w:tcBorders>
              <w:top w:val="nil"/>
              <w:left w:val="nil"/>
              <w:bottom w:val="nil"/>
              <w:right w:val="nil"/>
            </w:tcBorders>
          </w:tcPr>
          <w:p w14:paraId="5720D09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214.3</w:t>
            </w:r>
          </w:p>
        </w:tc>
        <w:tc>
          <w:tcPr>
            <w:tcW w:w="1191" w:type="dxa"/>
            <w:tcBorders>
              <w:top w:val="nil"/>
              <w:left w:val="nil"/>
              <w:bottom w:val="nil"/>
              <w:right w:val="nil"/>
            </w:tcBorders>
          </w:tcPr>
          <w:p w14:paraId="20EF3C3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279.9</w:t>
            </w:r>
          </w:p>
        </w:tc>
      </w:tr>
      <w:tr w:rsidR="00756913" w:rsidRPr="00756913" w14:paraId="032606BD" w14:textId="77777777">
        <w:tblPrEx>
          <w:tblCellMar>
            <w:top w:w="0" w:type="dxa"/>
            <w:bottom w:w="0" w:type="dxa"/>
          </w:tblCellMar>
        </w:tblPrEx>
        <w:trPr>
          <w:trHeight w:val="268"/>
        </w:trPr>
        <w:tc>
          <w:tcPr>
            <w:tcW w:w="3061" w:type="dxa"/>
            <w:tcBorders>
              <w:top w:val="nil"/>
              <w:left w:val="nil"/>
              <w:bottom w:val="nil"/>
              <w:right w:val="nil"/>
            </w:tcBorders>
            <w:vAlign w:val="center"/>
          </w:tcPr>
          <w:p w14:paraId="5D06C65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b/>
                <w:bCs/>
                <w:sz w:val="18"/>
                <w:szCs w:val="18"/>
                <w14:ligatures w14:val="standardContextual"/>
              </w:rPr>
              <w:t>At 30 June 2023</w:t>
            </w:r>
          </w:p>
        </w:tc>
        <w:tc>
          <w:tcPr>
            <w:tcW w:w="1191" w:type="dxa"/>
            <w:tcBorders>
              <w:top w:val="nil"/>
              <w:left w:val="nil"/>
              <w:bottom w:val="single" w:sz="4" w:space="0" w:color="auto"/>
              <w:right w:val="nil"/>
            </w:tcBorders>
          </w:tcPr>
          <w:p w14:paraId="67F4971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15.3</w:t>
            </w:r>
          </w:p>
        </w:tc>
        <w:tc>
          <w:tcPr>
            <w:tcW w:w="1247" w:type="dxa"/>
            <w:tcBorders>
              <w:top w:val="nil"/>
              <w:left w:val="nil"/>
              <w:bottom w:val="single" w:sz="4" w:space="0" w:color="auto"/>
              <w:right w:val="nil"/>
            </w:tcBorders>
          </w:tcPr>
          <w:p w14:paraId="2D55BEED" w14:textId="77777777" w:rsidR="00756913" w:rsidRPr="00756913" w:rsidRDefault="00756913" w:rsidP="00756913">
            <w:pPr>
              <w:tabs>
                <w:tab w:val="decimal" w:pos="1134"/>
              </w:tabs>
              <w:autoSpaceDE w:val="0"/>
              <w:autoSpaceDN w:val="0"/>
              <w:adjustRightInd w:val="0"/>
              <w:spacing w:after="0" w:line="240" w:lineRule="auto"/>
              <w:ind w:left="-77"/>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17.6</w:t>
            </w:r>
          </w:p>
        </w:tc>
        <w:tc>
          <w:tcPr>
            <w:tcW w:w="1191" w:type="dxa"/>
            <w:tcBorders>
              <w:top w:val="nil"/>
              <w:left w:val="nil"/>
              <w:bottom w:val="single" w:sz="4" w:space="0" w:color="auto"/>
              <w:right w:val="nil"/>
            </w:tcBorders>
          </w:tcPr>
          <w:p w14:paraId="4D8A54F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28.4</w:t>
            </w:r>
          </w:p>
        </w:tc>
        <w:tc>
          <w:tcPr>
            <w:tcW w:w="1191" w:type="dxa"/>
            <w:tcBorders>
              <w:top w:val="nil"/>
              <w:left w:val="nil"/>
              <w:bottom w:val="single" w:sz="4" w:space="0" w:color="auto"/>
              <w:right w:val="nil"/>
            </w:tcBorders>
          </w:tcPr>
          <w:p w14:paraId="4EE9D9B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214.3</w:t>
            </w:r>
          </w:p>
        </w:tc>
        <w:tc>
          <w:tcPr>
            <w:tcW w:w="1191" w:type="dxa"/>
            <w:tcBorders>
              <w:top w:val="nil"/>
              <w:left w:val="nil"/>
              <w:bottom w:val="single" w:sz="4" w:space="0" w:color="auto"/>
              <w:right w:val="nil"/>
            </w:tcBorders>
          </w:tcPr>
          <w:p w14:paraId="7C527A2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275.6</w:t>
            </w:r>
          </w:p>
        </w:tc>
      </w:tr>
      <w:tr w:rsidR="00756913" w:rsidRPr="00756913" w14:paraId="4087D567" w14:textId="77777777">
        <w:tblPrEx>
          <w:tblCellMar>
            <w:top w:w="0" w:type="dxa"/>
            <w:bottom w:w="0" w:type="dxa"/>
          </w:tblCellMar>
        </w:tblPrEx>
        <w:trPr>
          <w:trHeight w:val="284"/>
        </w:trPr>
        <w:tc>
          <w:tcPr>
            <w:tcW w:w="3061" w:type="dxa"/>
            <w:tcBorders>
              <w:top w:val="nil"/>
              <w:left w:val="nil"/>
              <w:bottom w:val="nil"/>
              <w:right w:val="nil"/>
            </w:tcBorders>
            <w:vAlign w:val="center"/>
          </w:tcPr>
          <w:p w14:paraId="64DD33D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p>
        </w:tc>
        <w:tc>
          <w:tcPr>
            <w:tcW w:w="1191" w:type="dxa"/>
            <w:tcBorders>
              <w:top w:val="single" w:sz="4" w:space="0" w:color="auto"/>
              <w:left w:val="nil"/>
              <w:bottom w:val="nil"/>
              <w:right w:val="nil"/>
            </w:tcBorders>
            <w:vAlign w:val="center"/>
          </w:tcPr>
          <w:p w14:paraId="151A74E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247" w:type="dxa"/>
            <w:tcBorders>
              <w:top w:val="single" w:sz="4" w:space="0" w:color="auto"/>
              <w:left w:val="nil"/>
              <w:bottom w:val="nil"/>
              <w:right w:val="nil"/>
            </w:tcBorders>
            <w:vAlign w:val="center"/>
          </w:tcPr>
          <w:p w14:paraId="3303C2C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single" w:sz="4" w:space="0" w:color="auto"/>
              <w:left w:val="nil"/>
              <w:bottom w:val="nil"/>
              <w:right w:val="nil"/>
            </w:tcBorders>
            <w:vAlign w:val="center"/>
          </w:tcPr>
          <w:p w14:paraId="3254CFC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single" w:sz="4" w:space="0" w:color="auto"/>
              <w:left w:val="nil"/>
              <w:bottom w:val="nil"/>
              <w:right w:val="nil"/>
            </w:tcBorders>
            <w:vAlign w:val="center"/>
          </w:tcPr>
          <w:p w14:paraId="7AB3933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single" w:sz="4" w:space="0" w:color="auto"/>
              <w:left w:val="nil"/>
              <w:bottom w:val="nil"/>
              <w:right w:val="nil"/>
            </w:tcBorders>
            <w:vAlign w:val="center"/>
          </w:tcPr>
          <w:p w14:paraId="5624100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r>
      <w:tr w:rsidR="00756913" w:rsidRPr="00756913" w14:paraId="4CB4079C" w14:textId="77777777">
        <w:tblPrEx>
          <w:tblCellMar>
            <w:top w:w="0" w:type="dxa"/>
            <w:bottom w:w="0" w:type="dxa"/>
          </w:tblCellMar>
        </w:tblPrEx>
        <w:trPr>
          <w:trHeight w:val="284"/>
        </w:trPr>
        <w:tc>
          <w:tcPr>
            <w:tcW w:w="3061" w:type="dxa"/>
            <w:tcBorders>
              <w:top w:val="nil"/>
              <w:left w:val="nil"/>
              <w:bottom w:val="nil"/>
              <w:right w:val="nil"/>
            </w:tcBorders>
            <w:vAlign w:val="center"/>
          </w:tcPr>
          <w:p w14:paraId="3612A9B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p>
        </w:tc>
        <w:tc>
          <w:tcPr>
            <w:tcW w:w="1191" w:type="dxa"/>
            <w:tcBorders>
              <w:top w:val="nil"/>
              <w:left w:val="nil"/>
              <w:bottom w:val="nil"/>
              <w:right w:val="nil"/>
            </w:tcBorders>
            <w:vAlign w:val="center"/>
          </w:tcPr>
          <w:p w14:paraId="0506588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247" w:type="dxa"/>
            <w:tcBorders>
              <w:top w:val="nil"/>
              <w:left w:val="nil"/>
              <w:bottom w:val="nil"/>
              <w:right w:val="nil"/>
            </w:tcBorders>
            <w:vAlign w:val="center"/>
          </w:tcPr>
          <w:p w14:paraId="5F800F7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4EDDED7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32EBF90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21BC37C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r>
      <w:tr w:rsidR="00756913" w:rsidRPr="00756913" w14:paraId="29FB27C8" w14:textId="77777777">
        <w:tblPrEx>
          <w:tblCellMar>
            <w:top w:w="0" w:type="dxa"/>
            <w:bottom w:w="0" w:type="dxa"/>
          </w:tblCellMar>
        </w:tblPrEx>
        <w:trPr>
          <w:trHeight w:val="268"/>
        </w:trPr>
        <w:tc>
          <w:tcPr>
            <w:tcW w:w="3061" w:type="dxa"/>
            <w:tcBorders>
              <w:top w:val="nil"/>
              <w:left w:val="nil"/>
              <w:bottom w:val="nil"/>
              <w:right w:val="nil"/>
            </w:tcBorders>
            <w:vAlign w:val="center"/>
          </w:tcPr>
          <w:p w14:paraId="3194C85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i/>
                <w:iCs/>
                <w:sz w:val="18"/>
                <w:szCs w:val="18"/>
                <w14:ligatures w14:val="standardContextual"/>
              </w:rPr>
              <w:t>Cost</w:t>
            </w:r>
          </w:p>
        </w:tc>
        <w:tc>
          <w:tcPr>
            <w:tcW w:w="1191" w:type="dxa"/>
            <w:tcBorders>
              <w:top w:val="nil"/>
              <w:left w:val="nil"/>
              <w:bottom w:val="nil"/>
              <w:right w:val="nil"/>
            </w:tcBorders>
            <w:vAlign w:val="center"/>
          </w:tcPr>
          <w:p w14:paraId="33D73F5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247" w:type="dxa"/>
            <w:tcBorders>
              <w:top w:val="nil"/>
              <w:left w:val="nil"/>
              <w:bottom w:val="nil"/>
              <w:right w:val="nil"/>
            </w:tcBorders>
            <w:vAlign w:val="center"/>
          </w:tcPr>
          <w:p w14:paraId="63A60F9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74B056D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2C013BA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465AF1C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r>
      <w:tr w:rsidR="00756913" w:rsidRPr="00756913" w14:paraId="6421A326" w14:textId="77777777">
        <w:tblPrEx>
          <w:tblCellMar>
            <w:top w:w="0" w:type="dxa"/>
            <w:bottom w:w="0" w:type="dxa"/>
          </w:tblCellMar>
        </w:tblPrEx>
        <w:trPr>
          <w:trHeight w:val="268"/>
        </w:trPr>
        <w:tc>
          <w:tcPr>
            <w:tcW w:w="3061" w:type="dxa"/>
            <w:tcBorders>
              <w:top w:val="nil"/>
              <w:left w:val="nil"/>
              <w:bottom w:val="nil"/>
              <w:right w:val="nil"/>
            </w:tcBorders>
            <w:vAlign w:val="center"/>
          </w:tcPr>
          <w:p w14:paraId="2331E31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At 1 January 2024</w:t>
            </w:r>
          </w:p>
        </w:tc>
        <w:tc>
          <w:tcPr>
            <w:tcW w:w="1191" w:type="dxa"/>
            <w:tcBorders>
              <w:top w:val="nil"/>
              <w:left w:val="nil"/>
              <w:bottom w:val="nil"/>
              <w:right w:val="nil"/>
            </w:tcBorders>
            <w:vAlign w:val="center"/>
          </w:tcPr>
          <w:p w14:paraId="4BE2F05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169.6</w:t>
            </w:r>
          </w:p>
        </w:tc>
        <w:tc>
          <w:tcPr>
            <w:tcW w:w="1247" w:type="dxa"/>
            <w:tcBorders>
              <w:top w:val="nil"/>
              <w:left w:val="nil"/>
              <w:bottom w:val="nil"/>
              <w:right w:val="nil"/>
            </w:tcBorders>
            <w:vAlign w:val="center"/>
          </w:tcPr>
          <w:p w14:paraId="5C2ABF1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21.2</w:t>
            </w:r>
          </w:p>
        </w:tc>
        <w:tc>
          <w:tcPr>
            <w:tcW w:w="1191" w:type="dxa"/>
            <w:tcBorders>
              <w:top w:val="nil"/>
              <w:left w:val="nil"/>
              <w:bottom w:val="nil"/>
              <w:right w:val="nil"/>
            </w:tcBorders>
            <w:vAlign w:val="center"/>
          </w:tcPr>
          <w:p w14:paraId="6EF11FB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121.3</w:t>
            </w:r>
          </w:p>
        </w:tc>
        <w:tc>
          <w:tcPr>
            <w:tcW w:w="1191" w:type="dxa"/>
            <w:tcBorders>
              <w:top w:val="nil"/>
              <w:left w:val="nil"/>
              <w:bottom w:val="nil"/>
              <w:right w:val="nil"/>
            </w:tcBorders>
            <w:vAlign w:val="center"/>
          </w:tcPr>
          <w:p w14:paraId="335A3A7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288.6</w:t>
            </w:r>
          </w:p>
        </w:tc>
        <w:tc>
          <w:tcPr>
            <w:tcW w:w="1191" w:type="dxa"/>
            <w:tcBorders>
              <w:top w:val="nil"/>
              <w:left w:val="nil"/>
              <w:bottom w:val="nil"/>
              <w:right w:val="nil"/>
            </w:tcBorders>
            <w:vAlign w:val="center"/>
          </w:tcPr>
          <w:p w14:paraId="2782E89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600.7</w:t>
            </w:r>
          </w:p>
        </w:tc>
      </w:tr>
      <w:tr w:rsidR="00756913" w:rsidRPr="00756913" w14:paraId="66059340" w14:textId="77777777">
        <w:tblPrEx>
          <w:tblCellMar>
            <w:top w:w="0" w:type="dxa"/>
            <w:bottom w:w="0" w:type="dxa"/>
          </w:tblCellMar>
        </w:tblPrEx>
        <w:trPr>
          <w:trHeight w:val="284"/>
        </w:trPr>
        <w:tc>
          <w:tcPr>
            <w:tcW w:w="3061" w:type="dxa"/>
            <w:tcBorders>
              <w:top w:val="nil"/>
              <w:left w:val="nil"/>
              <w:bottom w:val="nil"/>
              <w:right w:val="nil"/>
            </w:tcBorders>
            <w:vAlign w:val="center"/>
          </w:tcPr>
          <w:p w14:paraId="797CCEC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Additions</w:t>
            </w:r>
          </w:p>
        </w:tc>
        <w:tc>
          <w:tcPr>
            <w:tcW w:w="1191" w:type="dxa"/>
            <w:tcBorders>
              <w:top w:val="nil"/>
              <w:left w:val="nil"/>
              <w:bottom w:val="nil"/>
              <w:right w:val="nil"/>
            </w:tcBorders>
            <w:vAlign w:val="center"/>
          </w:tcPr>
          <w:p w14:paraId="4415B0A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247" w:type="dxa"/>
            <w:tcBorders>
              <w:top w:val="nil"/>
              <w:left w:val="nil"/>
              <w:bottom w:val="nil"/>
              <w:right w:val="nil"/>
            </w:tcBorders>
            <w:vAlign w:val="center"/>
          </w:tcPr>
          <w:p w14:paraId="0F2733B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91" w:type="dxa"/>
            <w:tcBorders>
              <w:top w:val="nil"/>
              <w:left w:val="nil"/>
              <w:bottom w:val="nil"/>
              <w:right w:val="nil"/>
            </w:tcBorders>
            <w:vAlign w:val="center"/>
          </w:tcPr>
          <w:p w14:paraId="6DF7B1A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5.4</w:t>
            </w:r>
          </w:p>
        </w:tc>
        <w:tc>
          <w:tcPr>
            <w:tcW w:w="1191" w:type="dxa"/>
            <w:tcBorders>
              <w:top w:val="nil"/>
              <w:left w:val="nil"/>
              <w:bottom w:val="nil"/>
              <w:right w:val="nil"/>
            </w:tcBorders>
            <w:vAlign w:val="center"/>
          </w:tcPr>
          <w:p w14:paraId="5267E42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91" w:type="dxa"/>
            <w:tcBorders>
              <w:top w:val="nil"/>
              <w:left w:val="nil"/>
              <w:bottom w:val="nil"/>
              <w:right w:val="nil"/>
            </w:tcBorders>
            <w:vAlign w:val="center"/>
          </w:tcPr>
          <w:p w14:paraId="76A9AAA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5.4</w:t>
            </w:r>
          </w:p>
        </w:tc>
      </w:tr>
      <w:tr w:rsidR="00756913" w:rsidRPr="00756913" w14:paraId="5A76A0BD" w14:textId="77777777">
        <w:tblPrEx>
          <w:tblCellMar>
            <w:top w:w="0" w:type="dxa"/>
            <w:bottom w:w="0" w:type="dxa"/>
          </w:tblCellMar>
        </w:tblPrEx>
        <w:trPr>
          <w:trHeight w:val="284"/>
        </w:trPr>
        <w:tc>
          <w:tcPr>
            <w:tcW w:w="3061" w:type="dxa"/>
            <w:tcBorders>
              <w:top w:val="nil"/>
              <w:left w:val="nil"/>
              <w:bottom w:val="nil"/>
              <w:right w:val="nil"/>
            </w:tcBorders>
            <w:vAlign w:val="center"/>
          </w:tcPr>
          <w:p w14:paraId="7EEEE75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Disposals</w:t>
            </w:r>
          </w:p>
        </w:tc>
        <w:tc>
          <w:tcPr>
            <w:tcW w:w="1191" w:type="dxa"/>
            <w:tcBorders>
              <w:top w:val="nil"/>
              <w:left w:val="nil"/>
              <w:bottom w:val="nil"/>
              <w:right w:val="nil"/>
            </w:tcBorders>
            <w:vAlign w:val="center"/>
          </w:tcPr>
          <w:p w14:paraId="2E2F21A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247" w:type="dxa"/>
            <w:tcBorders>
              <w:top w:val="nil"/>
              <w:left w:val="nil"/>
              <w:bottom w:val="nil"/>
              <w:right w:val="nil"/>
            </w:tcBorders>
            <w:vAlign w:val="center"/>
          </w:tcPr>
          <w:p w14:paraId="612A93C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91" w:type="dxa"/>
            <w:tcBorders>
              <w:top w:val="nil"/>
              <w:left w:val="nil"/>
              <w:bottom w:val="nil"/>
              <w:right w:val="nil"/>
            </w:tcBorders>
            <w:vAlign w:val="center"/>
          </w:tcPr>
          <w:p w14:paraId="3974152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(36.1)</w:t>
            </w:r>
          </w:p>
        </w:tc>
        <w:tc>
          <w:tcPr>
            <w:tcW w:w="1191" w:type="dxa"/>
            <w:tcBorders>
              <w:top w:val="nil"/>
              <w:left w:val="nil"/>
              <w:bottom w:val="nil"/>
              <w:right w:val="nil"/>
            </w:tcBorders>
            <w:vAlign w:val="center"/>
          </w:tcPr>
          <w:p w14:paraId="355C6D8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91" w:type="dxa"/>
            <w:tcBorders>
              <w:top w:val="nil"/>
              <w:left w:val="nil"/>
              <w:bottom w:val="nil"/>
              <w:right w:val="nil"/>
            </w:tcBorders>
            <w:vAlign w:val="center"/>
          </w:tcPr>
          <w:p w14:paraId="35E2D79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(36.1)</w:t>
            </w:r>
          </w:p>
        </w:tc>
      </w:tr>
      <w:tr w:rsidR="00756913" w:rsidRPr="00756913" w14:paraId="6802CCF2" w14:textId="77777777">
        <w:tblPrEx>
          <w:tblCellMar>
            <w:top w:w="0" w:type="dxa"/>
            <w:bottom w:w="0" w:type="dxa"/>
          </w:tblCellMar>
        </w:tblPrEx>
        <w:trPr>
          <w:trHeight w:val="268"/>
        </w:trPr>
        <w:tc>
          <w:tcPr>
            <w:tcW w:w="3061" w:type="dxa"/>
            <w:tcBorders>
              <w:top w:val="nil"/>
              <w:left w:val="nil"/>
              <w:bottom w:val="nil"/>
              <w:right w:val="nil"/>
            </w:tcBorders>
            <w:vAlign w:val="center"/>
          </w:tcPr>
          <w:p w14:paraId="1401526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At 30 June 2024</w:t>
            </w:r>
          </w:p>
        </w:tc>
        <w:tc>
          <w:tcPr>
            <w:tcW w:w="1191" w:type="dxa"/>
            <w:tcBorders>
              <w:top w:val="single" w:sz="4" w:space="0" w:color="auto"/>
              <w:left w:val="nil"/>
              <w:bottom w:val="single" w:sz="4" w:space="0" w:color="auto"/>
              <w:right w:val="nil"/>
            </w:tcBorders>
            <w:vAlign w:val="center"/>
          </w:tcPr>
          <w:p w14:paraId="11C3B1F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169.6</w:t>
            </w:r>
          </w:p>
        </w:tc>
        <w:tc>
          <w:tcPr>
            <w:tcW w:w="1247" w:type="dxa"/>
            <w:tcBorders>
              <w:top w:val="single" w:sz="4" w:space="0" w:color="auto"/>
              <w:left w:val="nil"/>
              <w:bottom w:val="single" w:sz="4" w:space="0" w:color="auto"/>
              <w:right w:val="nil"/>
            </w:tcBorders>
            <w:vAlign w:val="center"/>
          </w:tcPr>
          <w:p w14:paraId="1B8ECAB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21.2</w:t>
            </w:r>
          </w:p>
        </w:tc>
        <w:tc>
          <w:tcPr>
            <w:tcW w:w="1191" w:type="dxa"/>
            <w:tcBorders>
              <w:top w:val="single" w:sz="4" w:space="0" w:color="auto"/>
              <w:left w:val="nil"/>
              <w:bottom w:val="single" w:sz="4" w:space="0" w:color="auto"/>
              <w:right w:val="nil"/>
            </w:tcBorders>
            <w:vAlign w:val="center"/>
          </w:tcPr>
          <w:p w14:paraId="50047A1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90.6</w:t>
            </w:r>
          </w:p>
        </w:tc>
        <w:tc>
          <w:tcPr>
            <w:tcW w:w="1191" w:type="dxa"/>
            <w:tcBorders>
              <w:top w:val="single" w:sz="4" w:space="0" w:color="auto"/>
              <w:left w:val="nil"/>
              <w:bottom w:val="single" w:sz="4" w:space="0" w:color="auto"/>
              <w:right w:val="nil"/>
            </w:tcBorders>
            <w:vAlign w:val="center"/>
          </w:tcPr>
          <w:p w14:paraId="56CDB95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288.6</w:t>
            </w:r>
          </w:p>
        </w:tc>
        <w:tc>
          <w:tcPr>
            <w:tcW w:w="1191" w:type="dxa"/>
            <w:tcBorders>
              <w:top w:val="single" w:sz="4" w:space="0" w:color="auto"/>
              <w:left w:val="nil"/>
              <w:bottom w:val="single" w:sz="4" w:space="0" w:color="auto"/>
              <w:right w:val="nil"/>
            </w:tcBorders>
            <w:vAlign w:val="center"/>
          </w:tcPr>
          <w:p w14:paraId="2D4C6D1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570.0</w:t>
            </w:r>
          </w:p>
        </w:tc>
      </w:tr>
      <w:tr w:rsidR="00756913" w:rsidRPr="00756913" w14:paraId="7736ABAA" w14:textId="77777777">
        <w:tblPrEx>
          <w:tblCellMar>
            <w:top w:w="0" w:type="dxa"/>
            <w:bottom w:w="0" w:type="dxa"/>
          </w:tblCellMar>
        </w:tblPrEx>
        <w:trPr>
          <w:trHeight w:val="362"/>
        </w:trPr>
        <w:tc>
          <w:tcPr>
            <w:tcW w:w="3061" w:type="dxa"/>
            <w:tcBorders>
              <w:top w:val="nil"/>
              <w:left w:val="nil"/>
              <w:bottom w:val="nil"/>
              <w:right w:val="nil"/>
            </w:tcBorders>
            <w:vAlign w:val="center"/>
          </w:tcPr>
          <w:p w14:paraId="4E7D50D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1191" w:type="dxa"/>
            <w:tcBorders>
              <w:top w:val="single" w:sz="4" w:space="0" w:color="auto"/>
              <w:left w:val="nil"/>
              <w:bottom w:val="nil"/>
              <w:right w:val="nil"/>
            </w:tcBorders>
            <w:vAlign w:val="center"/>
          </w:tcPr>
          <w:p w14:paraId="3892CAF4" w14:textId="77777777" w:rsidR="00756913" w:rsidRPr="00756913" w:rsidRDefault="00756913" w:rsidP="00756913">
            <w:pPr>
              <w:tabs>
                <w:tab w:val="decimal" w:pos="1021"/>
              </w:tabs>
              <w:autoSpaceDE w:val="0"/>
              <w:autoSpaceDN w:val="0"/>
              <w:adjustRightInd w:val="0"/>
              <w:spacing w:after="130" w:line="240" w:lineRule="auto"/>
              <w:jc w:val="right"/>
              <w:rPr>
                <w:rFonts w:ascii="Arial" w:hAnsi="Arial" w:cs="Arial"/>
                <w:color w:val="FF0000"/>
                <w:sz w:val="18"/>
                <w:szCs w:val="18"/>
                <w:u w:val="double"/>
                <w14:ligatures w14:val="standardContextual"/>
              </w:rPr>
            </w:pPr>
          </w:p>
        </w:tc>
        <w:tc>
          <w:tcPr>
            <w:tcW w:w="1247" w:type="dxa"/>
            <w:tcBorders>
              <w:top w:val="single" w:sz="4" w:space="0" w:color="auto"/>
              <w:left w:val="nil"/>
              <w:bottom w:val="nil"/>
              <w:right w:val="nil"/>
            </w:tcBorders>
            <w:vAlign w:val="center"/>
          </w:tcPr>
          <w:p w14:paraId="7280C8BB" w14:textId="77777777" w:rsidR="00756913" w:rsidRPr="00756913" w:rsidRDefault="00756913" w:rsidP="00756913">
            <w:pPr>
              <w:tabs>
                <w:tab w:val="decimal" w:pos="1021"/>
              </w:tabs>
              <w:autoSpaceDE w:val="0"/>
              <w:autoSpaceDN w:val="0"/>
              <w:adjustRightInd w:val="0"/>
              <w:spacing w:after="130" w:line="240" w:lineRule="auto"/>
              <w:jc w:val="right"/>
              <w:rPr>
                <w:rFonts w:ascii="Arial" w:hAnsi="Arial" w:cs="Arial"/>
                <w:color w:val="FF0000"/>
                <w:sz w:val="18"/>
                <w:szCs w:val="18"/>
                <w:u w:val="double"/>
                <w14:ligatures w14:val="standardContextual"/>
              </w:rPr>
            </w:pPr>
          </w:p>
        </w:tc>
        <w:tc>
          <w:tcPr>
            <w:tcW w:w="1191" w:type="dxa"/>
            <w:tcBorders>
              <w:top w:val="single" w:sz="4" w:space="0" w:color="auto"/>
              <w:left w:val="nil"/>
              <w:bottom w:val="nil"/>
              <w:right w:val="nil"/>
            </w:tcBorders>
            <w:vAlign w:val="center"/>
          </w:tcPr>
          <w:p w14:paraId="51A1A2D2" w14:textId="77777777" w:rsidR="00756913" w:rsidRPr="00756913" w:rsidRDefault="00756913" w:rsidP="00756913">
            <w:pPr>
              <w:tabs>
                <w:tab w:val="decimal" w:pos="1021"/>
              </w:tabs>
              <w:autoSpaceDE w:val="0"/>
              <w:autoSpaceDN w:val="0"/>
              <w:adjustRightInd w:val="0"/>
              <w:spacing w:after="130" w:line="240" w:lineRule="auto"/>
              <w:jc w:val="right"/>
              <w:rPr>
                <w:rFonts w:ascii="Arial" w:hAnsi="Arial" w:cs="Arial"/>
                <w:color w:val="FF0000"/>
                <w:sz w:val="18"/>
                <w:szCs w:val="18"/>
                <w:u w:val="double"/>
                <w14:ligatures w14:val="standardContextual"/>
              </w:rPr>
            </w:pPr>
          </w:p>
        </w:tc>
        <w:tc>
          <w:tcPr>
            <w:tcW w:w="1191" w:type="dxa"/>
            <w:tcBorders>
              <w:top w:val="single" w:sz="4" w:space="0" w:color="auto"/>
              <w:left w:val="nil"/>
              <w:bottom w:val="nil"/>
              <w:right w:val="nil"/>
            </w:tcBorders>
            <w:vAlign w:val="center"/>
          </w:tcPr>
          <w:p w14:paraId="40F039EA" w14:textId="77777777" w:rsidR="00756913" w:rsidRPr="00756913" w:rsidRDefault="00756913" w:rsidP="00756913">
            <w:pPr>
              <w:tabs>
                <w:tab w:val="decimal" w:pos="1021"/>
              </w:tabs>
              <w:autoSpaceDE w:val="0"/>
              <w:autoSpaceDN w:val="0"/>
              <w:adjustRightInd w:val="0"/>
              <w:spacing w:after="130" w:line="240" w:lineRule="auto"/>
              <w:jc w:val="right"/>
              <w:rPr>
                <w:rFonts w:ascii="Arial" w:hAnsi="Arial" w:cs="Arial"/>
                <w:color w:val="FF0000"/>
                <w:sz w:val="18"/>
                <w:szCs w:val="18"/>
                <w:u w:val="double"/>
                <w14:ligatures w14:val="standardContextual"/>
              </w:rPr>
            </w:pPr>
          </w:p>
        </w:tc>
        <w:tc>
          <w:tcPr>
            <w:tcW w:w="1191" w:type="dxa"/>
            <w:tcBorders>
              <w:top w:val="single" w:sz="4" w:space="0" w:color="auto"/>
              <w:left w:val="nil"/>
              <w:bottom w:val="nil"/>
              <w:right w:val="nil"/>
            </w:tcBorders>
            <w:vAlign w:val="center"/>
          </w:tcPr>
          <w:p w14:paraId="5AEAA7DD" w14:textId="77777777" w:rsidR="00756913" w:rsidRPr="00756913" w:rsidRDefault="00756913" w:rsidP="00756913">
            <w:pPr>
              <w:tabs>
                <w:tab w:val="decimal" w:pos="1021"/>
              </w:tabs>
              <w:autoSpaceDE w:val="0"/>
              <w:autoSpaceDN w:val="0"/>
              <w:adjustRightInd w:val="0"/>
              <w:spacing w:after="130" w:line="240" w:lineRule="auto"/>
              <w:jc w:val="right"/>
              <w:rPr>
                <w:rFonts w:ascii="Arial" w:hAnsi="Arial" w:cs="Arial"/>
                <w:color w:val="FF0000"/>
                <w:sz w:val="18"/>
                <w:szCs w:val="18"/>
                <w:u w:val="double"/>
                <w14:ligatures w14:val="standardContextual"/>
              </w:rPr>
            </w:pPr>
          </w:p>
        </w:tc>
      </w:tr>
      <w:tr w:rsidR="00756913" w:rsidRPr="00756913" w14:paraId="1ABD7044" w14:textId="77777777">
        <w:tblPrEx>
          <w:tblCellMar>
            <w:top w:w="0" w:type="dxa"/>
            <w:bottom w:w="0" w:type="dxa"/>
          </w:tblCellMar>
        </w:tblPrEx>
        <w:trPr>
          <w:trHeight w:val="268"/>
        </w:trPr>
        <w:tc>
          <w:tcPr>
            <w:tcW w:w="3061" w:type="dxa"/>
            <w:tcBorders>
              <w:top w:val="nil"/>
              <w:left w:val="nil"/>
              <w:bottom w:val="nil"/>
              <w:right w:val="nil"/>
            </w:tcBorders>
            <w:vAlign w:val="center"/>
          </w:tcPr>
          <w:p w14:paraId="0764858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i/>
                <w:iCs/>
                <w:sz w:val="18"/>
                <w:szCs w:val="18"/>
                <w14:ligatures w14:val="standardContextual"/>
              </w:rPr>
              <w:t>Amortisation</w:t>
            </w:r>
          </w:p>
        </w:tc>
        <w:tc>
          <w:tcPr>
            <w:tcW w:w="1191" w:type="dxa"/>
            <w:tcBorders>
              <w:top w:val="nil"/>
              <w:left w:val="nil"/>
              <w:bottom w:val="nil"/>
              <w:right w:val="nil"/>
            </w:tcBorders>
            <w:vAlign w:val="center"/>
          </w:tcPr>
          <w:p w14:paraId="3664688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247" w:type="dxa"/>
            <w:tcBorders>
              <w:top w:val="nil"/>
              <w:left w:val="nil"/>
              <w:bottom w:val="nil"/>
              <w:right w:val="nil"/>
            </w:tcBorders>
            <w:vAlign w:val="center"/>
          </w:tcPr>
          <w:p w14:paraId="450B225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573143E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180644F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c>
          <w:tcPr>
            <w:tcW w:w="1191" w:type="dxa"/>
            <w:tcBorders>
              <w:top w:val="nil"/>
              <w:left w:val="nil"/>
              <w:bottom w:val="nil"/>
              <w:right w:val="nil"/>
            </w:tcBorders>
            <w:vAlign w:val="center"/>
          </w:tcPr>
          <w:p w14:paraId="439087F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color w:val="FF0000"/>
                <w:sz w:val="18"/>
                <w:szCs w:val="18"/>
                <w14:ligatures w14:val="standardContextual"/>
              </w:rPr>
            </w:pPr>
          </w:p>
        </w:tc>
      </w:tr>
      <w:tr w:rsidR="00756913" w:rsidRPr="00756913" w14:paraId="02189B20" w14:textId="77777777">
        <w:tblPrEx>
          <w:tblCellMar>
            <w:top w:w="0" w:type="dxa"/>
            <w:bottom w:w="0" w:type="dxa"/>
          </w:tblCellMar>
        </w:tblPrEx>
        <w:trPr>
          <w:trHeight w:val="268"/>
        </w:trPr>
        <w:tc>
          <w:tcPr>
            <w:tcW w:w="3061" w:type="dxa"/>
            <w:tcBorders>
              <w:top w:val="nil"/>
              <w:left w:val="nil"/>
              <w:bottom w:val="nil"/>
              <w:right w:val="nil"/>
            </w:tcBorders>
            <w:vAlign w:val="center"/>
          </w:tcPr>
          <w:p w14:paraId="7088B08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At 1 January 2024</w:t>
            </w:r>
          </w:p>
        </w:tc>
        <w:tc>
          <w:tcPr>
            <w:tcW w:w="1191" w:type="dxa"/>
            <w:tcBorders>
              <w:top w:val="nil"/>
              <w:left w:val="nil"/>
              <w:bottom w:val="nil"/>
              <w:right w:val="nil"/>
            </w:tcBorders>
            <w:vAlign w:val="center"/>
          </w:tcPr>
          <w:p w14:paraId="46E8097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161.5</w:t>
            </w:r>
          </w:p>
        </w:tc>
        <w:tc>
          <w:tcPr>
            <w:tcW w:w="1247" w:type="dxa"/>
            <w:tcBorders>
              <w:top w:val="nil"/>
              <w:left w:val="nil"/>
              <w:bottom w:val="nil"/>
              <w:right w:val="nil"/>
            </w:tcBorders>
            <w:vAlign w:val="center"/>
          </w:tcPr>
          <w:p w14:paraId="4EC135A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9.2</w:t>
            </w:r>
          </w:p>
        </w:tc>
        <w:tc>
          <w:tcPr>
            <w:tcW w:w="1191" w:type="dxa"/>
            <w:tcBorders>
              <w:top w:val="nil"/>
              <w:left w:val="nil"/>
              <w:bottom w:val="nil"/>
              <w:right w:val="nil"/>
            </w:tcBorders>
            <w:vAlign w:val="center"/>
          </w:tcPr>
          <w:p w14:paraId="65347D2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95.4</w:t>
            </w:r>
          </w:p>
        </w:tc>
        <w:tc>
          <w:tcPr>
            <w:tcW w:w="1191" w:type="dxa"/>
            <w:tcBorders>
              <w:top w:val="nil"/>
              <w:left w:val="nil"/>
              <w:bottom w:val="nil"/>
              <w:right w:val="nil"/>
            </w:tcBorders>
            <w:vAlign w:val="center"/>
          </w:tcPr>
          <w:p w14:paraId="29B1CBB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74.3</w:t>
            </w:r>
          </w:p>
        </w:tc>
        <w:tc>
          <w:tcPr>
            <w:tcW w:w="1191" w:type="dxa"/>
            <w:tcBorders>
              <w:top w:val="nil"/>
              <w:left w:val="nil"/>
              <w:bottom w:val="nil"/>
              <w:right w:val="nil"/>
            </w:tcBorders>
            <w:vAlign w:val="center"/>
          </w:tcPr>
          <w:p w14:paraId="24E1B63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340.4</w:t>
            </w:r>
          </w:p>
        </w:tc>
      </w:tr>
      <w:tr w:rsidR="00756913" w:rsidRPr="00756913" w14:paraId="48F80946" w14:textId="77777777">
        <w:tblPrEx>
          <w:tblCellMar>
            <w:top w:w="0" w:type="dxa"/>
            <w:bottom w:w="0" w:type="dxa"/>
          </w:tblCellMar>
        </w:tblPrEx>
        <w:trPr>
          <w:trHeight w:val="284"/>
        </w:trPr>
        <w:tc>
          <w:tcPr>
            <w:tcW w:w="3061" w:type="dxa"/>
            <w:tcBorders>
              <w:top w:val="nil"/>
              <w:left w:val="nil"/>
              <w:bottom w:val="nil"/>
              <w:right w:val="nil"/>
            </w:tcBorders>
            <w:vAlign w:val="center"/>
          </w:tcPr>
          <w:p w14:paraId="0503DC1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Charge for the period</w:t>
            </w:r>
          </w:p>
        </w:tc>
        <w:tc>
          <w:tcPr>
            <w:tcW w:w="1191" w:type="dxa"/>
            <w:tcBorders>
              <w:top w:val="nil"/>
              <w:left w:val="nil"/>
              <w:bottom w:val="nil"/>
              <w:right w:val="nil"/>
            </w:tcBorders>
            <w:vAlign w:val="center"/>
          </w:tcPr>
          <w:p w14:paraId="002014F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1.4</w:t>
            </w:r>
          </w:p>
        </w:tc>
        <w:tc>
          <w:tcPr>
            <w:tcW w:w="1247" w:type="dxa"/>
            <w:tcBorders>
              <w:top w:val="nil"/>
              <w:left w:val="nil"/>
              <w:bottom w:val="nil"/>
              <w:right w:val="nil"/>
            </w:tcBorders>
            <w:vAlign w:val="center"/>
          </w:tcPr>
          <w:p w14:paraId="69D001D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2.1</w:t>
            </w:r>
          </w:p>
        </w:tc>
        <w:tc>
          <w:tcPr>
            <w:tcW w:w="1191" w:type="dxa"/>
            <w:tcBorders>
              <w:top w:val="nil"/>
              <w:left w:val="nil"/>
              <w:bottom w:val="nil"/>
              <w:right w:val="nil"/>
            </w:tcBorders>
            <w:vAlign w:val="center"/>
          </w:tcPr>
          <w:p w14:paraId="6BE3445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6.8</w:t>
            </w:r>
          </w:p>
        </w:tc>
        <w:tc>
          <w:tcPr>
            <w:tcW w:w="1191" w:type="dxa"/>
            <w:tcBorders>
              <w:top w:val="nil"/>
              <w:left w:val="nil"/>
              <w:bottom w:val="nil"/>
              <w:right w:val="nil"/>
            </w:tcBorders>
            <w:vAlign w:val="center"/>
          </w:tcPr>
          <w:p w14:paraId="08C1978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91" w:type="dxa"/>
            <w:tcBorders>
              <w:top w:val="nil"/>
              <w:left w:val="nil"/>
              <w:bottom w:val="nil"/>
              <w:right w:val="nil"/>
            </w:tcBorders>
            <w:vAlign w:val="center"/>
          </w:tcPr>
          <w:p w14:paraId="05DEA1F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10.3</w:t>
            </w:r>
          </w:p>
        </w:tc>
      </w:tr>
      <w:tr w:rsidR="00756913" w:rsidRPr="00756913" w14:paraId="03D2C3D2" w14:textId="77777777">
        <w:tblPrEx>
          <w:tblCellMar>
            <w:top w:w="0" w:type="dxa"/>
            <w:bottom w:w="0" w:type="dxa"/>
          </w:tblCellMar>
        </w:tblPrEx>
        <w:trPr>
          <w:trHeight w:val="284"/>
        </w:trPr>
        <w:tc>
          <w:tcPr>
            <w:tcW w:w="3061" w:type="dxa"/>
            <w:tcBorders>
              <w:top w:val="nil"/>
              <w:left w:val="nil"/>
              <w:bottom w:val="nil"/>
              <w:right w:val="nil"/>
            </w:tcBorders>
            <w:vAlign w:val="center"/>
          </w:tcPr>
          <w:p w14:paraId="6E88910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Eliminated on disposal</w:t>
            </w:r>
          </w:p>
        </w:tc>
        <w:tc>
          <w:tcPr>
            <w:tcW w:w="1191" w:type="dxa"/>
            <w:tcBorders>
              <w:top w:val="nil"/>
              <w:left w:val="nil"/>
              <w:bottom w:val="nil"/>
              <w:right w:val="nil"/>
            </w:tcBorders>
            <w:vAlign w:val="center"/>
          </w:tcPr>
          <w:p w14:paraId="0830A82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247" w:type="dxa"/>
            <w:tcBorders>
              <w:top w:val="nil"/>
              <w:left w:val="nil"/>
              <w:bottom w:val="nil"/>
              <w:right w:val="nil"/>
            </w:tcBorders>
            <w:vAlign w:val="center"/>
          </w:tcPr>
          <w:p w14:paraId="4DAF247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91" w:type="dxa"/>
            <w:tcBorders>
              <w:top w:val="nil"/>
              <w:left w:val="nil"/>
              <w:bottom w:val="nil"/>
              <w:right w:val="nil"/>
            </w:tcBorders>
            <w:vAlign w:val="center"/>
          </w:tcPr>
          <w:p w14:paraId="5316328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(36.1)</w:t>
            </w:r>
          </w:p>
        </w:tc>
        <w:tc>
          <w:tcPr>
            <w:tcW w:w="1191" w:type="dxa"/>
            <w:tcBorders>
              <w:top w:val="nil"/>
              <w:left w:val="nil"/>
              <w:bottom w:val="nil"/>
              <w:right w:val="nil"/>
            </w:tcBorders>
            <w:vAlign w:val="center"/>
          </w:tcPr>
          <w:p w14:paraId="159D74A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191" w:type="dxa"/>
            <w:tcBorders>
              <w:top w:val="nil"/>
              <w:left w:val="nil"/>
              <w:bottom w:val="nil"/>
              <w:right w:val="nil"/>
            </w:tcBorders>
            <w:vAlign w:val="center"/>
          </w:tcPr>
          <w:p w14:paraId="549218E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(36.1)</w:t>
            </w:r>
          </w:p>
        </w:tc>
      </w:tr>
      <w:tr w:rsidR="00756913" w:rsidRPr="00756913" w14:paraId="5AE9CD60" w14:textId="77777777">
        <w:tblPrEx>
          <w:tblCellMar>
            <w:top w:w="0" w:type="dxa"/>
            <w:bottom w:w="0" w:type="dxa"/>
          </w:tblCellMar>
        </w:tblPrEx>
        <w:trPr>
          <w:trHeight w:val="268"/>
        </w:trPr>
        <w:tc>
          <w:tcPr>
            <w:tcW w:w="3061" w:type="dxa"/>
            <w:tcBorders>
              <w:top w:val="nil"/>
              <w:left w:val="nil"/>
              <w:bottom w:val="nil"/>
              <w:right w:val="nil"/>
            </w:tcBorders>
            <w:vAlign w:val="center"/>
          </w:tcPr>
          <w:p w14:paraId="47AEF79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At 30 June 2024</w:t>
            </w:r>
          </w:p>
        </w:tc>
        <w:tc>
          <w:tcPr>
            <w:tcW w:w="1191" w:type="dxa"/>
            <w:tcBorders>
              <w:top w:val="single" w:sz="4" w:space="0" w:color="auto"/>
              <w:left w:val="nil"/>
              <w:bottom w:val="single" w:sz="4" w:space="0" w:color="auto"/>
              <w:right w:val="nil"/>
            </w:tcBorders>
            <w:vAlign w:val="center"/>
          </w:tcPr>
          <w:p w14:paraId="1E5D9E2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162.9</w:t>
            </w:r>
          </w:p>
        </w:tc>
        <w:tc>
          <w:tcPr>
            <w:tcW w:w="1247" w:type="dxa"/>
            <w:tcBorders>
              <w:top w:val="single" w:sz="4" w:space="0" w:color="auto"/>
              <w:left w:val="nil"/>
              <w:bottom w:val="single" w:sz="4" w:space="0" w:color="auto"/>
              <w:right w:val="nil"/>
            </w:tcBorders>
            <w:vAlign w:val="center"/>
          </w:tcPr>
          <w:p w14:paraId="0888CB0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11.3</w:t>
            </w:r>
          </w:p>
        </w:tc>
        <w:tc>
          <w:tcPr>
            <w:tcW w:w="1191" w:type="dxa"/>
            <w:tcBorders>
              <w:top w:val="single" w:sz="4" w:space="0" w:color="auto"/>
              <w:left w:val="nil"/>
              <w:bottom w:val="single" w:sz="4" w:space="0" w:color="auto"/>
              <w:right w:val="nil"/>
            </w:tcBorders>
            <w:vAlign w:val="center"/>
          </w:tcPr>
          <w:p w14:paraId="02E2BB3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66.1</w:t>
            </w:r>
          </w:p>
        </w:tc>
        <w:tc>
          <w:tcPr>
            <w:tcW w:w="1191" w:type="dxa"/>
            <w:tcBorders>
              <w:top w:val="single" w:sz="4" w:space="0" w:color="auto"/>
              <w:left w:val="nil"/>
              <w:bottom w:val="single" w:sz="4" w:space="0" w:color="auto"/>
              <w:right w:val="nil"/>
            </w:tcBorders>
            <w:vAlign w:val="center"/>
          </w:tcPr>
          <w:p w14:paraId="4F3512B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74.3</w:t>
            </w:r>
          </w:p>
        </w:tc>
        <w:tc>
          <w:tcPr>
            <w:tcW w:w="1191" w:type="dxa"/>
            <w:tcBorders>
              <w:top w:val="single" w:sz="4" w:space="0" w:color="auto"/>
              <w:left w:val="nil"/>
              <w:bottom w:val="single" w:sz="4" w:space="0" w:color="auto"/>
              <w:right w:val="nil"/>
            </w:tcBorders>
            <w:vAlign w:val="center"/>
          </w:tcPr>
          <w:p w14:paraId="421C836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314.6</w:t>
            </w:r>
          </w:p>
        </w:tc>
      </w:tr>
      <w:tr w:rsidR="00756913" w:rsidRPr="00756913" w14:paraId="4E58307F" w14:textId="77777777">
        <w:tblPrEx>
          <w:tblCellMar>
            <w:top w:w="0" w:type="dxa"/>
            <w:bottom w:w="0" w:type="dxa"/>
          </w:tblCellMar>
        </w:tblPrEx>
        <w:trPr>
          <w:trHeight w:val="362"/>
        </w:trPr>
        <w:tc>
          <w:tcPr>
            <w:tcW w:w="3061" w:type="dxa"/>
            <w:tcBorders>
              <w:top w:val="nil"/>
              <w:left w:val="nil"/>
              <w:bottom w:val="nil"/>
              <w:right w:val="nil"/>
            </w:tcBorders>
            <w:vAlign w:val="center"/>
          </w:tcPr>
          <w:p w14:paraId="5678B63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1191" w:type="dxa"/>
            <w:tcBorders>
              <w:top w:val="single" w:sz="4" w:space="0" w:color="auto"/>
              <w:left w:val="nil"/>
              <w:bottom w:val="nil"/>
              <w:right w:val="nil"/>
            </w:tcBorders>
            <w:vAlign w:val="center"/>
          </w:tcPr>
          <w:p w14:paraId="6FF41E3F" w14:textId="77777777" w:rsidR="00756913" w:rsidRPr="00756913" w:rsidRDefault="00756913" w:rsidP="00756913">
            <w:pPr>
              <w:tabs>
                <w:tab w:val="decimal" w:pos="1021"/>
              </w:tabs>
              <w:autoSpaceDE w:val="0"/>
              <w:autoSpaceDN w:val="0"/>
              <w:adjustRightInd w:val="0"/>
              <w:spacing w:after="130" w:line="240" w:lineRule="auto"/>
              <w:jc w:val="right"/>
              <w:rPr>
                <w:rFonts w:ascii="Arial" w:hAnsi="Arial" w:cs="Arial"/>
                <w:color w:val="FF0000"/>
                <w:sz w:val="18"/>
                <w:szCs w:val="18"/>
                <w:u w:val="double"/>
                <w14:ligatures w14:val="standardContextual"/>
              </w:rPr>
            </w:pPr>
          </w:p>
        </w:tc>
        <w:tc>
          <w:tcPr>
            <w:tcW w:w="1247" w:type="dxa"/>
            <w:tcBorders>
              <w:top w:val="single" w:sz="4" w:space="0" w:color="auto"/>
              <w:left w:val="nil"/>
              <w:bottom w:val="nil"/>
              <w:right w:val="nil"/>
            </w:tcBorders>
            <w:vAlign w:val="center"/>
          </w:tcPr>
          <w:p w14:paraId="033939CC" w14:textId="77777777" w:rsidR="00756913" w:rsidRPr="00756913" w:rsidRDefault="00756913" w:rsidP="00756913">
            <w:pPr>
              <w:tabs>
                <w:tab w:val="decimal" w:pos="1021"/>
              </w:tabs>
              <w:autoSpaceDE w:val="0"/>
              <w:autoSpaceDN w:val="0"/>
              <w:adjustRightInd w:val="0"/>
              <w:spacing w:after="130" w:line="240" w:lineRule="auto"/>
              <w:jc w:val="right"/>
              <w:rPr>
                <w:rFonts w:ascii="Arial" w:hAnsi="Arial" w:cs="Arial"/>
                <w:color w:val="FF0000"/>
                <w:sz w:val="18"/>
                <w:szCs w:val="18"/>
                <w:u w:val="double"/>
                <w14:ligatures w14:val="standardContextual"/>
              </w:rPr>
            </w:pPr>
          </w:p>
        </w:tc>
        <w:tc>
          <w:tcPr>
            <w:tcW w:w="1191" w:type="dxa"/>
            <w:tcBorders>
              <w:top w:val="single" w:sz="4" w:space="0" w:color="auto"/>
              <w:left w:val="nil"/>
              <w:bottom w:val="nil"/>
              <w:right w:val="nil"/>
            </w:tcBorders>
            <w:vAlign w:val="center"/>
          </w:tcPr>
          <w:p w14:paraId="456AF198" w14:textId="77777777" w:rsidR="00756913" w:rsidRPr="00756913" w:rsidRDefault="00756913" w:rsidP="00756913">
            <w:pPr>
              <w:tabs>
                <w:tab w:val="decimal" w:pos="1021"/>
              </w:tabs>
              <w:autoSpaceDE w:val="0"/>
              <w:autoSpaceDN w:val="0"/>
              <w:adjustRightInd w:val="0"/>
              <w:spacing w:after="130" w:line="240" w:lineRule="auto"/>
              <w:jc w:val="right"/>
              <w:rPr>
                <w:rFonts w:ascii="Arial" w:hAnsi="Arial" w:cs="Arial"/>
                <w:color w:val="FF0000"/>
                <w:sz w:val="18"/>
                <w:szCs w:val="18"/>
                <w:u w:val="double"/>
                <w14:ligatures w14:val="standardContextual"/>
              </w:rPr>
            </w:pPr>
          </w:p>
        </w:tc>
        <w:tc>
          <w:tcPr>
            <w:tcW w:w="1191" w:type="dxa"/>
            <w:tcBorders>
              <w:top w:val="single" w:sz="4" w:space="0" w:color="auto"/>
              <w:left w:val="nil"/>
              <w:bottom w:val="nil"/>
              <w:right w:val="nil"/>
            </w:tcBorders>
            <w:vAlign w:val="center"/>
          </w:tcPr>
          <w:p w14:paraId="32C32DB0" w14:textId="77777777" w:rsidR="00756913" w:rsidRPr="00756913" w:rsidRDefault="00756913" w:rsidP="00756913">
            <w:pPr>
              <w:tabs>
                <w:tab w:val="decimal" w:pos="1021"/>
              </w:tabs>
              <w:autoSpaceDE w:val="0"/>
              <w:autoSpaceDN w:val="0"/>
              <w:adjustRightInd w:val="0"/>
              <w:spacing w:after="130" w:line="240" w:lineRule="auto"/>
              <w:jc w:val="right"/>
              <w:rPr>
                <w:rFonts w:ascii="Arial" w:hAnsi="Arial" w:cs="Arial"/>
                <w:color w:val="FF0000"/>
                <w:sz w:val="18"/>
                <w:szCs w:val="18"/>
                <w:u w:val="double"/>
                <w14:ligatures w14:val="standardContextual"/>
              </w:rPr>
            </w:pPr>
          </w:p>
        </w:tc>
        <w:tc>
          <w:tcPr>
            <w:tcW w:w="1191" w:type="dxa"/>
            <w:tcBorders>
              <w:top w:val="single" w:sz="4" w:space="0" w:color="auto"/>
              <w:left w:val="nil"/>
              <w:bottom w:val="nil"/>
              <w:right w:val="nil"/>
            </w:tcBorders>
            <w:vAlign w:val="center"/>
          </w:tcPr>
          <w:p w14:paraId="04BC7EC6" w14:textId="77777777" w:rsidR="00756913" w:rsidRPr="00756913" w:rsidRDefault="00756913" w:rsidP="00756913">
            <w:pPr>
              <w:tabs>
                <w:tab w:val="decimal" w:pos="1021"/>
              </w:tabs>
              <w:autoSpaceDE w:val="0"/>
              <w:autoSpaceDN w:val="0"/>
              <w:adjustRightInd w:val="0"/>
              <w:spacing w:after="130" w:line="240" w:lineRule="auto"/>
              <w:jc w:val="right"/>
              <w:rPr>
                <w:rFonts w:ascii="Arial" w:hAnsi="Arial" w:cs="Arial"/>
                <w:color w:val="FF0000"/>
                <w:sz w:val="18"/>
                <w:szCs w:val="18"/>
                <w:u w:val="double"/>
                <w14:ligatures w14:val="standardContextual"/>
              </w:rPr>
            </w:pPr>
          </w:p>
        </w:tc>
      </w:tr>
      <w:tr w:rsidR="00756913" w:rsidRPr="00756913" w14:paraId="3BC6668F" w14:textId="77777777">
        <w:tblPrEx>
          <w:tblCellMar>
            <w:top w:w="0" w:type="dxa"/>
            <w:bottom w:w="0" w:type="dxa"/>
          </w:tblCellMar>
        </w:tblPrEx>
        <w:trPr>
          <w:trHeight w:val="268"/>
        </w:trPr>
        <w:tc>
          <w:tcPr>
            <w:tcW w:w="3061" w:type="dxa"/>
            <w:tcBorders>
              <w:top w:val="nil"/>
              <w:left w:val="nil"/>
              <w:bottom w:val="nil"/>
              <w:right w:val="nil"/>
            </w:tcBorders>
            <w:vAlign w:val="center"/>
          </w:tcPr>
          <w:p w14:paraId="2849455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i/>
                <w:iCs/>
                <w:sz w:val="18"/>
                <w:szCs w:val="18"/>
                <w14:ligatures w14:val="standardContextual"/>
              </w:rPr>
              <w:t>Carrying value</w:t>
            </w:r>
          </w:p>
        </w:tc>
        <w:tc>
          <w:tcPr>
            <w:tcW w:w="1191" w:type="dxa"/>
            <w:tcBorders>
              <w:top w:val="nil"/>
              <w:left w:val="nil"/>
              <w:bottom w:val="nil"/>
              <w:right w:val="nil"/>
            </w:tcBorders>
            <w:vAlign w:val="center"/>
          </w:tcPr>
          <w:p w14:paraId="1DF4EB5A"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247" w:type="dxa"/>
            <w:tcBorders>
              <w:top w:val="nil"/>
              <w:left w:val="nil"/>
              <w:bottom w:val="nil"/>
              <w:right w:val="nil"/>
            </w:tcBorders>
            <w:vAlign w:val="center"/>
          </w:tcPr>
          <w:p w14:paraId="57F594A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nil"/>
              <w:left w:val="nil"/>
              <w:bottom w:val="nil"/>
              <w:right w:val="nil"/>
            </w:tcBorders>
            <w:vAlign w:val="center"/>
          </w:tcPr>
          <w:p w14:paraId="0354333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nil"/>
              <w:left w:val="nil"/>
              <w:bottom w:val="nil"/>
              <w:right w:val="nil"/>
            </w:tcBorders>
            <w:vAlign w:val="center"/>
          </w:tcPr>
          <w:p w14:paraId="503DA47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191" w:type="dxa"/>
            <w:tcBorders>
              <w:top w:val="nil"/>
              <w:left w:val="nil"/>
              <w:bottom w:val="nil"/>
              <w:right w:val="nil"/>
            </w:tcBorders>
            <w:vAlign w:val="center"/>
          </w:tcPr>
          <w:p w14:paraId="67DA4643"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2A3E9802" w14:textId="77777777">
        <w:tblPrEx>
          <w:tblCellMar>
            <w:top w:w="0" w:type="dxa"/>
            <w:bottom w:w="0" w:type="dxa"/>
          </w:tblCellMar>
        </w:tblPrEx>
        <w:trPr>
          <w:trHeight w:val="268"/>
        </w:trPr>
        <w:tc>
          <w:tcPr>
            <w:tcW w:w="3061" w:type="dxa"/>
            <w:tcBorders>
              <w:top w:val="nil"/>
              <w:left w:val="nil"/>
              <w:bottom w:val="nil"/>
              <w:right w:val="nil"/>
            </w:tcBorders>
            <w:vAlign w:val="center"/>
          </w:tcPr>
          <w:p w14:paraId="45595D3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At 1 January 2024</w:t>
            </w:r>
          </w:p>
        </w:tc>
        <w:tc>
          <w:tcPr>
            <w:tcW w:w="1191" w:type="dxa"/>
            <w:tcBorders>
              <w:top w:val="nil"/>
              <w:left w:val="nil"/>
              <w:bottom w:val="nil"/>
              <w:right w:val="nil"/>
            </w:tcBorders>
            <w:vAlign w:val="center"/>
          </w:tcPr>
          <w:p w14:paraId="10598B4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8.1</w:t>
            </w:r>
          </w:p>
        </w:tc>
        <w:tc>
          <w:tcPr>
            <w:tcW w:w="1247" w:type="dxa"/>
            <w:tcBorders>
              <w:top w:val="nil"/>
              <w:left w:val="nil"/>
              <w:bottom w:val="nil"/>
              <w:right w:val="nil"/>
            </w:tcBorders>
            <w:vAlign w:val="center"/>
          </w:tcPr>
          <w:p w14:paraId="563FFDA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12.0</w:t>
            </w:r>
          </w:p>
        </w:tc>
        <w:tc>
          <w:tcPr>
            <w:tcW w:w="1191" w:type="dxa"/>
            <w:tcBorders>
              <w:top w:val="nil"/>
              <w:left w:val="nil"/>
              <w:bottom w:val="nil"/>
              <w:right w:val="nil"/>
            </w:tcBorders>
            <w:vAlign w:val="center"/>
          </w:tcPr>
          <w:p w14:paraId="6FF2BC9E"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25.9</w:t>
            </w:r>
          </w:p>
        </w:tc>
        <w:tc>
          <w:tcPr>
            <w:tcW w:w="1191" w:type="dxa"/>
            <w:tcBorders>
              <w:top w:val="nil"/>
              <w:left w:val="nil"/>
              <w:bottom w:val="nil"/>
              <w:right w:val="nil"/>
            </w:tcBorders>
            <w:vAlign w:val="center"/>
          </w:tcPr>
          <w:p w14:paraId="4E3AE82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214.3</w:t>
            </w:r>
          </w:p>
        </w:tc>
        <w:tc>
          <w:tcPr>
            <w:tcW w:w="1191" w:type="dxa"/>
            <w:tcBorders>
              <w:top w:val="nil"/>
              <w:left w:val="nil"/>
              <w:bottom w:val="nil"/>
              <w:right w:val="nil"/>
            </w:tcBorders>
            <w:vAlign w:val="center"/>
          </w:tcPr>
          <w:p w14:paraId="44E898E6"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260.3</w:t>
            </w:r>
          </w:p>
        </w:tc>
      </w:tr>
      <w:tr w:rsidR="00756913" w:rsidRPr="00756913" w14:paraId="2D5ACDFF" w14:textId="77777777">
        <w:tblPrEx>
          <w:tblCellMar>
            <w:top w:w="0" w:type="dxa"/>
            <w:bottom w:w="0" w:type="dxa"/>
          </w:tblCellMar>
        </w:tblPrEx>
        <w:trPr>
          <w:trHeight w:val="284"/>
        </w:trPr>
        <w:tc>
          <w:tcPr>
            <w:tcW w:w="3061" w:type="dxa"/>
            <w:tcBorders>
              <w:top w:val="nil"/>
              <w:left w:val="nil"/>
              <w:bottom w:val="nil"/>
              <w:right w:val="nil"/>
            </w:tcBorders>
            <w:vAlign w:val="center"/>
          </w:tcPr>
          <w:p w14:paraId="3E5A402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r w:rsidRPr="00756913">
              <w:rPr>
                <w:rFonts w:ascii="Arial" w:hAnsi="Arial" w:cs="Arial"/>
                <w:b/>
                <w:bCs/>
                <w:sz w:val="18"/>
                <w:szCs w:val="18"/>
                <w14:ligatures w14:val="standardContextual"/>
              </w:rPr>
              <w:t>At 30 June 2024</w:t>
            </w:r>
          </w:p>
        </w:tc>
        <w:tc>
          <w:tcPr>
            <w:tcW w:w="1191" w:type="dxa"/>
            <w:tcBorders>
              <w:top w:val="nil"/>
              <w:left w:val="nil"/>
              <w:bottom w:val="single" w:sz="4" w:space="0" w:color="auto"/>
              <w:right w:val="nil"/>
            </w:tcBorders>
            <w:vAlign w:val="center"/>
          </w:tcPr>
          <w:p w14:paraId="275BA6D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6.7</w:t>
            </w:r>
          </w:p>
        </w:tc>
        <w:tc>
          <w:tcPr>
            <w:tcW w:w="1247" w:type="dxa"/>
            <w:tcBorders>
              <w:top w:val="nil"/>
              <w:left w:val="nil"/>
              <w:bottom w:val="single" w:sz="4" w:space="0" w:color="auto"/>
              <w:right w:val="nil"/>
            </w:tcBorders>
            <w:vAlign w:val="center"/>
          </w:tcPr>
          <w:p w14:paraId="021CEA1E" w14:textId="77777777" w:rsidR="00756913" w:rsidRPr="00756913" w:rsidRDefault="00756913" w:rsidP="00756913">
            <w:pPr>
              <w:tabs>
                <w:tab w:val="decimal" w:pos="1134"/>
              </w:tabs>
              <w:autoSpaceDE w:val="0"/>
              <w:autoSpaceDN w:val="0"/>
              <w:adjustRightInd w:val="0"/>
              <w:spacing w:after="0" w:line="240" w:lineRule="auto"/>
              <w:ind w:left="-77"/>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9.9</w:t>
            </w:r>
          </w:p>
        </w:tc>
        <w:tc>
          <w:tcPr>
            <w:tcW w:w="1191" w:type="dxa"/>
            <w:tcBorders>
              <w:top w:val="nil"/>
              <w:left w:val="nil"/>
              <w:bottom w:val="single" w:sz="4" w:space="0" w:color="auto"/>
              <w:right w:val="nil"/>
            </w:tcBorders>
            <w:vAlign w:val="center"/>
          </w:tcPr>
          <w:p w14:paraId="2A4E2A1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24.5</w:t>
            </w:r>
          </w:p>
        </w:tc>
        <w:tc>
          <w:tcPr>
            <w:tcW w:w="1191" w:type="dxa"/>
            <w:tcBorders>
              <w:top w:val="nil"/>
              <w:left w:val="nil"/>
              <w:bottom w:val="single" w:sz="4" w:space="0" w:color="auto"/>
              <w:right w:val="nil"/>
            </w:tcBorders>
            <w:vAlign w:val="center"/>
          </w:tcPr>
          <w:p w14:paraId="13B24A4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214.3</w:t>
            </w:r>
          </w:p>
        </w:tc>
        <w:tc>
          <w:tcPr>
            <w:tcW w:w="1191" w:type="dxa"/>
            <w:tcBorders>
              <w:top w:val="nil"/>
              <w:left w:val="nil"/>
              <w:bottom w:val="single" w:sz="4" w:space="0" w:color="auto"/>
              <w:right w:val="nil"/>
            </w:tcBorders>
            <w:vAlign w:val="center"/>
          </w:tcPr>
          <w:p w14:paraId="39D7F83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255.4</w:t>
            </w:r>
          </w:p>
        </w:tc>
      </w:tr>
    </w:tbl>
    <w:p w14:paraId="0F9D6BF5"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before="240" w:after="240" w:line="260" w:lineRule="exact"/>
        <w:jc w:val="both"/>
        <w:rPr>
          <w:rFonts w:ascii="Arial" w:hAnsi="Arial" w:cs="Arial"/>
          <w:sz w:val="20"/>
          <w:szCs w:val="20"/>
          <w14:ligatures w14:val="standardContextual"/>
        </w:rPr>
      </w:pPr>
      <w:r w:rsidRPr="00756913">
        <w:rPr>
          <w:rFonts w:ascii="Arial" w:hAnsi="Arial" w:cs="Arial"/>
          <w:sz w:val="20"/>
          <w:szCs w:val="20"/>
          <w14:ligatures w14:val="standardContextual"/>
        </w:rPr>
        <w:t>Disposals in the period include assets with a combined gross book value of £36.1m and carrying value of £nil that were no longer in use and were therefore retired. There was no impact on profit or loss arising from this. There were no disposals in the comparative period.</w:t>
      </w:r>
    </w:p>
    <w:p w14:paraId="254351F3"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before="240" w:after="240" w:line="260" w:lineRule="exact"/>
        <w:jc w:val="both"/>
        <w:rPr>
          <w:rFonts w:ascii="Arial" w:hAnsi="Arial" w:cs="Arial"/>
          <w:sz w:val="20"/>
          <w:szCs w:val="20"/>
          <w14:ligatures w14:val="standardContextual"/>
        </w:rPr>
      </w:pPr>
      <w:r w:rsidRPr="00756913">
        <w:rPr>
          <w:rFonts w:ascii="Arial" w:hAnsi="Arial" w:cs="Arial"/>
          <w:sz w:val="20"/>
          <w:szCs w:val="20"/>
          <w14:ligatures w14:val="standardContextual"/>
        </w:rPr>
        <w:t>Goodwill is allocated to each vertical, or cash generating unit (‘CGU’), as follows:</w:t>
      </w:r>
    </w:p>
    <w:tbl>
      <w:tblPr>
        <w:tblW w:w="0" w:type="auto"/>
        <w:tblInd w:w="64" w:type="dxa"/>
        <w:tblLayout w:type="fixed"/>
        <w:tblCellMar>
          <w:left w:w="10" w:type="dxa"/>
          <w:right w:w="10" w:type="dxa"/>
        </w:tblCellMar>
        <w:tblLook w:val="0000" w:firstRow="0" w:lastRow="0" w:firstColumn="0" w:lastColumn="0" w:noHBand="0" w:noVBand="0"/>
      </w:tblPr>
      <w:tblGrid>
        <w:gridCol w:w="4756"/>
        <w:gridCol w:w="1417"/>
        <w:gridCol w:w="1418"/>
        <w:gridCol w:w="1417"/>
      </w:tblGrid>
      <w:tr w:rsidR="00756913" w:rsidRPr="00756913" w14:paraId="3E8D8945" w14:textId="77777777">
        <w:tblPrEx>
          <w:tblCellMar>
            <w:top w:w="0" w:type="dxa"/>
            <w:bottom w:w="0" w:type="dxa"/>
          </w:tblCellMar>
        </w:tblPrEx>
        <w:trPr>
          <w:trHeight w:val="438"/>
        </w:trPr>
        <w:tc>
          <w:tcPr>
            <w:tcW w:w="4756" w:type="dxa"/>
            <w:tcBorders>
              <w:top w:val="nil"/>
              <w:left w:val="nil"/>
              <w:bottom w:val="nil"/>
              <w:right w:val="nil"/>
            </w:tcBorders>
            <w:vAlign w:val="center"/>
          </w:tcPr>
          <w:p w14:paraId="22AB96B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130" w:line="260" w:lineRule="atLeast"/>
              <w:ind w:left="284" w:hanging="284"/>
              <w:jc w:val="right"/>
              <w:rPr>
                <w:rFonts w:ascii="Arial" w:hAnsi="Arial" w:cs="Arial"/>
                <w:sz w:val="18"/>
                <w:szCs w:val="18"/>
                <w14:ligatures w14:val="standardContextual"/>
              </w:rPr>
            </w:pPr>
          </w:p>
        </w:tc>
        <w:tc>
          <w:tcPr>
            <w:tcW w:w="1417" w:type="dxa"/>
            <w:tcBorders>
              <w:top w:val="nil"/>
              <w:left w:val="nil"/>
              <w:bottom w:val="nil"/>
              <w:right w:val="nil"/>
            </w:tcBorders>
            <w:vAlign w:val="bottom"/>
          </w:tcPr>
          <w:p w14:paraId="2BC2CB18" w14:textId="77777777" w:rsidR="00756913" w:rsidRPr="00756913" w:rsidRDefault="00756913" w:rsidP="00756913">
            <w:pPr>
              <w:tabs>
                <w:tab w:val="decimal" w:pos="1021"/>
              </w:tabs>
              <w:autoSpaceDE w:val="0"/>
              <w:autoSpaceDN w:val="0"/>
              <w:adjustRightInd w:val="0"/>
              <w:spacing w:after="0" w:line="240" w:lineRule="auto"/>
              <w:ind w:left="-77" w:hanging="142"/>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 xml:space="preserve">30 June </w:t>
            </w:r>
          </w:p>
          <w:p w14:paraId="6AF629EA" w14:textId="77777777" w:rsidR="00756913" w:rsidRPr="00756913" w:rsidRDefault="00756913" w:rsidP="00756913">
            <w:pPr>
              <w:tabs>
                <w:tab w:val="decimal" w:pos="1021"/>
              </w:tabs>
              <w:autoSpaceDE w:val="0"/>
              <w:autoSpaceDN w:val="0"/>
              <w:adjustRightInd w:val="0"/>
              <w:spacing w:after="0" w:line="240" w:lineRule="auto"/>
              <w:ind w:left="-77" w:hanging="142"/>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 xml:space="preserve">2024 </w:t>
            </w:r>
          </w:p>
        </w:tc>
        <w:tc>
          <w:tcPr>
            <w:tcW w:w="1418" w:type="dxa"/>
            <w:tcBorders>
              <w:top w:val="nil"/>
              <w:left w:val="nil"/>
              <w:bottom w:val="nil"/>
              <w:right w:val="nil"/>
            </w:tcBorders>
          </w:tcPr>
          <w:p w14:paraId="00B2D9D1" w14:textId="77777777" w:rsidR="00756913" w:rsidRPr="00756913" w:rsidRDefault="00756913" w:rsidP="00756913">
            <w:pPr>
              <w:tabs>
                <w:tab w:val="decimal" w:pos="1021"/>
              </w:tabs>
              <w:autoSpaceDE w:val="0"/>
              <w:autoSpaceDN w:val="0"/>
              <w:adjustRightInd w:val="0"/>
              <w:spacing w:after="0" w:line="240" w:lineRule="auto"/>
              <w:ind w:left="207"/>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31 December 2023</w:t>
            </w:r>
          </w:p>
        </w:tc>
        <w:tc>
          <w:tcPr>
            <w:tcW w:w="1417" w:type="dxa"/>
            <w:tcBorders>
              <w:top w:val="nil"/>
              <w:left w:val="nil"/>
              <w:bottom w:val="nil"/>
              <w:right w:val="nil"/>
            </w:tcBorders>
            <w:vAlign w:val="bottom"/>
          </w:tcPr>
          <w:p w14:paraId="685AD84D" w14:textId="77777777" w:rsidR="00756913" w:rsidRPr="00756913" w:rsidRDefault="00756913" w:rsidP="00756913">
            <w:pPr>
              <w:tabs>
                <w:tab w:val="decimal" w:pos="1021"/>
              </w:tabs>
              <w:autoSpaceDE w:val="0"/>
              <w:autoSpaceDN w:val="0"/>
              <w:adjustRightInd w:val="0"/>
              <w:spacing w:after="0" w:line="240" w:lineRule="auto"/>
              <w:ind w:left="-77" w:hanging="142"/>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 xml:space="preserve">30 June </w:t>
            </w:r>
          </w:p>
          <w:p w14:paraId="0028F6B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 xml:space="preserve">2023 </w:t>
            </w:r>
          </w:p>
        </w:tc>
      </w:tr>
      <w:tr w:rsidR="00756913" w:rsidRPr="00756913" w14:paraId="2DED1AA0" w14:textId="77777777">
        <w:tblPrEx>
          <w:tblCellMar>
            <w:top w:w="0" w:type="dxa"/>
            <w:bottom w:w="0" w:type="dxa"/>
          </w:tblCellMar>
        </w:tblPrEx>
        <w:trPr>
          <w:trHeight w:val="265"/>
        </w:trPr>
        <w:tc>
          <w:tcPr>
            <w:tcW w:w="4756" w:type="dxa"/>
            <w:tcBorders>
              <w:top w:val="nil"/>
              <w:left w:val="nil"/>
              <w:bottom w:val="nil"/>
              <w:right w:val="nil"/>
            </w:tcBorders>
            <w:vAlign w:val="center"/>
          </w:tcPr>
          <w:p w14:paraId="56D7FE26"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1417" w:type="dxa"/>
            <w:tcBorders>
              <w:top w:val="nil"/>
              <w:left w:val="nil"/>
              <w:bottom w:val="nil"/>
              <w:right w:val="nil"/>
            </w:tcBorders>
            <w:vAlign w:val="center"/>
          </w:tcPr>
          <w:p w14:paraId="373DD71D"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418" w:type="dxa"/>
            <w:tcBorders>
              <w:top w:val="nil"/>
              <w:left w:val="nil"/>
              <w:bottom w:val="nil"/>
              <w:right w:val="nil"/>
            </w:tcBorders>
            <w:vAlign w:val="center"/>
          </w:tcPr>
          <w:p w14:paraId="5A724F2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417" w:type="dxa"/>
            <w:tcBorders>
              <w:top w:val="nil"/>
              <w:left w:val="nil"/>
              <w:bottom w:val="nil"/>
              <w:right w:val="nil"/>
            </w:tcBorders>
            <w:vAlign w:val="center"/>
          </w:tcPr>
          <w:p w14:paraId="6E542A7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r>
      <w:tr w:rsidR="00756913" w:rsidRPr="00756913" w14:paraId="2B4D13AD" w14:textId="77777777">
        <w:tblPrEx>
          <w:tblCellMar>
            <w:top w:w="0" w:type="dxa"/>
            <w:bottom w:w="0" w:type="dxa"/>
          </w:tblCellMar>
        </w:tblPrEx>
        <w:trPr>
          <w:trHeight w:val="265"/>
        </w:trPr>
        <w:tc>
          <w:tcPr>
            <w:tcW w:w="4756" w:type="dxa"/>
            <w:tcBorders>
              <w:top w:val="nil"/>
              <w:left w:val="nil"/>
              <w:bottom w:val="nil"/>
              <w:right w:val="nil"/>
            </w:tcBorders>
            <w:vAlign w:val="center"/>
          </w:tcPr>
          <w:p w14:paraId="7C23436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1417" w:type="dxa"/>
            <w:tcBorders>
              <w:top w:val="nil"/>
              <w:left w:val="nil"/>
              <w:bottom w:val="nil"/>
              <w:right w:val="nil"/>
            </w:tcBorders>
            <w:vAlign w:val="center"/>
          </w:tcPr>
          <w:p w14:paraId="6FDE2AC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418" w:type="dxa"/>
            <w:tcBorders>
              <w:top w:val="nil"/>
              <w:left w:val="nil"/>
              <w:bottom w:val="nil"/>
              <w:right w:val="nil"/>
            </w:tcBorders>
            <w:vAlign w:val="center"/>
          </w:tcPr>
          <w:p w14:paraId="391CC68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c>
          <w:tcPr>
            <w:tcW w:w="1417" w:type="dxa"/>
            <w:tcBorders>
              <w:top w:val="nil"/>
              <w:left w:val="nil"/>
              <w:bottom w:val="nil"/>
              <w:right w:val="nil"/>
            </w:tcBorders>
            <w:vAlign w:val="center"/>
          </w:tcPr>
          <w:p w14:paraId="1FF8EA9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6EA2BE45" w14:textId="77777777">
        <w:tblPrEx>
          <w:tblCellMar>
            <w:top w:w="0" w:type="dxa"/>
            <w:bottom w:w="0" w:type="dxa"/>
          </w:tblCellMar>
        </w:tblPrEx>
        <w:trPr>
          <w:trHeight w:val="281"/>
        </w:trPr>
        <w:tc>
          <w:tcPr>
            <w:tcW w:w="4756" w:type="dxa"/>
            <w:tcBorders>
              <w:top w:val="nil"/>
              <w:left w:val="nil"/>
              <w:bottom w:val="nil"/>
              <w:right w:val="nil"/>
            </w:tcBorders>
            <w:vAlign w:val="center"/>
          </w:tcPr>
          <w:p w14:paraId="46F8A5B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Insurance</w:t>
            </w:r>
          </w:p>
        </w:tc>
        <w:tc>
          <w:tcPr>
            <w:tcW w:w="1417" w:type="dxa"/>
            <w:tcBorders>
              <w:top w:val="nil"/>
              <w:left w:val="nil"/>
              <w:bottom w:val="nil"/>
              <w:right w:val="nil"/>
            </w:tcBorders>
            <w:vAlign w:val="center"/>
          </w:tcPr>
          <w:p w14:paraId="4BFB585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46.5</w:t>
            </w:r>
          </w:p>
        </w:tc>
        <w:tc>
          <w:tcPr>
            <w:tcW w:w="1418" w:type="dxa"/>
            <w:tcBorders>
              <w:top w:val="nil"/>
              <w:left w:val="nil"/>
              <w:bottom w:val="nil"/>
              <w:right w:val="nil"/>
            </w:tcBorders>
            <w:vAlign w:val="center"/>
          </w:tcPr>
          <w:p w14:paraId="047803A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46.5</w:t>
            </w:r>
          </w:p>
        </w:tc>
        <w:tc>
          <w:tcPr>
            <w:tcW w:w="1417" w:type="dxa"/>
            <w:tcBorders>
              <w:top w:val="nil"/>
              <w:left w:val="nil"/>
              <w:bottom w:val="nil"/>
              <w:right w:val="nil"/>
            </w:tcBorders>
            <w:vAlign w:val="center"/>
          </w:tcPr>
          <w:p w14:paraId="0B30EA8C"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46.5</w:t>
            </w:r>
          </w:p>
        </w:tc>
      </w:tr>
      <w:tr w:rsidR="00756913" w:rsidRPr="00756913" w14:paraId="7C7F631B" w14:textId="77777777">
        <w:tblPrEx>
          <w:tblCellMar>
            <w:top w:w="0" w:type="dxa"/>
            <w:bottom w:w="0" w:type="dxa"/>
          </w:tblCellMar>
        </w:tblPrEx>
        <w:trPr>
          <w:trHeight w:val="265"/>
        </w:trPr>
        <w:tc>
          <w:tcPr>
            <w:tcW w:w="4756" w:type="dxa"/>
            <w:tcBorders>
              <w:top w:val="nil"/>
              <w:left w:val="nil"/>
              <w:bottom w:val="nil"/>
              <w:right w:val="nil"/>
            </w:tcBorders>
            <w:vAlign w:val="center"/>
          </w:tcPr>
          <w:p w14:paraId="746A4CD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sz w:val="18"/>
                <w:szCs w:val="18"/>
                <w14:ligatures w14:val="standardContextual"/>
              </w:rPr>
              <w:t>Money</w:t>
            </w:r>
          </w:p>
        </w:tc>
        <w:tc>
          <w:tcPr>
            <w:tcW w:w="1417" w:type="dxa"/>
            <w:tcBorders>
              <w:top w:val="nil"/>
              <w:left w:val="nil"/>
              <w:bottom w:val="nil"/>
              <w:right w:val="nil"/>
            </w:tcBorders>
            <w:vAlign w:val="center"/>
          </w:tcPr>
          <w:p w14:paraId="2D136E1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33.2</w:t>
            </w:r>
          </w:p>
        </w:tc>
        <w:tc>
          <w:tcPr>
            <w:tcW w:w="1418" w:type="dxa"/>
            <w:tcBorders>
              <w:top w:val="nil"/>
              <w:left w:val="nil"/>
              <w:bottom w:val="nil"/>
              <w:right w:val="nil"/>
            </w:tcBorders>
            <w:vAlign w:val="center"/>
          </w:tcPr>
          <w:p w14:paraId="5D722311"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33.2</w:t>
            </w:r>
          </w:p>
        </w:tc>
        <w:tc>
          <w:tcPr>
            <w:tcW w:w="1417" w:type="dxa"/>
            <w:tcBorders>
              <w:top w:val="nil"/>
              <w:left w:val="nil"/>
              <w:bottom w:val="nil"/>
              <w:right w:val="nil"/>
            </w:tcBorders>
            <w:vAlign w:val="center"/>
          </w:tcPr>
          <w:p w14:paraId="7EB8396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33.2</w:t>
            </w:r>
          </w:p>
        </w:tc>
      </w:tr>
      <w:tr w:rsidR="00756913" w:rsidRPr="00756913" w14:paraId="281ABFC0" w14:textId="77777777">
        <w:tblPrEx>
          <w:tblCellMar>
            <w:top w:w="0" w:type="dxa"/>
            <w:bottom w:w="0" w:type="dxa"/>
          </w:tblCellMar>
        </w:tblPrEx>
        <w:trPr>
          <w:trHeight w:val="265"/>
        </w:trPr>
        <w:tc>
          <w:tcPr>
            <w:tcW w:w="4756" w:type="dxa"/>
            <w:tcBorders>
              <w:top w:val="nil"/>
              <w:left w:val="nil"/>
              <w:bottom w:val="nil"/>
              <w:right w:val="nil"/>
            </w:tcBorders>
            <w:vAlign w:val="center"/>
          </w:tcPr>
          <w:p w14:paraId="3E0A0DA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r w:rsidRPr="00756913">
              <w:rPr>
                <w:rFonts w:ascii="Arial" w:hAnsi="Arial" w:cs="Arial"/>
                <w:sz w:val="18"/>
                <w:szCs w:val="18"/>
                <w14:ligatures w14:val="standardContextual"/>
              </w:rPr>
              <w:t>Home Services</w:t>
            </w:r>
          </w:p>
        </w:tc>
        <w:tc>
          <w:tcPr>
            <w:tcW w:w="1417" w:type="dxa"/>
            <w:tcBorders>
              <w:top w:val="nil"/>
              <w:left w:val="nil"/>
              <w:bottom w:val="nil"/>
              <w:right w:val="nil"/>
            </w:tcBorders>
            <w:vAlign w:val="center"/>
          </w:tcPr>
          <w:p w14:paraId="22BA897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54.8</w:t>
            </w:r>
          </w:p>
        </w:tc>
        <w:tc>
          <w:tcPr>
            <w:tcW w:w="1418" w:type="dxa"/>
            <w:tcBorders>
              <w:top w:val="nil"/>
              <w:left w:val="nil"/>
              <w:bottom w:val="nil"/>
              <w:right w:val="nil"/>
            </w:tcBorders>
            <w:vAlign w:val="center"/>
          </w:tcPr>
          <w:p w14:paraId="6938BD92"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54.8</w:t>
            </w:r>
          </w:p>
        </w:tc>
        <w:tc>
          <w:tcPr>
            <w:tcW w:w="1417" w:type="dxa"/>
            <w:tcBorders>
              <w:top w:val="nil"/>
              <w:left w:val="nil"/>
              <w:bottom w:val="nil"/>
              <w:right w:val="nil"/>
            </w:tcBorders>
            <w:vAlign w:val="center"/>
          </w:tcPr>
          <w:p w14:paraId="40CD8958"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54.8</w:t>
            </w:r>
          </w:p>
        </w:tc>
      </w:tr>
      <w:tr w:rsidR="00756913" w:rsidRPr="00756913" w14:paraId="7574E672" w14:textId="77777777">
        <w:tblPrEx>
          <w:tblCellMar>
            <w:top w:w="0" w:type="dxa"/>
            <w:bottom w:w="0" w:type="dxa"/>
          </w:tblCellMar>
        </w:tblPrEx>
        <w:trPr>
          <w:trHeight w:val="281"/>
        </w:trPr>
        <w:tc>
          <w:tcPr>
            <w:tcW w:w="4756" w:type="dxa"/>
            <w:tcBorders>
              <w:top w:val="nil"/>
              <w:left w:val="nil"/>
              <w:bottom w:val="nil"/>
              <w:right w:val="nil"/>
            </w:tcBorders>
            <w:vAlign w:val="center"/>
          </w:tcPr>
          <w:p w14:paraId="253AE6D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Travel</w:t>
            </w:r>
          </w:p>
        </w:tc>
        <w:tc>
          <w:tcPr>
            <w:tcW w:w="1417" w:type="dxa"/>
            <w:tcBorders>
              <w:top w:val="nil"/>
              <w:left w:val="nil"/>
              <w:bottom w:val="nil"/>
              <w:right w:val="nil"/>
            </w:tcBorders>
            <w:vAlign w:val="center"/>
          </w:tcPr>
          <w:p w14:paraId="5FB79C60"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11.5</w:t>
            </w:r>
          </w:p>
        </w:tc>
        <w:tc>
          <w:tcPr>
            <w:tcW w:w="1418" w:type="dxa"/>
            <w:tcBorders>
              <w:top w:val="nil"/>
              <w:left w:val="nil"/>
              <w:bottom w:val="nil"/>
              <w:right w:val="nil"/>
            </w:tcBorders>
            <w:vAlign w:val="center"/>
          </w:tcPr>
          <w:p w14:paraId="21F704E4"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11.5</w:t>
            </w:r>
          </w:p>
        </w:tc>
        <w:tc>
          <w:tcPr>
            <w:tcW w:w="1417" w:type="dxa"/>
            <w:tcBorders>
              <w:top w:val="nil"/>
              <w:left w:val="nil"/>
              <w:bottom w:val="nil"/>
              <w:right w:val="nil"/>
            </w:tcBorders>
            <w:vAlign w:val="center"/>
          </w:tcPr>
          <w:p w14:paraId="1C835587"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11.5</w:t>
            </w:r>
          </w:p>
        </w:tc>
      </w:tr>
      <w:tr w:rsidR="00756913" w:rsidRPr="00756913" w14:paraId="3E87B881" w14:textId="77777777">
        <w:tblPrEx>
          <w:tblCellMar>
            <w:top w:w="0" w:type="dxa"/>
            <w:bottom w:w="0" w:type="dxa"/>
          </w:tblCellMar>
        </w:tblPrEx>
        <w:trPr>
          <w:trHeight w:val="281"/>
        </w:trPr>
        <w:tc>
          <w:tcPr>
            <w:tcW w:w="4756" w:type="dxa"/>
            <w:tcBorders>
              <w:top w:val="nil"/>
              <w:left w:val="nil"/>
              <w:bottom w:val="nil"/>
              <w:right w:val="nil"/>
            </w:tcBorders>
            <w:vAlign w:val="center"/>
          </w:tcPr>
          <w:p w14:paraId="20B98B6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Cashback</w:t>
            </w:r>
          </w:p>
        </w:tc>
        <w:tc>
          <w:tcPr>
            <w:tcW w:w="1417" w:type="dxa"/>
            <w:tcBorders>
              <w:top w:val="nil"/>
              <w:left w:val="nil"/>
              <w:bottom w:val="single" w:sz="4" w:space="0" w:color="auto"/>
              <w:right w:val="nil"/>
            </w:tcBorders>
            <w:vAlign w:val="center"/>
          </w:tcPr>
          <w:p w14:paraId="09263FD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68.3</w:t>
            </w:r>
          </w:p>
        </w:tc>
        <w:tc>
          <w:tcPr>
            <w:tcW w:w="1418" w:type="dxa"/>
            <w:tcBorders>
              <w:top w:val="nil"/>
              <w:left w:val="nil"/>
              <w:bottom w:val="single" w:sz="4" w:space="0" w:color="auto"/>
              <w:right w:val="nil"/>
            </w:tcBorders>
            <w:vAlign w:val="center"/>
          </w:tcPr>
          <w:p w14:paraId="1B6C0F3F"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68.3</w:t>
            </w:r>
          </w:p>
        </w:tc>
        <w:tc>
          <w:tcPr>
            <w:tcW w:w="1417" w:type="dxa"/>
            <w:tcBorders>
              <w:top w:val="nil"/>
              <w:left w:val="nil"/>
              <w:bottom w:val="single" w:sz="4" w:space="0" w:color="auto"/>
              <w:right w:val="nil"/>
            </w:tcBorders>
            <w:vAlign w:val="center"/>
          </w:tcPr>
          <w:p w14:paraId="1B91AC32"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68.3</w:t>
            </w:r>
          </w:p>
        </w:tc>
      </w:tr>
      <w:tr w:rsidR="00756913" w:rsidRPr="00756913" w14:paraId="6C6CDF0C" w14:textId="77777777">
        <w:tblPrEx>
          <w:tblCellMar>
            <w:top w:w="0" w:type="dxa"/>
            <w:bottom w:w="0" w:type="dxa"/>
          </w:tblCellMar>
        </w:tblPrEx>
        <w:trPr>
          <w:trHeight w:val="265"/>
        </w:trPr>
        <w:tc>
          <w:tcPr>
            <w:tcW w:w="4756" w:type="dxa"/>
            <w:tcBorders>
              <w:top w:val="nil"/>
              <w:left w:val="nil"/>
              <w:bottom w:val="nil"/>
              <w:right w:val="nil"/>
            </w:tcBorders>
          </w:tcPr>
          <w:p w14:paraId="77BE0B7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i/>
                <w:iCs/>
                <w:sz w:val="18"/>
                <w:szCs w:val="18"/>
                <w14:ligatures w14:val="standardContextual"/>
              </w:rPr>
            </w:pPr>
          </w:p>
        </w:tc>
        <w:tc>
          <w:tcPr>
            <w:tcW w:w="1417" w:type="dxa"/>
            <w:tcBorders>
              <w:top w:val="single" w:sz="4" w:space="0" w:color="auto"/>
              <w:left w:val="nil"/>
              <w:bottom w:val="single" w:sz="4" w:space="0" w:color="auto"/>
              <w:right w:val="nil"/>
            </w:tcBorders>
            <w:vAlign w:val="center"/>
          </w:tcPr>
          <w:p w14:paraId="50CBF0C9"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b/>
                <w:bCs/>
                <w:sz w:val="18"/>
                <w:szCs w:val="18"/>
                <w:u w:val="single"/>
                <w14:ligatures w14:val="standardContextual"/>
              </w:rPr>
            </w:pPr>
            <w:r w:rsidRPr="00756913">
              <w:rPr>
                <w:rFonts w:ascii="Arial" w:hAnsi="Arial" w:cs="Arial"/>
                <w:b/>
                <w:bCs/>
                <w:sz w:val="18"/>
                <w:szCs w:val="18"/>
                <w14:ligatures w14:val="standardContextual"/>
              </w:rPr>
              <w:t>214.3</w:t>
            </w:r>
          </w:p>
        </w:tc>
        <w:tc>
          <w:tcPr>
            <w:tcW w:w="1418" w:type="dxa"/>
            <w:tcBorders>
              <w:top w:val="single" w:sz="4" w:space="0" w:color="auto"/>
              <w:left w:val="nil"/>
              <w:bottom w:val="single" w:sz="4" w:space="0" w:color="auto"/>
              <w:right w:val="nil"/>
            </w:tcBorders>
            <w:vAlign w:val="center"/>
          </w:tcPr>
          <w:p w14:paraId="3AE12D5B"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214.3</w:t>
            </w:r>
          </w:p>
        </w:tc>
        <w:tc>
          <w:tcPr>
            <w:tcW w:w="1417" w:type="dxa"/>
            <w:tcBorders>
              <w:top w:val="single" w:sz="4" w:space="0" w:color="auto"/>
              <w:left w:val="nil"/>
              <w:bottom w:val="single" w:sz="4" w:space="0" w:color="auto"/>
              <w:right w:val="nil"/>
            </w:tcBorders>
            <w:vAlign w:val="center"/>
          </w:tcPr>
          <w:p w14:paraId="6B95C9D5" w14:textId="77777777" w:rsidR="00756913" w:rsidRPr="00756913" w:rsidRDefault="00756913" w:rsidP="00756913">
            <w:pPr>
              <w:tabs>
                <w:tab w:val="decimal" w:pos="1021"/>
              </w:tab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214.3</w:t>
            </w:r>
          </w:p>
        </w:tc>
      </w:tr>
    </w:tbl>
    <w:p w14:paraId="27B5B424" w14:textId="77777777" w:rsidR="00756913" w:rsidRPr="00756913" w:rsidRDefault="00756913" w:rsidP="00756913">
      <w:pPr>
        <w:autoSpaceDE w:val="0"/>
        <w:autoSpaceDN w:val="0"/>
        <w:adjustRightInd w:val="0"/>
        <w:spacing w:after="0" w:line="252" w:lineRule="auto"/>
        <w:jc w:val="both"/>
        <w:rPr>
          <w:rFonts w:ascii="Arial" w:hAnsi="Arial" w:cs="Arial"/>
          <w:sz w:val="20"/>
          <w:szCs w:val="20"/>
          <w14:ligatures w14:val="standardContextual"/>
        </w:rPr>
      </w:pPr>
    </w:p>
    <w:p w14:paraId="00CC8866" w14:textId="77777777" w:rsidR="00756913" w:rsidRPr="00756913" w:rsidRDefault="00756913" w:rsidP="00756913">
      <w:pPr>
        <w:autoSpaceDE w:val="0"/>
        <w:autoSpaceDN w:val="0"/>
        <w:adjustRightInd w:val="0"/>
        <w:spacing w:line="252"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The Group had significant balances relating to goodwill as at 30 June 2024 as a result of acquisitions of businesses in previous years. Goodwill balances are tested annually for impairment or if events or changes in circumstances indicate that the carrying amount of these assets may not be recoverable.   </w:t>
      </w:r>
    </w:p>
    <w:p w14:paraId="419950D3" w14:textId="77777777" w:rsidR="00756913" w:rsidRPr="00756913" w:rsidRDefault="00756913" w:rsidP="00756913">
      <w:pPr>
        <w:autoSpaceDE w:val="0"/>
        <w:autoSpaceDN w:val="0"/>
        <w:adjustRightInd w:val="0"/>
        <w:spacing w:line="252"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In accordance with IAS 36 – Impairment of Assets, the Group has considered whether there have been any indicators of impairment during the six months ended 30 June 2024, which would require an impairment review to be performed. No indicators have been identified and therefore no impairment testing has been performed.</w:t>
      </w:r>
    </w:p>
    <w:p w14:paraId="31BE891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before="240" w:after="0" w:line="240" w:lineRule="auto"/>
        <w:ind w:left="360" w:hanging="360"/>
        <w:rPr>
          <w:rFonts w:ascii="Arial" w:hAnsi="Arial" w:cs="Arial"/>
          <w:b/>
          <w:bCs/>
          <w:sz w:val="20"/>
          <w:szCs w:val="20"/>
          <w14:ligatures w14:val="standardContextual"/>
        </w:rPr>
      </w:pPr>
      <w:r w:rsidRPr="00756913">
        <w:rPr>
          <w:rFonts w:ascii="Arial" w:hAnsi="Arial" w:cs="Arial"/>
          <w:sz w:val="20"/>
          <w:szCs w:val="20"/>
          <w14:ligatures w14:val="standardContextual"/>
        </w:rPr>
        <w:t>8.</w:t>
      </w:r>
      <w:r w:rsidRPr="00756913">
        <w:rPr>
          <w:rFonts w:ascii="Arial" w:hAnsi="Arial" w:cs="Arial"/>
          <w:sz w:val="20"/>
          <w:szCs w:val="20"/>
          <w14:ligatures w14:val="standardContextual"/>
        </w:rPr>
        <w:tab/>
      </w:r>
      <w:r w:rsidRPr="00756913">
        <w:rPr>
          <w:rFonts w:ascii="Arial" w:hAnsi="Arial" w:cs="Arial"/>
          <w:b/>
          <w:bCs/>
          <w:sz w:val="20"/>
          <w:szCs w:val="20"/>
          <w14:ligatures w14:val="standardContextual"/>
        </w:rPr>
        <w:t>Borrowings</w:t>
      </w:r>
    </w:p>
    <w:tbl>
      <w:tblPr>
        <w:tblW w:w="0" w:type="auto"/>
        <w:tblLayout w:type="fixed"/>
        <w:tblCellMar>
          <w:left w:w="10" w:type="dxa"/>
          <w:right w:w="10" w:type="dxa"/>
        </w:tblCellMar>
        <w:tblLook w:val="0000" w:firstRow="0" w:lastRow="0" w:firstColumn="0" w:lastColumn="0" w:noHBand="0" w:noVBand="0"/>
      </w:tblPr>
      <w:tblGrid>
        <w:gridCol w:w="4757"/>
        <w:gridCol w:w="1417"/>
        <w:gridCol w:w="1417"/>
        <w:gridCol w:w="1417"/>
      </w:tblGrid>
      <w:tr w:rsidR="00756913" w:rsidRPr="00756913" w14:paraId="1CD62F80" w14:textId="77777777">
        <w:tblPrEx>
          <w:tblCellMar>
            <w:top w:w="0" w:type="dxa"/>
            <w:bottom w:w="0" w:type="dxa"/>
          </w:tblCellMar>
        </w:tblPrEx>
        <w:tc>
          <w:tcPr>
            <w:tcW w:w="4757" w:type="dxa"/>
            <w:tcBorders>
              <w:top w:val="nil"/>
              <w:left w:val="nil"/>
              <w:bottom w:val="nil"/>
              <w:right w:val="nil"/>
            </w:tcBorders>
          </w:tcPr>
          <w:p w14:paraId="759E25DF"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20"/>
                <w:szCs w:val="20"/>
                <w14:ligatures w14:val="standardContextual"/>
              </w:rPr>
            </w:pPr>
          </w:p>
        </w:tc>
        <w:tc>
          <w:tcPr>
            <w:tcW w:w="1417" w:type="dxa"/>
            <w:tcBorders>
              <w:top w:val="nil"/>
              <w:left w:val="nil"/>
              <w:bottom w:val="nil"/>
              <w:right w:val="nil"/>
            </w:tcBorders>
            <w:vAlign w:val="bottom"/>
          </w:tcPr>
          <w:p w14:paraId="4F1FD92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 xml:space="preserve">30 June </w:t>
            </w:r>
          </w:p>
          <w:p w14:paraId="13DA211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2024</w:t>
            </w:r>
          </w:p>
        </w:tc>
        <w:tc>
          <w:tcPr>
            <w:tcW w:w="1417" w:type="dxa"/>
            <w:tcBorders>
              <w:top w:val="nil"/>
              <w:left w:val="nil"/>
              <w:bottom w:val="nil"/>
              <w:right w:val="nil"/>
            </w:tcBorders>
          </w:tcPr>
          <w:p w14:paraId="3234D94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31 December 2023</w:t>
            </w:r>
          </w:p>
        </w:tc>
        <w:tc>
          <w:tcPr>
            <w:tcW w:w="1417" w:type="dxa"/>
            <w:tcBorders>
              <w:top w:val="nil"/>
              <w:left w:val="nil"/>
              <w:bottom w:val="nil"/>
              <w:right w:val="nil"/>
            </w:tcBorders>
            <w:vAlign w:val="bottom"/>
          </w:tcPr>
          <w:p w14:paraId="30807C25" w14:textId="77777777" w:rsidR="00756913" w:rsidRPr="00756913" w:rsidRDefault="00756913" w:rsidP="00756913">
            <w:pPr>
              <w:tabs>
                <w:tab w:val="decimal" w:pos="1021"/>
              </w:tabs>
              <w:autoSpaceDE w:val="0"/>
              <w:autoSpaceDN w:val="0"/>
              <w:adjustRightInd w:val="0"/>
              <w:spacing w:after="0" w:line="240" w:lineRule="auto"/>
              <w:ind w:left="-77" w:hanging="142"/>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 xml:space="preserve">30 June </w:t>
            </w:r>
          </w:p>
          <w:p w14:paraId="4C275AE0" w14:textId="77777777" w:rsidR="00756913" w:rsidRPr="00756913" w:rsidRDefault="00756913" w:rsidP="00756913">
            <w:pPr>
              <w:tabs>
                <w:tab w:val="decimal" w:pos="1021"/>
              </w:tabs>
              <w:autoSpaceDE w:val="0"/>
              <w:autoSpaceDN w:val="0"/>
              <w:adjustRightInd w:val="0"/>
              <w:spacing w:after="0" w:line="240" w:lineRule="auto"/>
              <w:ind w:left="-77" w:hanging="142"/>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 xml:space="preserve">2023 </w:t>
            </w:r>
          </w:p>
        </w:tc>
      </w:tr>
      <w:tr w:rsidR="00756913" w:rsidRPr="00756913" w14:paraId="20E32A2C" w14:textId="77777777">
        <w:tblPrEx>
          <w:tblCellMar>
            <w:top w:w="0" w:type="dxa"/>
            <w:bottom w:w="0" w:type="dxa"/>
          </w:tblCellMar>
        </w:tblPrEx>
        <w:tc>
          <w:tcPr>
            <w:tcW w:w="4757" w:type="dxa"/>
            <w:tcBorders>
              <w:top w:val="nil"/>
              <w:left w:val="nil"/>
              <w:bottom w:val="nil"/>
              <w:right w:val="nil"/>
            </w:tcBorders>
            <w:vAlign w:val="center"/>
          </w:tcPr>
          <w:p w14:paraId="5FE8F91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18"/>
                <w:szCs w:val="18"/>
                <w14:ligatures w14:val="standardContextual"/>
              </w:rPr>
            </w:pPr>
          </w:p>
        </w:tc>
        <w:tc>
          <w:tcPr>
            <w:tcW w:w="1417" w:type="dxa"/>
            <w:tcBorders>
              <w:top w:val="nil"/>
              <w:left w:val="nil"/>
              <w:bottom w:val="nil"/>
              <w:right w:val="nil"/>
            </w:tcBorders>
            <w:vAlign w:val="center"/>
          </w:tcPr>
          <w:p w14:paraId="07A90562"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417" w:type="dxa"/>
            <w:tcBorders>
              <w:top w:val="nil"/>
              <w:left w:val="nil"/>
              <w:bottom w:val="nil"/>
              <w:right w:val="nil"/>
            </w:tcBorders>
            <w:vAlign w:val="center"/>
          </w:tcPr>
          <w:p w14:paraId="7A403725"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1417" w:type="dxa"/>
            <w:tcBorders>
              <w:top w:val="nil"/>
              <w:left w:val="nil"/>
              <w:bottom w:val="nil"/>
              <w:right w:val="nil"/>
            </w:tcBorders>
            <w:vAlign w:val="center"/>
          </w:tcPr>
          <w:p w14:paraId="0C908FA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r>
      <w:tr w:rsidR="00756913" w:rsidRPr="00756913" w14:paraId="3D2F93CD" w14:textId="77777777">
        <w:tblPrEx>
          <w:tblCellMar>
            <w:top w:w="0" w:type="dxa"/>
            <w:bottom w:w="0" w:type="dxa"/>
          </w:tblCellMar>
        </w:tblPrEx>
        <w:tc>
          <w:tcPr>
            <w:tcW w:w="4757" w:type="dxa"/>
            <w:tcBorders>
              <w:top w:val="nil"/>
              <w:left w:val="nil"/>
              <w:bottom w:val="nil"/>
              <w:right w:val="nil"/>
            </w:tcBorders>
            <w:vAlign w:val="center"/>
          </w:tcPr>
          <w:p w14:paraId="45D5982D"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sz w:val="18"/>
                <w:szCs w:val="18"/>
                <w14:ligatures w14:val="standardContextual"/>
              </w:rPr>
              <w:t>Non-current</w:t>
            </w:r>
          </w:p>
        </w:tc>
        <w:tc>
          <w:tcPr>
            <w:tcW w:w="1417" w:type="dxa"/>
            <w:tcBorders>
              <w:top w:val="nil"/>
              <w:left w:val="nil"/>
              <w:bottom w:val="nil"/>
              <w:right w:val="nil"/>
            </w:tcBorders>
            <w:vAlign w:val="center"/>
          </w:tcPr>
          <w:p w14:paraId="2E3BC70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1417" w:type="dxa"/>
            <w:tcBorders>
              <w:top w:val="nil"/>
              <w:left w:val="nil"/>
              <w:bottom w:val="nil"/>
              <w:right w:val="nil"/>
            </w:tcBorders>
            <w:vAlign w:val="center"/>
          </w:tcPr>
          <w:p w14:paraId="464FE2E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1417" w:type="dxa"/>
            <w:tcBorders>
              <w:top w:val="nil"/>
              <w:left w:val="nil"/>
              <w:bottom w:val="nil"/>
              <w:right w:val="nil"/>
            </w:tcBorders>
            <w:vAlign w:val="center"/>
          </w:tcPr>
          <w:p w14:paraId="01BFFBE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r>
      <w:tr w:rsidR="00756913" w:rsidRPr="00756913" w14:paraId="023FDD88" w14:textId="77777777">
        <w:tblPrEx>
          <w:tblCellMar>
            <w:top w:w="0" w:type="dxa"/>
            <w:bottom w:w="0" w:type="dxa"/>
          </w:tblCellMar>
        </w:tblPrEx>
        <w:trPr>
          <w:trHeight w:val="66"/>
        </w:trPr>
        <w:tc>
          <w:tcPr>
            <w:tcW w:w="4757" w:type="dxa"/>
            <w:tcBorders>
              <w:top w:val="nil"/>
              <w:left w:val="nil"/>
              <w:bottom w:val="nil"/>
              <w:right w:val="nil"/>
            </w:tcBorders>
            <w:vAlign w:val="center"/>
          </w:tcPr>
          <w:p w14:paraId="6545F2DE"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Loan</w:t>
            </w:r>
          </w:p>
        </w:tc>
        <w:tc>
          <w:tcPr>
            <w:tcW w:w="1417" w:type="dxa"/>
            <w:tcBorders>
              <w:top w:val="nil"/>
              <w:left w:val="nil"/>
              <w:bottom w:val="single" w:sz="4" w:space="0" w:color="auto"/>
              <w:right w:val="nil"/>
            </w:tcBorders>
          </w:tcPr>
          <w:p w14:paraId="478325D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w:t>
            </w:r>
          </w:p>
        </w:tc>
        <w:tc>
          <w:tcPr>
            <w:tcW w:w="1417" w:type="dxa"/>
            <w:tcBorders>
              <w:top w:val="nil"/>
              <w:left w:val="nil"/>
              <w:bottom w:val="single" w:sz="4" w:space="0" w:color="auto"/>
              <w:right w:val="nil"/>
            </w:tcBorders>
            <w:vAlign w:val="center"/>
          </w:tcPr>
          <w:p w14:paraId="0D504264"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w:t>
            </w:r>
          </w:p>
        </w:tc>
        <w:tc>
          <w:tcPr>
            <w:tcW w:w="1417" w:type="dxa"/>
            <w:tcBorders>
              <w:top w:val="nil"/>
              <w:left w:val="nil"/>
              <w:bottom w:val="single" w:sz="4" w:space="0" w:color="auto"/>
              <w:right w:val="nil"/>
            </w:tcBorders>
          </w:tcPr>
          <w:p w14:paraId="5B0FA52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15.0</w:t>
            </w:r>
          </w:p>
        </w:tc>
      </w:tr>
      <w:tr w:rsidR="00756913" w:rsidRPr="00756913" w14:paraId="19C27039" w14:textId="77777777">
        <w:tblPrEx>
          <w:tblCellMar>
            <w:top w:w="0" w:type="dxa"/>
            <w:bottom w:w="0" w:type="dxa"/>
          </w:tblCellMar>
        </w:tblPrEx>
        <w:tc>
          <w:tcPr>
            <w:tcW w:w="4757" w:type="dxa"/>
            <w:tcBorders>
              <w:top w:val="nil"/>
              <w:left w:val="nil"/>
              <w:bottom w:val="nil"/>
              <w:right w:val="nil"/>
            </w:tcBorders>
          </w:tcPr>
          <w:p w14:paraId="67225065"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20"/>
                <w:szCs w:val="20"/>
                <w14:ligatures w14:val="standardContextual"/>
              </w:rPr>
            </w:pPr>
          </w:p>
        </w:tc>
        <w:tc>
          <w:tcPr>
            <w:tcW w:w="1417" w:type="dxa"/>
            <w:tcBorders>
              <w:top w:val="nil"/>
              <w:left w:val="nil"/>
              <w:bottom w:val="nil"/>
              <w:right w:val="nil"/>
            </w:tcBorders>
            <w:vAlign w:val="bottom"/>
          </w:tcPr>
          <w:p w14:paraId="2A73100E"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1417" w:type="dxa"/>
            <w:tcBorders>
              <w:top w:val="nil"/>
              <w:left w:val="nil"/>
              <w:bottom w:val="nil"/>
              <w:right w:val="nil"/>
            </w:tcBorders>
          </w:tcPr>
          <w:p w14:paraId="1B3BC001"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1417" w:type="dxa"/>
            <w:tcBorders>
              <w:top w:val="nil"/>
              <w:left w:val="nil"/>
              <w:bottom w:val="nil"/>
              <w:right w:val="nil"/>
            </w:tcBorders>
            <w:vAlign w:val="bottom"/>
          </w:tcPr>
          <w:p w14:paraId="5E41B4D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p>
        </w:tc>
      </w:tr>
      <w:tr w:rsidR="00756913" w:rsidRPr="00756913" w14:paraId="031DD5B9" w14:textId="77777777">
        <w:tblPrEx>
          <w:tblCellMar>
            <w:top w:w="0" w:type="dxa"/>
            <w:bottom w:w="0" w:type="dxa"/>
          </w:tblCellMar>
        </w:tblPrEx>
        <w:tc>
          <w:tcPr>
            <w:tcW w:w="4757" w:type="dxa"/>
            <w:tcBorders>
              <w:top w:val="nil"/>
              <w:left w:val="nil"/>
              <w:bottom w:val="nil"/>
              <w:right w:val="nil"/>
            </w:tcBorders>
            <w:vAlign w:val="center"/>
          </w:tcPr>
          <w:p w14:paraId="5357FA5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b/>
                <w:bCs/>
                <w:sz w:val="18"/>
                <w:szCs w:val="18"/>
                <w14:ligatures w14:val="standardContextual"/>
              </w:rPr>
              <w:t>Current</w:t>
            </w:r>
          </w:p>
        </w:tc>
        <w:tc>
          <w:tcPr>
            <w:tcW w:w="1417" w:type="dxa"/>
            <w:tcBorders>
              <w:top w:val="nil"/>
              <w:left w:val="nil"/>
              <w:bottom w:val="nil"/>
              <w:right w:val="nil"/>
            </w:tcBorders>
            <w:vAlign w:val="center"/>
          </w:tcPr>
          <w:p w14:paraId="712AFDCB"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1417" w:type="dxa"/>
            <w:tcBorders>
              <w:top w:val="nil"/>
              <w:left w:val="nil"/>
              <w:bottom w:val="nil"/>
              <w:right w:val="nil"/>
            </w:tcBorders>
            <w:vAlign w:val="center"/>
          </w:tcPr>
          <w:p w14:paraId="19574511"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p>
        </w:tc>
        <w:tc>
          <w:tcPr>
            <w:tcW w:w="1417" w:type="dxa"/>
            <w:tcBorders>
              <w:top w:val="nil"/>
              <w:left w:val="nil"/>
              <w:bottom w:val="nil"/>
              <w:right w:val="nil"/>
            </w:tcBorders>
            <w:vAlign w:val="center"/>
          </w:tcPr>
          <w:p w14:paraId="44015B71"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p>
        </w:tc>
      </w:tr>
      <w:tr w:rsidR="00756913" w:rsidRPr="00756913" w14:paraId="565BAB4E" w14:textId="77777777">
        <w:tblPrEx>
          <w:tblCellMar>
            <w:top w:w="0" w:type="dxa"/>
            <w:bottom w:w="0" w:type="dxa"/>
          </w:tblCellMar>
        </w:tblPrEx>
        <w:trPr>
          <w:trHeight w:val="66"/>
        </w:trPr>
        <w:tc>
          <w:tcPr>
            <w:tcW w:w="4757" w:type="dxa"/>
            <w:tcBorders>
              <w:top w:val="nil"/>
              <w:left w:val="nil"/>
              <w:bottom w:val="nil"/>
              <w:right w:val="nil"/>
            </w:tcBorders>
            <w:vAlign w:val="center"/>
          </w:tcPr>
          <w:p w14:paraId="2A9CBB41"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Revolving credit facility</w:t>
            </w:r>
          </w:p>
        </w:tc>
        <w:tc>
          <w:tcPr>
            <w:tcW w:w="1417" w:type="dxa"/>
            <w:tcBorders>
              <w:top w:val="nil"/>
              <w:left w:val="nil"/>
              <w:bottom w:val="nil"/>
              <w:right w:val="nil"/>
            </w:tcBorders>
          </w:tcPr>
          <w:p w14:paraId="59C8641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33.0</w:t>
            </w:r>
          </w:p>
        </w:tc>
        <w:tc>
          <w:tcPr>
            <w:tcW w:w="1417" w:type="dxa"/>
            <w:tcBorders>
              <w:top w:val="nil"/>
              <w:left w:val="nil"/>
              <w:bottom w:val="nil"/>
              <w:right w:val="nil"/>
            </w:tcBorders>
            <w:vAlign w:val="center"/>
          </w:tcPr>
          <w:p w14:paraId="77B3942C"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4.5</w:t>
            </w:r>
          </w:p>
        </w:tc>
        <w:tc>
          <w:tcPr>
            <w:tcW w:w="1417" w:type="dxa"/>
            <w:tcBorders>
              <w:top w:val="nil"/>
              <w:left w:val="nil"/>
              <w:bottom w:val="nil"/>
              <w:right w:val="nil"/>
            </w:tcBorders>
          </w:tcPr>
          <w:p w14:paraId="3F485E6F"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28.0</w:t>
            </w:r>
          </w:p>
        </w:tc>
      </w:tr>
      <w:tr w:rsidR="00756913" w:rsidRPr="00756913" w14:paraId="7E8FD078" w14:textId="77777777">
        <w:tblPrEx>
          <w:tblCellMar>
            <w:top w:w="0" w:type="dxa"/>
            <w:bottom w:w="0" w:type="dxa"/>
          </w:tblCellMar>
        </w:tblPrEx>
        <w:trPr>
          <w:trHeight w:val="66"/>
        </w:trPr>
        <w:tc>
          <w:tcPr>
            <w:tcW w:w="4757" w:type="dxa"/>
            <w:tcBorders>
              <w:top w:val="nil"/>
              <w:left w:val="nil"/>
              <w:bottom w:val="nil"/>
              <w:right w:val="nil"/>
            </w:tcBorders>
            <w:vAlign w:val="center"/>
          </w:tcPr>
          <w:p w14:paraId="15C7A728"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r w:rsidRPr="00756913">
              <w:rPr>
                <w:rFonts w:ascii="Arial" w:hAnsi="Arial" w:cs="Arial"/>
                <w:sz w:val="18"/>
                <w:szCs w:val="18"/>
                <w14:ligatures w14:val="standardContextual"/>
              </w:rPr>
              <w:t>Loan</w:t>
            </w:r>
          </w:p>
        </w:tc>
        <w:tc>
          <w:tcPr>
            <w:tcW w:w="1417" w:type="dxa"/>
            <w:tcBorders>
              <w:top w:val="nil"/>
              <w:left w:val="nil"/>
              <w:bottom w:val="single" w:sz="4" w:space="0" w:color="auto"/>
              <w:right w:val="nil"/>
            </w:tcBorders>
          </w:tcPr>
          <w:p w14:paraId="27645883"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15.0</w:t>
            </w:r>
          </w:p>
        </w:tc>
        <w:tc>
          <w:tcPr>
            <w:tcW w:w="1417" w:type="dxa"/>
            <w:tcBorders>
              <w:top w:val="nil"/>
              <w:left w:val="nil"/>
              <w:bottom w:val="single" w:sz="4" w:space="0" w:color="auto"/>
              <w:right w:val="nil"/>
            </w:tcBorders>
            <w:vAlign w:val="center"/>
          </w:tcPr>
          <w:p w14:paraId="4FA46F28"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30.0</w:t>
            </w:r>
          </w:p>
        </w:tc>
        <w:tc>
          <w:tcPr>
            <w:tcW w:w="1417" w:type="dxa"/>
            <w:tcBorders>
              <w:top w:val="nil"/>
              <w:left w:val="nil"/>
              <w:bottom w:val="single" w:sz="4" w:space="0" w:color="auto"/>
              <w:right w:val="nil"/>
            </w:tcBorders>
          </w:tcPr>
          <w:p w14:paraId="72493C00"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20.0</w:t>
            </w:r>
          </w:p>
        </w:tc>
      </w:tr>
      <w:tr w:rsidR="00756913" w:rsidRPr="00756913" w14:paraId="3221D0E8" w14:textId="77777777">
        <w:tblPrEx>
          <w:tblCellMar>
            <w:top w:w="0" w:type="dxa"/>
            <w:bottom w:w="0" w:type="dxa"/>
          </w:tblCellMar>
        </w:tblPrEx>
        <w:trPr>
          <w:trHeight w:val="66"/>
        </w:trPr>
        <w:tc>
          <w:tcPr>
            <w:tcW w:w="4757" w:type="dxa"/>
            <w:tcBorders>
              <w:top w:val="nil"/>
              <w:left w:val="nil"/>
              <w:bottom w:val="nil"/>
              <w:right w:val="nil"/>
            </w:tcBorders>
            <w:vAlign w:val="center"/>
          </w:tcPr>
          <w:p w14:paraId="6E3D9130"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sz w:val="18"/>
                <w:szCs w:val="18"/>
                <w14:ligatures w14:val="standardContextual"/>
              </w:rPr>
            </w:pPr>
          </w:p>
        </w:tc>
        <w:tc>
          <w:tcPr>
            <w:tcW w:w="1417" w:type="dxa"/>
            <w:tcBorders>
              <w:top w:val="single" w:sz="4" w:space="0" w:color="auto"/>
              <w:left w:val="nil"/>
              <w:bottom w:val="single" w:sz="4" w:space="0" w:color="auto"/>
              <w:right w:val="nil"/>
            </w:tcBorders>
          </w:tcPr>
          <w:p w14:paraId="4AF7D98B"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48.0</w:t>
            </w:r>
          </w:p>
        </w:tc>
        <w:tc>
          <w:tcPr>
            <w:tcW w:w="1417" w:type="dxa"/>
            <w:tcBorders>
              <w:top w:val="single" w:sz="4" w:space="0" w:color="auto"/>
              <w:left w:val="nil"/>
              <w:bottom w:val="single" w:sz="4" w:space="0" w:color="auto"/>
              <w:right w:val="nil"/>
            </w:tcBorders>
            <w:vAlign w:val="center"/>
          </w:tcPr>
          <w:p w14:paraId="2161941F"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34.5</w:t>
            </w:r>
          </w:p>
        </w:tc>
        <w:tc>
          <w:tcPr>
            <w:tcW w:w="1417" w:type="dxa"/>
            <w:tcBorders>
              <w:top w:val="single" w:sz="4" w:space="0" w:color="auto"/>
              <w:left w:val="nil"/>
              <w:bottom w:val="single" w:sz="4" w:space="0" w:color="auto"/>
              <w:right w:val="nil"/>
            </w:tcBorders>
          </w:tcPr>
          <w:p w14:paraId="377C2EF2" w14:textId="77777777" w:rsidR="00756913" w:rsidRPr="00756913" w:rsidRDefault="00756913" w:rsidP="00756913">
            <w:pPr>
              <w:tabs>
                <w:tab w:val="decimal" w:pos="964"/>
                <w:tab w:val="decimal" w:pos="1070"/>
              </w:tabs>
              <w:autoSpaceDE w:val="0"/>
              <w:autoSpaceDN w:val="0"/>
              <w:adjustRightInd w:val="0"/>
              <w:spacing w:after="0" w:line="240" w:lineRule="auto"/>
              <w:ind w:right="80"/>
              <w:jc w:val="right"/>
              <w:rPr>
                <w:rFonts w:ascii="Arial" w:hAnsi="Arial" w:cs="Arial"/>
                <w:sz w:val="18"/>
                <w:szCs w:val="18"/>
                <w14:ligatures w14:val="standardContextual"/>
              </w:rPr>
            </w:pPr>
            <w:r w:rsidRPr="00756913">
              <w:rPr>
                <w:rFonts w:ascii="Arial" w:hAnsi="Arial" w:cs="Arial"/>
                <w:sz w:val="18"/>
                <w:szCs w:val="18"/>
                <w14:ligatures w14:val="standardContextual"/>
              </w:rPr>
              <w:t>48.0</w:t>
            </w:r>
          </w:p>
        </w:tc>
      </w:tr>
    </w:tbl>
    <w:p w14:paraId="565829B3" w14:textId="77777777" w:rsidR="00756913" w:rsidRPr="00756913" w:rsidRDefault="00756913" w:rsidP="00756913">
      <w:pPr>
        <w:autoSpaceDE w:val="0"/>
        <w:autoSpaceDN w:val="0"/>
        <w:adjustRightInd w:val="0"/>
        <w:spacing w:after="0" w:line="240" w:lineRule="auto"/>
        <w:rPr>
          <w:rFonts w:ascii="Arial" w:hAnsi="Arial" w:cs="Arial"/>
          <w:b/>
          <w:bCs/>
          <w:color w:val="FF0000"/>
          <w:sz w:val="18"/>
          <w:szCs w:val="18"/>
          <w14:ligatures w14:val="standardContextual"/>
        </w:rPr>
      </w:pPr>
    </w:p>
    <w:p w14:paraId="0F449491" w14:textId="77777777" w:rsidR="00756913" w:rsidRPr="00756913" w:rsidRDefault="00756913" w:rsidP="00756913">
      <w:pPr>
        <w:autoSpaceDE w:val="0"/>
        <w:autoSpaceDN w:val="0"/>
        <w:adjustRightInd w:val="0"/>
        <w:spacing w:after="0" w:line="240" w:lineRule="auto"/>
        <w:jc w:val="both"/>
        <w:rPr>
          <w:rFonts w:ascii="Arial" w:hAnsi="Arial" w:cs="Arial"/>
          <w:b/>
          <w:bCs/>
          <w:sz w:val="18"/>
          <w:szCs w:val="18"/>
          <w14:ligatures w14:val="standardContextual"/>
        </w:rPr>
      </w:pPr>
    </w:p>
    <w:p w14:paraId="55043EAA"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hanging="360"/>
        <w:jc w:val="both"/>
        <w:rPr>
          <w:rFonts w:ascii="Arial" w:hAnsi="Arial" w:cs="Arial"/>
          <w:b/>
          <w:bCs/>
          <w:sz w:val="20"/>
          <w:szCs w:val="20"/>
          <w14:ligatures w14:val="standardContextual"/>
        </w:rPr>
      </w:pPr>
      <w:r w:rsidRPr="00756913">
        <w:rPr>
          <w:rFonts w:ascii="Arial" w:hAnsi="Arial" w:cs="Arial"/>
          <w:sz w:val="20"/>
          <w:szCs w:val="20"/>
          <w14:ligatures w14:val="standardContextual"/>
        </w:rPr>
        <w:t>9.</w:t>
      </w:r>
      <w:r w:rsidRPr="00756913">
        <w:rPr>
          <w:rFonts w:ascii="Arial" w:hAnsi="Arial" w:cs="Arial"/>
          <w:sz w:val="20"/>
          <w:szCs w:val="20"/>
          <w14:ligatures w14:val="standardContextual"/>
        </w:rPr>
        <w:tab/>
      </w:r>
      <w:r w:rsidRPr="00756913">
        <w:rPr>
          <w:rFonts w:ascii="Arial" w:hAnsi="Arial" w:cs="Arial"/>
          <w:b/>
          <w:bCs/>
          <w:sz w:val="20"/>
          <w:szCs w:val="20"/>
          <w14:ligatures w14:val="standardContextual"/>
        </w:rPr>
        <w:t>Provisions</w:t>
      </w:r>
    </w:p>
    <w:p w14:paraId="1EE4DE3F" w14:textId="77777777" w:rsidR="00756913" w:rsidRPr="00756913" w:rsidRDefault="00756913" w:rsidP="00756913">
      <w:pPr>
        <w:autoSpaceDE w:val="0"/>
        <w:autoSpaceDN w:val="0"/>
        <w:adjustRightInd w:val="0"/>
        <w:spacing w:line="252"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Provisions relate to the estimated cost of restoring leased properties to their pre-lease condition at the end of the lease term. On initial recognition, estimated dilapidation costs are included in the cost of the right-of-use asset within property, plant and equipment and are subsequently depreciated over the lease term. There has been no change in the carrying value of dilapidations provisions during the period. At 31 December 2023 and 30 June 2023, dilapidations liabilities of £1.9m were presented within trade and other payables. During the period they have been reclassified as provisions; however as the carrying value is not material no prior period restatement has been recognised.</w:t>
      </w:r>
    </w:p>
    <w:p w14:paraId="4D2ECC3C"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after="130" w:line="260" w:lineRule="exact"/>
        <w:ind w:left="360" w:hanging="360"/>
        <w:jc w:val="both"/>
        <w:rPr>
          <w:rFonts w:ascii="Arial" w:hAnsi="Arial" w:cs="Arial"/>
          <w:b/>
          <w:bCs/>
          <w:sz w:val="20"/>
          <w:szCs w:val="20"/>
          <w14:ligatures w14:val="standardContextual"/>
        </w:rPr>
      </w:pPr>
      <w:r w:rsidRPr="00756913">
        <w:rPr>
          <w:rFonts w:ascii="Arial" w:hAnsi="Arial" w:cs="Arial"/>
          <w:sz w:val="20"/>
          <w:szCs w:val="20"/>
          <w14:ligatures w14:val="standardContextual"/>
        </w:rPr>
        <w:t>10.</w:t>
      </w:r>
      <w:r w:rsidRPr="00756913">
        <w:rPr>
          <w:rFonts w:ascii="Arial" w:hAnsi="Arial" w:cs="Arial"/>
          <w:sz w:val="20"/>
          <w:szCs w:val="20"/>
          <w14:ligatures w14:val="standardContextual"/>
        </w:rPr>
        <w:tab/>
      </w:r>
      <w:r w:rsidRPr="00756913">
        <w:rPr>
          <w:rFonts w:ascii="Arial" w:hAnsi="Arial" w:cs="Arial"/>
          <w:b/>
          <w:bCs/>
          <w:sz w:val="20"/>
          <w:szCs w:val="20"/>
          <w14:ligatures w14:val="standardContextual"/>
        </w:rPr>
        <w:t>Commitments and contingencies</w:t>
      </w:r>
    </w:p>
    <w:p w14:paraId="175E003A" w14:textId="77777777" w:rsidR="00756913" w:rsidRPr="00756913" w:rsidRDefault="00756913" w:rsidP="00756913">
      <w:pPr>
        <w:autoSpaceDE w:val="0"/>
        <w:autoSpaceDN w:val="0"/>
        <w:adjustRightInd w:val="0"/>
        <w:spacing w:before="160" w:after="0" w:line="240" w:lineRule="auto"/>
        <w:rPr>
          <w:rFonts w:ascii="Arial" w:hAnsi="Arial" w:cs="Arial"/>
          <w:sz w:val="20"/>
          <w:szCs w:val="20"/>
          <w14:ligatures w14:val="standardContextual"/>
        </w:rPr>
      </w:pPr>
      <w:r w:rsidRPr="00756913">
        <w:rPr>
          <w:rFonts w:ascii="Arial" w:hAnsi="Arial" w:cs="Arial"/>
          <w:sz w:val="20"/>
          <w:szCs w:val="20"/>
          <w14:ligatures w14:val="standardContextual"/>
        </w:rPr>
        <w:t>At 30 June 2024, the Group was committed to incur future capital expenditure of £0.8m (2023: £1.2m).</w:t>
      </w:r>
    </w:p>
    <w:p w14:paraId="0C3B702A"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Comparable with most companies of our size, the Group is a defendant in a small number of disputes incidental to its operations and from time to time is under regulatory scrutiny. </w:t>
      </w:r>
    </w:p>
    <w:p w14:paraId="5F4AAC7C"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As a leading website operator, the Group occasionally experiences operational issues as a result of technological oversights that in some instances can lead to customer detriment, dispute and potential cash outflows. The Group has a professional indemnity insurance policy in order to mitigate liabilities arising out of events such as this. The contingencies outlined above are not expected to have a material adverse effect on the Group.</w:t>
      </w:r>
    </w:p>
    <w:p w14:paraId="4EC7F7D9" w14:textId="77777777" w:rsidR="00756913" w:rsidRPr="00756913" w:rsidRDefault="00756913" w:rsidP="00756913">
      <w:pPr>
        <w:tabs>
          <w:tab w:val="left" w:pos="1559"/>
          <w:tab w:val="left" w:pos="2268"/>
          <w:tab w:val="left" w:pos="2977"/>
          <w:tab w:val="left" w:pos="3686"/>
          <w:tab w:val="left" w:pos="4394"/>
          <w:tab w:val="right" w:pos="8789"/>
        </w:tabs>
        <w:autoSpaceDE w:val="0"/>
        <w:autoSpaceDN w:val="0"/>
        <w:adjustRightInd w:val="0"/>
        <w:spacing w:before="240" w:after="130" w:line="260" w:lineRule="exact"/>
        <w:ind w:left="360" w:hanging="360"/>
        <w:rPr>
          <w:rFonts w:ascii="Arial" w:hAnsi="Arial" w:cs="Arial"/>
          <w:b/>
          <w:bCs/>
          <w:sz w:val="20"/>
          <w:szCs w:val="20"/>
          <w14:ligatures w14:val="standardContextual"/>
        </w:rPr>
      </w:pPr>
      <w:r w:rsidRPr="00756913">
        <w:rPr>
          <w:rFonts w:ascii="Arial" w:hAnsi="Arial" w:cs="Arial"/>
          <w:sz w:val="20"/>
          <w:szCs w:val="20"/>
          <w14:ligatures w14:val="standardContextual"/>
        </w:rPr>
        <w:t>11.</w:t>
      </w:r>
      <w:r w:rsidRPr="00756913">
        <w:rPr>
          <w:rFonts w:ascii="Arial" w:hAnsi="Arial" w:cs="Arial"/>
          <w:sz w:val="20"/>
          <w:szCs w:val="20"/>
          <w14:ligatures w14:val="standardContextual"/>
        </w:rPr>
        <w:tab/>
      </w:r>
      <w:r w:rsidRPr="00756913">
        <w:rPr>
          <w:rFonts w:ascii="Arial" w:hAnsi="Arial" w:cs="Arial"/>
          <w:b/>
          <w:bCs/>
          <w:sz w:val="20"/>
          <w:szCs w:val="20"/>
          <w14:ligatures w14:val="standardContextual"/>
        </w:rPr>
        <w:t>Non-controlling interest</w:t>
      </w:r>
    </w:p>
    <w:p w14:paraId="687C21C3" w14:textId="77777777" w:rsidR="00756913" w:rsidRPr="00756913" w:rsidRDefault="00756913" w:rsidP="00756913">
      <w:pPr>
        <w:suppressAutoHyphens/>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The Group recognises two non-controlling interests, one in respect of Ice Travel Group Limited and its two wholly owned subsidiaries Travelsupermarket Limited and Icelolly Marketing Limited (together “Ice Travel Group”), and secondly in respect of Podium Solutions Limited.</w:t>
      </w:r>
    </w:p>
    <w:p w14:paraId="7D281F30" w14:textId="77777777" w:rsidR="00756913" w:rsidRPr="00756913" w:rsidRDefault="00756913" w:rsidP="00756913">
      <w:pPr>
        <w:suppressAutoHyphens/>
        <w:autoSpaceDE w:val="0"/>
        <w:autoSpaceDN w:val="0"/>
        <w:adjustRightInd w:val="0"/>
        <w:spacing w:before="160"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The following table summarises the financial performance and position of these companies at the period end before any intra-group eliminations.</w:t>
      </w:r>
    </w:p>
    <w:p w14:paraId="07415D1E" w14:textId="77777777" w:rsidR="00756913" w:rsidRPr="00756913" w:rsidRDefault="00756913" w:rsidP="00756913">
      <w:pPr>
        <w:suppressAutoHyphens/>
        <w:autoSpaceDE w:val="0"/>
        <w:autoSpaceDN w:val="0"/>
        <w:adjustRightInd w:val="0"/>
        <w:spacing w:before="160" w:after="0" w:line="240" w:lineRule="auto"/>
        <w:jc w:val="both"/>
        <w:rPr>
          <w:rFonts w:ascii="Arial" w:hAnsi="Arial" w:cs="Arial"/>
          <w:sz w:val="20"/>
          <w:szCs w:val="20"/>
          <w14:ligatures w14:val="standardContextual"/>
        </w:rPr>
      </w:pPr>
    </w:p>
    <w:tbl>
      <w:tblPr>
        <w:tblW w:w="0" w:type="auto"/>
        <w:tblLayout w:type="fixed"/>
        <w:tblCellMar>
          <w:left w:w="10" w:type="dxa"/>
          <w:right w:w="10" w:type="dxa"/>
        </w:tblCellMar>
        <w:tblLook w:val="0000" w:firstRow="0" w:lastRow="0" w:firstColumn="0" w:lastColumn="0" w:noHBand="0" w:noVBand="0"/>
      </w:tblPr>
      <w:tblGrid>
        <w:gridCol w:w="6096"/>
        <w:gridCol w:w="102"/>
        <w:gridCol w:w="1172"/>
        <w:gridCol w:w="994"/>
        <w:gridCol w:w="708"/>
      </w:tblGrid>
      <w:tr w:rsidR="00756913" w:rsidRPr="00756913" w14:paraId="2A233EAB" w14:textId="77777777">
        <w:tblPrEx>
          <w:tblCellMar>
            <w:top w:w="0" w:type="dxa"/>
            <w:bottom w:w="0" w:type="dxa"/>
          </w:tblCellMar>
        </w:tblPrEx>
        <w:trPr>
          <w:trHeight w:val="628"/>
        </w:trPr>
        <w:tc>
          <w:tcPr>
            <w:tcW w:w="6096" w:type="dxa"/>
            <w:tcBorders>
              <w:top w:val="nil"/>
              <w:left w:val="nil"/>
              <w:bottom w:val="nil"/>
              <w:right w:val="nil"/>
            </w:tcBorders>
            <w:vAlign w:val="bottom"/>
          </w:tcPr>
          <w:p w14:paraId="719DF1EE"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At 30 June 2024</w:t>
            </w:r>
          </w:p>
        </w:tc>
        <w:tc>
          <w:tcPr>
            <w:tcW w:w="102" w:type="dxa"/>
            <w:tcBorders>
              <w:top w:val="nil"/>
              <w:left w:val="nil"/>
              <w:bottom w:val="nil"/>
              <w:right w:val="nil"/>
            </w:tcBorders>
          </w:tcPr>
          <w:p w14:paraId="535733D7"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p>
        </w:tc>
        <w:tc>
          <w:tcPr>
            <w:tcW w:w="1172" w:type="dxa"/>
            <w:tcBorders>
              <w:top w:val="nil"/>
              <w:left w:val="nil"/>
              <w:bottom w:val="nil"/>
              <w:right w:val="nil"/>
            </w:tcBorders>
          </w:tcPr>
          <w:p w14:paraId="536CAD06"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Podium Solutions Limited</w:t>
            </w:r>
          </w:p>
        </w:tc>
        <w:tc>
          <w:tcPr>
            <w:tcW w:w="994" w:type="dxa"/>
            <w:tcBorders>
              <w:top w:val="nil"/>
              <w:left w:val="nil"/>
              <w:bottom w:val="nil"/>
              <w:right w:val="nil"/>
            </w:tcBorders>
            <w:vAlign w:val="bottom"/>
          </w:tcPr>
          <w:p w14:paraId="0B36AAEE"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b/>
                <w:bCs/>
                <w:sz w:val="18"/>
                <w:szCs w:val="18"/>
                <w14:ligatures w14:val="standardContextual"/>
              </w:rPr>
              <w:t>Ice Travel Group</w:t>
            </w:r>
          </w:p>
        </w:tc>
        <w:tc>
          <w:tcPr>
            <w:tcW w:w="708" w:type="dxa"/>
            <w:tcBorders>
              <w:top w:val="nil"/>
              <w:left w:val="nil"/>
              <w:bottom w:val="nil"/>
              <w:right w:val="nil"/>
            </w:tcBorders>
            <w:vAlign w:val="bottom"/>
          </w:tcPr>
          <w:p w14:paraId="4B482794"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Total</w:t>
            </w:r>
          </w:p>
        </w:tc>
      </w:tr>
      <w:tr w:rsidR="00756913" w:rsidRPr="00756913" w14:paraId="18F4C241" w14:textId="77777777">
        <w:tblPrEx>
          <w:tblCellMar>
            <w:top w:w="0" w:type="dxa"/>
            <w:bottom w:w="0" w:type="dxa"/>
          </w:tblCellMar>
        </w:tblPrEx>
        <w:trPr>
          <w:trHeight w:val="218"/>
        </w:trPr>
        <w:tc>
          <w:tcPr>
            <w:tcW w:w="6096" w:type="dxa"/>
            <w:tcBorders>
              <w:top w:val="nil"/>
              <w:left w:val="nil"/>
              <w:bottom w:val="nil"/>
              <w:right w:val="nil"/>
            </w:tcBorders>
            <w:vAlign w:val="bottom"/>
          </w:tcPr>
          <w:p w14:paraId="25280129"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Non-controlling interest</w:t>
            </w:r>
          </w:p>
        </w:tc>
        <w:tc>
          <w:tcPr>
            <w:tcW w:w="102" w:type="dxa"/>
            <w:tcBorders>
              <w:top w:val="nil"/>
              <w:left w:val="nil"/>
              <w:bottom w:val="nil"/>
              <w:right w:val="nil"/>
            </w:tcBorders>
          </w:tcPr>
          <w:p w14:paraId="0AC14FF9"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p>
        </w:tc>
        <w:tc>
          <w:tcPr>
            <w:tcW w:w="1172" w:type="dxa"/>
            <w:tcBorders>
              <w:top w:val="nil"/>
              <w:left w:val="nil"/>
              <w:bottom w:val="single" w:sz="4" w:space="0" w:color="auto"/>
              <w:right w:val="nil"/>
            </w:tcBorders>
          </w:tcPr>
          <w:p w14:paraId="3525C146"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48%</w:t>
            </w:r>
          </w:p>
        </w:tc>
        <w:tc>
          <w:tcPr>
            <w:tcW w:w="994" w:type="dxa"/>
            <w:tcBorders>
              <w:top w:val="nil"/>
              <w:left w:val="nil"/>
              <w:bottom w:val="single" w:sz="4" w:space="0" w:color="auto"/>
              <w:right w:val="nil"/>
            </w:tcBorders>
            <w:vAlign w:val="bottom"/>
          </w:tcPr>
          <w:p w14:paraId="04746EA7"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33%</w:t>
            </w:r>
          </w:p>
        </w:tc>
        <w:tc>
          <w:tcPr>
            <w:tcW w:w="708" w:type="dxa"/>
            <w:tcBorders>
              <w:top w:val="nil"/>
              <w:left w:val="nil"/>
              <w:bottom w:val="single" w:sz="4" w:space="0" w:color="auto"/>
              <w:right w:val="nil"/>
            </w:tcBorders>
            <w:vAlign w:val="bottom"/>
          </w:tcPr>
          <w:p w14:paraId="01C5B671"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p>
        </w:tc>
      </w:tr>
      <w:tr w:rsidR="00756913" w:rsidRPr="00756913" w14:paraId="7C1F5888" w14:textId="77777777">
        <w:tblPrEx>
          <w:tblCellMar>
            <w:top w:w="0" w:type="dxa"/>
            <w:bottom w:w="0" w:type="dxa"/>
          </w:tblCellMar>
        </w:tblPrEx>
        <w:trPr>
          <w:trHeight w:val="209"/>
        </w:trPr>
        <w:tc>
          <w:tcPr>
            <w:tcW w:w="6096" w:type="dxa"/>
            <w:tcBorders>
              <w:top w:val="nil"/>
              <w:left w:val="nil"/>
              <w:bottom w:val="nil"/>
              <w:right w:val="nil"/>
            </w:tcBorders>
            <w:vAlign w:val="bottom"/>
          </w:tcPr>
          <w:p w14:paraId="00CCE9BF"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p>
        </w:tc>
        <w:tc>
          <w:tcPr>
            <w:tcW w:w="102" w:type="dxa"/>
            <w:tcBorders>
              <w:top w:val="nil"/>
              <w:left w:val="nil"/>
              <w:bottom w:val="nil"/>
              <w:right w:val="nil"/>
            </w:tcBorders>
          </w:tcPr>
          <w:p w14:paraId="502FFC5C"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p>
        </w:tc>
        <w:tc>
          <w:tcPr>
            <w:tcW w:w="1172" w:type="dxa"/>
            <w:tcBorders>
              <w:top w:val="single" w:sz="4" w:space="0" w:color="auto"/>
              <w:left w:val="nil"/>
              <w:bottom w:val="nil"/>
              <w:right w:val="nil"/>
            </w:tcBorders>
          </w:tcPr>
          <w:p w14:paraId="5BF12332"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994" w:type="dxa"/>
            <w:tcBorders>
              <w:top w:val="single" w:sz="4" w:space="0" w:color="auto"/>
              <w:left w:val="nil"/>
              <w:bottom w:val="nil"/>
              <w:right w:val="nil"/>
            </w:tcBorders>
            <w:vAlign w:val="bottom"/>
          </w:tcPr>
          <w:p w14:paraId="4CE02F4C"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708" w:type="dxa"/>
            <w:tcBorders>
              <w:top w:val="single" w:sz="4" w:space="0" w:color="auto"/>
              <w:left w:val="nil"/>
              <w:bottom w:val="nil"/>
              <w:right w:val="nil"/>
            </w:tcBorders>
            <w:vAlign w:val="bottom"/>
          </w:tcPr>
          <w:p w14:paraId="4F83534C"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r>
      <w:tr w:rsidR="00756913" w:rsidRPr="00756913" w14:paraId="3500A63C" w14:textId="77777777">
        <w:tblPrEx>
          <w:tblCellMar>
            <w:top w:w="0" w:type="dxa"/>
            <w:bottom w:w="0" w:type="dxa"/>
          </w:tblCellMar>
        </w:tblPrEx>
        <w:trPr>
          <w:trHeight w:val="218"/>
        </w:trPr>
        <w:tc>
          <w:tcPr>
            <w:tcW w:w="6096" w:type="dxa"/>
            <w:tcBorders>
              <w:top w:val="nil"/>
              <w:left w:val="nil"/>
              <w:bottom w:val="nil"/>
              <w:right w:val="nil"/>
            </w:tcBorders>
            <w:vAlign w:val="bottom"/>
          </w:tcPr>
          <w:p w14:paraId="59945603"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Non-current assets*</w:t>
            </w:r>
          </w:p>
        </w:tc>
        <w:tc>
          <w:tcPr>
            <w:tcW w:w="102" w:type="dxa"/>
            <w:tcBorders>
              <w:top w:val="nil"/>
              <w:left w:val="nil"/>
              <w:bottom w:val="nil"/>
              <w:right w:val="nil"/>
            </w:tcBorders>
            <w:vAlign w:val="center"/>
          </w:tcPr>
          <w:p w14:paraId="2AB48DA1"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nil"/>
              <w:right w:val="nil"/>
            </w:tcBorders>
            <w:vAlign w:val="center"/>
          </w:tcPr>
          <w:p w14:paraId="6BAA197A"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1.6</w:t>
            </w:r>
          </w:p>
        </w:tc>
        <w:tc>
          <w:tcPr>
            <w:tcW w:w="994" w:type="dxa"/>
            <w:tcBorders>
              <w:top w:val="single" w:sz="4" w:space="0" w:color="auto"/>
              <w:left w:val="nil"/>
              <w:bottom w:val="nil"/>
              <w:right w:val="nil"/>
            </w:tcBorders>
            <w:vAlign w:val="center"/>
          </w:tcPr>
          <w:p w14:paraId="77A03BCD"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13.9</w:t>
            </w:r>
          </w:p>
        </w:tc>
        <w:tc>
          <w:tcPr>
            <w:tcW w:w="708" w:type="dxa"/>
            <w:tcBorders>
              <w:top w:val="single" w:sz="4" w:space="0" w:color="auto"/>
              <w:left w:val="nil"/>
              <w:bottom w:val="nil"/>
              <w:right w:val="nil"/>
            </w:tcBorders>
            <w:vAlign w:val="center"/>
          </w:tcPr>
          <w:p w14:paraId="5923299F"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15.5</w:t>
            </w:r>
          </w:p>
        </w:tc>
      </w:tr>
      <w:tr w:rsidR="00756913" w:rsidRPr="00756913" w14:paraId="2C897208" w14:textId="77777777">
        <w:tblPrEx>
          <w:tblCellMar>
            <w:top w:w="0" w:type="dxa"/>
            <w:bottom w:w="0" w:type="dxa"/>
          </w:tblCellMar>
        </w:tblPrEx>
        <w:trPr>
          <w:trHeight w:val="209"/>
        </w:trPr>
        <w:tc>
          <w:tcPr>
            <w:tcW w:w="6096" w:type="dxa"/>
            <w:tcBorders>
              <w:top w:val="nil"/>
              <w:left w:val="nil"/>
              <w:bottom w:val="nil"/>
              <w:right w:val="nil"/>
            </w:tcBorders>
            <w:vAlign w:val="bottom"/>
          </w:tcPr>
          <w:p w14:paraId="74F60DBB"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Current assets</w:t>
            </w:r>
          </w:p>
        </w:tc>
        <w:tc>
          <w:tcPr>
            <w:tcW w:w="102" w:type="dxa"/>
            <w:tcBorders>
              <w:top w:val="nil"/>
              <w:left w:val="nil"/>
              <w:bottom w:val="nil"/>
              <w:right w:val="nil"/>
            </w:tcBorders>
            <w:vAlign w:val="center"/>
          </w:tcPr>
          <w:p w14:paraId="1E79B925"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nil"/>
              <w:left w:val="nil"/>
              <w:bottom w:val="nil"/>
              <w:right w:val="nil"/>
            </w:tcBorders>
            <w:vAlign w:val="center"/>
          </w:tcPr>
          <w:p w14:paraId="3EC07DCF"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1.1</w:t>
            </w:r>
          </w:p>
        </w:tc>
        <w:tc>
          <w:tcPr>
            <w:tcW w:w="994" w:type="dxa"/>
            <w:tcBorders>
              <w:top w:val="nil"/>
              <w:left w:val="nil"/>
              <w:bottom w:val="nil"/>
              <w:right w:val="nil"/>
            </w:tcBorders>
            <w:vAlign w:val="center"/>
          </w:tcPr>
          <w:p w14:paraId="79A73EF8"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13.1</w:t>
            </w:r>
          </w:p>
        </w:tc>
        <w:tc>
          <w:tcPr>
            <w:tcW w:w="708" w:type="dxa"/>
            <w:tcBorders>
              <w:top w:val="nil"/>
              <w:left w:val="nil"/>
              <w:bottom w:val="nil"/>
              <w:right w:val="nil"/>
            </w:tcBorders>
            <w:vAlign w:val="center"/>
          </w:tcPr>
          <w:p w14:paraId="2027A8F5"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14.2</w:t>
            </w:r>
          </w:p>
        </w:tc>
      </w:tr>
      <w:tr w:rsidR="00756913" w:rsidRPr="00756913" w14:paraId="51201DA0" w14:textId="77777777">
        <w:tblPrEx>
          <w:tblCellMar>
            <w:top w:w="0" w:type="dxa"/>
            <w:bottom w:w="0" w:type="dxa"/>
          </w:tblCellMar>
        </w:tblPrEx>
        <w:trPr>
          <w:trHeight w:val="209"/>
        </w:trPr>
        <w:tc>
          <w:tcPr>
            <w:tcW w:w="6096" w:type="dxa"/>
            <w:tcBorders>
              <w:top w:val="nil"/>
              <w:left w:val="nil"/>
              <w:bottom w:val="nil"/>
              <w:right w:val="nil"/>
            </w:tcBorders>
            <w:vAlign w:val="bottom"/>
          </w:tcPr>
          <w:p w14:paraId="2FE86B22"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Non-current liabilities</w:t>
            </w:r>
          </w:p>
        </w:tc>
        <w:tc>
          <w:tcPr>
            <w:tcW w:w="102" w:type="dxa"/>
            <w:tcBorders>
              <w:top w:val="nil"/>
              <w:left w:val="nil"/>
              <w:bottom w:val="nil"/>
              <w:right w:val="nil"/>
            </w:tcBorders>
            <w:vAlign w:val="center"/>
          </w:tcPr>
          <w:p w14:paraId="0262C31C"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nil"/>
              <w:left w:val="nil"/>
              <w:bottom w:val="nil"/>
              <w:right w:val="nil"/>
            </w:tcBorders>
            <w:vAlign w:val="center"/>
          </w:tcPr>
          <w:p w14:paraId="21E3AECA"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(2.0)</w:t>
            </w:r>
          </w:p>
        </w:tc>
        <w:tc>
          <w:tcPr>
            <w:tcW w:w="994" w:type="dxa"/>
            <w:tcBorders>
              <w:top w:val="nil"/>
              <w:left w:val="nil"/>
              <w:bottom w:val="nil"/>
              <w:right w:val="nil"/>
            </w:tcBorders>
          </w:tcPr>
          <w:p w14:paraId="36B535E8"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(7.7)</w:t>
            </w:r>
          </w:p>
        </w:tc>
        <w:tc>
          <w:tcPr>
            <w:tcW w:w="708" w:type="dxa"/>
            <w:tcBorders>
              <w:top w:val="nil"/>
              <w:left w:val="nil"/>
              <w:bottom w:val="nil"/>
              <w:right w:val="nil"/>
            </w:tcBorders>
          </w:tcPr>
          <w:p w14:paraId="60E1CA70"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(9.7)</w:t>
            </w:r>
          </w:p>
        </w:tc>
      </w:tr>
      <w:tr w:rsidR="00756913" w:rsidRPr="00756913" w14:paraId="08320711" w14:textId="77777777">
        <w:tblPrEx>
          <w:tblCellMar>
            <w:top w:w="0" w:type="dxa"/>
            <w:bottom w:w="0" w:type="dxa"/>
          </w:tblCellMar>
        </w:tblPrEx>
        <w:trPr>
          <w:trHeight w:val="209"/>
        </w:trPr>
        <w:tc>
          <w:tcPr>
            <w:tcW w:w="6096" w:type="dxa"/>
            <w:tcBorders>
              <w:top w:val="nil"/>
              <w:left w:val="nil"/>
              <w:bottom w:val="nil"/>
              <w:right w:val="nil"/>
            </w:tcBorders>
            <w:vAlign w:val="bottom"/>
          </w:tcPr>
          <w:p w14:paraId="581D7564"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Current liabilities</w:t>
            </w:r>
          </w:p>
        </w:tc>
        <w:tc>
          <w:tcPr>
            <w:tcW w:w="102" w:type="dxa"/>
            <w:tcBorders>
              <w:top w:val="nil"/>
              <w:left w:val="nil"/>
              <w:bottom w:val="nil"/>
              <w:right w:val="nil"/>
            </w:tcBorders>
            <w:vAlign w:val="center"/>
          </w:tcPr>
          <w:p w14:paraId="7D2D573D"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nil"/>
              <w:left w:val="nil"/>
              <w:bottom w:val="single" w:sz="4" w:space="0" w:color="auto"/>
              <w:right w:val="nil"/>
            </w:tcBorders>
            <w:vAlign w:val="center"/>
          </w:tcPr>
          <w:p w14:paraId="4F78BE2A"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(1.9)</w:t>
            </w:r>
          </w:p>
        </w:tc>
        <w:tc>
          <w:tcPr>
            <w:tcW w:w="994" w:type="dxa"/>
            <w:tcBorders>
              <w:top w:val="nil"/>
              <w:left w:val="nil"/>
              <w:bottom w:val="single" w:sz="4" w:space="0" w:color="auto"/>
              <w:right w:val="nil"/>
            </w:tcBorders>
          </w:tcPr>
          <w:p w14:paraId="66242699"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(1.1)</w:t>
            </w:r>
          </w:p>
        </w:tc>
        <w:tc>
          <w:tcPr>
            <w:tcW w:w="708" w:type="dxa"/>
            <w:tcBorders>
              <w:top w:val="nil"/>
              <w:left w:val="nil"/>
              <w:bottom w:val="single" w:sz="4" w:space="0" w:color="auto"/>
              <w:right w:val="nil"/>
            </w:tcBorders>
          </w:tcPr>
          <w:p w14:paraId="13E9B784"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(3.0)</w:t>
            </w:r>
          </w:p>
        </w:tc>
      </w:tr>
      <w:tr w:rsidR="00756913" w:rsidRPr="00756913" w14:paraId="3A8317C9" w14:textId="77777777">
        <w:tblPrEx>
          <w:tblCellMar>
            <w:top w:w="0" w:type="dxa"/>
            <w:bottom w:w="0" w:type="dxa"/>
          </w:tblCellMar>
        </w:tblPrEx>
        <w:trPr>
          <w:trHeight w:val="218"/>
        </w:trPr>
        <w:tc>
          <w:tcPr>
            <w:tcW w:w="6096" w:type="dxa"/>
            <w:tcBorders>
              <w:top w:val="nil"/>
              <w:left w:val="nil"/>
              <w:bottom w:val="nil"/>
              <w:right w:val="nil"/>
            </w:tcBorders>
            <w:vAlign w:val="bottom"/>
          </w:tcPr>
          <w:p w14:paraId="0245CEED"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Net assets</w:t>
            </w:r>
          </w:p>
        </w:tc>
        <w:tc>
          <w:tcPr>
            <w:tcW w:w="102" w:type="dxa"/>
            <w:tcBorders>
              <w:top w:val="nil"/>
              <w:left w:val="nil"/>
              <w:bottom w:val="nil"/>
              <w:right w:val="nil"/>
            </w:tcBorders>
            <w:vAlign w:val="center"/>
          </w:tcPr>
          <w:p w14:paraId="4B2012F8"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single" w:sz="4" w:space="0" w:color="auto"/>
              <w:right w:val="nil"/>
            </w:tcBorders>
          </w:tcPr>
          <w:p w14:paraId="288488C4"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(1.2)</w:t>
            </w:r>
          </w:p>
        </w:tc>
        <w:tc>
          <w:tcPr>
            <w:tcW w:w="994" w:type="dxa"/>
            <w:tcBorders>
              <w:top w:val="single" w:sz="4" w:space="0" w:color="auto"/>
              <w:left w:val="nil"/>
              <w:bottom w:val="single" w:sz="4" w:space="0" w:color="auto"/>
              <w:right w:val="nil"/>
            </w:tcBorders>
          </w:tcPr>
          <w:p w14:paraId="7F7F9B6B"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18.2 </w:t>
            </w:r>
          </w:p>
        </w:tc>
        <w:tc>
          <w:tcPr>
            <w:tcW w:w="708" w:type="dxa"/>
            <w:tcBorders>
              <w:top w:val="single" w:sz="4" w:space="0" w:color="auto"/>
              <w:left w:val="nil"/>
              <w:bottom w:val="single" w:sz="4" w:space="0" w:color="auto"/>
              <w:right w:val="nil"/>
            </w:tcBorders>
          </w:tcPr>
          <w:p w14:paraId="5D7A5E5E"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17.0 </w:t>
            </w:r>
          </w:p>
        </w:tc>
      </w:tr>
      <w:tr w:rsidR="00756913" w:rsidRPr="00756913" w14:paraId="76E0C1A8" w14:textId="77777777">
        <w:tblPrEx>
          <w:tblCellMar>
            <w:top w:w="0" w:type="dxa"/>
            <w:bottom w:w="0" w:type="dxa"/>
          </w:tblCellMar>
        </w:tblPrEx>
        <w:trPr>
          <w:trHeight w:val="209"/>
        </w:trPr>
        <w:tc>
          <w:tcPr>
            <w:tcW w:w="6096" w:type="dxa"/>
            <w:tcBorders>
              <w:top w:val="nil"/>
              <w:left w:val="nil"/>
              <w:bottom w:val="nil"/>
              <w:right w:val="nil"/>
            </w:tcBorders>
            <w:vAlign w:val="bottom"/>
          </w:tcPr>
          <w:p w14:paraId="5234597A"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Net assets attributable to non-controlling interest</w:t>
            </w:r>
          </w:p>
        </w:tc>
        <w:tc>
          <w:tcPr>
            <w:tcW w:w="102" w:type="dxa"/>
            <w:tcBorders>
              <w:top w:val="nil"/>
              <w:left w:val="nil"/>
              <w:bottom w:val="nil"/>
              <w:right w:val="nil"/>
            </w:tcBorders>
            <w:vAlign w:val="center"/>
          </w:tcPr>
          <w:p w14:paraId="3D5986E5"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single" w:sz="4" w:space="0" w:color="auto"/>
              <w:right w:val="nil"/>
            </w:tcBorders>
          </w:tcPr>
          <w:p w14:paraId="2E98D669"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(0.6)</w:t>
            </w:r>
          </w:p>
        </w:tc>
        <w:tc>
          <w:tcPr>
            <w:tcW w:w="994" w:type="dxa"/>
            <w:tcBorders>
              <w:top w:val="single" w:sz="4" w:space="0" w:color="auto"/>
              <w:left w:val="nil"/>
              <w:bottom w:val="single" w:sz="4" w:space="0" w:color="auto"/>
              <w:right w:val="nil"/>
            </w:tcBorders>
          </w:tcPr>
          <w:p w14:paraId="38663E1B"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6.0 </w:t>
            </w:r>
          </w:p>
        </w:tc>
        <w:tc>
          <w:tcPr>
            <w:tcW w:w="708" w:type="dxa"/>
            <w:tcBorders>
              <w:top w:val="single" w:sz="4" w:space="0" w:color="auto"/>
              <w:left w:val="nil"/>
              <w:bottom w:val="single" w:sz="4" w:space="0" w:color="auto"/>
              <w:right w:val="nil"/>
            </w:tcBorders>
          </w:tcPr>
          <w:p w14:paraId="456961FB"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5.4 </w:t>
            </w:r>
          </w:p>
        </w:tc>
      </w:tr>
      <w:tr w:rsidR="00756913" w:rsidRPr="00756913" w14:paraId="29E818F2" w14:textId="77777777">
        <w:tblPrEx>
          <w:tblCellMar>
            <w:top w:w="0" w:type="dxa"/>
            <w:bottom w:w="0" w:type="dxa"/>
          </w:tblCellMar>
        </w:tblPrEx>
        <w:trPr>
          <w:trHeight w:val="209"/>
        </w:trPr>
        <w:tc>
          <w:tcPr>
            <w:tcW w:w="6096" w:type="dxa"/>
            <w:tcBorders>
              <w:top w:val="nil"/>
              <w:left w:val="nil"/>
              <w:bottom w:val="nil"/>
              <w:right w:val="nil"/>
            </w:tcBorders>
            <w:vAlign w:val="bottom"/>
          </w:tcPr>
          <w:p w14:paraId="27724451"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Revenue</w:t>
            </w:r>
          </w:p>
        </w:tc>
        <w:tc>
          <w:tcPr>
            <w:tcW w:w="102" w:type="dxa"/>
            <w:tcBorders>
              <w:top w:val="nil"/>
              <w:left w:val="nil"/>
              <w:bottom w:val="nil"/>
              <w:right w:val="nil"/>
            </w:tcBorders>
            <w:vAlign w:val="center"/>
          </w:tcPr>
          <w:p w14:paraId="65B39BAF"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nil"/>
              <w:right w:val="nil"/>
            </w:tcBorders>
          </w:tcPr>
          <w:p w14:paraId="3668749F"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0.5 </w:t>
            </w:r>
          </w:p>
        </w:tc>
        <w:tc>
          <w:tcPr>
            <w:tcW w:w="994" w:type="dxa"/>
            <w:tcBorders>
              <w:top w:val="single" w:sz="4" w:space="0" w:color="auto"/>
              <w:left w:val="nil"/>
              <w:bottom w:val="nil"/>
              <w:right w:val="nil"/>
            </w:tcBorders>
          </w:tcPr>
          <w:p w14:paraId="604ECEC0"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11.1 </w:t>
            </w:r>
          </w:p>
        </w:tc>
        <w:tc>
          <w:tcPr>
            <w:tcW w:w="708" w:type="dxa"/>
            <w:tcBorders>
              <w:top w:val="single" w:sz="4" w:space="0" w:color="auto"/>
              <w:left w:val="nil"/>
              <w:bottom w:val="nil"/>
              <w:right w:val="nil"/>
            </w:tcBorders>
          </w:tcPr>
          <w:p w14:paraId="4A5E9788"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11.6 </w:t>
            </w:r>
          </w:p>
        </w:tc>
      </w:tr>
      <w:tr w:rsidR="00756913" w:rsidRPr="00756913" w14:paraId="67366A1B" w14:textId="77777777">
        <w:tblPrEx>
          <w:tblCellMar>
            <w:top w:w="0" w:type="dxa"/>
            <w:bottom w:w="0" w:type="dxa"/>
          </w:tblCellMar>
        </w:tblPrEx>
        <w:trPr>
          <w:trHeight w:val="209"/>
        </w:trPr>
        <w:tc>
          <w:tcPr>
            <w:tcW w:w="6096" w:type="dxa"/>
            <w:tcBorders>
              <w:top w:val="nil"/>
              <w:left w:val="nil"/>
              <w:bottom w:val="nil"/>
              <w:right w:val="nil"/>
            </w:tcBorders>
            <w:vAlign w:val="bottom"/>
          </w:tcPr>
          <w:p w14:paraId="4811BBE7"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(Loss)/Profit</w:t>
            </w:r>
          </w:p>
        </w:tc>
        <w:tc>
          <w:tcPr>
            <w:tcW w:w="102" w:type="dxa"/>
            <w:tcBorders>
              <w:top w:val="nil"/>
              <w:left w:val="nil"/>
              <w:bottom w:val="nil"/>
              <w:right w:val="nil"/>
            </w:tcBorders>
            <w:vAlign w:val="center"/>
          </w:tcPr>
          <w:p w14:paraId="6B626B66"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nil"/>
              <w:left w:val="nil"/>
              <w:bottom w:val="nil"/>
              <w:right w:val="nil"/>
            </w:tcBorders>
          </w:tcPr>
          <w:p w14:paraId="39BF2A22"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(0.6)</w:t>
            </w:r>
          </w:p>
        </w:tc>
        <w:tc>
          <w:tcPr>
            <w:tcW w:w="994" w:type="dxa"/>
            <w:tcBorders>
              <w:top w:val="nil"/>
              <w:left w:val="nil"/>
              <w:bottom w:val="nil"/>
              <w:right w:val="nil"/>
            </w:tcBorders>
          </w:tcPr>
          <w:p w14:paraId="75C01A6A"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0.5 </w:t>
            </w:r>
          </w:p>
        </w:tc>
        <w:tc>
          <w:tcPr>
            <w:tcW w:w="708" w:type="dxa"/>
            <w:tcBorders>
              <w:top w:val="nil"/>
              <w:left w:val="nil"/>
              <w:bottom w:val="nil"/>
              <w:right w:val="nil"/>
            </w:tcBorders>
          </w:tcPr>
          <w:p w14:paraId="65C239F5"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r>
      <w:tr w:rsidR="00756913" w:rsidRPr="00756913" w14:paraId="7552A518" w14:textId="77777777">
        <w:tblPrEx>
          <w:tblCellMar>
            <w:top w:w="0" w:type="dxa"/>
            <w:bottom w:w="0" w:type="dxa"/>
          </w:tblCellMar>
        </w:tblPrEx>
        <w:trPr>
          <w:trHeight w:val="218"/>
        </w:trPr>
        <w:tc>
          <w:tcPr>
            <w:tcW w:w="6096" w:type="dxa"/>
            <w:tcBorders>
              <w:top w:val="nil"/>
              <w:left w:val="nil"/>
              <w:bottom w:val="nil"/>
              <w:right w:val="nil"/>
            </w:tcBorders>
            <w:vAlign w:val="bottom"/>
          </w:tcPr>
          <w:p w14:paraId="2D91828C"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Total comprehensive income</w:t>
            </w:r>
          </w:p>
        </w:tc>
        <w:tc>
          <w:tcPr>
            <w:tcW w:w="102" w:type="dxa"/>
            <w:tcBorders>
              <w:top w:val="nil"/>
              <w:left w:val="nil"/>
              <w:bottom w:val="nil"/>
              <w:right w:val="nil"/>
            </w:tcBorders>
            <w:vAlign w:val="center"/>
          </w:tcPr>
          <w:p w14:paraId="424A0E8C"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single" w:sz="4" w:space="0" w:color="auto"/>
              <w:right w:val="nil"/>
            </w:tcBorders>
          </w:tcPr>
          <w:p w14:paraId="2E1CFAF6"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(0.6)</w:t>
            </w:r>
          </w:p>
        </w:tc>
        <w:tc>
          <w:tcPr>
            <w:tcW w:w="994" w:type="dxa"/>
            <w:tcBorders>
              <w:top w:val="single" w:sz="4" w:space="0" w:color="auto"/>
              <w:left w:val="nil"/>
              <w:bottom w:val="single" w:sz="4" w:space="0" w:color="auto"/>
              <w:right w:val="nil"/>
            </w:tcBorders>
          </w:tcPr>
          <w:p w14:paraId="28D46AA3"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0.5 </w:t>
            </w:r>
          </w:p>
        </w:tc>
        <w:tc>
          <w:tcPr>
            <w:tcW w:w="708" w:type="dxa"/>
            <w:tcBorders>
              <w:top w:val="single" w:sz="4" w:space="0" w:color="auto"/>
              <w:left w:val="nil"/>
              <w:bottom w:val="single" w:sz="4" w:space="0" w:color="auto"/>
              <w:right w:val="nil"/>
            </w:tcBorders>
          </w:tcPr>
          <w:p w14:paraId="780BBCB0"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r>
      <w:tr w:rsidR="00756913" w:rsidRPr="00756913" w14:paraId="0C2BFF3A" w14:textId="77777777">
        <w:tblPrEx>
          <w:tblCellMar>
            <w:top w:w="0" w:type="dxa"/>
            <w:bottom w:w="0" w:type="dxa"/>
          </w:tblCellMar>
        </w:tblPrEx>
        <w:trPr>
          <w:trHeight w:val="209"/>
        </w:trPr>
        <w:tc>
          <w:tcPr>
            <w:tcW w:w="6096" w:type="dxa"/>
            <w:tcBorders>
              <w:top w:val="nil"/>
              <w:left w:val="nil"/>
              <w:bottom w:val="nil"/>
              <w:right w:val="nil"/>
            </w:tcBorders>
            <w:vAlign w:val="bottom"/>
          </w:tcPr>
          <w:p w14:paraId="7E947EFA"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(Loss)/Profit attributable to the non-controlling interest</w:t>
            </w:r>
          </w:p>
        </w:tc>
        <w:tc>
          <w:tcPr>
            <w:tcW w:w="102" w:type="dxa"/>
            <w:tcBorders>
              <w:top w:val="nil"/>
              <w:left w:val="nil"/>
              <w:bottom w:val="nil"/>
              <w:right w:val="nil"/>
            </w:tcBorders>
            <w:vAlign w:val="center"/>
          </w:tcPr>
          <w:p w14:paraId="21D8475D"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nil"/>
              <w:right w:val="nil"/>
            </w:tcBorders>
          </w:tcPr>
          <w:p w14:paraId="01368F15"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c>
          <w:tcPr>
            <w:tcW w:w="994" w:type="dxa"/>
            <w:tcBorders>
              <w:top w:val="single" w:sz="4" w:space="0" w:color="auto"/>
              <w:left w:val="nil"/>
              <w:bottom w:val="nil"/>
              <w:right w:val="nil"/>
            </w:tcBorders>
          </w:tcPr>
          <w:p w14:paraId="251BD95E"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0.2 </w:t>
            </w:r>
          </w:p>
        </w:tc>
        <w:tc>
          <w:tcPr>
            <w:tcW w:w="708" w:type="dxa"/>
            <w:tcBorders>
              <w:top w:val="single" w:sz="4" w:space="0" w:color="auto"/>
              <w:left w:val="nil"/>
              <w:bottom w:val="nil"/>
              <w:right w:val="nil"/>
            </w:tcBorders>
          </w:tcPr>
          <w:p w14:paraId="386EC297"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r>
      <w:tr w:rsidR="00756913" w:rsidRPr="00756913" w14:paraId="7418E1E0" w14:textId="77777777">
        <w:tblPrEx>
          <w:tblCellMar>
            <w:top w:w="0" w:type="dxa"/>
            <w:bottom w:w="0" w:type="dxa"/>
          </w:tblCellMar>
        </w:tblPrEx>
        <w:trPr>
          <w:trHeight w:val="128"/>
        </w:trPr>
        <w:tc>
          <w:tcPr>
            <w:tcW w:w="6096" w:type="dxa"/>
            <w:tcBorders>
              <w:top w:val="nil"/>
              <w:left w:val="nil"/>
              <w:bottom w:val="nil"/>
              <w:right w:val="nil"/>
            </w:tcBorders>
            <w:vAlign w:val="bottom"/>
          </w:tcPr>
          <w:p w14:paraId="0EEB0022"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Total comprehensive income attributable to non-controlling interest</w:t>
            </w:r>
          </w:p>
        </w:tc>
        <w:tc>
          <w:tcPr>
            <w:tcW w:w="102" w:type="dxa"/>
            <w:tcBorders>
              <w:top w:val="nil"/>
              <w:left w:val="nil"/>
              <w:bottom w:val="nil"/>
              <w:right w:val="nil"/>
            </w:tcBorders>
            <w:vAlign w:val="center"/>
          </w:tcPr>
          <w:p w14:paraId="6870C455"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single" w:sz="4" w:space="0" w:color="auto"/>
              <w:right w:val="nil"/>
            </w:tcBorders>
          </w:tcPr>
          <w:p w14:paraId="4928E29F"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c>
          <w:tcPr>
            <w:tcW w:w="994" w:type="dxa"/>
            <w:tcBorders>
              <w:top w:val="single" w:sz="4" w:space="0" w:color="auto"/>
              <w:left w:val="nil"/>
              <w:bottom w:val="single" w:sz="4" w:space="0" w:color="auto"/>
              <w:right w:val="nil"/>
            </w:tcBorders>
          </w:tcPr>
          <w:p w14:paraId="408ABD43"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0.2 </w:t>
            </w:r>
          </w:p>
        </w:tc>
        <w:tc>
          <w:tcPr>
            <w:tcW w:w="708" w:type="dxa"/>
            <w:tcBorders>
              <w:top w:val="single" w:sz="4" w:space="0" w:color="auto"/>
              <w:left w:val="nil"/>
              <w:bottom w:val="single" w:sz="4" w:space="0" w:color="auto"/>
              <w:right w:val="nil"/>
            </w:tcBorders>
          </w:tcPr>
          <w:p w14:paraId="258B8277"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r>
      <w:tr w:rsidR="00756913" w:rsidRPr="00756913" w14:paraId="16C05B1E" w14:textId="77777777">
        <w:tblPrEx>
          <w:tblCellMar>
            <w:top w:w="0" w:type="dxa"/>
            <w:bottom w:w="0" w:type="dxa"/>
          </w:tblCellMar>
        </w:tblPrEx>
        <w:trPr>
          <w:trHeight w:val="209"/>
        </w:trPr>
        <w:tc>
          <w:tcPr>
            <w:tcW w:w="6096" w:type="dxa"/>
            <w:tcBorders>
              <w:top w:val="nil"/>
              <w:left w:val="nil"/>
              <w:bottom w:val="nil"/>
              <w:right w:val="nil"/>
            </w:tcBorders>
            <w:vAlign w:val="bottom"/>
          </w:tcPr>
          <w:p w14:paraId="799E359F"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Cash flows from operating activities</w:t>
            </w:r>
          </w:p>
        </w:tc>
        <w:tc>
          <w:tcPr>
            <w:tcW w:w="102" w:type="dxa"/>
            <w:tcBorders>
              <w:top w:val="nil"/>
              <w:left w:val="nil"/>
              <w:bottom w:val="nil"/>
              <w:right w:val="nil"/>
            </w:tcBorders>
            <w:vAlign w:val="center"/>
          </w:tcPr>
          <w:p w14:paraId="457C20A7"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nil"/>
              <w:right w:val="nil"/>
            </w:tcBorders>
          </w:tcPr>
          <w:p w14:paraId="45FD854D"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c>
          <w:tcPr>
            <w:tcW w:w="994" w:type="dxa"/>
            <w:tcBorders>
              <w:top w:val="single" w:sz="4" w:space="0" w:color="auto"/>
              <w:left w:val="nil"/>
              <w:bottom w:val="nil"/>
              <w:right w:val="nil"/>
            </w:tcBorders>
          </w:tcPr>
          <w:p w14:paraId="29EFC4A0"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1.3 </w:t>
            </w:r>
          </w:p>
        </w:tc>
        <w:tc>
          <w:tcPr>
            <w:tcW w:w="708" w:type="dxa"/>
            <w:tcBorders>
              <w:top w:val="single" w:sz="4" w:space="0" w:color="auto"/>
              <w:left w:val="nil"/>
              <w:bottom w:val="nil"/>
              <w:right w:val="nil"/>
            </w:tcBorders>
          </w:tcPr>
          <w:p w14:paraId="6E56E5F2"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1.2 </w:t>
            </w:r>
          </w:p>
        </w:tc>
      </w:tr>
      <w:tr w:rsidR="00756913" w:rsidRPr="00756913" w14:paraId="35D502FC" w14:textId="77777777">
        <w:tblPrEx>
          <w:tblCellMar>
            <w:top w:w="0" w:type="dxa"/>
            <w:bottom w:w="0" w:type="dxa"/>
          </w:tblCellMar>
        </w:tblPrEx>
        <w:trPr>
          <w:trHeight w:val="209"/>
        </w:trPr>
        <w:tc>
          <w:tcPr>
            <w:tcW w:w="6096" w:type="dxa"/>
            <w:tcBorders>
              <w:top w:val="nil"/>
              <w:left w:val="nil"/>
              <w:bottom w:val="nil"/>
              <w:right w:val="nil"/>
            </w:tcBorders>
            <w:vAlign w:val="bottom"/>
          </w:tcPr>
          <w:p w14:paraId="6C745E72"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sz w:val="18"/>
                <w:szCs w:val="18"/>
                <w14:ligatures w14:val="standardContextual"/>
              </w:rPr>
              <w:t>Cash flows from investing activities</w:t>
            </w:r>
          </w:p>
        </w:tc>
        <w:tc>
          <w:tcPr>
            <w:tcW w:w="102" w:type="dxa"/>
            <w:tcBorders>
              <w:top w:val="nil"/>
              <w:left w:val="nil"/>
              <w:bottom w:val="nil"/>
              <w:right w:val="nil"/>
            </w:tcBorders>
            <w:vAlign w:val="center"/>
          </w:tcPr>
          <w:p w14:paraId="47581F5E"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nil"/>
              <w:left w:val="nil"/>
              <w:bottom w:val="nil"/>
              <w:right w:val="nil"/>
            </w:tcBorders>
          </w:tcPr>
          <w:p w14:paraId="1AB83EFB"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 </w:t>
            </w:r>
          </w:p>
        </w:tc>
        <w:tc>
          <w:tcPr>
            <w:tcW w:w="994" w:type="dxa"/>
            <w:tcBorders>
              <w:top w:val="nil"/>
              <w:left w:val="nil"/>
              <w:bottom w:val="nil"/>
              <w:right w:val="nil"/>
            </w:tcBorders>
          </w:tcPr>
          <w:p w14:paraId="2954D0E4"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c>
          <w:tcPr>
            <w:tcW w:w="708" w:type="dxa"/>
            <w:tcBorders>
              <w:top w:val="nil"/>
              <w:left w:val="nil"/>
              <w:bottom w:val="nil"/>
              <w:right w:val="nil"/>
            </w:tcBorders>
          </w:tcPr>
          <w:p w14:paraId="35DE8D07"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r>
      <w:tr w:rsidR="00756913" w:rsidRPr="00756913" w14:paraId="45543E47" w14:textId="77777777">
        <w:tblPrEx>
          <w:tblCellMar>
            <w:top w:w="0" w:type="dxa"/>
            <w:bottom w:w="0" w:type="dxa"/>
          </w:tblCellMar>
        </w:tblPrEx>
        <w:trPr>
          <w:trHeight w:val="218"/>
        </w:trPr>
        <w:tc>
          <w:tcPr>
            <w:tcW w:w="6096" w:type="dxa"/>
            <w:tcBorders>
              <w:top w:val="nil"/>
              <w:left w:val="nil"/>
              <w:bottom w:val="nil"/>
              <w:right w:val="nil"/>
            </w:tcBorders>
            <w:vAlign w:val="bottom"/>
          </w:tcPr>
          <w:p w14:paraId="47E0554A"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Net increase in cash and cash equivalents</w:t>
            </w:r>
          </w:p>
        </w:tc>
        <w:tc>
          <w:tcPr>
            <w:tcW w:w="102" w:type="dxa"/>
            <w:tcBorders>
              <w:top w:val="nil"/>
              <w:left w:val="nil"/>
              <w:bottom w:val="nil"/>
              <w:right w:val="nil"/>
            </w:tcBorders>
            <w:vAlign w:val="center"/>
          </w:tcPr>
          <w:p w14:paraId="0434C643"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single" w:sz="4" w:space="0" w:color="auto"/>
              <w:right w:val="nil"/>
            </w:tcBorders>
          </w:tcPr>
          <w:p w14:paraId="77A6ABAA"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(0.1)</w:t>
            </w:r>
          </w:p>
        </w:tc>
        <w:tc>
          <w:tcPr>
            <w:tcW w:w="994" w:type="dxa"/>
            <w:tcBorders>
              <w:top w:val="single" w:sz="4" w:space="0" w:color="auto"/>
              <w:left w:val="nil"/>
              <w:bottom w:val="single" w:sz="4" w:space="0" w:color="auto"/>
              <w:right w:val="nil"/>
            </w:tcBorders>
          </w:tcPr>
          <w:p w14:paraId="501482DB"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0.9 </w:t>
            </w:r>
          </w:p>
        </w:tc>
        <w:tc>
          <w:tcPr>
            <w:tcW w:w="708" w:type="dxa"/>
            <w:tcBorders>
              <w:top w:val="single" w:sz="4" w:space="0" w:color="auto"/>
              <w:left w:val="nil"/>
              <w:bottom w:val="single" w:sz="4" w:space="0" w:color="auto"/>
              <w:right w:val="nil"/>
            </w:tcBorders>
          </w:tcPr>
          <w:p w14:paraId="3DECED31"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0.8 </w:t>
            </w:r>
          </w:p>
        </w:tc>
      </w:tr>
      <w:tr w:rsidR="00756913" w:rsidRPr="00756913" w14:paraId="1087B8C7" w14:textId="77777777">
        <w:tblPrEx>
          <w:tblCellMar>
            <w:top w:w="0" w:type="dxa"/>
            <w:bottom w:w="0" w:type="dxa"/>
          </w:tblCellMar>
        </w:tblPrEx>
        <w:trPr>
          <w:trHeight w:val="397"/>
        </w:trPr>
        <w:tc>
          <w:tcPr>
            <w:tcW w:w="6096" w:type="dxa"/>
            <w:tcBorders>
              <w:top w:val="nil"/>
              <w:left w:val="nil"/>
              <w:bottom w:val="nil"/>
              <w:right w:val="nil"/>
            </w:tcBorders>
            <w:vAlign w:val="bottom"/>
          </w:tcPr>
          <w:p w14:paraId="4BE5FC97"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p>
        </w:tc>
        <w:tc>
          <w:tcPr>
            <w:tcW w:w="102" w:type="dxa"/>
            <w:tcBorders>
              <w:top w:val="nil"/>
              <w:left w:val="nil"/>
              <w:bottom w:val="nil"/>
              <w:right w:val="nil"/>
            </w:tcBorders>
            <w:vAlign w:val="center"/>
          </w:tcPr>
          <w:p w14:paraId="5117FBAE"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p>
        </w:tc>
        <w:tc>
          <w:tcPr>
            <w:tcW w:w="1172" w:type="dxa"/>
            <w:tcBorders>
              <w:top w:val="nil"/>
              <w:left w:val="nil"/>
              <w:bottom w:val="nil"/>
              <w:right w:val="nil"/>
            </w:tcBorders>
          </w:tcPr>
          <w:p w14:paraId="201F1F59"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p>
        </w:tc>
        <w:tc>
          <w:tcPr>
            <w:tcW w:w="994" w:type="dxa"/>
            <w:tcBorders>
              <w:top w:val="nil"/>
              <w:left w:val="nil"/>
              <w:bottom w:val="nil"/>
              <w:right w:val="nil"/>
            </w:tcBorders>
            <w:vAlign w:val="bottom"/>
          </w:tcPr>
          <w:p w14:paraId="65026AB4"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p>
        </w:tc>
        <w:tc>
          <w:tcPr>
            <w:tcW w:w="708" w:type="dxa"/>
            <w:tcBorders>
              <w:top w:val="nil"/>
              <w:left w:val="nil"/>
              <w:bottom w:val="nil"/>
              <w:right w:val="nil"/>
            </w:tcBorders>
            <w:vAlign w:val="bottom"/>
          </w:tcPr>
          <w:p w14:paraId="28C45F46"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p>
        </w:tc>
      </w:tr>
      <w:tr w:rsidR="00756913" w:rsidRPr="00756913" w14:paraId="230CE3F2" w14:textId="77777777">
        <w:tblPrEx>
          <w:tblCellMar>
            <w:top w:w="0" w:type="dxa"/>
            <w:bottom w:w="0" w:type="dxa"/>
          </w:tblCellMar>
        </w:tblPrEx>
        <w:trPr>
          <w:trHeight w:val="628"/>
        </w:trPr>
        <w:tc>
          <w:tcPr>
            <w:tcW w:w="6096" w:type="dxa"/>
            <w:tcBorders>
              <w:top w:val="nil"/>
              <w:left w:val="nil"/>
              <w:bottom w:val="nil"/>
              <w:right w:val="nil"/>
            </w:tcBorders>
            <w:vAlign w:val="bottom"/>
          </w:tcPr>
          <w:p w14:paraId="41C8748C"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At 30 June 2023</w:t>
            </w:r>
          </w:p>
        </w:tc>
        <w:tc>
          <w:tcPr>
            <w:tcW w:w="102" w:type="dxa"/>
            <w:tcBorders>
              <w:top w:val="nil"/>
              <w:left w:val="nil"/>
              <w:bottom w:val="nil"/>
              <w:right w:val="nil"/>
            </w:tcBorders>
          </w:tcPr>
          <w:p w14:paraId="422BF8EC"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p>
        </w:tc>
        <w:tc>
          <w:tcPr>
            <w:tcW w:w="1172" w:type="dxa"/>
            <w:tcBorders>
              <w:top w:val="nil"/>
              <w:left w:val="nil"/>
              <w:bottom w:val="nil"/>
              <w:right w:val="nil"/>
            </w:tcBorders>
          </w:tcPr>
          <w:p w14:paraId="2BF95C50"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Podium Solutions Limited</w:t>
            </w:r>
          </w:p>
        </w:tc>
        <w:tc>
          <w:tcPr>
            <w:tcW w:w="994" w:type="dxa"/>
            <w:tcBorders>
              <w:top w:val="nil"/>
              <w:left w:val="nil"/>
              <w:bottom w:val="nil"/>
              <w:right w:val="nil"/>
            </w:tcBorders>
            <w:vAlign w:val="bottom"/>
          </w:tcPr>
          <w:p w14:paraId="18573617"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b/>
                <w:bCs/>
                <w:sz w:val="18"/>
                <w:szCs w:val="18"/>
                <w14:ligatures w14:val="standardContextual"/>
              </w:rPr>
              <w:t>Ice Travel Group</w:t>
            </w:r>
          </w:p>
        </w:tc>
        <w:tc>
          <w:tcPr>
            <w:tcW w:w="708" w:type="dxa"/>
            <w:tcBorders>
              <w:top w:val="nil"/>
              <w:left w:val="nil"/>
              <w:bottom w:val="nil"/>
              <w:right w:val="nil"/>
            </w:tcBorders>
            <w:vAlign w:val="bottom"/>
          </w:tcPr>
          <w:p w14:paraId="64C2DFB4"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Total</w:t>
            </w:r>
          </w:p>
        </w:tc>
      </w:tr>
      <w:tr w:rsidR="00756913" w:rsidRPr="00756913" w14:paraId="52A04046" w14:textId="77777777">
        <w:tblPrEx>
          <w:tblCellMar>
            <w:top w:w="0" w:type="dxa"/>
            <w:bottom w:w="0" w:type="dxa"/>
          </w:tblCellMar>
        </w:tblPrEx>
        <w:trPr>
          <w:trHeight w:val="218"/>
        </w:trPr>
        <w:tc>
          <w:tcPr>
            <w:tcW w:w="6096" w:type="dxa"/>
            <w:tcBorders>
              <w:top w:val="nil"/>
              <w:left w:val="nil"/>
              <w:bottom w:val="nil"/>
              <w:right w:val="nil"/>
            </w:tcBorders>
            <w:vAlign w:val="bottom"/>
          </w:tcPr>
          <w:p w14:paraId="40916F70"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Non-controlling interest</w:t>
            </w:r>
          </w:p>
        </w:tc>
        <w:tc>
          <w:tcPr>
            <w:tcW w:w="102" w:type="dxa"/>
            <w:tcBorders>
              <w:top w:val="nil"/>
              <w:left w:val="nil"/>
              <w:bottom w:val="nil"/>
              <w:right w:val="nil"/>
            </w:tcBorders>
          </w:tcPr>
          <w:p w14:paraId="266D0231"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p>
        </w:tc>
        <w:tc>
          <w:tcPr>
            <w:tcW w:w="1172" w:type="dxa"/>
            <w:tcBorders>
              <w:top w:val="nil"/>
              <w:left w:val="nil"/>
              <w:bottom w:val="single" w:sz="4" w:space="0" w:color="auto"/>
              <w:right w:val="nil"/>
            </w:tcBorders>
          </w:tcPr>
          <w:p w14:paraId="3EF9D7DC"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48%</w:t>
            </w:r>
          </w:p>
        </w:tc>
        <w:tc>
          <w:tcPr>
            <w:tcW w:w="994" w:type="dxa"/>
            <w:tcBorders>
              <w:top w:val="nil"/>
              <w:left w:val="nil"/>
              <w:bottom w:val="single" w:sz="4" w:space="0" w:color="auto"/>
              <w:right w:val="nil"/>
            </w:tcBorders>
            <w:vAlign w:val="bottom"/>
          </w:tcPr>
          <w:p w14:paraId="11DAE665"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33%</w:t>
            </w:r>
          </w:p>
        </w:tc>
        <w:tc>
          <w:tcPr>
            <w:tcW w:w="708" w:type="dxa"/>
            <w:tcBorders>
              <w:top w:val="nil"/>
              <w:left w:val="nil"/>
              <w:bottom w:val="single" w:sz="4" w:space="0" w:color="auto"/>
              <w:right w:val="nil"/>
            </w:tcBorders>
            <w:vAlign w:val="bottom"/>
          </w:tcPr>
          <w:p w14:paraId="15C57182"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p>
        </w:tc>
      </w:tr>
      <w:tr w:rsidR="00756913" w:rsidRPr="00756913" w14:paraId="3670E63F" w14:textId="77777777">
        <w:tblPrEx>
          <w:tblCellMar>
            <w:top w:w="0" w:type="dxa"/>
            <w:bottom w:w="0" w:type="dxa"/>
          </w:tblCellMar>
        </w:tblPrEx>
        <w:trPr>
          <w:trHeight w:val="209"/>
        </w:trPr>
        <w:tc>
          <w:tcPr>
            <w:tcW w:w="6096" w:type="dxa"/>
            <w:tcBorders>
              <w:top w:val="nil"/>
              <w:left w:val="nil"/>
              <w:bottom w:val="nil"/>
              <w:right w:val="nil"/>
            </w:tcBorders>
            <w:vAlign w:val="bottom"/>
          </w:tcPr>
          <w:p w14:paraId="68CE922C"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p>
        </w:tc>
        <w:tc>
          <w:tcPr>
            <w:tcW w:w="102" w:type="dxa"/>
            <w:tcBorders>
              <w:top w:val="nil"/>
              <w:left w:val="nil"/>
              <w:bottom w:val="nil"/>
              <w:right w:val="nil"/>
            </w:tcBorders>
          </w:tcPr>
          <w:p w14:paraId="57CA8C88"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p>
        </w:tc>
        <w:tc>
          <w:tcPr>
            <w:tcW w:w="1172" w:type="dxa"/>
            <w:tcBorders>
              <w:top w:val="single" w:sz="4" w:space="0" w:color="auto"/>
              <w:left w:val="nil"/>
              <w:bottom w:val="nil"/>
              <w:right w:val="nil"/>
            </w:tcBorders>
          </w:tcPr>
          <w:p w14:paraId="107E227D"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994" w:type="dxa"/>
            <w:tcBorders>
              <w:top w:val="single" w:sz="4" w:space="0" w:color="auto"/>
              <w:left w:val="nil"/>
              <w:bottom w:val="nil"/>
              <w:right w:val="nil"/>
            </w:tcBorders>
            <w:vAlign w:val="bottom"/>
          </w:tcPr>
          <w:p w14:paraId="51FDCA29"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c>
          <w:tcPr>
            <w:tcW w:w="708" w:type="dxa"/>
            <w:tcBorders>
              <w:top w:val="single" w:sz="4" w:space="0" w:color="auto"/>
              <w:left w:val="nil"/>
              <w:bottom w:val="nil"/>
              <w:right w:val="nil"/>
            </w:tcBorders>
            <w:vAlign w:val="bottom"/>
          </w:tcPr>
          <w:p w14:paraId="10415BF1" w14:textId="77777777" w:rsidR="00756913" w:rsidRPr="00756913" w:rsidRDefault="00756913" w:rsidP="00756913">
            <w:pPr>
              <w:suppressAutoHyphens/>
              <w:autoSpaceDE w:val="0"/>
              <w:autoSpaceDN w:val="0"/>
              <w:adjustRightInd w:val="0"/>
              <w:spacing w:after="0" w:line="240" w:lineRule="auto"/>
              <w:jc w:val="right"/>
              <w:rPr>
                <w:rFonts w:ascii="Arial" w:hAnsi="Arial" w:cs="Arial"/>
                <w:b/>
                <w:bCs/>
                <w:sz w:val="18"/>
                <w:szCs w:val="18"/>
                <w14:ligatures w14:val="standardContextual"/>
              </w:rPr>
            </w:pPr>
            <w:r w:rsidRPr="00756913">
              <w:rPr>
                <w:rFonts w:ascii="Arial" w:hAnsi="Arial" w:cs="Arial"/>
                <w:b/>
                <w:bCs/>
                <w:sz w:val="18"/>
                <w:szCs w:val="18"/>
                <w14:ligatures w14:val="standardContextual"/>
              </w:rPr>
              <w:t>£m</w:t>
            </w:r>
          </w:p>
        </w:tc>
      </w:tr>
      <w:tr w:rsidR="00756913" w:rsidRPr="00756913" w14:paraId="00824FA5" w14:textId="77777777">
        <w:tblPrEx>
          <w:tblCellMar>
            <w:top w:w="0" w:type="dxa"/>
            <w:bottom w:w="0" w:type="dxa"/>
          </w:tblCellMar>
        </w:tblPrEx>
        <w:trPr>
          <w:trHeight w:val="218"/>
        </w:trPr>
        <w:tc>
          <w:tcPr>
            <w:tcW w:w="6096" w:type="dxa"/>
            <w:tcBorders>
              <w:top w:val="nil"/>
              <w:left w:val="nil"/>
              <w:bottom w:val="nil"/>
              <w:right w:val="nil"/>
            </w:tcBorders>
            <w:vAlign w:val="bottom"/>
          </w:tcPr>
          <w:p w14:paraId="243DD37C"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Non-current assets*</w:t>
            </w:r>
          </w:p>
        </w:tc>
        <w:tc>
          <w:tcPr>
            <w:tcW w:w="102" w:type="dxa"/>
            <w:tcBorders>
              <w:top w:val="nil"/>
              <w:left w:val="nil"/>
              <w:bottom w:val="nil"/>
              <w:right w:val="nil"/>
            </w:tcBorders>
            <w:vAlign w:val="center"/>
          </w:tcPr>
          <w:p w14:paraId="72E6F24B"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nil"/>
              <w:right w:val="nil"/>
            </w:tcBorders>
            <w:vAlign w:val="center"/>
          </w:tcPr>
          <w:p w14:paraId="20EA1492"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2.7</w:t>
            </w:r>
          </w:p>
        </w:tc>
        <w:tc>
          <w:tcPr>
            <w:tcW w:w="994" w:type="dxa"/>
            <w:tcBorders>
              <w:top w:val="single" w:sz="4" w:space="0" w:color="auto"/>
              <w:left w:val="nil"/>
              <w:bottom w:val="nil"/>
              <w:right w:val="nil"/>
            </w:tcBorders>
            <w:vAlign w:val="center"/>
          </w:tcPr>
          <w:p w14:paraId="4F23D91D"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14.4</w:t>
            </w:r>
          </w:p>
        </w:tc>
        <w:tc>
          <w:tcPr>
            <w:tcW w:w="708" w:type="dxa"/>
            <w:tcBorders>
              <w:top w:val="single" w:sz="4" w:space="0" w:color="auto"/>
              <w:left w:val="nil"/>
              <w:bottom w:val="nil"/>
              <w:right w:val="nil"/>
            </w:tcBorders>
            <w:vAlign w:val="center"/>
          </w:tcPr>
          <w:p w14:paraId="2D4D1098"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17.1</w:t>
            </w:r>
          </w:p>
        </w:tc>
      </w:tr>
      <w:tr w:rsidR="00756913" w:rsidRPr="00756913" w14:paraId="315404E2" w14:textId="77777777">
        <w:tblPrEx>
          <w:tblCellMar>
            <w:top w:w="0" w:type="dxa"/>
            <w:bottom w:w="0" w:type="dxa"/>
          </w:tblCellMar>
        </w:tblPrEx>
        <w:trPr>
          <w:trHeight w:val="209"/>
        </w:trPr>
        <w:tc>
          <w:tcPr>
            <w:tcW w:w="6096" w:type="dxa"/>
            <w:tcBorders>
              <w:top w:val="nil"/>
              <w:left w:val="nil"/>
              <w:bottom w:val="nil"/>
              <w:right w:val="nil"/>
            </w:tcBorders>
            <w:vAlign w:val="bottom"/>
          </w:tcPr>
          <w:p w14:paraId="223617CD"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Current assets</w:t>
            </w:r>
          </w:p>
        </w:tc>
        <w:tc>
          <w:tcPr>
            <w:tcW w:w="102" w:type="dxa"/>
            <w:tcBorders>
              <w:top w:val="nil"/>
              <w:left w:val="nil"/>
              <w:bottom w:val="nil"/>
              <w:right w:val="nil"/>
            </w:tcBorders>
            <w:vAlign w:val="center"/>
          </w:tcPr>
          <w:p w14:paraId="103BE96B"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nil"/>
              <w:left w:val="nil"/>
              <w:bottom w:val="nil"/>
              <w:right w:val="nil"/>
            </w:tcBorders>
            <w:vAlign w:val="center"/>
          </w:tcPr>
          <w:p w14:paraId="657679F5"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c>
          <w:tcPr>
            <w:tcW w:w="994" w:type="dxa"/>
            <w:tcBorders>
              <w:top w:val="nil"/>
              <w:left w:val="nil"/>
              <w:bottom w:val="nil"/>
              <w:right w:val="nil"/>
            </w:tcBorders>
            <w:vAlign w:val="center"/>
          </w:tcPr>
          <w:p w14:paraId="0D31AA86"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10.9</w:t>
            </w:r>
          </w:p>
        </w:tc>
        <w:tc>
          <w:tcPr>
            <w:tcW w:w="708" w:type="dxa"/>
            <w:tcBorders>
              <w:top w:val="nil"/>
              <w:left w:val="nil"/>
              <w:bottom w:val="nil"/>
              <w:right w:val="nil"/>
            </w:tcBorders>
            <w:vAlign w:val="center"/>
          </w:tcPr>
          <w:p w14:paraId="456791DF"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 xml:space="preserve">11.2 </w:t>
            </w:r>
          </w:p>
        </w:tc>
      </w:tr>
      <w:tr w:rsidR="00756913" w:rsidRPr="00756913" w14:paraId="31ABBDF8" w14:textId="77777777">
        <w:tblPrEx>
          <w:tblCellMar>
            <w:top w:w="0" w:type="dxa"/>
            <w:bottom w:w="0" w:type="dxa"/>
          </w:tblCellMar>
        </w:tblPrEx>
        <w:trPr>
          <w:trHeight w:val="209"/>
        </w:trPr>
        <w:tc>
          <w:tcPr>
            <w:tcW w:w="6096" w:type="dxa"/>
            <w:tcBorders>
              <w:top w:val="nil"/>
              <w:left w:val="nil"/>
              <w:bottom w:val="nil"/>
              <w:right w:val="nil"/>
            </w:tcBorders>
            <w:vAlign w:val="bottom"/>
          </w:tcPr>
          <w:p w14:paraId="7F4C2904"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Non-current liabilities</w:t>
            </w:r>
          </w:p>
        </w:tc>
        <w:tc>
          <w:tcPr>
            <w:tcW w:w="102" w:type="dxa"/>
            <w:tcBorders>
              <w:top w:val="nil"/>
              <w:left w:val="nil"/>
              <w:bottom w:val="nil"/>
              <w:right w:val="nil"/>
            </w:tcBorders>
            <w:vAlign w:val="center"/>
          </w:tcPr>
          <w:p w14:paraId="27CE7345"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nil"/>
              <w:left w:val="nil"/>
              <w:bottom w:val="nil"/>
              <w:right w:val="nil"/>
            </w:tcBorders>
            <w:vAlign w:val="center"/>
          </w:tcPr>
          <w:p w14:paraId="3628D870"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(1.9)</w:t>
            </w:r>
          </w:p>
        </w:tc>
        <w:tc>
          <w:tcPr>
            <w:tcW w:w="994" w:type="dxa"/>
            <w:tcBorders>
              <w:top w:val="nil"/>
              <w:left w:val="nil"/>
              <w:bottom w:val="nil"/>
              <w:right w:val="nil"/>
            </w:tcBorders>
          </w:tcPr>
          <w:p w14:paraId="58040745"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(5.3)</w:t>
            </w:r>
          </w:p>
        </w:tc>
        <w:tc>
          <w:tcPr>
            <w:tcW w:w="708" w:type="dxa"/>
            <w:tcBorders>
              <w:top w:val="nil"/>
              <w:left w:val="nil"/>
              <w:bottom w:val="nil"/>
              <w:right w:val="nil"/>
            </w:tcBorders>
          </w:tcPr>
          <w:p w14:paraId="2D97BFF4"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(7.2)</w:t>
            </w:r>
          </w:p>
        </w:tc>
      </w:tr>
      <w:tr w:rsidR="00756913" w:rsidRPr="00756913" w14:paraId="5BADA949" w14:textId="77777777">
        <w:tblPrEx>
          <w:tblCellMar>
            <w:top w:w="0" w:type="dxa"/>
            <w:bottom w:w="0" w:type="dxa"/>
          </w:tblCellMar>
        </w:tblPrEx>
        <w:trPr>
          <w:trHeight w:val="209"/>
        </w:trPr>
        <w:tc>
          <w:tcPr>
            <w:tcW w:w="6096" w:type="dxa"/>
            <w:tcBorders>
              <w:top w:val="nil"/>
              <w:left w:val="nil"/>
              <w:bottom w:val="nil"/>
              <w:right w:val="nil"/>
            </w:tcBorders>
            <w:vAlign w:val="bottom"/>
          </w:tcPr>
          <w:p w14:paraId="24A3B421"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Current liabilities</w:t>
            </w:r>
          </w:p>
        </w:tc>
        <w:tc>
          <w:tcPr>
            <w:tcW w:w="102" w:type="dxa"/>
            <w:tcBorders>
              <w:top w:val="nil"/>
              <w:left w:val="nil"/>
              <w:bottom w:val="nil"/>
              <w:right w:val="nil"/>
            </w:tcBorders>
            <w:vAlign w:val="center"/>
          </w:tcPr>
          <w:p w14:paraId="37421215"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nil"/>
              <w:left w:val="nil"/>
              <w:bottom w:val="single" w:sz="4" w:space="0" w:color="auto"/>
              <w:right w:val="nil"/>
            </w:tcBorders>
            <w:vAlign w:val="center"/>
          </w:tcPr>
          <w:p w14:paraId="7CBC7D07"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c>
          <w:tcPr>
            <w:tcW w:w="994" w:type="dxa"/>
            <w:tcBorders>
              <w:top w:val="nil"/>
              <w:left w:val="nil"/>
              <w:bottom w:val="single" w:sz="4" w:space="0" w:color="auto"/>
              <w:right w:val="nil"/>
            </w:tcBorders>
          </w:tcPr>
          <w:p w14:paraId="661567BB"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(2.2)</w:t>
            </w:r>
          </w:p>
        </w:tc>
        <w:tc>
          <w:tcPr>
            <w:tcW w:w="708" w:type="dxa"/>
            <w:tcBorders>
              <w:top w:val="nil"/>
              <w:left w:val="nil"/>
              <w:bottom w:val="single" w:sz="4" w:space="0" w:color="auto"/>
              <w:right w:val="nil"/>
            </w:tcBorders>
          </w:tcPr>
          <w:p w14:paraId="5E396A3E"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(2.5)</w:t>
            </w:r>
          </w:p>
        </w:tc>
      </w:tr>
      <w:tr w:rsidR="00756913" w:rsidRPr="00756913" w14:paraId="016E1D5B" w14:textId="77777777">
        <w:tblPrEx>
          <w:tblCellMar>
            <w:top w:w="0" w:type="dxa"/>
            <w:bottom w:w="0" w:type="dxa"/>
          </w:tblCellMar>
        </w:tblPrEx>
        <w:trPr>
          <w:trHeight w:val="218"/>
        </w:trPr>
        <w:tc>
          <w:tcPr>
            <w:tcW w:w="6096" w:type="dxa"/>
            <w:tcBorders>
              <w:top w:val="nil"/>
              <w:left w:val="nil"/>
              <w:bottom w:val="nil"/>
              <w:right w:val="nil"/>
            </w:tcBorders>
            <w:vAlign w:val="bottom"/>
          </w:tcPr>
          <w:p w14:paraId="30442A6A"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Net assets</w:t>
            </w:r>
          </w:p>
        </w:tc>
        <w:tc>
          <w:tcPr>
            <w:tcW w:w="102" w:type="dxa"/>
            <w:tcBorders>
              <w:top w:val="nil"/>
              <w:left w:val="nil"/>
              <w:bottom w:val="nil"/>
              <w:right w:val="nil"/>
            </w:tcBorders>
            <w:vAlign w:val="center"/>
          </w:tcPr>
          <w:p w14:paraId="421BF6A1"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single" w:sz="4" w:space="0" w:color="auto"/>
              <w:right w:val="nil"/>
            </w:tcBorders>
          </w:tcPr>
          <w:p w14:paraId="45D15B53"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0.8</w:t>
            </w:r>
          </w:p>
        </w:tc>
        <w:tc>
          <w:tcPr>
            <w:tcW w:w="994" w:type="dxa"/>
            <w:tcBorders>
              <w:top w:val="single" w:sz="4" w:space="0" w:color="auto"/>
              <w:left w:val="nil"/>
              <w:bottom w:val="single" w:sz="4" w:space="0" w:color="auto"/>
              <w:right w:val="nil"/>
            </w:tcBorders>
          </w:tcPr>
          <w:p w14:paraId="0BA95B05"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17.8</w:t>
            </w:r>
          </w:p>
        </w:tc>
        <w:tc>
          <w:tcPr>
            <w:tcW w:w="708" w:type="dxa"/>
            <w:tcBorders>
              <w:top w:val="single" w:sz="4" w:space="0" w:color="auto"/>
              <w:left w:val="nil"/>
              <w:bottom w:val="single" w:sz="4" w:space="0" w:color="auto"/>
              <w:right w:val="nil"/>
            </w:tcBorders>
          </w:tcPr>
          <w:p w14:paraId="7B157673"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18.6</w:t>
            </w:r>
          </w:p>
        </w:tc>
      </w:tr>
      <w:tr w:rsidR="00756913" w:rsidRPr="00756913" w14:paraId="66A487EF" w14:textId="77777777">
        <w:tblPrEx>
          <w:tblCellMar>
            <w:top w:w="0" w:type="dxa"/>
            <w:bottom w:w="0" w:type="dxa"/>
          </w:tblCellMar>
        </w:tblPrEx>
        <w:trPr>
          <w:trHeight w:val="209"/>
        </w:trPr>
        <w:tc>
          <w:tcPr>
            <w:tcW w:w="6096" w:type="dxa"/>
            <w:tcBorders>
              <w:top w:val="nil"/>
              <w:left w:val="nil"/>
              <w:bottom w:val="nil"/>
              <w:right w:val="nil"/>
            </w:tcBorders>
            <w:vAlign w:val="bottom"/>
          </w:tcPr>
          <w:p w14:paraId="7868DE08"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Net assets attributable to non-controlling interest</w:t>
            </w:r>
          </w:p>
        </w:tc>
        <w:tc>
          <w:tcPr>
            <w:tcW w:w="102" w:type="dxa"/>
            <w:tcBorders>
              <w:top w:val="nil"/>
              <w:left w:val="nil"/>
              <w:bottom w:val="nil"/>
              <w:right w:val="nil"/>
            </w:tcBorders>
            <w:vAlign w:val="center"/>
          </w:tcPr>
          <w:p w14:paraId="6A1ADF07"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single" w:sz="4" w:space="0" w:color="auto"/>
              <w:right w:val="nil"/>
            </w:tcBorders>
          </w:tcPr>
          <w:p w14:paraId="23EAFA2B"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c>
          <w:tcPr>
            <w:tcW w:w="994" w:type="dxa"/>
            <w:tcBorders>
              <w:top w:val="single" w:sz="4" w:space="0" w:color="auto"/>
              <w:left w:val="nil"/>
              <w:bottom w:val="single" w:sz="4" w:space="0" w:color="auto"/>
              <w:right w:val="nil"/>
            </w:tcBorders>
          </w:tcPr>
          <w:p w14:paraId="088C094F"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5.9</w:t>
            </w:r>
          </w:p>
        </w:tc>
        <w:tc>
          <w:tcPr>
            <w:tcW w:w="708" w:type="dxa"/>
            <w:tcBorders>
              <w:top w:val="single" w:sz="4" w:space="0" w:color="auto"/>
              <w:left w:val="nil"/>
              <w:bottom w:val="single" w:sz="4" w:space="0" w:color="auto"/>
              <w:right w:val="nil"/>
            </w:tcBorders>
          </w:tcPr>
          <w:p w14:paraId="7F4DCC53"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6.3</w:t>
            </w:r>
          </w:p>
        </w:tc>
      </w:tr>
      <w:tr w:rsidR="00756913" w:rsidRPr="00756913" w14:paraId="63B3CDE8" w14:textId="77777777">
        <w:tblPrEx>
          <w:tblCellMar>
            <w:top w:w="0" w:type="dxa"/>
            <w:bottom w:w="0" w:type="dxa"/>
          </w:tblCellMar>
        </w:tblPrEx>
        <w:trPr>
          <w:trHeight w:val="209"/>
        </w:trPr>
        <w:tc>
          <w:tcPr>
            <w:tcW w:w="6096" w:type="dxa"/>
            <w:tcBorders>
              <w:top w:val="nil"/>
              <w:left w:val="nil"/>
              <w:bottom w:val="nil"/>
              <w:right w:val="nil"/>
            </w:tcBorders>
            <w:vAlign w:val="bottom"/>
          </w:tcPr>
          <w:p w14:paraId="50FFB85C"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Revenue</w:t>
            </w:r>
          </w:p>
        </w:tc>
        <w:tc>
          <w:tcPr>
            <w:tcW w:w="102" w:type="dxa"/>
            <w:tcBorders>
              <w:top w:val="nil"/>
              <w:left w:val="nil"/>
              <w:bottom w:val="nil"/>
              <w:right w:val="nil"/>
            </w:tcBorders>
            <w:vAlign w:val="center"/>
          </w:tcPr>
          <w:p w14:paraId="7D5087C5"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nil"/>
              <w:right w:val="nil"/>
            </w:tcBorders>
          </w:tcPr>
          <w:p w14:paraId="1575956B"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0.2</w:t>
            </w:r>
          </w:p>
        </w:tc>
        <w:tc>
          <w:tcPr>
            <w:tcW w:w="994" w:type="dxa"/>
            <w:tcBorders>
              <w:top w:val="single" w:sz="4" w:space="0" w:color="auto"/>
              <w:left w:val="nil"/>
              <w:bottom w:val="nil"/>
              <w:right w:val="nil"/>
            </w:tcBorders>
          </w:tcPr>
          <w:p w14:paraId="5AF1DF4B"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11.4</w:t>
            </w:r>
          </w:p>
        </w:tc>
        <w:tc>
          <w:tcPr>
            <w:tcW w:w="708" w:type="dxa"/>
            <w:tcBorders>
              <w:top w:val="single" w:sz="4" w:space="0" w:color="auto"/>
              <w:left w:val="nil"/>
              <w:bottom w:val="nil"/>
              <w:right w:val="nil"/>
            </w:tcBorders>
          </w:tcPr>
          <w:p w14:paraId="0C102DA5"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11.6</w:t>
            </w:r>
          </w:p>
        </w:tc>
      </w:tr>
      <w:tr w:rsidR="00756913" w:rsidRPr="00756913" w14:paraId="674A684A" w14:textId="77777777">
        <w:tblPrEx>
          <w:tblCellMar>
            <w:top w:w="0" w:type="dxa"/>
            <w:bottom w:w="0" w:type="dxa"/>
          </w:tblCellMar>
        </w:tblPrEx>
        <w:trPr>
          <w:trHeight w:val="209"/>
        </w:trPr>
        <w:tc>
          <w:tcPr>
            <w:tcW w:w="6096" w:type="dxa"/>
            <w:tcBorders>
              <w:top w:val="nil"/>
              <w:left w:val="nil"/>
              <w:bottom w:val="nil"/>
              <w:right w:val="nil"/>
            </w:tcBorders>
            <w:vAlign w:val="bottom"/>
          </w:tcPr>
          <w:p w14:paraId="03EF3B9D"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(Loss)/Profit</w:t>
            </w:r>
          </w:p>
        </w:tc>
        <w:tc>
          <w:tcPr>
            <w:tcW w:w="102" w:type="dxa"/>
            <w:tcBorders>
              <w:top w:val="nil"/>
              <w:left w:val="nil"/>
              <w:bottom w:val="nil"/>
              <w:right w:val="nil"/>
            </w:tcBorders>
            <w:vAlign w:val="center"/>
          </w:tcPr>
          <w:p w14:paraId="0BCEB2F5"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nil"/>
              <w:left w:val="nil"/>
              <w:bottom w:val="nil"/>
              <w:right w:val="nil"/>
            </w:tcBorders>
          </w:tcPr>
          <w:p w14:paraId="13B407F8"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(0.8)</w:t>
            </w:r>
          </w:p>
        </w:tc>
        <w:tc>
          <w:tcPr>
            <w:tcW w:w="994" w:type="dxa"/>
            <w:tcBorders>
              <w:top w:val="nil"/>
              <w:left w:val="nil"/>
              <w:bottom w:val="nil"/>
              <w:right w:val="nil"/>
            </w:tcBorders>
          </w:tcPr>
          <w:p w14:paraId="7CA279F3"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2.0</w:t>
            </w:r>
          </w:p>
        </w:tc>
        <w:tc>
          <w:tcPr>
            <w:tcW w:w="708" w:type="dxa"/>
            <w:tcBorders>
              <w:top w:val="nil"/>
              <w:left w:val="nil"/>
              <w:bottom w:val="nil"/>
              <w:right w:val="nil"/>
            </w:tcBorders>
          </w:tcPr>
          <w:p w14:paraId="002D5CB6"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1.2</w:t>
            </w:r>
          </w:p>
        </w:tc>
      </w:tr>
      <w:tr w:rsidR="00756913" w:rsidRPr="00756913" w14:paraId="6427007F" w14:textId="77777777">
        <w:tblPrEx>
          <w:tblCellMar>
            <w:top w:w="0" w:type="dxa"/>
            <w:bottom w:w="0" w:type="dxa"/>
          </w:tblCellMar>
        </w:tblPrEx>
        <w:trPr>
          <w:trHeight w:val="218"/>
        </w:trPr>
        <w:tc>
          <w:tcPr>
            <w:tcW w:w="6096" w:type="dxa"/>
            <w:tcBorders>
              <w:top w:val="nil"/>
              <w:left w:val="nil"/>
              <w:bottom w:val="nil"/>
              <w:right w:val="nil"/>
            </w:tcBorders>
            <w:vAlign w:val="bottom"/>
          </w:tcPr>
          <w:p w14:paraId="2C8FC53D"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Total comprehensive income</w:t>
            </w:r>
          </w:p>
        </w:tc>
        <w:tc>
          <w:tcPr>
            <w:tcW w:w="102" w:type="dxa"/>
            <w:tcBorders>
              <w:top w:val="nil"/>
              <w:left w:val="nil"/>
              <w:bottom w:val="nil"/>
              <w:right w:val="nil"/>
            </w:tcBorders>
            <w:vAlign w:val="center"/>
          </w:tcPr>
          <w:p w14:paraId="228E7BAB"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single" w:sz="4" w:space="0" w:color="auto"/>
              <w:right w:val="nil"/>
            </w:tcBorders>
          </w:tcPr>
          <w:p w14:paraId="4F2B260A"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(0.8)</w:t>
            </w:r>
          </w:p>
        </w:tc>
        <w:tc>
          <w:tcPr>
            <w:tcW w:w="994" w:type="dxa"/>
            <w:tcBorders>
              <w:top w:val="single" w:sz="4" w:space="0" w:color="auto"/>
              <w:left w:val="nil"/>
              <w:bottom w:val="single" w:sz="4" w:space="0" w:color="auto"/>
              <w:right w:val="nil"/>
            </w:tcBorders>
          </w:tcPr>
          <w:p w14:paraId="455F1C15"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2.0</w:t>
            </w:r>
          </w:p>
        </w:tc>
        <w:tc>
          <w:tcPr>
            <w:tcW w:w="708" w:type="dxa"/>
            <w:tcBorders>
              <w:top w:val="single" w:sz="4" w:space="0" w:color="auto"/>
              <w:left w:val="nil"/>
              <w:bottom w:val="single" w:sz="4" w:space="0" w:color="auto"/>
              <w:right w:val="nil"/>
            </w:tcBorders>
          </w:tcPr>
          <w:p w14:paraId="6CC53249"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1.2</w:t>
            </w:r>
          </w:p>
        </w:tc>
      </w:tr>
      <w:tr w:rsidR="00756913" w:rsidRPr="00756913" w14:paraId="098540E7" w14:textId="77777777">
        <w:tblPrEx>
          <w:tblCellMar>
            <w:top w:w="0" w:type="dxa"/>
            <w:bottom w:w="0" w:type="dxa"/>
          </w:tblCellMar>
        </w:tblPrEx>
        <w:trPr>
          <w:trHeight w:val="209"/>
        </w:trPr>
        <w:tc>
          <w:tcPr>
            <w:tcW w:w="6096" w:type="dxa"/>
            <w:tcBorders>
              <w:top w:val="nil"/>
              <w:left w:val="nil"/>
              <w:bottom w:val="nil"/>
              <w:right w:val="nil"/>
            </w:tcBorders>
            <w:vAlign w:val="bottom"/>
          </w:tcPr>
          <w:p w14:paraId="474AEA38"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(Loss)/Profit attributable to the non-controlling interest</w:t>
            </w:r>
          </w:p>
        </w:tc>
        <w:tc>
          <w:tcPr>
            <w:tcW w:w="102" w:type="dxa"/>
            <w:tcBorders>
              <w:top w:val="nil"/>
              <w:left w:val="nil"/>
              <w:bottom w:val="nil"/>
              <w:right w:val="nil"/>
            </w:tcBorders>
            <w:vAlign w:val="center"/>
          </w:tcPr>
          <w:p w14:paraId="20083745"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nil"/>
              <w:right w:val="nil"/>
            </w:tcBorders>
          </w:tcPr>
          <w:p w14:paraId="763D0C22"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c>
          <w:tcPr>
            <w:tcW w:w="994" w:type="dxa"/>
            <w:tcBorders>
              <w:top w:val="single" w:sz="4" w:space="0" w:color="auto"/>
              <w:left w:val="nil"/>
              <w:bottom w:val="nil"/>
              <w:right w:val="nil"/>
            </w:tcBorders>
          </w:tcPr>
          <w:p w14:paraId="1F076BCA"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0.7</w:t>
            </w:r>
          </w:p>
        </w:tc>
        <w:tc>
          <w:tcPr>
            <w:tcW w:w="708" w:type="dxa"/>
            <w:tcBorders>
              <w:top w:val="single" w:sz="4" w:space="0" w:color="auto"/>
              <w:left w:val="nil"/>
              <w:bottom w:val="nil"/>
              <w:right w:val="nil"/>
            </w:tcBorders>
          </w:tcPr>
          <w:p w14:paraId="7ABEEC89"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r>
      <w:tr w:rsidR="00756913" w:rsidRPr="00756913" w14:paraId="77E7BB0A" w14:textId="77777777">
        <w:tblPrEx>
          <w:tblCellMar>
            <w:top w:w="0" w:type="dxa"/>
            <w:bottom w:w="0" w:type="dxa"/>
          </w:tblCellMar>
        </w:tblPrEx>
        <w:trPr>
          <w:trHeight w:val="128"/>
        </w:trPr>
        <w:tc>
          <w:tcPr>
            <w:tcW w:w="6096" w:type="dxa"/>
            <w:tcBorders>
              <w:top w:val="nil"/>
              <w:left w:val="nil"/>
              <w:bottom w:val="nil"/>
              <w:right w:val="nil"/>
            </w:tcBorders>
            <w:vAlign w:val="bottom"/>
          </w:tcPr>
          <w:p w14:paraId="58179E94"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Total comprehensive income attributable to non-controlling interest</w:t>
            </w:r>
          </w:p>
        </w:tc>
        <w:tc>
          <w:tcPr>
            <w:tcW w:w="102" w:type="dxa"/>
            <w:tcBorders>
              <w:top w:val="nil"/>
              <w:left w:val="nil"/>
              <w:bottom w:val="nil"/>
              <w:right w:val="nil"/>
            </w:tcBorders>
            <w:vAlign w:val="center"/>
          </w:tcPr>
          <w:p w14:paraId="1D2B8A9B"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single" w:sz="4" w:space="0" w:color="auto"/>
              <w:right w:val="nil"/>
            </w:tcBorders>
          </w:tcPr>
          <w:p w14:paraId="2A7112EF"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c>
          <w:tcPr>
            <w:tcW w:w="994" w:type="dxa"/>
            <w:tcBorders>
              <w:top w:val="single" w:sz="4" w:space="0" w:color="auto"/>
              <w:left w:val="nil"/>
              <w:bottom w:val="single" w:sz="4" w:space="0" w:color="auto"/>
              <w:right w:val="nil"/>
            </w:tcBorders>
          </w:tcPr>
          <w:p w14:paraId="4EF01E42"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0.7</w:t>
            </w:r>
          </w:p>
        </w:tc>
        <w:tc>
          <w:tcPr>
            <w:tcW w:w="708" w:type="dxa"/>
            <w:tcBorders>
              <w:top w:val="single" w:sz="4" w:space="0" w:color="auto"/>
              <w:left w:val="nil"/>
              <w:bottom w:val="single" w:sz="4" w:space="0" w:color="auto"/>
              <w:right w:val="nil"/>
            </w:tcBorders>
          </w:tcPr>
          <w:p w14:paraId="6CC5B618"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0.3</w:t>
            </w:r>
          </w:p>
        </w:tc>
      </w:tr>
      <w:tr w:rsidR="00756913" w:rsidRPr="00756913" w14:paraId="47924AF8" w14:textId="77777777">
        <w:tblPrEx>
          <w:tblCellMar>
            <w:top w:w="0" w:type="dxa"/>
            <w:bottom w:w="0" w:type="dxa"/>
          </w:tblCellMar>
        </w:tblPrEx>
        <w:trPr>
          <w:trHeight w:val="209"/>
        </w:trPr>
        <w:tc>
          <w:tcPr>
            <w:tcW w:w="6096" w:type="dxa"/>
            <w:tcBorders>
              <w:top w:val="nil"/>
              <w:left w:val="nil"/>
              <w:bottom w:val="nil"/>
              <w:right w:val="nil"/>
            </w:tcBorders>
            <w:vAlign w:val="bottom"/>
          </w:tcPr>
          <w:p w14:paraId="0FFF6672" w14:textId="77777777" w:rsidR="00756913" w:rsidRPr="00756913" w:rsidRDefault="00756913" w:rsidP="00756913">
            <w:pPr>
              <w:suppressAutoHyphens/>
              <w:autoSpaceDE w:val="0"/>
              <w:autoSpaceDN w:val="0"/>
              <w:adjustRightInd w:val="0"/>
              <w:spacing w:after="0" w:line="240" w:lineRule="auto"/>
              <w:rPr>
                <w:rFonts w:ascii="Arial" w:hAnsi="Arial" w:cs="Arial"/>
                <w:sz w:val="18"/>
                <w:szCs w:val="18"/>
                <w14:ligatures w14:val="standardContextual"/>
              </w:rPr>
            </w:pPr>
            <w:r w:rsidRPr="00756913">
              <w:rPr>
                <w:rFonts w:ascii="Arial" w:hAnsi="Arial" w:cs="Arial"/>
                <w:sz w:val="18"/>
                <w:szCs w:val="18"/>
                <w14:ligatures w14:val="standardContextual"/>
              </w:rPr>
              <w:t>Cash flows from operating activities</w:t>
            </w:r>
          </w:p>
        </w:tc>
        <w:tc>
          <w:tcPr>
            <w:tcW w:w="102" w:type="dxa"/>
            <w:tcBorders>
              <w:top w:val="nil"/>
              <w:left w:val="nil"/>
              <w:bottom w:val="nil"/>
              <w:right w:val="nil"/>
            </w:tcBorders>
            <w:vAlign w:val="center"/>
          </w:tcPr>
          <w:p w14:paraId="5409E7F9"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nil"/>
              <w:right w:val="nil"/>
            </w:tcBorders>
          </w:tcPr>
          <w:p w14:paraId="1B151D04"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0.0</w:t>
            </w:r>
          </w:p>
        </w:tc>
        <w:tc>
          <w:tcPr>
            <w:tcW w:w="994" w:type="dxa"/>
            <w:tcBorders>
              <w:top w:val="single" w:sz="4" w:space="0" w:color="auto"/>
              <w:left w:val="nil"/>
              <w:bottom w:val="nil"/>
              <w:right w:val="nil"/>
            </w:tcBorders>
          </w:tcPr>
          <w:p w14:paraId="1406E8F7"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0.6</w:t>
            </w:r>
          </w:p>
        </w:tc>
        <w:tc>
          <w:tcPr>
            <w:tcW w:w="708" w:type="dxa"/>
            <w:tcBorders>
              <w:top w:val="single" w:sz="4" w:space="0" w:color="auto"/>
              <w:left w:val="nil"/>
              <w:bottom w:val="nil"/>
              <w:right w:val="nil"/>
            </w:tcBorders>
          </w:tcPr>
          <w:p w14:paraId="6823FC48"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0.6</w:t>
            </w:r>
          </w:p>
        </w:tc>
      </w:tr>
      <w:tr w:rsidR="00756913" w:rsidRPr="00756913" w14:paraId="28C21FC1" w14:textId="77777777">
        <w:tblPrEx>
          <w:tblCellMar>
            <w:top w:w="0" w:type="dxa"/>
            <w:bottom w:w="0" w:type="dxa"/>
          </w:tblCellMar>
        </w:tblPrEx>
        <w:trPr>
          <w:trHeight w:val="209"/>
        </w:trPr>
        <w:tc>
          <w:tcPr>
            <w:tcW w:w="6096" w:type="dxa"/>
            <w:tcBorders>
              <w:top w:val="nil"/>
              <w:left w:val="nil"/>
              <w:bottom w:val="nil"/>
              <w:right w:val="nil"/>
            </w:tcBorders>
            <w:vAlign w:val="bottom"/>
          </w:tcPr>
          <w:p w14:paraId="5252ECC0"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sz w:val="18"/>
                <w:szCs w:val="18"/>
                <w14:ligatures w14:val="standardContextual"/>
              </w:rPr>
              <w:t>Cash flows from investing activities</w:t>
            </w:r>
          </w:p>
        </w:tc>
        <w:tc>
          <w:tcPr>
            <w:tcW w:w="102" w:type="dxa"/>
            <w:tcBorders>
              <w:top w:val="nil"/>
              <w:left w:val="nil"/>
              <w:bottom w:val="nil"/>
              <w:right w:val="nil"/>
            </w:tcBorders>
            <w:vAlign w:val="center"/>
          </w:tcPr>
          <w:p w14:paraId="525167BA"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nil"/>
              <w:left w:val="nil"/>
              <w:bottom w:val="nil"/>
              <w:right w:val="nil"/>
            </w:tcBorders>
          </w:tcPr>
          <w:p w14:paraId="18052C94"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(0.0)</w:t>
            </w:r>
          </w:p>
        </w:tc>
        <w:tc>
          <w:tcPr>
            <w:tcW w:w="994" w:type="dxa"/>
            <w:tcBorders>
              <w:top w:val="nil"/>
              <w:left w:val="nil"/>
              <w:bottom w:val="nil"/>
              <w:right w:val="nil"/>
            </w:tcBorders>
          </w:tcPr>
          <w:p w14:paraId="198BF3B9"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c>
          <w:tcPr>
            <w:tcW w:w="708" w:type="dxa"/>
            <w:tcBorders>
              <w:top w:val="nil"/>
              <w:left w:val="nil"/>
              <w:bottom w:val="nil"/>
              <w:right w:val="nil"/>
            </w:tcBorders>
          </w:tcPr>
          <w:p w14:paraId="2911BE66"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(0.4)</w:t>
            </w:r>
          </w:p>
        </w:tc>
      </w:tr>
      <w:tr w:rsidR="00756913" w:rsidRPr="00756913" w14:paraId="7B1883C3" w14:textId="77777777">
        <w:tblPrEx>
          <w:tblCellMar>
            <w:top w:w="0" w:type="dxa"/>
            <w:bottom w:w="0" w:type="dxa"/>
          </w:tblCellMar>
        </w:tblPrEx>
        <w:trPr>
          <w:trHeight w:val="218"/>
        </w:trPr>
        <w:tc>
          <w:tcPr>
            <w:tcW w:w="6096" w:type="dxa"/>
            <w:tcBorders>
              <w:top w:val="nil"/>
              <w:left w:val="nil"/>
              <w:bottom w:val="nil"/>
              <w:right w:val="nil"/>
            </w:tcBorders>
            <w:vAlign w:val="bottom"/>
          </w:tcPr>
          <w:p w14:paraId="3A48FAA4" w14:textId="77777777" w:rsidR="00756913" w:rsidRPr="00756913" w:rsidRDefault="00756913" w:rsidP="00756913">
            <w:pPr>
              <w:suppressAutoHyphens/>
              <w:autoSpaceDE w:val="0"/>
              <w:autoSpaceDN w:val="0"/>
              <w:adjustRightInd w:val="0"/>
              <w:spacing w:after="0" w:line="240" w:lineRule="auto"/>
              <w:rPr>
                <w:rFonts w:ascii="Arial" w:hAnsi="Arial" w:cs="Arial"/>
                <w:b/>
                <w:bCs/>
                <w:sz w:val="18"/>
                <w:szCs w:val="18"/>
                <w14:ligatures w14:val="standardContextual"/>
              </w:rPr>
            </w:pPr>
            <w:r w:rsidRPr="00756913">
              <w:rPr>
                <w:rFonts w:ascii="Arial" w:hAnsi="Arial" w:cs="Arial"/>
                <w:b/>
                <w:bCs/>
                <w:sz w:val="18"/>
                <w:szCs w:val="18"/>
                <w14:ligatures w14:val="standardContextual"/>
              </w:rPr>
              <w:t>Net increase in cash and cash equivalents</w:t>
            </w:r>
          </w:p>
        </w:tc>
        <w:tc>
          <w:tcPr>
            <w:tcW w:w="102" w:type="dxa"/>
            <w:tcBorders>
              <w:top w:val="nil"/>
              <w:left w:val="nil"/>
              <w:bottom w:val="nil"/>
              <w:right w:val="nil"/>
            </w:tcBorders>
            <w:vAlign w:val="center"/>
          </w:tcPr>
          <w:p w14:paraId="1CC44304" w14:textId="77777777" w:rsidR="00756913" w:rsidRPr="00756913" w:rsidRDefault="00756913" w:rsidP="00756913">
            <w:pPr>
              <w:suppressAutoHyphens/>
              <w:autoSpaceDE w:val="0"/>
              <w:autoSpaceDN w:val="0"/>
              <w:adjustRightInd w:val="0"/>
              <w:spacing w:after="0" w:line="240" w:lineRule="auto"/>
              <w:jc w:val="right"/>
              <w:rPr>
                <w:rFonts w:ascii="Arial" w:hAnsi="Arial" w:cs="Arial"/>
                <w:color w:val="FF0000"/>
                <w:sz w:val="18"/>
                <w:szCs w:val="18"/>
                <w14:ligatures w14:val="standardContextual"/>
              </w:rPr>
            </w:pPr>
          </w:p>
        </w:tc>
        <w:tc>
          <w:tcPr>
            <w:tcW w:w="1172" w:type="dxa"/>
            <w:tcBorders>
              <w:top w:val="single" w:sz="4" w:space="0" w:color="auto"/>
              <w:left w:val="nil"/>
              <w:bottom w:val="single" w:sz="4" w:space="0" w:color="auto"/>
              <w:right w:val="nil"/>
            </w:tcBorders>
          </w:tcPr>
          <w:p w14:paraId="304BB756"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0.0</w:t>
            </w:r>
          </w:p>
        </w:tc>
        <w:tc>
          <w:tcPr>
            <w:tcW w:w="994" w:type="dxa"/>
            <w:tcBorders>
              <w:top w:val="single" w:sz="4" w:space="0" w:color="auto"/>
              <w:left w:val="nil"/>
              <w:bottom w:val="single" w:sz="4" w:space="0" w:color="auto"/>
              <w:right w:val="nil"/>
            </w:tcBorders>
          </w:tcPr>
          <w:p w14:paraId="63C531A3"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0.2</w:t>
            </w:r>
          </w:p>
        </w:tc>
        <w:tc>
          <w:tcPr>
            <w:tcW w:w="708" w:type="dxa"/>
            <w:tcBorders>
              <w:top w:val="single" w:sz="4" w:space="0" w:color="auto"/>
              <w:left w:val="nil"/>
              <w:bottom w:val="single" w:sz="4" w:space="0" w:color="auto"/>
              <w:right w:val="nil"/>
            </w:tcBorders>
          </w:tcPr>
          <w:p w14:paraId="1F0E1A6D" w14:textId="77777777" w:rsidR="00756913" w:rsidRPr="00756913" w:rsidRDefault="00756913" w:rsidP="00756913">
            <w:pPr>
              <w:suppressAutoHyphens/>
              <w:autoSpaceDE w:val="0"/>
              <w:autoSpaceDN w:val="0"/>
              <w:adjustRightInd w:val="0"/>
              <w:spacing w:after="0" w:line="240" w:lineRule="auto"/>
              <w:jc w:val="right"/>
              <w:rPr>
                <w:rFonts w:ascii="Arial" w:hAnsi="Arial" w:cs="Arial"/>
                <w:sz w:val="18"/>
                <w:szCs w:val="18"/>
                <w14:ligatures w14:val="standardContextual"/>
              </w:rPr>
            </w:pPr>
            <w:r w:rsidRPr="00756913">
              <w:rPr>
                <w:rFonts w:ascii="Arial" w:hAnsi="Arial" w:cs="Arial"/>
                <w:sz w:val="18"/>
                <w:szCs w:val="18"/>
                <w14:ligatures w14:val="standardContextual"/>
              </w:rPr>
              <w:t>0.2</w:t>
            </w:r>
          </w:p>
        </w:tc>
      </w:tr>
    </w:tbl>
    <w:p w14:paraId="7683CA92" w14:textId="77777777" w:rsidR="00756913" w:rsidRPr="00756913" w:rsidRDefault="00756913" w:rsidP="00756913">
      <w:pPr>
        <w:suppressAutoHyphens/>
        <w:autoSpaceDE w:val="0"/>
        <w:autoSpaceDN w:val="0"/>
        <w:adjustRightInd w:val="0"/>
        <w:spacing w:before="240"/>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 </w:t>
      </w:r>
      <w:r w:rsidRPr="00756913">
        <w:rPr>
          <w:rFonts w:ascii="Arial" w:hAnsi="Arial" w:cs="Arial"/>
          <w:i/>
          <w:iCs/>
          <w:sz w:val="20"/>
          <w:szCs w:val="20"/>
          <w14:ligatures w14:val="standardContextual"/>
        </w:rPr>
        <w:t>Non-current assets for Travelsupermarket Limited include £7.4m of goodwill that was recognised on the Group’s balance sheet prior to the acquisition of ITG.</w:t>
      </w:r>
    </w:p>
    <w:p w14:paraId="38FF3142" w14:textId="77777777" w:rsidR="00756913" w:rsidRPr="00756913" w:rsidRDefault="00756913" w:rsidP="00756913">
      <w:pPr>
        <w:autoSpaceDE w:val="0"/>
        <w:autoSpaceDN w:val="0"/>
        <w:adjustRightInd w:val="0"/>
        <w:jc w:val="both"/>
        <w:rPr>
          <w:rFonts w:ascii="Arial" w:hAnsi="Arial" w:cs="Arial"/>
          <w:sz w:val="20"/>
          <w:szCs w:val="20"/>
          <w14:ligatures w14:val="standardContextual"/>
        </w:rPr>
      </w:pPr>
      <w:r w:rsidRPr="00756913">
        <w:rPr>
          <w:rFonts w:ascii="Arial" w:hAnsi="Arial" w:cs="Arial"/>
          <w:sz w:val="20"/>
          <w:szCs w:val="20"/>
          <w14:ligatures w14:val="standardContextual"/>
        </w:rPr>
        <w:t>Profit and total comprehensive income for the period in respect of Podium Solutions Limited and Ice Travel Group includes amortisation of intangibles relating to the acquisition of these companies by the Group of £0.9m (2023: £0.8m). Included in the profit and total comprehensive income attributable to the non-controlling interest is £0.4m (2023: £0.4m) of amortisation of acquired intangibles.</w:t>
      </w:r>
    </w:p>
    <w:p w14:paraId="3111924F" w14:textId="77777777" w:rsidR="00756913" w:rsidRPr="00756913" w:rsidRDefault="00756913" w:rsidP="00756913">
      <w:pPr>
        <w:suppressAutoHyphens/>
        <w:autoSpaceDE w:val="0"/>
        <w:autoSpaceDN w:val="0"/>
        <w:adjustRightInd w:val="0"/>
        <w:spacing w:before="240"/>
        <w:jc w:val="both"/>
        <w:rPr>
          <w:rFonts w:ascii="Arial" w:hAnsi="Arial" w:cs="Arial"/>
          <w:sz w:val="20"/>
          <w:szCs w:val="20"/>
          <w14:ligatures w14:val="standardContextual"/>
        </w:rPr>
      </w:pPr>
    </w:p>
    <w:p w14:paraId="0A26B8AB" w14:textId="77777777" w:rsidR="00756913" w:rsidRPr="00756913" w:rsidRDefault="00756913" w:rsidP="00756913">
      <w:pPr>
        <w:autoSpaceDE w:val="0"/>
        <w:autoSpaceDN w:val="0"/>
        <w:adjustRightInd w:val="0"/>
        <w:rPr>
          <w:rFonts w:ascii="Arial" w:hAnsi="Arial" w:cs="Arial"/>
          <w:b/>
          <w:bCs/>
          <w:color w:val="FF0000"/>
          <w:sz w:val="20"/>
          <w:szCs w:val="20"/>
          <w14:ligatures w14:val="standardContextual"/>
        </w:rPr>
      </w:pPr>
      <w:r w:rsidRPr="00756913">
        <w:rPr>
          <w:rFonts w:ascii="Arial" w:hAnsi="Arial" w:cs="Arial"/>
          <w:b/>
          <w:bCs/>
          <w:color w:val="FF0000"/>
          <w:sz w:val="20"/>
          <w:szCs w:val="20"/>
          <w14:ligatures w14:val="standardContextual"/>
        </w:rPr>
        <w:br w:type="page"/>
      </w:r>
      <w:r w:rsidRPr="00756913">
        <w:rPr>
          <w:rFonts w:ascii="Arial" w:hAnsi="Arial" w:cs="Arial"/>
          <w:b/>
          <w:bCs/>
          <w:sz w:val="20"/>
          <w:szCs w:val="20"/>
          <w14:ligatures w14:val="standardContextual"/>
        </w:rPr>
        <w:t>Appendix</w:t>
      </w:r>
    </w:p>
    <w:p w14:paraId="0A87350B"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rPr>
          <w:rFonts w:ascii="Arial" w:hAnsi="Arial" w:cs="Arial"/>
          <w:b/>
          <w:bCs/>
          <w:sz w:val="20"/>
          <w:szCs w:val="20"/>
          <w14:ligatures w14:val="standardContextual"/>
        </w:rPr>
      </w:pPr>
    </w:p>
    <w:p w14:paraId="000A8DF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Statutory Information</w:t>
      </w:r>
    </w:p>
    <w:p w14:paraId="2FF4DB3A"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both"/>
        <w:rPr>
          <w:rFonts w:ascii="Arial" w:hAnsi="Arial" w:cs="Arial"/>
          <w:sz w:val="20"/>
          <w:szCs w:val="20"/>
          <w14:ligatures w14:val="standardContextual"/>
        </w:rPr>
      </w:pPr>
    </w:p>
    <w:p w14:paraId="5F8B1723"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both"/>
        <w:rPr>
          <w:rFonts w:ascii="Arial" w:hAnsi="Arial" w:cs="Arial"/>
          <w:color w:val="FF0000"/>
          <w:sz w:val="20"/>
          <w:szCs w:val="20"/>
          <w:lang w:val="en-US"/>
          <w14:ligatures w14:val="standardContextual"/>
        </w:rPr>
      </w:pPr>
      <w:r w:rsidRPr="00756913">
        <w:rPr>
          <w:rFonts w:ascii="Arial" w:hAnsi="Arial" w:cs="Arial"/>
          <w:sz w:val="20"/>
          <w:szCs w:val="20"/>
          <w:lang w:val="en-US"/>
          <w14:ligatures w14:val="standardContextual"/>
        </w:rPr>
        <w:t>The financial information set out above does not constitute the Company's statutory accounts for the six months ended 30 June 2024 or 30 June 2023 but is derived from those accounts. The auditor has reported on those accounts; their reports were (i) unqualified, (ii) did not include a reference to any matters to which the auditor drew attention by way of emphasis without qualifying their report and (iii) did not contain a statement under section 498 (2) or (3) of the Companies Act 2006.</w:t>
      </w:r>
    </w:p>
    <w:p w14:paraId="760383BC"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both"/>
        <w:rPr>
          <w:rFonts w:ascii="Arial" w:hAnsi="Arial" w:cs="Arial"/>
          <w:sz w:val="20"/>
          <w:szCs w:val="20"/>
          <w:lang w:val="en-US"/>
          <w14:ligatures w14:val="standardContextual"/>
        </w:rPr>
      </w:pPr>
    </w:p>
    <w:p w14:paraId="7FE1C452"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both"/>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The Annual General Meeting took place on 2 May 2024. The interim dividend will be paid on 9 September 2024 to shareholders on the register at the close of business on 2 August 2024.</w:t>
      </w:r>
    </w:p>
    <w:p w14:paraId="133575E7" w14:textId="77777777" w:rsidR="00756913" w:rsidRPr="00756913" w:rsidRDefault="00756913" w:rsidP="00756913">
      <w:pPr>
        <w:tabs>
          <w:tab w:val="left" w:pos="709"/>
          <w:tab w:val="left" w:pos="1559"/>
          <w:tab w:val="left" w:pos="2268"/>
          <w:tab w:val="left" w:pos="2977"/>
          <w:tab w:val="left" w:pos="3686"/>
          <w:tab w:val="left" w:pos="4394"/>
          <w:tab w:val="right" w:pos="8789"/>
        </w:tabs>
        <w:autoSpaceDE w:val="0"/>
        <w:autoSpaceDN w:val="0"/>
        <w:adjustRightInd w:val="0"/>
        <w:spacing w:after="0" w:line="260" w:lineRule="atLeast"/>
        <w:jc w:val="both"/>
        <w:rPr>
          <w:rFonts w:ascii="Arial" w:hAnsi="Arial" w:cs="Arial"/>
          <w:b/>
          <w:bCs/>
          <w:color w:val="FF0000"/>
          <w:sz w:val="20"/>
          <w:szCs w:val="20"/>
          <w14:ligatures w14:val="standardContextual"/>
        </w:rPr>
      </w:pPr>
    </w:p>
    <w:p w14:paraId="04F8D8FE" w14:textId="77777777" w:rsidR="00756913" w:rsidRPr="00756913" w:rsidRDefault="00756913" w:rsidP="00756913">
      <w:pPr>
        <w:autoSpaceDE w:val="0"/>
        <w:autoSpaceDN w:val="0"/>
        <w:adjustRightInd w:val="0"/>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Presentation of figures</w:t>
      </w:r>
    </w:p>
    <w:p w14:paraId="59A932FB" w14:textId="77777777" w:rsidR="00756913" w:rsidRPr="00756913" w:rsidRDefault="00756913" w:rsidP="00756913">
      <w:pPr>
        <w:autoSpaceDE w:val="0"/>
        <w:autoSpaceDN w:val="0"/>
        <w:adjustRightInd w:val="0"/>
        <w:spacing w:before="160" w:after="0" w:line="240" w:lineRule="auto"/>
        <w:jc w:val="both"/>
        <w:rPr>
          <w:rFonts w:ascii="Arial" w:hAnsi="Arial" w:cs="Arial"/>
          <w:sz w:val="20"/>
          <w:szCs w:val="20"/>
          <w:lang w:val="en-US"/>
          <w14:ligatures w14:val="standardContextual"/>
        </w:rPr>
      </w:pPr>
      <w:r w:rsidRPr="00756913">
        <w:rPr>
          <w:rFonts w:ascii="Arial" w:hAnsi="Arial" w:cs="Arial"/>
          <w:sz w:val="20"/>
          <w:szCs w:val="20"/>
          <w:lang w:val="en-US"/>
          <w14:ligatures w14:val="standardContextual"/>
        </w:rPr>
        <w:t>Certain figures contained in this announcement, including financial information, have been subject to rounding adjustments. Accordingly, in certain instances, the sum or percentage change of the numbers contained in this announcement may not conform exactly with the total figure given.</w:t>
      </w:r>
    </w:p>
    <w:p w14:paraId="4B15B58D" w14:textId="77777777" w:rsidR="00756913" w:rsidRPr="00756913" w:rsidRDefault="00756913" w:rsidP="00756913">
      <w:pPr>
        <w:autoSpaceDE w:val="0"/>
        <w:autoSpaceDN w:val="0"/>
        <w:adjustRightInd w:val="0"/>
        <w:rPr>
          <w:rFonts w:ascii="Arial" w:hAnsi="Arial" w:cs="Arial"/>
          <w:color w:val="FF0000"/>
          <w:sz w:val="20"/>
          <w:szCs w:val="20"/>
          <w14:ligatures w14:val="standardContextual"/>
        </w:rPr>
      </w:pPr>
    </w:p>
    <w:p w14:paraId="1AE2D16B" w14:textId="77777777" w:rsidR="00756913" w:rsidRPr="00756913" w:rsidRDefault="00756913" w:rsidP="00756913">
      <w:pPr>
        <w:autoSpaceDE w:val="0"/>
        <w:autoSpaceDN w:val="0"/>
        <w:adjustRightInd w:val="0"/>
        <w:spacing w:after="160" w:line="252" w:lineRule="auto"/>
        <w:rPr>
          <w:rFonts w:ascii="Arial" w:hAnsi="Arial" w:cs="Arial"/>
          <w:b/>
          <w:bCs/>
          <w:sz w:val="20"/>
          <w:szCs w:val="20"/>
          <w14:ligatures w14:val="standardContextual"/>
        </w:rPr>
      </w:pPr>
      <w:r w:rsidRPr="00756913">
        <w:rPr>
          <w:rFonts w:ascii="Arial" w:hAnsi="Arial" w:cs="Arial"/>
          <w:b/>
          <w:bCs/>
          <w:sz w:val="20"/>
          <w:szCs w:val="20"/>
          <w14:ligatures w14:val="standardContextual"/>
        </w:rPr>
        <w:br w:type="page"/>
      </w:r>
    </w:p>
    <w:p w14:paraId="0A88BEA1" w14:textId="77777777" w:rsidR="00756913" w:rsidRPr="00756913" w:rsidRDefault="00756913" w:rsidP="00756913">
      <w:pPr>
        <w:autoSpaceDE w:val="0"/>
        <w:autoSpaceDN w:val="0"/>
        <w:adjustRightInd w:val="0"/>
        <w:jc w:val="center"/>
        <w:rPr>
          <w:rFonts w:ascii="Arial" w:hAnsi="Arial" w:cs="Arial"/>
          <w:b/>
          <w:bCs/>
          <w:sz w:val="20"/>
          <w:szCs w:val="20"/>
          <w14:ligatures w14:val="standardContextual"/>
        </w:rPr>
      </w:pPr>
      <w:r w:rsidRPr="00756913">
        <w:rPr>
          <w:rFonts w:ascii="Arial" w:hAnsi="Arial" w:cs="Arial"/>
          <w:b/>
          <w:bCs/>
          <w:sz w:val="20"/>
          <w:szCs w:val="20"/>
          <w14:ligatures w14:val="standardContextual"/>
        </w:rPr>
        <w:t>Independent Review Report to MONY Group plc</w:t>
      </w:r>
    </w:p>
    <w:p w14:paraId="3B05E847" w14:textId="77777777" w:rsidR="00756913" w:rsidRPr="00756913" w:rsidRDefault="00756913" w:rsidP="00756913">
      <w:pPr>
        <w:autoSpaceDE w:val="0"/>
        <w:autoSpaceDN w:val="0"/>
        <w:adjustRightInd w:val="0"/>
        <w:spacing w:after="0"/>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Conclusion</w:t>
      </w:r>
    </w:p>
    <w:p w14:paraId="6CACB1B3"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382A0BED"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We have been engaged by MONY Group plc (“the company”) to review the condensed set of financial statements in the half-yearly financial report for the six months ended 30 June 2024 which comprises the consolidated statement of comprehensive income, consolidated statement of financial position, consolidated statement of changes in equity, consolidated statement of cash flows and the related explanatory notes.</w:t>
      </w:r>
    </w:p>
    <w:p w14:paraId="40184C27"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7F2E51D3"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Based on our review, nothing has come to our attention that causes us to believe that the condensed set of financial statements in the half-yearly financial report for the six months ended 30 June 2024 is not prepared, in all material respects, in accordance with IAS 34 Interim Financial Reporting as adopted for use in the UK and the Disclosure Guidance and Transparency Rules (“the DTR”) of the UK’s Financial Conduct Authority (“the UK FCA”).</w:t>
      </w:r>
    </w:p>
    <w:p w14:paraId="2F060DCE"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164C5EF2" w14:textId="77777777" w:rsidR="00756913" w:rsidRPr="00756913" w:rsidRDefault="00756913" w:rsidP="00756913">
      <w:pPr>
        <w:autoSpaceDE w:val="0"/>
        <w:autoSpaceDN w:val="0"/>
        <w:adjustRightInd w:val="0"/>
        <w:spacing w:after="0"/>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Basis for conclusion</w:t>
      </w:r>
    </w:p>
    <w:p w14:paraId="0AE32BDB"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48161E0A"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We conducted our review in accordance with International Standard on Review Engagements (UK) 2410 Review of Interim Financial Information Performed by the Independent Auditor of the Entity (“ISRE (UK) 2410”) issued for use in the UK. A review of interim financial information consists of making enquiries, primarily of persons responsible for financial and accounting matters, and applying analytical and other review procedures. We read the other information contained in the half-yearly financial report and consider whether it contains any apparent misstatements or material inconsistencies with the information in the condensed set of financial statements.</w:t>
      </w:r>
    </w:p>
    <w:p w14:paraId="138B494A"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618765AF"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A review is substantially less in scope than an audit conducted in accordance with International Standards on Auditing (UK) and consequently does not enable us to obtain assurance that we would become aware of all significant matters that might be identified in an audit. Accordingly, we do not express an audit opinion.</w:t>
      </w:r>
    </w:p>
    <w:p w14:paraId="2254E78F"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2E440B87" w14:textId="77777777" w:rsidR="00756913" w:rsidRPr="00756913" w:rsidRDefault="00756913" w:rsidP="00756913">
      <w:pPr>
        <w:autoSpaceDE w:val="0"/>
        <w:autoSpaceDN w:val="0"/>
        <w:adjustRightInd w:val="0"/>
        <w:spacing w:after="0"/>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Conclusions relating to going concern</w:t>
      </w:r>
    </w:p>
    <w:p w14:paraId="037B04D3"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2174D0C5"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Based on our review procedures, which are less extensive than those performed in an audit as described in the Basis of conclusion section of this report, nothing has come to our attention that causes us to believe that the directors have inappropriately adopted the going concern basis of accounting, or that the directors have identified material uncertainties relating to going concern that have not been appropriately disclosed.</w:t>
      </w:r>
    </w:p>
    <w:p w14:paraId="1979DF4C"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73783641"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This conclusion is based on the review procedures performed in accordance with ISRE (UK) 2410. However, future events or conditions may cause the Group to cease to continue as a going concern, and the above conclusions are not a guarantee that the Group will continue in operation.</w:t>
      </w:r>
    </w:p>
    <w:p w14:paraId="65C65F09"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0638CD31" w14:textId="77777777" w:rsidR="00756913" w:rsidRPr="00756913" w:rsidRDefault="00756913" w:rsidP="00756913">
      <w:pPr>
        <w:autoSpaceDE w:val="0"/>
        <w:autoSpaceDN w:val="0"/>
        <w:adjustRightInd w:val="0"/>
        <w:spacing w:after="0"/>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Directors’ responsibilities</w:t>
      </w:r>
    </w:p>
    <w:p w14:paraId="4C247A03"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2E699B2F"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The half-yearly financial report is the responsibility of, and has been approved by, the directors. The directors are responsible for preparing the half-yearly financial report in accordance with the DTR of the UK FCA.</w:t>
      </w:r>
    </w:p>
    <w:p w14:paraId="2473289A"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70E95D35"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The annual financial statements of the Group are prepared in accordance with UK-adopted international accounting standards.</w:t>
      </w:r>
    </w:p>
    <w:p w14:paraId="43A99C1C"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5CD6C0B3"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The directors are responsible for preparing the condensed set of financial statements included in the half-yearly financial report in accordance with IAS 34 as adopted for use in the UK.</w:t>
      </w:r>
    </w:p>
    <w:p w14:paraId="35AB8DC3"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116A398D"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In preparing the condensed set of financial statements, the directors are responsible for assessing the Group’s ability to continue as a going concern, disclosing, as applicable, matters related to going concern and using the going concern basis of accounting unless the directors either intend to liquidate the Group or to cease operations, or have no realistic alternative but to do so.</w:t>
      </w:r>
    </w:p>
    <w:p w14:paraId="332E832E"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1A6B54F4" w14:textId="77777777" w:rsidR="00756913" w:rsidRPr="00756913" w:rsidRDefault="00756913" w:rsidP="00756913">
      <w:pPr>
        <w:autoSpaceDE w:val="0"/>
        <w:autoSpaceDN w:val="0"/>
        <w:adjustRightInd w:val="0"/>
        <w:spacing w:after="0"/>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Our responsibility</w:t>
      </w:r>
    </w:p>
    <w:p w14:paraId="22A6D4EE"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75438274"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Our responsibility is to express to the company a conclusion on the condensed set of financial statements in the half-yearly financial report based on our review. Our conclusion, including our conclusions relating to going concern, are based on procedures that are less extensive than audit procedures, as described in the Basis for conclusion section of this report.</w:t>
      </w:r>
    </w:p>
    <w:p w14:paraId="39F08DBC"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5C7A26DC" w14:textId="77777777" w:rsidR="00756913" w:rsidRPr="00756913" w:rsidRDefault="00756913" w:rsidP="00756913">
      <w:pPr>
        <w:autoSpaceDE w:val="0"/>
        <w:autoSpaceDN w:val="0"/>
        <w:adjustRightInd w:val="0"/>
        <w:spacing w:after="0"/>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The purpose of our review work and to whom we owe our responsibilities.</w:t>
      </w:r>
    </w:p>
    <w:p w14:paraId="55319D4A"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6B6BF1C7"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sz w:val="20"/>
          <w:szCs w:val="20"/>
          <w14:ligatures w14:val="standardContextual"/>
        </w:rPr>
        <w:t>This report is made solely to the company in accordance with the terms of our engagement to assist the company in meeting the requirements of the DTR of the UK FCA. Our review has been undertaken so that we might state to the company those matters we are required to state to it in this report and for no other purpose. To the fullest extent permitted by law, we do not accept or assume responsibility to anyone other than the company for our review work, for this report, or for the conclusions we have reached.</w:t>
      </w:r>
    </w:p>
    <w:p w14:paraId="27274D97"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p>
    <w:p w14:paraId="29D85BB8" w14:textId="77777777" w:rsidR="00756913" w:rsidRPr="00756913" w:rsidRDefault="00756913" w:rsidP="00756913">
      <w:pPr>
        <w:autoSpaceDE w:val="0"/>
        <w:autoSpaceDN w:val="0"/>
        <w:adjustRightInd w:val="0"/>
        <w:spacing w:after="0"/>
        <w:jc w:val="both"/>
        <w:rPr>
          <w:rFonts w:ascii="Arial" w:hAnsi="Arial" w:cs="Arial"/>
          <w:b/>
          <w:bCs/>
          <w:sz w:val="20"/>
          <w:szCs w:val="20"/>
          <w14:ligatures w14:val="standardContextual"/>
        </w:rPr>
      </w:pPr>
      <w:r w:rsidRPr="00756913">
        <w:rPr>
          <w:rFonts w:ascii="Arial" w:hAnsi="Arial" w:cs="Arial"/>
          <w:b/>
          <w:bCs/>
          <w:sz w:val="20"/>
          <w:szCs w:val="20"/>
          <w14:ligatures w14:val="standardContextual"/>
        </w:rPr>
        <w:t>Jatin Patel</w:t>
      </w:r>
    </w:p>
    <w:p w14:paraId="6C436EB8" w14:textId="77777777" w:rsidR="00756913" w:rsidRPr="00756913" w:rsidRDefault="00756913" w:rsidP="00756913">
      <w:pPr>
        <w:autoSpaceDE w:val="0"/>
        <w:autoSpaceDN w:val="0"/>
        <w:adjustRightInd w:val="0"/>
        <w:spacing w:after="0"/>
        <w:jc w:val="both"/>
        <w:rPr>
          <w:rFonts w:ascii="Arial" w:hAnsi="Arial" w:cs="Arial"/>
          <w:sz w:val="20"/>
          <w:szCs w:val="20"/>
          <w14:ligatures w14:val="standardContextual"/>
        </w:rPr>
      </w:pPr>
      <w:r w:rsidRPr="00756913">
        <w:rPr>
          <w:rFonts w:ascii="Arial" w:hAnsi="Arial" w:cs="Arial"/>
          <w:b/>
          <w:bCs/>
          <w:sz w:val="20"/>
          <w:szCs w:val="20"/>
          <w14:ligatures w14:val="standardContextual"/>
        </w:rPr>
        <w:t xml:space="preserve">for and on behalf of KPMG LLP  </w:t>
      </w:r>
    </w:p>
    <w:p w14:paraId="71FB709E"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i/>
          <w:iCs/>
          <w:sz w:val="20"/>
          <w:szCs w:val="20"/>
          <w14:ligatures w14:val="standardContextual"/>
        </w:rPr>
        <w:t>Chartered Accountants</w:t>
      </w:r>
      <w:r w:rsidRPr="00756913">
        <w:rPr>
          <w:rFonts w:ascii="Arial" w:hAnsi="Arial" w:cs="Arial"/>
          <w:sz w:val="20"/>
          <w:szCs w:val="20"/>
          <w14:ligatures w14:val="standardContextual"/>
        </w:rPr>
        <w:t xml:space="preserve"> </w:t>
      </w:r>
    </w:p>
    <w:p w14:paraId="561C4D44"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 </w:t>
      </w:r>
    </w:p>
    <w:p w14:paraId="16CD0AE3"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 xml:space="preserve">15 Canada Square </w:t>
      </w:r>
    </w:p>
    <w:p w14:paraId="5327707E"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London</w:t>
      </w:r>
    </w:p>
    <w:p w14:paraId="2B137D4C" w14:textId="77777777" w:rsidR="00756913" w:rsidRPr="00756913" w:rsidRDefault="00756913" w:rsidP="00756913">
      <w:pPr>
        <w:autoSpaceDE w:val="0"/>
        <w:autoSpaceDN w:val="0"/>
        <w:adjustRightInd w:val="0"/>
        <w:spacing w:after="0" w:line="240" w:lineRule="auto"/>
        <w:jc w:val="both"/>
        <w:rPr>
          <w:rFonts w:ascii="Arial" w:hAnsi="Arial" w:cs="Arial"/>
          <w:sz w:val="20"/>
          <w:szCs w:val="20"/>
          <w14:ligatures w14:val="standardContextual"/>
        </w:rPr>
      </w:pPr>
      <w:r w:rsidRPr="00756913">
        <w:rPr>
          <w:rFonts w:ascii="Arial" w:hAnsi="Arial" w:cs="Arial"/>
          <w:sz w:val="20"/>
          <w:szCs w:val="20"/>
          <w14:ligatures w14:val="standardContextual"/>
        </w:rPr>
        <w:t>E14 5GL</w:t>
      </w:r>
    </w:p>
    <w:p w14:paraId="25BA9930" w14:textId="77777777" w:rsidR="00756913" w:rsidRPr="00756913" w:rsidRDefault="00756913" w:rsidP="00756913">
      <w:pPr>
        <w:autoSpaceDE w:val="0"/>
        <w:autoSpaceDN w:val="0"/>
        <w:adjustRightInd w:val="0"/>
        <w:spacing w:after="0" w:line="240" w:lineRule="auto"/>
        <w:jc w:val="both"/>
        <w:rPr>
          <w:rFonts w:ascii="Arial" w:hAnsi="Arial" w:cs="Arial"/>
          <w:color w:val="FF0000"/>
          <w:sz w:val="20"/>
          <w:szCs w:val="20"/>
          <w14:ligatures w14:val="standardContextual"/>
        </w:rPr>
      </w:pPr>
    </w:p>
    <w:p w14:paraId="02939258" w14:textId="77777777" w:rsidR="00756913" w:rsidRPr="00756913" w:rsidRDefault="00756913" w:rsidP="00756913">
      <w:pPr>
        <w:autoSpaceDE w:val="0"/>
        <w:autoSpaceDN w:val="0"/>
        <w:adjustRightInd w:val="0"/>
        <w:spacing w:after="0" w:line="240" w:lineRule="auto"/>
        <w:jc w:val="both"/>
        <w:rPr>
          <w:rFonts w:ascii="Arial" w:hAnsi="Arial" w:cs="Arial"/>
          <w:color w:val="000000"/>
          <w:sz w:val="20"/>
          <w:szCs w:val="20"/>
          <w14:ligatures w14:val="standardContextual"/>
        </w:rPr>
      </w:pPr>
      <w:r w:rsidRPr="00756913">
        <w:rPr>
          <w:rFonts w:ascii="Arial" w:hAnsi="Arial" w:cs="Arial"/>
          <w:color w:val="000000"/>
          <w:sz w:val="20"/>
          <w:szCs w:val="20"/>
          <w14:ligatures w14:val="standardContextual"/>
        </w:rPr>
        <w:t>19 July 2024</w:t>
      </w:r>
    </w:p>
    <w:p w14:paraId="7261ED84" w14:textId="77777777" w:rsidR="00756913" w:rsidRPr="00756913" w:rsidRDefault="00756913" w:rsidP="00756913">
      <w:pPr>
        <w:autoSpaceDE w:val="0"/>
        <w:autoSpaceDN w:val="0"/>
        <w:adjustRightInd w:val="0"/>
        <w:jc w:val="both"/>
        <w:rPr>
          <w:rFonts w:ascii="Arial" w:hAnsi="Arial" w:cs="Arial"/>
          <w:sz w:val="18"/>
          <w:szCs w:val="18"/>
          <w14:ligatures w14:val="standardContextual"/>
        </w:rPr>
      </w:pPr>
    </w:p>
    <w:p w14:paraId="31E1DFF6" w14:textId="77777777" w:rsidR="00756913" w:rsidRPr="00756913" w:rsidRDefault="00756913" w:rsidP="00756913">
      <w:pPr>
        <w:autoSpaceDE w:val="0"/>
        <w:autoSpaceDN w:val="0"/>
        <w:adjustRightInd w:val="0"/>
        <w:rPr>
          <w:rFonts w:ascii="Aptos" w:hAnsi="Aptos" w:cs="Aptos"/>
          <w14:ligatures w14:val="standardContextual"/>
        </w:rPr>
      </w:pPr>
    </w:p>
    <w:p w14:paraId="4159A647" w14:textId="77777777" w:rsidR="00756913" w:rsidRPr="00756913" w:rsidRDefault="00756913" w:rsidP="00756913">
      <w:pPr>
        <w:autoSpaceDE w:val="0"/>
        <w:autoSpaceDN w:val="0"/>
        <w:adjustRightInd w:val="0"/>
        <w:rPr>
          <w:rFonts w:ascii="Calibri" w:hAnsi="Calibri" w:cs="Calibri"/>
          <w:lang w:val="en"/>
          <w14:ligatures w14:val="standardContextual"/>
        </w:rPr>
      </w:pPr>
    </w:p>
    <w:p w14:paraId="62BD54C8" w14:textId="77777777" w:rsidR="00F5101B" w:rsidRPr="00756913" w:rsidRDefault="00F5101B" w:rsidP="00756913"/>
    <w:sectPr w:rsidR="00F5101B" w:rsidRPr="00756913" w:rsidSect="00294FD1">
      <w:footerReference w:type="even" r:id="rId14"/>
      <w:footerReference w:type="default" r:id="rId15"/>
      <w:footerReference w:type="first" r:id="rId16"/>
      <w:pgSz w:w="11907" w:h="16840" w:code="9"/>
      <w:pgMar w:top="1276" w:right="1559" w:bottom="1758" w:left="1276"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AD758" w14:textId="77777777" w:rsidR="005B171D" w:rsidRDefault="005B171D" w:rsidP="00294FD1">
      <w:pPr>
        <w:spacing w:after="0" w:line="240" w:lineRule="auto"/>
      </w:pPr>
      <w:r>
        <w:separator/>
      </w:r>
    </w:p>
  </w:endnote>
  <w:endnote w:type="continuationSeparator" w:id="0">
    <w:p w14:paraId="5981EA0B" w14:textId="77777777" w:rsidR="005B171D" w:rsidRDefault="005B171D" w:rsidP="00294FD1">
      <w:pPr>
        <w:spacing w:after="0" w:line="240" w:lineRule="auto"/>
      </w:pPr>
      <w:r>
        <w:continuationSeparator/>
      </w:r>
    </w:p>
  </w:endnote>
  <w:endnote w:type="continuationNotice" w:id="1">
    <w:p w14:paraId="5CD16321" w14:textId="77777777" w:rsidR="005B171D" w:rsidRDefault="005B1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albaum Heading">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45 Light">
    <w:altName w:val="Calibri"/>
    <w:charset w:val="00"/>
    <w:family w:val="auto"/>
    <w:pitch w:val="variable"/>
    <w:sig w:usb0="80000023" w:usb1="00000000" w:usb2="00000000" w:usb3="00000000" w:csb0="00000001" w:csb1="00000000"/>
  </w:font>
  <w:font w:name="KPMG Logos V0.92">
    <w:altName w:val="Calibri"/>
    <w:panose1 w:val="00000000000000000000"/>
    <w:charset w:val="00"/>
    <w:family w:val="auto"/>
    <w:notTrueType/>
    <w:pitch w:val="variable"/>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B6596" w14:textId="49A5ED03" w:rsidR="001861AA" w:rsidRDefault="003C4F46">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58241" behindDoc="0" locked="0" layoutInCell="1" allowOverlap="1" wp14:anchorId="7D825571" wp14:editId="00E5E2AA">
              <wp:simplePos x="635" y="635"/>
              <wp:positionH relativeFrom="page">
                <wp:align>center</wp:align>
              </wp:positionH>
              <wp:positionV relativeFrom="page">
                <wp:align>bottom</wp:align>
              </wp:positionV>
              <wp:extent cx="1742440" cy="368935"/>
              <wp:effectExtent l="0" t="0" r="10160" b="0"/>
              <wp:wrapNone/>
              <wp:docPr id="524174214"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2440" cy="368935"/>
                      </a:xfrm>
                      <a:prstGeom prst="rect">
                        <a:avLst/>
                      </a:prstGeom>
                      <a:noFill/>
                      <a:ln>
                        <a:noFill/>
                      </a:ln>
                    </wps:spPr>
                    <wps:txbx>
                      <w:txbxContent>
                        <w:p w14:paraId="14864AF3" w14:textId="7EF5FC61" w:rsidR="003C4F46" w:rsidRPr="003C4F46" w:rsidRDefault="003C4F46" w:rsidP="003C4F46">
                          <w:pPr>
                            <w:spacing w:after="0"/>
                            <w:rPr>
                              <w:rFonts w:ascii="Calibri" w:eastAsia="Calibri" w:hAnsi="Calibri" w:cs="Calibri"/>
                              <w:noProof/>
                              <w:color w:val="000000"/>
                              <w:sz w:val="20"/>
                              <w:szCs w:val="20"/>
                            </w:rPr>
                          </w:pPr>
                          <w:r w:rsidRPr="003C4F46">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25571" id="_x0000_t202" coordsize="21600,21600" o:spt="202" path="m,l,21600r21600,l21600,xe">
              <v:stroke joinstyle="miter"/>
              <v:path gradientshapeok="t" o:connecttype="rect"/>
            </v:shapetype>
            <v:shape id="Text Box 2" o:spid="_x0000_s1026" type="#_x0000_t202" alt="[CLASSIFICATION: CONFIDENTIAL]" style="position:absolute;margin-left:0;margin-top:0;width:137.2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" filled="f" stroked="f">
              <v:textbox style="mso-fit-shape-to-text:t" inset="0,0,0,15pt">
                <w:txbxContent>
                  <w:p w14:paraId="14864AF3" w14:textId="7EF5FC61" w:rsidR="003C4F46" w:rsidRPr="003C4F46" w:rsidRDefault="003C4F46" w:rsidP="003C4F46">
                    <w:pPr>
                      <w:spacing w:after="0"/>
                      <w:rPr>
                        <w:rFonts w:ascii="Calibri" w:eastAsia="Calibri" w:hAnsi="Calibri" w:cs="Calibri"/>
                        <w:noProof/>
                        <w:color w:val="000000"/>
                        <w:sz w:val="20"/>
                        <w:szCs w:val="20"/>
                      </w:rPr>
                    </w:pPr>
                    <w:r w:rsidRPr="003C4F46">
                      <w:rPr>
                        <w:rFonts w:ascii="Calibri" w:eastAsia="Calibri" w:hAnsi="Calibri" w:cs="Calibri"/>
                        <w:noProof/>
                        <w:color w:val="000000"/>
                        <w:sz w:val="20"/>
                        <w:szCs w:val="20"/>
                      </w:rPr>
                      <w:t>[CLASSIFICATION: CONFIDENTIAL]</w:t>
                    </w:r>
                  </w:p>
                </w:txbxContent>
              </v:textbox>
              <w10:wrap anchorx="page" anchory="page"/>
            </v:shape>
          </w:pict>
        </mc:Fallback>
      </mc:AlternateContent>
    </w:r>
    <w:r w:rsidR="001861AA">
      <w:rPr>
        <w:rStyle w:val="PageNumber"/>
      </w:rPr>
      <w:fldChar w:fldCharType="begin"/>
    </w:r>
    <w:r w:rsidR="001861AA">
      <w:rPr>
        <w:rStyle w:val="PageNumber"/>
      </w:rPr>
      <w:instrText xml:space="preserve">PAGE  </w:instrText>
    </w:r>
    <w:r w:rsidR="001861AA">
      <w:rPr>
        <w:rStyle w:val="PageNumber"/>
      </w:rPr>
      <w:fldChar w:fldCharType="end"/>
    </w:r>
  </w:p>
  <w:p w14:paraId="68551810" w14:textId="77777777" w:rsidR="001861AA" w:rsidRDefault="001861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3E647" w14:textId="0C8324DF" w:rsidR="001861AA" w:rsidRDefault="00756913">
    <w:pPr>
      <w:pStyle w:val="Footer"/>
      <w:jc w:val="right"/>
    </w:pPr>
    <w:sdt>
      <w:sdtPr>
        <w:id w:val="-1245802269"/>
        <w:docPartObj>
          <w:docPartGallery w:val="Page Numbers (Bottom of Page)"/>
          <w:docPartUnique/>
        </w:docPartObj>
      </w:sdtPr>
      <w:sdtEndPr>
        <w:rPr>
          <w:noProof/>
        </w:rPr>
      </w:sdtEndPr>
      <w:sdtContent>
        <w:r w:rsidR="001861AA">
          <w:fldChar w:fldCharType="begin"/>
        </w:r>
        <w:r w:rsidR="001861AA">
          <w:instrText xml:space="preserve"> PAGE   \* MERGEFORMAT </w:instrText>
        </w:r>
        <w:r w:rsidR="001861AA">
          <w:fldChar w:fldCharType="separate"/>
        </w:r>
        <w:r w:rsidR="001861AA">
          <w:rPr>
            <w:noProof/>
          </w:rPr>
          <w:t>2</w:t>
        </w:r>
        <w:r w:rsidR="001861AA">
          <w:rPr>
            <w:noProof/>
          </w:rPr>
          <w:fldChar w:fldCharType="end"/>
        </w:r>
      </w:sdtContent>
    </w:sdt>
  </w:p>
  <w:p w14:paraId="659610F3" w14:textId="77777777" w:rsidR="001861AA" w:rsidRPr="007735C2" w:rsidRDefault="001861AA">
    <w:pPr>
      <w:pStyle w:val="Footer"/>
      <w:tabs>
        <w:tab w:val="clear" w:pos="8789"/>
        <w:tab w:val="right" w:pos="878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FA74E" w14:textId="56D1AFA9" w:rsidR="001861AA" w:rsidRDefault="003C4F46">
    <w:pPr>
      <w:pStyle w:val="Footer"/>
    </w:pPr>
    <w:r>
      <w:rPr>
        <w:noProof/>
        <w14:ligatures w14:val="standardContextual"/>
      </w:rPr>
      <mc:AlternateContent>
        <mc:Choice Requires="wps">
          <w:drawing>
            <wp:anchor distT="0" distB="0" distL="0" distR="0" simplePos="0" relativeHeight="251658240" behindDoc="0" locked="0" layoutInCell="1" allowOverlap="1" wp14:anchorId="454CDD75" wp14:editId="09DDC986">
              <wp:simplePos x="635" y="635"/>
              <wp:positionH relativeFrom="page">
                <wp:align>center</wp:align>
              </wp:positionH>
              <wp:positionV relativeFrom="page">
                <wp:align>bottom</wp:align>
              </wp:positionV>
              <wp:extent cx="1742440" cy="368935"/>
              <wp:effectExtent l="0" t="0" r="10160" b="0"/>
              <wp:wrapNone/>
              <wp:docPr id="1338369065"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2440" cy="368935"/>
                      </a:xfrm>
                      <a:prstGeom prst="rect">
                        <a:avLst/>
                      </a:prstGeom>
                      <a:noFill/>
                      <a:ln>
                        <a:noFill/>
                      </a:ln>
                    </wps:spPr>
                    <wps:txbx>
                      <w:txbxContent>
                        <w:p w14:paraId="010D1959" w14:textId="6E920BD9" w:rsidR="003C4F46" w:rsidRPr="003C4F46" w:rsidRDefault="003C4F46" w:rsidP="003C4F46">
                          <w:pPr>
                            <w:spacing w:after="0"/>
                            <w:rPr>
                              <w:rFonts w:ascii="Calibri" w:eastAsia="Calibri" w:hAnsi="Calibri" w:cs="Calibri"/>
                              <w:noProof/>
                              <w:color w:val="000000"/>
                              <w:sz w:val="20"/>
                              <w:szCs w:val="20"/>
                            </w:rPr>
                          </w:pPr>
                          <w:r w:rsidRPr="003C4F46">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CDD75" id="_x0000_t202" coordsize="21600,21600" o:spt="202" path="m,l,21600r21600,l21600,xe">
              <v:stroke joinstyle="miter"/>
              <v:path gradientshapeok="t" o:connecttype="rect"/>
            </v:shapetype>
            <v:shape id="Text Box 1" o:spid="_x0000_s1027" type="#_x0000_t202" alt="[CLASSIFICATION: CONFIDENTIAL]" style="position:absolute;margin-left:0;margin-top:0;width:137.2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" filled="f" stroked="f">
              <v:textbox style="mso-fit-shape-to-text:t" inset="0,0,0,15pt">
                <w:txbxContent>
                  <w:p w14:paraId="010D1959" w14:textId="6E920BD9" w:rsidR="003C4F46" w:rsidRPr="003C4F46" w:rsidRDefault="003C4F46" w:rsidP="003C4F46">
                    <w:pPr>
                      <w:spacing w:after="0"/>
                      <w:rPr>
                        <w:rFonts w:ascii="Calibri" w:eastAsia="Calibri" w:hAnsi="Calibri" w:cs="Calibri"/>
                        <w:noProof/>
                        <w:color w:val="000000"/>
                        <w:sz w:val="20"/>
                        <w:szCs w:val="20"/>
                      </w:rPr>
                    </w:pPr>
                    <w:r w:rsidRPr="003C4F46">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EFA60" w14:textId="77777777" w:rsidR="005B171D" w:rsidRDefault="005B171D" w:rsidP="00294FD1">
      <w:pPr>
        <w:spacing w:after="0" w:line="240" w:lineRule="auto"/>
      </w:pPr>
      <w:r>
        <w:separator/>
      </w:r>
    </w:p>
  </w:footnote>
  <w:footnote w:type="continuationSeparator" w:id="0">
    <w:p w14:paraId="2BEA365B" w14:textId="77777777" w:rsidR="005B171D" w:rsidRDefault="005B171D" w:rsidP="00294FD1">
      <w:pPr>
        <w:spacing w:after="0" w:line="240" w:lineRule="auto"/>
      </w:pPr>
      <w:r>
        <w:continuationSeparator/>
      </w:r>
    </w:p>
  </w:footnote>
  <w:footnote w:type="continuationNotice" w:id="1">
    <w:p w14:paraId="10606216" w14:textId="77777777" w:rsidR="005B171D" w:rsidRDefault="005B17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D0CA6B6"/>
    <w:lvl w:ilvl="0">
      <w:numFmt w:val="bullet"/>
      <w:lvlText w:val="*"/>
      <w:lvlJc w:val="left"/>
    </w:lvl>
  </w:abstractNum>
  <w:abstractNum w:abstractNumId="1" w15:restartNumberingAfterBreak="0">
    <w:nsid w:val="00000001"/>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bullet"/>
      <w:lvlText w:val="·"/>
      <w:lvlJc w:val="left"/>
      <w:pPr>
        <w:tabs>
          <w:tab w:val="num" w:pos="0"/>
        </w:tabs>
      </w:pPr>
      <w:rPr>
        <w:rFonts w:ascii="Symbol" w:hAnsi="Symbol" w:cs="Symbol"/>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bullet"/>
      <w:lvlText w:val="·"/>
      <w:lvlJc w:val="left"/>
      <w:pPr>
        <w:tabs>
          <w:tab w:val="num" w:pos="0"/>
        </w:tabs>
      </w:pPr>
      <w:rPr>
        <w:rFonts w:ascii="Symbol" w:hAnsi="Symbol" w:cs="Symbol"/>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FFFFFFFF">
      <w:start w:val="1"/>
      <w:numFmt w:val="decimal"/>
      <w:lvlText w:val="%1."/>
      <w:lvlJc w:val="left"/>
      <w:pPr>
        <w:tabs>
          <w:tab w:val="num" w:pos="0"/>
        </w:tabs>
      </w:pPr>
    </w:lvl>
    <w:lvl w:ilvl="1" w:tplc="FFFFFFFF">
      <w:start w:val="1"/>
      <w:numFmt w:val="bullet"/>
      <w:lvlText w:val="·"/>
      <w:lvlJc w:val="left"/>
      <w:pPr>
        <w:tabs>
          <w:tab w:val="num" w:pos="0"/>
        </w:tabs>
      </w:pPr>
      <w:rPr>
        <w:rFonts w:ascii="Symbol" w:hAnsi="Symbol" w:cs="Symbol"/>
      </w:rPr>
    </w:lvl>
    <w:lvl w:ilvl="2" w:tplc="FFFFFFFF">
      <w:start w:val="1"/>
      <w:numFmt w:val="decimal"/>
      <w:lvlText w:val="%3."/>
      <w:lvlJc w:val="left"/>
      <w:pPr>
        <w:tabs>
          <w:tab w:val="num" w:pos="0"/>
        </w:tabs>
      </w:pPr>
    </w:lvl>
    <w:lvl w:ilvl="3" w:tplc="FFFFFFFF">
      <w:start w:val="1"/>
      <w:numFmt w:val="bullet"/>
      <w:lvlText w:val="·"/>
      <w:lvlJc w:val="left"/>
      <w:pPr>
        <w:tabs>
          <w:tab w:val="num" w:pos="0"/>
        </w:tabs>
      </w:pPr>
      <w:rPr>
        <w:rFonts w:ascii="Symbol" w:hAnsi="Symbol" w:cs="Symbol"/>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bullet"/>
      <w:lvlText w:val="·"/>
      <w:lvlJc w:val="left"/>
      <w:pPr>
        <w:tabs>
          <w:tab w:val="num" w:pos="0"/>
        </w:tabs>
      </w:pPr>
      <w:rPr>
        <w:rFonts w:ascii="Symbol" w:hAnsi="Symbol" w:cs="Symbol"/>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FFFFFFFF">
      <w:start w:val="1"/>
      <w:numFmt w:val="decimal"/>
      <w:lvlText w:val="%1."/>
      <w:lvlJc w:val="left"/>
      <w:pPr>
        <w:tabs>
          <w:tab w:val="num" w:pos="0"/>
        </w:tabs>
      </w:p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A15E9D"/>
    <w:multiLevelType w:val="hybridMultilevel"/>
    <w:tmpl w:val="795AD4E0"/>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Courier New" w:hAnsi="Courier New" w:hint="default"/>
      </w:rPr>
    </w:lvl>
    <w:lvl w:ilvl="2" w:tplc="FFFFFFFF">
      <w:start w:val="1"/>
      <w:numFmt w:val="bullet"/>
      <w:lvlText w:val=""/>
      <w:lvlJc w:val="left"/>
      <w:pPr>
        <w:ind w:left="-360" w:hanging="360"/>
      </w:pPr>
      <w:rPr>
        <w:rFonts w:ascii="Wingdings" w:hAnsi="Wingdings"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o"/>
      <w:lvlJc w:val="left"/>
      <w:pPr>
        <w:ind w:left="1080" w:hanging="360"/>
      </w:pPr>
      <w:rPr>
        <w:rFonts w:ascii="Courier New" w:hAnsi="Courier New" w:cs="Courier New" w:hint="default"/>
      </w:rPr>
    </w:lvl>
    <w:lvl w:ilvl="5" w:tplc="FFFFFFFF" w:tentative="1">
      <w:start w:val="1"/>
      <w:numFmt w:val="bullet"/>
      <w:lvlText w:val=""/>
      <w:lvlJc w:val="left"/>
      <w:pPr>
        <w:ind w:left="1800" w:hanging="360"/>
      </w:pPr>
      <w:rPr>
        <w:rFonts w:ascii="Wingdings" w:hAnsi="Wingdings" w:hint="default"/>
      </w:rPr>
    </w:lvl>
    <w:lvl w:ilvl="6" w:tplc="FFFFFFFF" w:tentative="1">
      <w:start w:val="1"/>
      <w:numFmt w:val="bullet"/>
      <w:lvlText w:val=""/>
      <w:lvlJc w:val="left"/>
      <w:pPr>
        <w:ind w:left="2520" w:hanging="360"/>
      </w:pPr>
      <w:rPr>
        <w:rFonts w:ascii="Symbol" w:hAnsi="Symbol" w:hint="default"/>
      </w:rPr>
    </w:lvl>
    <w:lvl w:ilvl="7" w:tplc="FFFFFFFF" w:tentative="1">
      <w:start w:val="1"/>
      <w:numFmt w:val="bullet"/>
      <w:lvlText w:val="o"/>
      <w:lvlJc w:val="left"/>
      <w:pPr>
        <w:ind w:left="3240" w:hanging="360"/>
      </w:pPr>
      <w:rPr>
        <w:rFonts w:ascii="Courier New" w:hAnsi="Courier New" w:cs="Courier New" w:hint="default"/>
      </w:rPr>
    </w:lvl>
    <w:lvl w:ilvl="8" w:tplc="FFFFFFFF" w:tentative="1">
      <w:start w:val="1"/>
      <w:numFmt w:val="bullet"/>
      <w:lvlText w:val=""/>
      <w:lvlJc w:val="left"/>
      <w:pPr>
        <w:ind w:left="3960" w:hanging="360"/>
      </w:pPr>
      <w:rPr>
        <w:rFonts w:ascii="Wingdings" w:hAnsi="Wingdings" w:hint="default"/>
      </w:rPr>
    </w:lvl>
  </w:abstractNum>
  <w:abstractNum w:abstractNumId="7" w15:restartNumberingAfterBreak="0">
    <w:nsid w:val="04FF48BD"/>
    <w:multiLevelType w:val="hybridMultilevel"/>
    <w:tmpl w:val="82CA03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747760"/>
    <w:multiLevelType w:val="hybridMultilevel"/>
    <w:tmpl w:val="E140FD70"/>
    <w:lvl w:ilvl="0" w:tplc="5936E9A6">
      <w:start w:val="1"/>
      <w:numFmt w:val="decimal"/>
      <w:lvlText w:val="%1."/>
      <w:lvlJc w:val="left"/>
      <w:pPr>
        <w:tabs>
          <w:tab w:val="num" w:pos="360"/>
        </w:tabs>
        <w:ind w:left="360" w:hanging="360"/>
      </w:pPr>
      <w:rPr>
        <w:rFonts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694FD2"/>
    <w:multiLevelType w:val="hybridMultilevel"/>
    <w:tmpl w:val="2B88567C"/>
    <w:lvl w:ilvl="0" w:tplc="5D6C5362">
      <w:start w:val="1"/>
      <w:numFmt w:val="bullet"/>
      <w:pStyle w:val="LBulletIMS"/>
      <w:lvlText w:val=""/>
      <w:lvlJc w:val="left"/>
      <w:pPr>
        <w:tabs>
          <w:tab w:val="num" w:pos="878"/>
        </w:tabs>
        <w:ind w:left="0" w:firstLine="51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E0186"/>
    <w:multiLevelType w:val="hybridMultilevel"/>
    <w:tmpl w:val="B326398C"/>
    <w:lvl w:ilvl="0" w:tplc="C8BC6F3C">
      <w:numFmt w:val="bullet"/>
      <w:lvlText w:val="-"/>
      <w:lvlJc w:val="left"/>
      <w:pPr>
        <w:ind w:left="2880" w:hanging="360"/>
      </w:pPr>
      <w:rPr>
        <w:rFonts w:ascii="Calibri" w:eastAsia="Calibri" w:hAnsi="Calibri" w:cs="Calibri" w:hint="default"/>
      </w:rPr>
    </w:lvl>
    <w:lvl w:ilvl="1" w:tplc="C546802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6A560E"/>
    <w:multiLevelType w:val="hybridMultilevel"/>
    <w:tmpl w:val="54E2D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773EBC"/>
    <w:multiLevelType w:val="hybridMultilevel"/>
    <w:tmpl w:val="EEDC027A"/>
    <w:lvl w:ilvl="0" w:tplc="D16A5A08">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D20E97"/>
    <w:multiLevelType w:val="hybridMultilevel"/>
    <w:tmpl w:val="BF2A4420"/>
    <w:lvl w:ilvl="0" w:tplc="158A9EB2">
      <w:start w:val="1"/>
      <w:numFmt w:val="bullet"/>
      <w:lvlText w:val=""/>
      <w:lvlJc w:val="left"/>
      <w:pPr>
        <w:ind w:left="720" w:hanging="360"/>
      </w:pPr>
      <w:rPr>
        <w:rFonts w:ascii="Symbol" w:hAnsi="Symbol"/>
      </w:rPr>
    </w:lvl>
    <w:lvl w:ilvl="1" w:tplc="7D328032">
      <w:start w:val="1"/>
      <w:numFmt w:val="bullet"/>
      <w:lvlText w:val=""/>
      <w:lvlJc w:val="left"/>
      <w:pPr>
        <w:ind w:left="720" w:hanging="360"/>
      </w:pPr>
      <w:rPr>
        <w:rFonts w:ascii="Symbol" w:hAnsi="Symbol"/>
      </w:rPr>
    </w:lvl>
    <w:lvl w:ilvl="2" w:tplc="92D691A6">
      <w:start w:val="1"/>
      <w:numFmt w:val="bullet"/>
      <w:lvlText w:val=""/>
      <w:lvlJc w:val="left"/>
      <w:pPr>
        <w:ind w:left="720" w:hanging="360"/>
      </w:pPr>
      <w:rPr>
        <w:rFonts w:ascii="Symbol" w:hAnsi="Symbol"/>
      </w:rPr>
    </w:lvl>
    <w:lvl w:ilvl="3" w:tplc="FD4274D2">
      <w:start w:val="1"/>
      <w:numFmt w:val="bullet"/>
      <w:lvlText w:val=""/>
      <w:lvlJc w:val="left"/>
      <w:pPr>
        <w:ind w:left="720" w:hanging="360"/>
      </w:pPr>
      <w:rPr>
        <w:rFonts w:ascii="Symbol" w:hAnsi="Symbol"/>
      </w:rPr>
    </w:lvl>
    <w:lvl w:ilvl="4" w:tplc="FD42506E">
      <w:start w:val="1"/>
      <w:numFmt w:val="bullet"/>
      <w:lvlText w:val=""/>
      <w:lvlJc w:val="left"/>
      <w:pPr>
        <w:ind w:left="720" w:hanging="360"/>
      </w:pPr>
      <w:rPr>
        <w:rFonts w:ascii="Symbol" w:hAnsi="Symbol"/>
      </w:rPr>
    </w:lvl>
    <w:lvl w:ilvl="5" w:tplc="DBDE82D2">
      <w:start w:val="1"/>
      <w:numFmt w:val="bullet"/>
      <w:lvlText w:val=""/>
      <w:lvlJc w:val="left"/>
      <w:pPr>
        <w:ind w:left="720" w:hanging="360"/>
      </w:pPr>
      <w:rPr>
        <w:rFonts w:ascii="Symbol" w:hAnsi="Symbol"/>
      </w:rPr>
    </w:lvl>
    <w:lvl w:ilvl="6" w:tplc="55D89DFA">
      <w:start w:val="1"/>
      <w:numFmt w:val="bullet"/>
      <w:lvlText w:val=""/>
      <w:lvlJc w:val="left"/>
      <w:pPr>
        <w:ind w:left="720" w:hanging="360"/>
      </w:pPr>
      <w:rPr>
        <w:rFonts w:ascii="Symbol" w:hAnsi="Symbol"/>
      </w:rPr>
    </w:lvl>
    <w:lvl w:ilvl="7" w:tplc="29B8EA2C">
      <w:start w:val="1"/>
      <w:numFmt w:val="bullet"/>
      <w:lvlText w:val=""/>
      <w:lvlJc w:val="left"/>
      <w:pPr>
        <w:ind w:left="720" w:hanging="360"/>
      </w:pPr>
      <w:rPr>
        <w:rFonts w:ascii="Symbol" w:hAnsi="Symbol"/>
      </w:rPr>
    </w:lvl>
    <w:lvl w:ilvl="8" w:tplc="343A1ABE">
      <w:start w:val="1"/>
      <w:numFmt w:val="bullet"/>
      <w:lvlText w:val=""/>
      <w:lvlJc w:val="left"/>
      <w:pPr>
        <w:ind w:left="720" w:hanging="360"/>
      </w:pPr>
      <w:rPr>
        <w:rFonts w:ascii="Symbol" w:hAnsi="Symbol"/>
      </w:rPr>
    </w:lvl>
  </w:abstractNum>
  <w:abstractNum w:abstractNumId="14" w15:restartNumberingAfterBreak="0">
    <w:nsid w:val="416D2A60"/>
    <w:multiLevelType w:val="hybridMultilevel"/>
    <w:tmpl w:val="F264A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15020"/>
    <w:multiLevelType w:val="hybridMultilevel"/>
    <w:tmpl w:val="3E105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9A4A06"/>
    <w:multiLevelType w:val="hybridMultilevel"/>
    <w:tmpl w:val="08E45A82"/>
    <w:lvl w:ilvl="0" w:tplc="D16A5A08">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DC108C"/>
    <w:multiLevelType w:val="hybridMultilevel"/>
    <w:tmpl w:val="ED848B8A"/>
    <w:lvl w:ilvl="0" w:tplc="B1D6EB7C">
      <w:start w:val="1"/>
      <w:numFmt w:val="bullet"/>
      <w:lvlText w:val=""/>
      <w:lvlJc w:val="left"/>
      <w:pPr>
        <w:ind w:left="1020" w:hanging="360"/>
      </w:pPr>
      <w:rPr>
        <w:rFonts w:ascii="Symbol" w:hAnsi="Symbol"/>
      </w:rPr>
    </w:lvl>
    <w:lvl w:ilvl="1" w:tplc="9774E59C">
      <w:start w:val="1"/>
      <w:numFmt w:val="bullet"/>
      <w:lvlText w:val=""/>
      <w:lvlJc w:val="left"/>
      <w:pPr>
        <w:ind w:left="1020" w:hanging="360"/>
      </w:pPr>
      <w:rPr>
        <w:rFonts w:ascii="Symbol" w:hAnsi="Symbol"/>
      </w:rPr>
    </w:lvl>
    <w:lvl w:ilvl="2" w:tplc="3266D8A0">
      <w:start w:val="1"/>
      <w:numFmt w:val="bullet"/>
      <w:lvlText w:val=""/>
      <w:lvlJc w:val="left"/>
      <w:pPr>
        <w:ind w:left="1020" w:hanging="360"/>
      </w:pPr>
      <w:rPr>
        <w:rFonts w:ascii="Symbol" w:hAnsi="Symbol"/>
      </w:rPr>
    </w:lvl>
    <w:lvl w:ilvl="3" w:tplc="F7B0D1BE">
      <w:start w:val="1"/>
      <w:numFmt w:val="bullet"/>
      <w:lvlText w:val=""/>
      <w:lvlJc w:val="left"/>
      <w:pPr>
        <w:ind w:left="1020" w:hanging="360"/>
      </w:pPr>
      <w:rPr>
        <w:rFonts w:ascii="Symbol" w:hAnsi="Symbol"/>
      </w:rPr>
    </w:lvl>
    <w:lvl w:ilvl="4" w:tplc="FB9C58EE">
      <w:start w:val="1"/>
      <w:numFmt w:val="bullet"/>
      <w:lvlText w:val=""/>
      <w:lvlJc w:val="left"/>
      <w:pPr>
        <w:ind w:left="1020" w:hanging="360"/>
      </w:pPr>
      <w:rPr>
        <w:rFonts w:ascii="Symbol" w:hAnsi="Symbol"/>
      </w:rPr>
    </w:lvl>
    <w:lvl w:ilvl="5" w:tplc="33AEEA76">
      <w:start w:val="1"/>
      <w:numFmt w:val="bullet"/>
      <w:lvlText w:val=""/>
      <w:lvlJc w:val="left"/>
      <w:pPr>
        <w:ind w:left="1020" w:hanging="360"/>
      </w:pPr>
      <w:rPr>
        <w:rFonts w:ascii="Symbol" w:hAnsi="Symbol"/>
      </w:rPr>
    </w:lvl>
    <w:lvl w:ilvl="6" w:tplc="46300A70">
      <w:start w:val="1"/>
      <w:numFmt w:val="bullet"/>
      <w:lvlText w:val=""/>
      <w:lvlJc w:val="left"/>
      <w:pPr>
        <w:ind w:left="1020" w:hanging="360"/>
      </w:pPr>
      <w:rPr>
        <w:rFonts w:ascii="Symbol" w:hAnsi="Symbol"/>
      </w:rPr>
    </w:lvl>
    <w:lvl w:ilvl="7" w:tplc="B35EB1A6">
      <w:start w:val="1"/>
      <w:numFmt w:val="bullet"/>
      <w:lvlText w:val=""/>
      <w:lvlJc w:val="left"/>
      <w:pPr>
        <w:ind w:left="1020" w:hanging="360"/>
      </w:pPr>
      <w:rPr>
        <w:rFonts w:ascii="Symbol" w:hAnsi="Symbol"/>
      </w:rPr>
    </w:lvl>
    <w:lvl w:ilvl="8" w:tplc="D270B53C">
      <w:start w:val="1"/>
      <w:numFmt w:val="bullet"/>
      <w:lvlText w:val=""/>
      <w:lvlJc w:val="left"/>
      <w:pPr>
        <w:ind w:left="1020" w:hanging="360"/>
      </w:pPr>
      <w:rPr>
        <w:rFonts w:ascii="Symbol" w:hAnsi="Symbol"/>
      </w:rPr>
    </w:lvl>
  </w:abstractNum>
  <w:abstractNum w:abstractNumId="18" w15:restartNumberingAfterBreak="0">
    <w:nsid w:val="48867786"/>
    <w:multiLevelType w:val="multilevel"/>
    <w:tmpl w:val="94B69B30"/>
    <w:lvl w:ilvl="0">
      <w:start w:val="1"/>
      <w:numFmt w:val="decimal"/>
      <w:pStyle w:val="ScheduleHeading1"/>
      <w:lvlText w:val="%1."/>
      <w:lvlJc w:val="left"/>
      <w:pPr>
        <w:tabs>
          <w:tab w:val="num" w:pos="709"/>
        </w:tabs>
        <w:ind w:left="709" w:hanging="709"/>
      </w:pPr>
      <w:rPr>
        <w:rFonts w:cs="Times New Roman" w:hint="default"/>
        <w:b/>
        <w:i w:val="0"/>
      </w:rPr>
    </w:lvl>
    <w:lvl w:ilvl="1">
      <w:start w:val="1"/>
      <w:numFmt w:val="decimal"/>
      <w:pStyle w:val="ScheduleHeading2"/>
      <w:lvlText w:val="%1.%2"/>
      <w:lvlJc w:val="left"/>
      <w:pPr>
        <w:tabs>
          <w:tab w:val="num" w:pos="709"/>
        </w:tabs>
        <w:ind w:left="709" w:hanging="709"/>
      </w:pPr>
      <w:rPr>
        <w:rFonts w:cs="Times New Roman" w:hint="default"/>
        <w:b w:val="0"/>
        <w:i w:val="0"/>
      </w:rPr>
    </w:lvl>
    <w:lvl w:ilvl="2">
      <w:start w:val="1"/>
      <w:numFmt w:val="decimal"/>
      <w:pStyle w:val="ScheduleHeading3"/>
      <w:lvlText w:val="%1.%2.%3"/>
      <w:lvlJc w:val="left"/>
      <w:pPr>
        <w:tabs>
          <w:tab w:val="num" w:pos="1559"/>
        </w:tabs>
        <w:ind w:left="1559" w:hanging="850"/>
      </w:pPr>
      <w:rPr>
        <w:rFonts w:cs="Times New Roman" w:hint="default"/>
      </w:rPr>
    </w:lvl>
    <w:lvl w:ilvl="3">
      <w:start w:val="1"/>
      <w:numFmt w:val="upperLetter"/>
      <w:pStyle w:val="ScheduleHeading4"/>
      <w:lvlText w:val="(%4)"/>
      <w:lvlJc w:val="left"/>
      <w:pPr>
        <w:tabs>
          <w:tab w:val="num" w:pos="2268"/>
        </w:tabs>
        <w:ind w:left="2268" w:hanging="709"/>
      </w:pPr>
      <w:rPr>
        <w:rFonts w:cs="Times New Roman" w:hint="default"/>
      </w:rPr>
    </w:lvl>
    <w:lvl w:ilvl="4">
      <w:start w:val="1"/>
      <w:numFmt w:val="decimal"/>
      <w:pStyle w:val="ScheduleHeading5"/>
      <w:lvlText w:val="(%5)"/>
      <w:lvlJc w:val="left"/>
      <w:pPr>
        <w:tabs>
          <w:tab w:val="num" w:pos="2977"/>
        </w:tabs>
        <w:ind w:left="2977" w:hanging="709"/>
      </w:pPr>
      <w:rPr>
        <w:rFonts w:cs="Times New Roman" w:hint="default"/>
      </w:rPr>
    </w:lvl>
    <w:lvl w:ilvl="5">
      <w:start w:val="1"/>
      <w:numFmt w:val="lowerLetter"/>
      <w:pStyle w:val="ScheduleHeading6"/>
      <w:lvlText w:val="(%6)"/>
      <w:lvlJc w:val="left"/>
      <w:pPr>
        <w:tabs>
          <w:tab w:val="num" w:pos="3686"/>
        </w:tabs>
        <w:ind w:left="3686" w:hanging="709"/>
      </w:pPr>
      <w:rPr>
        <w:rFonts w:cs="Times New Roman" w:hint="default"/>
      </w:rPr>
    </w:lvl>
    <w:lvl w:ilvl="6">
      <w:start w:val="1"/>
      <w:numFmt w:val="lowerRoman"/>
      <w:pStyle w:val="ScheduleHeading7"/>
      <w:lvlText w:val="(%7)"/>
      <w:lvlJc w:val="left"/>
      <w:pPr>
        <w:tabs>
          <w:tab w:val="num" w:pos="4394"/>
        </w:tabs>
        <w:ind w:left="4394" w:hanging="70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53897553"/>
    <w:multiLevelType w:val="hybridMultilevel"/>
    <w:tmpl w:val="79C867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6D205E"/>
    <w:multiLevelType w:val="hybridMultilevel"/>
    <w:tmpl w:val="39C00EC4"/>
    <w:lvl w:ilvl="0" w:tplc="9B98B924">
      <w:start w:val="1"/>
      <w:numFmt w:val="bullet"/>
      <w:lvlText w:val="–"/>
      <w:lvlJc w:val="left"/>
      <w:pPr>
        <w:ind w:left="2880" w:hanging="360"/>
      </w:pPr>
      <w:rPr>
        <w:rFonts w:ascii="Walbaum Heading" w:hAnsi="Walbaum Heading"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5730B"/>
    <w:multiLevelType w:val="singleLevel"/>
    <w:tmpl w:val="880E13FC"/>
    <w:lvl w:ilvl="0">
      <w:start w:val="1"/>
      <w:numFmt w:val="decimal"/>
      <w:lvlText w:val="%1."/>
      <w:legacy w:legacy="1" w:legacySpace="0" w:legacyIndent="360"/>
      <w:lvlJc w:val="left"/>
      <w:rPr>
        <w:rFonts w:ascii="Arial" w:hAnsi="Arial" w:cs="Arial" w:hint="default"/>
      </w:rPr>
    </w:lvl>
  </w:abstractNum>
  <w:num w:numId="1" w16cid:durableId="351223585">
    <w:abstractNumId w:val="18"/>
  </w:num>
  <w:num w:numId="2" w16cid:durableId="278344373">
    <w:abstractNumId w:val="8"/>
  </w:num>
  <w:num w:numId="3" w16cid:durableId="282619332">
    <w:abstractNumId w:val="9"/>
  </w:num>
  <w:num w:numId="4" w16cid:durableId="511606241">
    <w:abstractNumId w:val="15"/>
  </w:num>
  <w:num w:numId="5" w16cid:durableId="32271883">
    <w:abstractNumId w:val="20"/>
  </w:num>
  <w:num w:numId="6" w16cid:durableId="549389928">
    <w:abstractNumId w:val="19"/>
  </w:num>
  <w:num w:numId="7" w16cid:durableId="999305288">
    <w:abstractNumId w:val="10"/>
  </w:num>
  <w:num w:numId="8" w16cid:durableId="1339426193">
    <w:abstractNumId w:val="11"/>
  </w:num>
  <w:num w:numId="9" w16cid:durableId="841818789">
    <w:abstractNumId w:val="17"/>
  </w:num>
  <w:num w:numId="10" w16cid:durableId="206721696">
    <w:abstractNumId w:val="7"/>
  </w:num>
  <w:num w:numId="11" w16cid:durableId="413551508">
    <w:abstractNumId w:val="14"/>
  </w:num>
  <w:num w:numId="12" w16cid:durableId="180166435">
    <w:abstractNumId w:val="6"/>
  </w:num>
  <w:num w:numId="13" w16cid:durableId="609431783">
    <w:abstractNumId w:val="13"/>
  </w:num>
  <w:num w:numId="14" w16cid:durableId="1014458085">
    <w:abstractNumId w:val="12"/>
  </w:num>
  <w:num w:numId="15" w16cid:durableId="1374690542">
    <w:abstractNumId w:val="16"/>
  </w:num>
  <w:num w:numId="16" w16cid:durableId="1880193408">
    <w:abstractNumId w:val="1"/>
  </w:num>
  <w:num w:numId="17" w16cid:durableId="1909151953">
    <w:abstractNumId w:val="2"/>
  </w:num>
  <w:num w:numId="18" w16cid:durableId="448398082">
    <w:abstractNumId w:val="3"/>
  </w:num>
  <w:num w:numId="19" w16cid:durableId="243415485">
    <w:abstractNumId w:val="4"/>
  </w:num>
  <w:num w:numId="20" w16cid:durableId="1016150545">
    <w:abstractNumId w:val="5"/>
  </w:num>
  <w:num w:numId="21" w16cid:durableId="230042452">
    <w:abstractNumId w:val="0"/>
    <w:lvlOverride w:ilvl="0">
      <w:lvl w:ilvl="0">
        <w:numFmt w:val="bullet"/>
        <w:lvlText w:val=""/>
        <w:legacy w:legacy="1" w:legacySpace="0" w:legacyIndent="0"/>
        <w:lvlJc w:val="left"/>
        <w:rPr>
          <w:rFonts w:ascii="Symbol" w:hAnsi="Symbol" w:hint="default"/>
        </w:rPr>
      </w:lvl>
    </w:lvlOverride>
  </w:num>
  <w:num w:numId="22" w16cid:durableId="212095168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D1"/>
    <w:rsid w:val="00000267"/>
    <w:rsid w:val="000008C0"/>
    <w:rsid w:val="00000A05"/>
    <w:rsid w:val="00002012"/>
    <w:rsid w:val="000023AB"/>
    <w:rsid w:val="000027A2"/>
    <w:rsid w:val="00002866"/>
    <w:rsid w:val="00003F68"/>
    <w:rsid w:val="00003FF8"/>
    <w:rsid w:val="000042BA"/>
    <w:rsid w:val="00004D59"/>
    <w:rsid w:val="00004D66"/>
    <w:rsid w:val="00005382"/>
    <w:rsid w:val="00005D41"/>
    <w:rsid w:val="00005E14"/>
    <w:rsid w:val="00006358"/>
    <w:rsid w:val="000076F7"/>
    <w:rsid w:val="000077FA"/>
    <w:rsid w:val="00007D16"/>
    <w:rsid w:val="00007EEC"/>
    <w:rsid w:val="00010380"/>
    <w:rsid w:val="000109C3"/>
    <w:rsid w:val="00010B7E"/>
    <w:rsid w:val="000111C8"/>
    <w:rsid w:val="00011E78"/>
    <w:rsid w:val="0001341D"/>
    <w:rsid w:val="00013C9B"/>
    <w:rsid w:val="00014AED"/>
    <w:rsid w:val="000152EC"/>
    <w:rsid w:val="00015BDE"/>
    <w:rsid w:val="00015C27"/>
    <w:rsid w:val="000160A7"/>
    <w:rsid w:val="0001613E"/>
    <w:rsid w:val="00016370"/>
    <w:rsid w:val="000169DB"/>
    <w:rsid w:val="00017042"/>
    <w:rsid w:val="00017588"/>
    <w:rsid w:val="00020012"/>
    <w:rsid w:val="0002001B"/>
    <w:rsid w:val="000204D8"/>
    <w:rsid w:val="00020616"/>
    <w:rsid w:val="000206D4"/>
    <w:rsid w:val="0002082C"/>
    <w:rsid w:val="0002093D"/>
    <w:rsid w:val="00020AD3"/>
    <w:rsid w:val="000211B7"/>
    <w:rsid w:val="00021DC5"/>
    <w:rsid w:val="00021E50"/>
    <w:rsid w:val="0002272C"/>
    <w:rsid w:val="00022C7E"/>
    <w:rsid w:val="00022EDA"/>
    <w:rsid w:val="000233A6"/>
    <w:rsid w:val="000235EF"/>
    <w:rsid w:val="0002390B"/>
    <w:rsid w:val="00023A21"/>
    <w:rsid w:val="00023CA6"/>
    <w:rsid w:val="000241C4"/>
    <w:rsid w:val="000247D8"/>
    <w:rsid w:val="00025104"/>
    <w:rsid w:val="000258E8"/>
    <w:rsid w:val="0002629E"/>
    <w:rsid w:val="00026524"/>
    <w:rsid w:val="00026692"/>
    <w:rsid w:val="00026EB1"/>
    <w:rsid w:val="00026FAD"/>
    <w:rsid w:val="00026FE5"/>
    <w:rsid w:val="000301CC"/>
    <w:rsid w:val="0003075F"/>
    <w:rsid w:val="00030FF6"/>
    <w:rsid w:val="000310B1"/>
    <w:rsid w:val="000313F7"/>
    <w:rsid w:val="0003145D"/>
    <w:rsid w:val="000316C3"/>
    <w:rsid w:val="00031F41"/>
    <w:rsid w:val="00031FB8"/>
    <w:rsid w:val="00031FDE"/>
    <w:rsid w:val="00032385"/>
    <w:rsid w:val="000326B4"/>
    <w:rsid w:val="000326C7"/>
    <w:rsid w:val="0003279F"/>
    <w:rsid w:val="000334A2"/>
    <w:rsid w:val="0003360F"/>
    <w:rsid w:val="00034AFF"/>
    <w:rsid w:val="00034C00"/>
    <w:rsid w:val="00035569"/>
    <w:rsid w:val="000358DB"/>
    <w:rsid w:val="00035AF4"/>
    <w:rsid w:val="00036A89"/>
    <w:rsid w:val="00036BB7"/>
    <w:rsid w:val="00037EB7"/>
    <w:rsid w:val="00037F32"/>
    <w:rsid w:val="0004057E"/>
    <w:rsid w:val="00040A45"/>
    <w:rsid w:val="0004108A"/>
    <w:rsid w:val="00041D02"/>
    <w:rsid w:val="00042566"/>
    <w:rsid w:val="000426AD"/>
    <w:rsid w:val="00042BD6"/>
    <w:rsid w:val="00043D3F"/>
    <w:rsid w:val="00043EE5"/>
    <w:rsid w:val="00044673"/>
    <w:rsid w:val="0004476C"/>
    <w:rsid w:val="000447FD"/>
    <w:rsid w:val="00045602"/>
    <w:rsid w:val="000456B4"/>
    <w:rsid w:val="00045986"/>
    <w:rsid w:val="00046015"/>
    <w:rsid w:val="000462C5"/>
    <w:rsid w:val="000468FE"/>
    <w:rsid w:val="000469B5"/>
    <w:rsid w:val="00046CD3"/>
    <w:rsid w:val="00046DC1"/>
    <w:rsid w:val="0004709C"/>
    <w:rsid w:val="000471A5"/>
    <w:rsid w:val="00047BF4"/>
    <w:rsid w:val="00050612"/>
    <w:rsid w:val="00050E23"/>
    <w:rsid w:val="00051192"/>
    <w:rsid w:val="00051210"/>
    <w:rsid w:val="000513EC"/>
    <w:rsid w:val="00051694"/>
    <w:rsid w:val="000516FD"/>
    <w:rsid w:val="00052816"/>
    <w:rsid w:val="00052C96"/>
    <w:rsid w:val="00052EA1"/>
    <w:rsid w:val="00052F49"/>
    <w:rsid w:val="00053346"/>
    <w:rsid w:val="000534A4"/>
    <w:rsid w:val="00053DAA"/>
    <w:rsid w:val="00054628"/>
    <w:rsid w:val="000549CE"/>
    <w:rsid w:val="0005585B"/>
    <w:rsid w:val="00055B25"/>
    <w:rsid w:val="00055B77"/>
    <w:rsid w:val="00056685"/>
    <w:rsid w:val="00056FFF"/>
    <w:rsid w:val="00057B71"/>
    <w:rsid w:val="00060B33"/>
    <w:rsid w:val="00060E58"/>
    <w:rsid w:val="00062061"/>
    <w:rsid w:val="000621DA"/>
    <w:rsid w:val="000623C0"/>
    <w:rsid w:val="0006291C"/>
    <w:rsid w:val="00062EC8"/>
    <w:rsid w:val="00063B4A"/>
    <w:rsid w:val="00063B95"/>
    <w:rsid w:val="00063CC2"/>
    <w:rsid w:val="00063D6C"/>
    <w:rsid w:val="00063EFA"/>
    <w:rsid w:val="000645F7"/>
    <w:rsid w:val="00065814"/>
    <w:rsid w:val="00065C88"/>
    <w:rsid w:val="0006604E"/>
    <w:rsid w:val="00066237"/>
    <w:rsid w:val="0006678C"/>
    <w:rsid w:val="00066921"/>
    <w:rsid w:val="00066EC5"/>
    <w:rsid w:val="00067198"/>
    <w:rsid w:val="000675CD"/>
    <w:rsid w:val="000675FF"/>
    <w:rsid w:val="00067C3C"/>
    <w:rsid w:val="0007002A"/>
    <w:rsid w:val="0007039B"/>
    <w:rsid w:val="000707A4"/>
    <w:rsid w:val="00070F45"/>
    <w:rsid w:val="00071472"/>
    <w:rsid w:val="000715D3"/>
    <w:rsid w:val="00071DDB"/>
    <w:rsid w:val="00072289"/>
    <w:rsid w:val="00072375"/>
    <w:rsid w:val="0007309A"/>
    <w:rsid w:val="00073461"/>
    <w:rsid w:val="00073748"/>
    <w:rsid w:val="00073ABD"/>
    <w:rsid w:val="00073B97"/>
    <w:rsid w:val="00073BD7"/>
    <w:rsid w:val="00073FF0"/>
    <w:rsid w:val="000742B8"/>
    <w:rsid w:val="00074388"/>
    <w:rsid w:val="0007475F"/>
    <w:rsid w:val="00074941"/>
    <w:rsid w:val="00074B55"/>
    <w:rsid w:val="00074E11"/>
    <w:rsid w:val="000751C9"/>
    <w:rsid w:val="000752D8"/>
    <w:rsid w:val="000754CC"/>
    <w:rsid w:val="0007551E"/>
    <w:rsid w:val="0007592A"/>
    <w:rsid w:val="000772B6"/>
    <w:rsid w:val="00077F3B"/>
    <w:rsid w:val="000801B1"/>
    <w:rsid w:val="000805A4"/>
    <w:rsid w:val="000806E3"/>
    <w:rsid w:val="0008071D"/>
    <w:rsid w:val="00080B04"/>
    <w:rsid w:val="00080FD9"/>
    <w:rsid w:val="00081305"/>
    <w:rsid w:val="00081C73"/>
    <w:rsid w:val="00081D4B"/>
    <w:rsid w:val="00082658"/>
    <w:rsid w:val="000829F0"/>
    <w:rsid w:val="00083741"/>
    <w:rsid w:val="00083800"/>
    <w:rsid w:val="00083DAF"/>
    <w:rsid w:val="0008403E"/>
    <w:rsid w:val="000841CE"/>
    <w:rsid w:val="0008430A"/>
    <w:rsid w:val="0008595A"/>
    <w:rsid w:val="00085A05"/>
    <w:rsid w:val="00085B94"/>
    <w:rsid w:val="00086A85"/>
    <w:rsid w:val="00087923"/>
    <w:rsid w:val="00087A6A"/>
    <w:rsid w:val="00087C83"/>
    <w:rsid w:val="00087D55"/>
    <w:rsid w:val="00087E34"/>
    <w:rsid w:val="000901F6"/>
    <w:rsid w:val="00090BEC"/>
    <w:rsid w:val="0009172D"/>
    <w:rsid w:val="000919F5"/>
    <w:rsid w:val="00091F6D"/>
    <w:rsid w:val="000924CA"/>
    <w:rsid w:val="00092E7B"/>
    <w:rsid w:val="00092EE5"/>
    <w:rsid w:val="00094E0F"/>
    <w:rsid w:val="00094F9B"/>
    <w:rsid w:val="00095ECB"/>
    <w:rsid w:val="00095F09"/>
    <w:rsid w:val="000961CC"/>
    <w:rsid w:val="000961DA"/>
    <w:rsid w:val="00097361"/>
    <w:rsid w:val="0009799A"/>
    <w:rsid w:val="00097BA1"/>
    <w:rsid w:val="000A0533"/>
    <w:rsid w:val="000A0F8D"/>
    <w:rsid w:val="000A1339"/>
    <w:rsid w:val="000A13CE"/>
    <w:rsid w:val="000A1FA7"/>
    <w:rsid w:val="000A21D7"/>
    <w:rsid w:val="000A2911"/>
    <w:rsid w:val="000A2E43"/>
    <w:rsid w:val="000A3641"/>
    <w:rsid w:val="000A4228"/>
    <w:rsid w:val="000A495C"/>
    <w:rsid w:val="000A4B2A"/>
    <w:rsid w:val="000A4C9E"/>
    <w:rsid w:val="000A5573"/>
    <w:rsid w:val="000A589D"/>
    <w:rsid w:val="000A5DCA"/>
    <w:rsid w:val="000A67CA"/>
    <w:rsid w:val="000A6953"/>
    <w:rsid w:val="000A7102"/>
    <w:rsid w:val="000A7A6A"/>
    <w:rsid w:val="000B10A6"/>
    <w:rsid w:val="000B2A51"/>
    <w:rsid w:val="000B2DA6"/>
    <w:rsid w:val="000B2E9C"/>
    <w:rsid w:val="000B41D8"/>
    <w:rsid w:val="000B4459"/>
    <w:rsid w:val="000B4588"/>
    <w:rsid w:val="000B4725"/>
    <w:rsid w:val="000B4A03"/>
    <w:rsid w:val="000B4ACB"/>
    <w:rsid w:val="000B4C42"/>
    <w:rsid w:val="000B4F72"/>
    <w:rsid w:val="000B4FDC"/>
    <w:rsid w:val="000B4FF6"/>
    <w:rsid w:val="000B5C69"/>
    <w:rsid w:val="000B5DA0"/>
    <w:rsid w:val="000B61CA"/>
    <w:rsid w:val="000B68EA"/>
    <w:rsid w:val="000B6AE8"/>
    <w:rsid w:val="000B6BB1"/>
    <w:rsid w:val="000B6ED8"/>
    <w:rsid w:val="000B6FF8"/>
    <w:rsid w:val="000B770E"/>
    <w:rsid w:val="000C0589"/>
    <w:rsid w:val="000C0B6D"/>
    <w:rsid w:val="000C0D61"/>
    <w:rsid w:val="000C0F5A"/>
    <w:rsid w:val="000C13F1"/>
    <w:rsid w:val="000C1B5F"/>
    <w:rsid w:val="000C21AD"/>
    <w:rsid w:val="000C2308"/>
    <w:rsid w:val="000C248D"/>
    <w:rsid w:val="000C24C6"/>
    <w:rsid w:val="000C2A63"/>
    <w:rsid w:val="000C36A1"/>
    <w:rsid w:val="000C391F"/>
    <w:rsid w:val="000C3A8B"/>
    <w:rsid w:val="000C3C4F"/>
    <w:rsid w:val="000C5DF4"/>
    <w:rsid w:val="000C70CD"/>
    <w:rsid w:val="000C70FB"/>
    <w:rsid w:val="000C71C7"/>
    <w:rsid w:val="000C782E"/>
    <w:rsid w:val="000C7D29"/>
    <w:rsid w:val="000C7D33"/>
    <w:rsid w:val="000D02B5"/>
    <w:rsid w:val="000D02D4"/>
    <w:rsid w:val="000D0333"/>
    <w:rsid w:val="000D0749"/>
    <w:rsid w:val="000D0AEC"/>
    <w:rsid w:val="000D18CA"/>
    <w:rsid w:val="000D209E"/>
    <w:rsid w:val="000D2568"/>
    <w:rsid w:val="000D2B9E"/>
    <w:rsid w:val="000D33E8"/>
    <w:rsid w:val="000D363B"/>
    <w:rsid w:val="000D3E0E"/>
    <w:rsid w:val="000D41AC"/>
    <w:rsid w:val="000D4C3B"/>
    <w:rsid w:val="000D507C"/>
    <w:rsid w:val="000D5B31"/>
    <w:rsid w:val="000D63A2"/>
    <w:rsid w:val="000D69D5"/>
    <w:rsid w:val="000D6E31"/>
    <w:rsid w:val="000D6F9C"/>
    <w:rsid w:val="000D71B8"/>
    <w:rsid w:val="000D7418"/>
    <w:rsid w:val="000D79AE"/>
    <w:rsid w:val="000E0DD5"/>
    <w:rsid w:val="000E14D4"/>
    <w:rsid w:val="000E1ADB"/>
    <w:rsid w:val="000E1FF7"/>
    <w:rsid w:val="000E2005"/>
    <w:rsid w:val="000E2731"/>
    <w:rsid w:val="000E2C4B"/>
    <w:rsid w:val="000E2C97"/>
    <w:rsid w:val="000E32E3"/>
    <w:rsid w:val="000E3B5B"/>
    <w:rsid w:val="000E4386"/>
    <w:rsid w:val="000E46C3"/>
    <w:rsid w:val="000E49FC"/>
    <w:rsid w:val="000E4F50"/>
    <w:rsid w:val="000E57D0"/>
    <w:rsid w:val="000E5B40"/>
    <w:rsid w:val="000E611F"/>
    <w:rsid w:val="000E7619"/>
    <w:rsid w:val="000E7CC4"/>
    <w:rsid w:val="000E7FC2"/>
    <w:rsid w:val="000F04A3"/>
    <w:rsid w:val="000F07DC"/>
    <w:rsid w:val="000F1364"/>
    <w:rsid w:val="000F1ECC"/>
    <w:rsid w:val="000F1EDC"/>
    <w:rsid w:val="000F21E9"/>
    <w:rsid w:val="000F29C9"/>
    <w:rsid w:val="000F2A61"/>
    <w:rsid w:val="000F2A9F"/>
    <w:rsid w:val="000F2C53"/>
    <w:rsid w:val="000F2DD5"/>
    <w:rsid w:val="000F323B"/>
    <w:rsid w:val="000F3D19"/>
    <w:rsid w:val="000F471D"/>
    <w:rsid w:val="000F4AE5"/>
    <w:rsid w:val="000F4B3A"/>
    <w:rsid w:val="000F4D8F"/>
    <w:rsid w:val="000F5280"/>
    <w:rsid w:val="000F594A"/>
    <w:rsid w:val="000F63B2"/>
    <w:rsid w:val="000F69E9"/>
    <w:rsid w:val="000F75F3"/>
    <w:rsid w:val="000F76A4"/>
    <w:rsid w:val="00101CBA"/>
    <w:rsid w:val="00101CBB"/>
    <w:rsid w:val="00102504"/>
    <w:rsid w:val="0010281A"/>
    <w:rsid w:val="00103437"/>
    <w:rsid w:val="00103836"/>
    <w:rsid w:val="00103F8C"/>
    <w:rsid w:val="001053EE"/>
    <w:rsid w:val="001059F9"/>
    <w:rsid w:val="001064B5"/>
    <w:rsid w:val="001066A5"/>
    <w:rsid w:val="00106F4D"/>
    <w:rsid w:val="00106FD5"/>
    <w:rsid w:val="0010774E"/>
    <w:rsid w:val="00107EB3"/>
    <w:rsid w:val="001102B2"/>
    <w:rsid w:val="00110CB4"/>
    <w:rsid w:val="0011146C"/>
    <w:rsid w:val="001114DE"/>
    <w:rsid w:val="0011175C"/>
    <w:rsid w:val="00111762"/>
    <w:rsid w:val="00111C4E"/>
    <w:rsid w:val="00111E98"/>
    <w:rsid w:val="001123AE"/>
    <w:rsid w:val="001123EC"/>
    <w:rsid w:val="001131D0"/>
    <w:rsid w:val="00113300"/>
    <w:rsid w:val="00113AD7"/>
    <w:rsid w:val="001149D7"/>
    <w:rsid w:val="00114FE0"/>
    <w:rsid w:val="001155CB"/>
    <w:rsid w:val="00115C63"/>
    <w:rsid w:val="00115CFC"/>
    <w:rsid w:val="00116232"/>
    <w:rsid w:val="0011658A"/>
    <w:rsid w:val="00116C17"/>
    <w:rsid w:val="00116F40"/>
    <w:rsid w:val="00117A3A"/>
    <w:rsid w:val="00117F57"/>
    <w:rsid w:val="001208C9"/>
    <w:rsid w:val="00120B34"/>
    <w:rsid w:val="0012115D"/>
    <w:rsid w:val="0012125B"/>
    <w:rsid w:val="00121568"/>
    <w:rsid w:val="00121A8B"/>
    <w:rsid w:val="00122645"/>
    <w:rsid w:val="0012264B"/>
    <w:rsid w:val="00122847"/>
    <w:rsid w:val="00123CC3"/>
    <w:rsid w:val="00124129"/>
    <w:rsid w:val="00124CEA"/>
    <w:rsid w:val="00124D71"/>
    <w:rsid w:val="00125332"/>
    <w:rsid w:val="0012549F"/>
    <w:rsid w:val="001256F9"/>
    <w:rsid w:val="001259E4"/>
    <w:rsid w:val="00126033"/>
    <w:rsid w:val="0012729A"/>
    <w:rsid w:val="001278D2"/>
    <w:rsid w:val="001305F6"/>
    <w:rsid w:val="0013075E"/>
    <w:rsid w:val="00130991"/>
    <w:rsid w:val="00130F92"/>
    <w:rsid w:val="001317F4"/>
    <w:rsid w:val="001322EC"/>
    <w:rsid w:val="00132947"/>
    <w:rsid w:val="00132A8F"/>
    <w:rsid w:val="00132D2B"/>
    <w:rsid w:val="0013309F"/>
    <w:rsid w:val="00133B27"/>
    <w:rsid w:val="00133C25"/>
    <w:rsid w:val="00133FFF"/>
    <w:rsid w:val="00134897"/>
    <w:rsid w:val="00134BFF"/>
    <w:rsid w:val="0013513F"/>
    <w:rsid w:val="0013542E"/>
    <w:rsid w:val="00135E05"/>
    <w:rsid w:val="00135E98"/>
    <w:rsid w:val="00136436"/>
    <w:rsid w:val="0013647B"/>
    <w:rsid w:val="0013722E"/>
    <w:rsid w:val="001373F6"/>
    <w:rsid w:val="001374DB"/>
    <w:rsid w:val="001375A9"/>
    <w:rsid w:val="00140378"/>
    <w:rsid w:val="001410FD"/>
    <w:rsid w:val="0014202D"/>
    <w:rsid w:val="001423F4"/>
    <w:rsid w:val="00142A98"/>
    <w:rsid w:val="00143063"/>
    <w:rsid w:val="00143C64"/>
    <w:rsid w:val="00144354"/>
    <w:rsid w:val="00144692"/>
    <w:rsid w:val="00144EFD"/>
    <w:rsid w:val="0014545B"/>
    <w:rsid w:val="00145DD5"/>
    <w:rsid w:val="00146365"/>
    <w:rsid w:val="00146793"/>
    <w:rsid w:val="001467CA"/>
    <w:rsid w:val="00146A07"/>
    <w:rsid w:val="00146EA2"/>
    <w:rsid w:val="00147755"/>
    <w:rsid w:val="00147832"/>
    <w:rsid w:val="00147911"/>
    <w:rsid w:val="00147C4F"/>
    <w:rsid w:val="00147E95"/>
    <w:rsid w:val="00150943"/>
    <w:rsid w:val="0015105C"/>
    <w:rsid w:val="00151134"/>
    <w:rsid w:val="00151836"/>
    <w:rsid w:val="00151BE5"/>
    <w:rsid w:val="00151DAD"/>
    <w:rsid w:val="001520B2"/>
    <w:rsid w:val="001522E2"/>
    <w:rsid w:val="001522E5"/>
    <w:rsid w:val="001522F8"/>
    <w:rsid w:val="00152CA7"/>
    <w:rsid w:val="001539D8"/>
    <w:rsid w:val="00153A45"/>
    <w:rsid w:val="00153A88"/>
    <w:rsid w:val="00154040"/>
    <w:rsid w:val="001548ED"/>
    <w:rsid w:val="00154BD1"/>
    <w:rsid w:val="00155E65"/>
    <w:rsid w:val="00155F5A"/>
    <w:rsid w:val="00156605"/>
    <w:rsid w:val="001567E0"/>
    <w:rsid w:val="001568C7"/>
    <w:rsid w:val="001576A0"/>
    <w:rsid w:val="0015771F"/>
    <w:rsid w:val="00157AC6"/>
    <w:rsid w:val="00157AF8"/>
    <w:rsid w:val="00157C6A"/>
    <w:rsid w:val="0016010F"/>
    <w:rsid w:val="001601E4"/>
    <w:rsid w:val="0016086E"/>
    <w:rsid w:val="00160E8F"/>
    <w:rsid w:val="00162135"/>
    <w:rsid w:val="00162594"/>
    <w:rsid w:val="001627E0"/>
    <w:rsid w:val="001627FA"/>
    <w:rsid w:val="00162890"/>
    <w:rsid w:val="00162A0B"/>
    <w:rsid w:val="00162FB6"/>
    <w:rsid w:val="00163387"/>
    <w:rsid w:val="00163D97"/>
    <w:rsid w:val="00163FD5"/>
    <w:rsid w:val="0016426E"/>
    <w:rsid w:val="0016432C"/>
    <w:rsid w:val="001647A3"/>
    <w:rsid w:val="00164D48"/>
    <w:rsid w:val="00165202"/>
    <w:rsid w:val="00165E14"/>
    <w:rsid w:val="00165EB6"/>
    <w:rsid w:val="001667DF"/>
    <w:rsid w:val="00166F31"/>
    <w:rsid w:val="00166FB3"/>
    <w:rsid w:val="00167677"/>
    <w:rsid w:val="001678E3"/>
    <w:rsid w:val="00167AB8"/>
    <w:rsid w:val="00167AFB"/>
    <w:rsid w:val="00167BC1"/>
    <w:rsid w:val="00170009"/>
    <w:rsid w:val="00170135"/>
    <w:rsid w:val="00170376"/>
    <w:rsid w:val="00171C5E"/>
    <w:rsid w:val="00172736"/>
    <w:rsid w:val="00172B85"/>
    <w:rsid w:val="00173361"/>
    <w:rsid w:val="00173626"/>
    <w:rsid w:val="0017384D"/>
    <w:rsid w:val="0017389C"/>
    <w:rsid w:val="00173C29"/>
    <w:rsid w:val="00174500"/>
    <w:rsid w:val="00174B4C"/>
    <w:rsid w:val="00174E12"/>
    <w:rsid w:val="001751BE"/>
    <w:rsid w:val="00175657"/>
    <w:rsid w:val="00175C48"/>
    <w:rsid w:val="00176170"/>
    <w:rsid w:val="0017638A"/>
    <w:rsid w:val="00176D4B"/>
    <w:rsid w:val="001773FE"/>
    <w:rsid w:val="00177A79"/>
    <w:rsid w:val="00177E72"/>
    <w:rsid w:val="00180050"/>
    <w:rsid w:val="00180265"/>
    <w:rsid w:val="0018059F"/>
    <w:rsid w:val="00180AF5"/>
    <w:rsid w:val="00181055"/>
    <w:rsid w:val="001812FF"/>
    <w:rsid w:val="001814CC"/>
    <w:rsid w:val="00181B0C"/>
    <w:rsid w:val="00181BD6"/>
    <w:rsid w:val="00181CF1"/>
    <w:rsid w:val="00183F52"/>
    <w:rsid w:val="0018505C"/>
    <w:rsid w:val="0018523C"/>
    <w:rsid w:val="00185640"/>
    <w:rsid w:val="00185B23"/>
    <w:rsid w:val="00185B48"/>
    <w:rsid w:val="00185F45"/>
    <w:rsid w:val="001861AA"/>
    <w:rsid w:val="00186337"/>
    <w:rsid w:val="00186B64"/>
    <w:rsid w:val="001876E7"/>
    <w:rsid w:val="001879B5"/>
    <w:rsid w:val="00187B29"/>
    <w:rsid w:val="00187B63"/>
    <w:rsid w:val="0019064B"/>
    <w:rsid w:val="001908E6"/>
    <w:rsid w:val="00190ADD"/>
    <w:rsid w:val="001910FA"/>
    <w:rsid w:val="00191284"/>
    <w:rsid w:val="00192402"/>
    <w:rsid w:val="001931D2"/>
    <w:rsid w:val="0019340A"/>
    <w:rsid w:val="00193900"/>
    <w:rsid w:val="00193966"/>
    <w:rsid w:val="00193DC0"/>
    <w:rsid w:val="00193EB4"/>
    <w:rsid w:val="00194163"/>
    <w:rsid w:val="001942A5"/>
    <w:rsid w:val="001946E2"/>
    <w:rsid w:val="001946EE"/>
    <w:rsid w:val="00194AA7"/>
    <w:rsid w:val="00194C2B"/>
    <w:rsid w:val="00195A5F"/>
    <w:rsid w:val="00195B96"/>
    <w:rsid w:val="001964B8"/>
    <w:rsid w:val="00196AC9"/>
    <w:rsid w:val="00197073"/>
    <w:rsid w:val="001A12B0"/>
    <w:rsid w:val="001A1DC9"/>
    <w:rsid w:val="001A3BCE"/>
    <w:rsid w:val="001A5034"/>
    <w:rsid w:val="001A5537"/>
    <w:rsid w:val="001A57FD"/>
    <w:rsid w:val="001A630D"/>
    <w:rsid w:val="001A646C"/>
    <w:rsid w:val="001A65A5"/>
    <w:rsid w:val="001A68A2"/>
    <w:rsid w:val="001A6934"/>
    <w:rsid w:val="001A7089"/>
    <w:rsid w:val="001A7371"/>
    <w:rsid w:val="001A7615"/>
    <w:rsid w:val="001A7966"/>
    <w:rsid w:val="001A7B36"/>
    <w:rsid w:val="001A7E6E"/>
    <w:rsid w:val="001B03E8"/>
    <w:rsid w:val="001B09F6"/>
    <w:rsid w:val="001B0D06"/>
    <w:rsid w:val="001B10CC"/>
    <w:rsid w:val="001B13D2"/>
    <w:rsid w:val="001B1C84"/>
    <w:rsid w:val="001B2429"/>
    <w:rsid w:val="001B2AD4"/>
    <w:rsid w:val="001B2EA7"/>
    <w:rsid w:val="001B362E"/>
    <w:rsid w:val="001B3691"/>
    <w:rsid w:val="001B38CA"/>
    <w:rsid w:val="001B4088"/>
    <w:rsid w:val="001B42EC"/>
    <w:rsid w:val="001B529E"/>
    <w:rsid w:val="001B52AF"/>
    <w:rsid w:val="001B5FE0"/>
    <w:rsid w:val="001B608D"/>
    <w:rsid w:val="001B6120"/>
    <w:rsid w:val="001B6578"/>
    <w:rsid w:val="001B7203"/>
    <w:rsid w:val="001B720A"/>
    <w:rsid w:val="001B75FE"/>
    <w:rsid w:val="001B7B05"/>
    <w:rsid w:val="001C0434"/>
    <w:rsid w:val="001C0AFC"/>
    <w:rsid w:val="001C0C73"/>
    <w:rsid w:val="001C18E1"/>
    <w:rsid w:val="001C1F3F"/>
    <w:rsid w:val="001C2434"/>
    <w:rsid w:val="001C28BD"/>
    <w:rsid w:val="001C45C9"/>
    <w:rsid w:val="001C5372"/>
    <w:rsid w:val="001C560D"/>
    <w:rsid w:val="001C5890"/>
    <w:rsid w:val="001C58A6"/>
    <w:rsid w:val="001C65C6"/>
    <w:rsid w:val="001C6A6B"/>
    <w:rsid w:val="001C7B62"/>
    <w:rsid w:val="001C7EB7"/>
    <w:rsid w:val="001D071E"/>
    <w:rsid w:val="001D0C4F"/>
    <w:rsid w:val="001D0DED"/>
    <w:rsid w:val="001D1375"/>
    <w:rsid w:val="001D2AE7"/>
    <w:rsid w:val="001D3245"/>
    <w:rsid w:val="001D3809"/>
    <w:rsid w:val="001D461F"/>
    <w:rsid w:val="001D4753"/>
    <w:rsid w:val="001D572D"/>
    <w:rsid w:val="001D583C"/>
    <w:rsid w:val="001D5EAA"/>
    <w:rsid w:val="001D6138"/>
    <w:rsid w:val="001D6355"/>
    <w:rsid w:val="001D6E53"/>
    <w:rsid w:val="001D70FF"/>
    <w:rsid w:val="001D733B"/>
    <w:rsid w:val="001D77D3"/>
    <w:rsid w:val="001D7E52"/>
    <w:rsid w:val="001D7EFC"/>
    <w:rsid w:val="001E0A32"/>
    <w:rsid w:val="001E1235"/>
    <w:rsid w:val="001E1631"/>
    <w:rsid w:val="001E16B4"/>
    <w:rsid w:val="001E1B28"/>
    <w:rsid w:val="001E231E"/>
    <w:rsid w:val="001E2479"/>
    <w:rsid w:val="001E2D1C"/>
    <w:rsid w:val="001E394D"/>
    <w:rsid w:val="001E39CB"/>
    <w:rsid w:val="001E3AA1"/>
    <w:rsid w:val="001E3E9F"/>
    <w:rsid w:val="001E45BE"/>
    <w:rsid w:val="001E48AC"/>
    <w:rsid w:val="001E4998"/>
    <w:rsid w:val="001E4B27"/>
    <w:rsid w:val="001E4FF1"/>
    <w:rsid w:val="001E547B"/>
    <w:rsid w:val="001E5698"/>
    <w:rsid w:val="001E6219"/>
    <w:rsid w:val="001E63FB"/>
    <w:rsid w:val="001E6582"/>
    <w:rsid w:val="001E66A7"/>
    <w:rsid w:val="001E6B0E"/>
    <w:rsid w:val="001E7256"/>
    <w:rsid w:val="001E7DEC"/>
    <w:rsid w:val="001E7E74"/>
    <w:rsid w:val="001E7FE6"/>
    <w:rsid w:val="001F0626"/>
    <w:rsid w:val="001F0C32"/>
    <w:rsid w:val="001F0D71"/>
    <w:rsid w:val="001F0DE9"/>
    <w:rsid w:val="001F11F0"/>
    <w:rsid w:val="001F1FEF"/>
    <w:rsid w:val="001F263B"/>
    <w:rsid w:val="001F2B4D"/>
    <w:rsid w:val="001F2BB8"/>
    <w:rsid w:val="001F2EA9"/>
    <w:rsid w:val="001F2F69"/>
    <w:rsid w:val="001F303C"/>
    <w:rsid w:val="001F3421"/>
    <w:rsid w:val="001F363F"/>
    <w:rsid w:val="001F3C4B"/>
    <w:rsid w:val="001F3E8A"/>
    <w:rsid w:val="001F4064"/>
    <w:rsid w:val="001F426E"/>
    <w:rsid w:val="001F42CB"/>
    <w:rsid w:val="001F50DF"/>
    <w:rsid w:val="001F527D"/>
    <w:rsid w:val="001F53C1"/>
    <w:rsid w:val="001F54D7"/>
    <w:rsid w:val="001F62CA"/>
    <w:rsid w:val="001F62F1"/>
    <w:rsid w:val="001F6929"/>
    <w:rsid w:val="001F74C6"/>
    <w:rsid w:val="001F77CB"/>
    <w:rsid w:val="001F7B25"/>
    <w:rsid w:val="001F7C35"/>
    <w:rsid w:val="00200678"/>
    <w:rsid w:val="002006A6"/>
    <w:rsid w:val="0020070A"/>
    <w:rsid w:val="0020072D"/>
    <w:rsid w:val="00200F77"/>
    <w:rsid w:val="002012F8"/>
    <w:rsid w:val="00201524"/>
    <w:rsid w:val="002018FD"/>
    <w:rsid w:val="002022B6"/>
    <w:rsid w:val="0020307F"/>
    <w:rsid w:val="002043E5"/>
    <w:rsid w:val="0020457F"/>
    <w:rsid w:val="00204CB2"/>
    <w:rsid w:val="00205265"/>
    <w:rsid w:val="002052F0"/>
    <w:rsid w:val="0020669B"/>
    <w:rsid w:val="00206A4D"/>
    <w:rsid w:val="00206BF9"/>
    <w:rsid w:val="002071AF"/>
    <w:rsid w:val="00207353"/>
    <w:rsid w:val="0020760F"/>
    <w:rsid w:val="002078DE"/>
    <w:rsid w:val="00210152"/>
    <w:rsid w:val="002104BC"/>
    <w:rsid w:val="00210999"/>
    <w:rsid w:val="002113A1"/>
    <w:rsid w:val="00211FE4"/>
    <w:rsid w:val="002124A8"/>
    <w:rsid w:val="00212744"/>
    <w:rsid w:val="00212D82"/>
    <w:rsid w:val="00212FBA"/>
    <w:rsid w:val="00213ACD"/>
    <w:rsid w:val="00213C96"/>
    <w:rsid w:val="00215B9C"/>
    <w:rsid w:val="00215CDB"/>
    <w:rsid w:val="0021604E"/>
    <w:rsid w:val="00216179"/>
    <w:rsid w:val="002161A4"/>
    <w:rsid w:val="00216B11"/>
    <w:rsid w:val="00216D07"/>
    <w:rsid w:val="0021784B"/>
    <w:rsid w:val="00217E43"/>
    <w:rsid w:val="0022068D"/>
    <w:rsid w:val="002213BB"/>
    <w:rsid w:val="0022170D"/>
    <w:rsid w:val="0022286E"/>
    <w:rsid w:val="00223281"/>
    <w:rsid w:val="0022382D"/>
    <w:rsid w:val="00223B32"/>
    <w:rsid w:val="00223C69"/>
    <w:rsid w:val="00223FC8"/>
    <w:rsid w:val="0022450D"/>
    <w:rsid w:val="00225931"/>
    <w:rsid w:val="00225E02"/>
    <w:rsid w:val="00226899"/>
    <w:rsid w:val="00226972"/>
    <w:rsid w:val="00226AE5"/>
    <w:rsid w:val="0022729B"/>
    <w:rsid w:val="00227577"/>
    <w:rsid w:val="00227F1F"/>
    <w:rsid w:val="002305D3"/>
    <w:rsid w:val="00231416"/>
    <w:rsid w:val="002319B9"/>
    <w:rsid w:val="00231B5B"/>
    <w:rsid w:val="00231D8C"/>
    <w:rsid w:val="00232113"/>
    <w:rsid w:val="0023213D"/>
    <w:rsid w:val="002323D9"/>
    <w:rsid w:val="00232E2D"/>
    <w:rsid w:val="0023370C"/>
    <w:rsid w:val="002340BF"/>
    <w:rsid w:val="0023437C"/>
    <w:rsid w:val="00234874"/>
    <w:rsid w:val="00234FA0"/>
    <w:rsid w:val="00235238"/>
    <w:rsid w:val="00235A24"/>
    <w:rsid w:val="00236493"/>
    <w:rsid w:val="00236E03"/>
    <w:rsid w:val="0023706C"/>
    <w:rsid w:val="00237276"/>
    <w:rsid w:val="00237FD2"/>
    <w:rsid w:val="00240522"/>
    <w:rsid w:val="00240E15"/>
    <w:rsid w:val="00240E5E"/>
    <w:rsid w:val="002425B8"/>
    <w:rsid w:val="002441DA"/>
    <w:rsid w:val="002448B0"/>
    <w:rsid w:val="00245062"/>
    <w:rsid w:val="00245499"/>
    <w:rsid w:val="002454AE"/>
    <w:rsid w:val="00245B66"/>
    <w:rsid w:val="00246462"/>
    <w:rsid w:val="00246882"/>
    <w:rsid w:val="002468E3"/>
    <w:rsid w:val="00247BC5"/>
    <w:rsid w:val="00247C4E"/>
    <w:rsid w:val="002500AB"/>
    <w:rsid w:val="00250185"/>
    <w:rsid w:val="00250606"/>
    <w:rsid w:val="00251290"/>
    <w:rsid w:val="002513D2"/>
    <w:rsid w:val="00252442"/>
    <w:rsid w:val="0025287D"/>
    <w:rsid w:val="00252B17"/>
    <w:rsid w:val="00253664"/>
    <w:rsid w:val="00253710"/>
    <w:rsid w:val="00253C84"/>
    <w:rsid w:val="0025423D"/>
    <w:rsid w:val="00254C38"/>
    <w:rsid w:val="002559AE"/>
    <w:rsid w:val="00255A9F"/>
    <w:rsid w:val="00256154"/>
    <w:rsid w:val="002563CF"/>
    <w:rsid w:val="00256965"/>
    <w:rsid w:val="00256ED8"/>
    <w:rsid w:val="00260C5C"/>
    <w:rsid w:val="002613B2"/>
    <w:rsid w:val="0026159E"/>
    <w:rsid w:val="00261620"/>
    <w:rsid w:val="002618D5"/>
    <w:rsid w:val="0026215D"/>
    <w:rsid w:val="002630A4"/>
    <w:rsid w:val="00263484"/>
    <w:rsid w:val="0026380C"/>
    <w:rsid w:val="002638CA"/>
    <w:rsid w:val="00264A69"/>
    <w:rsid w:val="00264E80"/>
    <w:rsid w:val="00265308"/>
    <w:rsid w:val="00265E56"/>
    <w:rsid w:val="002668F2"/>
    <w:rsid w:val="00266CF0"/>
    <w:rsid w:val="00267225"/>
    <w:rsid w:val="002678CF"/>
    <w:rsid w:val="00267B59"/>
    <w:rsid w:val="00267CCD"/>
    <w:rsid w:val="002702B8"/>
    <w:rsid w:val="0027077D"/>
    <w:rsid w:val="00270A3F"/>
    <w:rsid w:val="00270D53"/>
    <w:rsid w:val="00270EC0"/>
    <w:rsid w:val="00270EEE"/>
    <w:rsid w:val="00271166"/>
    <w:rsid w:val="0027190D"/>
    <w:rsid w:val="00272948"/>
    <w:rsid w:val="00272A1C"/>
    <w:rsid w:val="00272F1E"/>
    <w:rsid w:val="0027317D"/>
    <w:rsid w:val="00273C0B"/>
    <w:rsid w:val="00274853"/>
    <w:rsid w:val="00274BA0"/>
    <w:rsid w:val="00274C3D"/>
    <w:rsid w:val="00275040"/>
    <w:rsid w:val="00275240"/>
    <w:rsid w:val="00275C68"/>
    <w:rsid w:val="00276251"/>
    <w:rsid w:val="002762AF"/>
    <w:rsid w:val="00276AF0"/>
    <w:rsid w:val="00277C42"/>
    <w:rsid w:val="002804CB"/>
    <w:rsid w:val="00280644"/>
    <w:rsid w:val="0028080A"/>
    <w:rsid w:val="00280A3E"/>
    <w:rsid w:val="00280D21"/>
    <w:rsid w:val="00281350"/>
    <w:rsid w:val="002816C6"/>
    <w:rsid w:val="00281ACA"/>
    <w:rsid w:val="002822AA"/>
    <w:rsid w:val="002823A7"/>
    <w:rsid w:val="002823CC"/>
    <w:rsid w:val="002824FB"/>
    <w:rsid w:val="00282A9B"/>
    <w:rsid w:val="002837A1"/>
    <w:rsid w:val="00284AB3"/>
    <w:rsid w:val="00284B0A"/>
    <w:rsid w:val="00284E22"/>
    <w:rsid w:val="00284F16"/>
    <w:rsid w:val="002851F5"/>
    <w:rsid w:val="00285F75"/>
    <w:rsid w:val="00286298"/>
    <w:rsid w:val="00286670"/>
    <w:rsid w:val="002867E5"/>
    <w:rsid w:val="00286F21"/>
    <w:rsid w:val="00287BDF"/>
    <w:rsid w:val="002904A7"/>
    <w:rsid w:val="00290CF4"/>
    <w:rsid w:val="00291706"/>
    <w:rsid w:val="00291DA8"/>
    <w:rsid w:val="00292D4F"/>
    <w:rsid w:val="00292E18"/>
    <w:rsid w:val="00292EC3"/>
    <w:rsid w:val="0029360C"/>
    <w:rsid w:val="00293C3A"/>
    <w:rsid w:val="00293D41"/>
    <w:rsid w:val="00293E42"/>
    <w:rsid w:val="002945CB"/>
    <w:rsid w:val="00294756"/>
    <w:rsid w:val="00294FD1"/>
    <w:rsid w:val="00295D1C"/>
    <w:rsid w:val="00296156"/>
    <w:rsid w:val="00296717"/>
    <w:rsid w:val="00296C91"/>
    <w:rsid w:val="00296E1C"/>
    <w:rsid w:val="0029716C"/>
    <w:rsid w:val="00297451"/>
    <w:rsid w:val="00297459"/>
    <w:rsid w:val="00297A30"/>
    <w:rsid w:val="002A05C4"/>
    <w:rsid w:val="002A0D64"/>
    <w:rsid w:val="002A13B3"/>
    <w:rsid w:val="002A19F2"/>
    <w:rsid w:val="002A1ED4"/>
    <w:rsid w:val="002A250E"/>
    <w:rsid w:val="002A295B"/>
    <w:rsid w:val="002A2ABE"/>
    <w:rsid w:val="002A2C37"/>
    <w:rsid w:val="002A2D6F"/>
    <w:rsid w:val="002A3F34"/>
    <w:rsid w:val="002A3F5E"/>
    <w:rsid w:val="002A4327"/>
    <w:rsid w:val="002A4668"/>
    <w:rsid w:val="002A4F16"/>
    <w:rsid w:val="002A562C"/>
    <w:rsid w:val="002A5B0B"/>
    <w:rsid w:val="002A5F6E"/>
    <w:rsid w:val="002A60FD"/>
    <w:rsid w:val="002A7F53"/>
    <w:rsid w:val="002B03F5"/>
    <w:rsid w:val="002B06FD"/>
    <w:rsid w:val="002B0DA6"/>
    <w:rsid w:val="002B1A05"/>
    <w:rsid w:val="002B2F64"/>
    <w:rsid w:val="002B31A9"/>
    <w:rsid w:val="002B32C5"/>
    <w:rsid w:val="002B3668"/>
    <w:rsid w:val="002B38A7"/>
    <w:rsid w:val="002B4036"/>
    <w:rsid w:val="002B4233"/>
    <w:rsid w:val="002B4705"/>
    <w:rsid w:val="002B56F3"/>
    <w:rsid w:val="002B5E47"/>
    <w:rsid w:val="002B5FC4"/>
    <w:rsid w:val="002B60B2"/>
    <w:rsid w:val="002B6459"/>
    <w:rsid w:val="002B647E"/>
    <w:rsid w:val="002B7566"/>
    <w:rsid w:val="002B7CA5"/>
    <w:rsid w:val="002C08CC"/>
    <w:rsid w:val="002C25AA"/>
    <w:rsid w:val="002C2626"/>
    <w:rsid w:val="002C27D8"/>
    <w:rsid w:val="002C2BAA"/>
    <w:rsid w:val="002C3CC9"/>
    <w:rsid w:val="002C4154"/>
    <w:rsid w:val="002C4C8F"/>
    <w:rsid w:val="002C4FD5"/>
    <w:rsid w:val="002C5163"/>
    <w:rsid w:val="002C53DA"/>
    <w:rsid w:val="002C5BEA"/>
    <w:rsid w:val="002C763C"/>
    <w:rsid w:val="002C7E27"/>
    <w:rsid w:val="002D0009"/>
    <w:rsid w:val="002D014B"/>
    <w:rsid w:val="002D02D5"/>
    <w:rsid w:val="002D050F"/>
    <w:rsid w:val="002D1B47"/>
    <w:rsid w:val="002D1F81"/>
    <w:rsid w:val="002D2682"/>
    <w:rsid w:val="002D2B75"/>
    <w:rsid w:val="002D2F3F"/>
    <w:rsid w:val="002D2FC7"/>
    <w:rsid w:val="002D413F"/>
    <w:rsid w:val="002D4263"/>
    <w:rsid w:val="002D45F7"/>
    <w:rsid w:val="002D4A2B"/>
    <w:rsid w:val="002D57EC"/>
    <w:rsid w:val="002D65AA"/>
    <w:rsid w:val="002E0610"/>
    <w:rsid w:val="002E0986"/>
    <w:rsid w:val="002E0E17"/>
    <w:rsid w:val="002E1B8C"/>
    <w:rsid w:val="002E2394"/>
    <w:rsid w:val="002E261B"/>
    <w:rsid w:val="002E2BB8"/>
    <w:rsid w:val="002E2ED7"/>
    <w:rsid w:val="002E3B6D"/>
    <w:rsid w:val="002E3E20"/>
    <w:rsid w:val="002E3FB3"/>
    <w:rsid w:val="002E3FD0"/>
    <w:rsid w:val="002E4286"/>
    <w:rsid w:val="002E5A03"/>
    <w:rsid w:val="002E5B1F"/>
    <w:rsid w:val="002F011F"/>
    <w:rsid w:val="002F0CF2"/>
    <w:rsid w:val="002F0D87"/>
    <w:rsid w:val="002F0EAB"/>
    <w:rsid w:val="002F12CC"/>
    <w:rsid w:val="002F1658"/>
    <w:rsid w:val="002F1AC1"/>
    <w:rsid w:val="002F1C32"/>
    <w:rsid w:val="002F2168"/>
    <w:rsid w:val="002F2773"/>
    <w:rsid w:val="002F29B6"/>
    <w:rsid w:val="002F2AAA"/>
    <w:rsid w:val="002F3D61"/>
    <w:rsid w:val="002F45FF"/>
    <w:rsid w:val="002F4907"/>
    <w:rsid w:val="002F4A60"/>
    <w:rsid w:val="002F4B51"/>
    <w:rsid w:val="002F50DF"/>
    <w:rsid w:val="002F52C6"/>
    <w:rsid w:val="002F5785"/>
    <w:rsid w:val="002F618E"/>
    <w:rsid w:val="002F66EE"/>
    <w:rsid w:val="002F6C4A"/>
    <w:rsid w:val="002F76A0"/>
    <w:rsid w:val="002F7763"/>
    <w:rsid w:val="002F7E64"/>
    <w:rsid w:val="003000FE"/>
    <w:rsid w:val="00300264"/>
    <w:rsid w:val="003006B8"/>
    <w:rsid w:val="00300CDD"/>
    <w:rsid w:val="00300D46"/>
    <w:rsid w:val="00301116"/>
    <w:rsid w:val="00301E35"/>
    <w:rsid w:val="00302144"/>
    <w:rsid w:val="003021E5"/>
    <w:rsid w:val="00302346"/>
    <w:rsid w:val="003028C0"/>
    <w:rsid w:val="00302A20"/>
    <w:rsid w:val="003031FF"/>
    <w:rsid w:val="003039EE"/>
    <w:rsid w:val="00303EE5"/>
    <w:rsid w:val="00304E79"/>
    <w:rsid w:val="00304FE7"/>
    <w:rsid w:val="00305B61"/>
    <w:rsid w:val="0030628F"/>
    <w:rsid w:val="00306731"/>
    <w:rsid w:val="00306DA1"/>
    <w:rsid w:val="003072DF"/>
    <w:rsid w:val="00307630"/>
    <w:rsid w:val="00307F61"/>
    <w:rsid w:val="003106E3"/>
    <w:rsid w:val="003109AB"/>
    <w:rsid w:val="00310CFC"/>
    <w:rsid w:val="003111A1"/>
    <w:rsid w:val="003114D9"/>
    <w:rsid w:val="00311608"/>
    <w:rsid w:val="00312EAD"/>
    <w:rsid w:val="00312FA1"/>
    <w:rsid w:val="003143D0"/>
    <w:rsid w:val="00314655"/>
    <w:rsid w:val="00314B97"/>
    <w:rsid w:val="003154FB"/>
    <w:rsid w:val="003159B3"/>
    <w:rsid w:val="00315F97"/>
    <w:rsid w:val="003162A7"/>
    <w:rsid w:val="00316CF9"/>
    <w:rsid w:val="00316E08"/>
    <w:rsid w:val="00316E34"/>
    <w:rsid w:val="00316FE4"/>
    <w:rsid w:val="0031791E"/>
    <w:rsid w:val="00317A09"/>
    <w:rsid w:val="00317CDB"/>
    <w:rsid w:val="003207CD"/>
    <w:rsid w:val="00320837"/>
    <w:rsid w:val="00320C68"/>
    <w:rsid w:val="0032166B"/>
    <w:rsid w:val="00321A44"/>
    <w:rsid w:val="00321A7B"/>
    <w:rsid w:val="003222E5"/>
    <w:rsid w:val="003228F0"/>
    <w:rsid w:val="003230DD"/>
    <w:rsid w:val="00323307"/>
    <w:rsid w:val="00323685"/>
    <w:rsid w:val="003244FA"/>
    <w:rsid w:val="00324883"/>
    <w:rsid w:val="00324A0B"/>
    <w:rsid w:val="00324B4E"/>
    <w:rsid w:val="00324C92"/>
    <w:rsid w:val="00324D6A"/>
    <w:rsid w:val="003258E6"/>
    <w:rsid w:val="00325B13"/>
    <w:rsid w:val="00325E77"/>
    <w:rsid w:val="003263EA"/>
    <w:rsid w:val="00326AAC"/>
    <w:rsid w:val="00326C12"/>
    <w:rsid w:val="00326DDE"/>
    <w:rsid w:val="0032783F"/>
    <w:rsid w:val="0033038D"/>
    <w:rsid w:val="003306B8"/>
    <w:rsid w:val="003310C6"/>
    <w:rsid w:val="00331386"/>
    <w:rsid w:val="003314AF"/>
    <w:rsid w:val="00331D98"/>
    <w:rsid w:val="00332527"/>
    <w:rsid w:val="003325B0"/>
    <w:rsid w:val="003326F8"/>
    <w:rsid w:val="0033270F"/>
    <w:rsid w:val="003327C8"/>
    <w:rsid w:val="00332A14"/>
    <w:rsid w:val="00332AFA"/>
    <w:rsid w:val="00333F2E"/>
    <w:rsid w:val="003346DF"/>
    <w:rsid w:val="003358C1"/>
    <w:rsid w:val="00335B4C"/>
    <w:rsid w:val="00335C40"/>
    <w:rsid w:val="00336374"/>
    <w:rsid w:val="00336614"/>
    <w:rsid w:val="00336A4E"/>
    <w:rsid w:val="00336DD0"/>
    <w:rsid w:val="0033742D"/>
    <w:rsid w:val="0033744C"/>
    <w:rsid w:val="00337833"/>
    <w:rsid w:val="00337C53"/>
    <w:rsid w:val="00337C8A"/>
    <w:rsid w:val="00337DB6"/>
    <w:rsid w:val="003408CB"/>
    <w:rsid w:val="003408E9"/>
    <w:rsid w:val="00340A6A"/>
    <w:rsid w:val="003412E4"/>
    <w:rsid w:val="003413CB"/>
    <w:rsid w:val="0034182F"/>
    <w:rsid w:val="00341E19"/>
    <w:rsid w:val="00341E66"/>
    <w:rsid w:val="00341ED9"/>
    <w:rsid w:val="00342277"/>
    <w:rsid w:val="00342D05"/>
    <w:rsid w:val="00343428"/>
    <w:rsid w:val="00343737"/>
    <w:rsid w:val="00343AA8"/>
    <w:rsid w:val="00343B11"/>
    <w:rsid w:val="00343F94"/>
    <w:rsid w:val="00344251"/>
    <w:rsid w:val="00344361"/>
    <w:rsid w:val="00344590"/>
    <w:rsid w:val="003448B5"/>
    <w:rsid w:val="00344C4B"/>
    <w:rsid w:val="00345118"/>
    <w:rsid w:val="00345DCF"/>
    <w:rsid w:val="00346307"/>
    <w:rsid w:val="00346748"/>
    <w:rsid w:val="0034696F"/>
    <w:rsid w:val="00347752"/>
    <w:rsid w:val="0035050A"/>
    <w:rsid w:val="00350DF3"/>
    <w:rsid w:val="00350E2E"/>
    <w:rsid w:val="00351743"/>
    <w:rsid w:val="00351E5A"/>
    <w:rsid w:val="00352683"/>
    <w:rsid w:val="00352CB2"/>
    <w:rsid w:val="00353073"/>
    <w:rsid w:val="003548E2"/>
    <w:rsid w:val="0035592D"/>
    <w:rsid w:val="00356911"/>
    <w:rsid w:val="00356C5F"/>
    <w:rsid w:val="00356DD3"/>
    <w:rsid w:val="00356F68"/>
    <w:rsid w:val="0035741A"/>
    <w:rsid w:val="003574EE"/>
    <w:rsid w:val="003575AB"/>
    <w:rsid w:val="00357F51"/>
    <w:rsid w:val="00360223"/>
    <w:rsid w:val="003603AA"/>
    <w:rsid w:val="00360A65"/>
    <w:rsid w:val="00361985"/>
    <w:rsid w:val="00361A0E"/>
    <w:rsid w:val="00361DFB"/>
    <w:rsid w:val="0036231E"/>
    <w:rsid w:val="003625AE"/>
    <w:rsid w:val="003627E1"/>
    <w:rsid w:val="003629BA"/>
    <w:rsid w:val="00363151"/>
    <w:rsid w:val="00363B25"/>
    <w:rsid w:val="00364656"/>
    <w:rsid w:val="00364B63"/>
    <w:rsid w:val="00364C47"/>
    <w:rsid w:val="00364D38"/>
    <w:rsid w:val="003654F2"/>
    <w:rsid w:val="00365873"/>
    <w:rsid w:val="00365926"/>
    <w:rsid w:val="00365A74"/>
    <w:rsid w:val="00365C65"/>
    <w:rsid w:val="00365FD5"/>
    <w:rsid w:val="00366997"/>
    <w:rsid w:val="003669A1"/>
    <w:rsid w:val="0036710A"/>
    <w:rsid w:val="003677DC"/>
    <w:rsid w:val="00367AE3"/>
    <w:rsid w:val="00367F56"/>
    <w:rsid w:val="00370465"/>
    <w:rsid w:val="00370595"/>
    <w:rsid w:val="003706A8"/>
    <w:rsid w:val="00370C9B"/>
    <w:rsid w:val="00370E36"/>
    <w:rsid w:val="00370FDF"/>
    <w:rsid w:val="00371369"/>
    <w:rsid w:val="00371960"/>
    <w:rsid w:val="0037230A"/>
    <w:rsid w:val="003726FF"/>
    <w:rsid w:val="00372B18"/>
    <w:rsid w:val="00372EB8"/>
    <w:rsid w:val="00372F99"/>
    <w:rsid w:val="00372FFF"/>
    <w:rsid w:val="00373033"/>
    <w:rsid w:val="0037341D"/>
    <w:rsid w:val="0037376B"/>
    <w:rsid w:val="0037399E"/>
    <w:rsid w:val="0037430F"/>
    <w:rsid w:val="0037488F"/>
    <w:rsid w:val="00374D63"/>
    <w:rsid w:val="00374F73"/>
    <w:rsid w:val="003752F5"/>
    <w:rsid w:val="0037579E"/>
    <w:rsid w:val="00375831"/>
    <w:rsid w:val="00375A72"/>
    <w:rsid w:val="00375DEC"/>
    <w:rsid w:val="00375F6F"/>
    <w:rsid w:val="0037658B"/>
    <w:rsid w:val="00376795"/>
    <w:rsid w:val="0037689B"/>
    <w:rsid w:val="00376EAD"/>
    <w:rsid w:val="0037758F"/>
    <w:rsid w:val="00377703"/>
    <w:rsid w:val="003801F9"/>
    <w:rsid w:val="0038071F"/>
    <w:rsid w:val="00380791"/>
    <w:rsid w:val="00380799"/>
    <w:rsid w:val="003807A3"/>
    <w:rsid w:val="00380822"/>
    <w:rsid w:val="00380A52"/>
    <w:rsid w:val="00381003"/>
    <w:rsid w:val="0038178C"/>
    <w:rsid w:val="003818C1"/>
    <w:rsid w:val="003827FD"/>
    <w:rsid w:val="00382941"/>
    <w:rsid w:val="00383C0D"/>
    <w:rsid w:val="00383F96"/>
    <w:rsid w:val="003840FA"/>
    <w:rsid w:val="003840FD"/>
    <w:rsid w:val="003844EF"/>
    <w:rsid w:val="0038507D"/>
    <w:rsid w:val="00385927"/>
    <w:rsid w:val="003859BB"/>
    <w:rsid w:val="00385F19"/>
    <w:rsid w:val="00385F72"/>
    <w:rsid w:val="003866D1"/>
    <w:rsid w:val="003870A1"/>
    <w:rsid w:val="003879C0"/>
    <w:rsid w:val="00387AB7"/>
    <w:rsid w:val="0039006F"/>
    <w:rsid w:val="003904CB"/>
    <w:rsid w:val="00391035"/>
    <w:rsid w:val="003915B1"/>
    <w:rsid w:val="00391C5D"/>
    <w:rsid w:val="00391E56"/>
    <w:rsid w:val="00392105"/>
    <w:rsid w:val="0039245F"/>
    <w:rsid w:val="00392989"/>
    <w:rsid w:val="00392D2A"/>
    <w:rsid w:val="0039362B"/>
    <w:rsid w:val="003937F6"/>
    <w:rsid w:val="00393ABF"/>
    <w:rsid w:val="00393C3F"/>
    <w:rsid w:val="00394421"/>
    <w:rsid w:val="003945A9"/>
    <w:rsid w:val="00395E67"/>
    <w:rsid w:val="003968FF"/>
    <w:rsid w:val="00396D75"/>
    <w:rsid w:val="00396D92"/>
    <w:rsid w:val="003970C0"/>
    <w:rsid w:val="003976EF"/>
    <w:rsid w:val="003A0298"/>
    <w:rsid w:val="003A09E3"/>
    <w:rsid w:val="003A1296"/>
    <w:rsid w:val="003A13AF"/>
    <w:rsid w:val="003A1B39"/>
    <w:rsid w:val="003A1E8E"/>
    <w:rsid w:val="003A23DC"/>
    <w:rsid w:val="003A2657"/>
    <w:rsid w:val="003A2A8E"/>
    <w:rsid w:val="003A3782"/>
    <w:rsid w:val="003A37F4"/>
    <w:rsid w:val="003A39B1"/>
    <w:rsid w:val="003A3B75"/>
    <w:rsid w:val="003A4275"/>
    <w:rsid w:val="003A43C1"/>
    <w:rsid w:val="003A4623"/>
    <w:rsid w:val="003A4FC3"/>
    <w:rsid w:val="003A68D2"/>
    <w:rsid w:val="003A6ABB"/>
    <w:rsid w:val="003A6FBD"/>
    <w:rsid w:val="003A7171"/>
    <w:rsid w:val="003A73B6"/>
    <w:rsid w:val="003B0146"/>
    <w:rsid w:val="003B0202"/>
    <w:rsid w:val="003B06F5"/>
    <w:rsid w:val="003B075B"/>
    <w:rsid w:val="003B1361"/>
    <w:rsid w:val="003B26A9"/>
    <w:rsid w:val="003B2931"/>
    <w:rsid w:val="003B2CC6"/>
    <w:rsid w:val="003B3B62"/>
    <w:rsid w:val="003B3DF3"/>
    <w:rsid w:val="003B3F8C"/>
    <w:rsid w:val="003B4464"/>
    <w:rsid w:val="003B58C0"/>
    <w:rsid w:val="003B614C"/>
    <w:rsid w:val="003B6535"/>
    <w:rsid w:val="003B6AF0"/>
    <w:rsid w:val="003C05F4"/>
    <w:rsid w:val="003C0BB3"/>
    <w:rsid w:val="003C0C49"/>
    <w:rsid w:val="003C1174"/>
    <w:rsid w:val="003C1676"/>
    <w:rsid w:val="003C1A74"/>
    <w:rsid w:val="003C1EAD"/>
    <w:rsid w:val="003C231B"/>
    <w:rsid w:val="003C2C25"/>
    <w:rsid w:val="003C2C47"/>
    <w:rsid w:val="003C2F46"/>
    <w:rsid w:val="003C3C82"/>
    <w:rsid w:val="003C3D9B"/>
    <w:rsid w:val="003C4F46"/>
    <w:rsid w:val="003C4FD4"/>
    <w:rsid w:val="003C50CB"/>
    <w:rsid w:val="003C538D"/>
    <w:rsid w:val="003C5997"/>
    <w:rsid w:val="003C5D85"/>
    <w:rsid w:val="003C634E"/>
    <w:rsid w:val="003C66B8"/>
    <w:rsid w:val="003C6848"/>
    <w:rsid w:val="003C6F9C"/>
    <w:rsid w:val="003C78A0"/>
    <w:rsid w:val="003D04AE"/>
    <w:rsid w:val="003D0DA7"/>
    <w:rsid w:val="003D132B"/>
    <w:rsid w:val="003D171C"/>
    <w:rsid w:val="003D1B22"/>
    <w:rsid w:val="003D28C8"/>
    <w:rsid w:val="003D2FC2"/>
    <w:rsid w:val="003D30F0"/>
    <w:rsid w:val="003D3B46"/>
    <w:rsid w:val="003D3C20"/>
    <w:rsid w:val="003D4860"/>
    <w:rsid w:val="003D49A7"/>
    <w:rsid w:val="003D4F9F"/>
    <w:rsid w:val="003D50DF"/>
    <w:rsid w:val="003D51FC"/>
    <w:rsid w:val="003D5202"/>
    <w:rsid w:val="003D58D5"/>
    <w:rsid w:val="003D5E79"/>
    <w:rsid w:val="003D5F91"/>
    <w:rsid w:val="003D6C91"/>
    <w:rsid w:val="003D7771"/>
    <w:rsid w:val="003D7D61"/>
    <w:rsid w:val="003E0F39"/>
    <w:rsid w:val="003E149F"/>
    <w:rsid w:val="003E1B18"/>
    <w:rsid w:val="003E20F1"/>
    <w:rsid w:val="003E23C6"/>
    <w:rsid w:val="003E2848"/>
    <w:rsid w:val="003E391F"/>
    <w:rsid w:val="003E3DA4"/>
    <w:rsid w:val="003E3EBB"/>
    <w:rsid w:val="003E40F0"/>
    <w:rsid w:val="003E4899"/>
    <w:rsid w:val="003E4BBD"/>
    <w:rsid w:val="003E5628"/>
    <w:rsid w:val="003E58EA"/>
    <w:rsid w:val="003E601C"/>
    <w:rsid w:val="003E684B"/>
    <w:rsid w:val="003E6E58"/>
    <w:rsid w:val="003E7553"/>
    <w:rsid w:val="003E7826"/>
    <w:rsid w:val="003E7B1B"/>
    <w:rsid w:val="003F0C26"/>
    <w:rsid w:val="003F122A"/>
    <w:rsid w:val="003F16F9"/>
    <w:rsid w:val="003F2DAD"/>
    <w:rsid w:val="003F2DD9"/>
    <w:rsid w:val="003F3057"/>
    <w:rsid w:val="003F37C1"/>
    <w:rsid w:val="003F3B6E"/>
    <w:rsid w:val="003F3ED5"/>
    <w:rsid w:val="003F41A9"/>
    <w:rsid w:val="003F426F"/>
    <w:rsid w:val="003F450E"/>
    <w:rsid w:val="003F48D3"/>
    <w:rsid w:val="003F57CC"/>
    <w:rsid w:val="003F6182"/>
    <w:rsid w:val="003F6630"/>
    <w:rsid w:val="003F66AA"/>
    <w:rsid w:val="003F7D76"/>
    <w:rsid w:val="003F7D77"/>
    <w:rsid w:val="003F7E27"/>
    <w:rsid w:val="004001E6"/>
    <w:rsid w:val="0040026C"/>
    <w:rsid w:val="0040037A"/>
    <w:rsid w:val="00401003"/>
    <w:rsid w:val="004013D5"/>
    <w:rsid w:val="00401448"/>
    <w:rsid w:val="00401576"/>
    <w:rsid w:val="00401ADE"/>
    <w:rsid w:val="00401D28"/>
    <w:rsid w:val="004025EC"/>
    <w:rsid w:val="00403AFF"/>
    <w:rsid w:val="00403B9C"/>
    <w:rsid w:val="00403C21"/>
    <w:rsid w:val="00403D8E"/>
    <w:rsid w:val="00403F42"/>
    <w:rsid w:val="004041F9"/>
    <w:rsid w:val="00404464"/>
    <w:rsid w:val="00404482"/>
    <w:rsid w:val="0040492C"/>
    <w:rsid w:val="00404BB3"/>
    <w:rsid w:val="004056E7"/>
    <w:rsid w:val="00405871"/>
    <w:rsid w:val="00405BDF"/>
    <w:rsid w:val="00406224"/>
    <w:rsid w:val="0040658A"/>
    <w:rsid w:val="00407213"/>
    <w:rsid w:val="00410546"/>
    <w:rsid w:val="00411307"/>
    <w:rsid w:val="004114B9"/>
    <w:rsid w:val="00411FFB"/>
    <w:rsid w:val="00412BD3"/>
    <w:rsid w:val="00413248"/>
    <w:rsid w:val="00413439"/>
    <w:rsid w:val="004136D9"/>
    <w:rsid w:val="00413E65"/>
    <w:rsid w:val="00414949"/>
    <w:rsid w:val="00414B62"/>
    <w:rsid w:val="00414EBE"/>
    <w:rsid w:val="0041533B"/>
    <w:rsid w:val="0041554D"/>
    <w:rsid w:val="00415993"/>
    <w:rsid w:val="0041619A"/>
    <w:rsid w:val="004164F5"/>
    <w:rsid w:val="004166F2"/>
    <w:rsid w:val="00416714"/>
    <w:rsid w:val="00416C5B"/>
    <w:rsid w:val="0041782E"/>
    <w:rsid w:val="004179DD"/>
    <w:rsid w:val="004207D1"/>
    <w:rsid w:val="00421436"/>
    <w:rsid w:val="004217B5"/>
    <w:rsid w:val="0042190E"/>
    <w:rsid w:val="004219A5"/>
    <w:rsid w:val="00421BA9"/>
    <w:rsid w:val="0042226C"/>
    <w:rsid w:val="00422A30"/>
    <w:rsid w:val="00422AE5"/>
    <w:rsid w:val="00423525"/>
    <w:rsid w:val="00423A7C"/>
    <w:rsid w:val="00423F8D"/>
    <w:rsid w:val="0042450A"/>
    <w:rsid w:val="00424684"/>
    <w:rsid w:val="00424CA2"/>
    <w:rsid w:val="00425169"/>
    <w:rsid w:val="0042568A"/>
    <w:rsid w:val="00425E4E"/>
    <w:rsid w:val="004261BA"/>
    <w:rsid w:val="0042631C"/>
    <w:rsid w:val="0042687D"/>
    <w:rsid w:val="00426BF9"/>
    <w:rsid w:val="00427633"/>
    <w:rsid w:val="00427675"/>
    <w:rsid w:val="00427CE7"/>
    <w:rsid w:val="00430939"/>
    <w:rsid w:val="0043137A"/>
    <w:rsid w:val="0043154B"/>
    <w:rsid w:val="00431A0D"/>
    <w:rsid w:val="00432133"/>
    <w:rsid w:val="00432B57"/>
    <w:rsid w:val="00432EE8"/>
    <w:rsid w:val="00433331"/>
    <w:rsid w:val="004334BE"/>
    <w:rsid w:val="00434F6C"/>
    <w:rsid w:val="0043520D"/>
    <w:rsid w:val="00435C91"/>
    <w:rsid w:val="0043665B"/>
    <w:rsid w:val="0043699A"/>
    <w:rsid w:val="00436CD6"/>
    <w:rsid w:val="00437C1A"/>
    <w:rsid w:val="004407FC"/>
    <w:rsid w:val="00441CE9"/>
    <w:rsid w:val="0044202F"/>
    <w:rsid w:val="004421AD"/>
    <w:rsid w:val="00443CA4"/>
    <w:rsid w:val="0044409C"/>
    <w:rsid w:val="004440DC"/>
    <w:rsid w:val="00444113"/>
    <w:rsid w:val="004445A6"/>
    <w:rsid w:val="004448A3"/>
    <w:rsid w:val="00444B72"/>
    <w:rsid w:val="00444E2C"/>
    <w:rsid w:val="00444E84"/>
    <w:rsid w:val="00444FBA"/>
    <w:rsid w:val="00445163"/>
    <w:rsid w:val="00445314"/>
    <w:rsid w:val="0044571E"/>
    <w:rsid w:val="004462D2"/>
    <w:rsid w:val="00446ADC"/>
    <w:rsid w:val="00446D12"/>
    <w:rsid w:val="0044715B"/>
    <w:rsid w:val="00447336"/>
    <w:rsid w:val="004474C5"/>
    <w:rsid w:val="00447B00"/>
    <w:rsid w:val="00447C6C"/>
    <w:rsid w:val="00447D90"/>
    <w:rsid w:val="00450332"/>
    <w:rsid w:val="00450372"/>
    <w:rsid w:val="0045084B"/>
    <w:rsid w:val="00450BF9"/>
    <w:rsid w:val="00451F1A"/>
    <w:rsid w:val="00452AE7"/>
    <w:rsid w:val="00453194"/>
    <w:rsid w:val="00453705"/>
    <w:rsid w:val="00453B74"/>
    <w:rsid w:val="00453D6B"/>
    <w:rsid w:val="00455C0A"/>
    <w:rsid w:val="00456100"/>
    <w:rsid w:val="0045664F"/>
    <w:rsid w:val="00456E07"/>
    <w:rsid w:val="00457142"/>
    <w:rsid w:val="004572BB"/>
    <w:rsid w:val="004577EC"/>
    <w:rsid w:val="004579DE"/>
    <w:rsid w:val="00457EA4"/>
    <w:rsid w:val="0046072B"/>
    <w:rsid w:val="00460753"/>
    <w:rsid w:val="00460C4D"/>
    <w:rsid w:val="0046145C"/>
    <w:rsid w:val="00461611"/>
    <w:rsid w:val="00462BE2"/>
    <w:rsid w:val="00463005"/>
    <w:rsid w:val="004630F7"/>
    <w:rsid w:val="004631F5"/>
    <w:rsid w:val="004634D3"/>
    <w:rsid w:val="00463A7D"/>
    <w:rsid w:val="00463F90"/>
    <w:rsid w:val="00464699"/>
    <w:rsid w:val="004647F8"/>
    <w:rsid w:val="004649FA"/>
    <w:rsid w:val="0046565D"/>
    <w:rsid w:val="00465A1A"/>
    <w:rsid w:val="00466579"/>
    <w:rsid w:val="004666C7"/>
    <w:rsid w:val="00467031"/>
    <w:rsid w:val="00467DC6"/>
    <w:rsid w:val="00470067"/>
    <w:rsid w:val="004700BA"/>
    <w:rsid w:val="004701ED"/>
    <w:rsid w:val="00470AAE"/>
    <w:rsid w:val="00470C8A"/>
    <w:rsid w:val="00471368"/>
    <w:rsid w:val="00471542"/>
    <w:rsid w:val="00471AA8"/>
    <w:rsid w:val="00472137"/>
    <w:rsid w:val="00473A49"/>
    <w:rsid w:val="00473BA1"/>
    <w:rsid w:val="00474623"/>
    <w:rsid w:val="00474DB2"/>
    <w:rsid w:val="00474DDD"/>
    <w:rsid w:val="004750D4"/>
    <w:rsid w:val="004752FE"/>
    <w:rsid w:val="004753A4"/>
    <w:rsid w:val="00475608"/>
    <w:rsid w:val="004765BA"/>
    <w:rsid w:val="00477A62"/>
    <w:rsid w:val="00477B32"/>
    <w:rsid w:val="00480C31"/>
    <w:rsid w:val="0048118A"/>
    <w:rsid w:val="0048144E"/>
    <w:rsid w:val="00481497"/>
    <w:rsid w:val="00482F69"/>
    <w:rsid w:val="00482FE6"/>
    <w:rsid w:val="004831E1"/>
    <w:rsid w:val="0048321F"/>
    <w:rsid w:val="00483C6F"/>
    <w:rsid w:val="004840F2"/>
    <w:rsid w:val="0048459F"/>
    <w:rsid w:val="00484815"/>
    <w:rsid w:val="0048536F"/>
    <w:rsid w:val="00485AB2"/>
    <w:rsid w:val="00485FAB"/>
    <w:rsid w:val="00485FD0"/>
    <w:rsid w:val="004867F2"/>
    <w:rsid w:val="00486953"/>
    <w:rsid w:val="00486DEB"/>
    <w:rsid w:val="00486F15"/>
    <w:rsid w:val="00486FA6"/>
    <w:rsid w:val="004872E6"/>
    <w:rsid w:val="00487AE8"/>
    <w:rsid w:val="00487D91"/>
    <w:rsid w:val="00487FCA"/>
    <w:rsid w:val="00490265"/>
    <w:rsid w:val="00490429"/>
    <w:rsid w:val="004906C3"/>
    <w:rsid w:val="00490889"/>
    <w:rsid w:val="00491224"/>
    <w:rsid w:val="0049141E"/>
    <w:rsid w:val="004915C4"/>
    <w:rsid w:val="00491B3A"/>
    <w:rsid w:val="0049290F"/>
    <w:rsid w:val="00492937"/>
    <w:rsid w:val="00493020"/>
    <w:rsid w:val="004934CC"/>
    <w:rsid w:val="004937E8"/>
    <w:rsid w:val="00494D6B"/>
    <w:rsid w:val="004950E2"/>
    <w:rsid w:val="00496120"/>
    <w:rsid w:val="004962E7"/>
    <w:rsid w:val="00496431"/>
    <w:rsid w:val="00496B2D"/>
    <w:rsid w:val="00497203"/>
    <w:rsid w:val="004974EC"/>
    <w:rsid w:val="0049784A"/>
    <w:rsid w:val="004A0B09"/>
    <w:rsid w:val="004A1432"/>
    <w:rsid w:val="004A2B1F"/>
    <w:rsid w:val="004A3E1A"/>
    <w:rsid w:val="004A47F6"/>
    <w:rsid w:val="004A4806"/>
    <w:rsid w:val="004A49D1"/>
    <w:rsid w:val="004A4C12"/>
    <w:rsid w:val="004A4FC7"/>
    <w:rsid w:val="004A5426"/>
    <w:rsid w:val="004A56D9"/>
    <w:rsid w:val="004A7177"/>
    <w:rsid w:val="004A74F2"/>
    <w:rsid w:val="004B0A36"/>
    <w:rsid w:val="004B0B49"/>
    <w:rsid w:val="004B1488"/>
    <w:rsid w:val="004B158E"/>
    <w:rsid w:val="004B1BA7"/>
    <w:rsid w:val="004B2002"/>
    <w:rsid w:val="004B213B"/>
    <w:rsid w:val="004B23DB"/>
    <w:rsid w:val="004B2CC2"/>
    <w:rsid w:val="004B2D65"/>
    <w:rsid w:val="004B2F41"/>
    <w:rsid w:val="004B3886"/>
    <w:rsid w:val="004B3B49"/>
    <w:rsid w:val="004B3B76"/>
    <w:rsid w:val="004B4478"/>
    <w:rsid w:val="004B5906"/>
    <w:rsid w:val="004B5CA0"/>
    <w:rsid w:val="004B604D"/>
    <w:rsid w:val="004B60D7"/>
    <w:rsid w:val="004B61F9"/>
    <w:rsid w:val="004B63CA"/>
    <w:rsid w:val="004B6EBC"/>
    <w:rsid w:val="004B77C0"/>
    <w:rsid w:val="004B7CC1"/>
    <w:rsid w:val="004C05D0"/>
    <w:rsid w:val="004C07A7"/>
    <w:rsid w:val="004C07E2"/>
    <w:rsid w:val="004C09AC"/>
    <w:rsid w:val="004C1C95"/>
    <w:rsid w:val="004C1E21"/>
    <w:rsid w:val="004C248A"/>
    <w:rsid w:val="004C2985"/>
    <w:rsid w:val="004C39E5"/>
    <w:rsid w:val="004C43CA"/>
    <w:rsid w:val="004C5C74"/>
    <w:rsid w:val="004C6FE1"/>
    <w:rsid w:val="004C75AC"/>
    <w:rsid w:val="004D02F2"/>
    <w:rsid w:val="004D0410"/>
    <w:rsid w:val="004D10E7"/>
    <w:rsid w:val="004D15B5"/>
    <w:rsid w:val="004D2497"/>
    <w:rsid w:val="004D2568"/>
    <w:rsid w:val="004D2768"/>
    <w:rsid w:val="004D2CB5"/>
    <w:rsid w:val="004D37DF"/>
    <w:rsid w:val="004D4608"/>
    <w:rsid w:val="004D48B0"/>
    <w:rsid w:val="004D49BE"/>
    <w:rsid w:val="004D51E1"/>
    <w:rsid w:val="004D6026"/>
    <w:rsid w:val="004D619E"/>
    <w:rsid w:val="004D632C"/>
    <w:rsid w:val="004D64C3"/>
    <w:rsid w:val="004E024B"/>
    <w:rsid w:val="004E0821"/>
    <w:rsid w:val="004E09C4"/>
    <w:rsid w:val="004E0CE5"/>
    <w:rsid w:val="004E14F3"/>
    <w:rsid w:val="004E1F5D"/>
    <w:rsid w:val="004E283F"/>
    <w:rsid w:val="004E2DAE"/>
    <w:rsid w:val="004E3345"/>
    <w:rsid w:val="004E36C6"/>
    <w:rsid w:val="004E3BB2"/>
    <w:rsid w:val="004E4349"/>
    <w:rsid w:val="004E46A2"/>
    <w:rsid w:val="004E4762"/>
    <w:rsid w:val="004E4847"/>
    <w:rsid w:val="004E4A27"/>
    <w:rsid w:val="004E5454"/>
    <w:rsid w:val="004E57A0"/>
    <w:rsid w:val="004E631D"/>
    <w:rsid w:val="004E6FBD"/>
    <w:rsid w:val="004E7422"/>
    <w:rsid w:val="004E7B39"/>
    <w:rsid w:val="004E7F15"/>
    <w:rsid w:val="004F0525"/>
    <w:rsid w:val="004F05DD"/>
    <w:rsid w:val="004F0628"/>
    <w:rsid w:val="004F0F57"/>
    <w:rsid w:val="004F1716"/>
    <w:rsid w:val="004F1DDD"/>
    <w:rsid w:val="004F1F56"/>
    <w:rsid w:val="004F26B5"/>
    <w:rsid w:val="004F28A1"/>
    <w:rsid w:val="004F38BB"/>
    <w:rsid w:val="004F3AB0"/>
    <w:rsid w:val="004F42E4"/>
    <w:rsid w:val="004F4820"/>
    <w:rsid w:val="004F5639"/>
    <w:rsid w:val="004F5743"/>
    <w:rsid w:val="004F6562"/>
    <w:rsid w:val="004F66ED"/>
    <w:rsid w:val="004F67A0"/>
    <w:rsid w:val="004F6AB7"/>
    <w:rsid w:val="004F6FF1"/>
    <w:rsid w:val="004F70B0"/>
    <w:rsid w:val="004F72F1"/>
    <w:rsid w:val="004F779A"/>
    <w:rsid w:val="004F7EAC"/>
    <w:rsid w:val="0050050C"/>
    <w:rsid w:val="005010E6"/>
    <w:rsid w:val="00501271"/>
    <w:rsid w:val="005014DE"/>
    <w:rsid w:val="0050200E"/>
    <w:rsid w:val="00502934"/>
    <w:rsid w:val="00503274"/>
    <w:rsid w:val="00504C21"/>
    <w:rsid w:val="0050544E"/>
    <w:rsid w:val="00505764"/>
    <w:rsid w:val="005059EB"/>
    <w:rsid w:val="00505DDA"/>
    <w:rsid w:val="0050602A"/>
    <w:rsid w:val="00506330"/>
    <w:rsid w:val="00507149"/>
    <w:rsid w:val="0050737E"/>
    <w:rsid w:val="005076D6"/>
    <w:rsid w:val="0050798C"/>
    <w:rsid w:val="005100FF"/>
    <w:rsid w:val="005105F8"/>
    <w:rsid w:val="00511116"/>
    <w:rsid w:val="00511577"/>
    <w:rsid w:val="00511875"/>
    <w:rsid w:val="00511D33"/>
    <w:rsid w:val="00512508"/>
    <w:rsid w:val="00512E5A"/>
    <w:rsid w:val="005135D5"/>
    <w:rsid w:val="00513A4A"/>
    <w:rsid w:val="00513DA0"/>
    <w:rsid w:val="00514D97"/>
    <w:rsid w:val="0051581D"/>
    <w:rsid w:val="0051592B"/>
    <w:rsid w:val="00515D50"/>
    <w:rsid w:val="00516908"/>
    <w:rsid w:val="00517E62"/>
    <w:rsid w:val="00517F3D"/>
    <w:rsid w:val="00520B2F"/>
    <w:rsid w:val="00520C85"/>
    <w:rsid w:val="005217A6"/>
    <w:rsid w:val="00521E77"/>
    <w:rsid w:val="00521ED7"/>
    <w:rsid w:val="00521FC9"/>
    <w:rsid w:val="00522027"/>
    <w:rsid w:val="005228A0"/>
    <w:rsid w:val="00522EFE"/>
    <w:rsid w:val="00523E47"/>
    <w:rsid w:val="0052445A"/>
    <w:rsid w:val="00524DD9"/>
    <w:rsid w:val="00525669"/>
    <w:rsid w:val="00525B9A"/>
    <w:rsid w:val="00525CA7"/>
    <w:rsid w:val="00526DD7"/>
    <w:rsid w:val="00527065"/>
    <w:rsid w:val="005275A1"/>
    <w:rsid w:val="0052794E"/>
    <w:rsid w:val="0053005E"/>
    <w:rsid w:val="005300D9"/>
    <w:rsid w:val="0053013E"/>
    <w:rsid w:val="00530658"/>
    <w:rsid w:val="005308DE"/>
    <w:rsid w:val="005315A3"/>
    <w:rsid w:val="0053173D"/>
    <w:rsid w:val="00531B92"/>
    <w:rsid w:val="00531F49"/>
    <w:rsid w:val="00532EED"/>
    <w:rsid w:val="005330CE"/>
    <w:rsid w:val="005335A2"/>
    <w:rsid w:val="00533AA1"/>
    <w:rsid w:val="00533BEE"/>
    <w:rsid w:val="005348AE"/>
    <w:rsid w:val="0053497E"/>
    <w:rsid w:val="00534A2F"/>
    <w:rsid w:val="00534A9E"/>
    <w:rsid w:val="005355A0"/>
    <w:rsid w:val="005367E6"/>
    <w:rsid w:val="00536CEF"/>
    <w:rsid w:val="005370D0"/>
    <w:rsid w:val="00537153"/>
    <w:rsid w:val="005373CB"/>
    <w:rsid w:val="00537B54"/>
    <w:rsid w:val="00540514"/>
    <w:rsid w:val="0054061B"/>
    <w:rsid w:val="005406B3"/>
    <w:rsid w:val="0054098C"/>
    <w:rsid w:val="00541192"/>
    <w:rsid w:val="00541977"/>
    <w:rsid w:val="00541BD7"/>
    <w:rsid w:val="00541CF2"/>
    <w:rsid w:val="00541D8E"/>
    <w:rsid w:val="0054223F"/>
    <w:rsid w:val="00542A79"/>
    <w:rsid w:val="0054346B"/>
    <w:rsid w:val="00543893"/>
    <w:rsid w:val="00544111"/>
    <w:rsid w:val="00544667"/>
    <w:rsid w:val="0054483A"/>
    <w:rsid w:val="00545104"/>
    <w:rsid w:val="0054565A"/>
    <w:rsid w:val="00545760"/>
    <w:rsid w:val="00546196"/>
    <w:rsid w:val="00546969"/>
    <w:rsid w:val="00546AA0"/>
    <w:rsid w:val="00546BF9"/>
    <w:rsid w:val="00546C28"/>
    <w:rsid w:val="00546E62"/>
    <w:rsid w:val="0054700E"/>
    <w:rsid w:val="00550EFA"/>
    <w:rsid w:val="00550F32"/>
    <w:rsid w:val="00551433"/>
    <w:rsid w:val="005514F8"/>
    <w:rsid w:val="00551775"/>
    <w:rsid w:val="00551902"/>
    <w:rsid w:val="005519CF"/>
    <w:rsid w:val="00551DBA"/>
    <w:rsid w:val="005524AE"/>
    <w:rsid w:val="00553A12"/>
    <w:rsid w:val="00556F31"/>
    <w:rsid w:val="005570CC"/>
    <w:rsid w:val="00557C23"/>
    <w:rsid w:val="005604CA"/>
    <w:rsid w:val="00560CA3"/>
    <w:rsid w:val="00560EF3"/>
    <w:rsid w:val="00561019"/>
    <w:rsid w:val="00561677"/>
    <w:rsid w:val="005618B1"/>
    <w:rsid w:val="00561943"/>
    <w:rsid w:val="00561F9F"/>
    <w:rsid w:val="00562275"/>
    <w:rsid w:val="005626AD"/>
    <w:rsid w:val="00562799"/>
    <w:rsid w:val="00562BB0"/>
    <w:rsid w:val="005632BB"/>
    <w:rsid w:val="0056336D"/>
    <w:rsid w:val="00563E51"/>
    <w:rsid w:val="00563F13"/>
    <w:rsid w:val="00564486"/>
    <w:rsid w:val="00564E4D"/>
    <w:rsid w:val="00565158"/>
    <w:rsid w:val="0056546C"/>
    <w:rsid w:val="00565960"/>
    <w:rsid w:val="00565BB0"/>
    <w:rsid w:val="00566A2C"/>
    <w:rsid w:val="0056768F"/>
    <w:rsid w:val="00567AF0"/>
    <w:rsid w:val="00567F34"/>
    <w:rsid w:val="00567FFE"/>
    <w:rsid w:val="00570434"/>
    <w:rsid w:val="00571711"/>
    <w:rsid w:val="005718A8"/>
    <w:rsid w:val="005721A8"/>
    <w:rsid w:val="00572CF2"/>
    <w:rsid w:val="00572DEC"/>
    <w:rsid w:val="0057346E"/>
    <w:rsid w:val="0057387C"/>
    <w:rsid w:val="00573891"/>
    <w:rsid w:val="00573FBB"/>
    <w:rsid w:val="00574942"/>
    <w:rsid w:val="00574E59"/>
    <w:rsid w:val="00575028"/>
    <w:rsid w:val="005750B9"/>
    <w:rsid w:val="0057522C"/>
    <w:rsid w:val="0057524F"/>
    <w:rsid w:val="0057553F"/>
    <w:rsid w:val="00575B76"/>
    <w:rsid w:val="00576249"/>
    <w:rsid w:val="00576383"/>
    <w:rsid w:val="00576C5D"/>
    <w:rsid w:val="00577E55"/>
    <w:rsid w:val="0058043A"/>
    <w:rsid w:val="005809E0"/>
    <w:rsid w:val="00580D25"/>
    <w:rsid w:val="00581442"/>
    <w:rsid w:val="00581C95"/>
    <w:rsid w:val="00581F58"/>
    <w:rsid w:val="00582B7E"/>
    <w:rsid w:val="00582C1B"/>
    <w:rsid w:val="005832E6"/>
    <w:rsid w:val="00584F87"/>
    <w:rsid w:val="0058672B"/>
    <w:rsid w:val="00586B6A"/>
    <w:rsid w:val="00586C17"/>
    <w:rsid w:val="00586C44"/>
    <w:rsid w:val="00586F06"/>
    <w:rsid w:val="005872D7"/>
    <w:rsid w:val="00587C61"/>
    <w:rsid w:val="00587D08"/>
    <w:rsid w:val="00587DEB"/>
    <w:rsid w:val="0059044C"/>
    <w:rsid w:val="0059089E"/>
    <w:rsid w:val="00590C18"/>
    <w:rsid w:val="005919D4"/>
    <w:rsid w:val="00591C4B"/>
    <w:rsid w:val="00591E58"/>
    <w:rsid w:val="00592342"/>
    <w:rsid w:val="005923A7"/>
    <w:rsid w:val="0059244D"/>
    <w:rsid w:val="00592462"/>
    <w:rsid w:val="005928CD"/>
    <w:rsid w:val="00593C23"/>
    <w:rsid w:val="0059422A"/>
    <w:rsid w:val="005945E8"/>
    <w:rsid w:val="005954C3"/>
    <w:rsid w:val="00595E33"/>
    <w:rsid w:val="00596097"/>
    <w:rsid w:val="005975FA"/>
    <w:rsid w:val="00597861"/>
    <w:rsid w:val="005979B8"/>
    <w:rsid w:val="005A08C4"/>
    <w:rsid w:val="005A10A4"/>
    <w:rsid w:val="005A1BF1"/>
    <w:rsid w:val="005A2360"/>
    <w:rsid w:val="005A3BB4"/>
    <w:rsid w:val="005A3CFB"/>
    <w:rsid w:val="005A3E64"/>
    <w:rsid w:val="005A4AAB"/>
    <w:rsid w:val="005A5A70"/>
    <w:rsid w:val="005A5A9E"/>
    <w:rsid w:val="005A6203"/>
    <w:rsid w:val="005A6A32"/>
    <w:rsid w:val="005A6B21"/>
    <w:rsid w:val="005A75E5"/>
    <w:rsid w:val="005A7F44"/>
    <w:rsid w:val="005B0823"/>
    <w:rsid w:val="005B08FD"/>
    <w:rsid w:val="005B095F"/>
    <w:rsid w:val="005B171D"/>
    <w:rsid w:val="005B1C40"/>
    <w:rsid w:val="005B217D"/>
    <w:rsid w:val="005B2869"/>
    <w:rsid w:val="005B34C0"/>
    <w:rsid w:val="005B40DE"/>
    <w:rsid w:val="005B4241"/>
    <w:rsid w:val="005B4346"/>
    <w:rsid w:val="005B44DB"/>
    <w:rsid w:val="005B6260"/>
    <w:rsid w:val="005B767B"/>
    <w:rsid w:val="005B78CD"/>
    <w:rsid w:val="005B796B"/>
    <w:rsid w:val="005B7ED3"/>
    <w:rsid w:val="005C0080"/>
    <w:rsid w:val="005C00C3"/>
    <w:rsid w:val="005C116B"/>
    <w:rsid w:val="005C139A"/>
    <w:rsid w:val="005C13A3"/>
    <w:rsid w:val="005C1422"/>
    <w:rsid w:val="005C1C4F"/>
    <w:rsid w:val="005C209D"/>
    <w:rsid w:val="005C2610"/>
    <w:rsid w:val="005C2FCB"/>
    <w:rsid w:val="005C3826"/>
    <w:rsid w:val="005C497C"/>
    <w:rsid w:val="005C5123"/>
    <w:rsid w:val="005C5DA9"/>
    <w:rsid w:val="005C63ED"/>
    <w:rsid w:val="005C6881"/>
    <w:rsid w:val="005C6D6D"/>
    <w:rsid w:val="005C6F1C"/>
    <w:rsid w:val="005C78B9"/>
    <w:rsid w:val="005C7B06"/>
    <w:rsid w:val="005C7E17"/>
    <w:rsid w:val="005C7E41"/>
    <w:rsid w:val="005D0324"/>
    <w:rsid w:val="005D070C"/>
    <w:rsid w:val="005D079B"/>
    <w:rsid w:val="005D0B2F"/>
    <w:rsid w:val="005D0DC3"/>
    <w:rsid w:val="005D10A1"/>
    <w:rsid w:val="005D129B"/>
    <w:rsid w:val="005D1C55"/>
    <w:rsid w:val="005D24A8"/>
    <w:rsid w:val="005D25C1"/>
    <w:rsid w:val="005D286A"/>
    <w:rsid w:val="005D2DFE"/>
    <w:rsid w:val="005D371C"/>
    <w:rsid w:val="005D3C73"/>
    <w:rsid w:val="005D3CB8"/>
    <w:rsid w:val="005D3E89"/>
    <w:rsid w:val="005D4161"/>
    <w:rsid w:val="005D42DC"/>
    <w:rsid w:val="005D4958"/>
    <w:rsid w:val="005D4F22"/>
    <w:rsid w:val="005D5E12"/>
    <w:rsid w:val="005D6195"/>
    <w:rsid w:val="005D668A"/>
    <w:rsid w:val="005D6A15"/>
    <w:rsid w:val="005D6B03"/>
    <w:rsid w:val="005D7258"/>
    <w:rsid w:val="005D7D49"/>
    <w:rsid w:val="005D7E89"/>
    <w:rsid w:val="005D7F94"/>
    <w:rsid w:val="005E0995"/>
    <w:rsid w:val="005E0C29"/>
    <w:rsid w:val="005E0FF6"/>
    <w:rsid w:val="005E1603"/>
    <w:rsid w:val="005E1806"/>
    <w:rsid w:val="005E1AD0"/>
    <w:rsid w:val="005E1FA3"/>
    <w:rsid w:val="005E2463"/>
    <w:rsid w:val="005E2D15"/>
    <w:rsid w:val="005E2ECA"/>
    <w:rsid w:val="005E3351"/>
    <w:rsid w:val="005E3510"/>
    <w:rsid w:val="005E3C5E"/>
    <w:rsid w:val="005E475F"/>
    <w:rsid w:val="005E4A83"/>
    <w:rsid w:val="005E4D96"/>
    <w:rsid w:val="005E524C"/>
    <w:rsid w:val="005E5A80"/>
    <w:rsid w:val="005E5BB7"/>
    <w:rsid w:val="005E5C37"/>
    <w:rsid w:val="005E5D0F"/>
    <w:rsid w:val="005E64FD"/>
    <w:rsid w:val="005E65E9"/>
    <w:rsid w:val="005E69C5"/>
    <w:rsid w:val="005E6A71"/>
    <w:rsid w:val="005E6D8A"/>
    <w:rsid w:val="005E6FB4"/>
    <w:rsid w:val="005E7544"/>
    <w:rsid w:val="005F11E1"/>
    <w:rsid w:val="005F1A8B"/>
    <w:rsid w:val="005F1B94"/>
    <w:rsid w:val="005F1C62"/>
    <w:rsid w:val="005F2DC0"/>
    <w:rsid w:val="005F352E"/>
    <w:rsid w:val="005F38B3"/>
    <w:rsid w:val="005F4509"/>
    <w:rsid w:val="005F459C"/>
    <w:rsid w:val="005F4AD5"/>
    <w:rsid w:val="005F4DDF"/>
    <w:rsid w:val="005F57E8"/>
    <w:rsid w:val="005F5A48"/>
    <w:rsid w:val="005F5C9A"/>
    <w:rsid w:val="005F6068"/>
    <w:rsid w:val="005F62F5"/>
    <w:rsid w:val="005F63B1"/>
    <w:rsid w:val="005F665D"/>
    <w:rsid w:val="005F6D9A"/>
    <w:rsid w:val="005F6FEB"/>
    <w:rsid w:val="005F76F2"/>
    <w:rsid w:val="005F78ED"/>
    <w:rsid w:val="005F7D37"/>
    <w:rsid w:val="005F7D80"/>
    <w:rsid w:val="005F7EE7"/>
    <w:rsid w:val="00600924"/>
    <w:rsid w:val="00601BF0"/>
    <w:rsid w:val="0060274C"/>
    <w:rsid w:val="006027C0"/>
    <w:rsid w:val="00602D68"/>
    <w:rsid w:val="006037A8"/>
    <w:rsid w:val="006038CE"/>
    <w:rsid w:val="00603BF9"/>
    <w:rsid w:val="006041DB"/>
    <w:rsid w:val="006049DD"/>
    <w:rsid w:val="00605309"/>
    <w:rsid w:val="00605F05"/>
    <w:rsid w:val="00605F99"/>
    <w:rsid w:val="00607260"/>
    <w:rsid w:val="00610876"/>
    <w:rsid w:val="00610A81"/>
    <w:rsid w:val="00611057"/>
    <w:rsid w:val="00611437"/>
    <w:rsid w:val="00611BE5"/>
    <w:rsid w:val="00612159"/>
    <w:rsid w:val="00612B97"/>
    <w:rsid w:val="00612C44"/>
    <w:rsid w:val="00612EDA"/>
    <w:rsid w:val="006130B5"/>
    <w:rsid w:val="00613B2A"/>
    <w:rsid w:val="00613FDC"/>
    <w:rsid w:val="00614289"/>
    <w:rsid w:val="0061477D"/>
    <w:rsid w:val="0061478C"/>
    <w:rsid w:val="006153E0"/>
    <w:rsid w:val="00617C43"/>
    <w:rsid w:val="0062094E"/>
    <w:rsid w:val="00620B2B"/>
    <w:rsid w:val="00620CEE"/>
    <w:rsid w:val="006222C4"/>
    <w:rsid w:val="00622FF0"/>
    <w:rsid w:val="00623868"/>
    <w:rsid w:val="00623A52"/>
    <w:rsid w:val="00623AB1"/>
    <w:rsid w:val="00623CAA"/>
    <w:rsid w:val="00624B93"/>
    <w:rsid w:val="006250E2"/>
    <w:rsid w:val="006253A0"/>
    <w:rsid w:val="00626119"/>
    <w:rsid w:val="006273CA"/>
    <w:rsid w:val="00630F78"/>
    <w:rsid w:val="00630FC2"/>
    <w:rsid w:val="00631082"/>
    <w:rsid w:val="0063158C"/>
    <w:rsid w:val="006318BC"/>
    <w:rsid w:val="00631923"/>
    <w:rsid w:val="00631AAC"/>
    <w:rsid w:val="00631F97"/>
    <w:rsid w:val="006323D5"/>
    <w:rsid w:val="006326B9"/>
    <w:rsid w:val="006329C9"/>
    <w:rsid w:val="00632EB0"/>
    <w:rsid w:val="00633D0A"/>
    <w:rsid w:val="00633F85"/>
    <w:rsid w:val="00634022"/>
    <w:rsid w:val="006341B6"/>
    <w:rsid w:val="0063498D"/>
    <w:rsid w:val="00635CCF"/>
    <w:rsid w:val="0063668D"/>
    <w:rsid w:val="00636694"/>
    <w:rsid w:val="006367D2"/>
    <w:rsid w:val="00636ADE"/>
    <w:rsid w:val="00637352"/>
    <w:rsid w:val="00637F44"/>
    <w:rsid w:val="00640220"/>
    <w:rsid w:val="0064028B"/>
    <w:rsid w:val="00640361"/>
    <w:rsid w:val="0064084E"/>
    <w:rsid w:val="0064094A"/>
    <w:rsid w:val="00640BD2"/>
    <w:rsid w:val="0064128E"/>
    <w:rsid w:val="0064164A"/>
    <w:rsid w:val="00641A50"/>
    <w:rsid w:val="00641E85"/>
    <w:rsid w:val="00642FEC"/>
    <w:rsid w:val="00643097"/>
    <w:rsid w:val="00643258"/>
    <w:rsid w:val="006434AE"/>
    <w:rsid w:val="00643620"/>
    <w:rsid w:val="006436BF"/>
    <w:rsid w:val="00643DD1"/>
    <w:rsid w:val="00644660"/>
    <w:rsid w:val="0064476D"/>
    <w:rsid w:val="00644D03"/>
    <w:rsid w:val="00645414"/>
    <w:rsid w:val="00645E07"/>
    <w:rsid w:val="0064615A"/>
    <w:rsid w:val="00646492"/>
    <w:rsid w:val="00646A58"/>
    <w:rsid w:val="00646DB1"/>
    <w:rsid w:val="006473BD"/>
    <w:rsid w:val="00647DEB"/>
    <w:rsid w:val="00650304"/>
    <w:rsid w:val="00650C59"/>
    <w:rsid w:val="006515BF"/>
    <w:rsid w:val="006515DB"/>
    <w:rsid w:val="00651674"/>
    <w:rsid w:val="00651DF8"/>
    <w:rsid w:val="00651FF0"/>
    <w:rsid w:val="006521DD"/>
    <w:rsid w:val="00653105"/>
    <w:rsid w:val="00653280"/>
    <w:rsid w:val="00653B87"/>
    <w:rsid w:val="00654168"/>
    <w:rsid w:val="0065417C"/>
    <w:rsid w:val="00654B6C"/>
    <w:rsid w:val="00655CB0"/>
    <w:rsid w:val="00656035"/>
    <w:rsid w:val="006566DF"/>
    <w:rsid w:val="00656AF6"/>
    <w:rsid w:val="00656FD2"/>
    <w:rsid w:val="00657807"/>
    <w:rsid w:val="00657B3F"/>
    <w:rsid w:val="0066020B"/>
    <w:rsid w:val="00660419"/>
    <w:rsid w:val="00660A4D"/>
    <w:rsid w:val="00660ED3"/>
    <w:rsid w:val="0066163B"/>
    <w:rsid w:val="00661693"/>
    <w:rsid w:val="00661E12"/>
    <w:rsid w:val="00661E2A"/>
    <w:rsid w:val="0066235F"/>
    <w:rsid w:val="0066266A"/>
    <w:rsid w:val="0066308C"/>
    <w:rsid w:val="006630D7"/>
    <w:rsid w:val="00663384"/>
    <w:rsid w:val="00663EC2"/>
    <w:rsid w:val="0066401D"/>
    <w:rsid w:val="00664689"/>
    <w:rsid w:val="00665436"/>
    <w:rsid w:val="00665AB8"/>
    <w:rsid w:val="00665CB3"/>
    <w:rsid w:val="00665D64"/>
    <w:rsid w:val="00666079"/>
    <w:rsid w:val="006661A6"/>
    <w:rsid w:val="00666464"/>
    <w:rsid w:val="006667B1"/>
    <w:rsid w:val="00666811"/>
    <w:rsid w:val="00666D1C"/>
    <w:rsid w:val="006707C0"/>
    <w:rsid w:val="006713BF"/>
    <w:rsid w:val="00671A9B"/>
    <w:rsid w:val="00672387"/>
    <w:rsid w:val="006729A9"/>
    <w:rsid w:val="006735DB"/>
    <w:rsid w:val="00673A17"/>
    <w:rsid w:val="00673D7C"/>
    <w:rsid w:val="00674133"/>
    <w:rsid w:val="00674549"/>
    <w:rsid w:val="00674EE7"/>
    <w:rsid w:val="00675B16"/>
    <w:rsid w:val="00675B61"/>
    <w:rsid w:val="00675D4F"/>
    <w:rsid w:val="00675E7B"/>
    <w:rsid w:val="00677C08"/>
    <w:rsid w:val="00680386"/>
    <w:rsid w:val="006804FE"/>
    <w:rsid w:val="00680E14"/>
    <w:rsid w:val="00680ECE"/>
    <w:rsid w:val="00681E4B"/>
    <w:rsid w:val="00682168"/>
    <w:rsid w:val="006825DC"/>
    <w:rsid w:val="006826B6"/>
    <w:rsid w:val="00683454"/>
    <w:rsid w:val="00683B96"/>
    <w:rsid w:val="00683E11"/>
    <w:rsid w:val="00684998"/>
    <w:rsid w:val="00684FBF"/>
    <w:rsid w:val="0068516F"/>
    <w:rsid w:val="006851B5"/>
    <w:rsid w:val="006853B4"/>
    <w:rsid w:val="0068632E"/>
    <w:rsid w:val="006864D9"/>
    <w:rsid w:val="006865B3"/>
    <w:rsid w:val="006872D5"/>
    <w:rsid w:val="00687B4B"/>
    <w:rsid w:val="006903BA"/>
    <w:rsid w:val="00691306"/>
    <w:rsid w:val="00691EA3"/>
    <w:rsid w:val="00694648"/>
    <w:rsid w:val="006955CC"/>
    <w:rsid w:val="006959A6"/>
    <w:rsid w:val="00695A7A"/>
    <w:rsid w:val="00695E48"/>
    <w:rsid w:val="006964C3"/>
    <w:rsid w:val="00696B32"/>
    <w:rsid w:val="00696CC0"/>
    <w:rsid w:val="006972F3"/>
    <w:rsid w:val="006973C4"/>
    <w:rsid w:val="006978F1"/>
    <w:rsid w:val="00697ED9"/>
    <w:rsid w:val="006A039B"/>
    <w:rsid w:val="006A03A2"/>
    <w:rsid w:val="006A090C"/>
    <w:rsid w:val="006A0AEA"/>
    <w:rsid w:val="006A0B70"/>
    <w:rsid w:val="006A0C8E"/>
    <w:rsid w:val="006A1066"/>
    <w:rsid w:val="006A12CE"/>
    <w:rsid w:val="006A1AA9"/>
    <w:rsid w:val="006A20DC"/>
    <w:rsid w:val="006A2C5D"/>
    <w:rsid w:val="006A2D71"/>
    <w:rsid w:val="006A2DB5"/>
    <w:rsid w:val="006A313B"/>
    <w:rsid w:val="006A38B4"/>
    <w:rsid w:val="006A3A02"/>
    <w:rsid w:val="006A3F0E"/>
    <w:rsid w:val="006A41F0"/>
    <w:rsid w:val="006A4D47"/>
    <w:rsid w:val="006A6189"/>
    <w:rsid w:val="006A6295"/>
    <w:rsid w:val="006A6376"/>
    <w:rsid w:val="006A6566"/>
    <w:rsid w:val="006A6614"/>
    <w:rsid w:val="006A6BA7"/>
    <w:rsid w:val="006A7A88"/>
    <w:rsid w:val="006B0922"/>
    <w:rsid w:val="006B0923"/>
    <w:rsid w:val="006B0CBE"/>
    <w:rsid w:val="006B22BC"/>
    <w:rsid w:val="006B2EF1"/>
    <w:rsid w:val="006B335E"/>
    <w:rsid w:val="006B4089"/>
    <w:rsid w:val="006B4C84"/>
    <w:rsid w:val="006B5E36"/>
    <w:rsid w:val="006B691A"/>
    <w:rsid w:val="006B6959"/>
    <w:rsid w:val="006B7A33"/>
    <w:rsid w:val="006B7F16"/>
    <w:rsid w:val="006C08BC"/>
    <w:rsid w:val="006C1A8D"/>
    <w:rsid w:val="006C1E0F"/>
    <w:rsid w:val="006C2327"/>
    <w:rsid w:val="006C255D"/>
    <w:rsid w:val="006C2A59"/>
    <w:rsid w:val="006C2E34"/>
    <w:rsid w:val="006C30C6"/>
    <w:rsid w:val="006C3207"/>
    <w:rsid w:val="006C34B2"/>
    <w:rsid w:val="006C3543"/>
    <w:rsid w:val="006C35B7"/>
    <w:rsid w:val="006C373F"/>
    <w:rsid w:val="006C3A8F"/>
    <w:rsid w:val="006C3B74"/>
    <w:rsid w:val="006C3F55"/>
    <w:rsid w:val="006C3F83"/>
    <w:rsid w:val="006C453A"/>
    <w:rsid w:val="006C4780"/>
    <w:rsid w:val="006C534C"/>
    <w:rsid w:val="006C566D"/>
    <w:rsid w:val="006C5931"/>
    <w:rsid w:val="006C594D"/>
    <w:rsid w:val="006C618F"/>
    <w:rsid w:val="006C6669"/>
    <w:rsid w:val="006C6872"/>
    <w:rsid w:val="006C6B9B"/>
    <w:rsid w:val="006C6D91"/>
    <w:rsid w:val="006C6DDC"/>
    <w:rsid w:val="006C77DC"/>
    <w:rsid w:val="006C77DF"/>
    <w:rsid w:val="006C7B8E"/>
    <w:rsid w:val="006C7C0E"/>
    <w:rsid w:val="006D03A9"/>
    <w:rsid w:val="006D05E9"/>
    <w:rsid w:val="006D09EB"/>
    <w:rsid w:val="006D0CF7"/>
    <w:rsid w:val="006D1020"/>
    <w:rsid w:val="006D1A63"/>
    <w:rsid w:val="006D1E99"/>
    <w:rsid w:val="006D23CE"/>
    <w:rsid w:val="006D268F"/>
    <w:rsid w:val="006D34DC"/>
    <w:rsid w:val="006D3555"/>
    <w:rsid w:val="006D3802"/>
    <w:rsid w:val="006D444F"/>
    <w:rsid w:val="006D4DA5"/>
    <w:rsid w:val="006D4E0B"/>
    <w:rsid w:val="006D54C7"/>
    <w:rsid w:val="006D5995"/>
    <w:rsid w:val="006D6237"/>
    <w:rsid w:val="006D64C0"/>
    <w:rsid w:val="006D67F5"/>
    <w:rsid w:val="006D6F20"/>
    <w:rsid w:val="006D6F9B"/>
    <w:rsid w:val="006D7143"/>
    <w:rsid w:val="006D74CC"/>
    <w:rsid w:val="006E06FA"/>
    <w:rsid w:val="006E07D1"/>
    <w:rsid w:val="006E0C3E"/>
    <w:rsid w:val="006E1304"/>
    <w:rsid w:val="006E131A"/>
    <w:rsid w:val="006E1468"/>
    <w:rsid w:val="006E155B"/>
    <w:rsid w:val="006E178C"/>
    <w:rsid w:val="006E1E0B"/>
    <w:rsid w:val="006E1F3A"/>
    <w:rsid w:val="006E2173"/>
    <w:rsid w:val="006E22C4"/>
    <w:rsid w:val="006E22E3"/>
    <w:rsid w:val="006E26B0"/>
    <w:rsid w:val="006E2E12"/>
    <w:rsid w:val="006E306C"/>
    <w:rsid w:val="006E33C7"/>
    <w:rsid w:val="006E3936"/>
    <w:rsid w:val="006E3A02"/>
    <w:rsid w:val="006E3E6B"/>
    <w:rsid w:val="006E3E71"/>
    <w:rsid w:val="006E41D0"/>
    <w:rsid w:val="006E4879"/>
    <w:rsid w:val="006E58B5"/>
    <w:rsid w:val="006E5B8D"/>
    <w:rsid w:val="006E5C23"/>
    <w:rsid w:val="006E687B"/>
    <w:rsid w:val="006E6C9F"/>
    <w:rsid w:val="006E6FAE"/>
    <w:rsid w:val="006E78FB"/>
    <w:rsid w:val="006E7BF1"/>
    <w:rsid w:val="006F1071"/>
    <w:rsid w:val="006F1162"/>
    <w:rsid w:val="006F2145"/>
    <w:rsid w:val="006F22C9"/>
    <w:rsid w:val="006F2ADC"/>
    <w:rsid w:val="006F40F1"/>
    <w:rsid w:val="006F45C5"/>
    <w:rsid w:val="006F46BF"/>
    <w:rsid w:val="006F48AF"/>
    <w:rsid w:val="006F4F21"/>
    <w:rsid w:val="006F52D2"/>
    <w:rsid w:val="006F56CD"/>
    <w:rsid w:val="006F5EEE"/>
    <w:rsid w:val="006F6A1D"/>
    <w:rsid w:val="006F6BA1"/>
    <w:rsid w:val="006F6C02"/>
    <w:rsid w:val="006F6EFF"/>
    <w:rsid w:val="006F6F92"/>
    <w:rsid w:val="0070013B"/>
    <w:rsid w:val="007001FA"/>
    <w:rsid w:val="007013C2"/>
    <w:rsid w:val="007014A3"/>
    <w:rsid w:val="007025B6"/>
    <w:rsid w:val="00702D7C"/>
    <w:rsid w:val="00703254"/>
    <w:rsid w:val="00703EA9"/>
    <w:rsid w:val="00703EBF"/>
    <w:rsid w:val="00704032"/>
    <w:rsid w:val="007042D8"/>
    <w:rsid w:val="00704840"/>
    <w:rsid w:val="00704BE7"/>
    <w:rsid w:val="00704C96"/>
    <w:rsid w:val="00705716"/>
    <w:rsid w:val="00705EC3"/>
    <w:rsid w:val="0070639F"/>
    <w:rsid w:val="007079E3"/>
    <w:rsid w:val="007079E8"/>
    <w:rsid w:val="0071001B"/>
    <w:rsid w:val="007109C3"/>
    <w:rsid w:val="0071151F"/>
    <w:rsid w:val="00711A0C"/>
    <w:rsid w:val="00711B66"/>
    <w:rsid w:val="00712B49"/>
    <w:rsid w:val="00713CAB"/>
    <w:rsid w:val="00713FBB"/>
    <w:rsid w:val="007141C8"/>
    <w:rsid w:val="007145DD"/>
    <w:rsid w:val="00714BBA"/>
    <w:rsid w:val="007159C2"/>
    <w:rsid w:val="007172AF"/>
    <w:rsid w:val="00717661"/>
    <w:rsid w:val="00721A63"/>
    <w:rsid w:val="00721BF2"/>
    <w:rsid w:val="0072227A"/>
    <w:rsid w:val="007227F6"/>
    <w:rsid w:val="00722A56"/>
    <w:rsid w:val="00722B3F"/>
    <w:rsid w:val="00722F45"/>
    <w:rsid w:val="007234FD"/>
    <w:rsid w:val="0072353D"/>
    <w:rsid w:val="00723952"/>
    <w:rsid w:val="00723B1B"/>
    <w:rsid w:val="00723D95"/>
    <w:rsid w:val="007243F8"/>
    <w:rsid w:val="007248DE"/>
    <w:rsid w:val="00725744"/>
    <w:rsid w:val="00726229"/>
    <w:rsid w:val="00726592"/>
    <w:rsid w:val="00727F46"/>
    <w:rsid w:val="0073009C"/>
    <w:rsid w:val="00730AC7"/>
    <w:rsid w:val="0073134E"/>
    <w:rsid w:val="00731EDD"/>
    <w:rsid w:val="007325E5"/>
    <w:rsid w:val="00732810"/>
    <w:rsid w:val="00732D49"/>
    <w:rsid w:val="007338E1"/>
    <w:rsid w:val="0073394F"/>
    <w:rsid w:val="00733CE2"/>
    <w:rsid w:val="0073401E"/>
    <w:rsid w:val="00734248"/>
    <w:rsid w:val="007347A6"/>
    <w:rsid w:val="007353C0"/>
    <w:rsid w:val="007359BE"/>
    <w:rsid w:val="00735C0E"/>
    <w:rsid w:val="00735C17"/>
    <w:rsid w:val="00735FB4"/>
    <w:rsid w:val="00736213"/>
    <w:rsid w:val="00736521"/>
    <w:rsid w:val="00736A8D"/>
    <w:rsid w:val="007377F8"/>
    <w:rsid w:val="00737CDD"/>
    <w:rsid w:val="0074005A"/>
    <w:rsid w:val="00740217"/>
    <w:rsid w:val="007402C0"/>
    <w:rsid w:val="00740C06"/>
    <w:rsid w:val="007411FB"/>
    <w:rsid w:val="0074170C"/>
    <w:rsid w:val="00741C22"/>
    <w:rsid w:val="0074253B"/>
    <w:rsid w:val="00742815"/>
    <w:rsid w:val="00742DF6"/>
    <w:rsid w:val="007437D7"/>
    <w:rsid w:val="00743848"/>
    <w:rsid w:val="00743ED2"/>
    <w:rsid w:val="00743F64"/>
    <w:rsid w:val="00744751"/>
    <w:rsid w:val="00746206"/>
    <w:rsid w:val="00746325"/>
    <w:rsid w:val="00746FA5"/>
    <w:rsid w:val="00747050"/>
    <w:rsid w:val="00747BD1"/>
    <w:rsid w:val="00747C7B"/>
    <w:rsid w:val="00747CF9"/>
    <w:rsid w:val="00750812"/>
    <w:rsid w:val="00750F35"/>
    <w:rsid w:val="0075139E"/>
    <w:rsid w:val="00751FF3"/>
    <w:rsid w:val="0075229B"/>
    <w:rsid w:val="00752918"/>
    <w:rsid w:val="0075294F"/>
    <w:rsid w:val="00752C0F"/>
    <w:rsid w:val="00754499"/>
    <w:rsid w:val="00754543"/>
    <w:rsid w:val="007556EF"/>
    <w:rsid w:val="00755958"/>
    <w:rsid w:val="00755C9F"/>
    <w:rsid w:val="00756875"/>
    <w:rsid w:val="00756913"/>
    <w:rsid w:val="00757212"/>
    <w:rsid w:val="00757568"/>
    <w:rsid w:val="00757F5E"/>
    <w:rsid w:val="0076026B"/>
    <w:rsid w:val="007604A9"/>
    <w:rsid w:val="00760A1D"/>
    <w:rsid w:val="0076148D"/>
    <w:rsid w:val="0076150D"/>
    <w:rsid w:val="007615D2"/>
    <w:rsid w:val="00761825"/>
    <w:rsid w:val="00761AD6"/>
    <w:rsid w:val="0076253A"/>
    <w:rsid w:val="007629A3"/>
    <w:rsid w:val="00762C20"/>
    <w:rsid w:val="00762FDE"/>
    <w:rsid w:val="007633F1"/>
    <w:rsid w:val="0076344C"/>
    <w:rsid w:val="0076348E"/>
    <w:rsid w:val="007636A3"/>
    <w:rsid w:val="007637C2"/>
    <w:rsid w:val="00763CC0"/>
    <w:rsid w:val="00764714"/>
    <w:rsid w:val="00764DB5"/>
    <w:rsid w:val="0076537B"/>
    <w:rsid w:val="0076554F"/>
    <w:rsid w:val="00765A42"/>
    <w:rsid w:val="00765BDE"/>
    <w:rsid w:val="00765E22"/>
    <w:rsid w:val="00766281"/>
    <w:rsid w:val="00766328"/>
    <w:rsid w:val="00766E5F"/>
    <w:rsid w:val="00766EA2"/>
    <w:rsid w:val="007672FA"/>
    <w:rsid w:val="00767B8F"/>
    <w:rsid w:val="007708DC"/>
    <w:rsid w:val="00770B4C"/>
    <w:rsid w:val="00770B8E"/>
    <w:rsid w:val="00771394"/>
    <w:rsid w:val="00771697"/>
    <w:rsid w:val="007716C1"/>
    <w:rsid w:val="0077178E"/>
    <w:rsid w:val="00771D04"/>
    <w:rsid w:val="0077214B"/>
    <w:rsid w:val="0077220D"/>
    <w:rsid w:val="00772784"/>
    <w:rsid w:val="0077333B"/>
    <w:rsid w:val="00773924"/>
    <w:rsid w:val="007741F1"/>
    <w:rsid w:val="007742C7"/>
    <w:rsid w:val="0077470E"/>
    <w:rsid w:val="00774773"/>
    <w:rsid w:val="007747ED"/>
    <w:rsid w:val="00774D09"/>
    <w:rsid w:val="007750F9"/>
    <w:rsid w:val="0077518B"/>
    <w:rsid w:val="00775DD5"/>
    <w:rsid w:val="00775FC7"/>
    <w:rsid w:val="0077E462"/>
    <w:rsid w:val="00780468"/>
    <w:rsid w:val="00780DD1"/>
    <w:rsid w:val="00780F99"/>
    <w:rsid w:val="00782679"/>
    <w:rsid w:val="00782C1E"/>
    <w:rsid w:val="00782CA0"/>
    <w:rsid w:val="007830C3"/>
    <w:rsid w:val="00783979"/>
    <w:rsid w:val="00784DA1"/>
    <w:rsid w:val="00784E53"/>
    <w:rsid w:val="0078541A"/>
    <w:rsid w:val="007855D3"/>
    <w:rsid w:val="00785725"/>
    <w:rsid w:val="00785898"/>
    <w:rsid w:val="00786ED8"/>
    <w:rsid w:val="0078759D"/>
    <w:rsid w:val="007878E5"/>
    <w:rsid w:val="007900CD"/>
    <w:rsid w:val="007903EE"/>
    <w:rsid w:val="00790591"/>
    <w:rsid w:val="00790624"/>
    <w:rsid w:val="007906AE"/>
    <w:rsid w:val="007910B2"/>
    <w:rsid w:val="00791120"/>
    <w:rsid w:val="00791900"/>
    <w:rsid w:val="00791A2B"/>
    <w:rsid w:val="00791C49"/>
    <w:rsid w:val="00792DCB"/>
    <w:rsid w:val="00792DE6"/>
    <w:rsid w:val="00793797"/>
    <w:rsid w:val="00793CAD"/>
    <w:rsid w:val="00793FF2"/>
    <w:rsid w:val="0079411F"/>
    <w:rsid w:val="007943D8"/>
    <w:rsid w:val="00794621"/>
    <w:rsid w:val="00794710"/>
    <w:rsid w:val="00794C65"/>
    <w:rsid w:val="00795551"/>
    <w:rsid w:val="007958A8"/>
    <w:rsid w:val="00795F6F"/>
    <w:rsid w:val="0079651C"/>
    <w:rsid w:val="0079704D"/>
    <w:rsid w:val="00797166"/>
    <w:rsid w:val="00797675"/>
    <w:rsid w:val="00797B19"/>
    <w:rsid w:val="007A2794"/>
    <w:rsid w:val="007A2AC6"/>
    <w:rsid w:val="007A340A"/>
    <w:rsid w:val="007A3C79"/>
    <w:rsid w:val="007A41C7"/>
    <w:rsid w:val="007A4725"/>
    <w:rsid w:val="007A4A71"/>
    <w:rsid w:val="007A4FCB"/>
    <w:rsid w:val="007A5BF6"/>
    <w:rsid w:val="007A62A3"/>
    <w:rsid w:val="007A6DC5"/>
    <w:rsid w:val="007A74D3"/>
    <w:rsid w:val="007A794D"/>
    <w:rsid w:val="007A7E83"/>
    <w:rsid w:val="007B054B"/>
    <w:rsid w:val="007B0748"/>
    <w:rsid w:val="007B0FA9"/>
    <w:rsid w:val="007B176D"/>
    <w:rsid w:val="007B1B95"/>
    <w:rsid w:val="007B206E"/>
    <w:rsid w:val="007B276D"/>
    <w:rsid w:val="007B439F"/>
    <w:rsid w:val="007B458B"/>
    <w:rsid w:val="007B4B8B"/>
    <w:rsid w:val="007B4BAA"/>
    <w:rsid w:val="007B51F2"/>
    <w:rsid w:val="007B569A"/>
    <w:rsid w:val="007B5887"/>
    <w:rsid w:val="007B6206"/>
    <w:rsid w:val="007B689F"/>
    <w:rsid w:val="007B6EA5"/>
    <w:rsid w:val="007B739A"/>
    <w:rsid w:val="007B7430"/>
    <w:rsid w:val="007B74E8"/>
    <w:rsid w:val="007B7B86"/>
    <w:rsid w:val="007C02C8"/>
    <w:rsid w:val="007C076B"/>
    <w:rsid w:val="007C0C0A"/>
    <w:rsid w:val="007C0D21"/>
    <w:rsid w:val="007C18CF"/>
    <w:rsid w:val="007C1B6E"/>
    <w:rsid w:val="007C1CBF"/>
    <w:rsid w:val="007C2B0A"/>
    <w:rsid w:val="007C337B"/>
    <w:rsid w:val="007C3932"/>
    <w:rsid w:val="007C4C2C"/>
    <w:rsid w:val="007C4CFB"/>
    <w:rsid w:val="007C4D00"/>
    <w:rsid w:val="007C4DEA"/>
    <w:rsid w:val="007C4F96"/>
    <w:rsid w:val="007C53E6"/>
    <w:rsid w:val="007C56EB"/>
    <w:rsid w:val="007C5D84"/>
    <w:rsid w:val="007C7BE3"/>
    <w:rsid w:val="007D0637"/>
    <w:rsid w:val="007D0698"/>
    <w:rsid w:val="007D07DA"/>
    <w:rsid w:val="007D0BA9"/>
    <w:rsid w:val="007D1DDF"/>
    <w:rsid w:val="007D2192"/>
    <w:rsid w:val="007D2ECB"/>
    <w:rsid w:val="007D4132"/>
    <w:rsid w:val="007D4AE2"/>
    <w:rsid w:val="007D51AF"/>
    <w:rsid w:val="007D58FC"/>
    <w:rsid w:val="007D69FF"/>
    <w:rsid w:val="007D75C8"/>
    <w:rsid w:val="007D7DFE"/>
    <w:rsid w:val="007E0187"/>
    <w:rsid w:val="007E2A61"/>
    <w:rsid w:val="007E2E05"/>
    <w:rsid w:val="007E3148"/>
    <w:rsid w:val="007E3538"/>
    <w:rsid w:val="007E3D34"/>
    <w:rsid w:val="007E4112"/>
    <w:rsid w:val="007E47EB"/>
    <w:rsid w:val="007E4E25"/>
    <w:rsid w:val="007E4F43"/>
    <w:rsid w:val="007E518D"/>
    <w:rsid w:val="007E59AD"/>
    <w:rsid w:val="007E5CD8"/>
    <w:rsid w:val="007E60C4"/>
    <w:rsid w:val="007E6369"/>
    <w:rsid w:val="007E78C6"/>
    <w:rsid w:val="007E7944"/>
    <w:rsid w:val="007E7B1A"/>
    <w:rsid w:val="007E7B71"/>
    <w:rsid w:val="007F01BD"/>
    <w:rsid w:val="007F0399"/>
    <w:rsid w:val="007F0F17"/>
    <w:rsid w:val="007F1307"/>
    <w:rsid w:val="007F14B5"/>
    <w:rsid w:val="007F1E72"/>
    <w:rsid w:val="007F236B"/>
    <w:rsid w:val="007F2701"/>
    <w:rsid w:val="007F2890"/>
    <w:rsid w:val="007F2ACF"/>
    <w:rsid w:val="007F427B"/>
    <w:rsid w:val="007F4613"/>
    <w:rsid w:val="007F4858"/>
    <w:rsid w:val="007F4F66"/>
    <w:rsid w:val="007F4F80"/>
    <w:rsid w:val="007F5052"/>
    <w:rsid w:val="007F5A91"/>
    <w:rsid w:val="007F5B7E"/>
    <w:rsid w:val="007F5BF3"/>
    <w:rsid w:val="007F6148"/>
    <w:rsid w:val="007F6648"/>
    <w:rsid w:val="007F6816"/>
    <w:rsid w:val="007F6B0E"/>
    <w:rsid w:val="007F6C44"/>
    <w:rsid w:val="007F6F00"/>
    <w:rsid w:val="007F768E"/>
    <w:rsid w:val="007F787F"/>
    <w:rsid w:val="008002E5"/>
    <w:rsid w:val="00800389"/>
    <w:rsid w:val="008004F5"/>
    <w:rsid w:val="0080076E"/>
    <w:rsid w:val="0080091C"/>
    <w:rsid w:val="008015BB"/>
    <w:rsid w:val="008016D3"/>
    <w:rsid w:val="00801765"/>
    <w:rsid w:val="00801CE9"/>
    <w:rsid w:val="0080214F"/>
    <w:rsid w:val="008023C7"/>
    <w:rsid w:val="00802953"/>
    <w:rsid w:val="00802DD3"/>
    <w:rsid w:val="00803094"/>
    <w:rsid w:val="00803604"/>
    <w:rsid w:val="00803FCB"/>
    <w:rsid w:val="00804531"/>
    <w:rsid w:val="008045AA"/>
    <w:rsid w:val="00804D1C"/>
    <w:rsid w:val="00804F17"/>
    <w:rsid w:val="008058E8"/>
    <w:rsid w:val="00805C04"/>
    <w:rsid w:val="00805C08"/>
    <w:rsid w:val="00806CBD"/>
    <w:rsid w:val="00806E73"/>
    <w:rsid w:val="00806EA9"/>
    <w:rsid w:val="0081048A"/>
    <w:rsid w:val="0081066F"/>
    <w:rsid w:val="0081087B"/>
    <w:rsid w:val="00811241"/>
    <w:rsid w:val="00811861"/>
    <w:rsid w:val="00811C46"/>
    <w:rsid w:val="00812940"/>
    <w:rsid w:val="008130EC"/>
    <w:rsid w:val="008131D3"/>
    <w:rsid w:val="008134A9"/>
    <w:rsid w:val="00813585"/>
    <w:rsid w:val="00813AB7"/>
    <w:rsid w:val="00813D50"/>
    <w:rsid w:val="008142DC"/>
    <w:rsid w:val="008145AD"/>
    <w:rsid w:val="00814E0A"/>
    <w:rsid w:val="00814EC4"/>
    <w:rsid w:val="008151B4"/>
    <w:rsid w:val="00815289"/>
    <w:rsid w:val="0081596C"/>
    <w:rsid w:val="00815E49"/>
    <w:rsid w:val="00816B87"/>
    <w:rsid w:val="00817EEB"/>
    <w:rsid w:val="0082076B"/>
    <w:rsid w:val="00820A30"/>
    <w:rsid w:val="00820E6F"/>
    <w:rsid w:val="0082102D"/>
    <w:rsid w:val="0082317A"/>
    <w:rsid w:val="008236B9"/>
    <w:rsid w:val="00824413"/>
    <w:rsid w:val="008245AD"/>
    <w:rsid w:val="0082542D"/>
    <w:rsid w:val="00825941"/>
    <w:rsid w:val="00825DF2"/>
    <w:rsid w:val="00825F54"/>
    <w:rsid w:val="008265F7"/>
    <w:rsid w:val="00826B61"/>
    <w:rsid w:val="008272A1"/>
    <w:rsid w:val="008275FA"/>
    <w:rsid w:val="00827871"/>
    <w:rsid w:val="008309BC"/>
    <w:rsid w:val="00830FB8"/>
    <w:rsid w:val="00831627"/>
    <w:rsid w:val="00832358"/>
    <w:rsid w:val="00832851"/>
    <w:rsid w:val="00832A6E"/>
    <w:rsid w:val="00832F15"/>
    <w:rsid w:val="0083398E"/>
    <w:rsid w:val="00833AC3"/>
    <w:rsid w:val="00833DF8"/>
    <w:rsid w:val="00835063"/>
    <w:rsid w:val="008350F2"/>
    <w:rsid w:val="008350FB"/>
    <w:rsid w:val="00835552"/>
    <w:rsid w:val="0083563C"/>
    <w:rsid w:val="00835FEC"/>
    <w:rsid w:val="008366DC"/>
    <w:rsid w:val="0083690B"/>
    <w:rsid w:val="00837238"/>
    <w:rsid w:val="0083755B"/>
    <w:rsid w:val="00837D8B"/>
    <w:rsid w:val="00837F62"/>
    <w:rsid w:val="0084030D"/>
    <w:rsid w:val="00840FC2"/>
    <w:rsid w:val="00841556"/>
    <w:rsid w:val="008420B2"/>
    <w:rsid w:val="008421FC"/>
    <w:rsid w:val="00842514"/>
    <w:rsid w:val="00842B1B"/>
    <w:rsid w:val="00842DC5"/>
    <w:rsid w:val="00843789"/>
    <w:rsid w:val="008438D5"/>
    <w:rsid w:val="00843994"/>
    <w:rsid w:val="00844E7A"/>
    <w:rsid w:val="00845590"/>
    <w:rsid w:val="008457A1"/>
    <w:rsid w:val="00845A8A"/>
    <w:rsid w:val="00845B4B"/>
    <w:rsid w:val="00845B7F"/>
    <w:rsid w:val="00845ED9"/>
    <w:rsid w:val="00845F4E"/>
    <w:rsid w:val="00846069"/>
    <w:rsid w:val="00847A8A"/>
    <w:rsid w:val="00850295"/>
    <w:rsid w:val="00850553"/>
    <w:rsid w:val="008513A3"/>
    <w:rsid w:val="00851C39"/>
    <w:rsid w:val="00851DD7"/>
    <w:rsid w:val="00852060"/>
    <w:rsid w:val="008526BD"/>
    <w:rsid w:val="008528CE"/>
    <w:rsid w:val="008529A3"/>
    <w:rsid w:val="00852BF1"/>
    <w:rsid w:val="00853394"/>
    <w:rsid w:val="00853552"/>
    <w:rsid w:val="00853AD1"/>
    <w:rsid w:val="00853B4C"/>
    <w:rsid w:val="0085442A"/>
    <w:rsid w:val="0085462E"/>
    <w:rsid w:val="00854797"/>
    <w:rsid w:val="008551E5"/>
    <w:rsid w:val="00855753"/>
    <w:rsid w:val="00855CDB"/>
    <w:rsid w:val="00855D4A"/>
    <w:rsid w:val="00855F7D"/>
    <w:rsid w:val="0085620B"/>
    <w:rsid w:val="00856F9C"/>
    <w:rsid w:val="0085723B"/>
    <w:rsid w:val="0085750E"/>
    <w:rsid w:val="008575C0"/>
    <w:rsid w:val="008576EB"/>
    <w:rsid w:val="00857D52"/>
    <w:rsid w:val="0086022F"/>
    <w:rsid w:val="0086074C"/>
    <w:rsid w:val="00860B98"/>
    <w:rsid w:val="0086128F"/>
    <w:rsid w:val="008620E5"/>
    <w:rsid w:val="00862A39"/>
    <w:rsid w:val="00863459"/>
    <w:rsid w:val="00863A5A"/>
    <w:rsid w:val="00863E2A"/>
    <w:rsid w:val="008643D1"/>
    <w:rsid w:val="00864509"/>
    <w:rsid w:val="00864829"/>
    <w:rsid w:val="00864F45"/>
    <w:rsid w:val="008651DF"/>
    <w:rsid w:val="00865270"/>
    <w:rsid w:val="00865CCA"/>
    <w:rsid w:val="00866417"/>
    <w:rsid w:val="0086662B"/>
    <w:rsid w:val="00867641"/>
    <w:rsid w:val="00867642"/>
    <w:rsid w:val="00867EC7"/>
    <w:rsid w:val="00867F40"/>
    <w:rsid w:val="00870735"/>
    <w:rsid w:val="00870CCB"/>
    <w:rsid w:val="00870D5B"/>
    <w:rsid w:val="00870F2B"/>
    <w:rsid w:val="008711B0"/>
    <w:rsid w:val="00871AD1"/>
    <w:rsid w:val="008722A4"/>
    <w:rsid w:val="00872329"/>
    <w:rsid w:val="00872FE3"/>
    <w:rsid w:val="00873302"/>
    <w:rsid w:val="00873FA1"/>
    <w:rsid w:val="0087417E"/>
    <w:rsid w:val="0087470B"/>
    <w:rsid w:val="00874B41"/>
    <w:rsid w:val="00875B23"/>
    <w:rsid w:val="00876465"/>
    <w:rsid w:val="00876711"/>
    <w:rsid w:val="00876712"/>
    <w:rsid w:val="008769FB"/>
    <w:rsid w:val="00876E9C"/>
    <w:rsid w:val="00877216"/>
    <w:rsid w:val="00880073"/>
    <w:rsid w:val="00880565"/>
    <w:rsid w:val="008805A6"/>
    <w:rsid w:val="00880CB6"/>
    <w:rsid w:val="0088113D"/>
    <w:rsid w:val="00881238"/>
    <w:rsid w:val="00882150"/>
    <w:rsid w:val="00882336"/>
    <w:rsid w:val="00882913"/>
    <w:rsid w:val="008829F6"/>
    <w:rsid w:val="008833AC"/>
    <w:rsid w:val="00883AF0"/>
    <w:rsid w:val="008846F9"/>
    <w:rsid w:val="008847A0"/>
    <w:rsid w:val="008851AA"/>
    <w:rsid w:val="00885353"/>
    <w:rsid w:val="00885CBC"/>
    <w:rsid w:val="00886399"/>
    <w:rsid w:val="008869AB"/>
    <w:rsid w:val="008878AF"/>
    <w:rsid w:val="00887A79"/>
    <w:rsid w:val="00887B81"/>
    <w:rsid w:val="00887E2C"/>
    <w:rsid w:val="008900A5"/>
    <w:rsid w:val="00890821"/>
    <w:rsid w:val="008908B8"/>
    <w:rsid w:val="00891259"/>
    <w:rsid w:val="00894175"/>
    <w:rsid w:val="0089427E"/>
    <w:rsid w:val="0089459E"/>
    <w:rsid w:val="0089506D"/>
    <w:rsid w:val="00895A39"/>
    <w:rsid w:val="00895C6E"/>
    <w:rsid w:val="00895D50"/>
    <w:rsid w:val="00895EA0"/>
    <w:rsid w:val="00896AB9"/>
    <w:rsid w:val="00896CAE"/>
    <w:rsid w:val="00896F5D"/>
    <w:rsid w:val="008975A2"/>
    <w:rsid w:val="008A01D9"/>
    <w:rsid w:val="008A04B0"/>
    <w:rsid w:val="008A060F"/>
    <w:rsid w:val="008A0A40"/>
    <w:rsid w:val="008A1229"/>
    <w:rsid w:val="008A135B"/>
    <w:rsid w:val="008A175A"/>
    <w:rsid w:val="008A1805"/>
    <w:rsid w:val="008A1B17"/>
    <w:rsid w:val="008A3D2F"/>
    <w:rsid w:val="008A412B"/>
    <w:rsid w:val="008A42DB"/>
    <w:rsid w:val="008A43B6"/>
    <w:rsid w:val="008A4B59"/>
    <w:rsid w:val="008A4E8F"/>
    <w:rsid w:val="008A525B"/>
    <w:rsid w:val="008A5998"/>
    <w:rsid w:val="008A5DEA"/>
    <w:rsid w:val="008A60E5"/>
    <w:rsid w:val="008A6BB9"/>
    <w:rsid w:val="008A6CE0"/>
    <w:rsid w:val="008A6F31"/>
    <w:rsid w:val="008A714B"/>
    <w:rsid w:val="008A78A5"/>
    <w:rsid w:val="008A7AF5"/>
    <w:rsid w:val="008A7B5E"/>
    <w:rsid w:val="008B0353"/>
    <w:rsid w:val="008B07DD"/>
    <w:rsid w:val="008B0DAB"/>
    <w:rsid w:val="008B11CE"/>
    <w:rsid w:val="008B13D3"/>
    <w:rsid w:val="008B1EE3"/>
    <w:rsid w:val="008B2123"/>
    <w:rsid w:val="008B2A3C"/>
    <w:rsid w:val="008B2C71"/>
    <w:rsid w:val="008B2E61"/>
    <w:rsid w:val="008B31F4"/>
    <w:rsid w:val="008B35F4"/>
    <w:rsid w:val="008B37A0"/>
    <w:rsid w:val="008B4C77"/>
    <w:rsid w:val="008B4DDC"/>
    <w:rsid w:val="008B4FF2"/>
    <w:rsid w:val="008B55CB"/>
    <w:rsid w:val="008B6037"/>
    <w:rsid w:val="008B696E"/>
    <w:rsid w:val="008B6F5A"/>
    <w:rsid w:val="008B6F69"/>
    <w:rsid w:val="008B7166"/>
    <w:rsid w:val="008B7877"/>
    <w:rsid w:val="008B7BA7"/>
    <w:rsid w:val="008B7DF4"/>
    <w:rsid w:val="008B7EC1"/>
    <w:rsid w:val="008C028F"/>
    <w:rsid w:val="008C1DFF"/>
    <w:rsid w:val="008C2D5D"/>
    <w:rsid w:val="008C3871"/>
    <w:rsid w:val="008C43C7"/>
    <w:rsid w:val="008C46FF"/>
    <w:rsid w:val="008C4995"/>
    <w:rsid w:val="008C4AF4"/>
    <w:rsid w:val="008C4B48"/>
    <w:rsid w:val="008C4D28"/>
    <w:rsid w:val="008C58FC"/>
    <w:rsid w:val="008C5D04"/>
    <w:rsid w:val="008C67F6"/>
    <w:rsid w:val="008D0E08"/>
    <w:rsid w:val="008D0F6B"/>
    <w:rsid w:val="008D1118"/>
    <w:rsid w:val="008D19BC"/>
    <w:rsid w:val="008D238B"/>
    <w:rsid w:val="008D2AA2"/>
    <w:rsid w:val="008D2FD5"/>
    <w:rsid w:val="008D32E9"/>
    <w:rsid w:val="008D3FAC"/>
    <w:rsid w:val="008D40E5"/>
    <w:rsid w:val="008D4A01"/>
    <w:rsid w:val="008D4E56"/>
    <w:rsid w:val="008D51BC"/>
    <w:rsid w:val="008D624F"/>
    <w:rsid w:val="008D7305"/>
    <w:rsid w:val="008D7389"/>
    <w:rsid w:val="008D76D4"/>
    <w:rsid w:val="008E0574"/>
    <w:rsid w:val="008E0B83"/>
    <w:rsid w:val="008E0FC7"/>
    <w:rsid w:val="008E148D"/>
    <w:rsid w:val="008E17D8"/>
    <w:rsid w:val="008E253D"/>
    <w:rsid w:val="008E2950"/>
    <w:rsid w:val="008E376A"/>
    <w:rsid w:val="008E41CC"/>
    <w:rsid w:val="008E5217"/>
    <w:rsid w:val="008E5CED"/>
    <w:rsid w:val="008E64FB"/>
    <w:rsid w:val="008E6920"/>
    <w:rsid w:val="008E7E54"/>
    <w:rsid w:val="008E7F26"/>
    <w:rsid w:val="008F03A0"/>
    <w:rsid w:val="008F1075"/>
    <w:rsid w:val="008F1C30"/>
    <w:rsid w:val="008F22E8"/>
    <w:rsid w:val="008F23F9"/>
    <w:rsid w:val="008F2583"/>
    <w:rsid w:val="008F2A9D"/>
    <w:rsid w:val="008F30B1"/>
    <w:rsid w:val="008F4177"/>
    <w:rsid w:val="008F44B2"/>
    <w:rsid w:val="008F45A8"/>
    <w:rsid w:val="008F4A99"/>
    <w:rsid w:val="008F4AAF"/>
    <w:rsid w:val="008F4D21"/>
    <w:rsid w:val="008F50CC"/>
    <w:rsid w:val="008F55FD"/>
    <w:rsid w:val="008F6B27"/>
    <w:rsid w:val="008F6BD8"/>
    <w:rsid w:val="008F7070"/>
    <w:rsid w:val="008F74FC"/>
    <w:rsid w:val="00900135"/>
    <w:rsid w:val="009006A5"/>
    <w:rsid w:val="009009FE"/>
    <w:rsid w:val="00900B60"/>
    <w:rsid w:val="00900BE5"/>
    <w:rsid w:val="009014FD"/>
    <w:rsid w:val="00902371"/>
    <w:rsid w:val="0090257C"/>
    <w:rsid w:val="00903718"/>
    <w:rsid w:val="00903A6E"/>
    <w:rsid w:val="00903C2E"/>
    <w:rsid w:val="0090421D"/>
    <w:rsid w:val="0090454B"/>
    <w:rsid w:val="009047D9"/>
    <w:rsid w:val="00904AC8"/>
    <w:rsid w:val="009052BC"/>
    <w:rsid w:val="00906024"/>
    <w:rsid w:val="009060D2"/>
    <w:rsid w:val="009061A3"/>
    <w:rsid w:val="0090620B"/>
    <w:rsid w:val="00906456"/>
    <w:rsid w:val="009068E5"/>
    <w:rsid w:val="00906C02"/>
    <w:rsid w:val="00906D49"/>
    <w:rsid w:val="00906F43"/>
    <w:rsid w:val="0090779B"/>
    <w:rsid w:val="0090799A"/>
    <w:rsid w:val="009100E9"/>
    <w:rsid w:val="009101CE"/>
    <w:rsid w:val="00910416"/>
    <w:rsid w:val="00910886"/>
    <w:rsid w:val="00910F97"/>
    <w:rsid w:val="0091128C"/>
    <w:rsid w:val="00911415"/>
    <w:rsid w:val="00911461"/>
    <w:rsid w:val="0091188B"/>
    <w:rsid w:val="00912159"/>
    <w:rsid w:val="00912FE4"/>
    <w:rsid w:val="0091309D"/>
    <w:rsid w:val="009136EE"/>
    <w:rsid w:val="00913F48"/>
    <w:rsid w:val="009143E4"/>
    <w:rsid w:val="009145A0"/>
    <w:rsid w:val="00915703"/>
    <w:rsid w:val="00915711"/>
    <w:rsid w:val="00915A97"/>
    <w:rsid w:val="009160A1"/>
    <w:rsid w:val="00917807"/>
    <w:rsid w:val="00917FFA"/>
    <w:rsid w:val="00920638"/>
    <w:rsid w:val="009207E1"/>
    <w:rsid w:val="009211BC"/>
    <w:rsid w:val="00921491"/>
    <w:rsid w:val="009218A1"/>
    <w:rsid w:val="00921ECA"/>
    <w:rsid w:val="009221C7"/>
    <w:rsid w:val="00922715"/>
    <w:rsid w:val="00922727"/>
    <w:rsid w:val="00922B9D"/>
    <w:rsid w:val="00923209"/>
    <w:rsid w:val="0092354D"/>
    <w:rsid w:val="009239A6"/>
    <w:rsid w:val="00924015"/>
    <w:rsid w:val="0092402E"/>
    <w:rsid w:val="009242E6"/>
    <w:rsid w:val="009243F2"/>
    <w:rsid w:val="0092506A"/>
    <w:rsid w:val="00925771"/>
    <w:rsid w:val="00925B38"/>
    <w:rsid w:val="00926117"/>
    <w:rsid w:val="00926C3E"/>
    <w:rsid w:val="0092794B"/>
    <w:rsid w:val="00927C43"/>
    <w:rsid w:val="00927D4D"/>
    <w:rsid w:val="00930726"/>
    <w:rsid w:val="009309EC"/>
    <w:rsid w:val="00930E33"/>
    <w:rsid w:val="00931D48"/>
    <w:rsid w:val="00931DDF"/>
    <w:rsid w:val="00931FB2"/>
    <w:rsid w:val="0093239B"/>
    <w:rsid w:val="0093319F"/>
    <w:rsid w:val="009338FB"/>
    <w:rsid w:val="00933BB0"/>
    <w:rsid w:val="009350FD"/>
    <w:rsid w:val="0093573D"/>
    <w:rsid w:val="009358F7"/>
    <w:rsid w:val="0093590C"/>
    <w:rsid w:val="00935DE1"/>
    <w:rsid w:val="009360B3"/>
    <w:rsid w:val="009368EE"/>
    <w:rsid w:val="00936CCB"/>
    <w:rsid w:val="00937062"/>
    <w:rsid w:val="00937BFB"/>
    <w:rsid w:val="00940623"/>
    <w:rsid w:val="00940ADD"/>
    <w:rsid w:val="00940D1F"/>
    <w:rsid w:val="00940D81"/>
    <w:rsid w:val="00940D89"/>
    <w:rsid w:val="009416EA"/>
    <w:rsid w:val="009421F1"/>
    <w:rsid w:val="009422E0"/>
    <w:rsid w:val="0094253D"/>
    <w:rsid w:val="0094304A"/>
    <w:rsid w:val="00943286"/>
    <w:rsid w:val="0094333F"/>
    <w:rsid w:val="00943637"/>
    <w:rsid w:val="00943905"/>
    <w:rsid w:val="00944358"/>
    <w:rsid w:val="009443F9"/>
    <w:rsid w:val="00944863"/>
    <w:rsid w:val="00944875"/>
    <w:rsid w:val="00944A0F"/>
    <w:rsid w:val="00944CE6"/>
    <w:rsid w:val="0094587C"/>
    <w:rsid w:val="009459F3"/>
    <w:rsid w:val="00946025"/>
    <w:rsid w:val="00946057"/>
    <w:rsid w:val="009462B3"/>
    <w:rsid w:val="00946F94"/>
    <w:rsid w:val="0095014B"/>
    <w:rsid w:val="00950724"/>
    <w:rsid w:val="0095077D"/>
    <w:rsid w:val="009509DE"/>
    <w:rsid w:val="00950C07"/>
    <w:rsid w:val="009512DF"/>
    <w:rsid w:val="009512FA"/>
    <w:rsid w:val="00951EAC"/>
    <w:rsid w:val="00952688"/>
    <w:rsid w:val="00952919"/>
    <w:rsid w:val="00952C09"/>
    <w:rsid w:val="00953A86"/>
    <w:rsid w:val="00954115"/>
    <w:rsid w:val="0095429B"/>
    <w:rsid w:val="0095433D"/>
    <w:rsid w:val="00954D89"/>
    <w:rsid w:val="00954DDC"/>
    <w:rsid w:val="00955548"/>
    <w:rsid w:val="00955571"/>
    <w:rsid w:val="00955B02"/>
    <w:rsid w:val="00956916"/>
    <w:rsid w:val="00957047"/>
    <w:rsid w:val="00957702"/>
    <w:rsid w:val="009577BF"/>
    <w:rsid w:val="00957D65"/>
    <w:rsid w:val="00960138"/>
    <w:rsid w:val="00960655"/>
    <w:rsid w:val="00960EEB"/>
    <w:rsid w:val="009612C3"/>
    <w:rsid w:val="00961DC8"/>
    <w:rsid w:val="0096286B"/>
    <w:rsid w:val="00962E16"/>
    <w:rsid w:val="0096354A"/>
    <w:rsid w:val="009639FA"/>
    <w:rsid w:val="00963B0C"/>
    <w:rsid w:val="00963E39"/>
    <w:rsid w:val="00964370"/>
    <w:rsid w:val="009644CA"/>
    <w:rsid w:val="0096462E"/>
    <w:rsid w:val="00964A98"/>
    <w:rsid w:val="00965435"/>
    <w:rsid w:val="0096545A"/>
    <w:rsid w:val="009655E2"/>
    <w:rsid w:val="00965707"/>
    <w:rsid w:val="00965809"/>
    <w:rsid w:val="00965B94"/>
    <w:rsid w:val="00965F53"/>
    <w:rsid w:val="0096673B"/>
    <w:rsid w:val="009667BA"/>
    <w:rsid w:val="0096681C"/>
    <w:rsid w:val="009669D7"/>
    <w:rsid w:val="00967A32"/>
    <w:rsid w:val="00967B03"/>
    <w:rsid w:val="00970143"/>
    <w:rsid w:val="00970148"/>
    <w:rsid w:val="00971D86"/>
    <w:rsid w:val="0097267D"/>
    <w:rsid w:val="009729D9"/>
    <w:rsid w:val="0097336B"/>
    <w:rsid w:val="0097355C"/>
    <w:rsid w:val="00973D00"/>
    <w:rsid w:val="00974267"/>
    <w:rsid w:val="00974818"/>
    <w:rsid w:val="00974FA2"/>
    <w:rsid w:val="0097537B"/>
    <w:rsid w:val="00975603"/>
    <w:rsid w:val="009761CC"/>
    <w:rsid w:val="009763B6"/>
    <w:rsid w:val="0097692F"/>
    <w:rsid w:val="00976F52"/>
    <w:rsid w:val="00977143"/>
    <w:rsid w:val="00977E85"/>
    <w:rsid w:val="009801A8"/>
    <w:rsid w:val="00980518"/>
    <w:rsid w:val="00980BDD"/>
    <w:rsid w:val="009810CA"/>
    <w:rsid w:val="0098118A"/>
    <w:rsid w:val="00981218"/>
    <w:rsid w:val="0098123D"/>
    <w:rsid w:val="009812F3"/>
    <w:rsid w:val="00981A72"/>
    <w:rsid w:val="00981F23"/>
    <w:rsid w:val="00982A27"/>
    <w:rsid w:val="00982B8F"/>
    <w:rsid w:val="0098366E"/>
    <w:rsid w:val="00983989"/>
    <w:rsid w:val="00983A70"/>
    <w:rsid w:val="00983BEF"/>
    <w:rsid w:val="00983CD0"/>
    <w:rsid w:val="00983EA6"/>
    <w:rsid w:val="009844D4"/>
    <w:rsid w:val="0098595D"/>
    <w:rsid w:val="00985A4C"/>
    <w:rsid w:val="00985B3D"/>
    <w:rsid w:val="009863C2"/>
    <w:rsid w:val="009866E2"/>
    <w:rsid w:val="009867F8"/>
    <w:rsid w:val="00986C69"/>
    <w:rsid w:val="00986E76"/>
    <w:rsid w:val="00987017"/>
    <w:rsid w:val="00987114"/>
    <w:rsid w:val="0098725F"/>
    <w:rsid w:val="00987A25"/>
    <w:rsid w:val="00987CF7"/>
    <w:rsid w:val="00987E60"/>
    <w:rsid w:val="00987F41"/>
    <w:rsid w:val="009906E8"/>
    <w:rsid w:val="009907FE"/>
    <w:rsid w:val="00990CB8"/>
    <w:rsid w:val="009913F1"/>
    <w:rsid w:val="00991D0A"/>
    <w:rsid w:val="00991E2D"/>
    <w:rsid w:val="00992613"/>
    <w:rsid w:val="00992EFD"/>
    <w:rsid w:val="00993233"/>
    <w:rsid w:val="00993EB6"/>
    <w:rsid w:val="009940F8"/>
    <w:rsid w:val="00994591"/>
    <w:rsid w:val="00994FD0"/>
    <w:rsid w:val="009953CB"/>
    <w:rsid w:val="0099546C"/>
    <w:rsid w:val="0099548B"/>
    <w:rsid w:val="00995841"/>
    <w:rsid w:val="00995C7E"/>
    <w:rsid w:val="009962CE"/>
    <w:rsid w:val="00996606"/>
    <w:rsid w:val="00996C11"/>
    <w:rsid w:val="00996FDA"/>
    <w:rsid w:val="009A00D8"/>
    <w:rsid w:val="009A0584"/>
    <w:rsid w:val="009A0FA5"/>
    <w:rsid w:val="009A1734"/>
    <w:rsid w:val="009A1910"/>
    <w:rsid w:val="009A280C"/>
    <w:rsid w:val="009A31A3"/>
    <w:rsid w:val="009A34B1"/>
    <w:rsid w:val="009A378B"/>
    <w:rsid w:val="009A3EEE"/>
    <w:rsid w:val="009A3F0F"/>
    <w:rsid w:val="009A4308"/>
    <w:rsid w:val="009A46A1"/>
    <w:rsid w:val="009A4B3F"/>
    <w:rsid w:val="009A5189"/>
    <w:rsid w:val="009A5BE7"/>
    <w:rsid w:val="009A5EDE"/>
    <w:rsid w:val="009A5FD2"/>
    <w:rsid w:val="009A609F"/>
    <w:rsid w:val="009A642B"/>
    <w:rsid w:val="009A6534"/>
    <w:rsid w:val="009A6DFA"/>
    <w:rsid w:val="009A703B"/>
    <w:rsid w:val="009A74DD"/>
    <w:rsid w:val="009A7681"/>
    <w:rsid w:val="009A77D0"/>
    <w:rsid w:val="009A7FD8"/>
    <w:rsid w:val="009B01B5"/>
    <w:rsid w:val="009B05AD"/>
    <w:rsid w:val="009B0DAF"/>
    <w:rsid w:val="009B1C31"/>
    <w:rsid w:val="009B1CED"/>
    <w:rsid w:val="009B2721"/>
    <w:rsid w:val="009B30FC"/>
    <w:rsid w:val="009B3186"/>
    <w:rsid w:val="009B37EE"/>
    <w:rsid w:val="009B41D8"/>
    <w:rsid w:val="009B4291"/>
    <w:rsid w:val="009B45AF"/>
    <w:rsid w:val="009B4A15"/>
    <w:rsid w:val="009B4B8F"/>
    <w:rsid w:val="009B5856"/>
    <w:rsid w:val="009B5929"/>
    <w:rsid w:val="009B64FE"/>
    <w:rsid w:val="009B6503"/>
    <w:rsid w:val="009B6F73"/>
    <w:rsid w:val="009B71F7"/>
    <w:rsid w:val="009B7A70"/>
    <w:rsid w:val="009B7D98"/>
    <w:rsid w:val="009C0E25"/>
    <w:rsid w:val="009C0FE0"/>
    <w:rsid w:val="009C10E9"/>
    <w:rsid w:val="009C1ABB"/>
    <w:rsid w:val="009C23E7"/>
    <w:rsid w:val="009C254C"/>
    <w:rsid w:val="009C28CC"/>
    <w:rsid w:val="009C2E6F"/>
    <w:rsid w:val="009C2F6D"/>
    <w:rsid w:val="009C4891"/>
    <w:rsid w:val="009C4D8C"/>
    <w:rsid w:val="009C4F14"/>
    <w:rsid w:val="009C4F20"/>
    <w:rsid w:val="009C687C"/>
    <w:rsid w:val="009C6BCF"/>
    <w:rsid w:val="009C78A4"/>
    <w:rsid w:val="009C7B02"/>
    <w:rsid w:val="009C7EA9"/>
    <w:rsid w:val="009D0A68"/>
    <w:rsid w:val="009D199F"/>
    <w:rsid w:val="009D1BFC"/>
    <w:rsid w:val="009D1C2F"/>
    <w:rsid w:val="009D1DD3"/>
    <w:rsid w:val="009D2F48"/>
    <w:rsid w:val="009D2FE6"/>
    <w:rsid w:val="009D30BF"/>
    <w:rsid w:val="009D3160"/>
    <w:rsid w:val="009D4FD1"/>
    <w:rsid w:val="009D51F4"/>
    <w:rsid w:val="009D53CF"/>
    <w:rsid w:val="009D5638"/>
    <w:rsid w:val="009D575E"/>
    <w:rsid w:val="009D5BBC"/>
    <w:rsid w:val="009D5F8A"/>
    <w:rsid w:val="009D6831"/>
    <w:rsid w:val="009D7588"/>
    <w:rsid w:val="009E080D"/>
    <w:rsid w:val="009E09D7"/>
    <w:rsid w:val="009E0B94"/>
    <w:rsid w:val="009E0C4E"/>
    <w:rsid w:val="009E13D6"/>
    <w:rsid w:val="009E1917"/>
    <w:rsid w:val="009E1ABF"/>
    <w:rsid w:val="009E2072"/>
    <w:rsid w:val="009E2093"/>
    <w:rsid w:val="009E231C"/>
    <w:rsid w:val="009E338F"/>
    <w:rsid w:val="009E37AB"/>
    <w:rsid w:val="009E3FF3"/>
    <w:rsid w:val="009E41C9"/>
    <w:rsid w:val="009E4383"/>
    <w:rsid w:val="009E4876"/>
    <w:rsid w:val="009E4AD0"/>
    <w:rsid w:val="009E4C8E"/>
    <w:rsid w:val="009E5607"/>
    <w:rsid w:val="009E614A"/>
    <w:rsid w:val="009E66E8"/>
    <w:rsid w:val="009E69D4"/>
    <w:rsid w:val="009E7661"/>
    <w:rsid w:val="009E77CC"/>
    <w:rsid w:val="009E78F0"/>
    <w:rsid w:val="009E7B89"/>
    <w:rsid w:val="009F0185"/>
    <w:rsid w:val="009F039F"/>
    <w:rsid w:val="009F03A4"/>
    <w:rsid w:val="009F069F"/>
    <w:rsid w:val="009F0868"/>
    <w:rsid w:val="009F10A7"/>
    <w:rsid w:val="009F16B6"/>
    <w:rsid w:val="009F30D6"/>
    <w:rsid w:val="009F3939"/>
    <w:rsid w:val="009F39D4"/>
    <w:rsid w:val="009F3EB0"/>
    <w:rsid w:val="009F4696"/>
    <w:rsid w:val="009F4707"/>
    <w:rsid w:val="009F4914"/>
    <w:rsid w:val="009F4B48"/>
    <w:rsid w:val="009F5900"/>
    <w:rsid w:val="009F5F10"/>
    <w:rsid w:val="009F600C"/>
    <w:rsid w:val="009F6231"/>
    <w:rsid w:val="009F6D27"/>
    <w:rsid w:val="009F716D"/>
    <w:rsid w:val="00A01373"/>
    <w:rsid w:val="00A0180B"/>
    <w:rsid w:val="00A01F31"/>
    <w:rsid w:val="00A0220A"/>
    <w:rsid w:val="00A024C9"/>
    <w:rsid w:val="00A04339"/>
    <w:rsid w:val="00A0471A"/>
    <w:rsid w:val="00A04B9B"/>
    <w:rsid w:val="00A050D4"/>
    <w:rsid w:val="00A05160"/>
    <w:rsid w:val="00A052CF"/>
    <w:rsid w:val="00A053CA"/>
    <w:rsid w:val="00A05863"/>
    <w:rsid w:val="00A05B1F"/>
    <w:rsid w:val="00A0619E"/>
    <w:rsid w:val="00A0638A"/>
    <w:rsid w:val="00A063CF"/>
    <w:rsid w:val="00A066DE"/>
    <w:rsid w:val="00A0698C"/>
    <w:rsid w:val="00A070F6"/>
    <w:rsid w:val="00A07523"/>
    <w:rsid w:val="00A075F3"/>
    <w:rsid w:val="00A07B91"/>
    <w:rsid w:val="00A10914"/>
    <w:rsid w:val="00A10DEB"/>
    <w:rsid w:val="00A12077"/>
    <w:rsid w:val="00A12379"/>
    <w:rsid w:val="00A12F74"/>
    <w:rsid w:val="00A13A9A"/>
    <w:rsid w:val="00A13B80"/>
    <w:rsid w:val="00A13F0B"/>
    <w:rsid w:val="00A1454A"/>
    <w:rsid w:val="00A1481E"/>
    <w:rsid w:val="00A14963"/>
    <w:rsid w:val="00A15488"/>
    <w:rsid w:val="00A162AE"/>
    <w:rsid w:val="00A16580"/>
    <w:rsid w:val="00A1665A"/>
    <w:rsid w:val="00A17AC7"/>
    <w:rsid w:val="00A17D7E"/>
    <w:rsid w:val="00A20011"/>
    <w:rsid w:val="00A20E1C"/>
    <w:rsid w:val="00A20F3E"/>
    <w:rsid w:val="00A212E2"/>
    <w:rsid w:val="00A215E1"/>
    <w:rsid w:val="00A21B5E"/>
    <w:rsid w:val="00A2213E"/>
    <w:rsid w:val="00A22246"/>
    <w:rsid w:val="00A22882"/>
    <w:rsid w:val="00A228DD"/>
    <w:rsid w:val="00A23BE9"/>
    <w:rsid w:val="00A24244"/>
    <w:rsid w:val="00A252E6"/>
    <w:rsid w:val="00A25513"/>
    <w:rsid w:val="00A25554"/>
    <w:rsid w:val="00A25CF3"/>
    <w:rsid w:val="00A261C0"/>
    <w:rsid w:val="00A263A7"/>
    <w:rsid w:val="00A26742"/>
    <w:rsid w:val="00A26BF5"/>
    <w:rsid w:val="00A273CB"/>
    <w:rsid w:val="00A27B20"/>
    <w:rsid w:val="00A30120"/>
    <w:rsid w:val="00A3037D"/>
    <w:rsid w:val="00A30B92"/>
    <w:rsid w:val="00A30F49"/>
    <w:rsid w:val="00A30FD5"/>
    <w:rsid w:val="00A30FDE"/>
    <w:rsid w:val="00A31627"/>
    <w:rsid w:val="00A31781"/>
    <w:rsid w:val="00A32DC6"/>
    <w:rsid w:val="00A331E1"/>
    <w:rsid w:val="00A33397"/>
    <w:rsid w:val="00A341C9"/>
    <w:rsid w:val="00A3435A"/>
    <w:rsid w:val="00A347F4"/>
    <w:rsid w:val="00A34B3D"/>
    <w:rsid w:val="00A34FBF"/>
    <w:rsid w:val="00A350AC"/>
    <w:rsid w:val="00A3582B"/>
    <w:rsid w:val="00A35BE0"/>
    <w:rsid w:val="00A36760"/>
    <w:rsid w:val="00A368BE"/>
    <w:rsid w:val="00A36A84"/>
    <w:rsid w:val="00A36EA1"/>
    <w:rsid w:val="00A36F98"/>
    <w:rsid w:val="00A40731"/>
    <w:rsid w:val="00A41A67"/>
    <w:rsid w:val="00A42769"/>
    <w:rsid w:val="00A42CA8"/>
    <w:rsid w:val="00A42D0C"/>
    <w:rsid w:val="00A42E7E"/>
    <w:rsid w:val="00A4354F"/>
    <w:rsid w:val="00A43689"/>
    <w:rsid w:val="00A43CEE"/>
    <w:rsid w:val="00A4401E"/>
    <w:rsid w:val="00A44138"/>
    <w:rsid w:val="00A448C6"/>
    <w:rsid w:val="00A4504D"/>
    <w:rsid w:val="00A45112"/>
    <w:rsid w:val="00A45552"/>
    <w:rsid w:val="00A45837"/>
    <w:rsid w:val="00A461F0"/>
    <w:rsid w:val="00A46DC4"/>
    <w:rsid w:val="00A506A2"/>
    <w:rsid w:val="00A50BC7"/>
    <w:rsid w:val="00A50E50"/>
    <w:rsid w:val="00A50EDD"/>
    <w:rsid w:val="00A50F67"/>
    <w:rsid w:val="00A51016"/>
    <w:rsid w:val="00A51305"/>
    <w:rsid w:val="00A5149D"/>
    <w:rsid w:val="00A51598"/>
    <w:rsid w:val="00A51F31"/>
    <w:rsid w:val="00A5227B"/>
    <w:rsid w:val="00A526FD"/>
    <w:rsid w:val="00A52816"/>
    <w:rsid w:val="00A529F9"/>
    <w:rsid w:val="00A52EE3"/>
    <w:rsid w:val="00A53006"/>
    <w:rsid w:val="00A53988"/>
    <w:rsid w:val="00A53CED"/>
    <w:rsid w:val="00A53D58"/>
    <w:rsid w:val="00A53EA3"/>
    <w:rsid w:val="00A53FAC"/>
    <w:rsid w:val="00A5448F"/>
    <w:rsid w:val="00A546AE"/>
    <w:rsid w:val="00A547FB"/>
    <w:rsid w:val="00A549B7"/>
    <w:rsid w:val="00A54B8D"/>
    <w:rsid w:val="00A54D2B"/>
    <w:rsid w:val="00A55591"/>
    <w:rsid w:val="00A5591A"/>
    <w:rsid w:val="00A55B3A"/>
    <w:rsid w:val="00A55C0D"/>
    <w:rsid w:val="00A5638A"/>
    <w:rsid w:val="00A56CF4"/>
    <w:rsid w:val="00A57759"/>
    <w:rsid w:val="00A57C11"/>
    <w:rsid w:val="00A600ED"/>
    <w:rsid w:val="00A600FA"/>
    <w:rsid w:val="00A604F2"/>
    <w:rsid w:val="00A60963"/>
    <w:rsid w:val="00A60F1C"/>
    <w:rsid w:val="00A60FAA"/>
    <w:rsid w:val="00A61BF7"/>
    <w:rsid w:val="00A62121"/>
    <w:rsid w:val="00A62698"/>
    <w:rsid w:val="00A62BC8"/>
    <w:rsid w:val="00A63927"/>
    <w:rsid w:val="00A63B0D"/>
    <w:rsid w:val="00A63C95"/>
    <w:rsid w:val="00A6438C"/>
    <w:rsid w:val="00A64D6E"/>
    <w:rsid w:val="00A64E18"/>
    <w:rsid w:val="00A64FDB"/>
    <w:rsid w:val="00A661DF"/>
    <w:rsid w:val="00A66361"/>
    <w:rsid w:val="00A66378"/>
    <w:rsid w:val="00A670F3"/>
    <w:rsid w:val="00A67C14"/>
    <w:rsid w:val="00A67F6B"/>
    <w:rsid w:val="00A704F4"/>
    <w:rsid w:val="00A7096D"/>
    <w:rsid w:val="00A70E9A"/>
    <w:rsid w:val="00A71294"/>
    <w:rsid w:val="00A71880"/>
    <w:rsid w:val="00A7259A"/>
    <w:rsid w:val="00A72FCE"/>
    <w:rsid w:val="00A7327F"/>
    <w:rsid w:val="00A7374A"/>
    <w:rsid w:val="00A74619"/>
    <w:rsid w:val="00A753C7"/>
    <w:rsid w:val="00A764F1"/>
    <w:rsid w:val="00A769EC"/>
    <w:rsid w:val="00A76B84"/>
    <w:rsid w:val="00A76BE5"/>
    <w:rsid w:val="00A773B6"/>
    <w:rsid w:val="00A7743D"/>
    <w:rsid w:val="00A775E0"/>
    <w:rsid w:val="00A778CE"/>
    <w:rsid w:val="00A77FE1"/>
    <w:rsid w:val="00A80702"/>
    <w:rsid w:val="00A8095F"/>
    <w:rsid w:val="00A816CD"/>
    <w:rsid w:val="00A81F02"/>
    <w:rsid w:val="00A8224A"/>
    <w:rsid w:val="00A839F0"/>
    <w:rsid w:val="00A83CB7"/>
    <w:rsid w:val="00A84076"/>
    <w:rsid w:val="00A841D5"/>
    <w:rsid w:val="00A84AD1"/>
    <w:rsid w:val="00A850AD"/>
    <w:rsid w:val="00A85772"/>
    <w:rsid w:val="00A85DDE"/>
    <w:rsid w:val="00A86455"/>
    <w:rsid w:val="00A86924"/>
    <w:rsid w:val="00A8775C"/>
    <w:rsid w:val="00A90C64"/>
    <w:rsid w:val="00A91296"/>
    <w:rsid w:val="00A91547"/>
    <w:rsid w:val="00A91CB3"/>
    <w:rsid w:val="00A92021"/>
    <w:rsid w:val="00A92932"/>
    <w:rsid w:val="00A92FAF"/>
    <w:rsid w:val="00A93A9B"/>
    <w:rsid w:val="00A93AAC"/>
    <w:rsid w:val="00A940B4"/>
    <w:rsid w:val="00A94427"/>
    <w:rsid w:val="00A94654"/>
    <w:rsid w:val="00A95ED3"/>
    <w:rsid w:val="00A964EC"/>
    <w:rsid w:val="00A968B9"/>
    <w:rsid w:val="00A96ABA"/>
    <w:rsid w:val="00A96E34"/>
    <w:rsid w:val="00A96F84"/>
    <w:rsid w:val="00A973F9"/>
    <w:rsid w:val="00A977CF"/>
    <w:rsid w:val="00A97AC2"/>
    <w:rsid w:val="00A97E46"/>
    <w:rsid w:val="00AA08BF"/>
    <w:rsid w:val="00AA0E9D"/>
    <w:rsid w:val="00AA0F3E"/>
    <w:rsid w:val="00AA100E"/>
    <w:rsid w:val="00AA136B"/>
    <w:rsid w:val="00AA1709"/>
    <w:rsid w:val="00AA232A"/>
    <w:rsid w:val="00AA239C"/>
    <w:rsid w:val="00AA258D"/>
    <w:rsid w:val="00AA2E64"/>
    <w:rsid w:val="00AA2F21"/>
    <w:rsid w:val="00AA2F80"/>
    <w:rsid w:val="00AA34D6"/>
    <w:rsid w:val="00AA370A"/>
    <w:rsid w:val="00AA449D"/>
    <w:rsid w:val="00AA4737"/>
    <w:rsid w:val="00AA485C"/>
    <w:rsid w:val="00AA4C40"/>
    <w:rsid w:val="00AA525A"/>
    <w:rsid w:val="00AA6403"/>
    <w:rsid w:val="00AA65BF"/>
    <w:rsid w:val="00AA689C"/>
    <w:rsid w:val="00AA7533"/>
    <w:rsid w:val="00AA7BE6"/>
    <w:rsid w:val="00AB05C5"/>
    <w:rsid w:val="00AB0B0E"/>
    <w:rsid w:val="00AB0FB4"/>
    <w:rsid w:val="00AB102A"/>
    <w:rsid w:val="00AB1098"/>
    <w:rsid w:val="00AB18FF"/>
    <w:rsid w:val="00AB1978"/>
    <w:rsid w:val="00AB1D02"/>
    <w:rsid w:val="00AB254A"/>
    <w:rsid w:val="00AB2990"/>
    <w:rsid w:val="00AB2AD5"/>
    <w:rsid w:val="00AB2BAC"/>
    <w:rsid w:val="00AB2D9A"/>
    <w:rsid w:val="00AB2F5F"/>
    <w:rsid w:val="00AB321F"/>
    <w:rsid w:val="00AB3461"/>
    <w:rsid w:val="00AB40F6"/>
    <w:rsid w:val="00AB4F50"/>
    <w:rsid w:val="00AB53FE"/>
    <w:rsid w:val="00AB54BB"/>
    <w:rsid w:val="00AB567B"/>
    <w:rsid w:val="00AB57AA"/>
    <w:rsid w:val="00AB5A8F"/>
    <w:rsid w:val="00AB63A2"/>
    <w:rsid w:val="00AC0774"/>
    <w:rsid w:val="00AC0F78"/>
    <w:rsid w:val="00AC23DB"/>
    <w:rsid w:val="00AC2639"/>
    <w:rsid w:val="00AC3386"/>
    <w:rsid w:val="00AC390C"/>
    <w:rsid w:val="00AC3A70"/>
    <w:rsid w:val="00AC3B10"/>
    <w:rsid w:val="00AC43EA"/>
    <w:rsid w:val="00AC45AB"/>
    <w:rsid w:val="00AC46AC"/>
    <w:rsid w:val="00AC46B9"/>
    <w:rsid w:val="00AC5807"/>
    <w:rsid w:val="00AC598C"/>
    <w:rsid w:val="00AC5C14"/>
    <w:rsid w:val="00AC5CC1"/>
    <w:rsid w:val="00AC6020"/>
    <w:rsid w:val="00AC66D7"/>
    <w:rsid w:val="00AC6757"/>
    <w:rsid w:val="00AC7207"/>
    <w:rsid w:val="00AC777A"/>
    <w:rsid w:val="00AC79F1"/>
    <w:rsid w:val="00AC7CB4"/>
    <w:rsid w:val="00AD00A9"/>
    <w:rsid w:val="00AD08A1"/>
    <w:rsid w:val="00AD0A7D"/>
    <w:rsid w:val="00AD15CD"/>
    <w:rsid w:val="00AD19DF"/>
    <w:rsid w:val="00AD239C"/>
    <w:rsid w:val="00AD2414"/>
    <w:rsid w:val="00AD2A2A"/>
    <w:rsid w:val="00AD2AE7"/>
    <w:rsid w:val="00AD2CCE"/>
    <w:rsid w:val="00AD304C"/>
    <w:rsid w:val="00AD3D11"/>
    <w:rsid w:val="00AD428A"/>
    <w:rsid w:val="00AD49B2"/>
    <w:rsid w:val="00AD4A51"/>
    <w:rsid w:val="00AD504D"/>
    <w:rsid w:val="00AD5650"/>
    <w:rsid w:val="00AD5666"/>
    <w:rsid w:val="00AD5996"/>
    <w:rsid w:val="00AD5A9E"/>
    <w:rsid w:val="00AD64CA"/>
    <w:rsid w:val="00AD653E"/>
    <w:rsid w:val="00AD66FC"/>
    <w:rsid w:val="00AD69FC"/>
    <w:rsid w:val="00AD6C8A"/>
    <w:rsid w:val="00AD7092"/>
    <w:rsid w:val="00AD7832"/>
    <w:rsid w:val="00AD7C10"/>
    <w:rsid w:val="00AE0543"/>
    <w:rsid w:val="00AE0819"/>
    <w:rsid w:val="00AE0A37"/>
    <w:rsid w:val="00AE0BFD"/>
    <w:rsid w:val="00AE0C7E"/>
    <w:rsid w:val="00AE0DF5"/>
    <w:rsid w:val="00AE11BB"/>
    <w:rsid w:val="00AE1299"/>
    <w:rsid w:val="00AE217E"/>
    <w:rsid w:val="00AE22A5"/>
    <w:rsid w:val="00AE22C1"/>
    <w:rsid w:val="00AE273D"/>
    <w:rsid w:val="00AE4B9D"/>
    <w:rsid w:val="00AE51ED"/>
    <w:rsid w:val="00AE5B89"/>
    <w:rsid w:val="00AE6205"/>
    <w:rsid w:val="00AE6574"/>
    <w:rsid w:val="00AE68AF"/>
    <w:rsid w:val="00AE692A"/>
    <w:rsid w:val="00AE69E7"/>
    <w:rsid w:val="00AE6D96"/>
    <w:rsid w:val="00AE77F3"/>
    <w:rsid w:val="00AE7826"/>
    <w:rsid w:val="00AE7A40"/>
    <w:rsid w:val="00AF0331"/>
    <w:rsid w:val="00AF0AAC"/>
    <w:rsid w:val="00AF0D08"/>
    <w:rsid w:val="00AF138E"/>
    <w:rsid w:val="00AF1773"/>
    <w:rsid w:val="00AF2109"/>
    <w:rsid w:val="00AF257E"/>
    <w:rsid w:val="00AF2916"/>
    <w:rsid w:val="00AF2CA6"/>
    <w:rsid w:val="00AF3000"/>
    <w:rsid w:val="00AF3069"/>
    <w:rsid w:val="00AF31DC"/>
    <w:rsid w:val="00AF31F6"/>
    <w:rsid w:val="00AF3266"/>
    <w:rsid w:val="00AF32B7"/>
    <w:rsid w:val="00AF3589"/>
    <w:rsid w:val="00AF4351"/>
    <w:rsid w:val="00AF48D9"/>
    <w:rsid w:val="00AF4D14"/>
    <w:rsid w:val="00AF4DA6"/>
    <w:rsid w:val="00AF4F79"/>
    <w:rsid w:val="00AF50CF"/>
    <w:rsid w:val="00AF5547"/>
    <w:rsid w:val="00AF5724"/>
    <w:rsid w:val="00AF5B6E"/>
    <w:rsid w:val="00AF6088"/>
    <w:rsid w:val="00AF7000"/>
    <w:rsid w:val="00AF7234"/>
    <w:rsid w:val="00AF786E"/>
    <w:rsid w:val="00AF7963"/>
    <w:rsid w:val="00AF79F0"/>
    <w:rsid w:val="00AF7A4A"/>
    <w:rsid w:val="00B002EE"/>
    <w:rsid w:val="00B00678"/>
    <w:rsid w:val="00B0086A"/>
    <w:rsid w:val="00B008EF"/>
    <w:rsid w:val="00B00E42"/>
    <w:rsid w:val="00B01761"/>
    <w:rsid w:val="00B01FE1"/>
    <w:rsid w:val="00B022E4"/>
    <w:rsid w:val="00B0350A"/>
    <w:rsid w:val="00B03BF6"/>
    <w:rsid w:val="00B03F2D"/>
    <w:rsid w:val="00B03F55"/>
    <w:rsid w:val="00B0446D"/>
    <w:rsid w:val="00B04C5C"/>
    <w:rsid w:val="00B053C4"/>
    <w:rsid w:val="00B05B39"/>
    <w:rsid w:val="00B062D9"/>
    <w:rsid w:val="00B062DA"/>
    <w:rsid w:val="00B06588"/>
    <w:rsid w:val="00B07246"/>
    <w:rsid w:val="00B073CA"/>
    <w:rsid w:val="00B07579"/>
    <w:rsid w:val="00B077BC"/>
    <w:rsid w:val="00B10085"/>
    <w:rsid w:val="00B10324"/>
    <w:rsid w:val="00B107C7"/>
    <w:rsid w:val="00B110E1"/>
    <w:rsid w:val="00B111BC"/>
    <w:rsid w:val="00B11DE8"/>
    <w:rsid w:val="00B12236"/>
    <w:rsid w:val="00B1263B"/>
    <w:rsid w:val="00B12E90"/>
    <w:rsid w:val="00B130DF"/>
    <w:rsid w:val="00B13459"/>
    <w:rsid w:val="00B1367E"/>
    <w:rsid w:val="00B138FB"/>
    <w:rsid w:val="00B1409E"/>
    <w:rsid w:val="00B140F3"/>
    <w:rsid w:val="00B14333"/>
    <w:rsid w:val="00B146AE"/>
    <w:rsid w:val="00B14E21"/>
    <w:rsid w:val="00B15027"/>
    <w:rsid w:val="00B152BE"/>
    <w:rsid w:val="00B1599D"/>
    <w:rsid w:val="00B162C9"/>
    <w:rsid w:val="00B16589"/>
    <w:rsid w:val="00B165C0"/>
    <w:rsid w:val="00B16A27"/>
    <w:rsid w:val="00B16D3D"/>
    <w:rsid w:val="00B176A5"/>
    <w:rsid w:val="00B17879"/>
    <w:rsid w:val="00B201B0"/>
    <w:rsid w:val="00B20677"/>
    <w:rsid w:val="00B2139E"/>
    <w:rsid w:val="00B21846"/>
    <w:rsid w:val="00B2198B"/>
    <w:rsid w:val="00B21DBC"/>
    <w:rsid w:val="00B21FC5"/>
    <w:rsid w:val="00B220B2"/>
    <w:rsid w:val="00B2223F"/>
    <w:rsid w:val="00B22C32"/>
    <w:rsid w:val="00B22CA7"/>
    <w:rsid w:val="00B23855"/>
    <w:rsid w:val="00B2479F"/>
    <w:rsid w:val="00B24B51"/>
    <w:rsid w:val="00B24C91"/>
    <w:rsid w:val="00B25359"/>
    <w:rsid w:val="00B2558D"/>
    <w:rsid w:val="00B25AA3"/>
    <w:rsid w:val="00B260A2"/>
    <w:rsid w:val="00B26611"/>
    <w:rsid w:val="00B27666"/>
    <w:rsid w:val="00B27B17"/>
    <w:rsid w:val="00B27C46"/>
    <w:rsid w:val="00B30040"/>
    <w:rsid w:val="00B31640"/>
    <w:rsid w:val="00B316A1"/>
    <w:rsid w:val="00B3175D"/>
    <w:rsid w:val="00B31907"/>
    <w:rsid w:val="00B32420"/>
    <w:rsid w:val="00B327D3"/>
    <w:rsid w:val="00B328DB"/>
    <w:rsid w:val="00B33C38"/>
    <w:rsid w:val="00B342FE"/>
    <w:rsid w:val="00B34ADE"/>
    <w:rsid w:val="00B352A2"/>
    <w:rsid w:val="00B35E7B"/>
    <w:rsid w:val="00B369AC"/>
    <w:rsid w:val="00B36A91"/>
    <w:rsid w:val="00B36C51"/>
    <w:rsid w:val="00B37551"/>
    <w:rsid w:val="00B37BE3"/>
    <w:rsid w:val="00B40AD0"/>
    <w:rsid w:val="00B41153"/>
    <w:rsid w:val="00B42020"/>
    <w:rsid w:val="00B4220D"/>
    <w:rsid w:val="00B429C1"/>
    <w:rsid w:val="00B429CA"/>
    <w:rsid w:val="00B42A72"/>
    <w:rsid w:val="00B42F38"/>
    <w:rsid w:val="00B43203"/>
    <w:rsid w:val="00B43628"/>
    <w:rsid w:val="00B43D75"/>
    <w:rsid w:val="00B444E9"/>
    <w:rsid w:val="00B44965"/>
    <w:rsid w:val="00B46968"/>
    <w:rsid w:val="00B46D6E"/>
    <w:rsid w:val="00B47500"/>
    <w:rsid w:val="00B5085D"/>
    <w:rsid w:val="00B50BB4"/>
    <w:rsid w:val="00B5142B"/>
    <w:rsid w:val="00B51EC0"/>
    <w:rsid w:val="00B526DA"/>
    <w:rsid w:val="00B5298C"/>
    <w:rsid w:val="00B53038"/>
    <w:rsid w:val="00B531CA"/>
    <w:rsid w:val="00B536BA"/>
    <w:rsid w:val="00B555E2"/>
    <w:rsid w:val="00B55B83"/>
    <w:rsid w:val="00B566C3"/>
    <w:rsid w:val="00B56E68"/>
    <w:rsid w:val="00B5704D"/>
    <w:rsid w:val="00B57459"/>
    <w:rsid w:val="00B5797B"/>
    <w:rsid w:val="00B57ACC"/>
    <w:rsid w:val="00B57C4C"/>
    <w:rsid w:val="00B57C6D"/>
    <w:rsid w:val="00B6044B"/>
    <w:rsid w:val="00B60489"/>
    <w:rsid w:val="00B6072C"/>
    <w:rsid w:val="00B60744"/>
    <w:rsid w:val="00B61B6E"/>
    <w:rsid w:val="00B63799"/>
    <w:rsid w:val="00B63FC1"/>
    <w:rsid w:val="00B650AE"/>
    <w:rsid w:val="00B6579A"/>
    <w:rsid w:val="00B65835"/>
    <w:rsid w:val="00B65D06"/>
    <w:rsid w:val="00B65D35"/>
    <w:rsid w:val="00B6629D"/>
    <w:rsid w:val="00B6761E"/>
    <w:rsid w:val="00B6799D"/>
    <w:rsid w:val="00B70EDE"/>
    <w:rsid w:val="00B7228D"/>
    <w:rsid w:val="00B73414"/>
    <w:rsid w:val="00B73D27"/>
    <w:rsid w:val="00B73ED8"/>
    <w:rsid w:val="00B744D9"/>
    <w:rsid w:val="00B74540"/>
    <w:rsid w:val="00B74C8B"/>
    <w:rsid w:val="00B750D0"/>
    <w:rsid w:val="00B757EB"/>
    <w:rsid w:val="00B75B6B"/>
    <w:rsid w:val="00B75BCF"/>
    <w:rsid w:val="00B75F09"/>
    <w:rsid w:val="00B76022"/>
    <w:rsid w:val="00B76832"/>
    <w:rsid w:val="00B76EDE"/>
    <w:rsid w:val="00B77248"/>
    <w:rsid w:val="00B7727D"/>
    <w:rsid w:val="00B77318"/>
    <w:rsid w:val="00B77EBD"/>
    <w:rsid w:val="00B80253"/>
    <w:rsid w:val="00B8083A"/>
    <w:rsid w:val="00B80970"/>
    <w:rsid w:val="00B80E32"/>
    <w:rsid w:val="00B81654"/>
    <w:rsid w:val="00B817B9"/>
    <w:rsid w:val="00B81959"/>
    <w:rsid w:val="00B81FD6"/>
    <w:rsid w:val="00B8235E"/>
    <w:rsid w:val="00B827C4"/>
    <w:rsid w:val="00B833D6"/>
    <w:rsid w:val="00B83B46"/>
    <w:rsid w:val="00B83B74"/>
    <w:rsid w:val="00B8493D"/>
    <w:rsid w:val="00B85006"/>
    <w:rsid w:val="00B85AB9"/>
    <w:rsid w:val="00B86352"/>
    <w:rsid w:val="00B863D9"/>
    <w:rsid w:val="00B869E2"/>
    <w:rsid w:val="00B87386"/>
    <w:rsid w:val="00B876E0"/>
    <w:rsid w:val="00B87A25"/>
    <w:rsid w:val="00B90CAE"/>
    <w:rsid w:val="00B917A4"/>
    <w:rsid w:val="00B9204C"/>
    <w:rsid w:val="00B92201"/>
    <w:rsid w:val="00B927B5"/>
    <w:rsid w:val="00B928E6"/>
    <w:rsid w:val="00B9375B"/>
    <w:rsid w:val="00B93E05"/>
    <w:rsid w:val="00B93E18"/>
    <w:rsid w:val="00B93F5F"/>
    <w:rsid w:val="00B94159"/>
    <w:rsid w:val="00B94606"/>
    <w:rsid w:val="00B94B51"/>
    <w:rsid w:val="00B9501C"/>
    <w:rsid w:val="00B951D2"/>
    <w:rsid w:val="00B95578"/>
    <w:rsid w:val="00B97093"/>
    <w:rsid w:val="00B97097"/>
    <w:rsid w:val="00B97E0B"/>
    <w:rsid w:val="00BA019D"/>
    <w:rsid w:val="00BA0860"/>
    <w:rsid w:val="00BA092B"/>
    <w:rsid w:val="00BA11F9"/>
    <w:rsid w:val="00BA1754"/>
    <w:rsid w:val="00BA25BB"/>
    <w:rsid w:val="00BA280D"/>
    <w:rsid w:val="00BA3040"/>
    <w:rsid w:val="00BA33A2"/>
    <w:rsid w:val="00BA36E5"/>
    <w:rsid w:val="00BA4716"/>
    <w:rsid w:val="00BA49CD"/>
    <w:rsid w:val="00BA5299"/>
    <w:rsid w:val="00BA5674"/>
    <w:rsid w:val="00BA573F"/>
    <w:rsid w:val="00BA588F"/>
    <w:rsid w:val="00BA5FC3"/>
    <w:rsid w:val="00BA61F0"/>
    <w:rsid w:val="00BA64FA"/>
    <w:rsid w:val="00BA6B34"/>
    <w:rsid w:val="00BA6EE6"/>
    <w:rsid w:val="00BA6F50"/>
    <w:rsid w:val="00BA7C5D"/>
    <w:rsid w:val="00BA7F80"/>
    <w:rsid w:val="00BB0CA2"/>
    <w:rsid w:val="00BB16FC"/>
    <w:rsid w:val="00BB1B38"/>
    <w:rsid w:val="00BB1FB6"/>
    <w:rsid w:val="00BB2726"/>
    <w:rsid w:val="00BB38FC"/>
    <w:rsid w:val="00BB3E87"/>
    <w:rsid w:val="00BB4281"/>
    <w:rsid w:val="00BB5080"/>
    <w:rsid w:val="00BB533A"/>
    <w:rsid w:val="00BB5D8C"/>
    <w:rsid w:val="00BB6644"/>
    <w:rsid w:val="00BB6B33"/>
    <w:rsid w:val="00BB7728"/>
    <w:rsid w:val="00BB7E50"/>
    <w:rsid w:val="00BC03E2"/>
    <w:rsid w:val="00BC09AF"/>
    <w:rsid w:val="00BC1451"/>
    <w:rsid w:val="00BC1862"/>
    <w:rsid w:val="00BC2326"/>
    <w:rsid w:val="00BC272F"/>
    <w:rsid w:val="00BC297C"/>
    <w:rsid w:val="00BC2A68"/>
    <w:rsid w:val="00BC2D75"/>
    <w:rsid w:val="00BC3170"/>
    <w:rsid w:val="00BC36A7"/>
    <w:rsid w:val="00BC3BAC"/>
    <w:rsid w:val="00BC72F7"/>
    <w:rsid w:val="00BC75B8"/>
    <w:rsid w:val="00BC795F"/>
    <w:rsid w:val="00BD00D2"/>
    <w:rsid w:val="00BD0F02"/>
    <w:rsid w:val="00BD14AC"/>
    <w:rsid w:val="00BD1DC4"/>
    <w:rsid w:val="00BD27A3"/>
    <w:rsid w:val="00BD2B04"/>
    <w:rsid w:val="00BD2B40"/>
    <w:rsid w:val="00BD2EAD"/>
    <w:rsid w:val="00BD3088"/>
    <w:rsid w:val="00BD350A"/>
    <w:rsid w:val="00BD380A"/>
    <w:rsid w:val="00BD402D"/>
    <w:rsid w:val="00BD5972"/>
    <w:rsid w:val="00BD5ECD"/>
    <w:rsid w:val="00BD5ED6"/>
    <w:rsid w:val="00BD61C2"/>
    <w:rsid w:val="00BD6302"/>
    <w:rsid w:val="00BD660A"/>
    <w:rsid w:val="00BD6DE9"/>
    <w:rsid w:val="00BD7137"/>
    <w:rsid w:val="00BD71E7"/>
    <w:rsid w:val="00BD73C6"/>
    <w:rsid w:val="00BD79B1"/>
    <w:rsid w:val="00BD7D3E"/>
    <w:rsid w:val="00BE03FC"/>
    <w:rsid w:val="00BE1072"/>
    <w:rsid w:val="00BE15AF"/>
    <w:rsid w:val="00BE169E"/>
    <w:rsid w:val="00BE17F8"/>
    <w:rsid w:val="00BE1C58"/>
    <w:rsid w:val="00BE1CA7"/>
    <w:rsid w:val="00BE25E1"/>
    <w:rsid w:val="00BE2A39"/>
    <w:rsid w:val="00BE2EF7"/>
    <w:rsid w:val="00BE318E"/>
    <w:rsid w:val="00BE34F6"/>
    <w:rsid w:val="00BE3EE0"/>
    <w:rsid w:val="00BE427C"/>
    <w:rsid w:val="00BE4417"/>
    <w:rsid w:val="00BE5913"/>
    <w:rsid w:val="00BE6F2E"/>
    <w:rsid w:val="00BE7155"/>
    <w:rsid w:val="00BE71D5"/>
    <w:rsid w:val="00BE7810"/>
    <w:rsid w:val="00BF0278"/>
    <w:rsid w:val="00BF0565"/>
    <w:rsid w:val="00BF05EB"/>
    <w:rsid w:val="00BF0665"/>
    <w:rsid w:val="00BF0CB9"/>
    <w:rsid w:val="00BF1015"/>
    <w:rsid w:val="00BF26A6"/>
    <w:rsid w:val="00BF3561"/>
    <w:rsid w:val="00BF4080"/>
    <w:rsid w:val="00BF4E33"/>
    <w:rsid w:val="00BF557E"/>
    <w:rsid w:val="00BF6138"/>
    <w:rsid w:val="00BF6846"/>
    <w:rsid w:val="00BF6CDB"/>
    <w:rsid w:val="00BF7245"/>
    <w:rsid w:val="00C002A7"/>
    <w:rsid w:val="00C0032F"/>
    <w:rsid w:val="00C009A9"/>
    <w:rsid w:val="00C00E6A"/>
    <w:rsid w:val="00C0120F"/>
    <w:rsid w:val="00C01D03"/>
    <w:rsid w:val="00C0280E"/>
    <w:rsid w:val="00C028A4"/>
    <w:rsid w:val="00C02E18"/>
    <w:rsid w:val="00C03580"/>
    <w:rsid w:val="00C03FFD"/>
    <w:rsid w:val="00C04236"/>
    <w:rsid w:val="00C04D9C"/>
    <w:rsid w:val="00C05828"/>
    <w:rsid w:val="00C059E8"/>
    <w:rsid w:val="00C05A4C"/>
    <w:rsid w:val="00C06010"/>
    <w:rsid w:val="00C0603A"/>
    <w:rsid w:val="00C06422"/>
    <w:rsid w:val="00C065E8"/>
    <w:rsid w:val="00C06D60"/>
    <w:rsid w:val="00C100EB"/>
    <w:rsid w:val="00C10BAD"/>
    <w:rsid w:val="00C1216C"/>
    <w:rsid w:val="00C12216"/>
    <w:rsid w:val="00C12411"/>
    <w:rsid w:val="00C126D9"/>
    <w:rsid w:val="00C127B2"/>
    <w:rsid w:val="00C12AAC"/>
    <w:rsid w:val="00C12B85"/>
    <w:rsid w:val="00C12C41"/>
    <w:rsid w:val="00C12E64"/>
    <w:rsid w:val="00C13CFC"/>
    <w:rsid w:val="00C14017"/>
    <w:rsid w:val="00C14410"/>
    <w:rsid w:val="00C14696"/>
    <w:rsid w:val="00C14962"/>
    <w:rsid w:val="00C1519F"/>
    <w:rsid w:val="00C15261"/>
    <w:rsid w:val="00C15EFA"/>
    <w:rsid w:val="00C16B08"/>
    <w:rsid w:val="00C16F62"/>
    <w:rsid w:val="00C175D9"/>
    <w:rsid w:val="00C17CC1"/>
    <w:rsid w:val="00C20317"/>
    <w:rsid w:val="00C203A7"/>
    <w:rsid w:val="00C203FF"/>
    <w:rsid w:val="00C20609"/>
    <w:rsid w:val="00C209BB"/>
    <w:rsid w:val="00C20B23"/>
    <w:rsid w:val="00C20D8E"/>
    <w:rsid w:val="00C217B5"/>
    <w:rsid w:val="00C21954"/>
    <w:rsid w:val="00C22685"/>
    <w:rsid w:val="00C228C6"/>
    <w:rsid w:val="00C22982"/>
    <w:rsid w:val="00C22A6B"/>
    <w:rsid w:val="00C22BE3"/>
    <w:rsid w:val="00C234E8"/>
    <w:rsid w:val="00C2360A"/>
    <w:rsid w:val="00C23FE5"/>
    <w:rsid w:val="00C240F5"/>
    <w:rsid w:val="00C245AF"/>
    <w:rsid w:val="00C24CAC"/>
    <w:rsid w:val="00C253D2"/>
    <w:rsid w:val="00C25D24"/>
    <w:rsid w:val="00C25DBD"/>
    <w:rsid w:val="00C26081"/>
    <w:rsid w:val="00C26D25"/>
    <w:rsid w:val="00C273F2"/>
    <w:rsid w:val="00C27C91"/>
    <w:rsid w:val="00C3055B"/>
    <w:rsid w:val="00C3097F"/>
    <w:rsid w:val="00C30A5E"/>
    <w:rsid w:val="00C30B5E"/>
    <w:rsid w:val="00C31459"/>
    <w:rsid w:val="00C3156F"/>
    <w:rsid w:val="00C31B83"/>
    <w:rsid w:val="00C32AFE"/>
    <w:rsid w:val="00C333D9"/>
    <w:rsid w:val="00C3346B"/>
    <w:rsid w:val="00C337CE"/>
    <w:rsid w:val="00C34307"/>
    <w:rsid w:val="00C34F95"/>
    <w:rsid w:val="00C35558"/>
    <w:rsid w:val="00C35628"/>
    <w:rsid w:val="00C359E7"/>
    <w:rsid w:val="00C35C6E"/>
    <w:rsid w:val="00C36332"/>
    <w:rsid w:val="00C369A0"/>
    <w:rsid w:val="00C36DD9"/>
    <w:rsid w:val="00C372D9"/>
    <w:rsid w:val="00C3784E"/>
    <w:rsid w:val="00C3786B"/>
    <w:rsid w:val="00C37F12"/>
    <w:rsid w:val="00C40136"/>
    <w:rsid w:val="00C404A8"/>
    <w:rsid w:val="00C40844"/>
    <w:rsid w:val="00C40AF8"/>
    <w:rsid w:val="00C42183"/>
    <w:rsid w:val="00C429D6"/>
    <w:rsid w:val="00C42B32"/>
    <w:rsid w:val="00C42E95"/>
    <w:rsid w:val="00C4497A"/>
    <w:rsid w:val="00C44C4F"/>
    <w:rsid w:val="00C45013"/>
    <w:rsid w:val="00C45375"/>
    <w:rsid w:val="00C45952"/>
    <w:rsid w:val="00C45C84"/>
    <w:rsid w:val="00C45F0F"/>
    <w:rsid w:val="00C461D8"/>
    <w:rsid w:val="00C46622"/>
    <w:rsid w:val="00C46665"/>
    <w:rsid w:val="00C46E93"/>
    <w:rsid w:val="00C47775"/>
    <w:rsid w:val="00C47D1F"/>
    <w:rsid w:val="00C50267"/>
    <w:rsid w:val="00C50CDE"/>
    <w:rsid w:val="00C51A44"/>
    <w:rsid w:val="00C52110"/>
    <w:rsid w:val="00C5304D"/>
    <w:rsid w:val="00C535FF"/>
    <w:rsid w:val="00C53C1C"/>
    <w:rsid w:val="00C54743"/>
    <w:rsid w:val="00C5515E"/>
    <w:rsid w:val="00C56FD6"/>
    <w:rsid w:val="00C57009"/>
    <w:rsid w:val="00C5711D"/>
    <w:rsid w:val="00C576CA"/>
    <w:rsid w:val="00C57E6A"/>
    <w:rsid w:val="00C60323"/>
    <w:rsid w:val="00C603A4"/>
    <w:rsid w:val="00C60588"/>
    <w:rsid w:val="00C6062F"/>
    <w:rsid w:val="00C6077D"/>
    <w:rsid w:val="00C609D9"/>
    <w:rsid w:val="00C60E25"/>
    <w:rsid w:val="00C610FF"/>
    <w:rsid w:val="00C61347"/>
    <w:rsid w:val="00C61602"/>
    <w:rsid w:val="00C6232D"/>
    <w:rsid w:val="00C6237A"/>
    <w:rsid w:val="00C631B4"/>
    <w:rsid w:val="00C633E5"/>
    <w:rsid w:val="00C638DB"/>
    <w:rsid w:val="00C63DEE"/>
    <w:rsid w:val="00C640BE"/>
    <w:rsid w:val="00C64555"/>
    <w:rsid w:val="00C64629"/>
    <w:rsid w:val="00C6622A"/>
    <w:rsid w:val="00C6637B"/>
    <w:rsid w:val="00C667C6"/>
    <w:rsid w:val="00C66A87"/>
    <w:rsid w:val="00C6778D"/>
    <w:rsid w:val="00C67CD9"/>
    <w:rsid w:val="00C67E1F"/>
    <w:rsid w:val="00C71504"/>
    <w:rsid w:val="00C7169B"/>
    <w:rsid w:val="00C71BA3"/>
    <w:rsid w:val="00C71E00"/>
    <w:rsid w:val="00C721F8"/>
    <w:rsid w:val="00C72A90"/>
    <w:rsid w:val="00C73651"/>
    <w:rsid w:val="00C74240"/>
    <w:rsid w:val="00C74825"/>
    <w:rsid w:val="00C754A0"/>
    <w:rsid w:val="00C75547"/>
    <w:rsid w:val="00C75AAE"/>
    <w:rsid w:val="00C75D6B"/>
    <w:rsid w:val="00C7675C"/>
    <w:rsid w:val="00C768D5"/>
    <w:rsid w:val="00C76985"/>
    <w:rsid w:val="00C770C6"/>
    <w:rsid w:val="00C773C7"/>
    <w:rsid w:val="00C773CA"/>
    <w:rsid w:val="00C77CAB"/>
    <w:rsid w:val="00C77FAA"/>
    <w:rsid w:val="00C80ACB"/>
    <w:rsid w:val="00C80E59"/>
    <w:rsid w:val="00C818F7"/>
    <w:rsid w:val="00C81C76"/>
    <w:rsid w:val="00C821E7"/>
    <w:rsid w:val="00C82519"/>
    <w:rsid w:val="00C827E2"/>
    <w:rsid w:val="00C82BBE"/>
    <w:rsid w:val="00C83905"/>
    <w:rsid w:val="00C83B2D"/>
    <w:rsid w:val="00C84816"/>
    <w:rsid w:val="00C84886"/>
    <w:rsid w:val="00C84AAA"/>
    <w:rsid w:val="00C856EF"/>
    <w:rsid w:val="00C86389"/>
    <w:rsid w:val="00C86B76"/>
    <w:rsid w:val="00C87140"/>
    <w:rsid w:val="00C87B30"/>
    <w:rsid w:val="00C87F2E"/>
    <w:rsid w:val="00C90DCF"/>
    <w:rsid w:val="00C90E21"/>
    <w:rsid w:val="00C912AF"/>
    <w:rsid w:val="00C9181A"/>
    <w:rsid w:val="00C91B2E"/>
    <w:rsid w:val="00C91C7E"/>
    <w:rsid w:val="00C923B2"/>
    <w:rsid w:val="00C92543"/>
    <w:rsid w:val="00C926C3"/>
    <w:rsid w:val="00C92781"/>
    <w:rsid w:val="00C927A2"/>
    <w:rsid w:val="00C92A4F"/>
    <w:rsid w:val="00C92C73"/>
    <w:rsid w:val="00C92EF3"/>
    <w:rsid w:val="00C934DE"/>
    <w:rsid w:val="00C93ABA"/>
    <w:rsid w:val="00C93DB4"/>
    <w:rsid w:val="00C93E83"/>
    <w:rsid w:val="00C9424A"/>
    <w:rsid w:val="00C952BD"/>
    <w:rsid w:val="00C953AD"/>
    <w:rsid w:val="00C953CF"/>
    <w:rsid w:val="00C95586"/>
    <w:rsid w:val="00C964F6"/>
    <w:rsid w:val="00C9656A"/>
    <w:rsid w:val="00C96575"/>
    <w:rsid w:val="00C969F2"/>
    <w:rsid w:val="00C975F9"/>
    <w:rsid w:val="00C97BBA"/>
    <w:rsid w:val="00C97E23"/>
    <w:rsid w:val="00CA0056"/>
    <w:rsid w:val="00CA0172"/>
    <w:rsid w:val="00CA0232"/>
    <w:rsid w:val="00CA0AC7"/>
    <w:rsid w:val="00CA0AEA"/>
    <w:rsid w:val="00CA248B"/>
    <w:rsid w:val="00CA30BE"/>
    <w:rsid w:val="00CA3203"/>
    <w:rsid w:val="00CA343B"/>
    <w:rsid w:val="00CA3440"/>
    <w:rsid w:val="00CA34A8"/>
    <w:rsid w:val="00CA37CD"/>
    <w:rsid w:val="00CA3B50"/>
    <w:rsid w:val="00CA3DAD"/>
    <w:rsid w:val="00CA41C5"/>
    <w:rsid w:val="00CA44BE"/>
    <w:rsid w:val="00CA5154"/>
    <w:rsid w:val="00CA5289"/>
    <w:rsid w:val="00CA5E08"/>
    <w:rsid w:val="00CA5FE0"/>
    <w:rsid w:val="00CA621B"/>
    <w:rsid w:val="00CA6A7F"/>
    <w:rsid w:val="00CA6DE8"/>
    <w:rsid w:val="00CA7823"/>
    <w:rsid w:val="00CB0CAF"/>
    <w:rsid w:val="00CB13AB"/>
    <w:rsid w:val="00CB142D"/>
    <w:rsid w:val="00CB19A9"/>
    <w:rsid w:val="00CB28B7"/>
    <w:rsid w:val="00CB2914"/>
    <w:rsid w:val="00CB397D"/>
    <w:rsid w:val="00CB3E12"/>
    <w:rsid w:val="00CB3F06"/>
    <w:rsid w:val="00CB4503"/>
    <w:rsid w:val="00CB4A8C"/>
    <w:rsid w:val="00CB4F3E"/>
    <w:rsid w:val="00CB5A74"/>
    <w:rsid w:val="00CB5D26"/>
    <w:rsid w:val="00CB5EA8"/>
    <w:rsid w:val="00CB603E"/>
    <w:rsid w:val="00CB6204"/>
    <w:rsid w:val="00CB6632"/>
    <w:rsid w:val="00CB6808"/>
    <w:rsid w:val="00CB76F9"/>
    <w:rsid w:val="00CB7C33"/>
    <w:rsid w:val="00CC010A"/>
    <w:rsid w:val="00CC04A5"/>
    <w:rsid w:val="00CC0705"/>
    <w:rsid w:val="00CC0C98"/>
    <w:rsid w:val="00CC1319"/>
    <w:rsid w:val="00CC157E"/>
    <w:rsid w:val="00CC1BA2"/>
    <w:rsid w:val="00CC218D"/>
    <w:rsid w:val="00CC301C"/>
    <w:rsid w:val="00CC3774"/>
    <w:rsid w:val="00CC4889"/>
    <w:rsid w:val="00CC521F"/>
    <w:rsid w:val="00CC567F"/>
    <w:rsid w:val="00CC5D06"/>
    <w:rsid w:val="00CC605B"/>
    <w:rsid w:val="00CC6197"/>
    <w:rsid w:val="00CC640D"/>
    <w:rsid w:val="00CC64E4"/>
    <w:rsid w:val="00CC663F"/>
    <w:rsid w:val="00CC668B"/>
    <w:rsid w:val="00CC6C04"/>
    <w:rsid w:val="00CC6D57"/>
    <w:rsid w:val="00CD002F"/>
    <w:rsid w:val="00CD106D"/>
    <w:rsid w:val="00CD1179"/>
    <w:rsid w:val="00CD1292"/>
    <w:rsid w:val="00CD199F"/>
    <w:rsid w:val="00CD21EF"/>
    <w:rsid w:val="00CD2805"/>
    <w:rsid w:val="00CD28F5"/>
    <w:rsid w:val="00CD2CB6"/>
    <w:rsid w:val="00CD3190"/>
    <w:rsid w:val="00CD3794"/>
    <w:rsid w:val="00CD3A2F"/>
    <w:rsid w:val="00CD419B"/>
    <w:rsid w:val="00CD48CF"/>
    <w:rsid w:val="00CD520A"/>
    <w:rsid w:val="00CD5364"/>
    <w:rsid w:val="00CD553E"/>
    <w:rsid w:val="00CD658D"/>
    <w:rsid w:val="00CD67D1"/>
    <w:rsid w:val="00CD6C32"/>
    <w:rsid w:val="00CD7378"/>
    <w:rsid w:val="00CD747B"/>
    <w:rsid w:val="00CD7994"/>
    <w:rsid w:val="00CE03EB"/>
    <w:rsid w:val="00CE03FB"/>
    <w:rsid w:val="00CE0A13"/>
    <w:rsid w:val="00CE141A"/>
    <w:rsid w:val="00CE1487"/>
    <w:rsid w:val="00CE1752"/>
    <w:rsid w:val="00CE17F0"/>
    <w:rsid w:val="00CE26B0"/>
    <w:rsid w:val="00CE26C6"/>
    <w:rsid w:val="00CE300F"/>
    <w:rsid w:val="00CE32C5"/>
    <w:rsid w:val="00CE3925"/>
    <w:rsid w:val="00CE3A45"/>
    <w:rsid w:val="00CE3DA3"/>
    <w:rsid w:val="00CE425B"/>
    <w:rsid w:val="00CE4E1D"/>
    <w:rsid w:val="00CE592C"/>
    <w:rsid w:val="00CE6A6F"/>
    <w:rsid w:val="00CE6D58"/>
    <w:rsid w:val="00CE6FD9"/>
    <w:rsid w:val="00CE6FE7"/>
    <w:rsid w:val="00CE7E30"/>
    <w:rsid w:val="00CF0350"/>
    <w:rsid w:val="00CF03BB"/>
    <w:rsid w:val="00CF0669"/>
    <w:rsid w:val="00CF091F"/>
    <w:rsid w:val="00CF0B00"/>
    <w:rsid w:val="00CF0BE1"/>
    <w:rsid w:val="00CF1238"/>
    <w:rsid w:val="00CF1CA2"/>
    <w:rsid w:val="00CF200B"/>
    <w:rsid w:val="00CF230B"/>
    <w:rsid w:val="00CF298E"/>
    <w:rsid w:val="00CF2F1E"/>
    <w:rsid w:val="00CF384D"/>
    <w:rsid w:val="00CF3B69"/>
    <w:rsid w:val="00CF3D9E"/>
    <w:rsid w:val="00CF4251"/>
    <w:rsid w:val="00CF457B"/>
    <w:rsid w:val="00CF45B9"/>
    <w:rsid w:val="00CF4C34"/>
    <w:rsid w:val="00CF4C7A"/>
    <w:rsid w:val="00CF4DED"/>
    <w:rsid w:val="00CF5826"/>
    <w:rsid w:val="00CF5D6F"/>
    <w:rsid w:val="00CF6447"/>
    <w:rsid w:val="00CF686F"/>
    <w:rsid w:val="00CF7036"/>
    <w:rsid w:val="00CF7355"/>
    <w:rsid w:val="00CF7BF6"/>
    <w:rsid w:val="00CF7C42"/>
    <w:rsid w:val="00CF7C5E"/>
    <w:rsid w:val="00CF7F45"/>
    <w:rsid w:val="00D000B2"/>
    <w:rsid w:val="00D00B4D"/>
    <w:rsid w:val="00D00C73"/>
    <w:rsid w:val="00D02649"/>
    <w:rsid w:val="00D029AC"/>
    <w:rsid w:val="00D02AF4"/>
    <w:rsid w:val="00D0314C"/>
    <w:rsid w:val="00D03201"/>
    <w:rsid w:val="00D04A09"/>
    <w:rsid w:val="00D04F96"/>
    <w:rsid w:val="00D06CCE"/>
    <w:rsid w:val="00D070F0"/>
    <w:rsid w:val="00D07847"/>
    <w:rsid w:val="00D10966"/>
    <w:rsid w:val="00D10C85"/>
    <w:rsid w:val="00D112AD"/>
    <w:rsid w:val="00D114BE"/>
    <w:rsid w:val="00D11F90"/>
    <w:rsid w:val="00D12F24"/>
    <w:rsid w:val="00D12F25"/>
    <w:rsid w:val="00D131F3"/>
    <w:rsid w:val="00D13739"/>
    <w:rsid w:val="00D13742"/>
    <w:rsid w:val="00D13882"/>
    <w:rsid w:val="00D13C96"/>
    <w:rsid w:val="00D13DF5"/>
    <w:rsid w:val="00D15205"/>
    <w:rsid w:val="00D15AB4"/>
    <w:rsid w:val="00D17519"/>
    <w:rsid w:val="00D1799B"/>
    <w:rsid w:val="00D20722"/>
    <w:rsid w:val="00D20B8A"/>
    <w:rsid w:val="00D20F62"/>
    <w:rsid w:val="00D20FA0"/>
    <w:rsid w:val="00D210C0"/>
    <w:rsid w:val="00D21981"/>
    <w:rsid w:val="00D222BE"/>
    <w:rsid w:val="00D22677"/>
    <w:rsid w:val="00D22A31"/>
    <w:rsid w:val="00D22AB4"/>
    <w:rsid w:val="00D22FA3"/>
    <w:rsid w:val="00D2311D"/>
    <w:rsid w:val="00D23412"/>
    <w:rsid w:val="00D23793"/>
    <w:rsid w:val="00D23AC1"/>
    <w:rsid w:val="00D23B0E"/>
    <w:rsid w:val="00D24431"/>
    <w:rsid w:val="00D25E4D"/>
    <w:rsid w:val="00D26B2A"/>
    <w:rsid w:val="00D26BF6"/>
    <w:rsid w:val="00D26CB5"/>
    <w:rsid w:val="00D2713D"/>
    <w:rsid w:val="00D27259"/>
    <w:rsid w:val="00D27264"/>
    <w:rsid w:val="00D27DC3"/>
    <w:rsid w:val="00D301CC"/>
    <w:rsid w:val="00D3050B"/>
    <w:rsid w:val="00D30AAE"/>
    <w:rsid w:val="00D31FE0"/>
    <w:rsid w:val="00D32526"/>
    <w:rsid w:val="00D328C4"/>
    <w:rsid w:val="00D331EB"/>
    <w:rsid w:val="00D3426E"/>
    <w:rsid w:val="00D34767"/>
    <w:rsid w:val="00D34ACA"/>
    <w:rsid w:val="00D34D15"/>
    <w:rsid w:val="00D3522F"/>
    <w:rsid w:val="00D35F05"/>
    <w:rsid w:val="00D35FE4"/>
    <w:rsid w:val="00D36126"/>
    <w:rsid w:val="00D36229"/>
    <w:rsid w:val="00D362C8"/>
    <w:rsid w:val="00D36371"/>
    <w:rsid w:val="00D4072F"/>
    <w:rsid w:val="00D414BF"/>
    <w:rsid w:val="00D41916"/>
    <w:rsid w:val="00D41B9C"/>
    <w:rsid w:val="00D41DE5"/>
    <w:rsid w:val="00D421BF"/>
    <w:rsid w:val="00D423D1"/>
    <w:rsid w:val="00D423F6"/>
    <w:rsid w:val="00D43B14"/>
    <w:rsid w:val="00D43EA2"/>
    <w:rsid w:val="00D43FE3"/>
    <w:rsid w:val="00D44107"/>
    <w:rsid w:val="00D4461D"/>
    <w:rsid w:val="00D45181"/>
    <w:rsid w:val="00D45892"/>
    <w:rsid w:val="00D46376"/>
    <w:rsid w:val="00D46A00"/>
    <w:rsid w:val="00D46E79"/>
    <w:rsid w:val="00D46F30"/>
    <w:rsid w:val="00D50005"/>
    <w:rsid w:val="00D50399"/>
    <w:rsid w:val="00D504EE"/>
    <w:rsid w:val="00D50B6E"/>
    <w:rsid w:val="00D515F8"/>
    <w:rsid w:val="00D51C9E"/>
    <w:rsid w:val="00D522EF"/>
    <w:rsid w:val="00D52306"/>
    <w:rsid w:val="00D52492"/>
    <w:rsid w:val="00D52B02"/>
    <w:rsid w:val="00D5348E"/>
    <w:rsid w:val="00D534D6"/>
    <w:rsid w:val="00D53B6C"/>
    <w:rsid w:val="00D54039"/>
    <w:rsid w:val="00D54AC7"/>
    <w:rsid w:val="00D54B42"/>
    <w:rsid w:val="00D557B2"/>
    <w:rsid w:val="00D5596B"/>
    <w:rsid w:val="00D55B63"/>
    <w:rsid w:val="00D5620B"/>
    <w:rsid w:val="00D563CB"/>
    <w:rsid w:val="00D57597"/>
    <w:rsid w:val="00D57641"/>
    <w:rsid w:val="00D5791D"/>
    <w:rsid w:val="00D57BBF"/>
    <w:rsid w:val="00D57C17"/>
    <w:rsid w:val="00D600C9"/>
    <w:rsid w:val="00D605BA"/>
    <w:rsid w:val="00D60A12"/>
    <w:rsid w:val="00D60A5E"/>
    <w:rsid w:val="00D60AFA"/>
    <w:rsid w:val="00D60D58"/>
    <w:rsid w:val="00D60F22"/>
    <w:rsid w:val="00D6133C"/>
    <w:rsid w:val="00D61F08"/>
    <w:rsid w:val="00D62C82"/>
    <w:rsid w:val="00D62D8F"/>
    <w:rsid w:val="00D63060"/>
    <w:rsid w:val="00D63891"/>
    <w:rsid w:val="00D64DAD"/>
    <w:rsid w:val="00D64E75"/>
    <w:rsid w:val="00D65149"/>
    <w:rsid w:val="00D65241"/>
    <w:rsid w:val="00D65488"/>
    <w:rsid w:val="00D656C8"/>
    <w:rsid w:val="00D65FEF"/>
    <w:rsid w:val="00D6612D"/>
    <w:rsid w:val="00D6778E"/>
    <w:rsid w:val="00D70220"/>
    <w:rsid w:val="00D70338"/>
    <w:rsid w:val="00D7044A"/>
    <w:rsid w:val="00D70E51"/>
    <w:rsid w:val="00D70EB6"/>
    <w:rsid w:val="00D7121E"/>
    <w:rsid w:val="00D714C5"/>
    <w:rsid w:val="00D71709"/>
    <w:rsid w:val="00D718E8"/>
    <w:rsid w:val="00D71BD0"/>
    <w:rsid w:val="00D7236B"/>
    <w:rsid w:val="00D72A7E"/>
    <w:rsid w:val="00D72F74"/>
    <w:rsid w:val="00D732E8"/>
    <w:rsid w:val="00D73495"/>
    <w:rsid w:val="00D73936"/>
    <w:rsid w:val="00D7480B"/>
    <w:rsid w:val="00D74E18"/>
    <w:rsid w:val="00D74F17"/>
    <w:rsid w:val="00D75391"/>
    <w:rsid w:val="00D756BD"/>
    <w:rsid w:val="00D760D6"/>
    <w:rsid w:val="00D767A3"/>
    <w:rsid w:val="00D76DCA"/>
    <w:rsid w:val="00D77578"/>
    <w:rsid w:val="00D80A2E"/>
    <w:rsid w:val="00D80C9B"/>
    <w:rsid w:val="00D80CF0"/>
    <w:rsid w:val="00D80E34"/>
    <w:rsid w:val="00D80F37"/>
    <w:rsid w:val="00D81217"/>
    <w:rsid w:val="00D81374"/>
    <w:rsid w:val="00D81A7E"/>
    <w:rsid w:val="00D82225"/>
    <w:rsid w:val="00D82236"/>
    <w:rsid w:val="00D8274A"/>
    <w:rsid w:val="00D82C5C"/>
    <w:rsid w:val="00D83338"/>
    <w:rsid w:val="00D84243"/>
    <w:rsid w:val="00D84F7D"/>
    <w:rsid w:val="00D85109"/>
    <w:rsid w:val="00D8582F"/>
    <w:rsid w:val="00D85CBD"/>
    <w:rsid w:val="00D86507"/>
    <w:rsid w:val="00D86BBF"/>
    <w:rsid w:val="00D873C9"/>
    <w:rsid w:val="00D87984"/>
    <w:rsid w:val="00D87F25"/>
    <w:rsid w:val="00D902A2"/>
    <w:rsid w:val="00D9055E"/>
    <w:rsid w:val="00D907AA"/>
    <w:rsid w:val="00D90C77"/>
    <w:rsid w:val="00D912C9"/>
    <w:rsid w:val="00D9135D"/>
    <w:rsid w:val="00D915C2"/>
    <w:rsid w:val="00D916ED"/>
    <w:rsid w:val="00D91AAA"/>
    <w:rsid w:val="00D924DB"/>
    <w:rsid w:val="00D9279F"/>
    <w:rsid w:val="00D929F2"/>
    <w:rsid w:val="00D93511"/>
    <w:rsid w:val="00D93612"/>
    <w:rsid w:val="00D9402E"/>
    <w:rsid w:val="00D94E8C"/>
    <w:rsid w:val="00D96049"/>
    <w:rsid w:val="00D96B8F"/>
    <w:rsid w:val="00D96D2D"/>
    <w:rsid w:val="00D97082"/>
    <w:rsid w:val="00D97155"/>
    <w:rsid w:val="00D97943"/>
    <w:rsid w:val="00DA0217"/>
    <w:rsid w:val="00DA0BC6"/>
    <w:rsid w:val="00DA1404"/>
    <w:rsid w:val="00DA17F1"/>
    <w:rsid w:val="00DA20F4"/>
    <w:rsid w:val="00DA269F"/>
    <w:rsid w:val="00DA2C08"/>
    <w:rsid w:val="00DA32B8"/>
    <w:rsid w:val="00DA339B"/>
    <w:rsid w:val="00DA350E"/>
    <w:rsid w:val="00DA3B47"/>
    <w:rsid w:val="00DA3FAC"/>
    <w:rsid w:val="00DA44DC"/>
    <w:rsid w:val="00DA4F20"/>
    <w:rsid w:val="00DA5449"/>
    <w:rsid w:val="00DA578B"/>
    <w:rsid w:val="00DA5E04"/>
    <w:rsid w:val="00DA6353"/>
    <w:rsid w:val="00DA6E4B"/>
    <w:rsid w:val="00DA77B2"/>
    <w:rsid w:val="00DA799A"/>
    <w:rsid w:val="00DA7BED"/>
    <w:rsid w:val="00DB0866"/>
    <w:rsid w:val="00DB0AA2"/>
    <w:rsid w:val="00DB0E9E"/>
    <w:rsid w:val="00DB1109"/>
    <w:rsid w:val="00DB17D3"/>
    <w:rsid w:val="00DB1A60"/>
    <w:rsid w:val="00DB1BF7"/>
    <w:rsid w:val="00DB1DB1"/>
    <w:rsid w:val="00DB25AA"/>
    <w:rsid w:val="00DB268B"/>
    <w:rsid w:val="00DB2C60"/>
    <w:rsid w:val="00DB3095"/>
    <w:rsid w:val="00DB3706"/>
    <w:rsid w:val="00DB3CFA"/>
    <w:rsid w:val="00DB422E"/>
    <w:rsid w:val="00DB4411"/>
    <w:rsid w:val="00DB5F3F"/>
    <w:rsid w:val="00DB6994"/>
    <w:rsid w:val="00DB6FD7"/>
    <w:rsid w:val="00DB70E4"/>
    <w:rsid w:val="00DB77D5"/>
    <w:rsid w:val="00DB7C83"/>
    <w:rsid w:val="00DC0035"/>
    <w:rsid w:val="00DC0342"/>
    <w:rsid w:val="00DC0393"/>
    <w:rsid w:val="00DC0644"/>
    <w:rsid w:val="00DC08CB"/>
    <w:rsid w:val="00DC12DA"/>
    <w:rsid w:val="00DC15CD"/>
    <w:rsid w:val="00DC2110"/>
    <w:rsid w:val="00DC2365"/>
    <w:rsid w:val="00DC262E"/>
    <w:rsid w:val="00DC2B7B"/>
    <w:rsid w:val="00DC3114"/>
    <w:rsid w:val="00DC324C"/>
    <w:rsid w:val="00DC3757"/>
    <w:rsid w:val="00DC3A5D"/>
    <w:rsid w:val="00DC3D74"/>
    <w:rsid w:val="00DC3DFE"/>
    <w:rsid w:val="00DC4167"/>
    <w:rsid w:val="00DC4A0C"/>
    <w:rsid w:val="00DC4B83"/>
    <w:rsid w:val="00DC5069"/>
    <w:rsid w:val="00DC5696"/>
    <w:rsid w:val="00DC56BF"/>
    <w:rsid w:val="00DC5C0C"/>
    <w:rsid w:val="00DC62D1"/>
    <w:rsid w:val="00DC73F5"/>
    <w:rsid w:val="00DD016A"/>
    <w:rsid w:val="00DD02B3"/>
    <w:rsid w:val="00DD0A23"/>
    <w:rsid w:val="00DD1AB9"/>
    <w:rsid w:val="00DD1D89"/>
    <w:rsid w:val="00DD1F63"/>
    <w:rsid w:val="00DD2146"/>
    <w:rsid w:val="00DD2E8C"/>
    <w:rsid w:val="00DD3A8F"/>
    <w:rsid w:val="00DD3A9E"/>
    <w:rsid w:val="00DD3E58"/>
    <w:rsid w:val="00DD4066"/>
    <w:rsid w:val="00DD48DB"/>
    <w:rsid w:val="00DD4EE5"/>
    <w:rsid w:val="00DD678F"/>
    <w:rsid w:val="00DD687F"/>
    <w:rsid w:val="00DD759E"/>
    <w:rsid w:val="00DE050E"/>
    <w:rsid w:val="00DE0DE3"/>
    <w:rsid w:val="00DE0F0F"/>
    <w:rsid w:val="00DE0FA7"/>
    <w:rsid w:val="00DE1694"/>
    <w:rsid w:val="00DE16E1"/>
    <w:rsid w:val="00DE19D1"/>
    <w:rsid w:val="00DE1D22"/>
    <w:rsid w:val="00DE1D2C"/>
    <w:rsid w:val="00DE1DD9"/>
    <w:rsid w:val="00DE20A3"/>
    <w:rsid w:val="00DE245E"/>
    <w:rsid w:val="00DE25E5"/>
    <w:rsid w:val="00DE2653"/>
    <w:rsid w:val="00DE2668"/>
    <w:rsid w:val="00DE2765"/>
    <w:rsid w:val="00DE2844"/>
    <w:rsid w:val="00DE2951"/>
    <w:rsid w:val="00DE3217"/>
    <w:rsid w:val="00DE3335"/>
    <w:rsid w:val="00DE33FB"/>
    <w:rsid w:val="00DE3413"/>
    <w:rsid w:val="00DE3500"/>
    <w:rsid w:val="00DE3EF9"/>
    <w:rsid w:val="00DE442E"/>
    <w:rsid w:val="00DE455B"/>
    <w:rsid w:val="00DE4A9C"/>
    <w:rsid w:val="00DE5D1D"/>
    <w:rsid w:val="00DE5EE5"/>
    <w:rsid w:val="00DE6446"/>
    <w:rsid w:val="00DE645D"/>
    <w:rsid w:val="00DE6497"/>
    <w:rsid w:val="00DE66D8"/>
    <w:rsid w:val="00DE6884"/>
    <w:rsid w:val="00DE68EE"/>
    <w:rsid w:val="00DE7655"/>
    <w:rsid w:val="00DE776F"/>
    <w:rsid w:val="00DF0A17"/>
    <w:rsid w:val="00DF0EF4"/>
    <w:rsid w:val="00DF12C3"/>
    <w:rsid w:val="00DF18C8"/>
    <w:rsid w:val="00DF1C8F"/>
    <w:rsid w:val="00DF2643"/>
    <w:rsid w:val="00DF2E17"/>
    <w:rsid w:val="00DF3047"/>
    <w:rsid w:val="00DF4049"/>
    <w:rsid w:val="00DF46F2"/>
    <w:rsid w:val="00DF49EB"/>
    <w:rsid w:val="00DF50E2"/>
    <w:rsid w:val="00DF522F"/>
    <w:rsid w:val="00DF527E"/>
    <w:rsid w:val="00DF540F"/>
    <w:rsid w:val="00DF5691"/>
    <w:rsid w:val="00DF5BC6"/>
    <w:rsid w:val="00DF5DA5"/>
    <w:rsid w:val="00DF5FBE"/>
    <w:rsid w:val="00DF6114"/>
    <w:rsid w:val="00DF6289"/>
    <w:rsid w:val="00DF65DA"/>
    <w:rsid w:val="00DF69C6"/>
    <w:rsid w:val="00DF6EF7"/>
    <w:rsid w:val="00DF7041"/>
    <w:rsid w:val="00DF7059"/>
    <w:rsid w:val="00DF718B"/>
    <w:rsid w:val="00DF75E9"/>
    <w:rsid w:val="00DF7794"/>
    <w:rsid w:val="00E002AE"/>
    <w:rsid w:val="00E01184"/>
    <w:rsid w:val="00E018C5"/>
    <w:rsid w:val="00E01C6C"/>
    <w:rsid w:val="00E02CE9"/>
    <w:rsid w:val="00E02EC4"/>
    <w:rsid w:val="00E02EC8"/>
    <w:rsid w:val="00E034C2"/>
    <w:rsid w:val="00E034FF"/>
    <w:rsid w:val="00E03BDA"/>
    <w:rsid w:val="00E04ED2"/>
    <w:rsid w:val="00E05542"/>
    <w:rsid w:val="00E05886"/>
    <w:rsid w:val="00E05BA6"/>
    <w:rsid w:val="00E06DC2"/>
    <w:rsid w:val="00E071EE"/>
    <w:rsid w:val="00E07732"/>
    <w:rsid w:val="00E079C6"/>
    <w:rsid w:val="00E10562"/>
    <w:rsid w:val="00E10D02"/>
    <w:rsid w:val="00E10DFB"/>
    <w:rsid w:val="00E110E9"/>
    <w:rsid w:val="00E1142A"/>
    <w:rsid w:val="00E11641"/>
    <w:rsid w:val="00E1182F"/>
    <w:rsid w:val="00E11861"/>
    <w:rsid w:val="00E118F6"/>
    <w:rsid w:val="00E11C5C"/>
    <w:rsid w:val="00E1284F"/>
    <w:rsid w:val="00E129A5"/>
    <w:rsid w:val="00E129D7"/>
    <w:rsid w:val="00E12ABC"/>
    <w:rsid w:val="00E12D76"/>
    <w:rsid w:val="00E15BBA"/>
    <w:rsid w:val="00E16846"/>
    <w:rsid w:val="00E16F71"/>
    <w:rsid w:val="00E170E3"/>
    <w:rsid w:val="00E17852"/>
    <w:rsid w:val="00E20347"/>
    <w:rsid w:val="00E212E7"/>
    <w:rsid w:val="00E212F8"/>
    <w:rsid w:val="00E22134"/>
    <w:rsid w:val="00E229C3"/>
    <w:rsid w:val="00E22D15"/>
    <w:rsid w:val="00E230A3"/>
    <w:rsid w:val="00E23518"/>
    <w:rsid w:val="00E24554"/>
    <w:rsid w:val="00E24601"/>
    <w:rsid w:val="00E2486C"/>
    <w:rsid w:val="00E25216"/>
    <w:rsid w:val="00E254F8"/>
    <w:rsid w:val="00E2560B"/>
    <w:rsid w:val="00E2593D"/>
    <w:rsid w:val="00E25DC3"/>
    <w:rsid w:val="00E266F6"/>
    <w:rsid w:val="00E26AE1"/>
    <w:rsid w:val="00E26C20"/>
    <w:rsid w:val="00E26CEF"/>
    <w:rsid w:val="00E30449"/>
    <w:rsid w:val="00E30535"/>
    <w:rsid w:val="00E30565"/>
    <w:rsid w:val="00E305FB"/>
    <w:rsid w:val="00E30945"/>
    <w:rsid w:val="00E30AE8"/>
    <w:rsid w:val="00E3100B"/>
    <w:rsid w:val="00E311BA"/>
    <w:rsid w:val="00E31D3C"/>
    <w:rsid w:val="00E325A5"/>
    <w:rsid w:val="00E3303A"/>
    <w:rsid w:val="00E33568"/>
    <w:rsid w:val="00E3396B"/>
    <w:rsid w:val="00E343C8"/>
    <w:rsid w:val="00E34C0F"/>
    <w:rsid w:val="00E35A94"/>
    <w:rsid w:val="00E35C6D"/>
    <w:rsid w:val="00E369D4"/>
    <w:rsid w:val="00E36B22"/>
    <w:rsid w:val="00E376E4"/>
    <w:rsid w:val="00E37FFB"/>
    <w:rsid w:val="00E401F9"/>
    <w:rsid w:val="00E402AF"/>
    <w:rsid w:val="00E40D9D"/>
    <w:rsid w:val="00E41143"/>
    <w:rsid w:val="00E41305"/>
    <w:rsid w:val="00E41AE0"/>
    <w:rsid w:val="00E425F7"/>
    <w:rsid w:val="00E427C3"/>
    <w:rsid w:val="00E42DD7"/>
    <w:rsid w:val="00E43008"/>
    <w:rsid w:val="00E43076"/>
    <w:rsid w:val="00E43CE0"/>
    <w:rsid w:val="00E43D80"/>
    <w:rsid w:val="00E44D57"/>
    <w:rsid w:val="00E44E23"/>
    <w:rsid w:val="00E44ECB"/>
    <w:rsid w:val="00E45027"/>
    <w:rsid w:val="00E450B1"/>
    <w:rsid w:val="00E451E6"/>
    <w:rsid w:val="00E4592F"/>
    <w:rsid w:val="00E45BF4"/>
    <w:rsid w:val="00E45D30"/>
    <w:rsid w:val="00E45E77"/>
    <w:rsid w:val="00E4672F"/>
    <w:rsid w:val="00E46A58"/>
    <w:rsid w:val="00E46FAC"/>
    <w:rsid w:val="00E476C0"/>
    <w:rsid w:val="00E50643"/>
    <w:rsid w:val="00E50E12"/>
    <w:rsid w:val="00E50E96"/>
    <w:rsid w:val="00E51691"/>
    <w:rsid w:val="00E521CA"/>
    <w:rsid w:val="00E52917"/>
    <w:rsid w:val="00E52A9C"/>
    <w:rsid w:val="00E52AE6"/>
    <w:rsid w:val="00E52D46"/>
    <w:rsid w:val="00E53A7A"/>
    <w:rsid w:val="00E54930"/>
    <w:rsid w:val="00E55C5F"/>
    <w:rsid w:val="00E5679C"/>
    <w:rsid w:val="00E56B4C"/>
    <w:rsid w:val="00E57381"/>
    <w:rsid w:val="00E57482"/>
    <w:rsid w:val="00E57C8B"/>
    <w:rsid w:val="00E57D95"/>
    <w:rsid w:val="00E57DDD"/>
    <w:rsid w:val="00E60998"/>
    <w:rsid w:val="00E60C23"/>
    <w:rsid w:val="00E60F40"/>
    <w:rsid w:val="00E61E52"/>
    <w:rsid w:val="00E62990"/>
    <w:rsid w:val="00E62B97"/>
    <w:rsid w:val="00E630BF"/>
    <w:rsid w:val="00E635A2"/>
    <w:rsid w:val="00E63CC6"/>
    <w:rsid w:val="00E63D58"/>
    <w:rsid w:val="00E64175"/>
    <w:rsid w:val="00E6515A"/>
    <w:rsid w:val="00E653FB"/>
    <w:rsid w:val="00E65974"/>
    <w:rsid w:val="00E66A8B"/>
    <w:rsid w:val="00E66BB1"/>
    <w:rsid w:val="00E66E29"/>
    <w:rsid w:val="00E67064"/>
    <w:rsid w:val="00E67139"/>
    <w:rsid w:val="00E671D9"/>
    <w:rsid w:val="00E6732B"/>
    <w:rsid w:val="00E6757B"/>
    <w:rsid w:val="00E67D88"/>
    <w:rsid w:val="00E702A6"/>
    <w:rsid w:val="00E7044E"/>
    <w:rsid w:val="00E7064F"/>
    <w:rsid w:val="00E7160A"/>
    <w:rsid w:val="00E71B97"/>
    <w:rsid w:val="00E72BE8"/>
    <w:rsid w:val="00E73089"/>
    <w:rsid w:val="00E733E3"/>
    <w:rsid w:val="00E73413"/>
    <w:rsid w:val="00E73427"/>
    <w:rsid w:val="00E73AA3"/>
    <w:rsid w:val="00E746AD"/>
    <w:rsid w:val="00E74B8F"/>
    <w:rsid w:val="00E74D9E"/>
    <w:rsid w:val="00E74E66"/>
    <w:rsid w:val="00E75798"/>
    <w:rsid w:val="00E75C58"/>
    <w:rsid w:val="00E75EB4"/>
    <w:rsid w:val="00E76839"/>
    <w:rsid w:val="00E76A89"/>
    <w:rsid w:val="00E7714C"/>
    <w:rsid w:val="00E775C5"/>
    <w:rsid w:val="00E7791E"/>
    <w:rsid w:val="00E80059"/>
    <w:rsid w:val="00E80EE6"/>
    <w:rsid w:val="00E81541"/>
    <w:rsid w:val="00E818BF"/>
    <w:rsid w:val="00E827DF"/>
    <w:rsid w:val="00E82B8D"/>
    <w:rsid w:val="00E82C28"/>
    <w:rsid w:val="00E82E97"/>
    <w:rsid w:val="00E831AB"/>
    <w:rsid w:val="00E83617"/>
    <w:rsid w:val="00E83748"/>
    <w:rsid w:val="00E83EC8"/>
    <w:rsid w:val="00E84198"/>
    <w:rsid w:val="00E841A2"/>
    <w:rsid w:val="00E8489C"/>
    <w:rsid w:val="00E84C39"/>
    <w:rsid w:val="00E8598D"/>
    <w:rsid w:val="00E85A32"/>
    <w:rsid w:val="00E86B79"/>
    <w:rsid w:val="00E86E1B"/>
    <w:rsid w:val="00E87138"/>
    <w:rsid w:val="00E87768"/>
    <w:rsid w:val="00E900AB"/>
    <w:rsid w:val="00E9068B"/>
    <w:rsid w:val="00E90B5B"/>
    <w:rsid w:val="00E90CE8"/>
    <w:rsid w:val="00E91E40"/>
    <w:rsid w:val="00E9200E"/>
    <w:rsid w:val="00E92181"/>
    <w:rsid w:val="00E92322"/>
    <w:rsid w:val="00E92768"/>
    <w:rsid w:val="00E9350D"/>
    <w:rsid w:val="00E93F59"/>
    <w:rsid w:val="00E93F84"/>
    <w:rsid w:val="00E945D5"/>
    <w:rsid w:val="00E94879"/>
    <w:rsid w:val="00E94C49"/>
    <w:rsid w:val="00E94D63"/>
    <w:rsid w:val="00E94FE9"/>
    <w:rsid w:val="00E95E09"/>
    <w:rsid w:val="00E95E33"/>
    <w:rsid w:val="00E96101"/>
    <w:rsid w:val="00E9669F"/>
    <w:rsid w:val="00E96B31"/>
    <w:rsid w:val="00E970FE"/>
    <w:rsid w:val="00E977A3"/>
    <w:rsid w:val="00E97839"/>
    <w:rsid w:val="00E97A42"/>
    <w:rsid w:val="00E97B39"/>
    <w:rsid w:val="00E97C44"/>
    <w:rsid w:val="00E97F21"/>
    <w:rsid w:val="00EA0C38"/>
    <w:rsid w:val="00EA14DA"/>
    <w:rsid w:val="00EA18EC"/>
    <w:rsid w:val="00EA26A8"/>
    <w:rsid w:val="00EA2748"/>
    <w:rsid w:val="00EA2C3B"/>
    <w:rsid w:val="00EA3136"/>
    <w:rsid w:val="00EA33D5"/>
    <w:rsid w:val="00EA373C"/>
    <w:rsid w:val="00EA3CD8"/>
    <w:rsid w:val="00EA455D"/>
    <w:rsid w:val="00EA47F5"/>
    <w:rsid w:val="00EA4BD9"/>
    <w:rsid w:val="00EA4DCB"/>
    <w:rsid w:val="00EA575E"/>
    <w:rsid w:val="00EA5B75"/>
    <w:rsid w:val="00EA5E08"/>
    <w:rsid w:val="00EA5F76"/>
    <w:rsid w:val="00EA6E21"/>
    <w:rsid w:val="00EA6E2E"/>
    <w:rsid w:val="00EA7637"/>
    <w:rsid w:val="00EA766C"/>
    <w:rsid w:val="00EB00AD"/>
    <w:rsid w:val="00EB0439"/>
    <w:rsid w:val="00EB0781"/>
    <w:rsid w:val="00EB199D"/>
    <w:rsid w:val="00EB1AB1"/>
    <w:rsid w:val="00EB1CB6"/>
    <w:rsid w:val="00EB1EB6"/>
    <w:rsid w:val="00EB2597"/>
    <w:rsid w:val="00EB26DB"/>
    <w:rsid w:val="00EB286E"/>
    <w:rsid w:val="00EB2BE5"/>
    <w:rsid w:val="00EB31E0"/>
    <w:rsid w:val="00EB36FA"/>
    <w:rsid w:val="00EB3C74"/>
    <w:rsid w:val="00EB531B"/>
    <w:rsid w:val="00EB5594"/>
    <w:rsid w:val="00EB59AC"/>
    <w:rsid w:val="00EB5A44"/>
    <w:rsid w:val="00EB5C47"/>
    <w:rsid w:val="00EB5D82"/>
    <w:rsid w:val="00EB5FE3"/>
    <w:rsid w:val="00EB61C2"/>
    <w:rsid w:val="00EB6515"/>
    <w:rsid w:val="00EB6542"/>
    <w:rsid w:val="00EB6A4E"/>
    <w:rsid w:val="00EB6AB8"/>
    <w:rsid w:val="00EB6F8B"/>
    <w:rsid w:val="00EB707C"/>
    <w:rsid w:val="00EB7FD2"/>
    <w:rsid w:val="00EC0603"/>
    <w:rsid w:val="00EC0F58"/>
    <w:rsid w:val="00EC140C"/>
    <w:rsid w:val="00EC1D96"/>
    <w:rsid w:val="00EC1DAF"/>
    <w:rsid w:val="00EC283B"/>
    <w:rsid w:val="00EC3957"/>
    <w:rsid w:val="00EC4377"/>
    <w:rsid w:val="00EC4B09"/>
    <w:rsid w:val="00EC4E5F"/>
    <w:rsid w:val="00EC5653"/>
    <w:rsid w:val="00EC5CF0"/>
    <w:rsid w:val="00EC6A5D"/>
    <w:rsid w:val="00EC6B0C"/>
    <w:rsid w:val="00EC6E15"/>
    <w:rsid w:val="00EC6FCB"/>
    <w:rsid w:val="00EC72DD"/>
    <w:rsid w:val="00EC7D23"/>
    <w:rsid w:val="00ED0689"/>
    <w:rsid w:val="00ED07F6"/>
    <w:rsid w:val="00ED1345"/>
    <w:rsid w:val="00ED18CF"/>
    <w:rsid w:val="00ED1D6A"/>
    <w:rsid w:val="00ED26E5"/>
    <w:rsid w:val="00ED3BB1"/>
    <w:rsid w:val="00ED40D5"/>
    <w:rsid w:val="00ED428D"/>
    <w:rsid w:val="00ED47F1"/>
    <w:rsid w:val="00ED4A05"/>
    <w:rsid w:val="00ED4AF1"/>
    <w:rsid w:val="00ED4BAC"/>
    <w:rsid w:val="00ED5C83"/>
    <w:rsid w:val="00ED6129"/>
    <w:rsid w:val="00ED65B2"/>
    <w:rsid w:val="00ED6856"/>
    <w:rsid w:val="00ED68E2"/>
    <w:rsid w:val="00ED70BD"/>
    <w:rsid w:val="00ED72D2"/>
    <w:rsid w:val="00ED7BB4"/>
    <w:rsid w:val="00ED7F89"/>
    <w:rsid w:val="00EE0119"/>
    <w:rsid w:val="00EE0333"/>
    <w:rsid w:val="00EE0812"/>
    <w:rsid w:val="00EE084E"/>
    <w:rsid w:val="00EE0918"/>
    <w:rsid w:val="00EE0F30"/>
    <w:rsid w:val="00EE1156"/>
    <w:rsid w:val="00EE1968"/>
    <w:rsid w:val="00EE2626"/>
    <w:rsid w:val="00EE2A72"/>
    <w:rsid w:val="00EE31CB"/>
    <w:rsid w:val="00EE35D8"/>
    <w:rsid w:val="00EE4B04"/>
    <w:rsid w:val="00EE78EA"/>
    <w:rsid w:val="00EE7A31"/>
    <w:rsid w:val="00EE7DB2"/>
    <w:rsid w:val="00EF0EA5"/>
    <w:rsid w:val="00EF103E"/>
    <w:rsid w:val="00EF2048"/>
    <w:rsid w:val="00EF2093"/>
    <w:rsid w:val="00EF2589"/>
    <w:rsid w:val="00EF2D4D"/>
    <w:rsid w:val="00EF2D50"/>
    <w:rsid w:val="00EF342E"/>
    <w:rsid w:val="00EF434E"/>
    <w:rsid w:val="00EF4468"/>
    <w:rsid w:val="00EF5927"/>
    <w:rsid w:val="00EF6AB0"/>
    <w:rsid w:val="00EF6B89"/>
    <w:rsid w:val="00EF6DA9"/>
    <w:rsid w:val="00EF7CA1"/>
    <w:rsid w:val="00EF7CD1"/>
    <w:rsid w:val="00EF7D15"/>
    <w:rsid w:val="00F00222"/>
    <w:rsid w:val="00F007D9"/>
    <w:rsid w:val="00F017D9"/>
    <w:rsid w:val="00F01FD8"/>
    <w:rsid w:val="00F028D2"/>
    <w:rsid w:val="00F02C4D"/>
    <w:rsid w:val="00F02EC2"/>
    <w:rsid w:val="00F032AB"/>
    <w:rsid w:val="00F03448"/>
    <w:rsid w:val="00F048D4"/>
    <w:rsid w:val="00F04F74"/>
    <w:rsid w:val="00F05168"/>
    <w:rsid w:val="00F0526D"/>
    <w:rsid w:val="00F052EA"/>
    <w:rsid w:val="00F05CB9"/>
    <w:rsid w:val="00F06143"/>
    <w:rsid w:val="00F07489"/>
    <w:rsid w:val="00F07703"/>
    <w:rsid w:val="00F10223"/>
    <w:rsid w:val="00F10A40"/>
    <w:rsid w:val="00F1118E"/>
    <w:rsid w:val="00F11258"/>
    <w:rsid w:val="00F1183F"/>
    <w:rsid w:val="00F118A1"/>
    <w:rsid w:val="00F11F94"/>
    <w:rsid w:val="00F12509"/>
    <w:rsid w:val="00F13C1B"/>
    <w:rsid w:val="00F1563B"/>
    <w:rsid w:val="00F16108"/>
    <w:rsid w:val="00F1641A"/>
    <w:rsid w:val="00F165D8"/>
    <w:rsid w:val="00F16764"/>
    <w:rsid w:val="00F17043"/>
    <w:rsid w:val="00F17384"/>
    <w:rsid w:val="00F175FE"/>
    <w:rsid w:val="00F20103"/>
    <w:rsid w:val="00F20201"/>
    <w:rsid w:val="00F20227"/>
    <w:rsid w:val="00F20B6A"/>
    <w:rsid w:val="00F21244"/>
    <w:rsid w:val="00F21581"/>
    <w:rsid w:val="00F223AA"/>
    <w:rsid w:val="00F22937"/>
    <w:rsid w:val="00F22B5A"/>
    <w:rsid w:val="00F23602"/>
    <w:rsid w:val="00F24188"/>
    <w:rsid w:val="00F241BD"/>
    <w:rsid w:val="00F2453A"/>
    <w:rsid w:val="00F247B9"/>
    <w:rsid w:val="00F24A80"/>
    <w:rsid w:val="00F24C62"/>
    <w:rsid w:val="00F25565"/>
    <w:rsid w:val="00F25647"/>
    <w:rsid w:val="00F25BEA"/>
    <w:rsid w:val="00F25C46"/>
    <w:rsid w:val="00F25D6E"/>
    <w:rsid w:val="00F25F67"/>
    <w:rsid w:val="00F261A0"/>
    <w:rsid w:val="00F263DF"/>
    <w:rsid w:val="00F2644E"/>
    <w:rsid w:val="00F26F6B"/>
    <w:rsid w:val="00F275FF"/>
    <w:rsid w:val="00F27766"/>
    <w:rsid w:val="00F278E3"/>
    <w:rsid w:val="00F303E3"/>
    <w:rsid w:val="00F30BB9"/>
    <w:rsid w:val="00F30C07"/>
    <w:rsid w:val="00F30DE6"/>
    <w:rsid w:val="00F31C7E"/>
    <w:rsid w:val="00F31CC3"/>
    <w:rsid w:val="00F31D92"/>
    <w:rsid w:val="00F325CC"/>
    <w:rsid w:val="00F32F58"/>
    <w:rsid w:val="00F33123"/>
    <w:rsid w:val="00F33A58"/>
    <w:rsid w:val="00F33E3C"/>
    <w:rsid w:val="00F34306"/>
    <w:rsid w:val="00F34705"/>
    <w:rsid w:val="00F35053"/>
    <w:rsid w:val="00F3535A"/>
    <w:rsid w:val="00F35959"/>
    <w:rsid w:val="00F35B0D"/>
    <w:rsid w:val="00F362B9"/>
    <w:rsid w:val="00F36635"/>
    <w:rsid w:val="00F36D73"/>
    <w:rsid w:val="00F36ED9"/>
    <w:rsid w:val="00F37456"/>
    <w:rsid w:val="00F378BC"/>
    <w:rsid w:val="00F37EC4"/>
    <w:rsid w:val="00F40014"/>
    <w:rsid w:val="00F400CE"/>
    <w:rsid w:val="00F4031D"/>
    <w:rsid w:val="00F40641"/>
    <w:rsid w:val="00F40D89"/>
    <w:rsid w:val="00F4118B"/>
    <w:rsid w:val="00F4120D"/>
    <w:rsid w:val="00F42015"/>
    <w:rsid w:val="00F43DDB"/>
    <w:rsid w:val="00F441A4"/>
    <w:rsid w:val="00F441C1"/>
    <w:rsid w:val="00F44C41"/>
    <w:rsid w:val="00F44C46"/>
    <w:rsid w:val="00F44F36"/>
    <w:rsid w:val="00F44FA9"/>
    <w:rsid w:val="00F457F9"/>
    <w:rsid w:val="00F46FCC"/>
    <w:rsid w:val="00F47DBA"/>
    <w:rsid w:val="00F5046E"/>
    <w:rsid w:val="00F50F10"/>
    <w:rsid w:val="00F50FFD"/>
    <w:rsid w:val="00F5101B"/>
    <w:rsid w:val="00F51895"/>
    <w:rsid w:val="00F51D4B"/>
    <w:rsid w:val="00F527B6"/>
    <w:rsid w:val="00F52912"/>
    <w:rsid w:val="00F52D60"/>
    <w:rsid w:val="00F53010"/>
    <w:rsid w:val="00F536CF"/>
    <w:rsid w:val="00F53A6D"/>
    <w:rsid w:val="00F548E3"/>
    <w:rsid w:val="00F550BE"/>
    <w:rsid w:val="00F553C8"/>
    <w:rsid w:val="00F55475"/>
    <w:rsid w:val="00F558BC"/>
    <w:rsid w:val="00F55AB0"/>
    <w:rsid w:val="00F56306"/>
    <w:rsid w:val="00F5761B"/>
    <w:rsid w:val="00F578D9"/>
    <w:rsid w:val="00F578FC"/>
    <w:rsid w:val="00F57983"/>
    <w:rsid w:val="00F57BBE"/>
    <w:rsid w:val="00F60271"/>
    <w:rsid w:val="00F60E13"/>
    <w:rsid w:val="00F6104B"/>
    <w:rsid w:val="00F61584"/>
    <w:rsid w:val="00F618A0"/>
    <w:rsid w:val="00F622E6"/>
    <w:rsid w:val="00F62AF5"/>
    <w:rsid w:val="00F6300F"/>
    <w:rsid w:val="00F63895"/>
    <w:rsid w:val="00F64CB2"/>
    <w:rsid w:val="00F64ECE"/>
    <w:rsid w:val="00F6551E"/>
    <w:rsid w:val="00F6569D"/>
    <w:rsid w:val="00F65E65"/>
    <w:rsid w:val="00F663B8"/>
    <w:rsid w:val="00F6696A"/>
    <w:rsid w:val="00F66E3F"/>
    <w:rsid w:val="00F66F4A"/>
    <w:rsid w:val="00F67438"/>
    <w:rsid w:val="00F67455"/>
    <w:rsid w:val="00F67569"/>
    <w:rsid w:val="00F675FC"/>
    <w:rsid w:val="00F679F7"/>
    <w:rsid w:val="00F706AC"/>
    <w:rsid w:val="00F709AE"/>
    <w:rsid w:val="00F717DC"/>
    <w:rsid w:val="00F724F7"/>
    <w:rsid w:val="00F73DA9"/>
    <w:rsid w:val="00F748F3"/>
    <w:rsid w:val="00F74A99"/>
    <w:rsid w:val="00F74AD1"/>
    <w:rsid w:val="00F74E05"/>
    <w:rsid w:val="00F757AE"/>
    <w:rsid w:val="00F759B9"/>
    <w:rsid w:val="00F75D08"/>
    <w:rsid w:val="00F75DB6"/>
    <w:rsid w:val="00F7658A"/>
    <w:rsid w:val="00F7676D"/>
    <w:rsid w:val="00F76B30"/>
    <w:rsid w:val="00F76DD7"/>
    <w:rsid w:val="00F772A5"/>
    <w:rsid w:val="00F7746C"/>
    <w:rsid w:val="00F77A71"/>
    <w:rsid w:val="00F77FFA"/>
    <w:rsid w:val="00F801C2"/>
    <w:rsid w:val="00F804F7"/>
    <w:rsid w:val="00F80C9A"/>
    <w:rsid w:val="00F815F9"/>
    <w:rsid w:val="00F8172B"/>
    <w:rsid w:val="00F81EE6"/>
    <w:rsid w:val="00F8219E"/>
    <w:rsid w:val="00F83169"/>
    <w:rsid w:val="00F83E98"/>
    <w:rsid w:val="00F85CB7"/>
    <w:rsid w:val="00F860B1"/>
    <w:rsid w:val="00F8616A"/>
    <w:rsid w:val="00F8690D"/>
    <w:rsid w:val="00F86AF6"/>
    <w:rsid w:val="00F86D87"/>
    <w:rsid w:val="00F86F83"/>
    <w:rsid w:val="00F8740A"/>
    <w:rsid w:val="00F87A52"/>
    <w:rsid w:val="00F90716"/>
    <w:rsid w:val="00F908DD"/>
    <w:rsid w:val="00F90947"/>
    <w:rsid w:val="00F90F4C"/>
    <w:rsid w:val="00F92863"/>
    <w:rsid w:val="00F92CE3"/>
    <w:rsid w:val="00F933B1"/>
    <w:rsid w:val="00F95107"/>
    <w:rsid w:val="00F953AC"/>
    <w:rsid w:val="00F95661"/>
    <w:rsid w:val="00F95F02"/>
    <w:rsid w:val="00F96443"/>
    <w:rsid w:val="00F965C3"/>
    <w:rsid w:val="00F96760"/>
    <w:rsid w:val="00F968D2"/>
    <w:rsid w:val="00F979E7"/>
    <w:rsid w:val="00F97BDB"/>
    <w:rsid w:val="00FA0631"/>
    <w:rsid w:val="00FA0691"/>
    <w:rsid w:val="00FA0B75"/>
    <w:rsid w:val="00FA0C63"/>
    <w:rsid w:val="00FA1400"/>
    <w:rsid w:val="00FA1860"/>
    <w:rsid w:val="00FA1862"/>
    <w:rsid w:val="00FA1BEC"/>
    <w:rsid w:val="00FA1CBB"/>
    <w:rsid w:val="00FA1D9F"/>
    <w:rsid w:val="00FA3CDA"/>
    <w:rsid w:val="00FA547F"/>
    <w:rsid w:val="00FA5A3B"/>
    <w:rsid w:val="00FA69FB"/>
    <w:rsid w:val="00FA6D9D"/>
    <w:rsid w:val="00FB0577"/>
    <w:rsid w:val="00FB0AA2"/>
    <w:rsid w:val="00FB0ADA"/>
    <w:rsid w:val="00FB0CAD"/>
    <w:rsid w:val="00FB108E"/>
    <w:rsid w:val="00FB157C"/>
    <w:rsid w:val="00FB1A87"/>
    <w:rsid w:val="00FB22B7"/>
    <w:rsid w:val="00FB28C0"/>
    <w:rsid w:val="00FB42CD"/>
    <w:rsid w:val="00FB4461"/>
    <w:rsid w:val="00FB446E"/>
    <w:rsid w:val="00FB47BB"/>
    <w:rsid w:val="00FB4DA5"/>
    <w:rsid w:val="00FB52CD"/>
    <w:rsid w:val="00FB54FC"/>
    <w:rsid w:val="00FB5936"/>
    <w:rsid w:val="00FB6105"/>
    <w:rsid w:val="00FB66C0"/>
    <w:rsid w:val="00FB7CD1"/>
    <w:rsid w:val="00FC019C"/>
    <w:rsid w:val="00FC0335"/>
    <w:rsid w:val="00FC044E"/>
    <w:rsid w:val="00FC0771"/>
    <w:rsid w:val="00FC07AD"/>
    <w:rsid w:val="00FC1012"/>
    <w:rsid w:val="00FC10D5"/>
    <w:rsid w:val="00FC17B8"/>
    <w:rsid w:val="00FC3195"/>
    <w:rsid w:val="00FC34E0"/>
    <w:rsid w:val="00FC3BF2"/>
    <w:rsid w:val="00FC3D27"/>
    <w:rsid w:val="00FC3DD8"/>
    <w:rsid w:val="00FC43F0"/>
    <w:rsid w:val="00FC444E"/>
    <w:rsid w:val="00FC44E4"/>
    <w:rsid w:val="00FC5311"/>
    <w:rsid w:val="00FC581E"/>
    <w:rsid w:val="00FC5BB8"/>
    <w:rsid w:val="00FC5C38"/>
    <w:rsid w:val="00FC5CED"/>
    <w:rsid w:val="00FC62EA"/>
    <w:rsid w:val="00FC68D3"/>
    <w:rsid w:val="00FC7031"/>
    <w:rsid w:val="00FC72D8"/>
    <w:rsid w:val="00FC7BC6"/>
    <w:rsid w:val="00FD0494"/>
    <w:rsid w:val="00FD1192"/>
    <w:rsid w:val="00FD1A60"/>
    <w:rsid w:val="00FD1E22"/>
    <w:rsid w:val="00FD23A4"/>
    <w:rsid w:val="00FD2743"/>
    <w:rsid w:val="00FD28F1"/>
    <w:rsid w:val="00FD3273"/>
    <w:rsid w:val="00FD39A9"/>
    <w:rsid w:val="00FD4EA9"/>
    <w:rsid w:val="00FD4FF8"/>
    <w:rsid w:val="00FD5815"/>
    <w:rsid w:val="00FD58CA"/>
    <w:rsid w:val="00FD63D5"/>
    <w:rsid w:val="00FD6476"/>
    <w:rsid w:val="00FD6491"/>
    <w:rsid w:val="00FD740C"/>
    <w:rsid w:val="00FD77CE"/>
    <w:rsid w:val="00FD7D64"/>
    <w:rsid w:val="00FE01ED"/>
    <w:rsid w:val="00FE0741"/>
    <w:rsid w:val="00FE20D2"/>
    <w:rsid w:val="00FE26A0"/>
    <w:rsid w:val="00FE2DDE"/>
    <w:rsid w:val="00FE33BA"/>
    <w:rsid w:val="00FE41A2"/>
    <w:rsid w:val="00FE4212"/>
    <w:rsid w:val="00FE49DF"/>
    <w:rsid w:val="00FE5071"/>
    <w:rsid w:val="00FE545F"/>
    <w:rsid w:val="00FE6176"/>
    <w:rsid w:val="00FE6539"/>
    <w:rsid w:val="00FE66A4"/>
    <w:rsid w:val="00FE68B5"/>
    <w:rsid w:val="00FE6B2D"/>
    <w:rsid w:val="00FE6D9A"/>
    <w:rsid w:val="00FE6DC1"/>
    <w:rsid w:val="00FE713D"/>
    <w:rsid w:val="00FE7248"/>
    <w:rsid w:val="00FE75F3"/>
    <w:rsid w:val="00FE77A1"/>
    <w:rsid w:val="00FF0649"/>
    <w:rsid w:val="00FF0B26"/>
    <w:rsid w:val="00FF0C49"/>
    <w:rsid w:val="00FF0E8C"/>
    <w:rsid w:val="00FF0EC4"/>
    <w:rsid w:val="00FF10A0"/>
    <w:rsid w:val="00FF1BFC"/>
    <w:rsid w:val="00FF1C40"/>
    <w:rsid w:val="00FF1F74"/>
    <w:rsid w:val="00FF29F3"/>
    <w:rsid w:val="00FF29FD"/>
    <w:rsid w:val="00FF39B7"/>
    <w:rsid w:val="00FF39B9"/>
    <w:rsid w:val="00FF3B63"/>
    <w:rsid w:val="00FF456C"/>
    <w:rsid w:val="00FF5198"/>
    <w:rsid w:val="00FF54ED"/>
    <w:rsid w:val="00FF59CF"/>
    <w:rsid w:val="00FF64CA"/>
    <w:rsid w:val="00FF6D5B"/>
    <w:rsid w:val="03C76DAE"/>
    <w:rsid w:val="0516E720"/>
    <w:rsid w:val="07246928"/>
    <w:rsid w:val="0756F1F0"/>
    <w:rsid w:val="0886122F"/>
    <w:rsid w:val="0ADA17B8"/>
    <w:rsid w:val="0BB74CB1"/>
    <w:rsid w:val="0E39911F"/>
    <w:rsid w:val="0E535BCF"/>
    <w:rsid w:val="0E94873F"/>
    <w:rsid w:val="11549A4B"/>
    <w:rsid w:val="124A25A9"/>
    <w:rsid w:val="14ABF18A"/>
    <w:rsid w:val="14B5303A"/>
    <w:rsid w:val="159D86B3"/>
    <w:rsid w:val="17BE229D"/>
    <w:rsid w:val="198B0BAD"/>
    <w:rsid w:val="1B15E843"/>
    <w:rsid w:val="1C19CFEF"/>
    <w:rsid w:val="1D390C01"/>
    <w:rsid w:val="1D3B93DC"/>
    <w:rsid w:val="1D53F359"/>
    <w:rsid w:val="1D6B0437"/>
    <w:rsid w:val="1DEB049C"/>
    <w:rsid w:val="1EA2B2FB"/>
    <w:rsid w:val="1F0D81AE"/>
    <w:rsid w:val="22051481"/>
    <w:rsid w:val="23371AA2"/>
    <w:rsid w:val="23F0F639"/>
    <w:rsid w:val="25C284F2"/>
    <w:rsid w:val="27AD5981"/>
    <w:rsid w:val="27DF8D3D"/>
    <w:rsid w:val="28753260"/>
    <w:rsid w:val="2C5D7934"/>
    <w:rsid w:val="30372D9A"/>
    <w:rsid w:val="32793BBC"/>
    <w:rsid w:val="33113739"/>
    <w:rsid w:val="33588B82"/>
    <w:rsid w:val="33DF48BF"/>
    <w:rsid w:val="37CF89A2"/>
    <w:rsid w:val="39A32B21"/>
    <w:rsid w:val="3C596EAC"/>
    <w:rsid w:val="3D040A70"/>
    <w:rsid w:val="3EC2C778"/>
    <w:rsid w:val="4161A39E"/>
    <w:rsid w:val="41A85BDC"/>
    <w:rsid w:val="4226FB9E"/>
    <w:rsid w:val="42610E8E"/>
    <w:rsid w:val="46944E0E"/>
    <w:rsid w:val="469BEA75"/>
    <w:rsid w:val="47EDC324"/>
    <w:rsid w:val="4AE7C061"/>
    <w:rsid w:val="4B40F045"/>
    <w:rsid w:val="4B7D07BD"/>
    <w:rsid w:val="4CE3F46D"/>
    <w:rsid w:val="4D6037C3"/>
    <w:rsid w:val="4E3A94AA"/>
    <w:rsid w:val="4E52DBCE"/>
    <w:rsid w:val="4F64A050"/>
    <w:rsid w:val="50E218E5"/>
    <w:rsid w:val="5793353F"/>
    <w:rsid w:val="5825636C"/>
    <w:rsid w:val="58637378"/>
    <w:rsid w:val="59EC9507"/>
    <w:rsid w:val="5AEC3A0A"/>
    <w:rsid w:val="5E4B4F2F"/>
    <w:rsid w:val="611EC318"/>
    <w:rsid w:val="62F1E3B0"/>
    <w:rsid w:val="645799BD"/>
    <w:rsid w:val="65C8FFCA"/>
    <w:rsid w:val="65E1CDC6"/>
    <w:rsid w:val="6693FF12"/>
    <w:rsid w:val="68CEC39B"/>
    <w:rsid w:val="6AC437C2"/>
    <w:rsid w:val="6E4B0EBA"/>
    <w:rsid w:val="6F947F3E"/>
    <w:rsid w:val="7337AE6F"/>
    <w:rsid w:val="73DDF777"/>
    <w:rsid w:val="76E8042E"/>
    <w:rsid w:val="77974ABE"/>
    <w:rsid w:val="782A344C"/>
    <w:rsid w:val="78C8368D"/>
    <w:rsid w:val="7A5FD2B9"/>
    <w:rsid w:val="7BD03D9B"/>
    <w:rsid w:val="7BE87FFD"/>
    <w:rsid w:val="7C907066"/>
    <w:rsid w:val="7EA92E1C"/>
    <w:rsid w:val="7F34CB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CE6E6"/>
  <w15:chartTrackingRefBased/>
  <w15:docId w15:val="{362CF5F6-A7C5-4F4B-B262-2FF9878D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FD1"/>
    <w:pPr>
      <w:spacing w:after="200" w:line="276" w:lineRule="auto"/>
    </w:pPr>
    <w:rPr>
      <w:kern w:val="0"/>
      <w14:ligatures w14:val="none"/>
    </w:rPr>
  </w:style>
  <w:style w:type="paragraph" w:styleId="Heading1">
    <w:name w:val="heading 1"/>
    <w:basedOn w:val="Normal"/>
    <w:next w:val="Normal"/>
    <w:link w:val="Heading1Char"/>
    <w:uiPriority w:val="99"/>
    <w:qFormat/>
    <w:rsid w:val="00294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94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294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294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294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294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294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94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94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4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94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94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294FD1"/>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294FD1"/>
    <w:rPr>
      <w:rFonts w:eastAsiaTheme="majorEastAsia" w:cstheme="majorBidi"/>
      <w:i/>
      <w:iCs/>
      <w:color w:val="595959" w:themeColor="text1" w:themeTint="A6"/>
    </w:rPr>
  </w:style>
  <w:style w:type="character" w:customStyle="1" w:styleId="Heading7Char">
    <w:name w:val="Heading 7 Char"/>
    <w:basedOn w:val="DefaultParagraphFont"/>
    <w:link w:val="Heading7"/>
    <w:rsid w:val="00294FD1"/>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294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294FD1"/>
    <w:rPr>
      <w:rFonts w:eastAsiaTheme="majorEastAsia" w:cstheme="majorBidi"/>
      <w:color w:val="272727" w:themeColor="text1" w:themeTint="D8"/>
    </w:rPr>
  </w:style>
  <w:style w:type="paragraph" w:styleId="Title">
    <w:name w:val="Title"/>
    <w:basedOn w:val="Normal"/>
    <w:next w:val="Normal"/>
    <w:link w:val="TitleChar"/>
    <w:uiPriority w:val="10"/>
    <w:qFormat/>
    <w:rsid w:val="00294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FD1"/>
    <w:pPr>
      <w:spacing w:before="160"/>
      <w:jc w:val="center"/>
    </w:pPr>
    <w:rPr>
      <w:i/>
      <w:iCs/>
      <w:color w:val="404040" w:themeColor="text1" w:themeTint="BF"/>
    </w:rPr>
  </w:style>
  <w:style w:type="character" w:customStyle="1" w:styleId="QuoteChar">
    <w:name w:val="Quote Char"/>
    <w:basedOn w:val="DefaultParagraphFont"/>
    <w:link w:val="Quote"/>
    <w:uiPriority w:val="29"/>
    <w:rsid w:val="00294FD1"/>
    <w:rPr>
      <w:i/>
      <w:iCs/>
      <w:color w:val="404040" w:themeColor="text1" w:themeTint="BF"/>
    </w:rPr>
  </w:style>
  <w:style w:type="paragraph" w:styleId="ListParagraph">
    <w:name w:val="List Paragraph"/>
    <w:basedOn w:val="Normal"/>
    <w:uiPriority w:val="34"/>
    <w:qFormat/>
    <w:rsid w:val="00294FD1"/>
    <w:pPr>
      <w:ind w:left="720"/>
      <w:contextualSpacing/>
    </w:pPr>
  </w:style>
  <w:style w:type="character" w:styleId="IntenseEmphasis">
    <w:name w:val="Intense Emphasis"/>
    <w:basedOn w:val="DefaultParagraphFont"/>
    <w:uiPriority w:val="21"/>
    <w:qFormat/>
    <w:rsid w:val="00294FD1"/>
    <w:rPr>
      <w:i/>
      <w:iCs/>
      <w:color w:val="0F4761" w:themeColor="accent1" w:themeShade="BF"/>
    </w:rPr>
  </w:style>
  <w:style w:type="paragraph" w:styleId="IntenseQuote">
    <w:name w:val="Intense Quote"/>
    <w:basedOn w:val="Normal"/>
    <w:next w:val="Normal"/>
    <w:link w:val="IntenseQuoteChar"/>
    <w:uiPriority w:val="30"/>
    <w:qFormat/>
    <w:rsid w:val="00294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FD1"/>
    <w:rPr>
      <w:i/>
      <w:iCs/>
      <w:color w:val="0F4761" w:themeColor="accent1" w:themeShade="BF"/>
    </w:rPr>
  </w:style>
  <w:style w:type="character" w:styleId="IntenseReference">
    <w:name w:val="Intense Reference"/>
    <w:basedOn w:val="DefaultParagraphFont"/>
    <w:uiPriority w:val="32"/>
    <w:qFormat/>
    <w:rsid w:val="00294FD1"/>
    <w:rPr>
      <w:b/>
      <w:bCs/>
      <w:smallCaps/>
      <w:color w:val="0F4761" w:themeColor="accent1" w:themeShade="BF"/>
      <w:spacing w:val="5"/>
    </w:rPr>
  </w:style>
  <w:style w:type="paragraph" w:styleId="BodyText">
    <w:name w:val="Body Text"/>
    <w:basedOn w:val="Normal"/>
    <w:link w:val="BodyTextChar"/>
    <w:uiPriority w:val="99"/>
    <w:rsid w:val="00294FD1"/>
    <w:pPr>
      <w:tabs>
        <w:tab w:val="left" w:pos="709"/>
        <w:tab w:val="left" w:pos="1559"/>
        <w:tab w:val="left" w:pos="2268"/>
        <w:tab w:val="left" w:pos="2977"/>
        <w:tab w:val="left" w:pos="3686"/>
        <w:tab w:val="left" w:pos="4394"/>
        <w:tab w:val="right" w:pos="8789"/>
      </w:tabs>
      <w:spacing w:after="0" w:line="240" w:lineRule="auto"/>
      <w:jc w:val="both"/>
    </w:pPr>
    <w:rPr>
      <w:rFonts w:ascii="Arial" w:eastAsia="Batang" w:hAnsi="Arial" w:cs="Times New Roman"/>
      <w:sz w:val="20"/>
      <w:szCs w:val="20"/>
      <w:lang w:eastAsia="ko-KR"/>
    </w:rPr>
  </w:style>
  <w:style w:type="character" w:customStyle="1" w:styleId="BodyTextChar">
    <w:name w:val="Body Text Char"/>
    <w:basedOn w:val="DefaultParagraphFont"/>
    <w:link w:val="BodyText"/>
    <w:uiPriority w:val="99"/>
    <w:rsid w:val="00294FD1"/>
    <w:rPr>
      <w:rFonts w:ascii="Arial" w:eastAsia="Batang" w:hAnsi="Arial" w:cs="Times New Roman"/>
      <w:kern w:val="0"/>
      <w:sz w:val="20"/>
      <w:szCs w:val="20"/>
      <w:lang w:eastAsia="ko-KR"/>
      <w14:ligatures w14:val="none"/>
    </w:rPr>
  </w:style>
  <w:style w:type="paragraph" w:customStyle="1" w:styleId="Alpha">
    <w:name w:val="Alpha"/>
    <w:basedOn w:val="Normal"/>
    <w:next w:val="BodyText"/>
    <w:uiPriority w:val="99"/>
    <w:rsid w:val="00294FD1"/>
    <w:pPr>
      <w:tabs>
        <w:tab w:val="left" w:pos="709"/>
        <w:tab w:val="left" w:pos="1559"/>
        <w:tab w:val="left" w:pos="2268"/>
        <w:tab w:val="left" w:pos="2977"/>
        <w:tab w:val="left" w:pos="3686"/>
        <w:tab w:val="left" w:pos="4394"/>
        <w:tab w:val="right" w:pos="8789"/>
      </w:tabs>
      <w:spacing w:before="100" w:after="100" w:line="260" w:lineRule="atLeast"/>
      <w:ind w:left="709" w:hanging="709"/>
    </w:pPr>
    <w:rPr>
      <w:rFonts w:ascii="Times New Roman" w:eastAsia="Batang" w:hAnsi="Times New Roman" w:cs="Times New Roman"/>
      <w:szCs w:val="20"/>
    </w:rPr>
  </w:style>
  <w:style w:type="paragraph" w:customStyle="1" w:styleId="AlphaBrackets">
    <w:name w:val="AlphaBrackets"/>
    <w:basedOn w:val="BodyText"/>
    <w:next w:val="BodyText"/>
    <w:uiPriority w:val="99"/>
    <w:rsid w:val="00294FD1"/>
    <w:pPr>
      <w:ind w:left="709" w:hanging="709"/>
    </w:pPr>
    <w:rPr>
      <w:lang w:eastAsia="en-US"/>
    </w:rPr>
  </w:style>
  <w:style w:type="paragraph" w:styleId="Footer">
    <w:name w:val="footer"/>
    <w:basedOn w:val="Normal"/>
    <w:link w:val="FooterChar"/>
    <w:uiPriority w:val="99"/>
    <w:rsid w:val="00294FD1"/>
    <w:pPr>
      <w:tabs>
        <w:tab w:val="right" w:pos="8789"/>
      </w:tabs>
      <w:spacing w:after="0" w:line="260" w:lineRule="atLeast"/>
    </w:pPr>
    <w:rPr>
      <w:rFonts w:ascii="Times New Roman" w:eastAsia="Batang" w:hAnsi="Times New Roman" w:cs="Times New Roman"/>
      <w:sz w:val="14"/>
      <w:szCs w:val="20"/>
      <w:lang w:eastAsia="ko-KR"/>
    </w:rPr>
  </w:style>
  <w:style w:type="character" w:customStyle="1" w:styleId="FooterChar">
    <w:name w:val="Footer Char"/>
    <w:basedOn w:val="DefaultParagraphFont"/>
    <w:link w:val="Footer"/>
    <w:uiPriority w:val="99"/>
    <w:rsid w:val="00294FD1"/>
    <w:rPr>
      <w:rFonts w:ascii="Times New Roman" w:eastAsia="Batang" w:hAnsi="Times New Roman" w:cs="Times New Roman"/>
      <w:kern w:val="0"/>
      <w:sz w:val="14"/>
      <w:szCs w:val="20"/>
      <w:lang w:eastAsia="ko-KR"/>
      <w14:ligatures w14:val="none"/>
    </w:rPr>
  </w:style>
  <w:style w:type="paragraph" w:styleId="TOC5">
    <w:name w:val="toc 5"/>
    <w:basedOn w:val="Normal"/>
    <w:next w:val="Normal"/>
    <w:uiPriority w:val="99"/>
    <w:rsid w:val="00294FD1"/>
    <w:pPr>
      <w:spacing w:after="0" w:line="240" w:lineRule="auto"/>
    </w:pPr>
    <w:rPr>
      <w:rFonts w:ascii="Times New Roman" w:eastAsia="Batang" w:hAnsi="Times New Roman" w:cs="Times New Roman"/>
      <w:szCs w:val="20"/>
      <w:lang w:eastAsia="ko-KR"/>
    </w:rPr>
  </w:style>
  <w:style w:type="paragraph" w:customStyle="1" w:styleId="Numeric">
    <w:name w:val="Numeric"/>
    <w:basedOn w:val="BodyText"/>
    <w:next w:val="BodyText"/>
    <w:uiPriority w:val="99"/>
    <w:rsid w:val="00294FD1"/>
    <w:pPr>
      <w:ind w:left="709" w:hanging="709"/>
    </w:pPr>
    <w:rPr>
      <w:lang w:eastAsia="en-US"/>
    </w:rPr>
  </w:style>
  <w:style w:type="paragraph" w:customStyle="1" w:styleId="NumericBrackets">
    <w:name w:val="NumericBrackets"/>
    <w:basedOn w:val="BodyText"/>
    <w:next w:val="BodyText"/>
    <w:uiPriority w:val="99"/>
    <w:rsid w:val="00294FD1"/>
    <w:pPr>
      <w:ind w:left="709" w:hanging="709"/>
    </w:pPr>
    <w:rPr>
      <w:lang w:eastAsia="en-US"/>
    </w:rPr>
  </w:style>
  <w:style w:type="paragraph" w:customStyle="1" w:styleId="ScheduleHeading1">
    <w:name w:val="Schedule Heading 1"/>
    <w:basedOn w:val="BodyText"/>
    <w:next w:val="BodyText"/>
    <w:uiPriority w:val="99"/>
    <w:rsid w:val="00294FD1"/>
    <w:pPr>
      <w:keepNext/>
      <w:numPr>
        <w:numId w:val="1"/>
      </w:numPr>
      <w:spacing w:before="200"/>
    </w:pPr>
    <w:rPr>
      <w:b/>
      <w:caps/>
    </w:rPr>
  </w:style>
  <w:style w:type="paragraph" w:customStyle="1" w:styleId="ScheduleHeading2">
    <w:name w:val="Schedule Heading 2"/>
    <w:basedOn w:val="BodyText"/>
    <w:next w:val="BodyText"/>
    <w:uiPriority w:val="99"/>
    <w:rsid w:val="00294FD1"/>
    <w:pPr>
      <w:keepNext/>
      <w:numPr>
        <w:ilvl w:val="1"/>
        <w:numId w:val="1"/>
      </w:numPr>
    </w:pPr>
    <w:rPr>
      <w:b/>
    </w:rPr>
  </w:style>
  <w:style w:type="paragraph" w:customStyle="1" w:styleId="ScheduleHeading3">
    <w:name w:val="Schedule Heading 3"/>
    <w:basedOn w:val="BodyText"/>
    <w:next w:val="BodyText"/>
    <w:uiPriority w:val="99"/>
    <w:rsid w:val="00294FD1"/>
    <w:pPr>
      <w:numPr>
        <w:ilvl w:val="2"/>
        <w:numId w:val="1"/>
      </w:numPr>
      <w:tabs>
        <w:tab w:val="clear" w:pos="709"/>
      </w:tabs>
    </w:pPr>
  </w:style>
  <w:style w:type="paragraph" w:styleId="TOC1">
    <w:name w:val="toc 1"/>
    <w:basedOn w:val="BodyText"/>
    <w:next w:val="BodyText"/>
    <w:uiPriority w:val="99"/>
    <w:rsid w:val="00294FD1"/>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99"/>
    <w:rsid w:val="00294FD1"/>
    <w:pPr>
      <w:tabs>
        <w:tab w:val="clear" w:pos="709"/>
        <w:tab w:val="clear" w:pos="1559"/>
        <w:tab w:val="clear" w:pos="2268"/>
        <w:tab w:val="clear" w:pos="2977"/>
        <w:tab w:val="clear" w:pos="3686"/>
        <w:tab w:val="clear" w:pos="4394"/>
        <w:tab w:val="left" w:leader="dot" w:pos="1701"/>
        <w:tab w:val="right" w:leader="dot" w:pos="8789"/>
      </w:tabs>
      <w:ind w:left="1134" w:right="992" w:hanging="1134"/>
    </w:pPr>
    <w:rPr>
      <w:noProof/>
    </w:rPr>
  </w:style>
  <w:style w:type="paragraph" w:styleId="TOC3">
    <w:name w:val="toc 3"/>
    <w:basedOn w:val="BodyText"/>
    <w:next w:val="BodyText"/>
    <w:uiPriority w:val="99"/>
    <w:rsid w:val="00294FD1"/>
    <w:pPr>
      <w:tabs>
        <w:tab w:val="clear" w:pos="709"/>
        <w:tab w:val="clear" w:pos="1559"/>
        <w:tab w:val="clear" w:pos="2268"/>
        <w:tab w:val="clear" w:pos="2977"/>
        <w:tab w:val="clear" w:pos="3686"/>
        <w:tab w:val="clear" w:pos="4394"/>
        <w:tab w:val="left" w:pos="1134"/>
        <w:tab w:val="right" w:leader="dot" w:pos="8789"/>
      </w:tabs>
      <w:adjustRightInd w:val="0"/>
      <w:ind w:left="1985" w:right="992" w:hanging="851"/>
    </w:pPr>
  </w:style>
  <w:style w:type="paragraph" w:styleId="TOC4">
    <w:name w:val="toc 4"/>
    <w:basedOn w:val="BodyText"/>
    <w:next w:val="BodyText"/>
    <w:uiPriority w:val="99"/>
    <w:rsid w:val="00294FD1"/>
    <w:pPr>
      <w:tabs>
        <w:tab w:val="clear" w:pos="709"/>
        <w:tab w:val="clear" w:pos="1559"/>
        <w:tab w:val="clear" w:pos="2268"/>
        <w:tab w:val="clear" w:pos="2977"/>
        <w:tab w:val="clear" w:pos="3686"/>
        <w:tab w:val="clear" w:pos="4394"/>
        <w:tab w:val="right" w:leader="dot" w:pos="8789"/>
      </w:tabs>
      <w:ind w:left="851" w:right="992"/>
    </w:pPr>
  </w:style>
  <w:style w:type="paragraph" w:styleId="TOC6">
    <w:name w:val="toc 6"/>
    <w:basedOn w:val="Normal"/>
    <w:next w:val="Normal"/>
    <w:uiPriority w:val="99"/>
    <w:rsid w:val="00294FD1"/>
    <w:pPr>
      <w:spacing w:after="0" w:line="240" w:lineRule="auto"/>
    </w:pPr>
    <w:rPr>
      <w:rFonts w:ascii="Times New Roman" w:eastAsia="Batang" w:hAnsi="Times New Roman" w:cs="Times New Roman"/>
      <w:szCs w:val="20"/>
      <w:lang w:eastAsia="ko-KR"/>
    </w:rPr>
  </w:style>
  <w:style w:type="paragraph" w:styleId="TOC7">
    <w:name w:val="toc 7"/>
    <w:basedOn w:val="Normal"/>
    <w:next w:val="Normal"/>
    <w:uiPriority w:val="99"/>
    <w:rsid w:val="00294FD1"/>
    <w:pPr>
      <w:spacing w:after="0" w:line="240" w:lineRule="auto"/>
    </w:pPr>
    <w:rPr>
      <w:rFonts w:ascii="Times New Roman" w:eastAsia="Batang" w:hAnsi="Times New Roman" w:cs="Times New Roman"/>
      <w:szCs w:val="20"/>
      <w:lang w:eastAsia="ko-KR"/>
    </w:rPr>
  </w:style>
  <w:style w:type="paragraph" w:styleId="TOC8">
    <w:name w:val="toc 8"/>
    <w:basedOn w:val="Normal"/>
    <w:next w:val="Normal"/>
    <w:uiPriority w:val="99"/>
    <w:rsid w:val="00294FD1"/>
    <w:pPr>
      <w:spacing w:after="0" w:line="240" w:lineRule="auto"/>
    </w:pPr>
    <w:rPr>
      <w:rFonts w:ascii="Times New Roman" w:eastAsia="Batang" w:hAnsi="Times New Roman" w:cs="Times New Roman"/>
      <w:szCs w:val="20"/>
      <w:lang w:eastAsia="ko-KR"/>
    </w:rPr>
  </w:style>
  <w:style w:type="paragraph" w:styleId="TOC9">
    <w:name w:val="toc 9"/>
    <w:basedOn w:val="Normal"/>
    <w:next w:val="Normal"/>
    <w:uiPriority w:val="99"/>
    <w:rsid w:val="00294FD1"/>
    <w:pPr>
      <w:spacing w:after="0" w:line="240" w:lineRule="auto"/>
    </w:pPr>
    <w:rPr>
      <w:rFonts w:ascii="Times New Roman" w:eastAsia="Batang" w:hAnsi="Times New Roman" w:cs="Times New Roman"/>
      <w:szCs w:val="20"/>
      <w:lang w:eastAsia="ko-KR"/>
    </w:rPr>
  </w:style>
  <w:style w:type="paragraph" w:customStyle="1" w:styleId="ScheduleHeading4">
    <w:name w:val="Schedule Heading 4"/>
    <w:basedOn w:val="BodyText"/>
    <w:next w:val="BodyText"/>
    <w:uiPriority w:val="99"/>
    <w:rsid w:val="00294FD1"/>
    <w:pPr>
      <w:numPr>
        <w:ilvl w:val="3"/>
        <w:numId w:val="1"/>
      </w:numPr>
      <w:tabs>
        <w:tab w:val="clear" w:pos="709"/>
        <w:tab w:val="clear" w:pos="1559"/>
      </w:tabs>
    </w:pPr>
  </w:style>
  <w:style w:type="character" w:styleId="FootnoteReference">
    <w:name w:val="footnote reference"/>
    <w:basedOn w:val="DefaultParagraphFont"/>
    <w:uiPriority w:val="99"/>
    <w:rsid w:val="00294FD1"/>
    <w:rPr>
      <w:rFonts w:cs="Times New Roman"/>
      <w:vertAlign w:val="superscript"/>
    </w:rPr>
  </w:style>
  <w:style w:type="paragraph" w:customStyle="1" w:styleId="ScheduleHeading5">
    <w:name w:val="Schedule Heading 5"/>
    <w:basedOn w:val="BodyText"/>
    <w:next w:val="BodyText"/>
    <w:uiPriority w:val="99"/>
    <w:rsid w:val="00294FD1"/>
    <w:pPr>
      <w:numPr>
        <w:ilvl w:val="4"/>
        <w:numId w:val="1"/>
      </w:numPr>
      <w:tabs>
        <w:tab w:val="clear" w:pos="709"/>
        <w:tab w:val="clear" w:pos="1559"/>
        <w:tab w:val="clear" w:pos="2268"/>
      </w:tabs>
    </w:pPr>
  </w:style>
  <w:style w:type="paragraph" w:styleId="BlockText">
    <w:name w:val="Block Text"/>
    <w:basedOn w:val="Normal"/>
    <w:uiPriority w:val="99"/>
    <w:rsid w:val="00294FD1"/>
    <w:pPr>
      <w:tabs>
        <w:tab w:val="left" w:pos="709"/>
        <w:tab w:val="left" w:pos="1559"/>
        <w:tab w:val="left" w:pos="2268"/>
        <w:tab w:val="left" w:pos="2977"/>
        <w:tab w:val="left" w:pos="3686"/>
        <w:tab w:val="left" w:pos="4394"/>
        <w:tab w:val="right" w:pos="8789"/>
      </w:tabs>
      <w:spacing w:after="120" w:line="260" w:lineRule="atLeast"/>
      <w:ind w:left="1440" w:right="1440"/>
    </w:pPr>
    <w:rPr>
      <w:rFonts w:ascii="Times New Roman" w:eastAsia="Batang" w:hAnsi="Times New Roman" w:cs="Times New Roman"/>
      <w:szCs w:val="20"/>
      <w:lang w:eastAsia="ko-KR"/>
    </w:rPr>
  </w:style>
  <w:style w:type="paragraph" w:customStyle="1" w:styleId="ScheduleHeading6">
    <w:name w:val="Schedule Heading 6"/>
    <w:basedOn w:val="BodyText"/>
    <w:next w:val="BodyText"/>
    <w:uiPriority w:val="99"/>
    <w:rsid w:val="00294FD1"/>
    <w:pPr>
      <w:numPr>
        <w:ilvl w:val="5"/>
        <w:numId w:val="1"/>
      </w:numPr>
      <w:tabs>
        <w:tab w:val="clear" w:pos="709"/>
        <w:tab w:val="clear" w:pos="1559"/>
        <w:tab w:val="clear" w:pos="2268"/>
        <w:tab w:val="clear" w:pos="2977"/>
      </w:tabs>
    </w:pPr>
  </w:style>
  <w:style w:type="paragraph" w:customStyle="1" w:styleId="ScheduleHeading7">
    <w:name w:val="Schedule Heading 7"/>
    <w:basedOn w:val="BodyText"/>
    <w:next w:val="BodyText"/>
    <w:uiPriority w:val="99"/>
    <w:rsid w:val="00294FD1"/>
    <w:pPr>
      <w:numPr>
        <w:ilvl w:val="6"/>
        <w:numId w:val="1"/>
      </w:numPr>
      <w:tabs>
        <w:tab w:val="clear" w:pos="709"/>
        <w:tab w:val="clear" w:pos="1559"/>
        <w:tab w:val="clear" w:pos="2268"/>
        <w:tab w:val="clear" w:pos="2977"/>
        <w:tab w:val="clear" w:pos="3686"/>
      </w:tabs>
    </w:pPr>
  </w:style>
  <w:style w:type="paragraph" w:styleId="FootnoteText">
    <w:name w:val="footnote text"/>
    <w:basedOn w:val="Normal"/>
    <w:next w:val="FootnoteTextContinue"/>
    <w:link w:val="FootnoteTextChar"/>
    <w:autoRedefine/>
    <w:uiPriority w:val="99"/>
    <w:rsid w:val="00294FD1"/>
    <w:pPr>
      <w:spacing w:after="0" w:line="240" w:lineRule="auto"/>
      <w:ind w:left="119" w:hanging="119"/>
    </w:pPr>
    <w:rPr>
      <w:rFonts w:ascii="Arial" w:eastAsia="Batang" w:hAnsi="Arial" w:cs="Arial"/>
      <w:sz w:val="16"/>
      <w:szCs w:val="16"/>
      <w:lang w:eastAsia="ko-KR"/>
    </w:rPr>
  </w:style>
  <w:style w:type="character" w:customStyle="1" w:styleId="FootnoteTextChar">
    <w:name w:val="Footnote Text Char"/>
    <w:basedOn w:val="DefaultParagraphFont"/>
    <w:link w:val="FootnoteText"/>
    <w:uiPriority w:val="99"/>
    <w:rsid w:val="00294FD1"/>
    <w:rPr>
      <w:rFonts w:ascii="Arial" w:eastAsia="Batang" w:hAnsi="Arial" w:cs="Arial"/>
      <w:kern w:val="0"/>
      <w:sz w:val="16"/>
      <w:szCs w:val="16"/>
      <w:lang w:eastAsia="ko-KR"/>
      <w14:ligatures w14:val="none"/>
    </w:rPr>
  </w:style>
  <w:style w:type="paragraph" w:customStyle="1" w:styleId="FootnoteTextContinue">
    <w:name w:val="Footnote Text Continue"/>
    <w:basedOn w:val="Normal"/>
    <w:autoRedefine/>
    <w:uiPriority w:val="99"/>
    <w:rsid w:val="00294FD1"/>
    <w:pPr>
      <w:spacing w:after="0" w:line="240" w:lineRule="auto"/>
      <w:ind w:left="119"/>
    </w:pPr>
    <w:rPr>
      <w:rFonts w:ascii="Times New Roman" w:eastAsia="Batang" w:hAnsi="Times New Roman" w:cs="Times New Roman"/>
      <w:sz w:val="20"/>
      <w:szCs w:val="20"/>
      <w:lang w:eastAsia="ko-KR"/>
    </w:rPr>
  </w:style>
  <w:style w:type="paragraph" w:customStyle="1" w:styleId="Notetext">
    <w:name w:val="Note text"/>
    <w:basedOn w:val="BodyText"/>
    <w:uiPriority w:val="99"/>
    <w:rsid w:val="00294FD1"/>
    <w:rPr>
      <w:sz w:val="16"/>
    </w:rPr>
  </w:style>
  <w:style w:type="paragraph" w:styleId="Header">
    <w:name w:val="header"/>
    <w:basedOn w:val="Normal"/>
    <w:link w:val="HeaderChar"/>
    <w:uiPriority w:val="99"/>
    <w:rsid w:val="00294FD1"/>
    <w:pPr>
      <w:tabs>
        <w:tab w:val="center" w:pos="4153"/>
        <w:tab w:val="right" w:pos="8306"/>
      </w:tabs>
      <w:spacing w:after="0" w:line="260" w:lineRule="atLeast"/>
    </w:pPr>
    <w:rPr>
      <w:rFonts w:ascii="Times New Roman" w:eastAsia="Batang" w:hAnsi="Times New Roman" w:cs="Times New Roman"/>
      <w:szCs w:val="20"/>
      <w:lang w:eastAsia="ko-KR"/>
    </w:rPr>
  </w:style>
  <w:style w:type="character" w:customStyle="1" w:styleId="HeaderChar">
    <w:name w:val="Header Char"/>
    <w:basedOn w:val="DefaultParagraphFont"/>
    <w:link w:val="Header"/>
    <w:uiPriority w:val="99"/>
    <w:rsid w:val="00294FD1"/>
    <w:rPr>
      <w:rFonts w:ascii="Times New Roman" w:eastAsia="Batang" w:hAnsi="Times New Roman" w:cs="Times New Roman"/>
      <w:kern w:val="0"/>
      <w:szCs w:val="20"/>
      <w:lang w:eastAsia="ko-KR"/>
      <w14:ligatures w14:val="none"/>
    </w:rPr>
  </w:style>
  <w:style w:type="paragraph" w:styleId="Date">
    <w:name w:val="Date"/>
    <w:basedOn w:val="Normal"/>
    <w:next w:val="Normal"/>
    <w:link w:val="DateChar"/>
    <w:uiPriority w:val="99"/>
    <w:rsid w:val="00294FD1"/>
    <w:pPr>
      <w:tabs>
        <w:tab w:val="left" w:pos="709"/>
        <w:tab w:val="left" w:pos="1559"/>
        <w:tab w:val="left" w:pos="2268"/>
        <w:tab w:val="left" w:pos="2977"/>
        <w:tab w:val="left" w:pos="3686"/>
        <w:tab w:val="left" w:pos="4394"/>
        <w:tab w:val="right" w:pos="8789"/>
      </w:tabs>
      <w:spacing w:after="0" w:line="260" w:lineRule="atLeast"/>
    </w:pPr>
    <w:rPr>
      <w:rFonts w:ascii="Times New Roman" w:eastAsia="Batang" w:hAnsi="Times New Roman" w:cs="Times New Roman"/>
      <w:szCs w:val="20"/>
      <w:lang w:eastAsia="ko-KR"/>
    </w:rPr>
  </w:style>
  <w:style w:type="character" w:customStyle="1" w:styleId="DateChar">
    <w:name w:val="Date Char"/>
    <w:basedOn w:val="DefaultParagraphFont"/>
    <w:link w:val="Date"/>
    <w:uiPriority w:val="99"/>
    <w:rsid w:val="00294FD1"/>
    <w:rPr>
      <w:rFonts w:ascii="Times New Roman" w:eastAsia="Batang" w:hAnsi="Times New Roman" w:cs="Times New Roman"/>
      <w:kern w:val="0"/>
      <w:szCs w:val="20"/>
      <w:lang w:eastAsia="ko-KR"/>
      <w14:ligatures w14:val="none"/>
    </w:rPr>
  </w:style>
  <w:style w:type="table" w:styleId="TableGrid">
    <w:name w:val="Table Grid"/>
    <w:basedOn w:val="TableNormal"/>
    <w:uiPriority w:val="39"/>
    <w:rsid w:val="00294FD1"/>
    <w:pPr>
      <w:tabs>
        <w:tab w:val="left" w:pos="709"/>
        <w:tab w:val="left" w:pos="1559"/>
        <w:tab w:val="left" w:pos="2268"/>
        <w:tab w:val="left" w:pos="2977"/>
        <w:tab w:val="left" w:pos="3686"/>
        <w:tab w:val="left" w:pos="4394"/>
        <w:tab w:val="right" w:pos="8789"/>
      </w:tabs>
      <w:spacing w:after="0" w:line="260" w:lineRule="atLeast"/>
    </w:pPr>
    <w:rPr>
      <w:rFonts w:ascii="Times New Roman" w:eastAsia="Batang"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94FD1"/>
    <w:rPr>
      <w:rFonts w:cs="Times New Roman"/>
      <w:color w:val="0000FF"/>
      <w:u w:val="single"/>
    </w:rPr>
  </w:style>
  <w:style w:type="paragraph" w:styleId="BalloonText">
    <w:name w:val="Balloon Text"/>
    <w:basedOn w:val="Normal"/>
    <w:link w:val="BalloonTextChar"/>
    <w:uiPriority w:val="99"/>
    <w:rsid w:val="00294FD1"/>
    <w:pPr>
      <w:tabs>
        <w:tab w:val="left" w:pos="709"/>
        <w:tab w:val="left" w:pos="1559"/>
        <w:tab w:val="left" w:pos="2268"/>
        <w:tab w:val="left" w:pos="2977"/>
        <w:tab w:val="left" w:pos="3686"/>
        <w:tab w:val="left" w:pos="4394"/>
        <w:tab w:val="right" w:pos="8789"/>
      </w:tabs>
      <w:spacing w:after="0" w:line="260" w:lineRule="atLeast"/>
    </w:pPr>
    <w:rPr>
      <w:rFonts w:ascii="Tahoma" w:eastAsia="Batang" w:hAnsi="Tahoma" w:cs="Tahoma"/>
      <w:sz w:val="16"/>
      <w:szCs w:val="16"/>
      <w:lang w:eastAsia="ko-KR"/>
    </w:rPr>
  </w:style>
  <w:style w:type="character" w:customStyle="1" w:styleId="BalloonTextChar">
    <w:name w:val="Balloon Text Char"/>
    <w:basedOn w:val="DefaultParagraphFont"/>
    <w:link w:val="BalloonText"/>
    <w:uiPriority w:val="99"/>
    <w:rsid w:val="00294FD1"/>
    <w:rPr>
      <w:rFonts w:ascii="Tahoma" w:eastAsia="Batang" w:hAnsi="Tahoma" w:cs="Tahoma"/>
      <w:kern w:val="0"/>
      <w:sz w:val="16"/>
      <w:szCs w:val="16"/>
      <w:lang w:eastAsia="ko-KR"/>
      <w14:ligatures w14:val="none"/>
    </w:rPr>
  </w:style>
  <w:style w:type="paragraph" w:styleId="NormalWeb">
    <w:name w:val="Normal (Web)"/>
    <w:basedOn w:val="Normal"/>
    <w:uiPriority w:val="99"/>
    <w:rsid w:val="00294FD1"/>
    <w:pPr>
      <w:spacing w:before="100" w:beforeAutospacing="1" w:after="100" w:afterAutospacing="1" w:line="240" w:lineRule="auto"/>
    </w:pPr>
    <w:rPr>
      <w:rFonts w:ascii="Times New Roman" w:eastAsia="Batang" w:hAnsi="Times New Roman" w:cs="Times New Roman"/>
      <w:sz w:val="24"/>
      <w:szCs w:val="24"/>
      <w:lang w:eastAsia="en-GB"/>
    </w:rPr>
  </w:style>
  <w:style w:type="paragraph" w:customStyle="1" w:styleId="ACNotesText">
    <w:name w:val="AC Notes Text"/>
    <w:basedOn w:val="Normal"/>
    <w:uiPriority w:val="99"/>
    <w:rsid w:val="00294FD1"/>
    <w:pPr>
      <w:tabs>
        <w:tab w:val="left" w:pos="0"/>
      </w:tabs>
      <w:suppressAutoHyphens/>
      <w:overflowPunct w:val="0"/>
      <w:autoSpaceDE w:val="0"/>
      <w:autoSpaceDN w:val="0"/>
      <w:adjustRightInd w:val="0"/>
      <w:spacing w:before="130" w:after="0" w:line="240" w:lineRule="auto"/>
      <w:jc w:val="both"/>
      <w:textAlignment w:val="baseline"/>
    </w:pPr>
    <w:rPr>
      <w:rFonts w:ascii="Times New Roman" w:eastAsia="Batang" w:hAnsi="Times New Roman" w:cs="Times New Roman"/>
      <w:sz w:val="20"/>
      <w:szCs w:val="20"/>
    </w:rPr>
  </w:style>
  <w:style w:type="paragraph" w:customStyle="1" w:styleId="Bracketalign">
    <w:name w:val="Bracketalign"/>
    <w:basedOn w:val="Normal"/>
    <w:uiPriority w:val="99"/>
    <w:rsid w:val="00294FD1"/>
    <w:pPr>
      <w:overflowPunct w:val="0"/>
      <w:autoSpaceDE w:val="0"/>
      <w:autoSpaceDN w:val="0"/>
      <w:adjustRightInd w:val="0"/>
      <w:spacing w:after="0" w:line="240" w:lineRule="auto"/>
      <w:jc w:val="both"/>
      <w:textAlignment w:val="baseline"/>
    </w:pPr>
    <w:rPr>
      <w:rFonts w:ascii="Times New Roman" w:eastAsia="Batang" w:hAnsi="Times New Roman" w:cs="Times New Roman"/>
      <w:sz w:val="18"/>
      <w:szCs w:val="20"/>
    </w:rPr>
  </w:style>
  <w:style w:type="paragraph" w:customStyle="1" w:styleId="Bullet">
    <w:name w:val="Bullet"/>
    <w:basedOn w:val="Normal"/>
    <w:uiPriority w:val="99"/>
    <w:rsid w:val="00294FD1"/>
    <w:pPr>
      <w:tabs>
        <w:tab w:val="left" w:pos="284"/>
        <w:tab w:val="num" w:pos="643"/>
        <w:tab w:val="num" w:pos="720"/>
      </w:tabs>
      <w:overflowPunct w:val="0"/>
      <w:autoSpaceDE w:val="0"/>
      <w:autoSpaceDN w:val="0"/>
      <w:adjustRightInd w:val="0"/>
      <w:spacing w:before="130" w:after="0" w:line="240" w:lineRule="auto"/>
      <w:ind w:left="720" w:hanging="360"/>
      <w:jc w:val="both"/>
      <w:textAlignment w:val="baseline"/>
    </w:pPr>
    <w:rPr>
      <w:rFonts w:ascii="Times New Roman" w:eastAsia="Batang" w:hAnsi="Times New Roman" w:cs="Times New Roman"/>
      <w:sz w:val="18"/>
      <w:szCs w:val="20"/>
    </w:rPr>
  </w:style>
  <w:style w:type="paragraph" w:customStyle="1" w:styleId="ContentsHeader">
    <w:name w:val="Contents Header"/>
    <w:basedOn w:val="Heading1"/>
    <w:next w:val="TOC1"/>
    <w:uiPriority w:val="99"/>
    <w:rsid w:val="00294FD1"/>
    <w:pPr>
      <w:keepLines w:val="0"/>
      <w:overflowPunct w:val="0"/>
      <w:autoSpaceDE w:val="0"/>
      <w:autoSpaceDN w:val="0"/>
      <w:adjustRightInd w:val="0"/>
      <w:spacing w:before="0" w:after="0" w:line="240" w:lineRule="auto"/>
      <w:ind w:left="709" w:hanging="709"/>
      <w:textAlignment w:val="baseline"/>
      <w:outlineLvl w:val="9"/>
    </w:pPr>
    <w:rPr>
      <w:rFonts w:ascii="Times New Roman" w:eastAsia="Batang" w:hAnsi="Times New Roman" w:cs="Times New Roman"/>
      <w:color w:val="auto"/>
      <w:sz w:val="36"/>
      <w:szCs w:val="20"/>
    </w:rPr>
  </w:style>
  <w:style w:type="character" w:customStyle="1" w:styleId="ContentsPageNumber">
    <w:name w:val="Contents Page Number"/>
    <w:basedOn w:val="DefaultParagraphFont"/>
    <w:uiPriority w:val="99"/>
    <w:rsid w:val="00294FD1"/>
    <w:rPr>
      <w:rFonts w:ascii="Times New Roman" w:hAnsi="Times New Roman" w:cs="Times New Roman"/>
      <w:sz w:val="22"/>
    </w:rPr>
  </w:style>
  <w:style w:type="paragraph" w:customStyle="1" w:styleId="CompanyTitle">
    <w:name w:val="Company_Title"/>
    <w:next w:val="Normal"/>
    <w:uiPriority w:val="99"/>
    <w:rsid w:val="00294FD1"/>
    <w:pPr>
      <w:framePr w:w="5670" w:h="2948" w:hRule="exact" w:vSpace="181" w:wrap="notBeside" w:vAnchor="page" w:hAnchor="page" w:x="3171" w:y="5671" w:anchorLock="1"/>
      <w:widowControl w:val="0"/>
      <w:overflowPunct w:val="0"/>
      <w:autoSpaceDE w:val="0"/>
      <w:autoSpaceDN w:val="0"/>
      <w:adjustRightInd w:val="0"/>
      <w:spacing w:after="0" w:line="240" w:lineRule="auto"/>
      <w:ind w:left="113"/>
      <w:textAlignment w:val="baseline"/>
    </w:pPr>
    <w:rPr>
      <w:rFonts w:ascii="Tms Rmn" w:eastAsia="Batang" w:hAnsi="Tms Rmn" w:cs="Times New Roman"/>
      <w:b/>
      <w:noProof/>
      <w:spacing w:val="-4"/>
      <w:kern w:val="0"/>
      <w:sz w:val="26"/>
      <w:szCs w:val="20"/>
      <w14:ligatures w14:val="none"/>
    </w:rPr>
  </w:style>
  <w:style w:type="paragraph" w:customStyle="1" w:styleId="CoverInformation">
    <w:name w:val="Cover Information"/>
    <w:basedOn w:val="Normal"/>
    <w:uiPriority w:val="99"/>
    <w:rsid w:val="00294FD1"/>
    <w:pPr>
      <w:framePr w:w="4536" w:hSpace="180" w:vSpace="180" w:wrap="auto" w:vAnchor="page" w:hAnchor="page" w:x="3601" w:y="14176"/>
      <w:overflowPunct w:val="0"/>
      <w:autoSpaceDE w:val="0"/>
      <w:autoSpaceDN w:val="0"/>
      <w:adjustRightInd w:val="0"/>
      <w:spacing w:after="0" w:line="260" w:lineRule="exact"/>
      <w:ind w:left="284"/>
      <w:jc w:val="both"/>
      <w:textAlignment w:val="baseline"/>
    </w:pPr>
    <w:rPr>
      <w:rFonts w:ascii="Times New Roman" w:eastAsia="Batang" w:hAnsi="Times New Roman" w:cs="Times New Roman"/>
      <w:szCs w:val="20"/>
    </w:rPr>
  </w:style>
  <w:style w:type="paragraph" w:customStyle="1" w:styleId="CoverTitle">
    <w:name w:val="Cover Title"/>
    <w:basedOn w:val="Normal"/>
    <w:uiPriority w:val="99"/>
    <w:rsid w:val="00294FD1"/>
    <w:pPr>
      <w:overflowPunct w:val="0"/>
      <w:autoSpaceDE w:val="0"/>
      <w:autoSpaceDN w:val="0"/>
      <w:adjustRightInd w:val="0"/>
      <w:spacing w:after="0" w:line="440" w:lineRule="exact"/>
      <w:jc w:val="both"/>
      <w:textAlignment w:val="baseline"/>
    </w:pPr>
    <w:rPr>
      <w:rFonts w:ascii="Times New Roman" w:eastAsia="Batang" w:hAnsi="Times New Roman" w:cs="Times New Roman"/>
      <w:sz w:val="36"/>
      <w:szCs w:val="20"/>
    </w:rPr>
  </w:style>
  <w:style w:type="paragraph" w:customStyle="1" w:styleId="Denomination">
    <w:name w:val="Denomination"/>
    <w:basedOn w:val="Normal"/>
    <w:uiPriority w:val="99"/>
    <w:rsid w:val="00294FD1"/>
    <w:pPr>
      <w:overflowPunct w:val="0"/>
      <w:autoSpaceDE w:val="0"/>
      <w:autoSpaceDN w:val="0"/>
      <w:adjustRightInd w:val="0"/>
      <w:spacing w:after="0" w:line="240" w:lineRule="auto"/>
      <w:jc w:val="right"/>
      <w:textAlignment w:val="baseline"/>
    </w:pPr>
    <w:rPr>
      <w:rFonts w:ascii="Times New Roman" w:eastAsia="Batang" w:hAnsi="Times New Roman" w:cs="Times New Roman"/>
      <w:sz w:val="18"/>
      <w:szCs w:val="20"/>
    </w:rPr>
  </w:style>
  <w:style w:type="paragraph" w:customStyle="1" w:styleId="Double">
    <w:name w:val="Double"/>
    <w:basedOn w:val="Normal"/>
    <w:uiPriority w:val="99"/>
    <w:rsid w:val="00294FD1"/>
    <w:pPr>
      <w:overflowPunct w:val="0"/>
      <w:autoSpaceDE w:val="0"/>
      <w:autoSpaceDN w:val="0"/>
      <w:adjustRightInd w:val="0"/>
      <w:spacing w:after="130" w:line="240" w:lineRule="auto"/>
      <w:jc w:val="both"/>
      <w:textAlignment w:val="baseline"/>
    </w:pPr>
    <w:rPr>
      <w:rFonts w:ascii="Times New Roman" w:eastAsia="Batang" w:hAnsi="Times New Roman" w:cs="Times New Roman"/>
      <w:sz w:val="18"/>
      <w:szCs w:val="20"/>
      <w:u w:val="double"/>
    </w:rPr>
  </w:style>
  <w:style w:type="paragraph" w:customStyle="1" w:styleId="Graphic">
    <w:name w:val="Graphic"/>
    <w:basedOn w:val="Normal"/>
    <w:uiPriority w:val="99"/>
    <w:rsid w:val="00294FD1"/>
    <w:pPr>
      <w:keepNext/>
      <w:overflowPunct w:val="0"/>
      <w:autoSpaceDE w:val="0"/>
      <w:autoSpaceDN w:val="0"/>
      <w:adjustRightInd w:val="0"/>
      <w:spacing w:before="130" w:after="130" w:line="240" w:lineRule="auto"/>
      <w:jc w:val="center"/>
      <w:textAlignment w:val="baseline"/>
    </w:pPr>
    <w:rPr>
      <w:rFonts w:ascii="Times New Roman" w:eastAsia="Batang" w:hAnsi="Times New Roman" w:cs="Times New Roman"/>
      <w:szCs w:val="20"/>
    </w:rPr>
  </w:style>
  <w:style w:type="paragraph" w:customStyle="1" w:styleId="NoDecAlign">
    <w:name w:val="NoDecAlign"/>
    <w:basedOn w:val="Normal"/>
    <w:uiPriority w:val="99"/>
    <w:rsid w:val="00294FD1"/>
    <w:pPr>
      <w:tabs>
        <w:tab w:val="decimal" w:pos="1021"/>
      </w:tabs>
      <w:overflowPunct w:val="0"/>
      <w:autoSpaceDE w:val="0"/>
      <w:autoSpaceDN w:val="0"/>
      <w:adjustRightInd w:val="0"/>
      <w:spacing w:after="0" w:line="240" w:lineRule="auto"/>
      <w:jc w:val="both"/>
      <w:textAlignment w:val="baseline"/>
    </w:pPr>
    <w:rPr>
      <w:rFonts w:ascii="Times New Roman" w:eastAsia="Batang" w:hAnsi="Times New Roman" w:cs="Times New Roman"/>
      <w:sz w:val="18"/>
      <w:szCs w:val="20"/>
    </w:rPr>
  </w:style>
  <w:style w:type="paragraph" w:customStyle="1" w:styleId="Numbering">
    <w:name w:val="Numbering"/>
    <w:basedOn w:val="Normal"/>
    <w:uiPriority w:val="99"/>
    <w:rsid w:val="00294FD1"/>
    <w:pPr>
      <w:overflowPunct w:val="0"/>
      <w:autoSpaceDE w:val="0"/>
      <w:autoSpaceDN w:val="0"/>
      <w:adjustRightInd w:val="0"/>
      <w:spacing w:after="130" w:line="260" w:lineRule="exact"/>
      <w:ind w:left="284" w:hanging="284"/>
      <w:jc w:val="both"/>
      <w:textAlignment w:val="baseline"/>
    </w:pPr>
    <w:rPr>
      <w:rFonts w:ascii="Times New Roman" w:eastAsia="Batang" w:hAnsi="Times New Roman" w:cs="Times New Roman"/>
      <w:szCs w:val="20"/>
    </w:rPr>
  </w:style>
  <w:style w:type="paragraph" w:customStyle="1" w:styleId="OneDecAlign">
    <w:name w:val="OneDecAlign"/>
    <w:basedOn w:val="Normal"/>
    <w:uiPriority w:val="99"/>
    <w:rsid w:val="00294FD1"/>
    <w:pPr>
      <w:tabs>
        <w:tab w:val="decimal" w:pos="879"/>
      </w:tabs>
      <w:overflowPunct w:val="0"/>
      <w:autoSpaceDE w:val="0"/>
      <w:autoSpaceDN w:val="0"/>
      <w:adjustRightInd w:val="0"/>
      <w:spacing w:after="0" w:line="240" w:lineRule="auto"/>
      <w:jc w:val="both"/>
      <w:textAlignment w:val="baseline"/>
    </w:pPr>
    <w:rPr>
      <w:rFonts w:ascii="Times New Roman" w:eastAsia="Batang" w:hAnsi="Times New Roman" w:cs="Times New Roman"/>
      <w:sz w:val="18"/>
      <w:szCs w:val="20"/>
    </w:rPr>
  </w:style>
  <w:style w:type="character" w:styleId="PageNumber">
    <w:name w:val="page number"/>
    <w:basedOn w:val="DefaultParagraphFont"/>
    <w:uiPriority w:val="99"/>
    <w:rsid w:val="00294FD1"/>
    <w:rPr>
      <w:rFonts w:cs="Times New Roman"/>
    </w:rPr>
  </w:style>
  <w:style w:type="paragraph" w:customStyle="1" w:styleId="PageNumber1">
    <w:name w:val="Page Number1"/>
    <w:basedOn w:val="Normal"/>
    <w:uiPriority w:val="99"/>
    <w:rsid w:val="00294FD1"/>
    <w:pPr>
      <w:tabs>
        <w:tab w:val="center" w:pos="4320"/>
        <w:tab w:val="right" w:pos="8640"/>
      </w:tabs>
      <w:overflowPunct w:val="0"/>
      <w:autoSpaceDE w:val="0"/>
      <w:autoSpaceDN w:val="0"/>
      <w:adjustRightInd w:val="0"/>
      <w:spacing w:after="0" w:line="240" w:lineRule="auto"/>
      <w:jc w:val="center"/>
      <w:textAlignment w:val="baseline"/>
    </w:pPr>
    <w:rPr>
      <w:rFonts w:ascii="Times New Roman" w:eastAsia="Batang" w:hAnsi="Times New Roman" w:cs="Times New Roman"/>
      <w:sz w:val="18"/>
      <w:szCs w:val="20"/>
    </w:rPr>
  </w:style>
  <w:style w:type="paragraph" w:customStyle="1" w:styleId="RunningTitle">
    <w:name w:val="Running Title"/>
    <w:basedOn w:val="Normal"/>
    <w:uiPriority w:val="99"/>
    <w:rsid w:val="00294FD1"/>
    <w:pPr>
      <w:overflowPunct w:val="0"/>
      <w:autoSpaceDE w:val="0"/>
      <w:autoSpaceDN w:val="0"/>
      <w:adjustRightInd w:val="0"/>
      <w:spacing w:after="0" w:line="220" w:lineRule="exact"/>
      <w:jc w:val="right"/>
      <w:textAlignment w:val="baseline"/>
    </w:pPr>
    <w:rPr>
      <w:rFonts w:ascii="Times New Roman" w:eastAsia="Batang" w:hAnsi="Times New Roman" w:cs="Times New Roman"/>
      <w:i/>
      <w:sz w:val="18"/>
      <w:szCs w:val="20"/>
    </w:rPr>
  </w:style>
  <w:style w:type="paragraph" w:customStyle="1" w:styleId="Single">
    <w:name w:val="Single"/>
    <w:basedOn w:val="Normal"/>
    <w:uiPriority w:val="99"/>
    <w:rsid w:val="00294FD1"/>
    <w:pPr>
      <w:overflowPunct w:val="0"/>
      <w:autoSpaceDE w:val="0"/>
      <w:autoSpaceDN w:val="0"/>
      <w:adjustRightInd w:val="0"/>
      <w:spacing w:after="130" w:line="240" w:lineRule="auto"/>
      <w:jc w:val="both"/>
      <w:textAlignment w:val="baseline"/>
    </w:pPr>
    <w:rPr>
      <w:rFonts w:ascii="Times New Roman" w:eastAsia="Batang" w:hAnsi="Times New Roman" w:cs="Times New Roman"/>
      <w:sz w:val="18"/>
      <w:szCs w:val="20"/>
      <w:u w:val="single"/>
    </w:rPr>
  </w:style>
  <w:style w:type="paragraph" w:customStyle="1" w:styleId="Source">
    <w:name w:val="Source"/>
    <w:basedOn w:val="Normal"/>
    <w:next w:val="Normal"/>
    <w:uiPriority w:val="99"/>
    <w:rsid w:val="00294FD1"/>
    <w:pPr>
      <w:keepLines/>
      <w:overflowPunct w:val="0"/>
      <w:autoSpaceDE w:val="0"/>
      <w:autoSpaceDN w:val="0"/>
      <w:adjustRightInd w:val="0"/>
      <w:spacing w:after="130" w:line="260" w:lineRule="exact"/>
      <w:jc w:val="both"/>
      <w:textAlignment w:val="baseline"/>
    </w:pPr>
    <w:rPr>
      <w:rFonts w:ascii="Times New Roman" w:eastAsia="Batang" w:hAnsi="Times New Roman" w:cs="Times New Roman"/>
      <w:i/>
      <w:sz w:val="18"/>
      <w:szCs w:val="20"/>
    </w:rPr>
  </w:style>
  <w:style w:type="paragraph" w:customStyle="1" w:styleId="SubCoverTitle">
    <w:name w:val="Sub Cover Title"/>
    <w:basedOn w:val="CoverTitle"/>
    <w:uiPriority w:val="99"/>
    <w:rsid w:val="00294FD1"/>
    <w:rPr>
      <w:sz w:val="26"/>
    </w:rPr>
  </w:style>
  <w:style w:type="paragraph" w:customStyle="1" w:styleId="Tablehead">
    <w:name w:val="Tablehead"/>
    <w:basedOn w:val="Normal"/>
    <w:uiPriority w:val="99"/>
    <w:rsid w:val="00294FD1"/>
    <w:pPr>
      <w:overflowPunct w:val="0"/>
      <w:autoSpaceDE w:val="0"/>
      <w:autoSpaceDN w:val="0"/>
      <w:adjustRightInd w:val="0"/>
      <w:spacing w:before="130" w:after="0" w:line="240" w:lineRule="auto"/>
      <w:jc w:val="right"/>
      <w:textAlignment w:val="baseline"/>
    </w:pPr>
    <w:rPr>
      <w:rFonts w:ascii="Times New Roman" w:eastAsia="Batang" w:hAnsi="Times New Roman" w:cs="Times New Roman"/>
      <w:sz w:val="18"/>
      <w:szCs w:val="20"/>
    </w:rPr>
  </w:style>
  <w:style w:type="paragraph" w:customStyle="1" w:styleId="Tablenums">
    <w:name w:val="Tablenums"/>
    <w:basedOn w:val="Normal"/>
    <w:uiPriority w:val="99"/>
    <w:rsid w:val="00294FD1"/>
    <w:pPr>
      <w:tabs>
        <w:tab w:val="decimal" w:pos="794"/>
      </w:tabs>
      <w:overflowPunct w:val="0"/>
      <w:autoSpaceDE w:val="0"/>
      <w:autoSpaceDN w:val="0"/>
      <w:adjustRightInd w:val="0"/>
      <w:spacing w:after="0" w:line="240" w:lineRule="auto"/>
      <w:jc w:val="both"/>
      <w:textAlignment w:val="baseline"/>
    </w:pPr>
    <w:rPr>
      <w:rFonts w:ascii="Times New Roman" w:eastAsia="Batang" w:hAnsi="Times New Roman" w:cs="Times New Roman"/>
      <w:sz w:val="18"/>
      <w:szCs w:val="20"/>
    </w:rPr>
  </w:style>
  <w:style w:type="paragraph" w:customStyle="1" w:styleId="Tabletext">
    <w:name w:val="Tabletext"/>
    <w:basedOn w:val="Normal"/>
    <w:uiPriority w:val="99"/>
    <w:rsid w:val="00294FD1"/>
    <w:pPr>
      <w:overflowPunct w:val="0"/>
      <w:autoSpaceDE w:val="0"/>
      <w:autoSpaceDN w:val="0"/>
      <w:adjustRightInd w:val="0"/>
      <w:spacing w:after="0" w:line="240" w:lineRule="auto"/>
      <w:ind w:left="153" w:hanging="153"/>
      <w:jc w:val="both"/>
      <w:textAlignment w:val="baseline"/>
    </w:pPr>
    <w:rPr>
      <w:rFonts w:ascii="Times New Roman" w:eastAsia="Batang" w:hAnsi="Times New Roman" w:cs="Times New Roman"/>
      <w:sz w:val="18"/>
      <w:szCs w:val="20"/>
    </w:rPr>
  </w:style>
  <w:style w:type="paragraph" w:customStyle="1" w:styleId="Text">
    <w:name w:val="Text"/>
    <w:aliases w:val="t1"/>
    <w:basedOn w:val="Normal"/>
    <w:link w:val="TextChar"/>
    <w:uiPriority w:val="99"/>
    <w:rsid w:val="00294FD1"/>
    <w:pPr>
      <w:tabs>
        <w:tab w:val="left" w:pos="284"/>
      </w:tabs>
      <w:overflowPunct w:val="0"/>
      <w:autoSpaceDE w:val="0"/>
      <w:autoSpaceDN w:val="0"/>
      <w:adjustRightInd w:val="0"/>
      <w:spacing w:after="130" w:line="260" w:lineRule="exact"/>
      <w:jc w:val="both"/>
      <w:textAlignment w:val="baseline"/>
    </w:pPr>
    <w:rPr>
      <w:rFonts w:ascii="Times New Roman" w:eastAsia="Batang" w:hAnsi="Times New Roman" w:cs="Times New Roman"/>
      <w:szCs w:val="20"/>
    </w:rPr>
  </w:style>
  <w:style w:type="character" w:customStyle="1" w:styleId="TextChar">
    <w:name w:val="Text Char"/>
    <w:basedOn w:val="DefaultParagraphFont"/>
    <w:link w:val="Text"/>
    <w:uiPriority w:val="99"/>
    <w:locked/>
    <w:rsid w:val="00294FD1"/>
    <w:rPr>
      <w:rFonts w:ascii="Times New Roman" w:eastAsia="Batang" w:hAnsi="Times New Roman" w:cs="Times New Roman"/>
      <w:kern w:val="0"/>
      <w:szCs w:val="20"/>
      <w14:ligatures w14:val="none"/>
    </w:rPr>
  </w:style>
  <w:style w:type="paragraph" w:customStyle="1" w:styleId="TwoDecAlign">
    <w:name w:val="TwoDecAlign"/>
    <w:basedOn w:val="Normal"/>
    <w:uiPriority w:val="99"/>
    <w:rsid w:val="00294FD1"/>
    <w:pPr>
      <w:tabs>
        <w:tab w:val="decimal" w:pos="794"/>
      </w:tabs>
      <w:overflowPunct w:val="0"/>
      <w:autoSpaceDE w:val="0"/>
      <w:autoSpaceDN w:val="0"/>
      <w:adjustRightInd w:val="0"/>
      <w:spacing w:after="0" w:line="240" w:lineRule="auto"/>
      <w:jc w:val="both"/>
      <w:textAlignment w:val="baseline"/>
    </w:pPr>
    <w:rPr>
      <w:rFonts w:ascii="Times New Roman" w:eastAsia="Batang" w:hAnsi="Times New Roman" w:cs="Times New Roman"/>
      <w:sz w:val="18"/>
      <w:szCs w:val="20"/>
    </w:rPr>
  </w:style>
  <w:style w:type="paragraph" w:customStyle="1" w:styleId="ACPageHeading">
    <w:name w:val="AC Page Heading"/>
    <w:basedOn w:val="Normal"/>
    <w:uiPriority w:val="99"/>
    <w:rsid w:val="00294FD1"/>
    <w:pPr>
      <w:pageBreakBefore/>
      <w:suppressAutoHyphens/>
      <w:overflowPunct w:val="0"/>
      <w:autoSpaceDE w:val="0"/>
      <w:autoSpaceDN w:val="0"/>
      <w:adjustRightInd w:val="0"/>
      <w:spacing w:after="0" w:line="240" w:lineRule="auto"/>
      <w:jc w:val="both"/>
      <w:textAlignment w:val="baseline"/>
    </w:pPr>
    <w:rPr>
      <w:rFonts w:ascii="Times New Roman" w:eastAsia="Batang" w:hAnsi="Times New Roman" w:cs="Times New Roman"/>
      <w:b/>
      <w:sz w:val="26"/>
      <w:szCs w:val="20"/>
    </w:rPr>
  </w:style>
  <w:style w:type="paragraph" w:customStyle="1" w:styleId="ACSub-head">
    <w:name w:val="AC Sub-head"/>
    <w:basedOn w:val="Normal"/>
    <w:uiPriority w:val="99"/>
    <w:rsid w:val="00294FD1"/>
    <w:pPr>
      <w:widowControl w:val="0"/>
      <w:suppressAutoHyphens/>
      <w:overflowPunct w:val="0"/>
      <w:autoSpaceDE w:val="0"/>
      <w:autoSpaceDN w:val="0"/>
      <w:adjustRightInd w:val="0"/>
      <w:spacing w:after="0" w:line="240" w:lineRule="auto"/>
      <w:textAlignment w:val="baseline"/>
    </w:pPr>
    <w:rPr>
      <w:rFonts w:ascii="Times New Roman" w:eastAsia="Batang" w:hAnsi="Times New Roman" w:cs="Times New Roman"/>
      <w:b/>
      <w:i/>
      <w:sz w:val="20"/>
      <w:szCs w:val="20"/>
    </w:rPr>
  </w:style>
  <w:style w:type="paragraph" w:customStyle="1" w:styleId="ACContents">
    <w:name w:val="AC Contents"/>
    <w:basedOn w:val="Normal"/>
    <w:uiPriority w:val="99"/>
    <w:rsid w:val="00294FD1"/>
    <w:pPr>
      <w:tabs>
        <w:tab w:val="left" w:pos="7488"/>
      </w:tabs>
      <w:suppressAutoHyphens/>
      <w:overflowPunct w:val="0"/>
      <w:autoSpaceDE w:val="0"/>
      <w:autoSpaceDN w:val="0"/>
      <w:adjustRightInd w:val="0"/>
      <w:spacing w:after="0" w:line="240" w:lineRule="auto"/>
      <w:jc w:val="both"/>
      <w:textAlignment w:val="baseline"/>
    </w:pPr>
    <w:rPr>
      <w:rFonts w:ascii="Times New Roman" w:eastAsia="Batang" w:hAnsi="Times New Roman" w:cs="Times New Roman"/>
      <w:i/>
      <w:sz w:val="18"/>
      <w:szCs w:val="20"/>
    </w:rPr>
  </w:style>
  <w:style w:type="paragraph" w:customStyle="1" w:styleId="ACSectionHeading">
    <w:name w:val="AC Section Heading"/>
    <w:basedOn w:val="Normal"/>
    <w:next w:val="Normal"/>
    <w:link w:val="ACSectionHeadingChar"/>
    <w:uiPriority w:val="99"/>
    <w:rsid w:val="00294FD1"/>
    <w:pPr>
      <w:pageBreakBefore/>
      <w:overflowPunct w:val="0"/>
      <w:autoSpaceDE w:val="0"/>
      <w:autoSpaceDN w:val="0"/>
      <w:adjustRightInd w:val="0"/>
      <w:spacing w:after="0" w:line="240" w:lineRule="auto"/>
      <w:jc w:val="both"/>
      <w:textAlignment w:val="baseline"/>
    </w:pPr>
    <w:rPr>
      <w:rFonts w:ascii="Times New Roman" w:eastAsia="Batang" w:hAnsi="Times New Roman" w:cs="Times New Roman"/>
      <w:b/>
      <w:sz w:val="26"/>
      <w:szCs w:val="20"/>
    </w:rPr>
  </w:style>
  <w:style w:type="character" w:customStyle="1" w:styleId="ACSectionHeadingChar">
    <w:name w:val="AC Section Heading Char"/>
    <w:basedOn w:val="DefaultParagraphFont"/>
    <w:link w:val="ACSectionHeading"/>
    <w:uiPriority w:val="99"/>
    <w:locked/>
    <w:rsid w:val="00294FD1"/>
    <w:rPr>
      <w:rFonts w:ascii="Times New Roman" w:eastAsia="Batang" w:hAnsi="Times New Roman" w:cs="Times New Roman"/>
      <w:b/>
      <w:kern w:val="0"/>
      <w:sz w:val="26"/>
      <w:szCs w:val="20"/>
      <w14:ligatures w14:val="none"/>
    </w:rPr>
  </w:style>
  <w:style w:type="paragraph" w:customStyle="1" w:styleId="ACText">
    <w:name w:val="AC Text"/>
    <w:basedOn w:val="Normal"/>
    <w:link w:val="ACTextChar"/>
    <w:rsid w:val="00294FD1"/>
    <w:pPr>
      <w:tabs>
        <w:tab w:val="left" w:pos="0"/>
      </w:tabs>
      <w:suppressAutoHyphens/>
      <w:overflowPunct w:val="0"/>
      <w:autoSpaceDE w:val="0"/>
      <w:autoSpaceDN w:val="0"/>
      <w:adjustRightInd w:val="0"/>
      <w:spacing w:before="130" w:after="0" w:line="240" w:lineRule="auto"/>
      <w:jc w:val="both"/>
      <w:textAlignment w:val="baseline"/>
    </w:pPr>
    <w:rPr>
      <w:rFonts w:ascii="Times New Roman" w:eastAsia="Batang" w:hAnsi="Times New Roman" w:cs="Times New Roman"/>
      <w:sz w:val="20"/>
      <w:szCs w:val="20"/>
    </w:rPr>
  </w:style>
  <w:style w:type="character" w:customStyle="1" w:styleId="ACTextChar">
    <w:name w:val="AC Text Char"/>
    <w:basedOn w:val="DefaultParagraphFont"/>
    <w:link w:val="ACText"/>
    <w:locked/>
    <w:rsid w:val="00294FD1"/>
    <w:rPr>
      <w:rFonts w:ascii="Times New Roman" w:eastAsia="Batang" w:hAnsi="Times New Roman" w:cs="Times New Roman"/>
      <w:kern w:val="0"/>
      <w:sz w:val="20"/>
      <w:szCs w:val="20"/>
      <w14:ligatures w14:val="none"/>
    </w:rPr>
  </w:style>
  <w:style w:type="paragraph" w:customStyle="1" w:styleId="ACHeadingcontinue">
    <w:name w:val="AC Heading continue"/>
    <w:basedOn w:val="Heading1"/>
    <w:uiPriority w:val="99"/>
    <w:rsid w:val="00294FD1"/>
    <w:pPr>
      <w:keepLines w:val="0"/>
      <w:overflowPunct w:val="0"/>
      <w:autoSpaceDE w:val="0"/>
      <w:autoSpaceDN w:val="0"/>
      <w:adjustRightInd w:val="0"/>
      <w:spacing w:before="240" w:after="260" w:line="260" w:lineRule="exact"/>
      <w:ind w:left="709" w:hanging="709"/>
      <w:jc w:val="both"/>
      <w:textAlignment w:val="baseline"/>
      <w:outlineLvl w:val="9"/>
    </w:pPr>
    <w:rPr>
      <w:rFonts w:ascii="Times New Roman" w:eastAsia="Batang" w:hAnsi="Times New Roman" w:cs="Times New Roman"/>
      <w:color w:val="auto"/>
      <w:sz w:val="20"/>
      <w:szCs w:val="20"/>
    </w:rPr>
  </w:style>
  <w:style w:type="paragraph" w:customStyle="1" w:styleId="ACContentsDetails">
    <w:name w:val="AC Contents Details"/>
    <w:basedOn w:val="ACContents"/>
    <w:next w:val="Normal"/>
    <w:uiPriority w:val="99"/>
    <w:rsid w:val="00294FD1"/>
    <w:pPr>
      <w:spacing w:line="360" w:lineRule="auto"/>
    </w:pPr>
    <w:rPr>
      <w:i w:val="0"/>
      <w:kern w:val="56"/>
    </w:rPr>
  </w:style>
  <w:style w:type="paragraph" w:customStyle="1" w:styleId="ACSectionTOCHeading">
    <w:name w:val="AC Section TOC Heading"/>
    <w:basedOn w:val="ACSectionHeading"/>
    <w:next w:val="ACText"/>
    <w:link w:val="ACSectionTOCHeadingChar"/>
    <w:uiPriority w:val="99"/>
    <w:rsid w:val="00294FD1"/>
    <w:pPr>
      <w:pageBreakBefore w:val="0"/>
    </w:pPr>
  </w:style>
  <w:style w:type="character" w:customStyle="1" w:styleId="ACSectionTOCHeadingChar">
    <w:name w:val="AC Section TOC Heading Char"/>
    <w:basedOn w:val="DefaultParagraphFont"/>
    <w:link w:val="ACSectionTOCHeading"/>
    <w:uiPriority w:val="99"/>
    <w:locked/>
    <w:rsid w:val="00294FD1"/>
    <w:rPr>
      <w:rFonts w:ascii="Times New Roman" w:eastAsia="Batang" w:hAnsi="Times New Roman" w:cs="Times New Roman"/>
      <w:b/>
      <w:kern w:val="0"/>
      <w:sz w:val="26"/>
      <w:szCs w:val="20"/>
      <w14:ligatures w14:val="none"/>
    </w:rPr>
  </w:style>
  <w:style w:type="paragraph" w:styleId="ListBullet">
    <w:name w:val="List Bullet"/>
    <w:basedOn w:val="Normal"/>
    <w:uiPriority w:val="99"/>
    <w:rsid w:val="00294FD1"/>
    <w:pPr>
      <w:overflowPunct w:val="0"/>
      <w:autoSpaceDE w:val="0"/>
      <w:autoSpaceDN w:val="0"/>
      <w:adjustRightInd w:val="0"/>
      <w:spacing w:after="130" w:line="260" w:lineRule="exact"/>
      <w:ind w:left="284" w:hanging="284"/>
      <w:jc w:val="both"/>
      <w:textAlignment w:val="baseline"/>
    </w:pPr>
    <w:rPr>
      <w:rFonts w:ascii="Times New Roman" w:eastAsia="Batang" w:hAnsi="Times New Roman" w:cs="Times New Roman"/>
      <w:szCs w:val="20"/>
    </w:rPr>
  </w:style>
  <w:style w:type="paragraph" w:styleId="ListBullet2">
    <w:name w:val="List Bullet 2"/>
    <w:basedOn w:val="Normal"/>
    <w:uiPriority w:val="99"/>
    <w:rsid w:val="00294FD1"/>
    <w:pPr>
      <w:overflowPunct w:val="0"/>
      <w:autoSpaceDE w:val="0"/>
      <w:autoSpaceDN w:val="0"/>
      <w:adjustRightInd w:val="0"/>
      <w:spacing w:after="130" w:line="260" w:lineRule="exact"/>
      <w:ind w:left="641" w:hanging="357"/>
      <w:jc w:val="both"/>
      <w:textAlignment w:val="baseline"/>
    </w:pPr>
    <w:rPr>
      <w:rFonts w:ascii="Times New Roman" w:eastAsia="Batang" w:hAnsi="Times New Roman" w:cs="Times New Roman"/>
      <w:szCs w:val="20"/>
    </w:rPr>
  </w:style>
  <w:style w:type="paragraph" w:styleId="ListNumber2">
    <w:name w:val="List Number 2"/>
    <w:basedOn w:val="ListBullet2"/>
    <w:uiPriority w:val="99"/>
    <w:rsid w:val="00294FD1"/>
    <w:pPr>
      <w:ind w:left="566" w:hanging="283"/>
    </w:pPr>
  </w:style>
  <w:style w:type="paragraph" w:customStyle="1" w:styleId="FinancialDate">
    <w:name w:val="Financial_Date"/>
    <w:next w:val="Normal"/>
    <w:uiPriority w:val="99"/>
    <w:rsid w:val="00294FD1"/>
    <w:pPr>
      <w:framePr w:w="5670" w:h="2948" w:hRule="exact" w:vSpace="181" w:wrap="notBeside" w:vAnchor="page" w:hAnchor="page" w:x="3171" w:y="5671" w:anchorLock="1"/>
      <w:suppressAutoHyphens/>
      <w:overflowPunct w:val="0"/>
      <w:autoSpaceDE w:val="0"/>
      <w:autoSpaceDN w:val="0"/>
      <w:adjustRightInd w:val="0"/>
      <w:spacing w:after="0" w:line="440" w:lineRule="exact"/>
      <w:ind w:left="284"/>
      <w:textAlignment w:val="baseline"/>
    </w:pPr>
    <w:rPr>
      <w:rFonts w:ascii="Tms Rmn" w:eastAsia="Batang" w:hAnsi="Tms Rmn" w:cs="Times New Roman"/>
      <w:noProof/>
      <w:kern w:val="0"/>
      <w:sz w:val="20"/>
      <w:szCs w:val="20"/>
      <w14:ligatures w14:val="none"/>
    </w:rPr>
  </w:style>
  <w:style w:type="paragraph" w:customStyle="1" w:styleId="AlignBrackets">
    <w:name w:val="AlignBrackets"/>
    <w:basedOn w:val="Normal"/>
    <w:uiPriority w:val="99"/>
    <w:rsid w:val="00294FD1"/>
    <w:pPr>
      <w:overflowPunct w:val="0"/>
      <w:autoSpaceDE w:val="0"/>
      <w:autoSpaceDN w:val="0"/>
      <w:adjustRightInd w:val="0"/>
      <w:spacing w:after="0" w:line="240" w:lineRule="auto"/>
      <w:ind w:left="153" w:right="170" w:hanging="153"/>
      <w:jc w:val="right"/>
      <w:textAlignment w:val="baseline"/>
    </w:pPr>
    <w:rPr>
      <w:rFonts w:ascii="Times New Roman" w:eastAsia="Batang" w:hAnsi="Times New Roman" w:cs="Times New Roman"/>
      <w:sz w:val="18"/>
      <w:szCs w:val="20"/>
    </w:rPr>
  </w:style>
  <w:style w:type="paragraph" w:customStyle="1" w:styleId="AlignBracketsOne">
    <w:name w:val="AlignBracketsOne"/>
    <w:basedOn w:val="Normal"/>
    <w:uiPriority w:val="99"/>
    <w:rsid w:val="00294FD1"/>
    <w:pPr>
      <w:overflowPunct w:val="0"/>
      <w:autoSpaceDE w:val="0"/>
      <w:autoSpaceDN w:val="0"/>
      <w:adjustRightInd w:val="0"/>
      <w:spacing w:after="0" w:line="240" w:lineRule="auto"/>
      <w:ind w:left="153" w:hanging="153"/>
      <w:jc w:val="right"/>
      <w:textAlignment w:val="baseline"/>
    </w:pPr>
    <w:rPr>
      <w:rFonts w:ascii="Times New Roman" w:eastAsia="Batang" w:hAnsi="Times New Roman" w:cs="Times New Roman"/>
      <w:sz w:val="18"/>
      <w:szCs w:val="20"/>
    </w:rPr>
  </w:style>
  <w:style w:type="paragraph" w:customStyle="1" w:styleId="AlignWithoutBrackets">
    <w:name w:val="AlignWithoutBrackets"/>
    <w:basedOn w:val="Tabletext"/>
    <w:uiPriority w:val="99"/>
    <w:rsid w:val="00294FD1"/>
    <w:pPr>
      <w:jc w:val="right"/>
    </w:pPr>
  </w:style>
  <w:style w:type="paragraph" w:customStyle="1" w:styleId="AlignBracketsTwo">
    <w:name w:val="AlignBracketsTwo"/>
    <w:basedOn w:val="Normal"/>
    <w:uiPriority w:val="99"/>
    <w:rsid w:val="00294FD1"/>
    <w:pPr>
      <w:overflowPunct w:val="0"/>
      <w:autoSpaceDE w:val="0"/>
      <w:autoSpaceDN w:val="0"/>
      <w:adjustRightInd w:val="0"/>
      <w:spacing w:after="0" w:line="240" w:lineRule="auto"/>
      <w:ind w:left="153" w:right="57" w:hanging="153"/>
      <w:jc w:val="right"/>
      <w:textAlignment w:val="baseline"/>
    </w:pPr>
    <w:rPr>
      <w:rFonts w:ascii="Times New Roman" w:eastAsia="Batang" w:hAnsi="Times New Roman" w:cs="Times New Roman"/>
      <w:sz w:val="18"/>
      <w:szCs w:val="20"/>
    </w:rPr>
  </w:style>
  <w:style w:type="paragraph" w:customStyle="1" w:styleId="AlignWithoutOne">
    <w:name w:val="AlignWithoutOne"/>
    <w:basedOn w:val="Normal"/>
    <w:uiPriority w:val="99"/>
    <w:rsid w:val="00294FD1"/>
    <w:pPr>
      <w:overflowPunct w:val="0"/>
      <w:autoSpaceDE w:val="0"/>
      <w:autoSpaceDN w:val="0"/>
      <w:adjustRightInd w:val="0"/>
      <w:spacing w:after="0" w:line="240" w:lineRule="auto"/>
      <w:ind w:left="153" w:right="57" w:hanging="153"/>
      <w:jc w:val="right"/>
      <w:textAlignment w:val="baseline"/>
    </w:pPr>
    <w:rPr>
      <w:rFonts w:ascii="Times New Roman" w:eastAsia="Batang" w:hAnsi="Times New Roman" w:cs="Times New Roman"/>
      <w:sz w:val="18"/>
      <w:szCs w:val="20"/>
    </w:rPr>
  </w:style>
  <w:style w:type="paragraph" w:customStyle="1" w:styleId="AlignWithoutTwo">
    <w:name w:val="AlignWithoutTwo"/>
    <w:basedOn w:val="Normal"/>
    <w:uiPriority w:val="99"/>
    <w:rsid w:val="00294FD1"/>
    <w:pPr>
      <w:overflowPunct w:val="0"/>
      <w:autoSpaceDE w:val="0"/>
      <w:autoSpaceDN w:val="0"/>
      <w:adjustRightInd w:val="0"/>
      <w:spacing w:after="0" w:line="240" w:lineRule="auto"/>
      <w:ind w:left="153" w:right="113" w:hanging="153"/>
      <w:jc w:val="right"/>
      <w:textAlignment w:val="baseline"/>
    </w:pPr>
    <w:rPr>
      <w:rFonts w:ascii="Times New Roman" w:eastAsia="Batang" w:hAnsi="Times New Roman" w:cs="Times New Roman"/>
      <w:sz w:val="18"/>
      <w:szCs w:val="20"/>
    </w:rPr>
  </w:style>
  <w:style w:type="paragraph" w:customStyle="1" w:styleId="LetTLH">
    <w:name w:val="LetTLH"/>
    <w:basedOn w:val="Normal"/>
    <w:next w:val="Normal"/>
    <w:uiPriority w:val="99"/>
    <w:rsid w:val="00294FD1"/>
    <w:pPr>
      <w:keepLines/>
      <w:tabs>
        <w:tab w:val="left" w:pos="1463"/>
        <w:tab w:val="left" w:pos="4445"/>
        <w:tab w:val="left" w:pos="7326"/>
      </w:tabs>
      <w:overflowPunct w:val="0"/>
      <w:autoSpaceDE w:val="0"/>
      <w:autoSpaceDN w:val="0"/>
      <w:adjustRightInd w:val="0"/>
      <w:spacing w:after="260" w:line="240" w:lineRule="exact"/>
      <w:textAlignment w:val="baseline"/>
    </w:pPr>
    <w:rPr>
      <w:rFonts w:ascii="Univers 45 Light" w:eastAsia="Batang" w:hAnsi="Univers 45 Light" w:cs="Times New Roman"/>
      <w:sz w:val="16"/>
      <w:szCs w:val="20"/>
    </w:rPr>
  </w:style>
  <w:style w:type="paragraph" w:customStyle="1" w:styleId="CoverClientName">
    <w:name w:val="Cover Client Name"/>
    <w:basedOn w:val="Normal"/>
    <w:uiPriority w:val="99"/>
    <w:rsid w:val="00294FD1"/>
    <w:pPr>
      <w:tabs>
        <w:tab w:val="left" w:pos="-140"/>
      </w:tabs>
      <w:overflowPunct w:val="0"/>
      <w:autoSpaceDE w:val="0"/>
      <w:autoSpaceDN w:val="0"/>
      <w:adjustRightInd w:val="0"/>
      <w:spacing w:before="80" w:after="520" w:line="240" w:lineRule="auto"/>
      <w:jc w:val="both"/>
      <w:textAlignment w:val="baseline"/>
    </w:pPr>
    <w:rPr>
      <w:rFonts w:ascii="Times New Roman" w:eastAsia="Batang" w:hAnsi="Times New Roman" w:cs="Times New Roman"/>
      <w:b/>
      <w:sz w:val="26"/>
      <w:szCs w:val="20"/>
    </w:rPr>
  </w:style>
  <w:style w:type="paragraph" w:customStyle="1" w:styleId="Tabletext1">
    <w:name w:val="Tabletext1"/>
    <w:basedOn w:val="Normal"/>
    <w:uiPriority w:val="99"/>
    <w:rsid w:val="00294FD1"/>
    <w:pPr>
      <w:overflowPunct w:val="0"/>
      <w:autoSpaceDE w:val="0"/>
      <w:autoSpaceDN w:val="0"/>
      <w:adjustRightInd w:val="0"/>
      <w:spacing w:before="130" w:after="0" w:line="240" w:lineRule="auto"/>
      <w:ind w:left="360" w:right="57" w:hanging="360"/>
      <w:jc w:val="right"/>
      <w:textAlignment w:val="baseline"/>
    </w:pPr>
    <w:rPr>
      <w:rFonts w:ascii="Times New Roman" w:eastAsia="Batang" w:hAnsi="Times New Roman" w:cs="Times New Roman"/>
      <w:sz w:val="18"/>
      <w:szCs w:val="20"/>
    </w:rPr>
  </w:style>
  <w:style w:type="paragraph" w:customStyle="1" w:styleId="Tabletext2">
    <w:name w:val="Tabletext2"/>
    <w:basedOn w:val="Normal"/>
    <w:uiPriority w:val="99"/>
    <w:rsid w:val="00294FD1"/>
    <w:pPr>
      <w:overflowPunct w:val="0"/>
      <w:autoSpaceDE w:val="0"/>
      <w:autoSpaceDN w:val="0"/>
      <w:adjustRightInd w:val="0"/>
      <w:spacing w:before="130" w:after="0" w:line="240" w:lineRule="auto"/>
      <w:ind w:right="113"/>
      <w:jc w:val="right"/>
      <w:textAlignment w:val="baseline"/>
    </w:pPr>
    <w:rPr>
      <w:rFonts w:ascii="Times New Roman" w:eastAsia="Batang" w:hAnsi="Times New Roman" w:cs="Times New Roman"/>
      <w:sz w:val="18"/>
      <w:szCs w:val="20"/>
    </w:rPr>
  </w:style>
  <w:style w:type="paragraph" w:customStyle="1" w:styleId="ACBullet">
    <w:name w:val="AC Bullet"/>
    <w:basedOn w:val="Normal"/>
    <w:autoRedefine/>
    <w:uiPriority w:val="99"/>
    <w:rsid w:val="00294FD1"/>
    <w:pPr>
      <w:tabs>
        <w:tab w:val="left" w:pos="284"/>
      </w:tabs>
      <w:overflowPunct w:val="0"/>
      <w:autoSpaceDE w:val="0"/>
      <w:autoSpaceDN w:val="0"/>
      <w:adjustRightInd w:val="0"/>
      <w:spacing w:before="130" w:after="0" w:line="240" w:lineRule="auto"/>
      <w:ind w:left="284" w:hanging="284"/>
      <w:jc w:val="both"/>
      <w:textAlignment w:val="baseline"/>
    </w:pPr>
    <w:rPr>
      <w:rFonts w:ascii="Times New Roman" w:eastAsia="Batang" w:hAnsi="Times New Roman" w:cs="Times New Roman"/>
      <w:sz w:val="20"/>
      <w:szCs w:val="20"/>
    </w:rPr>
  </w:style>
  <w:style w:type="paragraph" w:customStyle="1" w:styleId="CoverSubTitle">
    <w:name w:val="Cover SubTitle"/>
    <w:basedOn w:val="Single"/>
    <w:uiPriority w:val="99"/>
    <w:rsid w:val="00294FD1"/>
    <w:pPr>
      <w:spacing w:after="0" w:line="440" w:lineRule="exact"/>
      <w:jc w:val="center"/>
    </w:pPr>
    <w:rPr>
      <w:sz w:val="32"/>
      <w:u w:val="none"/>
    </w:rPr>
  </w:style>
  <w:style w:type="paragraph" w:customStyle="1" w:styleId="CoverDate">
    <w:name w:val="Cover Date"/>
    <w:basedOn w:val="Single"/>
    <w:uiPriority w:val="99"/>
    <w:rsid w:val="00294FD1"/>
    <w:pPr>
      <w:spacing w:after="0" w:line="440" w:lineRule="exact"/>
      <w:jc w:val="center"/>
    </w:pPr>
    <w:rPr>
      <w:sz w:val="32"/>
      <w:u w:val="none"/>
    </w:rPr>
  </w:style>
  <w:style w:type="paragraph" w:customStyle="1" w:styleId="KPMGSmalllogo">
    <w:name w:val="KPMG Small logo"/>
    <w:basedOn w:val="Normal"/>
    <w:uiPriority w:val="99"/>
    <w:rsid w:val="00294FD1"/>
    <w:pPr>
      <w:overflowPunct w:val="0"/>
      <w:autoSpaceDE w:val="0"/>
      <w:autoSpaceDN w:val="0"/>
      <w:adjustRightInd w:val="0"/>
      <w:spacing w:before="360" w:after="0" w:line="240" w:lineRule="auto"/>
      <w:textAlignment w:val="baseline"/>
    </w:pPr>
    <w:rPr>
      <w:rFonts w:ascii="KPMG Logos V0.92" w:eastAsia="Batang" w:hAnsi="KPMG Logos V0.92" w:cs="Times New Roman"/>
      <w:sz w:val="20"/>
      <w:szCs w:val="20"/>
    </w:rPr>
  </w:style>
  <w:style w:type="paragraph" w:styleId="ListBullet3">
    <w:name w:val="List Bullet 3"/>
    <w:basedOn w:val="Normal"/>
    <w:autoRedefine/>
    <w:uiPriority w:val="99"/>
    <w:rsid w:val="00294FD1"/>
    <w:pPr>
      <w:tabs>
        <w:tab w:val="num" w:pos="643"/>
        <w:tab w:val="num" w:pos="926"/>
      </w:tabs>
      <w:overflowPunct w:val="0"/>
      <w:autoSpaceDE w:val="0"/>
      <w:autoSpaceDN w:val="0"/>
      <w:adjustRightInd w:val="0"/>
      <w:spacing w:after="0" w:line="240" w:lineRule="auto"/>
      <w:ind w:left="926" w:hanging="360"/>
      <w:jc w:val="both"/>
      <w:textAlignment w:val="baseline"/>
    </w:pPr>
    <w:rPr>
      <w:rFonts w:ascii="Times New Roman" w:eastAsia="Batang" w:hAnsi="Times New Roman" w:cs="Times New Roman"/>
      <w:sz w:val="18"/>
      <w:szCs w:val="20"/>
    </w:rPr>
  </w:style>
  <w:style w:type="paragraph" w:styleId="ListBullet4">
    <w:name w:val="List Bullet 4"/>
    <w:basedOn w:val="Normal"/>
    <w:autoRedefine/>
    <w:uiPriority w:val="99"/>
    <w:rsid w:val="00294FD1"/>
    <w:pPr>
      <w:tabs>
        <w:tab w:val="num" w:pos="926"/>
        <w:tab w:val="num" w:pos="1209"/>
      </w:tabs>
      <w:overflowPunct w:val="0"/>
      <w:autoSpaceDE w:val="0"/>
      <w:autoSpaceDN w:val="0"/>
      <w:adjustRightInd w:val="0"/>
      <w:spacing w:after="0" w:line="240" w:lineRule="auto"/>
      <w:ind w:left="1209" w:hanging="360"/>
      <w:jc w:val="both"/>
      <w:textAlignment w:val="baseline"/>
    </w:pPr>
    <w:rPr>
      <w:rFonts w:ascii="Times New Roman" w:eastAsia="Batang" w:hAnsi="Times New Roman" w:cs="Times New Roman"/>
      <w:sz w:val="18"/>
      <w:szCs w:val="20"/>
    </w:rPr>
  </w:style>
  <w:style w:type="paragraph" w:styleId="ListBullet5">
    <w:name w:val="List Bullet 5"/>
    <w:basedOn w:val="Normal"/>
    <w:autoRedefine/>
    <w:uiPriority w:val="99"/>
    <w:rsid w:val="00294FD1"/>
    <w:pPr>
      <w:tabs>
        <w:tab w:val="num" w:pos="1209"/>
        <w:tab w:val="num" w:pos="1492"/>
      </w:tabs>
      <w:overflowPunct w:val="0"/>
      <w:autoSpaceDE w:val="0"/>
      <w:autoSpaceDN w:val="0"/>
      <w:adjustRightInd w:val="0"/>
      <w:spacing w:after="0" w:line="240" w:lineRule="auto"/>
      <w:ind w:left="1492" w:hanging="360"/>
      <w:jc w:val="both"/>
      <w:textAlignment w:val="baseline"/>
    </w:pPr>
    <w:rPr>
      <w:rFonts w:ascii="Times New Roman" w:eastAsia="Batang" w:hAnsi="Times New Roman" w:cs="Times New Roman"/>
      <w:sz w:val="18"/>
      <w:szCs w:val="20"/>
    </w:rPr>
  </w:style>
  <w:style w:type="paragraph" w:styleId="ListNumber">
    <w:name w:val="List Number"/>
    <w:basedOn w:val="Normal"/>
    <w:uiPriority w:val="99"/>
    <w:rsid w:val="00294FD1"/>
    <w:pPr>
      <w:tabs>
        <w:tab w:val="num" w:pos="1492"/>
      </w:tabs>
      <w:overflowPunct w:val="0"/>
      <w:autoSpaceDE w:val="0"/>
      <w:autoSpaceDN w:val="0"/>
      <w:adjustRightInd w:val="0"/>
      <w:spacing w:after="0" w:line="240" w:lineRule="auto"/>
      <w:ind w:left="360" w:hanging="360"/>
      <w:jc w:val="both"/>
      <w:textAlignment w:val="baseline"/>
    </w:pPr>
    <w:rPr>
      <w:rFonts w:ascii="Times New Roman" w:eastAsia="Batang" w:hAnsi="Times New Roman" w:cs="Times New Roman"/>
      <w:sz w:val="18"/>
      <w:szCs w:val="20"/>
    </w:rPr>
  </w:style>
  <w:style w:type="paragraph" w:styleId="ListNumber3">
    <w:name w:val="List Number 3"/>
    <w:basedOn w:val="Normal"/>
    <w:uiPriority w:val="99"/>
    <w:rsid w:val="00294FD1"/>
    <w:pPr>
      <w:tabs>
        <w:tab w:val="num" w:pos="926"/>
      </w:tabs>
      <w:overflowPunct w:val="0"/>
      <w:autoSpaceDE w:val="0"/>
      <w:autoSpaceDN w:val="0"/>
      <w:adjustRightInd w:val="0"/>
      <w:spacing w:after="0" w:line="240" w:lineRule="auto"/>
      <w:ind w:left="926" w:hanging="360"/>
      <w:jc w:val="both"/>
      <w:textAlignment w:val="baseline"/>
    </w:pPr>
    <w:rPr>
      <w:rFonts w:ascii="Times New Roman" w:eastAsia="Batang" w:hAnsi="Times New Roman" w:cs="Times New Roman"/>
      <w:sz w:val="18"/>
      <w:szCs w:val="20"/>
    </w:rPr>
  </w:style>
  <w:style w:type="paragraph" w:styleId="ListNumber4">
    <w:name w:val="List Number 4"/>
    <w:basedOn w:val="Normal"/>
    <w:uiPriority w:val="99"/>
    <w:rsid w:val="00294FD1"/>
    <w:pPr>
      <w:tabs>
        <w:tab w:val="num" w:pos="926"/>
        <w:tab w:val="num" w:pos="1209"/>
      </w:tabs>
      <w:overflowPunct w:val="0"/>
      <w:autoSpaceDE w:val="0"/>
      <w:autoSpaceDN w:val="0"/>
      <w:adjustRightInd w:val="0"/>
      <w:spacing w:after="0" w:line="240" w:lineRule="auto"/>
      <w:ind w:left="1209" w:hanging="360"/>
      <w:jc w:val="both"/>
      <w:textAlignment w:val="baseline"/>
    </w:pPr>
    <w:rPr>
      <w:rFonts w:ascii="Times New Roman" w:eastAsia="Batang" w:hAnsi="Times New Roman" w:cs="Times New Roman"/>
      <w:sz w:val="18"/>
      <w:szCs w:val="20"/>
    </w:rPr>
  </w:style>
  <w:style w:type="paragraph" w:styleId="ListNumber5">
    <w:name w:val="List Number 5"/>
    <w:basedOn w:val="Normal"/>
    <w:uiPriority w:val="99"/>
    <w:rsid w:val="00294FD1"/>
    <w:pPr>
      <w:tabs>
        <w:tab w:val="num" w:pos="1209"/>
        <w:tab w:val="num" w:pos="1492"/>
      </w:tabs>
      <w:overflowPunct w:val="0"/>
      <w:autoSpaceDE w:val="0"/>
      <w:autoSpaceDN w:val="0"/>
      <w:adjustRightInd w:val="0"/>
      <w:spacing w:after="0" w:line="240" w:lineRule="auto"/>
      <w:ind w:left="1492" w:hanging="360"/>
      <w:jc w:val="both"/>
      <w:textAlignment w:val="baseline"/>
    </w:pPr>
    <w:rPr>
      <w:rFonts w:ascii="Times New Roman" w:eastAsia="Batang" w:hAnsi="Times New Roman" w:cs="Times New Roman"/>
      <w:sz w:val="18"/>
      <w:szCs w:val="20"/>
    </w:rPr>
  </w:style>
  <w:style w:type="paragraph" w:customStyle="1" w:styleId="AccountingPolicy">
    <w:name w:val="Accounting Policy"/>
    <w:basedOn w:val="BodyText"/>
    <w:link w:val="AccountingPolicyChar"/>
    <w:uiPriority w:val="99"/>
    <w:rsid w:val="00294FD1"/>
    <w:pPr>
      <w:tabs>
        <w:tab w:val="clear" w:pos="709"/>
        <w:tab w:val="clear" w:pos="1559"/>
        <w:tab w:val="clear" w:pos="2268"/>
        <w:tab w:val="clear" w:pos="2977"/>
        <w:tab w:val="clear" w:pos="3686"/>
        <w:tab w:val="clear" w:pos="4394"/>
        <w:tab w:val="clear" w:pos="8789"/>
        <w:tab w:val="left" w:pos="1106"/>
        <w:tab w:val="left" w:pos="1502"/>
        <w:tab w:val="left" w:pos="1786"/>
      </w:tabs>
      <w:autoSpaceDE w:val="0"/>
      <w:autoSpaceDN w:val="0"/>
      <w:adjustRightInd w:val="0"/>
      <w:spacing w:line="260" w:lineRule="atLeast"/>
      <w:ind w:left="1502" w:hanging="1502"/>
    </w:pPr>
    <w:rPr>
      <w:rFonts w:ascii="Times New Roman" w:hAnsi="Times New Roman"/>
      <w:color w:val="0C2D83"/>
      <w:lang w:val="en-NZ" w:eastAsia="en-NZ"/>
    </w:rPr>
  </w:style>
  <w:style w:type="character" w:customStyle="1" w:styleId="AccountingPolicyChar">
    <w:name w:val="Accounting Policy Char"/>
    <w:basedOn w:val="DefaultParagraphFont"/>
    <w:link w:val="AccountingPolicy"/>
    <w:uiPriority w:val="99"/>
    <w:locked/>
    <w:rsid w:val="00294FD1"/>
    <w:rPr>
      <w:rFonts w:ascii="Times New Roman" w:eastAsia="Batang" w:hAnsi="Times New Roman" w:cs="Times New Roman"/>
      <w:color w:val="0C2D83"/>
      <w:kern w:val="0"/>
      <w:sz w:val="20"/>
      <w:szCs w:val="20"/>
      <w:lang w:val="en-NZ" w:eastAsia="en-NZ"/>
      <w14:ligatures w14:val="none"/>
    </w:rPr>
  </w:style>
  <w:style w:type="paragraph" w:customStyle="1" w:styleId="AccountHD">
    <w:name w:val="AccountHD"/>
    <w:basedOn w:val="Normal"/>
    <w:next w:val="Normal"/>
    <w:uiPriority w:val="99"/>
    <w:rsid w:val="00294FD1"/>
    <w:pPr>
      <w:tabs>
        <w:tab w:val="decimal" w:pos="709"/>
        <w:tab w:val="center" w:pos="5953"/>
        <w:tab w:val="center" w:pos="7427"/>
        <w:tab w:val="center" w:pos="8901"/>
      </w:tabs>
      <w:autoSpaceDE w:val="0"/>
      <w:autoSpaceDN w:val="0"/>
      <w:adjustRightInd w:val="0"/>
      <w:spacing w:after="0" w:line="260" w:lineRule="atLeast"/>
    </w:pPr>
    <w:rPr>
      <w:rFonts w:ascii="Times New Roman" w:eastAsia="Batang" w:hAnsi="Times New Roman" w:cs="Times New Roman"/>
      <w:b/>
      <w:bCs/>
      <w:color w:val="0C2D83"/>
      <w:sz w:val="18"/>
      <w:szCs w:val="18"/>
      <w:lang w:val="en-NZ" w:eastAsia="en-NZ"/>
    </w:rPr>
  </w:style>
  <w:style w:type="paragraph" w:customStyle="1" w:styleId="AccountBody1">
    <w:name w:val="AccountBody1"/>
    <w:uiPriority w:val="99"/>
    <w:rsid w:val="00294FD1"/>
    <w:pPr>
      <w:tabs>
        <w:tab w:val="decimal" w:pos="709"/>
      </w:tabs>
      <w:autoSpaceDE w:val="0"/>
      <w:autoSpaceDN w:val="0"/>
      <w:adjustRightInd w:val="0"/>
      <w:spacing w:after="0" w:line="260" w:lineRule="atLeast"/>
    </w:pPr>
    <w:rPr>
      <w:rFonts w:ascii="Times New Roman" w:eastAsia="Batang" w:hAnsi="Times New Roman" w:cs="Times New Roman"/>
      <w:color w:val="0C2D83"/>
      <w:kern w:val="0"/>
      <w:sz w:val="20"/>
      <w:szCs w:val="20"/>
      <w:lang w:val="en-NZ" w:eastAsia="en-NZ"/>
      <w14:ligatures w14:val="none"/>
    </w:rPr>
  </w:style>
  <w:style w:type="paragraph" w:customStyle="1" w:styleId="Notebody">
    <w:name w:val="Notebody"/>
    <w:basedOn w:val="Normal"/>
    <w:next w:val="Normal"/>
    <w:uiPriority w:val="99"/>
    <w:rsid w:val="00294FD1"/>
    <w:pPr>
      <w:tabs>
        <w:tab w:val="left" w:pos="1077"/>
        <w:tab w:val="left" w:pos="1502"/>
        <w:tab w:val="left" w:pos="1786"/>
      </w:tabs>
      <w:autoSpaceDE w:val="0"/>
      <w:autoSpaceDN w:val="0"/>
      <w:adjustRightInd w:val="0"/>
      <w:spacing w:after="0" w:line="260" w:lineRule="exact"/>
      <w:ind w:right="113"/>
      <w:jc w:val="both"/>
    </w:pPr>
    <w:rPr>
      <w:rFonts w:ascii="Times New Roman" w:eastAsia="Batang" w:hAnsi="Times New Roman" w:cs="Times New Roman"/>
      <w:color w:val="0C2D83"/>
      <w:sz w:val="20"/>
      <w:szCs w:val="20"/>
      <w:lang w:val="en-NZ" w:eastAsia="en-NZ"/>
    </w:rPr>
  </w:style>
  <w:style w:type="paragraph" w:customStyle="1" w:styleId="NormalLeft024cm">
    <w:name w:val="Normal + Left:  0.24 cm"/>
    <w:basedOn w:val="Normal"/>
    <w:uiPriority w:val="99"/>
    <w:rsid w:val="00294FD1"/>
    <w:pPr>
      <w:overflowPunct w:val="0"/>
      <w:autoSpaceDE w:val="0"/>
      <w:autoSpaceDN w:val="0"/>
      <w:adjustRightInd w:val="0"/>
      <w:spacing w:after="0" w:line="240" w:lineRule="auto"/>
      <w:ind w:left="134"/>
      <w:jc w:val="both"/>
      <w:textAlignment w:val="baseline"/>
    </w:pPr>
    <w:rPr>
      <w:rFonts w:ascii="Times New Roman" w:eastAsia="Batang" w:hAnsi="Times New Roman" w:cs="Times New Roman"/>
      <w:sz w:val="18"/>
      <w:szCs w:val="20"/>
    </w:rPr>
  </w:style>
  <w:style w:type="paragraph" w:customStyle="1" w:styleId="NormalLeft">
    <w:name w:val="Normal + Left"/>
    <w:aliases w:val="Left"/>
    <w:basedOn w:val="Normal"/>
    <w:uiPriority w:val="99"/>
    <w:rsid w:val="00294FD1"/>
    <w:pPr>
      <w:overflowPunct w:val="0"/>
      <w:autoSpaceDE w:val="0"/>
      <w:autoSpaceDN w:val="0"/>
      <w:adjustRightInd w:val="0"/>
      <w:spacing w:after="0" w:line="240" w:lineRule="auto"/>
      <w:ind w:left="134"/>
      <w:textAlignment w:val="baseline"/>
    </w:pPr>
    <w:rPr>
      <w:rFonts w:ascii="Times New Roman" w:eastAsia="Batang" w:hAnsi="Times New Roman" w:cs="Times New Roman"/>
      <w:sz w:val="18"/>
      <w:szCs w:val="20"/>
    </w:rPr>
  </w:style>
  <w:style w:type="paragraph" w:customStyle="1" w:styleId="NormalBold">
    <w:name w:val="Normal + Bold"/>
    <w:basedOn w:val="NoDecAlign"/>
    <w:uiPriority w:val="99"/>
    <w:rsid w:val="00294FD1"/>
    <w:pPr>
      <w:tabs>
        <w:tab w:val="clear" w:pos="1021"/>
      </w:tabs>
    </w:pPr>
    <w:rPr>
      <w:b/>
    </w:rPr>
  </w:style>
  <w:style w:type="paragraph" w:customStyle="1" w:styleId="Normal10pt">
    <w:name w:val="Normal + 10 pt"/>
    <w:aliases w:val="Right"/>
    <w:basedOn w:val="Normal"/>
    <w:uiPriority w:val="99"/>
    <w:rsid w:val="00294FD1"/>
    <w:pPr>
      <w:spacing w:after="0" w:line="240" w:lineRule="auto"/>
      <w:jc w:val="right"/>
    </w:pPr>
    <w:rPr>
      <w:rFonts w:ascii="Times New Roman" w:eastAsia="Batang" w:hAnsi="Times New Roman" w:cs="Times New Roman"/>
      <w:sz w:val="20"/>
      <w:szCs w:val="20"/>
      <w:lang w:val="en-US"/>
    </w:rPr>
  </w:style>
  <w:style w:type="paragraph" w:customStyle="1" w:styleId="NormalRight">
    <w:name w:val="Normal + Right"/>
    <w:basedOn w:val="Normal"/>
    <w:uiPriority w:val="99"/>
    <w:rsid w:val="00294FD1"/>
    <w:pPr>
      <w:tabs>
        <w:tab w:val="decimal" w:pos="598"/>
      </w:tabs>
      <w:spacing w:after="0" w:line="240" w:lineRule="auto"/>
      <w:jc w:val="both"/>
    </w:pPr>
    <w:rPr>
      <w:rFonts w:ascii="Times New Roman" w:eastAsia="Batang" w:hAnsi="Times New Roman" w:cs="Times New Roman"/>
      <w:sz w:val="18"/>
      <w:szCs w:val="18"/>
      <w:lang w:val="en-US"/>
    </w:rPr>
  </w:style>
  <w:style w:type="character" w:customStyle="1" w:styleId="displayanchors1">
    <w:name w:val="displayanchors1"/>
    <w:basedOn w:val="DefaultParagraphFont"/>
    <w:uiPriority w:val="99"/>
    <w:rsid w:val="00294FD1"/>
    <w:rPr>
      <w:rFonts w:cs="Times New Roman"/>
      <w:b/>
      <w:bCs/>
      <w:vanish/>
      <w:color w:val="FF0000"/>
    </w:rPr>
  </w:style>
  <w:style w:type="character" w:customStyle="1" w:styleId="marker">
    <w:name w:val="marker"/>
    <w:basedOn w:val="DefaultParagraphFont"/>
    <w:uiPriority w:val="99"/>
    <w:rsid w:val="00294FD1"/>
    <w:rPr>
      <w:rFonts w:cs="Times New Roman"/>
    </w:rPr>
  </w:style>
  <w:style w:type="character" w:customStyle="1" w:styleId="block">
    <w:name w:val="block"/>
    <w:basedOn w:val="DefaultParagraphFont"/>
    <w:uiPriority w:val="99"/>
    <w:rsid w:val="00294FD1"/>
    <w:rPr>
      <w:rFonts w:cs="Times New Roman"/>
    </w:rPr>
  </w:style>
  <w:style w:type="character" w:customStyle="1" w:styleId="larger1">
    <w:name w:val="larger1"/>
    <w:basedOn w:val="DefaultParagraphFont"/>
    <w:uiPriority w:val="99"/>
    <w:rsid w:val="00294FD1"/>
    <w:rPr>
      <w:rFonts w:cs="Times New Roman"/>
      <w:sz w:val="23"/>
      <w:szCs w:val="23"/>
    </w:rPr>
  </w:style>
  <w:style w:type="paragraph" w:customStyle="1" w:styleId="NormalLatinArial">
    <w:name w:val="Normal + (Latin) Arial"/>
    <w:aliases w:val="9pt"/>
    <w:basedOn w:val="NormalLeft"/>
    <w:uiPriority w:val="99"/>
    <w:rsid w:val="00294FD1"/>
    <w:rPr>
      <w:rFonts w:ascii="Arial" w:hAnsi="Arial"/>
      <w:u w:val="single"/>
    </w:rPr>
  </w:style>
  <w:style w:type="paragraph" w:styleId="PlainText">
    <w:name w:val="Plain Text"/>
    <w:basedOn w:val="Normal"/>
    <w:link w:val="PlainTextChar"/>
    <w:uiPriority w:val="99"/>
    <w:unhideWhenUsed/>
    <w:rsid w:val="00294FD1"/>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rsid w:val="00294FD1"/>
    <w:rPr>
      <w:rFonts w:ascii="Arial" w:hAnsi="Arial"/>
      <w:kern w:val="0"/>
      <w:sz w:val="20"/>
      <w:szCs w:val="21"/>
      <w14:ligatures w14:val="none"/>
    </w:rPr>
  </w:style>
  <w:style w:type="character" w:styleId="Strong">
    <w:name w:val="Strong"/>
    <w:basedOn w:val="DefaultParagraphFont"/>
    <w:uiPriority w:val="22"/>
    <w:qFormat/>
    <w:rsid w:val="00294FD1"/>
    <w:rPr>
      <w:b/>
      <w:bCs/>
    </w:rPr>
  </w:style>
  <w:style w:type="character" w:styleId="CommentReference">
    <w:name w:val="annotation reference"/>
    <w:basedOn w:val="DefaultParagraphFont"/>
    <w:uiPriority w:val="99"/>
    <w:semiHidden/>
    <w:unhideWhenUsed/>
    <w:rsid w:val="00294FD1"/>
    <w:rPr>
      <w:sz w:val="16"/>
      <w:szCs w:val="16"/>
    </w:rPr>
  </w:style>
  <w:style w:type="paragraph" w:styleId="CommentText">
    <w:name w:val="annotation text"/>
    <w:basedOn w:val="Normal"/>
    <w:link w:val="CommentTextChar"/>
    <w:uiPriority w:val="99"/>
    <w:unhideWhenUsed/>
    <w:rsid w:val="00294FD1"/>
    <w:pPr>
      <w:tabs>
        <w:tab w:val="left" w:pos="709"/>
        <w:tab w:val="left" w:pos="1559"/>
        <w:tab w:val="left" w:pos="2268"/>
        <w:tab w:val="left" w:pos="2977"/>
        <w:tab w:val="left" w:pos="3686"/>
        <w:tab w:val="left" w:pos="4394"/>
        <w:tab w:val="right" w:pos="8789"/>
      </w:tabs>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uiPriority w:val="99"/>
    <w:rsid w:val="00294FD1"/>
    <w:rPr>
      <w:rFonts w:ascii="Times New Roman" w:eastAsia="Batang"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294FD1"/>
    <w:rPr>
      <w:b/>
      <w:bCs/>
    </w:rPr>
  </w:style>
  <w:style w:type="character" w:customStyle="1" w:styleId="CommentSubjectChar">
    <w:name w:val="Comment Subject Char"/>
    <w:basedOn w:val="CommentTextChar"/>
    <w:link w:val="CommentSubject"/>
    <w:uiPriority w:val="99"/>
    <w:semiHidden/>
    <w:rsid w:val="00294FD1"/>
    <w:rPr>
      <w:rFonts w:ascii="Times New Roman" w:eastAsia="Batang" w:hAnsi="Times New Roman" w:cs="Times New Roman"/>
      <w:b/>
      <w:bCs/>
      <w:kern w:val="0"/>
      <w:sz w:val="20"/>
      <w:szCs w:val="20"/>
      <w:lang w:eastAsia="ko-KR"/>
      <w14:ligatures w14:val="none"/>
    </w:rPr>
  </w:style>
  <w:style w:type="paragraph" w:styleId="Revision">
    <w:name w:val="Revision"/>
    <w:hidden/>
    <w:uiPriority w:val="99"/>
    <w:semiHidden/>
    <w:rsid w:val="00294FD1"/>
    <w:pPr>
      <w:spacing w:after="0" w:line="240" w:lineRule="auto"/>
    </w:pPr>
    <w:rPr>
      <w:rFonts w:ascii="Times New Roman" w:eastAsia="Batang" w:hAnsi="Times New Roman" w:cs="Times New Roman"/>
      <w:kern w:val="0"/>
      <w:szCs w:val="20"/>
      <w:lang w:eastAsia="ko-KR"/>
      <w14:ligatures w14:val="none"/>
    </w:rPr>
  </w:style>
  <w:style w:type="paragraph" w:customStyle="1" w:styleId="Default">
    <w:name w:val="Default"/>
    <w:basedOn w:val="Normal"/>
    <w:rsid w:val="00294FD1"/>
    <w:pPr>
      <w:autoSpaceDE w:val="0"/>
      <w:autoSpaceDN w:val="0"/>
      <w:spacing w:after="0" w:line="240" w:lineRule="auto"/>
    </w:pPr>
    <w:rPr>
      <w:rFonts w:ascii="Times New Roman" w:hAnsi="Times New Roman" w:cs="Times New Roman"/>
      <w:color w:val="000000"/>
      <w:sz w:val="24"/>
      <w:szCs w:val="24"/>
      <w:lang w:eastAsia="en-GB"/>
    </w:rPr>
  </w:style>
  <w:style w:type="paragraph" w:customStyle="1" w:styleId="ahw">
    <w:name w:val="ahw"/>
    <w:basedOn w:val="Normal"/>
    <w:rsid w:val="00294FD1"/>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dg">
    <w:name w:val="adg"/>
    <w:basedOn w:val="DefaultParagraphFont"/>
    <w:rsid w:val="00294FD1"/>
  </w:style>
  <w:style w:type="character" w:customStyle="1" w:styleId="qf">
    <w:name w:val="qf"/>
    <w:basedOn w:val="DefaultParagraphFont"/>
    <w:rsid w:val="00294FD1"/>
  </w:style>
  <w:style w:type="character" w:customStyle="1" w:styleId="qa">
    <w:name w:val="qa"/>
    <w:basedOn w:val="DefaultParagraphFont"/>
    <w:rsid w:val="00294FD1"/>
  </w:style>
  <w:style w:type="character" w:customStyle="1" w:styleId="pv">
    <w:name w:val="pv"/>
    <w:basedOn w:val="DefaultParagraphFont"/>
    <w:rsid w:val="00294FD1"/>
  </w:style>
  <w:style w:type="character" w:customStyle="1" w:styleId="pi">
    <w:name w:val="pi"/>
    <w:basedOn w:val="DefaultParagraphFont"/>
    <w:rsid w:val="00294FD1"/>
  </w:style>
  <w:style w:type="character" w:customStyle="1" w:styleId="iz">
    <w:name w:val="iz"/>
    <w:basedOn w:val="DefaultParagraphFont"/>
    <w:rsid w:val="00294FD1"/>
  </w:style>
  <w:style w:type="paragraph" w:customStyle="1" w:styleId="ParaIMS">
    <w:name w:val="Para/IMS"/>
    <w:basedOn w:val="Normal"/>
    <w:rsid w:val="00294FD1"/>
    <w:pPr>
      <w:spacing w:before="160" w:after="0" w:line="240" w:lineRule="auto"/>
    </w:pPr>
    <w:rPr>
      <w:rFonts w:ascii="Times New Roman" w:eastAsia="Times New Roman" w:hAnsi="Times New Roman" w:cs="Times New Roman"/>
      <w:sz w:val="20"/>
      <w:szCs w:val="20"/>
      <w:lang w:val="en-US"/>
    </w:rPr>
  </w:style>
  <w:style w:type="paragraph" w:customStyle="1" w:styleId="TableColumnIMS">
    <w:name w:val="Table Column/IMS"/>
    <w:basedOn w:val="Normal"/>
    <w:rsid w:val="00294FD1"/>
    <w:pPr>
      <w:spacing w:before="40" w:after="0" w:line="240" w:lineRule="auto"/>
      <w:jc w:val="right"/>
    </w:pPr>
    <w:rPr>
      <w:rFonts w:ascii="Times New Roman" w:eastAsia="Times New Roman" w:hAnsi="Times New Roman" w:cs="Times New Roman"/>
      <w:sz w:val="20"/>
      <w:szCs w:val="20"/>
      <w:lang w:val="en-US"/>
    </w:rPr>
  </w:style>
  <w:style w:type="paragraph" w:customStyle="1" w:styleId="TableStubIMS">
    <w:name w:val="Table Stub/IMS"/>
    <w:basedOn w:val="Normal"/>
    <w:rsid w:val="00294FD1"/>
    <w:pPr>
      <w:spacing w:before="40" w:after="0" w:line="240" w:lineRule="auto"/>
    </w:pPr>
    <w:rPr>
      <w:rFonts w:ascii="Times New Roman" w:eastAsia="Times New Roman" w:hAnsi="Times New Roman" w:cs="Times New Roman"/>
      <w:sz w:val="20"/>
      <w:szCs w:val="20"/>
      <w:lang w:val="en-US"/>
    </w:rPr>
  </w:style>
  <w:style w:type="paragraph" w:customStyle="1" w:styleId="TableColumnHeadingIMS">
    <w:name w:val="Table Column Heading/IMS"/>
    <w:basedOn w:val="Normal"/>
    <w:rsid w:val="00294FD1"/>
    <w:pPr>
      <w:spacing w:before="40" w:after="0" w:line="240" w:lineRule="auto"/>
      <w:jc w:val="center"/>
    </w:pPr>
    <w:rPr>
      <w:rFonts w:ascii="Times New Roman" w:eastAsia="Times New Roman" w:hAnsi="Times New Roman" w:cs="Times New Roman"/>
      <w:b/>
      <w:sz w:val="16"/>
      <w:szCs w:val="20"/>
      <w:lang w:val="en-US"/>
    </w:rPr>
  </w:style>
  <w:style w:type="paragraph" w:customStyle="1" w:styleId="LstRomanIMS">
    <w:name w:val="LstRoman/IMS"/>
    <w:basedOn w:val="Normal"/>
    <w:rsid w:val="00294FD1"/>
    <w:pPr>
      <w:spacing w:before="120" w:after="0" w:line="240" w:lineRule="auto"/>
      <w:ind w:left="518" w:hanging="518"/>
    </w:pPr>
    <w:rPr>
      <w:rFonts w:ascii="Times New Roman" w:eastAsia="Times New Roman" w:hAnsi="Times New Roman" w:cs="Times New Roman"/>
      <w:sz w:val="20"/>
      <w:szCs w:val="20"/>
      <w:lang w:val="en-US"/>
    </w:rPr>
  </w:style>
  <w:style w:type="paragraph" w:customStyle="1" w:styleId="GenericIMS">
    <w:name w:val="Generic/IMS"/>
    <w:basedOn w:val="Normal"/>
    <w:rsid w:val="00294FD1"/>
    <w:pPr>
      <w:spacing w:after="0" w:line="240" w:lineRule="auto"/>
    </w:pPr>
    <w:rPr>
      <w:rFonts w:ascii="Times New Roman" w:eastAsia="Times New Roman" w:hAnsi="Times New Roman" w:cs="Times New Roman"/>
      <w:sz w:val="20"/>
      <w:szCs w:val="20"/>
      <w:lang w:val="en-US"/>
    </w:rPr>
  </w:style>
  <w:style w:type="paragraph" w:customStyle="1" w:styleId="LBulletIMS">
    <w:name w:val="LBullet/IMS"/>
    <w:basedOn w:val="Normal"/>
    <w:rsid w:val="00294FD1"/>
    <w:pPr>
      <w:numPr>
        <w:numId w:val="3"/>
      </w:numPr>
      <w:spacing w:before="120" w:after="0" w:line="240" w:lineRule="auto"/>
    </w:pPr>
    <w:rPr>
      <w:rFonts w:ascii="Times New Roman" w:eastAsia="Times New Roman" w:hAnsi="Times New Roman" w:cs="Times New Roman"/>
      <w:sz w:val="20"/>
      <w:szCs w:val="20"/>
      <w:lang w:val="en-US"/>
    </w:rPr>
  </w:style>
  <w:style w:type="paragraph" w:customStyle="1" w:styleId="TableEndParenIMS">
    <w:name w:val="Table EndParen/IMS"/>
    <w:basedOn w:val="Normal"/>
    <w:rsid w:val="00294FD1"/>
    <w:pPr>
      <w:spacing w:before="40" w:after="0" w:line="240" w:lineRule="auto"/>
      <w:ind w:left="-14"/>
    </w:pPr>
    <w:rPr>
      <w:rFonts w:ascii="Times New Roman" w:eastAsia="Times New Roman" w:hAnsi="Times New Roman" w:cs="Times New Roman"/>
      <w:sz w:val="20"/>
      <w:szCs w:val="20"/>
      <w:lang w:val="en-US"/>
    </w:rPr>
  </w:style>
  <w:style w:type="table" w:customStyle="1" w:styleId="TableGrid1">
    <w:name w:val="Table Grid1"/>
    <w:basedOn w:val="TableNormal"/>
    <w:next w:val="TableGrid"/>
    <w:uiPriority w:val="39"/>
    <w:rsid w:val="00294FD1"/>
    <w:pPr>
      <w:tabs>
        <w:tab w:val="left" w:pos="709"/>
        <w:tab w:val="left" w:pos="1559"/>
        <w:tab w:val="left" w:pos="2268"/>
        <w:tab w:val="left" w:pos="2977"/>
        <w:tab w:val="left" w:pos="3686"/>
        <w:tab w:val="left" w:pos="4394"/>
        <w:tab w:val="right" w:pos="8789"/>
      </w:tabs>
      <w:spacing w:after="0" w:line="260" w:lineRule="atLeast"/>
    </w:pPr>
    <w:rPr>
      <w:rFonts w:ascii="Times New Roman" w:eastAsia="Batang"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94FD1"/>
    <w:pPr>
      <w:tabs>
        <w:tab w:val="left" w:pos="709"/>
        <w:tab w:val="left" w:pos="1559"/>
        <w:tab w:val="left" w:pos="2268"/>
        <w:tab w:val="left" w:pos="2977"/>
        <w:tab w:val="left" w:pos="3686"/>
        <w:tab w:val="left" w:pos="4394"/>
        <w:tab w:val="right" w:pos="8789"/>
      </w:tabs>
      <w:spacing w:after="0" w:line="260" w:lineRule="atLeast"/>
    </w:pPr>
    <w:rPr>
      <w:rFonts w:ascii="Times New Roman" w:eastAsia="Batang"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94FD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BodyTextGeneralMisc">
    <w:name w:val="BodyText (General/Misc)"/>
    <w:basedOn w:val="Normal"/>
    <w:uiPriority w:val="99"/>
    <w:rsid w:val="00294FD1"/>
    <w:pPr>
      <w:suppressAutoHyphens/>
      <w:autoSpaceDE w:val="0"/>
      <w:autoSpaceDN w:val="0"/>
      <w:adjustRightInd w:val="0"/>
      <w:spacing w:after="0" w:line="200" w:lineRule="atLeast"/>
      <w:textAlignment w:val="center"/>
    </w:pPr>
    <w:rPr>
      <w:rFonts w:ascii="Open Sans Light" w:hAnsi="Open Sans Light" w:cs="Open Sans Light"/>
      <w:color w:val="384049"/>
      <w:sz w:val="16"/>
      <w:szCs w:val="16"/>
    </w:rPr>
  </w:style>
  <w:style w:type="character" w:customStyle="1" w:styleId="bumpedfont20">
    <w:name w:val="bumpedfont20"/>
    <w:basedOn w:val="DefaultParagraphFont"/>
    <w:rsid w:val="00294FD1"/>
    <w:rPr>
      <w:rFonts w:ascii="Times New Roman" w:hAnsi="Times New Roman" w:cs="Times New Roman" w:hint="default"/>
    </w:rPr>
  </w:style>
  <w:style w:type="table" w:customStyle="1" w:styleId="TableGrid11">
    <w:name w:val="Table Grid11"/>
    <w:basedOn w:val="TableNormal"/>
    <w:next w:val="TableGrid"/>
    <w:uiPriority w:val="59"/>
    <w:rsid w:val="00294F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4FD1"/>
    <w:rPr>
      <w:color w:val="96607D" w:themeColor="followedHyperlink"/>
      <w:u w:val="single"/>
    </w:rPr>
  </w:style>
  <w:style w:type="character" w:styleId="SubtleEmphasis">
    <w:name w:val="Subtle Emphasis"/>
    <w:basedOn w:val="DefaultParagraphFont"/>
    <w:uiPriority w:val="19"/>
    <w:qFormat/>
    <w:rsid w:val="00294FD1"/>
    <w:rPr>
      <w:i/>
      <w:iCs/>
      <w:color w:val="404040" w:themeColor="text1" w:themeTint="BF"/>
    </w:rPr>
  </w:style>
  <w:style w:type="character" w:styleId="PlaceholderText">
    <w:name w:val="Placeholder Text"/>
    <w:basedOn w:val="DefaultParagraphFont"/>
    <w:uiPriority w:val="99"/>
    <w:semiHidden/>
    <w:rsid w:val="00294FD1"/>
    <w:rPr>
      <w:color w:val="808080"/>
    </w:rPr>
  </w:style>
  <w:style w:type="character" w:customStyle="1" w:styleId="UnresolvedMention1">
    <w:name w:val="Unresolved Mention1"/>
    <w:basedOn w:val="DefaultParagraphFont"/>
    <w:uiPriority w:val="99"/>
    <w:unhideWhenUsed/>
    <w:rsid w:val="00294FD1"/>
    <w:rPr>
      <w:color w:val="605E5C"/>
      <w:shd w:val="clear" w:color="auto" w:fill="E1DFDD"/>
    </w:rPr>
  </w:style>
  <w:style w:type="character" w:customStyle="1" w:styleId="Mention1">
    <w:name w:val="Mention1"/>
    <w:basedOn w:val="DefaultParagraphFont"/>
    <w:uiPriority w:val="99"/>
    <w:unhideWhenUsed/>
    <w:rsid w:val="00294FD1"/>
    <w:rPr>
      <w:color w:val="2B579A"/>
      <w:shd w:val="clear" w:color="auto" w:fill="E1DFDD"/>
    </w:rPr>
  </w:style>
  <w:style w:type="character" w:customStyle="1" w:styleId="UnresolvedMention2">
    <w:name w:val="Unresolved Mention2"/>
    <w:basedOn w:val="DefaultParagraphFont"/>
    <w:uiPriority w:val="99"/>
    <w:unhideWhenUsed/>
    <w:rsid w:val="00294FD1"/>
    <w:rPr>
      <w:color w:val="605E5C"/>
      <w:shd w:val="clear" w:color="auto" w:fill="E1DFDD"/>
    </w:rPr>
  </w:style>
  <w:style w:type="character" w:customStyle="1" w:styleId="Mention2">
    <w:name w:val="Mention2"/>
    <w:basedOn w:val="DefaultParagraphFont"/>
    <w:uiPriority w:val="99"/>
    <w:unhideWhenUsed/>
    <w:rsid w:val="00294FD1"/>
    <w:rPr>
      <w:color w:val="2B579A"/>
      <w:shd w:val="clear" w:color="auto" w:fill="E1DFDD"/>
    </w:rPr>
  </w:style>
  <w:style w:type="character" w:customStyle="1" w:styleId="UnresolvedMention3">
    <w:name w:val="Unresolved Mention3"/>
    <w:basedOn w:val="DefaultParagraphFont"/>
    <w:uiPriority w:val="99"/>
    <w:semiHidden/>
    <w:unhideWhenUsed/>
    <w:rsid w:val="00294FD1"/>
    <w:rPr>
      <w:color w:val="605E5C"/>
      <w:shd w:val="clear" w:color="auto" w:fill="E1DFDD"/>
    </w:rPr>
  </w:style>
  <w:style w:type="character" w:customStyle="1" w:styleId="UnresolvedMention4">
    <w:name w:val="Unresolved Mention4"/>
    <w:basedOn w:val="DefaultParagraphFont"/>
    <w:uiPriority w:val="99"/>
    <w:unhideWhenUsed/>
    <w:rsid w:val="00294FD1"/>
    <w:rPr>
      <w:color w:val="605E5C"/>
      <w:shd w:val="clear" w:color="auto" w:fill="E1DFDD"/>
    </w:rPr>
  </w:style>
  <w:style w:type="character" w:customStyle="1" w:styleId="Mention3">
    <w:name w:val="Mention3"/>
    <w:basedOn w:val="DefaultParagraphFont"/>
    <w:uiPriority w:val="99"/>
    <w:unhideWhenUsed/>
    <w:rsid w:val="00294FD1"/>
    <w:rPr>
      <w:color w:val="2B579A"/>
      <w:shd w:val="clear" w:color="auto" w:fill="E1DFDD"/>
    </w:rPr>
  </w:style>
  <w:style w:type="character" w:customStyle="1" w:styleId="UnresolvedMention5">
    <w:name w:val="Unresolved Mention5"/>
    <w:basedOn w:val="DefaultParagraphFont"/>
    <w:uiPriority w:val="99"/>
    <w:unhideWhenUsed/>
    <w:rsid w:val="00294FD1"/>
    <w:rPr>
      <w:color w:val="605E5C"/>
      <w:shd w:val="clear" w:color="auto" w:fill="E1DFDD"/>
    </w:rPr>
  </w:style>
  <w:style w:type="character" w:customStyle="1" w:styleId="Mention4">
    <w:name w:val="Mention4"/>
    <w:basedOn w:val="DefaultParagraphFont"/>
    <w:uiPriority w:val="99"/>
    <w:unhideWhenUsed/>
    <w:rsid w:val="00294FD1"/>
    <w:rPr>
      <w:color w:val="2B579A"/>
      <w:shd w:val="clear" w:color="auto" w:fill="E1DFDD"/>
    </w:rPr>
  </w:style>
  <w:style w:type="character" w:customStyle="1" w:styleId="UnresolvedMention6">
    <w:name w:val="Unresolved Mention6"/>
    <w:basedOn w:val="DefaultParagraphFont"/>
    <w:uiPriority w:val="99"/>
    <w:unhideWhenUsed/>
    <w:rsid w:val="00294FD1"/>
    <w:rPr>
      <w:color w:val="605E5C"/>
      <w:shd w:val="clear" w:color="auto" w:fill="E1DFDD"/>
    </w:rPr>
  </w:style>
  <w:style w:type="character" w:customStyle="1" w:styleId="Mention5">
    <w:name w:val="Mention5"/>
    <w:basedOn w:val="DefaultParagraphFont"/>
    <w:uiPriority w:val="99"/>
    <w:unhideWhenUsed/>
    <w:rsid w:val="00294FD1"/>
    <w:rPr>
      <w:color w:val="2B579A"/>
      <w:shd w:val="clear" w:color="auto" w:fill="E1DFDD"/>
    </w:rPr>
  </w:style>
  <w:style w:type="character" w:customStyle="1" w:styleId="UnresolvedMention7">
    <w:name w:val="Unresolved Mention7"/>
    <w:basedOn w:val="DefaultParagraphFont"/>
    <w:uiPriority w:val="99"/>
    <w:unhideWhenUsed/>
    <w:rsid w:val="00294FD1"/>
    <w:rPr>
      <w:color w:val="605E5C"/>
      <w:shd w:val="clear" w:color="auto" w:fill="E1DFDD"/>
    </w:rPr>
  </w:style>
  <w:style w:type="character" w:customStyle="1" w:styleId="Mention6">
    <w:name w:val="Mention6"/>
    <w:basedOn w:val="DefaultParagraphFont"/>
    <w:uiPriority w:val="99"/>
    <w:unhideWhenUsed/>
    <w:rsid w:val="00294FD1"/>
    <w:rPr>
      <w:color w:val="2B579A"/>
      <w:shd w:val="clear" w:color="auto" w:fill="E1DFDD"/>
    </w:rPr>
  </w:style>
  <w:style w:type="character" w:customStyle="1" w:styleId="UnresolvedMention8">
    <w:name w:val="Unresolved Mention8"/>
    <w:basedOn w:val="DefaultParagraphFont"/>
    <w:uiPriority w:val="99"/>
    <w:unhideWhenUsed/>
    <w:rsid w:val="00294FD1"/>
    <w:rPr>
      <w:color w:val="605E5C"/>
      <w:shd w:val="clear" w:color="auto" w:fill="E1DFDD"/>
    </w:rPr>
  </w:style>
  <w:style w:type="character" w:customStyle="1" w:styleId="Mention7">
    <w:name w:val="Mention7"/>
    <w:basedOn w:val="DefaultParagraphFont"/>
    <w:uiPriority w:val="99"/>
    <w:unhideWhenUsed/>
    <w:rsid w:val="00294FD1"/>
    <w:rPr>
      <w:color w:val="2B579A"/>
      <w:shd w:val="clear" w:color="auto" w:fill="E1DFDD"/>
    </w:rPr>
  </w:style>
  <w:style w:type="character" w:customStyle="1" w:styleId="UnresolvedMention9">
    <w:name w:val="Unresolved Mention9"/>
    <w:basedOn w:val="DefaultParagraphFont"/>
    <w:uiPriority w:val="99"/>
    <w:unhideWhenUsed/>
    <w:rsid w:val="00294FD1"/>
    <w:rPr>
      <w:color w:val="605E5C"/>
      <w:shd w:val="clear" w:color="auto" w:fill="E1DFDD"/>
    </w:rPr>
  </w:style>
  <w:style w:type="character" w:customStyle="1" w:styleId="Mention8">
    <w:name w:val="Mention8"/>
    <w:basedOn w:val="DefaultParagraphFont"/>
    <w:uiPriority w:val="99"/>
    <w:unhideWhenUsed/>
    <w:rsid w:val="00294FD1"/>
    <w:rPr>
      <w:color w:val="2B579A"/>
      <w:shd w:val="clear" w:color="auto" w:fill="E6E6E6"/>
    </w:rPr>
  </w:style>
  <w:style w:type="character" w:customStyle="1" w:styleId="Mention9">
    <w:name w:val="Mention9"/>
    <w:basedOn w:val="DefaultParagraphFont"/>
    <w:uiPriority w:val="99"/>
    <w:unhideWhenUsed/>
    <w:rsid w:val="00294FD1"/>
    <w:rPr>
      <w:color w:val="2B579A"/>
      <w:shd w:val="clear" w:color="auto" w:fill="E1DFDD"/>
    </w:rPr>
  </w:style>
  <w:style w:type="character" w:customStyle="1" w:styleId="UnresolvedMention10">
    <w:name w:val="Unresolved Mention10"/>
    <w:basedOn w:val="DefaultParagraphFont"/>
    <w:uiPriority w:val="99"/>
    <w:unhideWhenUsed/>
    <w:rsid w:val="00294FD1"/>
    <w:rPr>
      <w:color w:val="605E5C"/>
      <w:shd w:val="clear" w:color="auto" w:fill="E1DFDD"/>
    </w:rPr>
  </w:style>
  <w:style w:type="character" w:customStyle="1" w:styleId="Mention10">
    <w:name w:val="Mention10"/>
    <w:basedOn w:val="DefaultParagraphFont"/>
    <w:uiPriority w:val="99"/>
    <w:unhideWhenUsed/>
    <w:rsid w:val="00294FD1"/>
    <w:rPr>
      <w:color w:val="2B579A"/>
      <w:shd w:val="clear" w:color="auto" w:fill="E1DFDD"/>
    </w:rPr>
  </w:style>
  <w:style w:type="paragraph" w:styleId="EndnoteText">
    <w:name w:val="endnote text"/>
    <w:basedOn w:val="Normal"/>
    <w:link w:val="EndnoteTextChar"/>
    <w:uiPriority w:val="99"/>
    <w:semiHidden/>
    <w:unhideWhenUsed/>
    <w:rsid w:val="00294F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4FD1"/>
    <w:rPr>
      <w:kern w:val="0"/>
      <w:sz w:val="20"/>
      <w:szCs w:val="20"/>
      <w14:ligatures w14:val="none"/>
    </w:rPr>
  </w:style>
  <w:style w:type="character" w:styleId="EndnoteReference">
    <w:name w:val="endnote reference"/>
    <w:basedOn w:val="DefaultParagraphFont"/>
    <w:uiPriority w:val="99"/>
    <w:semiHidden/>
    <w:unhideWhenUsed/>
    <w:rsid w:val="00294FD1"/>
    <w:rPr>
      <w:vertAlign w:val="superscript"/>
    </w:rPr>
  </w:style>
  <w:style w:type="character" w:customStyle="1" w:styleId="Mention11">
    <w:name w:val="Mention11"/>
    <w:basedOn w:val="DefaultParagraphFont"/>
    <w:uiPriority w:val="99"/>
    <w:unhideWhenUsed/>
    <w:rsid w:val="00294FD1"/>
    <w:rPr>
      <w:color w:val="2B579A"/>
      <w:shd w:val="clear" w:color="auto" w:fill="E6E6E6"/>
    </w:rPr>
  </w:style>
  <w:style w:type="character" w:customStyle="1" w:styleId="UnresolvedMention11">
    <w:name w:val="Unresolved Mention11"/>
    <w:basedOn w:val="DefaultParagraphFont"/>
    <w:uiPriority w:val="99"/>
    <w:unhideWhenUsed/>
    <w:rsid w:val="00294FD1"/>
    <w:rPr>
      <w:color w:val="605E5C"/>
      <w:shd w:val="clear" w:color="auto" w:fill="E1DFDD"/>
    </w:rPr>
  </w:style>
  <w:style w:type="character" w:styleId="Mention">
    <w:name w:val="Mention"/>
    <w:basedOn w:val="DefaultParagraphFont"/>
    <w:uiPriority w:val="99"/>
    <w:unhideWhenUsed/>
    <w:rsid w:val="00294FD1"/>
    <w:rPr>
      <w:color w:val="2B579A"/>
      <w:shd w:val="clear" w:color="auto" w:fill="E1DFDD"/>
    </w:rPr>
  </w:style>
  <w:style w:type="character" w:styleId="UnresolvedMention">
    <w:name w:val="Unresolved Mention"/>
    <w:basedOn w:val="DefaultParagraphFont"/>
    <w:uiPriority w:val="99"/>
    <w:unhideWhenUsed/>
    <w:rsid w:val="00294FD1"/>
    <w:rPr>
      <w:color w:val="605E5C"/>
      <w:shd w:val="clear" w:color="auto" w:fill="E1DFDD"/>
    </w:rPr>
  </w:style>
  <w:style w:type="character" w:customStyle="1" w:styleId="Mention12">
    <w:name w:val="Mention12"/>
    <w:basedOn w:val="DefaultParagraphFont"/>
    <w:uiPriority w:val="99"/>
    <w:unhideWhenUsed/>
    <w:rsid w:val="00294FD1"/>
    <w:rPr>
      <w:color w:val="2B579A"/>
      <w:shd w:val="clear" w:color="auto" w:fill="E1DFDD"/>
    </w:rPr>
  </w:style>
  <w:style w:type="character" w:customStyle="1" w:styleId="UnresolvedMention12">
    <w:name w:val="Unresolved Mention12"/>
    <w:basedOn w:val="DefaultParagraphFont"/>
    <w:uiPriority w:val="99"/>
    <w:unhideWhenUsed/>
    <w:rsid w:val="00294FD1"/>
    <w:rPr>
      <w:color w:val="605E5C"/>
      <w:shd w:val="clear" w:color="auto" w:fill="E1DFDD"/>
    </w:rPr>
  </w:style>
  <w:style w:type="paragraph" w:customStyle="1" w:styleId="BodyCopy">
    <w:name w:val="Body Copy"/>
    <w:basedOn w:val="Normal"/>
    <w:uiPriority w:val="99"/>
    <w:rsid w:val="00294FD1"/>
    <w:pPr>
      <w:tabs>
        <w:tab w:val="left" w:pos="283"/>
        <w:tab w:val="left" w:pos="567"/>
      </w:tabs>
      <w:suppressAutoHyphens/>
      <w:autoSpaceDE w:val="0"/>
      <w:autoSpaceDN w:val="0"/>
      <w:adjustRightInd w:val="0"/>
      <w:spacing w:after="0" w:line="200" w:lineRule="atLeast"/>
      <w:textAlignment w:val="center"/>
    </w:pPr>
    <w:rPr>
      <w:rFonts w:ascii="Open Sans Light" w:hAnsi="Open Sans Light" w:cs="Open Sans Light"/>
      <w:color w:val="000000"/>
      <w:sz w:val="16"/>
      <w:szCs w:val="16"/>
    </w:rPr>
  </w:style>
  <w:style w:type="character" w:customStyle="1" w:styleId="cf01">
    <w:name w:val="cf01"/>
    <w:basedOn w:val="DefaultParagraphFont"/>
    <w:rsid w:val="00294FD1"/>
    <w:rPr>
      <w:rFonts w:ascii="Segoe UI" w:hAnsi="Segoe UI" w:cs="Segoe UI" w:hint="default"/>
      <w:sz w:val="18"/>
      <w:szCs w:val="18"/>
    </w:rPr>
  </w:style>
  <w:style w:type="character" w:customStyle="1" w:styleId="normaltextrun">
    <w:name w:val="normaltextrun"/>
    <w:basedOn w:val="DefaultParagraphFont"/>
    <w:rsid w:val="00294FD1"/>
  </w:style>
  <w:style w:type="character" w:customStyle="1" w:styleId="ui-provider">
    <w:name w:val="ui-provider"/>
    <w:basedOn w:val="DefaultParagraphFont"/>
    <w:rsid w:val="00294FD1"/>
  </w:style>
  <w:style w:type="paragraph" w:customStyle="1" w:styleId="paragraph">
    <w:name w:val="paragraph"/>
    <w:basedOn w:val="Normal"/>
    <w:rsid w:val="00294F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294FD1"/>
    <w:pPr>
      <w:spacing w:after="0" w:line="240" w:lineRule="auto"/>
    </w:pPr>
    <w:rPr>
      <w:rFonts w:ascii="Calibri" w:hAnsi="Calibri" w:cs="Calibri"/>
      <w:lang w:eastAsia="en-GB"/>
    </w:rPr>
  </w:style>
  <w:style w:type="character" w:customStyle="1" w:styleId="eop">
    <w:name w:val="eop"/>
    <w:basedOn w:val="DefaultParagraphFont"/>
    <w:rsid w:val="00F548E3"/>
  </w:style>
  <w:style w:type="paragraph" w:customStyle="1" w:styleId="bodytext0">
    <w:name w:val="_body text"/>
    <w:basedOn w:val="Normal"/>
    <w:uiPriority w:val="99"/>
    <w:rsid w:val="00045986"/>
    <w:pPr>
      <w:tabs>
        <w:tab w:val="left" w:pos="340"/>
      </w:tabs>
      <w:suppressAutoHyphens/>
      <w:autoSpaceDE w:val="0"/>
      <w:autoSpaceDN w:val="0"/>
      <w:adjustRightInd w:val="0"/>
      <w:spacing w:after="120" w:line="200" w:lineRule="atLeast"/>
      <w:textAlignment w:val="center"/>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126202">
      <w:bodyDiv w:val="1"/>
      <w:marLeft w:val="0"/>
      <w:marRight w:val="0"/>
      <w:marTop w:val="0"/>
      <w:marBottom w:val="0"/>
      <w:divBdr>
        <w:top w:val="none" w:sz="0" w:space="0" w:color="auto"/>
        <w:left w:val="none" w:sz="0" w:space="0" w:color="auto"/>
        <w:bottom w:val="none" w:sz="0" w:space="0" w:color="auto"/>
        <w:right w:val="none" w:sz="0" w:space="0" w:color="auto"/>
      </w:divBdr>
    </w:div>
    <w:div w:id="720253497">
      <w:bodyDiv w:val="1"/>
      <w:marLeft w:val="0"/>
      <w:marRight w:val="0"/>
      <w:marTop w:val="0"/>
      <w:marBottom w:val="0"/>
      <w:divBdr>
        <w:top w:val="none" w:sz="0" w:space="0" w:color="auto"/>
        <w:left w:val="none" w:sz="0" w:space="0" w:color="auto"/>
        <w:bottom w:val="none" w:sz="0" w:space="0" w:color="auto"/>
        <w:right w:val="none" w:sz="0" w:space="0" w:color="auto"/>
      </w:divBdr>
    </w:div>
    <w:div w:id="913322406">
      <w:bodyDiv w:val="1"/>
      <w:marLeft w:val="0"/>
      <w:marRight w:val="0"/>
      <w:marTop w:val="0"/>
      <w:marBottom w:val="0"/>
      <w:divBdr>
        <w:top w:val="none" w:sz="0" w:space="0" w:color="auto"/>
        <w:left w:val="none" w:sz="0" w:space="0" w:color="auto"/>
        <w:bottom w:val="none" w:sz="0" w:space="0" w:color="auto"/>
        <w:right w:val="none" w:sz="0" w:space="0" w:color="auto"/>
      </w:divBdr>
      <w:divsChild>
        <w:div w:id="237397895">
          <w:marLeft w:val="0"/>
          <w:marRight w:val="0"/>
          <w:marTop w:val="0"/>
          <w:marBottom w:val="0"/>
          <w:divBdr>
            <w:top w:val="none" w:sz="0" w:space="0" w:color="auto"/>
            <w:left w:val="none" w:sz="0" w:space="0" w:color="auto"/>
            <w:bottom w:val="none" w:sz="0" w:space="0" w:color="auto"/>
            <w:right w:val="none" w:sz="0" w:space="0" w:color="auto"/>
          </w:divBdr>
        </w:div>
        <w:div w:id="798032450">
          <w:marLeft w:val="0"/>
          <w:marRight w:val="0"/>
          <w:marTop w:val="0"/>
          <w:marBottom w:val="0"/>
          <w:divBdr>
            <w:top w:val="none" w:sz="0" w:space="0" w:color="auto"/>
            <w:left w:val="none" w:sz="0" w:space="0" w:color="auto"/>
            <w:bottom w:val="none" w:sz="0" w:space="0" w:color="auto"/>
            <w:right w:val="none" w:sz="0" w:space="0" w:color="auto"/>
          </w:divBdr>
        </w:div>
        <w:div w:id="1061293485">
          <w:marLeft w:val="0"/>
          <w:marRight w:val="0"/>
          <w:marTop w:val="0"/>
          <w:marBottom w:val="0"/>
          <w:divBdr>
            <w:top w:val="none" w:sz="0" w:space="0" w:color="auto"/>
            <w:left w:val="none" w:sz="0" w:space="0" w:color="auto"/>
            <w:bottom w:val="none" w:sz="0" w:space="0" w:color="auto"/>
            <w:right w:val="none" w:sz="0" w:space="0" w:color="auto"/>
          </w:divBdr>
        </w:div>
      </w:divsChild>
    </w:div>
    <w:div w:id="136880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liam.Clutterbuck@h-advisors.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segissuerservices.com/spark/MoneysupermarketcomGroup/events/77b77e42-a8d4-4d63-8037-c94952482e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ygroup.com/investors/results-reports-and-present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C8315C5BAFC4185F1C6975D0FBF8A" ma:contentTypeVersion="18" ma:contentTypeDescription="Create a new document." ma:contentTypeScope="" ma:versionID="656e7a9f41613f34046414374dba2b1f">
  <xsd:schema xmlns:xsd="http://www.w3.org/2001/XMLSchema" xmlns:xs="http://www.w3.org/2001/XMLSchema" xmlns:p="http://schemas.microsoft.com/office/2006/metadata/properties" xmlns:ns2="5a3f2ca3-ea39-4566-9bdf-543572d97fa7" xmlns:ns3="3d5be560-9190-4928-8519-4ce34b56e05c" targetNamespace="http://schemas.microsoft.com/office/2006/metadata/properties" ma:root="true" ma:fieldsID="8c64d34c77902c44b6043bf4795414e3" ns2:_="" ns3:_="">
    <xsd:import namespace="5a3f2ca3-ea39-4566-9bdf-543572d97fa7"/>
    <xsd:import namespace="3d5be560-9190-4928-8519-4ce34b56e0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f2ca3-ea39-4566-9bdf-543572d97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37f239-6834-4bd3-bb48-26abf64f9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be560-9190-4928-8519-4ce34b56e0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df2ca6-d628-4d00-8e76-5d7056fbf2ce}" ma:internalName="TaxCatchAll" ma:showField="CatchAllData" ma:web="3d5be560-9190-4928-8519-4ce34b56e0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3f2ca3-ea39-4566-9bdf-543572d97fa7">
      <Terms xmlns="http://schemas.microsoft.com/office/infopath/2007/PartnerControls"/>
    </lcf76f155ced4ddcb4097134ff3c332f>
    <TaxCatchAll xmlns="3d5be560-9190-4928-8519-4ce34b56e05c" xsi:nil="true"/>
    <SharedWithUsers xmlns="3d5be560-9190-4928-8519-4ce34b56e05c">
      <UserInfo>
        <DisplayName>Peter Duffy</DisplayName>
        <AccountId>161</AccountId>
        <AccountType/>
      </UserInfo>
    </SharedWithUsers>
  </documentManagement>
</p:properties>
</file>

<file path=customXml/itemProps1.xml><?xml version="1.0" encoding="utf-8"?>
<ds:datastoreItem xmlns:ds="http://schemas.openxmlformats.org/officeDocument/2006/customXml" ds:itemID="{37639BF4-5215-4785-AF6A-4EDD50D612F8}"/>
</file>

<file path=customXml/itemProps2.xml><?xml version="1.0" encoding="utf-8"?>
<ds:datastoreItem xmlns:ds="http://schemas.openxmlformats.org/officeDocument/2006/customXml" ds:itemID="{495B0E6F-D0A7-4AFD-92C1-B43F7A3DA7AE}">
  <ds:schemaRefs>
    <ds:schemaRef ds:uri="http://schemas.microsoft.com/sharepoint/v3/contenttype/forms"/>
  </ds:schemaRefs>
</ds:datastoreItem>
</file>

<file path=customXml/itemProps3.xml><?xml version="1.0" encoding="utf-8"?>
<ds:datastoreItem xmlns:ds="http://schemas.openxmlformats.org/officeDocument/2006/customXml" ds:itemID="{8819FD27-EE30-4E1A-8B7B-6D7FAB24D98F}">
  <ds:schemaRefs>
    <ds:schemaRef ds:uri="http://schemas.openxmlformats.org/officeDocument/2006/bibliography"/>
  </ds:schemaRefs>
</ds:datastoreItem>
</file>

<file path=customXml/itemProps4.xml><?xml version="1.0" encoding="utf-8"?>
<ds:datastoreItem xmlns:ds="http://schemas.openxmlformats.org/officeDocument/2006/customXml" ds:itemID="{AF5EF140-7743-4ED6-B682-CDEDE2B50C29}">
  <ds:schemaRefs>
    <ds:schemaRef ds:uri="http://schemas.microsoft.com/office/2006/metadata/properties"/>
    <ds:schemaRef ds:uri="http://schemas.microsoft.com/office/infopath/2007/PartnerControls"/>
    <ds:schemaRef ds:uri="http://schemas.microsoft.com/sharepoint/v3"/>
    <ds:schemaRef ds:uri="6d6c928d-5e69-4cd0-bb57-408a23558422"/>
    <ds:schemaRef ds:uri="4bcee579-1ae9-48e4-94b9-34d2d7c232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9187</Words>
  <Characters>52369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Moneysupermarket Group</Company>
  <LinksUpToDate>false</LinksUpToDate>
  <CharactersWithSpaces>61434</CharactersWithSpaces>
  <SharedDoc>false</SharedDoc>
  <HLinks>
    <vt:vector size="18" baseType="variant">
      <vt:variant>
        <vt:i4>4259954</vt:i4>
      </vt:variant>
      <vt:variant>
        <vt:i4>6</vt:i4>
      </vt:variant>
      <vt:variant>
        <vt:i4>0</vt:i4>
      </vt:variant>
      <vt:variant>
        <vt:i4>5</vt:i4>
      </vt:variant>
      <vt:variant>
        <vt:lpwstr>mailto:illiam.Clutterbuck@h-advisors.global</vt:lpwstr>
      </vt:variant>
      <vt:variant>
        <vt:lpwstr/>
      </vt:variant>
      <vt:variant>
        <vt:i4>6160464</vt:i4>
      </vt:variant>
      <vt:variant>
        <vt:i4>3</vt:i4>
      </vt:variant>
      <vt:variant>
        <vt:i4>0</vt:i4>
      </vt:variant>
      <vt:variant>
        <vt:i4>5</vt:i4>
      </vt:variant>
      <vt:variant>
        <vt:lpwstr>https://www.lsegissuerservices.com/spark/MoneysupermarketcomGroup/events/77b77e42-a8d4-4d63-8037-c94952482ed1</vt:lpwstr>
      </vt:variant>
      <vt:variant>
        <vt:lpwstr/>
      </vt:variant>
      <vt:variant>
        <vt:i4>6946865</vt:i4>
      </vt:variant>
      <vt:variant>
        <vt:i4>0</vt:i4>
      </vt:variant>
      <vt:variant>
        <vt:i4>0</vt:i4>
      </vt:variant>
      <vt:variant>
        <vt:i4>5</vt:i4>
      </vt:variant>
      <vt:variant>
        <vt:lpwstr>https://www.monygroup.com/investors/results-reports-and-presentations/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Wood</dc:creator>
  <cp:keywords/>
  <dc:description/>
  <cp:lastModifiedBy>Gillian Birch</cp:lastModifiedBy>
  <cp:revision>3</cp:revision>
  <cp:lastPrinted>2024-07-19T17:49:00Z</cp:lastPrinted>
  <dcterms:created xsi:type="dcterms:W3CDTF">2024-07-19T17:53:00Z</dcterms:created>
  <dcterms:modified xsi:type="dcterms:W3CDTF">2024-07-19T17:53:00Z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4fc5e429,1f3e4386,3f02b4eb</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vt:lpwstr>
  </property>
  <property fmtid="{D5CDD505-2E9C-101B-9397-08002B2CF9AE}" pid="5" name="MSIP_Label_ccf25fe2-eb40-4143-af0c-2dc44b1b6322_Enabled">
    <vt:lpwstr>true</vt:lpwstr>
  </property>
  <property fmtid="{D5CDD505-2E9C-101B-9397-08002B2CF9AE}" pid="6" name="MSIP_Label_ccf25fe2-eb40-4143-af0c-2dc44b1b6322_SetDate">
    <vt:lpwstr>2024-06-04T17:51:19Z</vt:lpwstr>
  </property>
  <property fmtid="{D5CDD505-2E9C-101B-9397-08002B2CF9AE}" pid="7" name="MSIP_Label_ccf25fe2-eb40-4143-af0c-2dc44b1b6322_Method">
    <vt:lpwstr>Privileged</vt:lpwstr>
  </property>
  <property fmtid="{D5CDD505-2E9C-101B-9397-08002B2CF9AE}" pid="8" name="MSIP_Label_ccf25fe2-eb40-4143-af0c-2dc44b1b6322_Name">
    <vt:lpwstr>CONFIDENTIAL</vt:lpwstr>
  </property>
  <property fmtid="{D5CDD505-2E9C-101B-9397-08002B2CF9AE}" pid="9" name="MSIP_Label_ccf25fe2-eb40-4143-af0c-2dc44b1b6322_SiteId">
    <vt:lpwstr>cc9ac222-431d-48f9-9fac-afc0ae0cc73c</vt:lpwstr>
  </property>
  <property fmtid="{D5CDD505-2E9C-101B-9397-08002B2CF9AE}" pid="10" name="MSIP_Label_ccf25fe2-eb40-4143-af0c-2dc44b1b6322_ActionId">
    <vt:lpwstr>79a90902-8c65-4693-9da4-3fac7929e433</vt:lpwstr>
  </property>
  <property fmtid="{D5CDD505-2E9C-101B-9397-08002B2CF9AE}" pid="11" name="MSIP_Label_ccf25fe2-eb40-4143-af0c-2dc44b1b6322_ContentBits">
    <vt:lpwstr>2</vt:lpwstr>
  </property>
  <property fmtid="{D5CDD505-2E9C-101B-9397-08002B2CF9AE}" pid="12" name="ContentTypeId">
    <vt:lpwstr>0x010100BE41C84E2182E1419721DFCB9588EBD6</vt:lpwstr>
  </property>
  <property fmtid="{D5CDD505-2E9C-101B-9397-08002B2CF9AE}" pid="13" name="MediaServiceImageTags">
    <vt:lpwstr/>
  </property>
</Properties>
</file>