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6C6B" w14:textId="77777777" w:rsidR="008E3AAD" w:rsidRPr="00DC2DA2" w:rsidRDefault="008E3AAD" w:rsidP="008E3AAD">
      <w:pPr>
        <w:widowControl/>
        <w:jc w:val="center"/>
        <w:rPr>
          <w:rFonts w:eastAsia="MS Mincho"/>
          <w:b/>
          <w:bCs/>
          <w:sz w:val="20"/>
          <w:szCs w:val="20"/>
          <w:lang w:val="en-GB"/>
        </w:rPr>
      </w:pPr>
    </w:p>
    <w:p w14:paraId="648E0DB3" w14:textId="77777777" w:rsidR="008E3AAD" w:rsidRPr="00DC2DA2" w:rsidRDefault="008E3AAD" w:rsidP="008E3AAD">
      <w:pPr>
        <w:widowControl/>
        <w:jc w:val="both"/>
        <w:rPr>
          <w:rFonts w:eastAsia="MS Mincho"/>
          <w:b/>
          <w:bCs/>
          <w:sz w:val="20"/>
          <w:szCs w:val="20"/>
          <w:lang w:val="en-GB"/>
        </w:rPr>
      </w:pPr>
      <w:bookmarkStart w:id="0" w:name="_DV_M197"/>
      <w:bookmarkEnd w:id="0"/>
      <w:r w:rsidRPr="002E6EFF">
        <w:rPr>
          <w:rFonts w:eastAsia="MS Mincho"/>
          <w:b/>
          <w:sz w:val="20"/>
          <w:szCs w:val="20"/>
          <w:lang w:val="en-GB"/>
        </w:rPr>
        <w:t>17 February</w:t>
      </w:r>
      <w:r>
        <w:rPr>
          <w:b/>
          <w:sz w:val="20"/>
          <w:szCs w:val="20"/>
          <w:lang w:val="en-GB"/>
        </w:rPr>
        <w:t xml:space="preserve"> 2025</w:t>
      </w:r>
    </w:p>
    <w:p w14:paraId="38B07B26" w14:textId="77777777" w:rsidR="008E3AAD" w:rsidRPr="00DC2DA2" w:rsidRDefault="008E3AAD" w:rsidP="008E3AAD">
      <w:pPr>
        <w:widowControl/>
        <w:jc w:val="both"/>
        <w:rPr>
          <w:rFonts w:eastAsia="MS Mincho"/>
          <w:b/>
          <w:bCs/>
          <w:sz w:val="20"/>
          <w:szCs w:val="20"/>
          <w:lang w:val="en-GB"/>
        </w:rPr>
      </w:pPr>
      <w:bookmarkStart w:id="1" w:name="_DV_M198"/>
      <w:bookmarkEnd w:id="1"/>
      <w:r w:rsidRPr="00DC2DA2">
        <w:rPr>
          <w:rFonts w:eastAsia="MS Mincho"/>
          <w:b/>
          <w:bCs/>
          <w:sz w:val="20"/>
          <w:szCs w:val="20"/>
          <w:lang w:val="en-GB"/>
        </w:rPr>
        <w:t>For immediate release</w:t>
      </w:r>
    </w:p>
    <w:p w14:paraId="65712297" w14:textId="77777777" w:rsidR="008E3AAD" w:rsidRPr="00DC2DA2" w:rsidRDefault="008E3AAD" w:rsidP="008E3AAD">
      <w:pPr>
        <w:widowControl/>
        <w:jc w:val="both"/>
        <w:rPr>
          <w:rFonts w:eastAsia="MS Mincho"/>
          <w:b/>
          <w:bCs/>
          <w:sz w:val="20"/>
          <w:szCs w:val="20"/>
          <w:lang w:val="en-GB"/>
        </w:rPr>
      </w:pPr>
    </w:p>
    <w:p w14:paraId="4048E721" w14:textId="77777777" w:rsidR="008E3AAD" w:rsidRPr="00DC2DA2" w:rsidRDefault="008E3AAD" w:rsidP="008E3AAD">
      <w:pPr>
        <w:widowControl/>
        <w:jc w:val="center"/>
        <w:rPr>
          <w:b/>
          <w:bCs/>
          <w:sz w:val="20"/>
          <w:szCs w:val="20"/>
          <w:lang w:val="en-GB"/>
        </w:rPr>
      </w:pPr>
      <w:bookmarkStart w:id="2" w:name="_DV_M199"/>
      <w:bookmarkEnd w:id="2"/>
      <w:r>
        <w:rPr>
          <w:b/>
          <w:bCs/>
          <w:sz w:val="20"/>
          <w:szCs w:val="20"/>
          <w:lang w:val="en-GB"/>
        </w:rPr>
        <w:t>MONY Group PLC</w:t>
      </w:r>
    </w:p>
    <w:p w14:paraId="47D7A286" w14:textId="77777777" w:rsidR="008E3AAD" w:rsidRPr="00DC2DA2" w:rsidRDefault="008E3AAD" w:rsidP="008E3AAD">
      <w:pPr>
        <w:widowControl/>
        <w:jc w:val="center"/>
        <w:rPr>
          <w:rFonts w:eastAsia="MS Mincho"/>
          <w:sz w:val="20"/>
          <w:szCs w:val="20"/>
          <w:lang w:val="en-GB"/>
        </w:rPr>
      </w:pPr>
      <w:bookmarkStart w:id="3" w:name="_DV_M200"/>
      <w:bookmarkEnd w:id="3"/>
      <w:r w:rsidRPr="00DC2DA2">
        <w:rPr>
          <w:rFonts w:eastAsia="MS Mincho"/>
          <w:b/>
          <w:bCs/>
          <w:sz w:val="20"/>
          <w:szCs w:val="20"/>
          <w:lang w:val="en-GB"/>
        </w:rPr>
        <w:t>Share Repurchase Programme</w:t>
      </w:r>
    </w:p>
    <w:p w14:paraId="3682B7BC" w14:textId="77777777" w:rsidR="008E3AAD" w:rsidRPr="00DC2DA2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</w:p>
    <w:p w14:paraId="4FCF84F5" w14:textId="77777777" w:rsidR="008E3AAD" w:rsidRPr="00DC2DA2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</w:p>
    <w:p w14:paraId="672C86CA" w14:textId="77777777" w:rsidR="008E3AAD" w:rsidRPr="00DC2DA2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  <w:bookmarkStart w:id="4" w:name="_DV_M201"/>
      <w:bookmarkEnd w:id="4"/>
    </w:p>
    <w:p w14:paraId="323BE0C7" w14:textId="77777777" w:rsidR="008E3AAD" w:rsidRPr="00DC2DA2" w:rsidRDefault="008E3AAD" w:rsidP="008E3AAD">
      <w:pPr>
        <w:widowControl/>
        <w:rPr>
          <w:rFonts w:eastAsia="MS Mincho"/>
          <w:sz w:val="20"/>
          <w:szCs w:val="20"/>
          <w:lang w:val="en-GB"/>
        </w:rPr>
      </w:pPr>
    </w:p>
    <w:p w14:paraId="3E2B13A0" w14:textId="77777777" w:rsidR="008E3AAD" w:rsidRPr="008E3AAD" w:rsidRDefault="008E3AAD" w:rsidP="008E3AAD">
      <w:pPr>
        <w:widowControl/>
        <w:jc w:val="both"/>
        <w:rPr>
          <w:bCs/>
          <w:sz w:val="20"/>
          <w:szCs w:val="20"/>
          <w:lang w:val="en-GB"/>
        </w:rPr>
      </w:pPr>
      <w:bookmarkStart w:id="5" w:name="_DV_M202"/>
      <w:bookmarkEnd w:id="5"/>
      <w:r w:rsidRPr="008E3AAD">
        <w:rPr>
          <w:bCs/>
          <w:sz w:val="20"/>
          <w:szCs w:val="20"/>
        </w:rPr>
        <w:t>MONY Group PLC (“</w:t>
      </w:r>
      <w:r w:rsidRPr="008E3AAD">
        <w:rPr>
          <w:b/>
          <w:bCs/>
          <w:sz w:val="20"/>
          <w:szCs w:val="20"/>
          <w:lang w:val="en-GB"/>
        </w:rPr>
        <w:t>MONY</w:t>
      </w:r>
      <w:r w:rsidRPr="008E3AAD">
        <w:rPr>
          <w:bCs/>
          <w:sz w:val="20"/>
          <w:szCs w:val="20"/>
        </w:rPr>
        <w:t xml:space="preserve">”) today announces that it will commence a share repurchase </w:t>
      </w:r>
      <w:proofErr w:type="spellStart"/>
      <w:r w:rsidRPr="008E3AAD">
        <w:rPr>
          <w:bCs/>
          <w:sz w:val="20"/>
          <w:szCs w:val="20"/>
        </w:rPr>
        <w:t>programme</w:t>
      </w:r>
      <w:proofErr w:type="spellEnd"/>
      <w:r w:rsidRPr="008E3AAD">
        <w:rPr>
          <w:bCs/>
          <w:sz w:val="20"/>
          <w:szCs w:val="20"/>
        </w:rPr>
        <w:t xml:space="preserve"> of its ordinary shares of 0.02 pence each (the “</w:t>
      </w:r>
      <w:r w:rsidRPr="008E3AAD">
        <w:rPr>
          <w:b/>
          <w:bCs/>
          <w:sz w:val="20"/>
          <w:szCs w:val="20"/>
        </w:rPr>
        <w:t>Ordinary</w:t>
      </w:r>
      <w:r w:rsidRPr="008E3AAD">
        <w:rPr>
          <w:bCs/>
          <w:sz w:val="20"/>
          <w:szCs w:val="20"/>
        </w:rPr>
        <w:t xml:space="preserve"> </w:t>
      </w:r>
      <w:r w:rsidRPr="008E3AAD">
        <w:rPr>
          <w:b/>
          <w:bCs/>
          <w:sz w:val="20"/>
          <w:szCs w:val="20"/>
        </w:rPr>
        <w:t>Shares</w:t>
      </w:r>
      <w:r w:rsidRPr="008E3AAD">
        <w:rPr>
          <w:bCs/>
          <w:sz w:val="20"/>
          <w:szCs w:val="20"/>
        </w:rPr>
        <w:t>”) up to a maximum consideration of £30 million (the “</w:t>
      </w:r>
      <w:proofErr w:type="spellStart"/>
      <w:r w:rsidRPr="008E3AAD">
        <w:rPr>
          <w:b/>
          <w:bCs/>
          <w:sz w:val="20"/>
          <w:szCs w:val="20"/>
        </w:rPr>
        <w:t>Programme</w:t>
      </w:r>
      <w:proofErr w:type="spellEnd"/>
      <w:r w:rsidRPr="008E3AAD">
        <w:rPr>
          <w:bCs/>
          <w:sz w:val="20"/>
          <w:szCs w:val="20"/>
        </w:rPr>
        <w:t>”).</w:t>
      </w:r>
    </w:p>
    <w:p w14:paraId="159CB918" w14:textId="77777777" w:rsidR="008E3AAD" w:rsidRPr="008E3AAD" w:rsidRDefault="008E3AAD" w:rsidP="008E3AAD">
      <w:pPr>
        <w:widowControl/>
        <w:jc w:val="both"/>
        <w:rPr>
          <w:bCs/>
          <w:sz w:val="20"/>
          <w:szCs w:val="20"/>
          <w:lang w:val="en-GB"/>
        </w:rPr>
      </w:pPr>
    </w:p>
    <w:p w14:paraId="38758AA3" w14:textId="77777777" w:rsidR="008E3AAD" w:rsidRPr="008E3AAD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  <w:r w:rsidRPr="008E3AAD">
        <w:rPr>
          <w:sz w:val="20"/>
          <w:szCs w:val="20"/>
          <w:lang w:val="en-GB"/>
        </w:rPr>
        <w:t>MONY</w:t>
      </w:r>
      <w:r w:rsidRPr="008E3AAD">
        <w:rPr>
          <w:bCs/>
          <w:sz w:val="20"/>
          <w:szCs w:val="20"/>
          <w:lang w:val="en-GB"/>
        </w:rPr>
        <w:t xml:space="preserve"> </w:t>
      </w:r>
      <w:r w:rsidRPr="008E3AAD">
        <w:rPr>
          <w:rFonts w:eastAsia="MS Mincho"/>
          <w:sz w:val="20"/>
          <w:szCs w:val="20"/>
          <w:lang w:val="en-GB"/>
        </w:rPr>
        <w:t xml:space="preserve">announces that it has entered into an </w:t>
      </w:r>
      <w:bookmarkStart w:id="6" w:name="_DV_C143"/>
      <w:r w:rsidRPr="008E3AAD">
        <w:rPr>
          <w:rStyle w:val="DeltaViewInsertion"/>
          <w:rFonts w:eastAsia="MS Mincho"/>
          <w:color w:val="auto"/>
          <w:sz w:val="20"/>
          <w:szCs w:val="20"/>
          <w:u w:val="none"/>
          <w:lang w:val="en-GB"/>
        </w:rPr>
        <w:t xml:space="preserve">instruction to </w:t>
      </w:r>
      <w:bookmarkStart w:id="7" w:name="_DV_M203"/>
      <w:bookmarkEnd w:id="6"/>
      <w:bookmarkEnd w:id="7"/>
      <w:r w:rsidRPr="008E3AAD">
        <w:rPr>
          <w:rFonts w:eastAsia="MS Mincho"/>
          <w:sz w:val="20"/>
          <w:szCs w:val="20"/>
        </w:rPr>
        <w:t>Morgan Stanley &amp; Co. International Plc</w:t>
      </w:r>
      <w:r w:rsidRPr="008E3AAD">
        <w:rPr>
          <w:rFonts w:eastAsia="MS Mincho"/>
          <w:sz w:val="20"/>
          <w:szCs w:val="20"/>
          <w:lang w:val="en-GB"/>
        </w:rPr>
        <w:t xml:space="preserve"> (“</w:t>
      </w:r>
      <w:bookmarkStart w:id="8" w:name="_DV_C144"/>
      <w:r w:rsidRPr="008E3AAD">
        <w:rPr>
          <w:rStyle w:val="DeltaViewFormatChange"/>
          <w:rFonts w:eastAsia="MS Mincho"/>
          <w:b/>
          <w:color w:val="auto"/>
          <w:sz w:val="20"/>
          <w:szCs w:val="20"/>
        </w:rPr>
        <w:t>Morgan</w:t>
      </w:r>
      <w:r w:rsidRPr="008E3AAD">
        <w:rPr>
          <w:rStyle w:val="DeltaViewFormatChange"/>
          <w:rFonts w:eastAsia="MS Mincho"/>
          <w:color w:val="auto"/>
          <w:sz w:val="20"/>
          <w:szCs w:val="20"/>
        </w:rPr>
        <w:t xml:space="preserve"> </w:t>
      </w:r>
      <w:r w:rsidRPr="008E3AAD">
        <w:rPr>
          <w:rStyle w:val="DeltaViewFormatChange"/>
          <w:rFonts w:eastAsia="MS Mincho"/>
          <w:b/>
          <w:color w:val="auto"/>
          <w:sz w:val="20"/>
          <w:szCs w:val="20"/>
        </w:rPr>
        <w:t>Stanley</w:t>
      </w:r>
      <w:bookmarkEnd w:id="8"/>
      <w:r w:rsidRPr="008E3AAD">
        <w:rPr>
          <w:rFonts w:eastAsia="MS Mincho"/>
          <w:sz w:val="20"/>
          <w:szCs w:val="20"/>
          <w:lang w:val="en-GB"/>
        </w:rPr>
        <w:t xml:space="preserve">”) </w:t>
      </w:r>
      <w:bookmarkStart w:id="9" w:name="_DV_C146"/>
      <w:r w:rsidRPr="008E3AAD">
        <w:rPr>
          <w:rFonts w:eastAsia="MS Mincho"/>
          <w:sz w:val="20"/>
          <w:szCs w:val="20"/>
          <w:lang w:val="en-GB"/>
        </w:rPr>
        <w:t xml:space="preserve">in relation to the purchase by Morgan Stanley, acting as riskless principal </w:t>
      </w:r>
      <w:bookmarkStart w:id="10" w:name="_DV_M204"/>
      <w:bookmarkEnd w:id="9"/>
      <w:bookmarkEnd w:id="10"/>
      <w:r w:rsidRPr="008E3AAD">
        <w:rPr>
          <w:rFonts w:eastAsia="MS Mincho"/>
          <w:sz w:val="20"/>
          <w:szCs w:val="20"/>
          <w:lang w:val="en-GB"/>
        </w:rPr>
        <w:t xml:space="preserve">during the period commencing on </w:t>
      </w:r>
      <w:r w:rsidRPr="008E3AAD">
        <w:rPr>
          <w:sz w:val="20"/>
          <w:szCs w:val="20"/>
          <w:lang w:val="en-GB"/>
        </w:rPr>
        <w:t xml:space="preserve">17 February 2025 </w:t>
      </w:r>
      <w:r w:rsidRPr="008E3AAD">
        <w:rPr>
          <w:rFonts w:eastAsia="MS Mincho"/>
          <w:sz w:val="20"/>
          <w:szCs w:val="20"/>
          <w:lang w:val="en-GB"/>
        </w:rPr>
        <w:t xml:space="preserve">and ending no later than </w:t>
      </w:r>
      <w:bookmarkStart w:id="11" w:name="_DV_C147"/>
      <w:r w:rsidRPr="008E3AAD">
        <w:rPr>
          <w:sz w:val="20"/>
          <w:szCs w:val="20"/>
          <w:lang w:val="en-GB"/>
        </w:rPr>
        <w:t>12 December 2025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  <w:lang w:val="en-GB"/>
        </w:rPr>
        <w:t xml:space="preserve">, of ordinary shares in the share capital of </w:t>
      </w:r>
      <w:r w:rsidRPr="008E3AAD">
        <w:rPr>
          <w:sz w:val="20"/>
          <w:szCs w:val="20"/>
          <w:lang w:val="en-GB"/>
        </w:rPr>
        <w:t>MONY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  <w:lang w:val="en-GB"/>
        </w:rPr>
        <w:t xml:space="preserve"> (the “</w:t>
      </w:r>
      <w:r w:rsidRPr="008E3AAD">
        <w:rPr>
          <w:rStyle w:val="DeltaViewInsertion"/>
          <w:rFonts w:eastAsia="MS Mincho"/>
          <w:b/>
          <w:color w:val="auto"/>
          <w:sz w:val="20"/>
          <w:szCs w:val="20"/>
          <w:u w:val="none"/>
          <w:lang w:val="en-GB"/>
        </w:rPr>
        <w:t>Shares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  <w:lang w:val="en-GB"/>
        </w:rPr>
        <w:t xml:space="preserve">”) for an aggregate purchase price of no greater than £30 million and the simultaneous on-sale of such Shares by Morgan Stanley to </w:t>
      </w:r>
      <w:r w:rsidRPr="008E3AAD">
        <w:rPr>
          <w:sz w:val="20"/>
          <w:szCs w:val="20"/>
          <w:lang w:val="en-GB"/>
        </w:rPr>
        <w:t>MONY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  <w:lang w:val="en-GB"/>
        </w:rPr>
        <w:t xml:space="preserve">. </w:t>
      </w:r>
      <w:bookmarkStart w:id="12" w:name="_DV_M205"/>
      <w:bookmarkEnd w:id="11"/>
      <w:bookmarkEnd w:id="12"/>
    </w:p>
    <w:p w14:paraId="10545C8B" w14:textId="77777777" w:rsidR="008E3AAD" w:rsidRPr="008E3AAD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</w:p>
    <w:p w14:paraId="0F6F055C" w14:textId="77777777" w:rsidR="008E3AAD" w:rsidRPr="008E3AAD" w:rsidRDefault="008E3AAD" w:rsidP="008E3AAD">
      <w:pPr>
        <w:jc w:val="both"/>
        <w:rPr>
          <w:rFonts w:eastAsia="MS Mincho"/>
          <w:sz w:val="20"/>
          <w:szCs w:val="20"/>
          <w:lang w:val="en-GB"/>
        </w:rPr>
      </w:pPr>
      <w:r w:rsidRPr="008E3AAD">
        <w:rPr>
          <w:rFonts w:eastAsia="MS Mincho"/>
          <w:sz w:val="20"/>
          <w:szCs w:val="20"/>
          <w:lang w:val="en-GB"/>
        </w:rPr>
        <w:t>The Programme reflects MONY’s ongoing commitment to sustainable shareholder returns, in addition to investment in organic and acquisitive growth, as a path to creating long-term, sustainable shareholder value.</w:t>
      </w:r>
    </w:p>
    <w:p w14:paraId="312D4B20" w14:textId="77777777" w:rsidR="008E3AAD" w:rsidRPr="008E3AAD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</w:p>
    <w:p w14:paraId="31A7E703" w14:textId="77777777" w:rsidR="008E3AAD" w:rsidRPr="008E3AAD" w:rsidRDefault="008E3AAD" w:rsidP="008E3AAD">
      <w:pPr>
        <w:widowControl/>
        <w:jc w:val="both"/>
        <w:rPr>
          <w:rFonts w:eastAsia="MS Mincho"/>
          <w:sz w:val="20"/>
          <w:szCs w:val="20"/>
        </w:rPr>
      </w:pPr>
      <w:bookmarkStart w:id="13" w:name="_DV_M206"/>
      <w:bookmarkStart w:id="14" w:name="_DV_M207"/>
      <w:bookmarkStart w:id="15" w:name="_DV_M208"/>
      <w:bookmarkEnd w:id="13"/>
      <w:bookmarkEnd w:id="14"/>
      <w:bookmarkEnd w:id="15"/>
      <w:r w:rsidRPr="008E3AAD">
        <w:rPr>
          <w:sz w:val="20"/>
          <w:szCs w:val="20"/>
          <w:lang w:val="en-GB"/>
        </w:rPr>
        <w:t xml:space="preserve">Any purchase of </w:t>
      </w:r>
      <w:bookmarkStart w:id="16" w:name="_DV_C148"/>
      <w:r w:rsidRPr="008E3AAD">
        <w:rPr>
          <w:rStyle w:val="DeltaViewInsertion"/>
          <w:color w:val="auto"/>
          <w:sz w:val="20"/>
          <w:szCs w:val="20"/>
          <w:u w:val="none"/>
          <w:lang w:val="en-GB"/>
        </w:rPr>
        <w:t>Ordinary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</w:rPr>
        <w:t xml:space="preserve"> </w:t>
      </w:r>
      <w:bookmarkEnd w:id="16"/>
      <w:r w:rsidRPr="008E3AAD">
        <w:rPr>
          <w:sz w:val="20"/>
          <w:szCs w:val="20"/>
          <w:lang w:val="en-GB"/>
        </w:rPr>
        <w:t xml:space="preserve">Shares done in relation to this announcement will be executed in accordance with </w:t>
      </w:r>
      <w:bookmarkStart w:id="17" w:name="_DV_C150"/>
      <w:r w:rsidRPr="008E3AAD">
        <w:rPr>
          <w:rStyle w:val="DeltaViewInsertion"/>
          <w:color w:val="auto"/>
          <w:sz w:val="20"/>
          <w:szCs w:val="20"/>
          <w:u w:val="none"/>
          <w:lang w:val="en-GB"/>
        </w:rPr>
        <w:t xml:space="preserve">the 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  <w:lang w:val="en-GB"/>
        </w:rPr>
        <w:t xml:space="preserve">relevant regulations (including but not limited to the </w:t>
      </w:r>
      <w:r w:rsidRPr="008E3AAD">
        <w:rPr>
          <w:rStyle w:val="DeltaViewInsertion"/>
          <w:color w:val="auto"/>
          <w:sz w:val="20"/>
          <w:szCs w:val="20"/>
          <w:u w:val="none"/>
          <w:lang w:val="en-GB"/>
        </w:rPr>
        <w:t>Listing Rules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  <w:lang w:val="en-GB"/>
        </w:rPr>
        <w:t xml:space="preserve"> and </w:t>
      </w:r>
      <w:r w:rsidRPr="008E3AAD">
        <w:rPr>
          <w:sz w:val="20"/>
          <w:szCs w:val="20"/>
          <w:lang w:val="en-GB"/>
        </w:rPr>
        <w:t>MONY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  <w:lang w:val="en-GB"/>
        </w:rPr>
        <w:t>’s general</w:t>
      </w:r>
      <w:r w:rsidRPr="008E3AAD">
        <w:rPr>
          <w:rFonts w:eastAsia="MS Mincho"/>
          <w:sz w:val="20"/>
          <w:szCs w:val="20"/>
          <w:lang w:val="en-GB"/>
        </w:rPr>
        <w:t xml:space="preserve"> authority to make market purchases of Shares.</w:t>
      </w:r>
      <w:bookmarkEnd w:id="17"/>
      <w:r w:rsidRPr="008E3AAD">
        <w:rPr>
          <w:sz w:val="20"/>
          <w:szCs w:val="20"/>
          <w:lang w:val="en-GB"/>
        </w:rPr>
        <w:t>).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</w:rPr>
        <w:t xml:space="preserve"> The shares will be purchased in accordance with the price and volume conditions set out in the Commission Delegated Regulation (EU) 2016/1052 of 8 March 2016 supplementing Regulation (EU) No 596/2014 of the European Parliament and of the Council with regard to regulatory technical standards for the conditions applicable to buyback </w:t>
      </w:r>
      <w:proofErr w:type="spellStart"/>
      <w:r w:rsidRPr="008E3AAD">
        <w:rPr>
          <w:rStyle w:val="DeltaViewInsertion"/>
          <w:rFonts w:eastAsia="MS Mincho"/>
          <w:color w:val="auto"/>
          <w:sz w:val="20"/>
          <w:szCs w:val="20"/>
          <w:u w:val="none"/>
        </w:rPr>
        <w:t>programmes</w:t>
      </w:r>
      <w:proofErr w:type="spellEnd"/>
      <w:r w:rsidRPr="008E3AAD">
        <w:rPr>
          <w:rStyle w:val="DeltaViewInsertion"/>
          <w:rFonts w:eastAsia="MS Mincho"/>
          <w:color w:val="auto"/>
          <w:sz w:val="20"/>
          <w:szCs w:val="20"/>
          <w:u w:val="none"/>
        </w:rPr>
        <w:t xml:space="preserve"> and </w:t>
      </w:r>
      <w:proofErr w:type="spellStart"/>
      <w:r w:rsidRPr="008E3AAD">
        <w:rPr>
          <w:rStyle w:val="DeltaViewInsertion"/>
          <w:rFonts w:eastAsia="MS Mincho"/>
          <w:color w:val="auto"/>
          <w:sz w:val="20"/>
          <w:szCs w:val="20"/>
          <w:u w:val="none"/>
        </w:rPr>
        <w:t>stabilisation</w:t>
      </w:r>
      <w:proofErr w:type="spellEnd"/>
      <w:r w:rsidRPr="008E3AAD">
        <w:rPr>
          <w:rStyle w:val="DeltaViewInsertion"/>
          <w:rFonts w:eastAsia="MS Mincho"/>
          <w:color w:val="auto"/>
          <w:sz w:val="20"/>
          <w:szCs w:val="20"/>
          <w:u w:val="none"/>
        </w:rPr>
        <w:t xml:space="preserve"> measures as implemented, retained, amended, extended, re-enacted or otherwise given effect in the United Kingdom from 1 January 2021 and as amended or supplemented in the United Kingdom thereafter. </w:t>
      </w:r>
      <w:r w:rsidRPr="008E3AAD">
        <w:rPr>
          <w:sz w:val="20"/>
          <w:szCs w:val="20"/>
          <w:lang w:val="en-GB"/>
        </w:rPr>
        <w:t>MONY</w:t>
      </w:r>
      <w:r w:rsidRPr="008E3AAD" w:rsidDel="00B37AA0">
        <w:rPr>
          <w:bCs/>
          <w:sz w:val="20"/>
          <w:szCs w:val="20"/>
          <w:lang w:val="en-GB"/>
        </w:rPr>
        <w:t xml:space="preserve"> 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</w:rPr>
        <w:t>will announce any market repurchase of Ordinary Shares no later than 7.30 a.m.</w:t>
      </w:r>
      <w:r w:rsidRPr="008E3AAD">
        <w:rPr>
          <w:rStyle w:val="DeltaViewMoveDestination"/>
          <w:rFonts w:eastAsia="MS Mincho"/>
          <w:sz w:val="20"/>
          <w:szCs w:val="20"/>
        </w:rPr>
        <w:t xml:space="preserve"> on the business day following </w:t>
      </w:r>
      <w:r w:rsidRPr="008E3AAD">
        <w:rPr>
          <w:rStyle w:val="DeltaViewInsertion"/>
          <w:rFonts w:eastAsia="MS Mincho"/>
          <w:color w:val="auto"/>
          <w:sz w:val="20"/>
          <w:szCs w:val="20"/>
          <w:u w:val="none"/>
        </w:rPr>
        <w:t xml:space="preserve">the calendar day on which the repurchase occurred. </w:t>
      </w:r>
      <w:r w:rsidRPr="008E3AAD">
        <w:rPr>
          <w:rFonts w:eastAsia="MS Mincho"/>
          <w:sz w:val="20"/>
          <w:szCs w:val="20"/>
          <w:lang w:val="en-GB"/>
        </w:rPr>
        <w:t>To the extent permitted by law, Ordinary Shares purchased under the Programme will be cancelled.</w:t>
      </w:r>
    </w:p>
    <w:p w14:paraId="11563682" w14:textId="77777777" w:rsidR="008E3AAD" w:rsidRPr="00EC0A66" w:rsidRDefault="008E3AAD" w:rsidP="008E3AAD">
      <w:pPr>
        <w:widowControl/>
        <w:jc w:val="both"/>
        <w:rPr>
          <w:rFonts w:eastAsia="MS Mincho"/>
          <w:b/>
          <w:bCs/>
          <w:sz w:val="20"/>
          <w:szCs w:val="20"/>
          <w:lang w:val="en-GB"/>
        </w:rPr>
      </w:pPr>
      <w:bookmarkStart w:id="18" w:name="_DV_M209"/>
      <w:bookmarkEnd w:id="18"/>
    </w:p>
    <w:p w14:paraId="3375D997" w14:textId="77777777" w:rsidR="008E3AAD" w:rsidRPr="00DC2DA2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</w:p>
    <w:p w14:paraId="4B2950D1" w14:textId="77777777" w:rsidR="008E3AAD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  <w:bookmarkStart w:id="19" w:name="_DV_M210"/>
      <w:bookmarkEnd w:id="19"/>
      <w:r w:rsidRPr="00E8605E">
        <w:rPr>
          <w:rFonts w:eastAsia="MS Mincho"/>
          <w:sz w:val="20"/>
          <w:szCs w:val="20"/>
          <w:lang w:val="en-GB"/>
        </w:rPr>
        <w:t>For further information, please contact:</w:t>
      </w:r>
    </w:p>
    <w:p w14:paraId="0B0E4F66" w14:textId="77777777" w:rsidR="008E3AAD" w:rsidRPr="00E8605E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8E3AAD" w:rsidRPr="00E8605E" w14:paraId="7ECB9B8D" w14:textId="77777777" w:rsidTr="00854601">
        <w:tc>
          <w:tcPr>
            <w:tcW w:w="4315" w:type="dxa"/>
          </w:tcPr>
          <w:p w14:paraId="3F08BDFE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  <w:r w:rsidRPr="002E6EFF">
              <w:rPr>
                <w:rFonts w:eastAsia="MS Mincho"/>
                <w:lang w:val="en-GB"/>
              </w:rPr>
              <w:t>Investors;</w:t>
            </w:r>
          </w:p>
        </w:tc>
        <w:tc>
          <w:tcPr>
            <w:tcW w:w="4315" w:type="dxa"/>
          </w:tcPr>
          <w:p w14:paraId="4D6D8D1E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</w:p>
        </w:tc>
      </w:tr>
      <w:tr w:rsidR="008E3AAD" w:rsidRPr="00E8605E" w14:paraId="04D9A6BB" w14:textId="77777777" w:rsidTr="00854601">
        <w:tc>
          <w:tcPr>
            <w:tcW w:w="4315" w:type="dxa"/>
          </w:tcPr>
          <w:p w14:paraId="641B6063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</w:p>
        </w:tc>
        <w:tc>
          <w:tcPr>
            <w:tcW w:w="4315" w:type="dxa"/>
          </w:tcPr>
          <w:p w14:paraId="094DB306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</w:p>
        </w:tc>
      </w:tr>
      <w:tr w:rsidR="008E3AAD" w:rsidRPr="00E8605E" w14:paraId="498DFF4E" w14:textId="77777777" w:rsidTr="00854601">
        <w:tc>
          <w:tcPr>
            <w:tcW w:w="4315" w:type="dxa"/>
          </w:tcPr>
          <w:p w14:paraId="2CDDF43B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  <w:r w:rsidRPr="00E8605E">
              <w:rPr>
                <w:rFonts w:eastAsia="MS Mincho"/>
                <w:lang w:val="en-GB"/>
              </w:rPr>
              <w:t>Niall McBride, Chief Financial Officer</w:t>
            </w:r>
          </w:p>
        </w:tc>
        <w:tc>
          <w:tcPr>
            <w:tcW w:w="4315" w:type="dxa"/>
          </w:tcPr>
          <w:p w14:paraId="59EF39EC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  <w:r w:rsidRPr="002E6EFF">
              <w:rPr>
                <w:rFonts w:eastAsia="MS Mincho"/>
                <w:lang w:val="en-GB"/>
              </w:rPr>
              <w:t>0203 826 4688</w:t>
            </w:r>
          </w:p>
        </w:tc>
      </w:tr>
      <w:tr w:rsidR="008E3AAD" w:rsidRPr="00E8605E" w14:paraId="4075052A" w14:textId="77777777" w:rsidTr="00854601">
        <w:tc>
          <w:tcPr>
            <w:tcW w:w="4315" w:type="dxa"/>
          </w:tcPr>
          <w:p w14:paraId="678834BE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  <w:r w:rsidRPr="00E8605E">
              <w:rPr>
                <w:rFonts w:eastAsia="MS Mincho"/>
                <w:lang w:val="en-GB"/>
              </w:rPr>
              <w:t xml:space="preserve">Jennifer Cooke, Head of Investor Relations </w:t>
            </w:r>
          </w:p>
        </w:tc>
        <w:tc>
          <w:tcPr>
            <w:tcW w:w="4315" w:type="dxa"/>
          </w:tcPr>
          <w:p w14:paraId="6F5C3BF4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  <w:r w:rsidRPr="002E6EFF">
              <w:rPr>
                <w:rFonts w:eastAsia="MS Mincho"/>
                <w:lang w:val="en-GB"/>
              </w:rPr>
              <w:t>0203 846 2034</w:t>
            </w:r>
          </w:p>
        </w:tc>
      </w:tr>
      <w:tr w:rsidR="008E3AAD" w:rsidRPr="00E8605E" w14:paraId="46160CFF" w14:textId="77777777" w:rsidTr="00854601">
        <w:trPr>
          <w:trHeight w:val="193"/>
        </w:trPr>
        <w:tc>
          <w:tcPr>
            <w:tcW w:w="4315" w:type="dxa"/>
          </w:tcPr>
          <w:p w14:paraId="6453EA1B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</w:p>
        </w:tc>
        <w:tc>
          <w:tcPr>
            <w:tcW w:w="4315" w:type="dxa"/>
          </w:tcPr>
          <w:p w14:paraId="02490373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</w:p>
        </w:tc>
      </w:tr>
      <w:tr w:rsidR="008E3AAD" w:rsidRPr="00E8605E" w14:paraId="4957CD6A" w14:textId="77777777" w:rsidTr="00854601">
        <w:tc>
          <w:tcPr>
            <w:tcW w:w="4315" w:type="dxa"/>
          </w:tcPr>
          <w:p w14:paraId="56FD71A6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  <w:r w:rsidRPr="00E8605E">
              <w:rPr>
                <w:rFonts w:eastAsia="MS Mincho"/>
                <w:lang w:val="en-GB"/>
              </w:rPr>
              <w:t>Media:</w:t>
            </w:r>
          </w:p>
        </w:tc>
        <w:tc>
          <w:tcPr>
            <w:tcW w:w="4315" w:type="dxa"/>
          </w:tcPr>
          <w:p w14:paraId="53FDC412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</w:p>
        </w:tc>
      </w:tr>
      <w:tr w:rsidR="008E3AAD" w:rsidRPr="00E8605E" w14:paraId="2D0148C7" w14:textId="77777777" w:rsidTr="00854601">
        <w:tc>
          <w:tcPr>
            <w:tcW w:w="4315" w:type="dxa"/>
          </w:tcPr>
          <w:p w14:paraId="48704468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  <w:r w:rsidRPr="002E6EFF">
              <w:rPr>
                <w:rFonts w:eastAsia="MS Mincho"/>
                <w:lang w:val="en-GB"/>
              </w:rPr>
              <w:t>William Clutterbuck, H/Advisors Maitland</w:t>
            </w:r>
            <w:r w:rsidRPr="00E8605E" w:rsidDel="009311CF">
              <w:rPr>
                <w:rFonts w:eastAsia="MS Mincho"/>
                <w:lang w:val="en-GB"/>
              </w:rPr>
              <w:t xml:space="preserve"> </w:t>
            </w:r>
          </w:p>
        </w:tc>
        <w:tc>
          <w:tcPr>
            <w:tcW w:w="4315" w:type="dxa"/>
          </w:tcPr>
          <w:p w14:paraId="15FD2F03" w14:textId="77777777" w:rsidR="008E3AAD" w:rsidRPr="00E8605E" w:rsidRDefault="008E3AAD" w:rsidP="00854601">
            <w:pPr>
              <w:widowControl/>
              <w:jc w:val="both"/>
              <w:rPr>
                <w:rFonts w:eastAsia="MS Mincho"/>
                <w:lang w:val="en-GB"/>
              </w:rPr>
            </w:pPr>
            <w:r w:rsidRPr="002E6EFF">
              <w:rPr>
                <w:rFonts w:eastAsia="MS Mincho"/>
                <w:lang w:val="en-GB"/>
              </w:rPr>
              <w:t>07785 292617</w:t>
            </w:r>
          </w:p>
        </w:tc>
      </w:tr>
    </w:tbl>
    <w:p w14:paraId="2551C719" w14:textId="77777777" w:rsidR="008E3AAD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</w:p>
    <w:p w14:paraId="4D4FC487" w14:textId="77777777" w:rsidR="008E3AAD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</w:p>
    <w:p w14:paraId="08333C99" w14:textId="77777777" w:rsidR="008E3AAD" w:rsidRPr="00DC2DA2" w:rsidRDefault="008E3AAD" w:rsidP="008E3AAD">
      <w:pPr>
        <w:widowControl/>
        <w:jc w:val="both"/>
        <w:rPr>
          <w:rFonts w:eastAsia="MS Mincho"/>
          <w:sz w:val="20"/>
          <w:szCs w:val="20"/>
          <w:lang w:val="en-GB"/>
        </w:rPr>
      </w:pPr>
      <w:bookmarkStart w:id="20" w:name="_DV_M211"/>
      <w:bookmarkStart w:id="21" w:name="_DV_M212"/>
      <w:bookmarkStart w:id="22" w:name="_DV_M213"/>
      <w:bookmarkStart w:id="23" w:name="_DV_M214"/>
      <w:bookmarkStart w:id="24" w:name="_DV_M215"/>
      <w:bookmarkEnd w:id="20"/>
      <w:bookmarkEnd w:id="21"/>
      <w:bookmarkEnd w:id="22"/>
      <w:bookmarkEnd w:id="23"/>
      <w:bookmarkEnd w:id="24"/>
    </w:p>
    <w:p w14:paraId="30A86CFC" w14:textId="77777777" w:rsidR="008E3AAD" w:rsidRPr="00DC2DA2" w:rsidRDefault="008E3AAD" w:rsidP="008E3AAD">
      <w:pPr>
        <w:widowControl/>
        <w:ind w:left="720" w:hanging="720"/>
        <w:jc w:val="both"/>
        <w:rPr>
          <w:rFonts w:eastAsia="MS Mincho"/>
          <w:b/>
          <w:bCs/>
          <w:sz w:val="20"/>
          <w:szCs w:val="20"/>
          <w:lang w:val="en-GB"/>
        </w:rPr>
      </w:pPr>
    </w:p>
    <w:p w14:paraId="4869CA40" w14:textId="77777777" w:rsidR="008E3AAD" w:rsidRPr="00F121D8" w:rsidRDefault="008E3AAD" w:rsidP="008E3AAD">
      <w:pPr>
        <w:widowControl/>
        <w:jc w:val="both"/>
        <w:rPr>
          <w:rFonts w:eastAsia="MS Mincho"/>
          <w:b/>
          <w:bCs/>
          <w:sz w:val="20"/>
          <w:szCs w:val="20"/>
          <w:lang w:val="en-GB"/>
        </w:rPr>
      </w:pPr>
      <w:bookmarkStart w:id="25" w:name="_DV_M216"/>
      <w:bookmarkEnd w:id="25"/>
      <w:r w:rsidRPr="00DC2DA2">
        <w:rPr>
          <w:rFonts w:eastAsia="MS Mincho"/>
          <w:b/>
          <w:bCs/>
          <w:sz w:val="20"/>
          <w:szCs w:val="20"/>
          <w:lang w:val="en-GB"/>
        </w:rPr>
        <w:t>This announcement does not constitute, or form part of, an offer or any solicitation of an offer for securities in any jurisdiction.</w:t>
      </w:r>
    </w:p>
    <w:p w14:paraId="1D80D6C3" w14:textId="77777777" w:rsidR="008E3AAD" w:rsidRPr="00F121D8" w:rsidRDefault="008E3AAD" w:rsidP="008E3AAD">
      <w:pPr>
        <w:widowControl/>
        <w:ind w:left="720" w:hanging="720"/>
        <w:jc w:val="both"/>
        <w:rPr>
          <w:rFonts w:eastAsia="MS Mincho"/>
          <w:b/>
          <w:bCs/>
          <w:sz w:val="20"/>
          <w:szCs w:val="20"/>
          <w:lang w:val="en-GB"/>
        </w:rPr>
      </w:pPr>
    </w:p>
    <w:p w14:paraId="72BBC4B0" w14:textId="77777777" w:rsidR="008E3AAD" w:rsidRPr="00F121D8" w:rsidRDefault="008E3AAD" w:rsidP="008E3AAD">
      <w:pPr>
        <w:rPr>
          <w:sz w:val="20"/>
          <w:szCs w:val="20"/>
        </w:rPr>
      </w:pPr>
      <w:r w:rsidRPr="00F121D8">
        <w:rPr>
          <w:rFonts w:eastAsia="MS Mincho"/>
          <w:b/>
          <w:bCs/>
          <w:sz w:val="20"/>
          <w:szCs w:val="20"/>
          <w:lang w:val="en-GB"/>
        </w:rPr>
        <w:t xml:space="preserve"> </w:t>
      </w:r>
      <w:bookmarkStart w:id="26" w:name="Cell_Ins"/>
      <w:bookmarkStart w:id="27" w:name="Cell_Del"/>
      <w:bookmarkStart w:id="28" w:name="Cell_Move"/>
      <w:bookmarkStart w:id="29" w:name="Cell_Merge"/>
      <w:bookmarkStart w:id="30" w:name="Cell_Pad"/>
      <w:bookmarkEnd w:id="26"/>
      <w:bookmarkEnd w:id="27"/>
      <w:bookmarkEnd w:id="28"/>
      <w:bookmarkEnd w:id="29"/>
      <w:bookmarkEnd w:id="30"/>
    </w:p>
    <w:p w14:paraId="47C8FCF2" w14:textId="77777777" w:rsidR="00413434" w:rsidRDefault="00413434"/>
    <w:sectPr w:rsidR="00413434" w:rsidSect="008E3AAD"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3BDD" w14:textId="77777777" w:rsidR="008E3AAD" w:rsidRDefault="008E3AAD" w:rsidP="008E3AAD">
      <w:r>
        <w:separator/>
      </w:r>
    </w:p>
  </w:endnote>
  <w:endnote w:type="continuationSeparator" w:id="0">
    <w:p w14:paraId="44DEDE99" w14:textId="77777777" w:rsidR="008E3AAD" w:rsidRDefault="008E3AAD" w:rsidP="008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6FCC" w14:textId="14028213" w:rsidR="008E3AAD" w:rsidRDefault="008E3AA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4C388" wp14:editId="7DC76F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42440" cy="345440"/>
              <wp:effectExtent l="0" t="0" r="10160" b="0"/>
              <wp:wrapNone/>
              <wp:docPr id="1907274184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53430" w14:textId="5E1FFBCA" w:rsidR="008E3AAD" w:rsidRPr="008E3AAD" w:rsidRDefault="008E3AAD" w:rsidP="008E3A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A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4C3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0;width:137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" filled="f" stroked="f">
              <v:textbox style="mso-fit-shape-to-text:t" inset="0,0,0,15pt">
                <w:txbxContent>
                  <w:p w14:paraId="52353430" w14:textId="5E1FFBCA" w:rsidR="008E3AAD" w:rsidRPr="008E3AAD" w:rsidRDefault="008E3AAD" w:rsidP="008E3A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A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176B" w14:textId="3F4D1064" w:rsidR="008E3AAD" w:rsidRPr="00617B65" w:rsidRDefault="008E3AAD" w:rsidP="00903403">
    <w:pPr>
      <w:pStyle w:val="DeltaViewTableBody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7A959D" wp14:editId="6AD2FD20">
              <wp:simplePos x="1143000" y="9461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42440" cy="345440"/>
              <wp:effectExtent l="0" t="0" r="10160" b="0"/>
              <wp:wrapNone/>
              <wp:docPr id="1153156071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A59CD" w14:textId="7CF3D5A0" w:rsidR="008E3AAD" w:rsidRPr="008E3AAD" w:rsidRDefault="008E3AAD" w:rsidP="008E3A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A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A9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0;width:137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" filled="f" stroked="f">
              <v:textbox style="mso-fit-shape-to-text:t" inset="0,0,0,15pt">
                <w:txbxContent>
                  <w:p w14:paraId="3B1A59CD" w14:textId="7CF3D5A0" w:rsidR="008E3AAD" w:rsidRPr="008E3AAD" w:rsidRDefault="008E3AAD" w:rsidP="008E3A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A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17B65">
      <w:rPr>
        <w:rFonts w:ascii="Times New Roman" w:hAnsi="Times New Roman" w:cs="Times New Roman"/>
        <w:sz w:val="20"/>
        <w:szCs w:val="20"/>
      </w:rPr>
      <w:fldChar w:fldCharType="begin"/>
    </w:r>
    <w:r w:rsidRPr="0064699E">
      <w:rPr>
        <w:rFonts w:ascii="Times New Roman" w:hAnsi="Times New Roman" w:cs="Times New Roman"/>
        <w:sz w:val="20"/>
        <w:szCs w:val="20"/>
      </w:rPr>
      <w:instrText xml:space="preserve"> PAGE  \* MERGEFORMAT </w:instrText>
    </w:r>
    <w:r w:rsidRPr="00617B65">
      <w:rPr>
        <w:rFonts w:ascii="Times New Roman" w:hAnsi="Times New Roman" w:cs="Times New Roman"/>
        <w:sz w:val="20"/>
        <w:szCs w:val="20"/>
      </w:rPr>
      <w:fldChar w:fldCharType="separate"/>
    </w:r>
    <w:r w:rsidRPr="0064699E">
      <w:rPr>
        <w:rFonts w:ascii="Times New Roman" w:hAnsi="Times New Roman" w:cs="Times New Roman"/>
        <w:noProof/>
        <w:sz w:val="20"/>
        <w:szCs w:val="20"/>
      </w:rPr>
      <w:t>1</w:t>
    </w:r>
    <w:r w:rsidRPr="00617B65">
      <w:rPr>
        <w:rFonts w:ascii="Times New Roman" w:hAnsi="Times New Roman" w:cs="Times New Roman"/>
        <w:sz w:val="20"/>
        <w:szCs w:val="20"/>
      </w:rPr>
      <w:fldChar w:fldCharType="end"/>
    </w:r>
    <w:r w:rsidRPr="00617B65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CCAF" w14:textId="06185372" w:rsidR="008E3AAD" w:rsidRDefault="008E3AA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45E134" wp14:editId="2C56A3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42440" cy="345440"/>
              <wp:effectExtent l="0" t="0" r="10160" b="0"/>
              <wp:wrapNone/>
              <wp:docPr id="141600864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C2879" w14:textId="0379630E" w:rsidR="008E3AAD" w:rsidRPr="008E3AAD" w:rsidRDefault="008E3AAD" w:rsidP="008E3A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A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5E1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0;width:137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" filled="f" stroked="f">
              <v:textbox style="mso-fit-shape-to-text:t" inset="0,0,0,15pt">
                <w:txbxContent>
                  <w:p w14:paraId="0E0C2879" w14:textId="0379630E" w:rsidR="008E3AAD" w:rsidRPr="008E3AAD" w:rsidRDefault="008E3AAD" w:rsidP="008E3A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A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7C46" w14:textId="77777777" w:rsidR="008E3AAD" w:rsidRDefault="008E3AAD" w:rsidP="008E3AAD">
      <w:r>
        <w:separator/>
      </w:r>
    </w:p>
  </w:footnote>
  <w:footnote w:type="continuationSeparator" w:id="0">
    <w:p w14:paraId="0F5C649E" w14:textId="77777777" w:rsidR="008E3AAD" w:rsidRDefault="008E3AAD" w:rsidP="008E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AD"/>
    <w:rsid w:val="000C057B"/>
    <w:rsid w:val="00413434"/>
    <w:rsid w:val="008E3AAD"/>
    <w:rsid w:val="00E91446"/>
    <w:rsid w:val="00EC5614"/>
    <w:rsid w:val="00F2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45A3"/>
  <w15:chartTrackingRefBased/>
  <w15:docId w15:val="{05E8EFD8-90A8-42FF-BF77-4F79FFE5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3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AA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A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A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A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A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A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A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A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A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A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A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AA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3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A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3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A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E3A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AAD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DeltaViewTableBody">
    <w:name w:val="DeltaView Table Body"/>
    <w:basedOn w:val="Normal"/>
    <w:rsid w:val="008E3AAD"/>
    <w:pPr>
      <w:widowControl/>
    </w:pPr>
    <w:rPr>
      <w:rFonts w:ascii="Arial" w:hAnsi="Arial" w:cs="Arial"/>
    </w:rPr>
  </w:style>
  <w:style w:type="character" w:customStyle="1" w:styleId="DeltaViewInsertion">
    <w:name w:val="DeltaView Insertion"/>
    <w:rsid w:val="008E3AAD"/>
    <w:rPr>
      <w:color w:val="008080"/>
      <w:u w:val="double"/>
    </w:rPr>
  </w:style>
  <w:style w:type="character" w:customStyle="1" w:styleId="DeltaViewMoveDestination">
    <w:name w:val="DeltaView Move Destination"/>
    <w:rsid w:val="008E3AAD"/>
  </w:style>
  <w:style w:type="character" w:customStyle="1" w:styleId="DeltaViewFormatChange">
    <w:name w:val="DeltaView Format Change"/>
    <w:rsid w:val="008E3AAD"/>
    <w:rPr>
      <w:color w:val="000000"/>
    </w:rPr>
  </w:style>
  <w:style w:type="table" w:styleId="TableGrid">
    <w:name w:val="Table Grid"/>
    <w:basedOn w:val="TableNormal"/>
    <w:rsid w:val="008E3AAD"/>
    <w:pPr>
      <w:spacing w:after="0" w:line="260" w:lineRule="atLeast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39A6-9136-4673-9A47-88B99EDC88E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6d6c928d-5e69-4cd0-bb57-408a23558422"/>
    <ds:schemaRef ds:uri="http://schemas.microsoft.com/office/2006/metadata/properties"/>
    <ds:schemaRef ds:uri="http://purl.org/dc/terms/"/>
    <ds:schemaRef ds:uri="http://schemas.openxmlformats.org/package/2006/metadata/core-properties"/>
    <ds:schemaRef ds:uri="4bcee579-1ae9-48e4-94b9-34d2d7c232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E1829E-6D25-4F91-8B7C-4FC18F5A5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12ECE-FCA8-4221-978C-A9BDB75A2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>Moneysupermarket Group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Cooke</dc:creator>
  <cp:keywords/>
  <dc:description/>
  <cp:lastModifiedBy>Victoria Hands</cp:lastModifiedBy>
  <cp:revision>2</cp:revision>
  <dcterms:created xsi:type="dcterms:W3CDTF">2025-02-14T17:55:00Z</dcterms:created>
  <dcterms:modified xsi:type="dcterms:W3CDTF">2025-02-14T17:55:00Z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546693c1,71aeb1c8,44bbc3e7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2025-02-14T17:28:22Z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1f6efa65-7ee7-403f-a16c-c0a8b150daea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</Properties>
</file>