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729E" w14:textId="77777777" w:rsidR="00DE5551" w:rsidRPr="006253BF" w:rsidRDefault="00DE5551" w:rsidP="00DE5551">
      <w:pPr>
        <w:ind w:left="7200"/>
        <w:jc w:val="both"/>
        <w:rPr>
          <w:rFonts w:ascii="Arial" w:hAnsi="Arial" w:cs="Arial"/>
          <w:sz w:val="20"/>
          <w:szCs w:val="20"/>
        </w:rPr>
      </w:pPr>
      <w:r>
        <w:rPr>
          <w:rFonts w:ascii="Arial" w:hAnsi="Arial" w:cs="Arial"/>
          <w:sz w:val="20"/>
          <w:szCs w:val="20"/>
        </w:rPr>
        <w:t>30 April 2026</w:t>
      </w:r>
    </w:p>
    <w:p w14:paraId="428A192D" w14:textId="77777777" w:rsidR="00DE5551" w:rsidRPr="006253BF" w:rsidRDefault="00DE5551" w:rsidP="00DE5551">
      <w:pPr>
        <w:jc w:val="center"/>
        <w:rPr>
          <w:rFonts w:ascii="Arial" w:hAnsi="Arial" w:cs="Arial"/>
          <w:sz w:val="8"/>
          <w:szCs w:val="8"/>
        </w:rPr>
      </w:pPr>
    </w:p>
    <w:p w14:paraId="46F49DE7" w14:textId="77777777" w:rsidR="00DE5551" w:rsidRDefault="00DE5551" w:rsidP="00DE5551">
      <w:pPr>
        <w:jc w:val="center"/>
        <w:rPr>
          <w:rFonts w:ascii="Arial" w:hAnsi="Arial" w:cs="Arial"/>
          <w:b/>
          <w:bCs/>
          <w:sz w:val="20"/>
          <w:szCs w:val="20"/>
        </w:rPr>
      </w:pPr>
    </w:p>
    <w:p w14:paraId="315A767E" w14:textId="77777777" w:rsidR="00DE5551" w:rsidRPr="00826FE3" w:rsidRDefault="00DE5551" w:rsidP="00DE5551">
      <w:pPr>
        <w:jc w:val="center"/>
        <w:rPr>
          <w:rFonts w:ascii="Arial" w:hAnsi="Arial" w:cs="Arial"/>
          <w:b/>
          <w:bCs/>
          <w:sz w:val="20"/>
          <w:szCs w:val="20"/>
        </w:rPr>
      </w:pPr>
      <w:r>
        <w:rPr>
          <w:rFonts w:ascii="Arial" w:hAnsi="Arial" w:cs="Arial"/>
          <w:b/>
          <w:bCs/>
          <w:sz w:val="20"/>
          <w:szCs w:val="20"/>
        </w:rPr>
        <w:t>AGM Statement – Continued Strategic Momentum</w:t>
      </w:r>
    </w:p>
    <w:p w14:paraId="768095DD" w14:textId="77777777" w:rsidR="00DE5551" w:rsidRPr="005F60E8" w:rsidRDefault="00DE5551" w:rsidP="00DE5551">
      <w:pPr>
        <w:rPr>
          <w:rFonts w:ascii="Arial" w:hAnsi="Arial" w:cs="Arial"/>
          <w:b/>
          <w:bCs/>
          <w:sz w:val="20"/>
          <w:szCs w:val="20"/>
        </w:rPr>
      </w:pPr>
    </w:p>
    <w:p w14:paraId="3E02342C" w14:textId="77777777" w:rsidR="00DE5551" w:rsidRPr="005F60E8" w:rsidRDefault="00DE5551" w:rsidP="00DE5551">
      <w:pPr>
        <w:jc w:val="both"/>
        <w:rPr>
          <w:rFonts w:ascii="Arial" w:hAnsi="Arial" w:cs="Arial"/>
          <w:b/>
          <w:bCs/>
          <w:sz w:val="20"/>
          <w:szCs w:val="20"/>
        </w:rPr>
      </w:pPr>
      <w:r w:rsidRPr="005F60E8">
        <w:rPr>
          <w:rFonts w:ascii="Arial" w:hAnsi="Arial" w:cs="Arial"/>
          <w:b/>
          <w:bCs/>
          <w:sz w:val="20"/>
          <w:szCs w:val="20"/>
        </w:rPr>
        <w:t>AGM update</w:t>
      </w:r>
    </w:p>
    <w:p w14:paraId="7598639B" w14:textId="77777777" w:rsidR="00DE5551" w:rsidRDefault="00DE5551" w:rsidP="00DE5551">
      <w:pPr>
        <w:jc w:val="both"/>
        <w:rPr>
          <w:rFonts w:ascii="Arial" w:hAnsi="Arial" w:cs="Arial"/>
          <w:sz w:val="20"/>
          <w:szCs w:val="20"/>
        </w:rPr>
      </w:pPr>
    </w:p>
    <w:p w14:paraId="72323987" w14:textId="77777777" w:rsidR="00DE5551" w:rsidRDefault="00DE5551" w:rsidP="00DE5551">
      <w:pPr>
        <w:jc w:val="both"/>
        <w:rPr>
          <w:rFonts w:ascii="Arial" w:hAnsi="Arial" w:cs="Arial"/>
          <w:sz w:val="20"/>
          <w:szCs w:val="20"/>
        </w:rPr>
      </w:pPr>
      <w:r w:rsidRPr="005F60E8">
        <w:rPr>
          <w:rFonts w:ascii="Arial" w:hAnsi="Arial" w:cs="Arial"/>
          <w:sz w:val="20"/>
          <w:szCs w:val="20"/>
        </w:rPr>
        <w:t>In advance of its Annual General Mee</w:t>
      </w:r>
      <w:r>
        <w:rPr>
          <w:rFonts w:ascii="Arial" w:hAnsi="Arial" w:cs="Arial"/>
          <w:sz w:val="20"/>
          <w:szCs w:val="20"/>
        </w:rPr>
        <w:t xml:space="preserve">ting </w:t>
      </w:r>
      <w:r w:rsidRPr="005F60E8">
        <w:rPr>
          <w:rFonts w:ascii="Arial" w:hAnsi="Arial" w:cs="Arial"/>
          <w:sz w:val="20"/>
          <w:szCs w:val="20"/>
        </w:rPr>
        <w:t xml:space="preserve">today, </w:t>
      </w:r>
      <w:r>
        <w:rPr>
          <w:rFonts w:ascii="Arial" w:hAnsi="Arial" w:cs="Arial"/>
          <w:sz w:val="20"/>
          <w:szCs w:val="20"/>
        </w:rPr>
        <w:t xml:space="preserve">MONY Group plc </w:t>
      </w:r>
      <w:r w:rsidRPr="005F60E8">
        <w:rPr>
          <w:rFonts w:ascii="Arial" w:hAnsi="Arial" w:cs="Arial"/>
          <w:sz w:val="20"/>
          <w:szCs w:val="20"/>
        </w:rPr>
        <w:t>provides the following update on trading for the period from 1 January 202</w:t>
      </w:r>
      <w:r>
        <w:rPr>
          <w:rFonts w:ascii="Arial" w:hAnsi="Arial" w:cs="Arial"/>
          <w:sz w:val="20"/>
          <w:szCs w:val="20"/>
        </w:rPr>
        <w:t xml:space="preserve">6 to 29 April 2026. </w:t>
      </w:r>
    </w:p>
    <w:p w14:paraId="0BD5D294" w14:textId="77777777" w:rsidR="00DE5551" w:rsidRDefault="00DE5551" w:rsidP="00DE5551">
      <w:pPr>
        <w:jc w:val="both"/>
        <w:rPr>
          <w:rFonts w:ascii="Arial" w:hAnsi="Arial" w:cs="Arial"/>
          <w:sz w:val="20"/>
          <w:szCs w:val="20"/>
        </w:rPr>
      </w:pPr>
    </w:p>
    <w:p w14:paraId="24FC25D9" w14:textId="77777777" w:rsidR="00DE5551" w:rsidRDefault="00DE5551" w:rsidP="00DE5551">
      <w:pPr>
        <w:jc w:val="both"/>
        <w:rPr>
          <w:rFonts w:ascii="Arial" w:hAnsi="Arial" w:cs="Arial"/>
          <w:sz w:val="20"/>
          <w:szCs w:val="20"/>
        </w:rPr>
      </w:pPr>
      <w:r>
        <w:rPr>
          <w:rFonts w:ascii="Arial" w:hAnsi="Arial" w:cs="Arial"/>
          <w:sz w:val="20"/>
          <w:szCs w:val="20"/>
        </w:rPr>
        <w:t>Management e</w:t>
      </w:r>
      <w:r w:rsidRPr="005F60E8">
        <w:rPr>
          <w:rFonts w:ascii="Arial" w:hAnsi="Arial" w:cs="Arial"/>
          <w:sz w:val="20"/>
          <w:szCs w:val="20"/>
        </w:rPr>
        <w:t>xpecta</w:t>
      </w:r>
      <w:r>
        <w:rPr>
          <w:rFonts w:ascii="Arial" w:hAnsi="Arial" w:cs="Arial"/>
          <w:sz w:val="20"/>
          <w:szCs w:val="20"/>
        </w:rPr>
        <w:t>t</w:t>
      </w:r>
      <w:r w:rsidRPr="005F60E8">
        <w:rPr>
          <w:rFonts w:ascii="Arial" w:hAnsi="Arial" w:cs="Arial"/>
          <w:sz w:val="20"/>
          <w:szCs w:val="20"/>
        </w:rPr>
        <w:t xml:space="preserve">ions for </w:t>
      </w:r>
      <w:r>
        <w:rPr>
          <w:rFonts w:ascii="Arial" w:hAnsi="Arial" w:cs="Arial"/>
          <w:sz w:val="20"/>
          <w:szCs w:val="20"/>
        </w:rPr>
        <w:t>the</w:t>
      </w:r>
      <w:r w:rsidRPr="005F60E8">
        <w:rPr>
          <w:rFonts w:ascii="Arial" w:hAnsi="Arial" w:cs="Arial"/>
          <w:sz w:val="20"/>
          <w:szCs w:val="20"/>
        </w:rPr>
        <w:t xml:space="preserve"> full year </w:t>
      </w:r>
      <w:r>
        <w:rPr>
          <w:rFonts w:ascii="Arial" w:hAnsi="Arial" w:cs="Arial"/>
          <w:sz w:val="20"/>
          <w:szCs w:val="20"/>
        </w:rPr>
        <w:t>remain unchanged</w:t>
      </w:r>
      <w:r w:rsidRPr="005F60E8">
        <w:rPr>
          <w:rFonts w:ascii="Arial" w:hAnsi="Arial" w:cs="Arial"/>
          <w:sz w:val="20"/>
          <w:szCs w:val="20"/>
        </w:rPr>
        <w:t>.</w:t>
      </w:r>
    </w:p>
    <w:p w14:paraId="7844C481" w14:textId="77777777" w:rsidR="00DE5551" w:rsidRDefault="00DE5551" w:rsidP="00DE5551">
      <w:pPr>
        <w:jc w:val="both"/>
        <w:rPr>
          <w:rFonts w:ascii="Arial" w:hAnsi="Arial" w:cs="Arial"/>
          <w:sz w:val="20"/>
          <w:szCs w:val="20"/>
        </w:rPr>
      </w:pPr>
    </w:p>
    <w:p w14:paraId="01337E6E" w14:textId="77777777" w:rsidR="00DE5551" w:rsidRPr="007873DC" w:rsidRDefault="00DE5551" w:rsidP="00DE5551">
      <w:pPr>
        <w:jc w:val="both"/>
        <w:rPr>
          <w:rFonts w:ascii="Arial" w:hAnsi="Arial" w:cs="Arial"/>
          <w:b/>
          <w:bCs/>
          <w:sz w:val="20"/>
          <w:szCs w:val="20"/>
        </w:rPr>
      </w:pPr>
      <w:r w:rsidRPr="007873DC">
        <w:rPr>
          <w:rFonts w:ascii="Arial" w:hAnsi="Arial" w:cs="Arial"/>
          <w:b/>
          <w:bCs/>
          <w:sz w:val="20"/>
          <w:szCs w:val="20"/>
        </w:rPr>
        <w:t xml:space="preserve">Trading update </w:t>
      </w:r>
    </w:p>
    <w:p w14:paraId="2F85F54A" w14:textId="77777777" w:rsidR="00DE5551" w:rsidRDefault="00DE5551" w:rsidP="00DE5551">
      <w:pPr>
        <w:jc w:val="both"/>
        <w:rPr>
          <w:rFonts w:ascii="Arial" w:hAnsi="Arial" w:cs="Arial"/>
          <w:sz w:val="20"/>
          <w:szCs w:val="20"/>
        </w:rPr>
      </w:pPr>
    </w:p>
    <w:p w14:paraId="411FDB9F" w14:textId="77777777" w:rsidR="00DE5551" w:rsidRDefault="00DE5551" w:rsidP="00DE5551">
      <w:pPr>
        <w:jc w:val="both"/>
      </w:pPr>
      <w:r>
        <w:rPr>
          <w:rFonts w:ascii="Arial" w:hAnsi="Arial" w:cs="Arial"/>
          <w:sz w:val="20"/>
          <w:szCs w:val="20"/>
        </w:rPr>
        <w:t xml:space="preserve">MONY Group has delivered </w:t>
      </w:r>
      <w:r w:rsidRPr="00BF5481">
        <w:rPr>
          <w:rFonts w:ascii="Arial" w:hAnsi="Arial" w:cs="Arial"/>
          <w:sz w:val="20"/>
          <w:szCs w:val="20"/>
        </w:rPr>
        <w:t xml:space="preserve">good </w:t>
      </w:r>
      <w:r>
        <w:rPr>
          <w:rFonts w:ascii="Arial" w:hAnsi="Arial" w:cs="Arial"/>
          <w:sz w:val="20"/>
          <w:szCs w:val="20"/>
        </w:rPr>
        <w:t>growth in revenue</w:t>
      </w:r>
      <w:r>
        <w:rPr>
          <w:rStyle w:val="FootnoteReference"/>
          <w:rFonts w:ascii="Arial" w:hAnsi="Arial" w:cs="Arial"/>
          <w:sz w:val="20"/>
          <w:szCs w:val="20"/>
        </w:rPr>
        <w:footnoteReference w:id="1"/>
      </w:r>
      <w:r>
        <w:rPr>
          <w:rFonts w:ascii="Arial" w:hAnsi="Arial" w:cs="Arial"/>
          <w:sz w:val="20"/>
          <w:szCs w:val="20"/>
        </w:rPr>
        <w:t>, supported by the strength in breadth of the Group’s established portfolio of products and brands.</w:t>
      </w:r>
    </w:p>
    <w:p w14:paraId="7E392987" w14:textId="77777777" w:rsidR="00DE5551" w:rsidRDefault="00DE5551" w:rsidP="00DE5551">
      <w:pPr>
        <w:jc w:val="both"/>
        <w:rPr>
          <w:rFonts w:ascii="Arial" w:hAnsi="Arial" w:cs="Arial"/>
          <w:sz w:val="20"/>
          <w:szCs w:val="20"/>
        </w:rPr>
      </w:pPr>
    </w:p>
    <w:p w14:paraId="71FB2291" w14:textId="77777777" w:rsidR="00DE5551" w:rsidRPr="00907615" w:rsidRDefault="00DE5551" w:rsidP="00DE5551">
      <w:pPr>
        <w:jc w:val="both"/>
        <w:rPr>
          <w:rFonts w:ascii="Arial" w:hAnsi="Arial" w:cs="Arial"/>
          <w:sz w:val="20"/>
          <w:szCs w:val="20"/>
        </w:rPr>
      </w:pPr>
      <w:r>
        <w:rPr>
          <w:rFonts w:ascii="Arial" w:hAnsi="Arial" w:cs="Arial"/>
          <w:sz w:val="20"/>
          <w:szCs w:val="20"/>
        </w:rPr>
        <w:t xml:space="preserve">Insure performed well, largely driven by the continued easing of headwinds in the car insurance switching market. </w:t>
      </w:r>
    </w:p>
    <w:p w14:paraId="4A69FEB3" w14:textId="77777777" w:rsidR="00DE5551" w:rsidRDefault="00DE5551" w:rsidP="00DE5551">
      <w:pPr>
        <w:jc w:val="both"/>
        <w:rPr>
          <w:rFonts w:ascii="Arial" w:hAnsi="Arial" w:cs="Arial"/>
          <w:sz w:val="20"/>
          <w:szCs w:val="20"/>
        </w:rPr>
      </w:pPr>
    </w:p>
    <w:p w14:paraId="5F5CF3C4" w14:textId="77777777" w:rsidR="00DE5551" w:rsidRDefault="00DE5551" w:rsidP="00DE5551">
      <w:pPr>
        <w:jc w:val="both"/>
      </w:pPr>
      <w:r>
        <w:rPr>
          <w:rFonts w:ascii="Arial" w:hAnsi="Arial" w:cs="Arial"/>
          <w:sz w:val="20"/>
          <w:szCs w:val="20"/>
        </w:rPr>
        <w:t xml:space="preserve">Money delivered solid performance with borrowing growth fuelled by loans, and in banking where there has been an increase in the availability of attractive current account promotions. </w:t>
      </w:r>
    </w:p>
    <w:p w14:paraId="0C007EC6" w14:textId="77777777" w:rsidR="00DE5551" w:rsidRDefault="00DE5551" w:rsidP="00DE5551">
      <w:pPr>
        <w:jc w:val="both"/>
        <w:rPr>
          <w:rFonts w:ascii="Arial" w:hAnsi="Arial" w:cs="Arial"/>
          <w:sz w:val="20"/>
          <w:szCs w:val="20"/>
        </w:rPr>
      </w:pPr>
    </w:p>
    <w:p w14:paraId="0A0C19DF" w14:textId="77777777" w:rsidR="00DE5551" w:rsidRDefault="00DE5551" w:rsidP="00DE5551">
      <w:pPr>
        <w:jc w:val="both"/>
      </w:pPr>
      <w:r>
        <w:rPr>
          <w:rFonts w:ascii="Arial" w:hAnsi="Arial" w:cs="Arial"/>
          <w:sz w:val="20"/>
          <w:szCs w:val="20"/>
        </w:rPr>
        <w:t xml:space="preserve">Home Services has delivered </w:t>
      </w:r>
      <w:r w:rsidRPr="0047492A">
        <w:rPr>
          <w:rFonts w:ascii="Arial" w:hAnsi="Arial" w:cs="Arial"/>
          <w:sz w:val="20"/>
          <w:szCs w:val="20"/>
        </w:rPr>
        <w:t>encouraging</w:t>
      </w:r>
      <w:r>
        <w:rPr>
          <w:rFonts w:ascii="Arial" w:hAnsi="Arial" w:cs="Arial"/>
          <w:sz w:val="20"/>
          <w:szCs w:val="20"/>
        </w:rPr>
        <w:t xml:space="preserve"> growth to date, driven by increased broadband conversion and the availability of promotional energy deals in advance of the April price cap. </w:t>
      </w:r>
    </w:p>
    <w:p w14:paraId="0D492C5F" w14:textId="77777777" w:rsidR="00DE5551" w:rsidRDefault="00DE5551" w:rsidP="00DE5551">
      <w:pPr>
        <w:jc w:val="both"/>
        <w:rPr>
          <w:rFonts w:ascii="Arial" w:hAnsi="Arial" w:cs="Arial"/>
          <w:sz w:val="20"/>
          <w:szCs w:val="20"/>
        </w:rPr>
      </w:pPr>
    </w:p>
    <w:p w14:paraId="4B38005E" w14:textId="77777777" w:rsidR="00DE5551" w:rsidRDefault="00DE5551" w:rsidP="00DE5551">
      <w:pPr>
        <w:jc w:val="both"/>
        <w:rPr>
          <w:rFonts w:ascii="Arial" w:hAnsi="Arial" w:cs="Arial"/>
          <w:sz w:val="20"/>
          <w:szCs w:val="20"/>
        </w:rPr>
      </w:pPr>
      <w:r>
        <w:rPr>
          <w:rFonts w:ascii="Arial" w:hAnsi="Arial" w:cs="Arial"/>
          <w:sz w:val="20"/>
          <w:szCs w:val="20"/>
        </w:rPr>
        <w:t>Cashback performance remains impacted by economic uncertainty affecting</w:t>
      </w:r>
      <w:r w:rsidRPr="4B8CB49A">
        <w:rPr>
          <w:rFonts w:ascii="Arial" w:hAnsi="Arial" w:cs="Arial"/>
          <w:sz w:val="20"/>
          <w:szCs w:val="20"/>
        </w:rPr>
        <w:t xml:space="preserve"> </w:t>
      </w:r>
      <w:r>
        <w:rPr>
          <w:rFonts w:ascii="Arial" w:hAnsi="Arial" w:cs="Arial"/>
          <w:sz w:val="20"/>
          <w:szCs w:val="20"/>
        </w:rPr>
        <w:t>UK corporate marketing budgets and consumers.</w:t>
      </w:r>
    </w:p>
    <w:p w14:paraId="3E72F768" w14:textId="77777777" w:rsidR="00DE5551" w:rsidRDefault="00DE5551" w:rsidP="00DE5551">
      <w:pPr>
        <w:jc w:val="both"/>
        <w:rPr>
          <w:rFonts w:ascii="Arial" w:hAnsi="Arial" w:cs="Arial"/>
          <w:b/>
          <w:bCs/>
          <w:sz w:val="20"/>
          <w:szCs w:val="20"/>
        </w:rPr>
      </w:pPr>
    </w:p>
    <w:p w14:paraId="5B8A21C7" w14:textId="77777777" w:rsidR="00DE5551" w:rsidRPr="002E4C3A" w:rsidRDefault="00DE5551" w:rsidP="00DE5551">
      <w:pPr>
        <w:jc w:val="both"/>
        <w:rPr>
          <w:rFonts w:ascii="Arial" w:hAnsi="Arial" w:cs="Arial"/>
          <w:b/>
          <w:bCs/>
          <w:sz w:val="20"/>
          <w:szCs w:val="20"/>
        </w:rPr>
      </w:pPr>
      <w:r w:rsidRPr="002E4C3A">
        <w:rPr>
          <w:rFonts w:ascii="Arial" w:hAnsi="Arial" w:cs="Arial"/>
          <w:b/>
          <w:bCs/>
          <w:sz w:val="20"/>
          <w:szCs w:val="20"/>
        </w:rPr>
        <w:t xml:space="preserve">Strategic update </w:t>
      </w:r>
    </w:p>
    <w:p w14:paraId="5D3EB6B1" w14:textId="77777777" w:rsidR="00DE5551" w:rsidRDefault="00DE5551" w:rsidP="00DE5551">
      <w:pPr>
        <w:jc w:val="both"/>
        <w:rPr>
          <w:rFonts w:ascii="Arial" w:hAnsi="Arial" w:cs="Arial"/>
          <w:sz w:val="20"/>
          <w:szCs w:val="20"/>
        </w:rPr>
      </w:pPr>
    </w:p>
    <w:p w14:paraId="49F3979D" w14:textId="77777777" w:rsidR="00DE5551" w:rsidRDefault="00DE5551" w:rsidP="00DE5551">
      <w:pPr>
        <w:jc w:val="both"/>
        <w:rPr>
          <w:rFonts w:ascii="Arial" w:hAnsi="Arial" w:cs="Arial"/>
          <w:sz w:val="20"/>
          <w:szCs w:val="20"/>
        </w:rPr>
      </w:pPr>
      <w:r w:rsidRPr="1AC0CD6E">
        <w:rPr>
          <w:rFonts w:ascii="Arial" w:hAnsi="Arial" w:cs="Arial"/>
          <w:sz w:val="20"/>
          <w:szCs w:val="20"/>
        </w:rPr>
        <w:t xml:space="preserve">Our strategy </w:t>
      </w:r>
      <w:r>
        <w:rPr>
          <w:rFonts w:ascii="Arial" w:hAnsi="Arial" w:cs="Arial"/>
          <w:sz w:val="20"/>
          <w:szCs w:val="20"/>
        </w:rPr>
        <w:t>remains</w:t>
      </w:r>
      <w:r w:rsidRPr="1AC0CD6E">
        <w:rPr>
          <w:rFonts w:ascii="Arial" w:hAnsi="Arial" w:cs="Arial"/>
          <w:sz w:val="20"/>
          <w:szCs w:val="20"/>
        </w:rPr>
        <w:t xml:space="preserve"> cent</w:t>
      </w:r>
      <w:r>
        <w:rPr>
          <w:rFonts w:ascii="Arial" w:hAnsi="Arial" w:cs="Arial"/>
          <w:sz w:val="20"/>
          <w:szCs w:val="20"/>
        </w:rPr>
        <w:t>red</w:t>
      </w:r>
      <w:r w:rsidRPr="1AC0CD6E">
        <w:rPr>
          <w:rFonts w:ascii="Arial" w:hAnsi="Arial" w:cs="Arial"/>
          <w:sz w:val="20"/>
          <w:szCs w:val="20"/>
        </w:rPr>
        <w:t xml:space="preserve"> on growing our two-sided marketplace, focused on both customers and providers</w:t>
      </w:r>
      <w:r>
        <w:rPr>
          <w:rFonts w:ascii="Arial" w:hAnsi="Arial" w:cs="Arial"/>
          <w:sz w:val="20"/>
          <w:szCs w:val="20"/>
        </w:rPr>
        <w:t xml:space="preserve">, underpinned by our leading data and tech platform. We continue to maintain momentum in transforming our customer base from </w:t>
      </w:r>
      <w:r w:rsidRPr="1AC0CD6E">
        <w:rPr>
          <w:rFonts w:ascii="Arial" w:hAnsi="Arial" w:cs="Arial"/>
          <w:sz w:val="20"/>
          <w:szCs w:val="20"/>
        </w:rPr>
        <w:t>transactional users into long-term</w:t>
      </w:r>
      <w:r>
        <w:rPr>
          <w:rFonts w:ascii="Arial" w:hAnsi="Arial" w:cs="Arial"/>
          <w:sz w:val="20"/>
          <w:szCs w:val="20"/>
        </w:rPr>
        <w:t xml:space="preserve"> members.</w:t>
      </w:r>
      <w:r w:rsidRPr="1AC0CD6E">
        <w:rPr>
          <w:rFonts w:ascii="Arial" w:hAnsi="Arial" w:cs="Arial"/>
          <w:sz w:val="20"/>
          <w:szCs w:val="20"/>
        </w:rPr>
        <w:t xml:space="preserve"> </w:t>
      </w:r>
    </w:p>
    <w:p w14:paraId="210C50C8" w14:textId="77777777" w:rsidR="00DE5551" w:rsidRDefault="00DE5551" w:rsidP="00DE5551">
      <w:pPr>
        <w:jc w:val="both"/>
        <w:rPr>
          <w:rFonts w:ascii="Arial" w:hAnsi="Arial" w:cs="Arial"/>
          <w:sz w:val="20"/>
          <w:szCs w:val="20"/>
        </w:rPr>
      </w:pPr>
    </w:p>
    <w:p w14:paraId="7083CDF6" w14:textId="77777777" w:rsidR="00DE5551" w:rsidRDefault="00DE5551" w:rsidP="00DE5551">
      <w:pPr>
        <w:jc w:val="both"/>
        <w:rPr>
          <w:rFonts w:ascii="Arial" w:hAnsi="Arial" w:cs="Arial"/>
          <w:sz w:val="20"/>
          <w:szCs w:val="20"/>
        </w:rPr>
      </w:pPr>
      <w:r>
        <w:rPr>
          <w:rFonts w:ascii="Arial" w:hAnsi="Arial" w:cs="Arial"/>
          <w:sz w:val="20"/>
          <w:szCs w:val="20"/>
        </w:rPr>
        <w:t>Following the launch of SuperSaveClub (SSC) in late 2023, we have grown membership consistently and sustainably, and are pleased to report that SSC has now reached almost 2.4 million members. This loyal, engaged member base has a higher customer lifetime value.</w:t>
      </w:r>
    </w:p>
    <w:p w14:paraId="0B81573F" w14:textId="77777777" w:rsidR="00DE5551" w:rsidRDefault="00DE5551" w:rsidP="00DE5551">
      <w:pPr>
        <w:jc w:val="both"/>
        <w:rPr>
          <w:rFonts w:ascii="Arial" w:hAnsi="Arial" w:cs="Arial"/>
          <w:sz w:val="20"/>
          <w:szCs w:val="20"/>
        </w:rPr>
      </w:pPr>
    </w:p>
    <w:p w14:paraId="7BFCCF8B" w14:textId="77777777" w:rsidR="00DE5551" w:rsidRDefault="00DE5551" w:rsidP="00DE5551">
      <w:pPr>
        <w:jc w:val="both"/>
        <w:rPr>
          <w:rFonts w:ascii="Arial" w:hAnsi="Arial" w:cs="Arial"/>
          <w:sz w:val="20"/>
          <w:szCs w:val="20"/>
        </w:rPr>
      </w:pPr>
      <w:r>
        <w:rPr>
          <w:rFonts w:ascii="Arial" w:hAnsi="Arial" w:cs="Arial"/>
          <w:sz w:val="20"/>
          <w:szCs w:val="20"/>
        </w:rPr>
        <w:t xml:space="preserve">The re-platforming of our data and technology platform over recent years has enabled us to innovate and deliver at pace. As the combination of our leading platform and AI continues to support strong cost control through increased efficiency across the Group, our teams remain focused on the development of initiatives that will drive growth, deepen engagement and further strengthen our brand and product universe. </w:t>
      </w:r>
    </w:p>
    <w:p w14:paraId="2CB30886" w14:textId="77777777" w:rsidR="00DE5551" w:rsidRDefault="00DE5551" w:rsidP="00DE5551">
      <w:pPr>
        <w:jc w:val="both"/>
        <w:rPr>
          <w:rFonts w:ascii="Arial" w:hAnsi="Arial" w:cs="Arial"/>
          <w:sz w:val="20"/>
          <w:szCs w:val="20"/>
        </w:rPr>
      </w:pPr>
    </w:p>
    <w:p w14:paraId="6B5ACE6D" w14:textId="77777777" w:rsidR="00DE5551" w:rsidRDefault="00DE5551" w:rsidP="00DE5551">
      <w:pPr>
        <w:jc w:val="both"/>
        <w:rPr>
          <w:rFonts w:ascii="Arial" w:hAnsi="Arial" w:cs="Arial"/>
          <w:sz w:val="20"/>
          <w:szCs w:val="20"/>
        </w:rPr>
      </w:pPr>
      <w:r>
        <w:rPr>
          <w:rFonts w:ascii="Arial" w:hAnsi="Arial" w:cs="Arial"/>
          <w:sz w:val="20"/>
          <w:szCs w:val="20"/>
        </w:rPr>
        <w:t>In February, we</w:t>
      </w:r>
      <w:r w:rsidRPr="6BC5442F">
        <w:rPr>
          <w:rFonts w:ascii="Arial" w:hAnsi="Arial" w:cs="Arial"/>
          <w:sz w:val="20"/>
          <w:szCs w:val="20"/>
        </w:rPr>
        <w:t xml:space="preserve"> were the first </w:t>
      </w:r>
      <w:r w:rsidRPr="256DAB87">
        <w:rPr>
          <w:rFonts w:ascii="Arial" w:hAnsi="Arial" w:cs="Arial"/>
          <w:sz w:val="20"/>
          <w:szCs w:val="20"/>
        </w:rPr>
        <w:t>price comparison</w:t>
      </w:r>
      <w:r w:rsidRPr="5024A305">
        <w:rPr>
          <w:rFonts w:ascii="Arial" w:hAnsi="Arial" w:cs="Arial"/>
          <w:sz w:val="20"/>
          <w:szCs w:val="20"/>
        </w:rPr>
        <w:t xml:space="preserve"> </w:t>
      </w:r>
      <w:r w:rsidRPr="07572884">
        <w:rPr>
          <w:rFonts w:ascii="Arial" w:hAnsi="Arial" w:cs="Arial"/>
          <w:sz w:val="20"/>
          <w:szCs w:val="20"/>
        </w:rPr>
        <w:t>site to open</w:t>
      </w:r>
      <w:r>
        <w:rPr>
          <w:rFonts w:ascii="Arial" w:hAnsi="Arial" w:cs="Arial"/>
          <w:sz w:val="20"/>
          <w:szCs w:val="20"/>
        </w:rPr>
        <w:t xml:space="preserve"> up a new route to market with the launch of the MoneySuperMarket (MSM) ChatGPT app</w:t>
      </w:r>
      <w:r w:rsidRPr="1F0E253A">
        <w:rPr>
          <w:rFonts w:ascii="Arial" w:hAnsi="Arial" w:cs="Arial"/>
          <w:sz w:val="20"/>
          <w:szCs w:val="20"/>
        </w:rPr>
        <w:t>.</w:t>
      </w:r>
      <w:r>
        <w:rPr>
          <w:rFonts w:ascii="Arial" w:hAnsi="Arial" w:cs="Arial"/>
          <w:sz w:val="20"/>
          <w:szCs w:val="20"/>
        </w:rPr>
        <w:t xml:space="preserve"> Yesterday, we launched the second version of the app which includes expanded functionality </w:t>
      </w:r>
      <w:r w:rsidRPr="00D661F7">
        <w:rPr>
          <w:rFonts w:ascii="Arial" w:hAnsi="Arial" w:cs="Arial"/>
          <w:sz w:val="20"/>
          <w:szCs w:val="20"/>
        </w:rPr>
        <w:t>enabl</w:t>
      </w:r>
      <w:r>
        <w:rPr>
          <w:rFonts w:ascii="Arial" w:hAnsi="Arial" w:cs="Arial"/>
          <w:sz w:val="20"/>
          <w:szCs w:val="20"/>
        </w:rPr>
        <w:t>ing</w:t>
      </w:r>
      <w:r w:rsidRPr="00D661F7">
        <w:rPr>
          <w:rFonts w:ascii="Arial" w:hAnsi="Arial" w:cs="Arial"/>
          <w:sz w:val="20"/>
          <w:szCs w:val="20"/>
        </w:rPr>
        <w:t xml:space="preserve"> customers to do more with us in the ChatGPT environment</w:t>
      </w:r>
      <w:r>
        <w:rPr>
          <w:rFonts w:ascii="Arial" w:hAnsi="Arial" w:cs="Arial"/>
          <w:sz w:val="20"/>
          <w:szCs w:val="20"/>
        </w:rPr>
        <w:t xml:space="preserve">. </w:t>
      </w:r>
      <w:r w:rsidRPr="00D661F7">
        <w:rPr>
          <w:rFonts w:ascii="Arial" w:hAnsi="Arial" w:cs="Arial"/>
          <w:sz w:val="20"/>
          <w:szCs w:val="20"/>
        </w:rPr>
        <w:t>Alongside this, our AI-</w:t>
      </w:r>
      <w:r>
        <w:rPr>
          <w:rFonts w:ascii="Arial" w:hAnsi="Arial" w:cs="Arial"/>
          <w:sz w:val="20"/>
          <w:szCs w:val="20"/>
        </w:rPr>
        <w:t>powered</w:t>
      </w:r>
      <w:r w:rsidRPr="00D661F7">
        <w:rPr>
          <w:rFonts w:ascii="Arial" w:hAnsi="Arial" w:cs="Arial"/>
          <w:sz w:val="20"/>
          <w:szCs w:val="20"/>
        </w:rPr>
        <w:t xml:space="preserve"> Price Optimiser functionality has helped</w:t>
      </w:r>
      <w:r>
        <w:rPr>
          <w:rFonts w:ascii="Arial" w:hAnsi="Arial" w:cs="Arial"/>
          <w:sz w:val="20"/>
          <w:szCs w:val="20"/>
        </w:rPr>
        <w:t xml:space="preserve"> more than 100,000 customers save an average £25 since its launch in late February. </w:t>
      </w:r>
    </w:p>
    <w:p w14:paraId="15AE0BF5" w14:textId="77777777" w:rsidR="00DE5551" w:rsidRDefault="00DE5551" w:rsidP="00DE5551">
      <w:pPr>
        <w:jc w:val="both"/>
        <w:rPr>
          <w:rFonts w:ascii="Arial" w:hAnsi="Arial" w:cs="Arial"/>
          <w:sz w:val="20"/>
          <w:szCs w:val="20"/>
        </w:rPr>
      </w:pPr>
    </w:p>
    <w:p w14:paraId="510D8042" w14:textId="77777777" w:rsidR="00DE5551" w:rsidRDefault="00DE5551" w:rsidP="00DE5551">
      <w:pPr>
        <w:jc w:val="both"/>
        <w:rPr>
          <w:rFonts w:ascii="Arial" w:hAnsi="Arial" w:cs="Arial"/>
          <w:sz w:val="20"/>
          <w:szCs w:val="20"/>
        </w:rPr>
      </w:pPr>
      <w:r>
        <w:rPr>
          <w:rFonts w:ascii="Arial" w:hAnsi="Arial" w:cs="Arial"/>
          <w:sz w:val="20"/>
          <w:szCs w:val="20"/>
        </w:rPr>
        <w:t>MoneySuperMarket is transforming price comparison. We are evolving the MSM app into an everyday money companion where customers can do even more with us, from three-click renewal journeys, access to their secure policy documentation hub; and ‘Savings by MSM’ which also now includes ISAs, (with Investments to follow later in the year). Earlier in April we also launched our major new advertising campaign, enlisting the help of David Tennant to showcase ‘</w:t>
      </w:r>
      <w:r>
        <w:rPr>
          <w:rFonts w:ascii="Arial" w:hAnsi="Arial" w:cs="Arial"/>
          <w:i/>
          <w:iCs/>
          <w:sz w:val="20"/>
          <w:szCs w:val="20"/>
        </w:rPr>
        <w:t>w</w:t>
      </w:r>
      <w:r w:rsidRPr="00382C21">
        <w:rPr>
          <w:rFonts w:ascii="Arial" w:hAnsi="Arial" w:cs="Arial"/>
          <w:i/>
          <w:iCs/>
          <w:sz w:val="20"/>
          <w:szCs w:val="20"/>
        </w:rPr>
        <w:t>here better off begins’</w:t>
      </w:r>
      <w:r>
        <w:rPr>
          <w:rFonts w:ascii="Arial" w:hAnsi="Arial" w:cs="Arial"/>
          <w:i/>
          <w:iCs/>
          <w:sz w:val="20"/>
          <w:szCs w:val="20"/>
        </w:rPr>
        <w:t xml:space="preserve">, </w:t>
      </w:r>
      <w:r w:rsidRPr="00135973">
        <w:rPr>
          <w:rFonts w:ascii="Arial" w:hAnsi="Arial" w:cs="Arial"/>
          <w:sz w:val="20"/>
          <w:szCs w:val="20"/>
        </w:rPr>
        <w:t>reinforcing our brand strength</w:t>
      </w:r>
      <w:r>
        <w:rPr>
          <w:rFonts w:ascii="Arial" w:hAnsi="Arial" w:cs="Arial"/>
          <w:sz w:val="20"/>
          <w:szCs w:val="20"/>
        </w:rPr>
        <w:t xml:space="preserve"> across our channels.  </w:t>
      </w:r>
    </w:p>
    <w:p w14:paraId="0DFE3E0B" w14:textId="77777777" w:rsidR="00DE5551" w:rsidRDefault="00DE5551" w:rsidP="00DE5551">
      <w:pPr>
        <w:jc w:val="both"/>
        <w:rPr>
          <w:rFonts w:ascii="Arial" w:hAnsi="Arial" w:cs="Arial"/>
          <w:sz w:val="20"/>
          <w:szCs w:val="20"/>
        </w:rPr>
      </w:pPr>
    </w:p>
    <w:p w14:paraId="6D9EEC35" w14:textId="77777777" w:rsidR="00DE5551" w:rsidRDefault="00DE5551" w:rsidP="00DE5551">
      <w:pPr>
        <w:jc w:val="both"/>
      </w:pPr>
      <w:r>
        <w:rPr>
          <w:rFonts w:ascii="Arial" w:hAnsi="Arial" w:cs="Arial"/>
          <w:sz w:val="20"/>
          <w:szCs w:val="20"/>
        </w:rPr>
        <w:t>MoneySavingExpert (MSE) remains a core part of the Group’s proposition, providing trusted, independent guidance through its proprietary editorial content that helps consumers make better-informed financial decisions. MSE continues to drive high levels of engagement across its large, established member base, contributing to the conversion of even more customers from transactional users into long-term members.</w:t>
      </w:r>
    </w:p>
    <w:p w14:paraId="04D8A0A6" w14:textId="77777777" w:rsidR="00DE5551" w:rsidRDefault="00DE5551" w:rsidP="00DE5551">
      <w:pPr>
        <w:jc w:val="both"/>
        <w:rPr>
          <w:rFonts w:ascii="Arial" w:hAnsi="Arial" w:cs="Arial"/>
          <w:sz w:val="20"/>
          <w:szCs w:val="20"/>
        </w:rPr>
      </w:pPr>
    </w:p>
    <w:p w14:paraId="0597A94B" w14:textId="77777777" w:rsidR="00DE5551" w:rsidRDefault="00DE5551" w:rsidP="00DE5551">
      <w:pPr>
        <w:jc w:val="both"/>
      </w:pPr>
      <w:r>
        <w:rPr>
          <w:rFonts w:ascii="Arial" w:hAnsi="Arial" w:cs="Arial"/>
          <w:sz w:val="20"/>
          <w:szCs w:val="20"/>
        </w:rPr>
        <w:t>Our portfolio of trusted consumer brands, combined with our scale, leading marketplace capabilities and strong provider relationships, continues to support the delivery of our strategy and long-term value creation.</w:t>
      </w:r>
    </w:p>
    <w:p w14:paraId="26466370" w14:textId="77777777" w:rsidR="00DE5551" w:rsidRDefault="00DE5551" w:rsidP="00DE5551">
      <w:pPr>
        <w:jc w:val="both"/>
        <w:rPr>
          <w:rFonts w:ascii="Arial" w:hAnsi="Arial" w:cs="Arial"/>
          <w:sz w:val="20"/>
          <w:szCs w:val="20"/>
        </w:rPr>
      </w:pPr>
    </w:p>
    <w:p w14:paraId="75617436" w14:textId="77777777" w:rsidR="00DE5551" w:rsidRPr="00DB69AC" w:rsidRDefault="00DE5551" w:rsidP="00DE5551">
      <w:pPr>
        <w:jc w:val="both"/>
        <w:rPr>
          <w:b/>
          <w:bCs/>
        </w:rPr>
      </w:pPr>
      <w:r w:rsidRPr="00DB69AC">
        <w:rPr>
          <w:rFonts w:ascii="Arial" w:hAnsi="Arial" w:cs="Arial"/>
          <w:b/>
          <w:bCs/>
          <w:sz w:val="20"/>
          <w:szCs w:val="20"/>
        </w:rPr>
        <w:t xml:space="preserve">Capital Allocation </w:t>
      </w:r>
    </w:p>
    <w:p w14:paraId="36B4221F" w14:textId="77777777" w:rsidR="00DE5551" w:rsidRDefault="00DE5551" w:rsidP="00DE5551">
      <w:pPr>
        <w:jc w:val="both"/>
        <w:rPr>
          <w:rFonts w:ascii="Arial" w:hAnsi="Arial" w:cs="Arial"/>
          <w:sz w:val="20"/>
          <w:szCs w:val="20"/>
        </w:rPr>
      </w:pPr>
    </w:p>
    <w:p w14:paraId="378DC552" w14:textId="77777777" w:rsidR="00DE5551" w:rsidRDefault="00DE5551" w:rsidP="00DE5551">
      <w:pPr>
        <w:jc w:val="both"/>
        <w:rPr>
          <w:rFonts w:ascii="Arial" w:hAnsi="Arial" w:cs="Arial"/>
          <w:sz w:val="20"/>
          <w:szCs w:val="20"/>
        </w:rPr>
      </w:pPr>
      <w:r w:rsidRPr="1AC0CD6E">
        <w:rPr>
          <w:rFonts w:ascii="Arial" w:hAnsi="Arial" w:cs="Arial"/>
          <w:sz w:val="20"/>
          <w:szCs w:val="20"/>
        </w:rPr>
        <w:t>In line with our established capital allocation policy, we launched a share buyback programme of up to £</w:t>
      </w:r>
      <w:r>
        <w:rPr>
          <w:rFonts w:ascii="Arial" w:hAnsi="Arial" w:cs="Arial"/>
          <w:sz w:val="20"/>
          <w:szCs w:val="20"/>
        </w:rPr>
        <w:t>25</w:t>
      </w:r>
      <w:r w:rsidRPr="1AC0CD6E">
        <w:rPr>
          <w:rFonts w:ascii="Arial" w:hAnsi="Arial" w:cs="Arial"/>
          <w:sz w:val="20"/>
          <w:szCs w:val="20"/>
        </w:rPr>
        <w:t xml:space="preserve"> million on </w:t>
      </w:r>
      <w:r>
        <w:rPr>
          <w:rFonts w:ascii="Arial" w:hAnsi="Arial" w:cs="Arial"/>
          <w:sz w:val="20"/>
          <w:szCs w:val="20"/>
        </w:rPr>
        <w:t>23</w:t>
      </w:r>
      <w:r w:rsidRPr="1AC0CD6E">
        <w:rPr>
          <w:rFonts w:ascii="Arial" w:hAnsi="Arial" w:cs="Arial"/>
          <w:sz w:val="20"/>
          <w:szCs w:val="20"/>
        </w:rPr>
        <w:t xml:space="preserve"> February 202</w:t>
      </w:r>
      <w:r>
        <w:rPr>
          <w:rFonts w:ascii="Arial" w:hAnsi="Arial" w:cs="Arial"/>
          <w:sz w:val="20"/>
          <w:szCs w:val="20"/>
        </w:rPr>
        <w:t>6</w:t>
      </w:r>
      <w:r w:rsidRPr="1AC0CD6E">
        <w:rPr>
          <w:rFonts w:ascii="Arial" w:hAnsi="Arial" w:cs="Arial"/>
          <w:sz w:val="20"/>
          <w:szCs w:val="20"/>
        </w:rPr>
        <w:t>. The programme</w:t>
      </w:r>
      <w:r>
        <w:rPr>
          <w:rFonts w:ascii="Arial" w:hAnsi="Arial" w:cs="Arial"/>
          <w:sz w:val="20"/>
          <w:szCs w:val="20"/>
        </w:rPr>
        <w:t xml:space="preserve"> </w:t>
      </w:r>
      <w:r w:rsidRPr="1AC0CD6E">
        <w:rPr>
          <w:rFonts w:ascii="Arial" w:hAnsi="Arial" w:cs="Arial"/>
          <w:sz w:val="20"/>
          <w:szCs w:val="20"/>
        </w:rPr>
        <w:t xml:space="preserve">is progressing well with </w:t>
      </w:r>
      <w:r>
        <w:rPr>
          <w:rFonts w:ascii="Arial" w:hAnsi="Arial" w:cs="Arial"/>
          <w:sz w:val="20"/>
          <w:szCs w:val="20"/>
        </w:rPr>
        <w:t xml:space="preserve">over £8 </w:t>
      </w:r>
      <w:r w:rsidRPr="1AC0CD6E">
        <w:rPr>
          <w:rFonts w:ascii="Arial" w:hAnsi="Arial" w:cs="Arial"/>
          <w:sz w:val="20"/>
          <w:szCs w:val="20"/>
        </w:rPr>
        <w:t>m</w:t>
      </w:r>
      <w:r>
        <w:rPr>
          <w:rFonts w:ascii="Arial" w:hAnsi="Arial" w:cs="Arial"/>
          <w:sz w:val="20"/>
          <w:szCs w:val="20"/>
        </w:rPr>
        <w:t>illion</w:t>
      </w:r>
      <w:r w:rsidRPr="1AC0CD6E">
        <w:rPr>
          <w:rFonts w:ascii="Arial" w:hAnsi="Arial" w:cs="Arial"/>
          <w:sz w:val="20"/>
          <w:szCs w:val="20"/>
        </w:rPr>
        <w:t xml:space="preserve"> repurchased to date. </w:t>
      </w:r>
    </w:p>
    <w:p w14:paraId="54D7AE42" w14:textId="77777777" w:rsidR="00DE5551" w:rsidRPr="006253BF" w:rsidRDefault="00DE5551" w:rsidP="00DE5551">
      <w:pPr>
        <w:jc w:val="both"/>
        <w:rPr>
          <w:rFonts w:ascii="Arial" w:hAnsi="Arial" w:cs="Arial"/>
          <w:sz w:val="20"/>
          <w:szCs w:val="20"/>
        </w:rPr>
      </w:pPr>
    </w:p>
    <w:p w14:paraId="71450126" w14:textId="77777777" w:rsidR="00DE5551" w:rsidRPr="006253BF" w:rsidRDefault="00DE5551" w:rsidP="00DE5551">
      <w:pPr>
        <w:rPr>
          <w:rFonts w:ascii="Arial" w:hAnsi="Arial" w:cs="Arial"/>
          <w:b/>
          <w:bCs/>
          <w:sz w:val="20"/>
          <w:szCs w:val="20"/>
        </w:rPr>
      </w:pPr>
      <w:r w:rsidRPr="006253BF">
        <w:rPr>
          <w:rFonts w:ascii="Arial" w:hAnsi="Arial" w:cs="Arial"/>
          <w:b/>
          <w:bCs/>
          <w:sz w:val="20"/>
          <w:szCs w:val="20"/>
        </w:rPr>
        <w:t xml:space="preserve">Outlook </w:t>
      </w:r>
    </w:p>
    <w:p w14:paraId="7F4A1393" w14:textId="77777777" w:rsidR="00DE5551" w:rsidRDefault="00DE5551" w:rsidP="00DE5551">
      <w:pPr>
        <w:jc w:val="both"/>
        <w:rPr>
          <w:rFonts w:ascii="Arial" w:hAnsi="Arial" w:cs="Arial"/>
          <w:sz w:val="20"/>
          <w:szCs w:val="20"/>
        </w:rPr>
      </w:pPr>
    </w:p>
    <w:p w14:paraId="57DDE982" w14:textId="77777777" w:rsidR="00DE5551" w:rsidRDefault="00DE5551" w:rsidP="00DE5551">
      <w:pPr>
        <w:jc w:val="both"/>
        <w:rPr>
          <w:rFonts w:ascii="Arial" w:hAnsi="Arial" w:cs="Arial"/>
          <w:sz w:val="20"/>
          <w:szCs w:val="20"/>
        </w:rPr>
      </w:pPr>
      <w:r w:rsidRPr="009D23F2">
        <w:rPr>
          <w:rFonts w:ascii="Arial" w:hAnsi="Arial" w:cs="Arial"/>
          <w:sz w:val="20"/>
          <w:szCs w:val="20"/>
        </w:rPr>
        <w:t>Our recent trading performance coupled with</w:t>
      </w:r>
      <w:r>
        <w:rPr>
          <w:rFonts w:ascii="Arial" w:hAnsi="Arial" w:cs="Arial"/>
          <w:sz w:val="20"/>
          <w:szCs w:val="20"/>
        </w:rPr>
        <w:t xml:space="preserve"> continued</w:t>
      </w:r>
      <w:r w:rsidRPr="009D23F2">
        <w:rPr>
          <w:rFonts w:ascii="Arial" w:hAnsi="Arial" w:cs="Arial"/>
          <w:sz w:val="20"/>
          <w:szCs w:val="20"/>
        </w:rPr>
        <w:t xml:space="preserve"> momentum in our strategic execution gives the Board confidence that we will deliver Adjusted EBITDA for 2026 in line with our current published consensus range</w:t>
      </w:r>
      <w:r>
        <w:rPr>
          <w:rStyle w:val="FootnoteReference"/>
          <w:rFonts w:ascii="Arial" w:hAnsi="Arial" w:cs="Arial"/>
          <w:sz w:val="20"/>
          <w:szCs w:val="20"/>
        </w:rPr>
        <w:footnoteReference w:id="2"/>
      </w:r>
      <w:r>
        <w:rPr>
          <w:rFonts w:ascii="Arial" w:hAnsi="Arial" w:cs="Arial"/>
          <w:sz w:val="20"/>
          <w:szCs w:val="20"/>
        </w:rPr>
        <w:t xml:space="preserve"> with results expected to be weighted towards H2, as previously indicated. </w:t>
      </w:r>
    </w:p>
    <w:p w14:paraId="77540AD9" w14:textId="77777777" w:rsidR="00DE5551" w:rsidRDefault="00DE5551" w:rsidP="00DE5551">
      <w:pPr>
        <w:pStyle w:val="BodyText"/>
        <w:spacing w:line="360" w:lineRule="auto"/>
        <w:rPr>
          <w:rFonts w:cs="Arial"/>
          <w:b/>
          <w:bCs/>
        </w:rPr>
      </w:pPr>
    </w:p>
    <w:p w14:paraId="6E3112E0" w14:textId="77777777" w:rsidR="00DE5551" w:rsidRDefault="00DE5551" w:rsidP="00DE5551">
      <w:pPr>
        <w:pStyle w:val="BodyText"/>
        <w:spacing w:line="360" w:lineRule="auto"/>
        <w:rPr>
          <w:rFonts w:cs="Arial"/>
        </w:rPr>
      </w:pPr>
      <w:r w:rsidRPr="00E852F7">
        <w:rPr>
          <w:rFonts w:cs="Arial"/>
          <w:b/>
          <w:bCs/>
        </w:rPr>
        <w:t>For further information, contact:</w:t>
      </w:r>
      <w:r w:rsidRPr="00E852F7">
        <w:rPr>
          <w:rFonts w:cs="Arial"/>
        </w:rPr>
        <w:t> </w:t>
      </w:r>
    </w:p>
    <w:p w14:paraId="6BAE18E1" w14:textId="77777777" w:rsidR="00DE5551" w:rsidRDefault="00DE5551" w:rsidP="00DE5551">
      <w:pPr>
        <w:pStyle w:val="BodyText"/>
        <w:spacing w:line="360" w:lineRule="auto"/>
        <w:rPr>
          <w:rFonts w:cs="Arial"/>
        </w:rPr>
      </w:pPr>
    </w:p>
    <w:p w14:paraId="10FD532C" w14:textId="77777777" w:rsidR="00DE5551" w:rsidRPr="00E852F7" w:rsidRDefault="00DE5551" w:rsidP="00DE5551">
      <w:pPr>
        <w:pStyle w:val="BodyText"/>
        <w:spacing w:line="360" w:lineRule="auto"/>
        <w:rPr>
          <w:rFonts w:cs="Arial"/>
        </w:rPr>
      </w:pPr>
      <w:r w:rsidRPr="00E852F7">
        <w:rPr>
          <w:rFonts w:cs="Arial"/>
          <w:b/>
          <w:bCs/>
        </w:rPr>
        <w:t>Investors:</w:t>
      </w:r>
      <w:r w:rsidRPr="00E852F7">
        <w:rPr>
          <w:rFonts w:cs="Arial"/>
        </w:rPr>
        <w:tab/>
        <w:t> </w:t>
      </w:r>
    </w:p>
    <w:p w14:paraId="616C73F5" w14:textId="77777777" w:rsidR="00DE5551" w:rsidRPr="00E852F7" w:rsidRDefault="00DE5551" w:rsidP="00DE5551">
      <w:pPr>
        <w:pStyle w:val="BodyText"/>
        <w:spacing w:line="360" w:lineRule="auto"/>
        <w:rPr>
          <w:rFonts w:cs="Arial"/>
        </w:rPr>
      </w:pPr>
      <w:r w:rsidRPr="00E852F7">
        <w:rPr>
          <w:rFonts w:cs="Arial"/>
        </w:rPr>
        <w:t>Niall McBride, Chief Financial Officer</w:t>
      </w:r>
      <w:r w:rsidRPr="00E852F7">
        <w:rPr>
          <w:rFonts w:cs="Arial"/>
        </w:rPr>
        <w:tab/>
        <w:t xml:space="preserve">    </w:t>
      </w:r>
      <w:r w:rsidRPr="00E852F7">
        <w:rPr>
          <w:rFonts w:cs="Arial"/>
        </w:rPr>
        <w:tab/>
        <w:t>niall.mcbride@monygroup.com / 0203 826 4688  </w:t>
      </w:r>
    </w:p>
    <w:p w14:paraId="18A967F5" w14:textId="77777777" w:rsidR="00DE5551" w:rsidRPr="00E852F7" w:rsidRDefault="00DE5551" w:rsidP="00DE5551">
      <w:pPr>
        <w:pStyle w:val="BodyText"/>
        <w:spacing w:line="360" w:lineRule="auto"/>
        <w:rPr>
          <w:rFonts w:cs="Arial"/>
        </w:rPr>
      </w:pPr>
      <w:r w:rsidRPr="00E852F7">
        <w:rPr>
          <w:rFonts w:cs="Arial"/>
        </w:rPr>
        <w:t>Jennifer Cooke, Head of Investor Relations</w:t>
      </w:r>
      <w:r w:rsidRPr="00E852F7">
        <w:rPr>
          <w:rFonts w:cs="Arial"/>
        </w:rPr>
        <w:tab/>
        <w:t>jennifer.cooke@monygroup.com / 0203 846 2034  </w:t>
      </w:r>
    </w:p>
    <w:p w14:paraId="3605CF56" w14:textId="77777777" w:rsidR="00DE5551" w:rsidRPr="00E852F7" w:rsidRDefault="00DE5551" w:rsidP="00DE5551">
      <w:pPr>
        <w:pStyle w:val="BodyText"/>
        <w:spacing w:line="360" w:lineRule="auto"/>
        <w:rPr>
          <w:rFonts w:cs="Arial"/>
        </w:rPr>
      </w:pPr>
      <w:r w:rsidRPr="00E852F7">
        <w:rPr>
          <w:rFonts w:cs="Arial"/>
        </w:rPr>
        <w:t> </w:t>
      </w:r>
    </w:p>
    <w:p w14:paraId="17EFEBF7" w14:textId="77777777" w:rsidR="00DE5551" w:rsidRPr="00E852F7" w:rsidRDefault="00DE5551" w:rsidP="00DE5551">
      <w:pPr>
        <w:pStyle w:val="BodyText"/>
        <w:spacing w:line="360" w:lineRule="auto"/>
        <w:rPr>
          <w:rFonts w:cs="Arial"/>
        </w:rPr>
      </w:pPr>
      <w:r w:rsidRPr="00E852F7">
        <w:rPr>
          <w:rFonts w:cs="Arial"/>
          <w:b/>
          <w:bCs/>
        </w:rPr>
        <w:t>Media:</w:t>
      </w:r>
      <w:r w:rsidRPr="00E852F7">
        <w:rPr>
          <w:rFonts w:cs="Arial"/>
        </w:rPr>
        <w:t> </w:t>
      </w:r>
    </w:p>
    <w:p w14:paraId="6A3C0E69" w14:textId="77777777" w:rsidR="00DE5551" w:rsidRPr="00E852F7" w:rsidRDefault="00DE5551" w:rsidP="00DE5551">
      <w:pPr>
        <w:pStyle w:val="BodyText"/>
        <w:spacing w:line="360" w:lineRule="auto"/>
        <w:rPr>
          <w:rFonts w:cs="Arial"/>
        </w:rPr>
      </w:pPr>
      <w:r w:rsidRPr="00E852F7">
        <w:rPr>
          <w:rFonts w:cs="Arial"/>
        </w:rPr>
        <w:t xml:space="preserve">William Clutterbuck, H/Advisors Maitland      </w:t>
      </w:r>
      <w:r w:rsidRPr="00E852F7">
        <w:rPr>
          <w:rFonts w:cs="Arial"/>
        </w:rPr>
        <w:tab/>
        <w:t>wclutterbuck@h-advisors.global / 07785 292617  </w:t>
      </w:r>
    </w:p>
    <w:p w14:paraId="1D01CE61" w14:textId="77777777" w:rsidR="00DE5551" w:rsidRPr="006253BF" w:rsidRDefault="00DE5551" w:rsidP="00DE5551">
      <w:pPr>
        <w:pStyle w:val="BodyText"/>
        <w:spacing w:line="360" w:lineRule="auto"/>
        <w:rPr>
          <w:rFonts w:eastAsiaTheme="minorHAnsi" w:cs="Arial"/>
          <w:lang w:eastAsia="en-US"/>
        </w:rPr>
      </w:pPr>
    </w:p>
    <w:p w14:paraId="695718DB" w14:textId="77777777" w:rsidR="00DE5551" w:rsidRPr="006253BF" w:rsidRDefault="00DE5551" w:rsidP="00DE5551">
      <w:pPr>
        <w:pStyle w:val="BodyText"/>
        <w:rPr>
          <w:rFonts w:cs="Arial"/>
        </w:rPr>
      </w:pPr>
    </w:p>
    <w:p w14:paraId="4D617D8C" w14:textId="77777777" w:rsidR="00DE5551" w:rsidRPr="006253BF" w:rsidRDefault="00DE5551" w:rsidP="00DE5551">
      <w:pPr>
        <w:pStyle w:val="BodyText"/>
        <w:rPr>
          <w:rFonts w:cs="Arial"/>
          <w:highlight w:val="yellow"/>
        </w:rPr>
      </w:pPr>
      <w:r w:rsidRPr="006253BF">
        <w:rPr>
          <w:rFonts w:cs="Arial"/>
          <w:sz w:val="16"/>
          <w:szCs w:val="16"/>
        </w:rPr>
        <w:t xml:space="preserve">This statement may include statements that are forward looking in nature. Forward looking statements involve known and unknown risks, assumptions, </w:t>
      </w:r>
      <w:bookmarkStart w:id="0" w:name="_Int_9a6UzsDl"/>
      <w:r w:rsidRPr="006253BF">
        <w:rPr>
          <w:rFonts w:cs="Arial"/>
          <w:sz w:val="16"/>
          <w:szCs w:val="16"/>
        </w:rPr>
        <w:t>uncertainties</w:t>
      </w:r>
      <w:bookmarkEnd w:id="0"/>
      <w:r w:rsidRPr="006253BF">
        <w:rPr>
          <w:rFonts w:cs="Arial"/>
          <w:sz w:val="16"/>
          <w:szCs w:val="16"/>
        </w:rPr>
        <w:t xml:space="preserve"> and other factors which may cause the actual results, performance or achievements of the Group to be materially different from any future results, performance or achievements expressed or implied by such forward looking statements. Except as required by the Listing Rules and applicable law, the Group undertakes no obligation to update, revise or change any forward-looking statements to reflect events or developments occurring after the date such statements are published. The information in this release is based on management information.</w:t>
      </w:r>
    </w:p>
    <w:p w14:paraId="301A4498" w14:textId="77777777" w:rsidR="00DE5551" w:rsidRDefault="00DE5551" w:rsidP="00DE5551">
      <w:pPr>
        <w:rPr>
          <w:rFonts w:ascii="Arial" w:hAnsi="Arial" w:cs="Arial"/>
        </w:rPr>
      </w:pPr>
    </w:p>
    <w:p w14:paraId="7AC641CC" w14:textId="77777777" w:rsidR="00DE5551" w:rsidRDefault="00DE5551" w:rsidP="00DE5551">
      <w:pPr>
        <w:rPr>
          <w:rFonts w:ascii="Arial" w:hAnsi="Arial" w:cs="Arial"/>
        </w:rPr>
      </w:pPr>
    </w:p>
    <w:p w14:paraId="22D7335C" w14:textId="77777777" w:rsidR="00DE5551" w:rsidRPr="006253BF" w:rsidRDefault="00DE5551" w:rsidP="00DE5551">
      <w:pPr>
        <w:rPr>
          <w:rFonts w:ascii="Arial" w:hAnsi="Arial" w:cs="Arial"/>
        </w:rPr>
      </w:pPr>
    </w:p>
    <w:p w14:paraId="4D4F4A78" w14:textId="77777777" w:rsidR="00511D38" w:rsidRDefault="00511D38"/>
    <w:sectPr w:rsidR="00511D38" w:rsidSect="00DE555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9A8F" w14:textId="77777777" w:rsidR="00DE5551" w:rsidRDefault="00DE5551" w:rsidP="00DE5551">
      <w:r>
        <w:separator/>
      </w:r>
    </w:p>
  </w:endnote>
  <w:endnote w:type="continuationSeparator" w:id="0">
    <w:p w14:paraId="1772EC91" w14:textId="77777777" w:rsidR="00DE5551" w:rsidRDefault="00DE5551" w:rsidP="00DE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39D9" w14:textId="107C381B" w:rsidR="00DE5551" w:rsidRDefault="00DE5551">
    <w:pPr>
      <w:pStyle w:val="Footer"/>
    </w:pPr>
    <w:r>
      <w:rPr>
        <w:noProof/>
        <w14:ligatures w14:val="standardContextual"/>
      </w:rPr>
      <mc:AlternateContent>
        <mc:Choice Requires="wps">
          <w:drawing>
            <wp:anchor distT="0" distB="0" distL="0" distR="0" simplePos="0" relativeHeight="251659264" behindDoc="0" locked="0" layoutInCell="1" allowOverlap="1" wp14:anchorId="088112A4" wp14:editId="03A185D9">
              <wp:simplePos x="635" y="635"/>
              <wp:positionH relativeFrom="page">
                <wp:align>center</wp:align>
              </wp:positionH>
              <wp:positionV relativeFrom="page">
                <wp:align>bottom</wp:align>
              </wp:positionV>
              <wp:extent cx="1929130" cy="345440"/>
              <wp:effectExtent l="0" t="0" r="13970" b="0"/>
              <wp:wrapNone/>
              <wp:docPr id="359445755"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68CA14F8" w14:textId="2B934B75" w:rsidR="00DE5551" w:rsidRPr="00DE5551" w:rsidRDefault="00DE5551" w:rsidP="00DE5551">
                          <w:pPr>
                            <w:rPr>
                              <w:rFonts w:ascii="Aptos" w:eastAsia="Aptos" w:hAnsi="Aptos" w:cs="Aptos"/>
                              <w:noProof/>
                              <w:color w:val="000000"/>
                              <w:sz w:val="20"/>
                              <w:szCs w:val="20"/>
                            </w:rPr>
                          </w:pPr>
                          <w:r w:rsidRPr="00DE5551">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8112A4" id="_x0000_t202" coordsize="21600,21600" o:spt="202" path="m,l,21600r21600,l21600,xe">
              <v:stroke joinstyle="miter"/>
              <v:path gradientshapeok="t" o:connecttype="rect"/>
            </v:shapetype>
            <v:shape id="Text Box 2" o:spid="_x0000_s1026" type="#_x0000_t202" alt="[CLASSIFICATION: CONFIDENTIAL]" style="position:absolute;margin-left:0;margin-top:0;width:151.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QqtDQIAAB0EAAAOAAAAZHJzL2Uyb0RvYy54bWysU99v2jAQfp+0/8Hy+0igdBo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" filled="f" stroked="f">
              <v:fill o:detectmouseclick="t"/>
              <v:textbox style="mso-fit-shape-to-text:t" inset="0,0,0,15pt">
                <w:txbxContent>
                  <w:p w14:paraId="68CA14F8" w14:textId="2B934B75" w:rsidR="00DE5551" w:rsidRPr="00DE5551" w:rsidRDefault="00DE5551" w:rsidP="00DE5551">
                    <w:pPr>
                      <w:rPr>
                        <w:rFonts w:ascii="Aptos" w:eastAsia="Aptos" w:hAnsi="Aptos" w:cs="Aptos"/>
                        <w:noProof/>
                        <w:color w:val="000000"/>
                        <w:sz w:val="20"/>
                        <w:szCs w:val="20"/>
                      </w:rPr>
                    </w:pPr>
                    <w:r w:rsidRPr="00DE5551">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9913" w14:textId="0681DA3C" w:rsidR="00DE5551" w:rsidRDefault="00DE5551">
    <w:pPr>
      <w:pStyle w:val="Footer"/>
    </w:pPr>
    <w:r>
      <w:rPr>
        <w:noProof/>
        <w14:ligatures w14:val="standardContextual"/>
      </w:rPr>
      <mc:AlternateContent>
        <mc:Choice Requires="wps">
          <w:drawing>
            <wp:anchor distT="0" distB="0" distL="0" distR="0" simplePos="0" relativeHeight="251660288" behindDoc="0" locked="0" layoutInCell="1" allowOverlap="1" wp14:anchorId="3E9DE6B8" wp14:editId="40289BBA">
              <wp:simplePos x="914400" y="10073030"/>
              <wp:positionH relativeFrom="page">
                <wp:align>center</wp:align>
              </wp:positionH>
              <wp:positionV relativeFrom="page">
                <wp:align>bottom</wp:align>
              </wp:positionV>
              <wp:extent cx="1929130" cy="345440"/>
              <wp:effectExtent l="0" t="0" r="13970" b="0"/>
              <wp:wrapNone/>
              <wp:docPr id="873312391"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5077B3CE" w14:textId="1B39C54C" w:rsidR="00DE5551" w:rsidRPr="00DE5551" w:rsidRDefault="00DE5551" w:rsidP="00DE5551">
                          <w:pPr>
                            <w:rPr>
                              <w:rFonts w:ascii="Aptos" w:eastAsia="Aptos" w:hAnsi="Aptos" w:cs="Aptos"/>
                              <w:noProof/>
                              <w:color w:val="000000"/>
                              <w:sz w:val="20"/>
                              <w:szCs w:val="20"/>
                            </w:rPr>
                          </w:pPr>
                          <w:r w:rsidRPr="00DE5551">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9DE6B8" id="_x0000_t202" coordsize="21600,21600" o:spt="202" path="m,l,21600r21600,l21600,xe">
              <v:stroke joinstyle="miter"/>
              <v:path gradientshapeok="t" o:connecttype="rect"/>
            </v:shapetype>
            <v:shape id="Text Box 3" o:spid="_x0000_s1027" type="#_x0000_t202" alt="[CLASSIFICATION: CONFIDENTIAL]" style="position:absolute;margin-left:0;margin-top:0;width:151.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" filled="f" stroked="f">
              <v:fill o:detectmouseclick="t"/>
              <v:textbox style="mso-fit-shape-to-text:t" inset="0,0,0,15pt">
                <w:txbxContent>
                  <w:p w14:paraId="5077B3CE" w14:textId="1B39C54C" w:rsidR="00DE5551" w:rsidRPr="00DE5551" w:rsidRDefault="00DE5551" w:rsidP="00DE5551">
                    <w:pPr>
                      <w:rPr>
                        <w:rFonts w:ascii="Aptos" w:eastAsia="Aptos" w:hAnsi="Aptos" w:cs="Aptos"/>
                        <w:noProof/>
                        <w:color w:val="000000"/>
                        <w:sz w:val="20"/>
                        <w:szCs w:val="20"/>
                      </w:rPr>
                    </w:pPr>
                    <w:r w:rsidRPr="00DE5551">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C3D8" w14:textId="43A92BA9" w:rsidR="00DE5551" w:rsidRDefault="00DE5551">
    <w:pPr>
      <w:pStyle w:val="Footer"/>
    </w:pPr>
    <w:r>
      <w:rPr>
        <w:noProof/>
        <w14:ligatures w14:val="standardContextual"/>
      </w:rPr>
      <mc:AlternateContent>
        <mc:Choice Requires="wps">
          <w:drawing>
            <wp:anchor distT="0" distB="0" distL="0" distR="0" simplePos="0" relativeHeight="251658240" behindDoc="0" locked="0" layoutInCell="1" allowOverlap="1" wp14:anchorId="4BFCDD51" wp14:editId="2127CA5E">
              <wp:simplePos x="635" y="635"/>
              <wp:positionH relativeFrom="page">
                <wp:align>center</wp:align>
              </wp:positionH>
              <wp:positionV relativeFrom="page">
                <wp:align>bottom</wp:align>
              </wp:positionV>
              <wp:extent cx="1929130" cy="345440"/>
              <wp:effectExtent l="0" t="0" r="13970" b="0"/>
              <wp:wrapNone/>
              <wp:docPr id="590230648"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9130" cy="345440"/>
                      </a:xfrm>
                      <a:prstGeom prst="rect">
                        <a:avLst/>
                      </a:prstGeom>
                      <a:noFill/>
                      <a:ln>
                        <a:noFill/>
                      </a:ln>
                    </wps:spPr>
                    <wps:txbx>
                      <w:txbxContent>
                        <w:p w14:paraId="6593830D" w14:textId="67178700" w:rsidR="00DE5551" w:rsidRPr="00DE5551" w:rsidRDefault="00DE5551" w:rsidP="00DE5551">
                          <w:pPr>
                            <w:rPr>
                              <w:rFonts w:ascii="Aptos" w:eastAsia="Aptos" w:hAnsi="Aptos" w:cs="Aptos"/>
                              <w:noProof/>
                              <w:color w:val="000000"/>
                              <w:sz w:val="20"/>
                              <w:szCs w:val="20"/>
                            </w:rPr>
                          </w:pPr>
                          <w:r w:rsidRPr="00DE5551">
                            <w:rPr>
                              <w:rFonts w:ascii="Aptos" w:eastAsia="Aptos" w:hAnsi="Aptos" w:cs="Aptos"/>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FCDD51" id="_x0000_t202" coordsize="21600,21600" o:spt="202" path="m,l,21600r21600,l21600,xe">
              <v:stroke joinstyle="miter"/>
              <v:path gradientshapeok="t" o:connecttype="rect"/>
            </v:shapetype>
            <v:shape id="Text Box 1" o:spid="_x0000_s1028" type="#_x0000_t202" alt="[CLASSIFICATION: CONFIDENTIAL]" style="position:absolute;margin-left:0;margin-top:0;width:151.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" filled="f" stroked="f">
              <v:fill o:detectmouseclick="t"/>
              <v:textbox style="mso-fit-shape-to-text:t" inset="0,0,0,15pt">
                <w:txbxContent>
                  <w:p w14:paraId="6593830D" w14:textId="67178700" w:rsidR="00DE5551" w:rsidRPr="00DE5551" w:rsidRDefault="00DE5551" w:rsidP="00DE5551">
                    <w:pPr>
                      <w:rPr>
                        <w:rFonts w:ascii="Aptos" w:eastAsia="Aptos" w:hAnsi="Aptos" w:cs="Aptos"/>
                        <w:noProof/>
                        <w:color w:val="000000"/>
                        <w:sz w:val="20"/>
                        <w:szCs w:val="20"/>
                      </w:rPr>
                    </w:pPr>
                    <w:r w:rsidRPr="00DE5551">
                      <w:rPr>
                        <w:rFonts w:ascii="Aptos" w:eastAsia="Aptos" w:hAnsi="Aptos" w:cs="Aptos"/>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D7A22" w14:textId="77777777" w:rsidR="00DE5551" w:rsidRDefault="00DE5551" w:rsidP="00DE5551">
      <w:r>
        <w:separator/>
      </w:r>
    </w:p>
  </w:footnote>
  <w:footnote w:type="continuationSeparator" w:id="0">
    <w:p w14:paraId="275AD6FA" w14:textId="77777777" w:rsidR="00DE5551" w:rsidRDefault="00DE5551" w:rsidP="00DE5551">
      <w:r>
        <w:continuationSeparator/>
      </w:r>
    </w:p>
  </w:footnote>
  <w:footnote w:id="1">
    <w:p w14:paraId="34DA1AD4" w14:textId="77777777" w:rsidR="00DE5551" w:rsidRDefault="00DE5551" w:rsidP="00DE5551">
      <w:pPr>
        <w:pStyle w:val="FootnoteText"/>
      </w:pPr>
      <w:r>
        <w:rPr>
          <w:rStyle w:val="FootnoteReference"/>
        </w:rPr>
        <w:footnoteRef/>
      </w:r>
      <w:r>
        <w:t xml:space="preserve"> </w:t>
      </w:r>
      <w:r>
        <w:rPr>
          <w:rFonts w:ascii="Arial" w:hAnsi="Arial" w:cs="Arial"/>
          <w:sz w:val="16"/>
          <w:szCs w:val="16"/>
        </w:rPr>
        <w:t>Revenue is presented on a like-for-like basis, e</w:t>
      </w:r>
      <w:r w:rsidRPr="009A3F2C">
        <w:rPr>
          <w:rFonts w:ascii="Arial" w:hAnsi="Arial" w:cs="Arial"/>
          <w:sz w:val="16"/>
          <w:szCs w:val="16"/>
        </w:rPr>
        <w:t xml:space="preserve">xcluding </w:t>
      </w:r>
      <w:r>
        <w:rPr>
          <w:rFonts w:ascii="Arial" w:hAnsi="Arial" w:cs="Arial"/>
          <w:sz w:val="16"/>
          <w:szCs w:val="16"/>
        </w:rPr>
        <w:t xml:space="preserve">Ice Travel Group (ITG) </w:t>
      </w:r>
      <w:r w:rsidRPr="009A3F2C">
        <w:rPr>
          <w:rFonts w:ascii="Arial" w:hAnsi="Arial" w:cs="Arial"/>
          <w:sz w:val="16"/>
          <w:szCs w:val="16"/>
        </w:rPr>
        <w:t xml:space="preserve">Travel revenue following the </w:t>
      </w:r>
      <w:r>
        <w:rPr>
          <w:rFonts w:ascii="Arial" w:hAnsi="Arial" w:cs="Arial"/>
          <w:sz w:val="16"/>
          <w:szCs w:val="16"/>
        </w:rPr>
        <w:t>Group’s move to a minority position as of 1</w:t>
      </w:r>
      <w:r w:rsidRPr="009A3F2C">
        <w:rPr>
          <w:rFonts w:ascii="Arial" w:hAnsi="Arial" w:cs="Arial"/>
          <w:sz w:val="16"/>
          <w:szCs w:val="16"/>
        </w:rPr>
        <w:t xml:space="preserve"> December 2025. </w:t>
      </w:r>
      <w:r>
        <w:rPr>
          <w:rFonts w:ascii="Arial" w:hAnsi="Arial" w:cs="Arial"/>
          <w:sz w:val="16"/>
          <w:szCs w:val="16"/>
        </w:rPr>
        <w:t>On a statutory basis, including 2025 ITG revenue for the same period the position is flat.</w:t>
      </w:r>
    </w:p>
  </w:footnote>
  <w:footnote w:id="2">
    <w:p w14:paraId="2E43F8A7" w14:textId="77777777" w:rsidR="00DE5551" w:rsidRDefault="00DE5551" w:rsidP="00DE5551">
      <w:pPr>
        <w:pStyle w:val="FootnoteText"/>
      </w:pPr>
      <w:r w:rsidRPr="0050270A">
        <w:rPr>
          <w:rStyle w:val="FootnoteReference"/>
          <w:rFonts w:ascii="Arial" w:hAnsi="Arial" w:cs="Arial"/>
          <w:sz w:val="16"/>
          <w:szCs w:val="16"/>
        </w:rPr>
        <w:footnoteRef/>
      </w:r>
      <w:r w:rsidRPr="0050270A">
        <w:rPr>
          <w:rFonts w:ascii="Arial" w:hAnsi="Arial" w:cs="Arial"/>
          <w:sz w:val="16"/>
          <w:szCs w:val="16"/>
        </w:rPr>
        <w:t xml:space="preserve"> </w:t>
      </w:r>
      <w:r w:rsidRPr="0050270A">
        <w:rPr>
          <w:rFonts w:ascii="Arial" w:eastAsia="Batang" w:hAnsi="Arial" w:cs="Arial"/>
          <w:sz w:val="16"/>
          <w:szCs w:val="16"/>
          <w:lang w:eastAsia="ko-KR"/>
        </w:rPr>
        <w:t>Market expectations of adjusted EBITDA for 202</w:t>
      </w:r>
      <w:r>
        <w:rPr>
          <w:rFonts w:ascii="Arial" w:eastAsia="Batang" w:hAnsi="Arial" w:cs="Arial"/>
          <w:sz w:val="16"/>
          <w:szCs w:val="16"/>
          <w:lang w:eastAsia="ko-KR"/>
        </w:rPr>
        <w:t>6</w:t>
      </w:r>
      <w:r w:rsidRPr="0050270A">
        <w:rPr>
          <w:rFonts w:ascii="Arial" w:eastAsia="Batang" w:hAnsi="Arial" w:cs="Arial"/>
          <w:sz w:val="16"/>
          <w:szCs w:val="16"/>
          <w:lang w:eastAsia="ko-KR"/>
        </w:rPr>
        <w:t xml:space="preserve"> from the analyst consensus on our investor website is </w:t>
      </w:r>
      <w:r>
        <w:rPr>
          <w:rFonts w:ascii="Arial" w:eastAsia="Batang" w:hAnsi="Arial" w:cs="Arial"/>
          <w:sz w:val="16"/>
          <w:szCs w:val="16"/>
          <w:lang w:eastAsia="ko-KR"/>
        </w:rPr>
        <w:t>£</w:t>
      </w:r>
      <w:r w:rsidRPr="0050270A">
        <w:rPr>
          <w:rFonts w:ascii="Arial" w:eastAsia="Batang" w:hAnsi="Arial" w:cs="Arial"/>
          <w:sz w:val="16"/>
          <w:szCs w:val="16"/>
          <w:lang w:eastAsia="ko-KR"/>
        </w:rPr>
        <w:t>145.</w:t>
      </w:r>
      <w:r>
        <w:rPr>
          <w:rFonts w:ascii="Arial" w:eastAsia="Batang" w:hAnsi="Arial" w:cs="Arial"/>
          <w:sz w:val="16"/>
          <w:szCs w:val="16"/>
          <w:lang w:eastAsia="ko-KR"/>
        </w:rPr>
        <w:t>2</w:t>
      </w:r>
      <w:r w:rsidRPr="0050270A">
        <w:rPr>
          <w:rFonts w:ascii="Arial" w:eastAsia="Batang" w:hAnsi="Arial" w:cs="Arial"/>
          <w:sz w:val="16"/>
          <w:szCs w:val="16"/>
          <w:lang w:eastAsia="ko-KR"/>
        </w:rPr>
        <w:t>m with a range of £1</w:t>
      </w:r>
      <w:r>
        <w:rPr>
          <w:rFonts w:ascii="Arial" w:eastAsia="Batang" w:hAnsi="Arial" w:cs="Arial"/>
          <w:sz w:val="16"/>
          <w:szCs w:val="16"/>
          <w:lang w:eastAsia="ko-KR"/>
        </w:rPr>
        <w:t>40.0</w:t>
      </w:r>
      <w:r w:rsidRPr="0050270A">
        <w:rPr>
          <w:rFonts w:ascii="Arial" w:eastAsia="Batang" w:hAnsi="Arial" w:cs="Arial"/>
          <w:sz w:val="16"/>
          <w:szCs w:val="16"/>
          <w:lang w:eastAsia="ko-KR"/>
        </w:rPr>
        <w:t>m to £1</w:t>
      </w:r>
      <w:r>
        <w:rPr>
          <w:rFonts w:ascii="Arial" w:eastAsia="Batang" w:hAnsi="Arial" w:cs="Arial"/>
          <w:sz w:val="16"/>
          <w:szCs w:val="16"/>
          <w:lang w:eastAsia="ko-KR"/>
        </w:rPr>
        <w:t>48.3</w:t>
      </w:r>
      <w:r w:rsidRPr="0050270A">
        <w:rPr>
          <w:rFonts w:ascii="Arial" w:eastAsia="Batang" w:hAnsi="Arial" w:cs="Arial"/>
          <w:sz w:val="16"/>
          <w:szCs w:val="16"/>
          <w:lang w:eastAsia="ko-KR"/>
        </w:rPr>
        <w: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69820" w14:textId="77777777" w:rsidR="00DE5551" w:rsidRDefault="00DE5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ECFC" w14:textId="77777777" w:rsidR="00DE5551" w:rsidRDefault="00DE5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B77E" w14:textId="77777777" w:rsidR="00DE5551" w:rsidRDefault="00DE5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51"/>
    <w:rsid w:val="00511D38"/>
    <w:rsid w:val="00DE5551"/>
    <w:rsid w:val="00FD1F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9FBE8"/>
  <w15:chartTrackingRefBased/>
  <w15:docId w15:val="{A52F3F66-A3C1-4AA0-9110-1CDD24E8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551"/>
    <w:pPr>
      <w:spacing w:after="0" w:line="240" w:lineRule="auto"/>
    </w:pPr>
    <w:rPr>
      <w:kern w:val="0"/>
      <w14:ligatures w14:val="none"/>
    </w:rPr>
  </w:style>
  <w:style w:type="paragraph" w:styleId="Heading1">
    <w:name w:val="heading 1"/>
    <w:basedOn w:val="Normal"/>
    <w:next w:val="Normal"/>
    <w:link w:val="Heading1Char"/>
    <w:uiPriority w:val="9"/>
    <w:qFormat/>
    <w:rsid w:val="00DE55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55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555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555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E555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E5551"/>
    <w:pPr>
      <w:keepNext/>
      <w:keepLines/>
      <w:spacing w:before="4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E5551"/>
    <w:pPr>
      <w:keepNext/>
      <w:keepLines/>
      <w:spacing w:before="4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E5551"/>
    <w:pPr>
      <w:keepNext/>
      <w:keepLines/>
      <w:spacing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E5551"/>
    <w:pPr>
      <w:keepNext/>
      <w:keepLines/>
      <w:spacing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51"/>
    <w:rPr>
      <w:rFonts w:eastAsiaTheme="majorEastAsia" w:cstheme="majorBidi"/>
      <w:color w:val="272727" w:themeColor="text1" w:themeTint="D8"/>
    </w:rPr>
  </w:style>
  <w:style w:type="paragraph" w:styleId="Title">
    <w:name w:val="Title"/>
    <w:basedOn w:val="Normal"/>
    <w:next w:val="Normal"/>
    <w:link w:val="TitleChar"/>
    <w:uiPriority w:val="10"/>
    <w:qFormat/>
    <w:rsid w:val="00DE55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5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5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5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5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E5551"/>
    <w:rPr>
      <w:i/>
      <w:iCs/>
      <w:color w:val="404040" w:themeColor="text1" w:themeTint="BF"/>
    </w:rPr>
  </w:style>
  <w:style w:type="paragraph" w:styleId="ListParagraph">
    <w:name w:val="List Paragraph"/>
    <w:basedOn w:val="Normal"/>
    <w:uiPriority w:val="34"/>
    <w:qFormat/>
    <w:rsid w:val="00DE555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DE5551"/>
    <w:rPr>
      <w:i/>
      <w:iCs/>
      <w:color w:val="0F4761" w:themeColor="accent1" w:themeShade="BF"/>
    </w:rPr>
  </w:style>
  <w:style w:type="paragraph" w:styleId="IntenseQuote">
    <w:name w:val="Intense Quote"/>
    <w:basedOn w:val="Normal"/>
    <w:next w:val="Normal"/>
    <w:link w:val="IntenseQuoteChar"/>
    <w:uiPriority w:val="30"/>
    <w:qFormat/>
    <w:rsid w:val="00DE555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E5551"/>
    <w:rPr>
      <w:i/>
      <w:iCs/>
      <w:color w:val="0F4761" w:themeColor="accent1" w:themeShade="BF"/>
    </w:rPr>
  </w:style>
  <w:style w:type="character" w:styleId="IntenseReference">
    <w:name w:val="Intense Reference"/>
    <w:basedOn w:val="DefaultParagraphFont"/>
    <w:uiPriority w:val="32"/>
    <w:qFormat/>
    <w:rsid w:val="00DE5551"/>
    <w:rPr>
      <w:b/>
      <w:bCs/>
      <w:smallCaps/>
      <w:color w:val="0F4761" w:themeColor="accent1" w:themeShade="BF"/>
      <w:spacing w:val="5"/>
    </w:rPr>
  </w:style>
  <w:style w:type="paragraph" w:styleId="BodyText">
    <w:name w:val="Body Text"/>
    <w:basedOn w:val="Normal"/>
    <w:link w:val="BodyTextChar"/>
    <w:uiPriority w:val="99"/>
    <w:rsid w:val="00DE5551"/>
    <w:pPr>
      <w:tabs>
        <w:tab w:val="left" w:pos="709"/>
        <w:tab w:val="left" w:pos="1559"/>
        <w:tab w:val="left" w:pos="2268"/>
        <w:tab w:val="left" w:pos="2977"/>
        <w:tab w:val="left" w:pos="3686"/>
        <w:tab w:val="left" w:pos="4394"/>
        <w:tab w:val="right" w:pos="8789"/>
      </w:tabs>
      <w:jc w:val="both"/>
    </w:pPr>
    <w:rPr>
      <w:rFonts w:ascii="Arial" w:eastAsia="Batang" w:hAnsi="Arial" w:cs="Times New Roman"/>
      <w:sz w:val="20"/>
      <w:szCs w:val="20"/>
      <w:lang w:eastAsia="ko-KR"/>
    </w:rPr>
  </w:style>
  <w:style w:type="character" w:customStyle="1" w:styleId="BodyTextChar">
    <w:name w:val="Body Text Char"/>
    <w:basedOn w:val="DefaultParagraphFont"/>
    <w:link w:val="BodyText"/>
    <w:uiPriority w:val="99"/>
    <w:rsid w:val="00DE5551"/>
    <w:rPr>
      <w:rFonts w:ascii="Arial" w:eastAsia="Batang" w:hAnsi="Arial" w:cs="Times New Roman"/>
      <w:kern w:val="0"/>
      <w:sz w:val="20"/>
      <w:szCs w:val="20"/>
      <w:lang w:eastAsia="ko-KR"/>
      <w14:ligatures w14:val="none"/>
    </w:rPr>
  </w:style>
  <w:style w:type="paragraph" w:styleId="Footer">
    <w:name w:val="footer"/>
    <w:basedOn w:val="Normal"/>
    <w:link w:val="FooterChar"/>
    <w:uiPriority w:val="99"/>
    <w:unhideWhenUsed/>
    <w:rsid w:val="00DE5551"/>
    <w:pPr>
      <w:tabs>
        <w:tab w:val="center" w:pos="4513"/>
        <w:tab w:val="right" w:pos="9026"/>
      </w:tabs>
    </w:pPr>
  </w:style>
  <w:style w:type="character" w:customStyle="1" w:styleId="FooterChar">
    <w:name w:val="Footer Char"/>
    <w:basedOn w:val="DefaultParagraphFont"/>
    <w:link w:val="Footer"/>
    <w:uiPriority w:val="99"/>
    <w:rsid w:val="00DE5551"/>
    <w:rPr>
      <w:kern w:val="0"/>
      <w14:ligatures w14:val="none"/>
    </w:rPr>
  </w:style>
  <w:style w:type="paragraph" w:styleId="Header">
    <w:name w:val="header"/>
    <w:basedOn w:val="Normal"/>
    <w:link w:val="HeaderChar"/>
    <w:uiPriority w:val="99"/>
    <w:unhideWhenUsed/>
    <w:rsid w:val="00DE5551"/>
    <w:pPr>
      <w:tabs>
        <w:tab w:val="center" w:pos="4513"/>
        <w:tab w:val="right" w:pos="9026"/>
      </w:tabs>
    </w:pPr>
  </w:style>
  <w:style w:type="character" w:customStyle="1" w:styleId="HeaderChar">
    <w:name w:val="Header Char"/>
    <w:basedOn w:val="DefaultParagraphFont"/>
    <w:link w:val="Header"/>
    <w:uiPriority w:val="99"/>
    <w:rsid w:val="00DE5551"/>
    <w:rPr>
      <w:kern w:val="0"/>
      <w14:ligatures w14:val="none"/>
    </w:rPr>
  </w:style>
  <w:style w:type="paragraph" w:styleId="FootnoteText">
    <w:name w:val="footnote text"/>
    <w:basedOn w:val="Normal"/>
    <w:link w:val="FootnoteTextChar"/>
    <w:uiPriority w:val="99"/>
    <w:semiHidden/>
    <w:unhideWhenUsed/>
    <w:rsid w:val="00DE5551"/>
    <w:rPr>
      <w:sz w:val="20"/>
      <w:szCs w:val="20"/>
    </w:rPr>
  </w:style>
  <w:style w:type="character" w:customStyle="1" w:styleId="FootnoteTextChar">
    <w:name w:val="Footnote Text Char"/>
    <w:basedOn w:val="DefaultParagraphFont"/>
    <w:link w:val="FootnoteText"/>
    <w:uiPriority w:val="99"/>
    <w:semiHidden/>
    <w:rsid w:val="00DE5551"/>
    <w:rPr>
      <w:kern w:val="0"/>
      <w:sz w:val="20"/>
      <w:szCs w:val="20"/>
      <w14:ligatures w14:val="none"/>
    </w:rPr>
  </w:style>
  <w:style w:type="character" w:styleId="FootnoteReference">
    <w:name w:val="footnote reference"/>
    <w:basedOn w:val="DefaultParagraphFont"/>
    <w:uiPriority w:val="99"/>
    <w:semiHidden/>
    <w:unhideWhenUsed/>
    <w:rsid w:val="00DE5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2C8315C5BAFC4185F1C6975D0FBF8A" ma:contentTypeVersion="18" ma:contentTypeDescription="Create a new document." ma:contentTypeScope="" ma:versionID="3f9f2d5524790a792e69ffc7e6f48317">
  <xsd:schema xmlns:xsd="http://www.w3.org/2001/XMLSchema" xmlns:xs="http://www.w3.org/2001/XMLSchema" xmlns:p="http://schemas.microsoft.com/office/2006/metadata/properties" xmlns:ns2="5a3f2ca3-ea39-4566-9bdf-543572d97fa7" xmlns:ns3="3d5be560-9190-4928-8519-4ce34b56e05c" targetNamespace="http://schemas.microsoft.com/office/2006/metadata/properties" ma:root="true" ma:fieldsID="6786af0de3d2a904c97acec8380095a3" ns2:_="" ns3:_="">
    <xsd:import namespace="5a3f2ca3-ea39-4566-9bdf-543572d97fa7"/>
    <xsd:import namespace="3d5be560-9190-4928-8519-4ce34b56e0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f2ca3-ea39-4566-9bdf-543572d9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37f239-6834-4bd3-bb48-26abf64f9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be560-9190-4928-8519-4ce34b56e0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df2ca6-d628-4d00-8e76-5d7056fbf2ce}" ma:internalName="TaxCatchAll" ma:showField="CatchAllData" ma:web="3d5be560-9190-4928-8519-4ce34b56e0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3f2ca3-ea39-4566-9bdf-543572d97fa7">
      <Terms xmlns="http://schemas.microsoft.com/office/infopath/2007/PartnerControls"/>
    </lcf76f155ced4ddcb4097134ff3c332f>
    <TaxCatchAll xmlns="3d5be560-9190-4928-8519-4ce34b56e05c" xsi:nil="true"/>
  </documentManagement>
</p:properties>
</file>

<file path=customXml/itemProps1.xml><?xml version="1.0" encoding="utf-8"?>
<ds:datastoreItem xmlns:ds="http://schemas.openxmlformats.org/officeDocument/2006/customXml" ds:itemID="{1F4ECF4D-A563-4829-9784-6D4CF447AE65}"/>
</file>

<file path=customXml/itemProps2.xml><?xml version="1.0" encoding="utf-8"?>
<ds:datastoreItem xmlns:ds="http://schemas.openxmlformats.org/officeDocument/2006/customXml" ds:itemID="{6C0594F3-26D1-43F6-B3FA-578C13A3B0FA}"/>
</file>

<file path=customXml/itemProps3.xml><?xml version="1.0" encoding="utf-8"?>
<ds:datastoreItem xmlns:ds="http://schemas.openxmlformats.org/officeDocument/2006/customXml" ds:itemID="{94B7766A-4AFD-454A-8C08-BBF96611E5A8}"/>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Company>MONYGroup</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Hands</dc:creator>
  <cp:keywords/>
  <dc:description/>
  <cp:lastModifiedBy>Victoria Hands</cp:lastModifiedBy>
  <cp:revision>1</cp:revision>
  <dcterms:created xsi:type="dcterms:W3CDTF">2026-04-29T16:30:00Z</dcterms:created>
  <dcterms:modified xsi:type="dcterms:W3CDTF">2026-04-29T16:31:00Z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232e3478,156cb4fb,340db087</vt:lpwstr>
  </property>
  <property fmtid="{D5CDD505-2E9C-101B-9397-08002B2CF9AE}" pid="3" name="ClassificationContentMarkingFooterFontProps">
    <vt:lpwstr>#000000,10,Aptos</vt:lpwstr>
  </property>
  <property fmtid="{D5CDD505-2E9C-101B-9397-08002B2CF9AE}" pid="4" name="ClassificationContentMarkingFooterText">
    <vt:lpwstr>[CLASSIFICATION: CONFIDENTIAL]</vt:lpwstr>
  </property>
  <property fmtid="{D5CDD505-2E9C-101B-9397-08002B2CF9AE}" pid="5" name="MSIP_Label_ccf25fe2-eb40-4143-af0c-2dc44b1b6322_Enabled">
    <vt:lpwstr>true</vt:lpwstr>
  </property>
  <property fmtid="{D5CDD505-2E9C-101B-9397-08002B2CF9AE}" pid="6" name="MSIP_Label_ccf25fe2-eb40-4143-af0c-2dc44b1b6322_SetDate">
    <vt:lpwstr>2026-04-29T16:31:33Z</vt:lpwstr>
  </property>
  <property fmtid="{D5CDD505-2E9C-101B-9397-08002B2CF9AE}" pid="7" name="MSIP_Label_ccf25fe2-eb40-4143-af0c-2dc44b1b6322_Method">
    <vt:lpwstr>Privileged</vt:lpwstr>
  </property>
  <property fmtid="{D5CDD505-2E9C-101B-9397-08002B2CF9AE}" pid="8" name="MSIP_Label_ccf25fe2-eb40-4143-af0c-2dc44b1b6322_Name">
    <vt:lpwstr>CONFIDENTIAL</vt:lpwstr>
  </property>
  <property fmtid="{D5CDD505-2E9C-101B-9397-08002B2CF9AE}" pid="9" name="MSIP_Label_ccf25fe2-eb40-4143-af0c-2dc44b1b6322_SiteId">
    <vt:lpwstr>cc9ac222-431d-48f9-9fac-afc0ae0cc73c</vt:lpwstr>
  </property>
  <property fmtid="{D5CDD505-2E9C-101B-9397-08002B2CF9AE}" pid="10" name="MSIP_Label_ccf25fe2-eb40-4143-af0c-2dc44b1b6322_ActionId">
    <vt:lpwstr>182e4598-1ed6-47bb-87b6-5d153e768445</vt:lpwstr>
  </property>
  <property fmtid="{D5CDD505-2E9C-101B-9397-08002B2CF9AE}" pid="11" name="MSIP_Label_ccf25fe2-eb40-4143-af0c-2dc44b1b6322_ContentBits">
    <vt:lpwstr>2</vt:lpwstr>
  </property>
  <property fmtid="{D5CDD505-2E9C-101B-9397-08002B2CF9AE}" pid="12" name="MSIP_Label_ccf25fe2-eb40-4143-af0c-2dc44b1b6322_Tag">
    <vt:lpwstr>10, 0, 1, 1</vt:lpwstr>
  </property>
  <property fmtid="{D5CDD505-2E9C-101B-9397-08002B2CF9AE}" pid="13" name="ContentTypeId">
    <vt:lpwstr>0x0101003E2C8315C5BAFC4185F1C6975D0FBF8A</vt:lpwstr>
  </property>
</Properties>
</file>