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6C42F" w14:textId="77777777" w:rsidR="002F5AA5" w:rsidRPr="002F5AA5" w:rsidRDefault="002F5AA5" w:rsidP="002F5AA5">
      <w:pPr>
        <w:spacing w:after="0" w:line="240" w:lineRule="auto"/>
        <w:jc w:val="both"/>
        <w:rPr>
          <w:rFonts w:eastAsia="Times New Roman" w:cs="Arial"/>
          <w:b/>
          <w:lang w:eastAsia="en-GB"/>
        </w:rPr>
      </w:pPr>
      <w:r w:rsidRPr="002F5AA5">
        <w:rPr>
          <w:rFonts w:eastAsia="Times New Roman" w:cs="Arial"/>
          <w:b/>
          <w:lang w:eastAsia="en-GB"/>
        </w:rPr>
        <w:t>DOMINO’S PIZZA GROUP PLC</w:t>
      </w:r>
    </w:p>
    <w:p w14:paraId="3E70F9AB" w14:textId="77777777" w:rsidR="002F5AA5" w:rsidRPr="002F5AA5" w:rsidRDefault="002F5AA5" w:rsidP="002F5AA5">
      <w:pPr>
        <w:spacing w:after="0" w:line="240" w:lineRule="auto"/>
        <w:jc w:val="both"/>
        <w:rPr>
          <w:rFonts w:eastAsia="Times New Roman" w:cs="Arial"/>
          <w:b/>
          <w:lang w:eastAsia="en-GB"/>
        </w:rPr>
      </w:pPr>
    </w:p>
    <w:p w14:paraId="4DC9669F" w14:textId="511CC147" w:rsidR="008C5D5F" w:rsidRDefault="002F5AA5" w:rsidP="002F5AA5">
      <w:pPr>
        <w:spacing w:after="0" w:line="240" w:lineRule="auto"/>
        <w:jc w:val="both"/>
        <w:rPr>
          <w:rFonts w:eastAsia="Times New Roman" w:cs="Arial"/>
          <w:b/>
          <w:lang w:eastAsia="en-GB"/>
        </w:rPr>
      </w:pPr>
      <w:r w:rsidRPr="002F5AA5">
        <w:rPr>
          <w:rFonts w:eastAsia="Times New Roman" w:cs="Arial"/>
          <w:b/>
          <w:lang w:eastAsia="en-GB"/>
        </w:rPr>
        <w:t xml:space="preserve">Domino’s Pizza Group plc (the ‘Company’) hereby confirms that the following Special Resolutions were approved  by its shareholders at the Company’s Annual General Meeting held on </w:t>
      </w:r>
      <w:r>
        <w:rPr>
          <w:rFonts w:eastAsia="Times New Roman" w:cs="Arial"/>
          <w:b/>
          <w:lang w:eastAsia="en-GB"/>
        </w:rPr>
        <w:t>17 June 2020</w:t>
      </w:r>
      <w:r w:rsidRPr="002F5AA5">
        <w:rPr>
          <w:rFonts w:eastAsia="Times New Roman" w:cs="Arial"/>
          <w:b/>
          <w:lang w:eastAsia="en-GB"/>
        </w:rPr>
        <w:t>:</w:t>
      </w:r>
    </w:p>
    <w:p w14:paraId="0EDB5BEB" w14:textId="77777777" w:rsidR="002F5AA5" w:rsidRPr="008C5D5F" w:rsidRDefault="002F5AA5" w:rsidP="002F5AA5">
      <w:pPr>
        <w:spacing w:after="0" w:line="240" w:lineRule="auto"/>
        <w:jc w:val="both"/>
        <w:rPr>
          <w:rFonts w:eastAsia="Times New Roman" w:cs="Arial"/>
          <w:lang w:eastAsia="en-GB"/>
        </w:rPr>
      </w:pPr>
    </w:p>
    <w:p w14:paraId="4272D1DB" w14:textId="73B9662A" w:rsidR="008C5D5F" w:rsidRPr="008C5D5F" w:rsidRDefault="008C5D5F" w:rsidP="00530681">
      <w:pPr>
        <w:pStyle w:val="Subhead4Forfigsover"/>
        <w:keepNext w:val="0"/>
        <w:tabs>
          <w:tab w:val="left" w:pos="567"/>
          <w:tab w:val="left" w:pos="1134"/>
          <w:tab w:val="left" w:pos="1701"/>
        </w:tabs>
        <w:spacing w:line="240" w:lineRule="auto"/>
        <w:ind w:left="567" w:hanging="567"/>
        <w:jc w:val="both"/>
        <w:rPr>
          <w:rFonts w:asciiTheme="minorHAnsi" w:hAnsiTheme="minorHAnsi" w:cs="Trade Gothic LT Com"/>
          <w:i/>
          <w:iCs/>
          <w:color w:val="auto"/>
          <w:sz w:val="22"/>
          <w:szCs w:val="22"/>
        </w:rPr>
      </w:pPr>
      <w:r w:rsidRPr="008C5D5F">
        <w:rPr>
          <w:rFonts w:asciiTheme="minorHAnsi" w:hAnsiTheme="minorHAnsi" w:cs="Trade Gothic LT Com"/>
          <w:i/>
          <w:iCs/>
          <w:color w:val="auto"/>
          <w:sz w:val="22"/>
          <w:szCs w:val="22"/>
        </w:rPr>
        <w:t xml:space="preserve">Resolution </w:t>
      </w:r>
      <w:r w:rsidR="00BD4C59">
        <w:rPr>
          <w:rFonts w:asciiTheme="minorHAnsi" w:hAnsiTheme="minorHAnsi" w:cs="Trade Gothic LT Com"/>
          <w:i/>
          <w:iCs/>
          <w:color w:val="auto"/>
          <w:sz w:val="22"/>
          <w:szCs w:val="22"/>
        </w:rPr>
        <w:t>14</w:t>
      </w:r>
      <w:r w:rsidRPr="008C5D5F">
        <w:rPr>
          <w:rFonts w:asciiTheme="minorHAnsi" w:hAnsiTheme="minorHAnsi" w:cs="Trade Gothic LT Com"/>
          <w:i/>
          <w:iCs/>
          <w:color w:val="auto"/>
          <w:sz w:val="22"/>
          <w:szCs w:val="22"/>
        </w:rPr>
        <w:t xml:space="preserve"> – Disapplication of pre-emption rights (as a Special Resolution)</w:t>
      </w:r>
    </w:p>
    <w:p w14:paraId="1CBECFB8" w14:textId="77777777" w:rsidR="00530681" w:rsidRPr="00E728CE" w:rsidRDefault="00530681" w:rsidP="00530681">
      <w:pPr>
        <w:pStyle w:val="TextForfigsover"/>
        <w:tabs>
          <w:tab w:val="left" w:pos="0"/>
          <w:tab w:val="left" w:pos="1134"/>
          <w:tab w:val="left" w:pos="1701"/>
        </w:tabs>
        <w:spacing w:after="0" w:line="240" w:lineRule="auto"/>
        <w:jc w:val="both"/>
        <w:rPr>
          <w:rFonts w:asciiTheme="minorHAnsi" w:hAnsiTheme="minorHAnsi"/>
          <w:color w:val="auto"/>
          <w:sz w:val="22"/>
          <w:szCs w:val="22"/>
        </w:rPr>
      </w:pPr>
    </w:p>
    <w:p w14:paraId="7073D857" w14:textId="455A8F86" w:rsidR="00530681" w:rsidRPr="00E728CE" w:rsidRDefault="00BD4C59" w:rsidP="00BD4C59">
      <w:pPr>
        <w:pStyle w:val="TextForfigsover"/>
        <w:tabs>
          <w:tab w:val="left" w:pos="0"/>
          <w:tab w:val="left" w:pos="1134"/>
          <w:tab w:val="left" w:pos="1701"/>
        </w:tabs>
        <w:spacing w:after="0" w:line="240" w:lineRule="auto"/>
        <w:jc w:val="both"/>
        <w:rPr>
          <w:rFonts w:asciiTheme="minorHAnsi" w:hAnsiTheme="minorHAnsi"/>
          <w:color w:val="auto"/>
          <w:sz w:val="22"/>
          <w:szCs w:val="22"/>
        </w:rPr>
      </w:pPr>
      <w:r w:rsidRPr="00BD4C59">
        <w:rPr>
          <w:rFonts w:asciiTheme="minorHAnsi" w:hAnsiTheme="minorHAnsi"/>
          <w:color w:val="auto"/>
          <w:sz w:val="22"/>
          <w:szCs w:val="22"/>
        </w:rPr>
        <w:t>THAT (subject to the passing of resolution 12) the Directors of</w:t>
      </w:r>
      <w:r>
        <w:rPr>
          <w:rFonts w:asciiTheme="minorHAnsi" w:hAnsiTheme="minorHAnsi"/>
          <w:color w:val="auto"/>
          <w:sz w:val="22"/>
          <w:szCs w:val="22"/>
        </w:rPr>
        <w:t xml:space="preserve"> </w:t>
      </w:r>
      <w:r w:rsidRPr="00BD4C59">
        <w:rPr>
          <w:rFonts w:asciiTheme="minorHAnsi" w:hAnsiTheme="minorHAnsi"/>
          <w:color w:val="auto"/>
          <w:sz w:val="22"/>
          <w:szCs w:val="22"/>
        </w:rPr>
        <w:t>the Company be and are authorised to allot equity securities</w:t>
      </w:r>
      <w:r>
        <w:rPr>
          <w:rFonts w:asciiTheme="minorHAnsi" w:hAnsiTheme="minorHAnsi"/>
          <w:color w:val="auto"/>
          <w:sz w:val="22"/>
          <w:szCs w:val="22"/>
        </w:rPr>
        <w:t xml:space="preserve"> </w:t>
      </w:r>
      <w:r w:rsidRPr="00BD4C59">
        <w:rPr>
          <w:rFonts w:asciiTheme="minorHAnsi" w:hAnsiTheme="minorHAnsi"/>
          <w:color w:val="auto"/>
          <w:sz w:val="22"/>
          <w:szCs w:val="22"/>
        </w:rPr>
        <w:t>(as defined in section 560 of the 2006 Act) for cash under the</w:t>
      </w:r>
      <w:r>
        <w:rPr>
          <w:rFonts w:asciiTheme="minorHAnsi" w:hAnsiTheme="minorHAnsi"/>
          <w:color w:val="auto"/>
          <w:sz w:val="22"/>
          <w:szCs w:val="22"/>
        </w:rPr>
        <w:t xml:space="preserve"> </w:t>
      </w:r>
      <w:r w:rsidRPr="00BD4C59">
        <w:rPr>
          <w:rFonts w:asciiTheme="minorHAnsi" w:hAnsiTheme="minorHAnsi"/>
          <w:color w:val="auto"/>
          <w:sz w:val="22"/>
          <w:szCs w:val="22"/>
        </w:rPr>
        <w:t>authority given by resolution 12 and/or to sell Ordinary shares</w:t>
      </w:r>
      <w:r>
        <w:rPr>
          <w:rFonts w:asciiTheme="minorHAnsi" w:hAnsiTheme="minorHAnsi"/>
          <w:color w:val="auto"/>
          <w:sz w:val="22"/>
          <w:szCs w:val="22"/>
        </w:rPr>
        <w:t xml:space="preserve"> </w:t>
      </w:r>
      <w:r w:rsidRPr="00BD4C59">
        <w:rPr>
          <w:rFonts w:asciiTheme="minorHAnsi" w:hAnsiTheme="minorHAnsi"/>
          <w:color w:val="auto"/>
          <w:sz w:val="22"/>
          <w:szCs w:val="22"/>
        </w:rPr>
        <w:t>held by the Company as treasury shares for cash as if section</w:t>
      </w:r>
      <w:r>
        <w:rPr>
          <w:rFonts w:asciiTheme="minorHAnsi" w:hAnsiTheme="minorHAnsi"/>
          <w:color w:val="auto"/>
          <w:sz w:val="22"/>
          <w:szCs w:val="22"/>
        </w:rPr>
        <w:t xml:space="preserve"> </w:t>
      </w:r>
      <w:r w:rsidRPr="00BD4C59">
        <w:rPr>
          <w:rFonts w:asciiTheme="minorHAnsi" w:hAnsiTheme="minorHAnsi"/>
          <w:color w:val="auto"/>
          <w:sz w:val="22"/>
          <w:szCs w:val="22"/>
        </w:rPr>
        <w:t>561 of the 2006 Act did not apply to any such allotment or sale,</w:t>
      </w:r>
      <w:r>
        <w:rPr>
          <w:rFonts w:asciiTheme="minorHAnsi" w:hAnsiTheme="minorHAnsi"/>
          <w:color w:val="auto"/>
          <w:sz w:val="22"/>
          <w:szCs w:val="22"/>
        </w:rPr>
        <w:t xml:space="preserve"> </w:t>
      </w:r>
      <w:r w:rsidRPr="00BD4C59">
        <w:rPr>
          <w:rFonts w:asciiTheme="minorHAnsi" w:hAnsiTheme="minorHAnsi"/>
          <w:color w:val="auto"/>
          <w:sz w:val="22"/>
          <w:szCs w:val="22"/>
        </w:rPr>
        <w:t>provided that such authority be limited:</w:t>
      </w:r>
    </w:p>
    <w:p w14:paraId="132DE830" w14:textId="3613BA2B" w:rsidR="00E728CE" w:rsidRPr="00E728CE" w:rsidRDefault="00E728CE" w:rsidP="00530681">
      <w:pPr>
        <w:pStyle w:val="TextForfigsover"/>
        <w:tabs>
          <w:tab w:val="left" w:pos="0"/>
          <w:tab w:val="left" w:pos="1134"/>
          <w:tab w:val="left" w:pos="1701"/>
        </w:tabs>
        <w:spacing w:after="0" w:line="240" w:lineRule="auto"/>
        <w:jc w:val="both"/>
        <w:rPr>
          <w:rFonts w:asciiTheme="minorHAnsi" w:hAnsiTheme="minorHAnsi"/>
          <w:color w:val="auto"/>
          <w:sz w:val="22"/>
          <w:szCs w:val="22"/>
        </w:rPr>
      </w:pPr>
    </w:p>
    <w:p w14:paraId="42AA459A" w14:textId="017F95C6" w:rsidR="00BD4C59" w:rsidRPr="009947F2" w:rsidRDefault="00BD4C59" w:rsidP="00BD4C59">
      <w:pPr>
        <w:pStyle w:val="TextForfigsover"/>
        <w:numPr>
          <w:ilvl w:val="0"/>
          <w:numId w:val="12"/>
        </w:numPr>
        <w:tabs>
          <w:tab w:val="left" w:pos="0"/>
          <w:tab w:val="left" w:pos="1134"/>
          <w:tab w:val="left" w:pos="1701"/>
        </w:tabs>
        <w:spacing w:after="0" w:line="240" w:lineRule="auto"/>
        <w:jc w:val="both"/>
        <w:rPr>
          <w:rFonts w:asciiTheme="minorHAnsi" w:hAnsiTheme="minorHAnsi"/>
          <w:color w:val="auto"/>
          <w:sz w:val="22"/>
          <w:szCs w:val="22"/>
        </w:rPr>
      </w:pPr>
      <w:r w:rsidRPr="00BD4C59">
        <w:rPr>
          <w:rFonts w:asciiTheme="minorHAnsi" w:hAnsiTheme="minorHAnsi" w:cstheme="minorBidi"/>
          <w:color w:val="auto"/>
          <w:sz w:val="22"/>
          <w:szCs w:val="22"/>
        </w:rPr>
        <w:t>to the allotment of equity securities or sale of treasury shares in connection with a rights issue, open offer or any other pre-emptive offer in favour of the Ordinary shareholders and in favour of all holders of any other class of equity security in accordance with the rights attached to such class where the equity securities respectively attributable to the interests of all such persons on a fixed record date are proportionate (as nearly as may be) to the respective numbers of equity securities held by them or are otherwise allotted in accordance with the rights attaching to such equity securities (subject in either case to such exclusions or other arrangements as the Board may deem necessary or appropriate to deal with any treasury shares, fractional entitlements, record dates, legal, regulatory or practical problems arising in, or under the laws of, any territory or the requirements of any regulatory body or stock exchange in</w:t>
      </w:r>
      <w:r>
        <w:rPr>
          <w:rFonts w:asciiTheme="minorHAnsi" w:hAnsiTheme="minorHAnsi" w:cstheme="minorBidi"/>
          <w:color w:val="auto"/>
          <w:sz w:val="22"/>
          <w:szCs w:val="22"/>
        </w:rPr>
        <w:t xml:space="preserve"> </w:t>
      </w:r>
      <w:r w:rsidRPr="00BD4C59">
        <w:rPr>
          <w:rFonts w:asciiTheme="minorHAnsi" w:hAnsiTheme="minorHAnsi" w:cstheme="minorBidi"/>
          <w:color w:val="auto"/>
          <w:sz w:val="22"/>
          <w:szCs w:val="22"/>
        </w:rPr>
        <w:t>any territory or any other matter whatsoever) and</w:t>
      </w:r>
    </w:p>
    <w:p w14:paraId="209DD9A7" w14:textId="77777777" w:rsidR="009947F2" w:rsidRDefault="009947F2" w:rsidP="009947F2">
      <w:pPr>
        <w:pStyle w:val="TextForfigsover"/>
        <w:tabs>
          <w:tab w:val="left" w:pos="0"/>
          <w:tab w:val="left" w:pos="1134"/>
          <w:tab w:val="left" w:pos="1701"/>
        </w:tabs>
        <w:spacing w:after="0" w:line="240" w:lineRule="auto"/>
        <w:ind w:left="720"/>
        <w:jc w:val="both"/>
        <w:rPr>
          <w:rFonts w:asciiTheme="minorHAnsi" w:hAnsiTheme="minorHAnsi"/>
          <w:color w:val="auto"/>
          <w:sz w:val="22"/>
          <w:szCs w:val="22"/>
        </w:rPr>
      </w:pPr>
    </w:p>
    <w:p w14:paraId="512757CC" w14:textId="4A5B0363" w:rsidR="00BD4C59" w:rsidRPr="00BD4C59" w:rsidRDefault="00BD4C59" w:rsidP="00226FBC">
      <w:pPr>
        <w:pStyle w:val="TextForfigsover"/>
        <w:numPr>
          <w:ilvl w:val="0"/>
          <w:numId w:val="12"/>
        </w:numPr>
        <w:tabs>
          <w:tab w:val="left" w:pos="0"/>
          <w:tab w:val="left" w:pos="1134"/>
          <w:tab w:val="left" w:pos="1701"/>
        </w:tabs>
        <w:spacing w:after="0" w:line="240" w:lineRule="auto"/>
        <w:jc w:val="both"/>
        <w:rPr>
          <w:rFonts w:asciiTheme="minorHAnsi" w:hAnsiTheme="minorHAnsi"/>
          <w:color w:val="auto"/>
          <w:sz w:val="22"/>
          <w:szCs w:val="22"/>
        </w:rPr>
      </w:pPr>
      <w:r w:rsidRPr="00BD4C59">
        <w:rPr>
          <w:rFonts w:asciiTheme="minorHAnsi" w:hAnsiTheme="minorHAnsi"/>
          <w:color w:val="auto"/>
          <w:sz w:val="22"/>
          <w:szCs w:val="22"/>
        </w:rPr>
        <w:t>to the allotment of equity securities or sale of treasury shares (otherwise than under paragraph (a) above) up to a nominal amount of £120,372 (representing not more than 5% of the Company’s issued ordinary share capital as at 11 May 2020, being the last practicable date prior to the publication of the</w:t>
      </w:r>
      <w:r>
        <w:rPr>
          <w:rFonts w:asciiTheme="minorHAnsi" w:hAnsiTheme="minorHAnsi"/>
          <w:color w:val="auto"/>
          <w:sz w:val="22"/>
          <w:szCs w:val="22"/>
        </w:rPr>
        <w:t xml:space="preserve"> </w:t>
      </w:r>
      <w:r w:rsidRPr="00BD4C59">
        <w:rPr>
          <w:rFonts w:asciiTheme="minorHAnsi" w:hAnsiTheme="minorHAnsi"/>
          <w:color w:val="auto"/>
          <w:sz w:val="22"/>
          <w:szCs w:val="22"/>
        </w:rPr>
        <w:t>Notice of AGM).</w:t>
      </w:r>
    </w:p>
    <w:p w14:paraId="13318E89" w14:textId="6F35E70C" w:rsidR="00BD4C59" w:rsidRDefault="00BD4C59" w:rsidP="00530681">
      <w:pPr>
        <w:pStyle w:val="Subhead4Forfigsover"/>
        <w:keepNext w:val="0"/>
        <w:tabs>
          <w:tab w:val="left" w:pos="567"/>
          <w:tab w:val="left" w:pos="1134"/>
          <w:tab w:val="left" w:pos="1701"/>
        </w:tabs>
        <w:spacing w:line="240" w:lineRule="auto"/>
        <w:ind w:left="567" w:hanging="567"/>
        <w:jc w:val="both"/>
        <w:rPr>
          <w:rFonts w:asciiTheme="minorHAnsi" w:hAnsiTheme="minorHAnsi" w:cs="Trade Gothic LT Com"/>
          <w:color w:val="auto"/>
          <w:sz w:val="22"/>
          <w:szCs w:val="22"/>
        </w:rPr>
      </w:pPr>
    </w:p>
    <w:p w14:paraId="01EDA9EE" w14:textId="35B38548" w:rsidR="00BD4C59" w:rsidRPr="00BD4C59" w:rsidRDefault="00BD4C59" w:rsidP="009947F2">
      <w:pPr>
        <w:pStyle w:val="Subhead4Forfigsover"/>
        <w:tabs>
          <w:tab w:val="left" w:pos="0"/>
          <w:tab w:val="left" w:pos="1134"/>
          <w:tab w:val="left" w:pos="1701"/>
        </w:tabs>
        <w:spacing w:line="240" w:lineRule="auto"/>
        <w:jc w:val="both"/>
        <w:rPr>
          <w:rFonts w:asciiTheme="minorHAnsi" w:hAnsiTheme="minorHAnsi" w:cs="Trade Gothic LT Com"/>
          <w:b w:val="0"/>
          <w:bCs w:val="0"/>
          <w:color w:val="auto"/>
          <w:sz w:val="22"/>
          <w:szCs w:val="22"/>
        </w:rPr>
      </w:pPr>
      <w:r w:rsidRPr="00BD4C59">
        <w:rPr>
          <w:rFonts w:asciiTheme="minorHAnsi" w:hAnsiTheme="minorHAnsi" w:cs="Trade Gothic LT Com"/>
          <w:b w:val="0"/>
          <w:bCs w:val="0"/>
          <w:color w:val="auto"/>
          <w:sz w:val="22"/>
          <w:szCs w:val="22"/>
        </w:rPr>
        <w:t>The authority hereby conferred shall expire at the conclusion</w:t>
      </w:r>
      <w:r>
        <w:rPr>
          <w:rFonts w:asciiTheme="minorHAnsi" w:hAnsiTheme="minorHAnsi" w:cs="Trade Gothic LT Com"/>
          <w:b w:val="0"/>
          <w:bCs w:val="0"/>
          <w:color w:val="auto"/>
          <w:sz w:val="22"/>
          <w:szCs w:val="22"/>
        </w:rPr>
        <w:t xml:space="preserve"> </w:t>
      </w:r>
      <w:r w:rsidRPr="00BD4C59">
        <w:rPr>
          <w:rFonts w:asciiTheme="minorHAnsi" w:hAnsiTheme="minorHAnsi" w:cs="Trade Gothic LT Com"/>
          <w:b w:val="0"/>
          <w:bCs w:val="0"/>
          <w:color w:val="auto"/>
          <w:sz w:val="22"/>
          <w:szCs w:val="22"/>
        </w:rPr>
        <w:t>of the Annual General Meeting of the Company to be held in</w:t>
      </w:r>
      <w:r w:rsidR="009947F2">
        <w:rPr>
          <w:rFonts w:asciiTheme="minorHAnsi" w:hAnsiTheme="minorHAnsi" w:cs="Trade Gothic LT Com"/>
          <w:b w:val="0"/>
          <w:bCs w:val="0"/>
          <w:color w:val="auto"/>
          <w:sz w:val="22"/>
          <w:szCs w:val="22"/>
        </w:rPr>
        <w:t xml:space="preserve"> </w:t>
      </w:r>
      <w:r w:rsidRPr="00BD4C59">
        <w:rPr>
          <w:rFonts w:asciiTheme="minorHAnsi" w:hAnsiTheme="minorHAnsi" w:cs="Trade Gothic LT Com"/>
          <w:b w:val="0"/>
          <w:bCs w:val="0"/>
          <w:color w:val="auto"/>
          <w:sz w:val="22"/>
          <w:szCs w:val="22"/>
        </w:rPr>
        <w:t>2021, or, if earlier, 15 months from the date of the passing of</w:t>
      </w:r>
      <w:r w:rsidR="009947F2">
        <w:rPr>
          <w:rFonts w:asciiTheme="minorHAnsi" w:hAnsiTheme="minorHAnsi" w:cs="Trade Gothic LT Com"/>
          <w:b w:val="0"/>
          <w:bCs w:val="0"/>
          <w:color w:val="auto"/>
          <w:sz w:val="22"/>
          <w:szCs w:val="22"/>
        </w:rPr>
        <w:t xml:space="preserve"> </w:t>
      </w:r>
      <w:r w:rsidRPr="00BD4C59">
        <w:rPr>
          <w:rFonts w:asciiTheme="minorHAnsi" w:hAnsiTheme="minorHAnsi" w:cs="Trade Gothic LT Com"/>
          <w:b w:val="0"/>
          <w:bCs w:val="0"/>
          <w:color w:val="auto"/>
          <w:sz w:val="22"/>
          <w:szCs w:val="22"/>
        </w:rPr>
        <w:t>this resolution, unless such authority is renewed prior to such</w:t>
      </w:r>
      <w:r w:rsidR="009947F2">
        <w:rPr>
          <w:rFonts w:asciiTheme="minorHAnsi" w:hAnsiTheme="minorHAnsi" w:cs="Trade Gothic LT Com"/>
          <w:b w:val="0"/>
          <w:bCs w:val="0"/>
          <w:color w:val="auto"/>
          <w:sz w:val="22"/>
          <w:szCs w:val="22"/>
        </w:rPr>
        <w:t xml:space="preserve"> </w:t>
      </w:r>
      <w:r w:rsidRPr="00BD4C59">
        <w:rPr>
          <w:rFonts w:asciiTheme="minorHAnsi" w:hAnsiTheme="minorHAnsi" w:cs="Trade Gothic LT Com"/>
          <w:b w:val="0"/>
          <w:bCs w:val="0"/>
          <w:color w:val="auto"/>
          <w:sz w:val="22"/>
          <w:szCs w:val="22"/>
        </w:rPr>
        <w:t>time. Under the authority hereby conferred, the Directors of the</w:t>
      </w:r>
      <w:r w:rsidR="009947F2">
        <w:rPr>
          <w:rFonts w:asciiTheme="minorHAnsi" w:hAnsiTheme="minorHAnsi" w:cs="Trade Gothic LT Com"/>
          <w:b w:val="0"/>
          <w:bCs w:val="0"/>
          <w:color w:val="auto"/>
          <w:sz w:val="22"/>
          <w:szCs w:val="22"/>
        </w:rPr>
        <w:t xml:space="preserve"> </w:t>
      </w:r>
      <w:r w:rsidRPr="00BD4C59">
        <w:rPr>
          <w:rFonts w:asciiTheme="minorHAnsi" w:hAnsiTheme="minorHAnsi" w:cs="Trade Gothic LT Com"/>
          <w:b w:val="0"/>
          <w:bCs w:val="0"/>
          <w:color w:val="auto"/>
          <w:sz w:val="22"/>
          <w:szCs w:val="22"/>
        </w:rPr>
        <w:t>Company may, before such expiry, make an offer or agreement</w:t>
      </w:r>
      <w:r w:rsidR="009947F2">
        <w:rPr>
          <w:rFonts w:asciiTheme="minorHAnsi" w:hAnsiTheme="minorHAnsi" w:cs="Trade Gothic LT Com"/>
          <w:b w:val="0"/>
          <w:bCs w:val="0"/>
          <w:color w:val="auto"/>
          <w:sz w:val="22"/>
          <w:szCs w:val="22"/>
        </w:rPr>
        <w:t xml:space="preserve"> </w:t>
      </w:r>
      <w:r w:rsidRPr="00BD4C59">
        <w:rPr>
          <w:rFonts w:asciiTheme="minorHAnsi" w:hAnsiTheme="minorHAnsi" w:cs="Trade Gothic LT Com"/>
          <w:b w:val="0"/>
          <w:bCs w:val="0"/>
          <w:color w:val="auto"/>
          <w:sz w:val="22"/>
          <w:szCs w:val="22"/>
        </w:rPr>
        <w:t>which would or might require shares to be allotted or rights</w:t>
      </w:r>
      <w:r w:rsidR="009947F2">
        <w:rPr>
          <w:rFonts w:asciiTheme="minorHAnsi" w:hAnsiTheme="minorHAnsi" w:cs="Trade Gothic LT Com"/>
          <w:b w:val="0"/>
          <w:bCs w:val="0"/>
          <w:color w:val="auto"/>
          <w:sz w:val="22"/>
          <w:szCs w:val="22"/>
        </w:rPr>
        <w:t xml:space="preserve"> </w:t>
      </w:r>
      <w:r w:rsidRPr="00BD4C59">
        <w:rPr>
          <w:rFonts w:asciiTheme="minorHAnsi" w:hAnsiTheme="minorHAnsi" w:cs="Trade Gothic LT Com"/>
          <w:b w:val="0"/>
          <w:bCs w:val="0"/>
          <w:color w:val="auto"/>
          <w:sz w:val="22"/>
          <w:szCs w:val="22"/>
        </w:rPr>
        <w:t>to subscribe for, or convert any security into, shares (and</w:t>
      </w:r>
      <w:r w:rsidR="009947F2">
        <w:rPr>
          <w:rFonts w:asciiTheme="minorHAnsi" w:hAnsiTheme="minorHAnsi" w:cs="Trade Gothic LT Com"/>
          <w:b w:val="0"/>
          <w:bCs w:val="0"/>
          <w:color w:val="auto"/>
          <w:sz w:val="22"/>
          <w:szCs w:val="22"/>
        </w:rPr>
        <w:t xml:space="preserve"> </w:t>
      </w:r>
      <w:r w:rsidRPr="00BD4C59">
        <w:rPr>
          <w:rFonts w:asciiTheme="minorHAnsi" w:hAnsiTheme="minorHAnsi" w:cs="Trade Gothic LT Com"/>
          <w:b w:val="0"/>
          <w:bCs w:val="0"/>
          <w:color w:val="auto"/>
          <w:sz w:val="22"/>
          <w:szCs w:val="22"/>
        </w:rPr>
        <w:t>treasury shares to be sold) after such expiry and the Directors</w:t>
      </w:r>
      <w:r w:rsidR="009947F2">
        <w:rPr>
          <w:rFonts w:asciiTheme="minorHAnsi" w:hAnsiTheme="minorHAnsi" w:cs="Trade Gothic LT Com"/>
          <w:b w:val="0"/>
          <w:bCs w:val="0"/>
          <w:color w:val="auto"/>
          <w:sz w:val="22"/>
          <w:szCs w:val="22"/>
        </w:rPr>
        <w:t xml:space="preserve"> </w:t>
      </w:r>
      <w:r w:rsidRPr="00BD4C59">
        <w:rPr>
          <w:rFonts w:asciiTheme="minorHAnsi" w:hAnsiTheme="minorHAnsi" w:cs="Trade Gothic LT Com"/>
          <w:b w:val="0"/>
          <w:bCs w:val="0"/>
          <w:color w:val="auto"/>
          <w:sz w:val="22"/>
          <w:szCs w:val="22"/>
        </w:rPr>
        <w:t>of the Company may allot shares or grant rights to subscribe</w:t>
      </w:r>
      <w:r w:rsidR="009947F2">
        <w:rPr>
          <w:rFonts w:asciiTheme="minorHAnsi" w:hAnsiTheme="minorHAnsi" w:cs="Trade Gothic LT Com"/>
          <w:b w:val="0"/>
          <w:bCs w:val="0"/>
          <w:color w:val="auto"/>
          <w:sz w:val="22"/>
          <w:szCs w:val="22"/>
        </w:rPr>
        <w:t xml:space="preserve"> </w:t>
      </w:r>
      <w:r w:rsidRPr="00BD4C59">
        <w:rPr>
          <w:rFonts w:asciiTheme="minorHAnsi" w:hAnsiTheme="minorHAnsi" w:cs="Trade Gothic LT Com"/>
          <w:b w:val="0"/>
          <w:bCs w:val="0"/>
          <w:color w:val="auto"/>
          <w:sz w:val="22"/>
          <w:szCs w:val="22"/>
        </w:rPr>
        <w:t>for, or convert any security into, shares (as the case may be)</w:t>
      </w:r>
      <w:r w:rsidR="009947F2">
        <w:rPr>
          <w:rFonts w:asciiTheme="minorHAnsi" w:hAnsiTheme="minorHAnsi" w:cs="Trade Gothic LT Com"/>
          <w:b w:val="0"/>
          <w:bCs w:val="0"/>
          <w:color w:val="auto"/>
          <w:sz w:val="22"/>
          <w:szCs w:val="22"/>
        </w:rPr>
        <w:t xml:space="preserve"> </w:t>
      </w:r>
      <w:r w:rsidRPr="00BD4C59">
        <w:rPr>
          <w:rFonts w:asciiTheme="minorHAnsi" w:hAnsiTheme="minorHAnsi" w:cs="Trade Gothic LT Com"/>
          <w:b w:val="0"/>
          <w:bCs w:val="0"/>
          <w:color w:val="auto"/>
          <w:sz w:val="22"/>
          <w:szCs w:val="22"/>
        </w:rPr>
        <w:t>in pursuance of such an offer or agreement as if the relevant</w:t>
      </w:r>
      <w:r w:rsidR="009947F2">
        <w:rPr>
          <w:rFonts w:asciiTheme="minorHAnsi" w:hAnsiTheme="minorHAnsi" w:cs="Trade Gothic LT Com"/>
          <w:b w:val="0"/>
          <w:bCs w:val="0"/>
          <w:color w:val="auto"/>
          <w:sz w:val="22"/>
          <w:szCs w:val="22"/>
        </w:rPr>
        <w:t xml:space="preserve"> </w:t>
      </w:r>
      <w:r w:rsidRPr="00BD4C59">
        <w:rPr>
          <w:rFonts w:asciiTheme="minorHAnsi" w:hAnsiTheme="minorHAnsi" w:cs="Trade Gothic LT Com"/>
          <w:b w:val="0"/>
          <w:bCs w:val="0"/>
          <w:color w:val="auto"/>
          <w:sz w:val="22"/>
          <w:szCs w:val="22"/>
        </w:rPr>
        <w:t>authority conferred in this resolution had not expired.</w:t>
      </w:r>
    </w:p>
    <w:p w14:paraId="5ADD5B52" w14:textId="77777777" w:rsidR="00BD4C59" w:rsidRPr="00BD4C59" w:rsidRDefault="00BD4C59" w:rsidP="00BD4C59">
      <w:pPr>
        <w:pStyle w:val="Subhead4Forfigsover"/>
        <w:keepNext w:val="0"/>
        <w:tabs>
          <w:tab w:val="left" w:pos="567"/>
          <w:tab w:val="left" w:pos="1134"/>
          <w:tab w:val="left" w:pos="1701"/>
        </w:tabs>
        <w:spacing w:line="240" w:lineRule="auto"/>
        <w:ind w:left="567" w:hanging="567"/>
        <w:jc w:val="both"/>
        <w:rPr>
          <w:rFonts w:asciiTheme="minorHAnsi" w:hAnsiTheme="minorHAnsi" w:cs="Trade Gothic LT Com"/>
          <w:color w:val="auto"/>
          <w:sz w:val="22"/>
          <w:szCs w:val="22"/>
        </w:rPr>
      </w:pPr>
    </w:p>
    <w:p w14:paraId="2845D308" w14:textId="5EA8CDAC" w:rsidR="00530681" w:rsidRPr="008C5D5F" w:rsidRDefault="00E728CE" w:rsidP="00530681">
      <w:pPr>
        <w:pStyle w:val="Subhead4Forfigsover"/>
        <w:keepNext w:val="0"/>
        <w:tabs>
          <w:tab w:val="left" w:pos="567"/>
          <w:tab w:val="left" w:pos="1134"/>
          <w:tab w:val="left" w:pos="1701"/>
        </w:tabs>
        <w:spacing w:line="240" w:lineRule="auto"/>
        <w:ind w:left="567" w:hanging="567"/>
        <w:jc w:val="both"/>
        <w:rPr>
          <w:rFonts w:asciiTheme="minorHAnsi" w:hAnsiTheme="minorHAnsi" w:cs="Trade Gothic LT Com"/>
          <w:i/>
          <w:iCs/>
          <w:color w:val="auto"/>
          <w:sz w:val="22"/>
          <w:szCs w:val="22"/>
        </w:rPr>
      </w:pPr>
      <w:r w:rsidRPr="00530681">
        <w:rPr>
          <w:rFonts w:asciiTheme="minorHAnsi" w:hAnsiTheme="minorHAnsi" w:cs="Trade Gothic LT Com"/>
          <w:i/>
          <w:iCs/>
          <w:color w:val="auto"/>
          <w:sz w:val="22"/>
          <w:szCs w:val="22"/>
        </w:rPr>
        <w:t>Resolution 1</w:t>
      </w:r>
      <w:r w:rsidR="00F13C50">
        <w:rPr>
          <w:rFonts w:asciiTheme="minorHAnsi" w:hAnsiTheme="minorHAnsi" w:cs="Trade Gothic LT Com"/>
          <w:i/>
          <w:iCs/>
          <w:color w:val="auto"/>
          <w:sz w:val="22"/>
          <w:szCs w:val="22"/>
        </w:rPr>
        <w:t>5</w:t>
      </w:r>
      <w:r w:rsidRPr="00530681">
        <w:rPr>
          <w:rFonts w:asciiTheme="minorHAnsi" w:hAnsiTheme="minorHAnsi" w:cs="Trade Gothic LT Com"/>
          <w:i/>
          <w:iCs/>
          <w:color w:val="auto"/>
          <w:sz w:val="22"/>
          <w:szCs w:val="22"/>
        </w:rPr>
        <w:t xml:space="preserve"> – Disapplication of pre-emption rights (additional authority)</w:t>
      </w:r>
      <w:r w:rsidR="00530681">
        <w:rPr>
          <w:rFonts w:asciiTheme="minorHAnsi" w:hAnsiTheme="minorHAnsi" w:cs="Trade Gothic LT Com"/>
          <w:i/>
          <w:iCs/>
          <w:color w:val="auto"/>
          <w:sz w:val="22"/>
          <w:szCs w:val="22"/>
        </w:rPr>
        <w:t xml:space="preserve"> </w:t>
      </w:r>
      <w:r w:rsidR="00530681" w:rsidRPr="008C5D5F">
        <w:rPr>
          <w:rFonts w:asciiTheme="minorHAnsi" w:hAnsiTheme="minorHAnsi" w:cs="Trade Gothic LT Com"/>
          <w:i/>
          <w:iCs/>
          <w:color w:val="auto"/>
          <w:sz w:val="22"/>
          <w:szCs w:val="22"/>
        </w:rPr>
        <w:t>(as a Special Resolution)</w:t>
      </w:r>
    </w:p>
    <w:p w14:paraId="4329FB5F" w14:textId="352A6677" w:rsidR="00E728CE" w:rsidRPr="00530681" w:rsidRDefault="00E728CE" w:rsidP="00530681">
      <w:pPr>
        <w:pStyle w:val="Subhead4Forfigsover"/>
        <w:keepNext w:val="0"/>
        <w:tabs>
          <w:tab w:val="left" w:pos="567"/>
          <w:tab w:val="left" w:pos="1134"/>
          <w:tab w:val="left" w:pos="1701"/>
        </w:tabs>
        <w:spacing w:line="240" w:lineRule="auto"/>
        <w:ind w:left="567" w:hanging="567"/>
        <w:jc w:val="both"/>
        <w:rPr>
          <w:rFonts w:asciiTheme="minorHAnsi" w:hAnsiTheme="minorHAnsi" w:cs="Trade Gothic LT Com"/>
          <w:i/>
          <w:iCs/>
          <w:color w:val="auto"/>
          <w:sz w:val="22"/>
          <w:szCs w:val="22"/>
        </w:rPr>
      </w:pPr>
    </w:p>
    <w:p w14:paraId="57834A4D" w14:textId="240DF952" w:rsidR="009947F2" w:rsidRDefault="009947F2" w:rsidP="009947F2">
      <w:pPr>
        <w:pStyle w:val="ListParagraph"/>
        <w:tabs>
          <w:tab w:val="left" w:pos="0"/>
          <w:tab w:val="left" w:pos="1134"/>
          <w:tab w:val="left" w:pos="1701"/>
        </w:tabs>
        <w:autoSpaceDE w:val="0"/>
        <w:autoSpaceDN w:val="0"/>
        <w:adjustRightInd w:val="0"/>
        <w:spacing w:line="240" w:lineRule="auto"/>
        <w:ind w:left="0"/>
        <w:jc w:val="both"/>
      </w:pPr>
      <w:r>
        <w:t>THAT (subject to the passing of resolution 12) the Directors of the Company be authorised in addition to any authority granted under resolution 14 to allot equity securities (as defined in the 2006 Act) for cash under the authority given by resolution 12 and/or to sell Ordinary shares held by the Company as treasury</w:t>
      </w:r>
    </w:p>
    <w:p w14:paraId="13B73767" w14:textId="62B38E05" w:rsidR="00530681" w:rsidRDefault="009947F2" w:rsidP="009947F2">
      <w:pPr>
        <w:pStyle w:val="ListParagraph"/>
        <w:tabs>
          <w:tab w:val="left" w:pos="0"/>
          <w:tab w:val="left" w:pos="1134"/>
          <w:tab w:val="left" w:pos="1701"/>
        </w:tabs>
        <w:autoSpaceDE w:val="0"/>
        <w:autoSpaceDN w:val="0"/>
        <w:adjustRightInd w:val="0"/>
        <w:spacing w:line="240" w:lineRule="auto"/>
        <w:ind w:left="0"/>
        <w:jc w:val="both"/>
      </w:pPr>
      <w:r>
        <w:t>shares for cash as if section 561 of the 2006 Act did not apply to any such allotment or sale, provided that such authority be:</w:t>
      </w:r>
    </w:p>
    <w:p w14:paraId="1D5C320E" w14:textId="77777777" w:rsidR="009947F2" w:rsidRDefault="009947F2" w:rsidP="009947F2">
      <w:pPr>
        <w:pStyle w:val="ListParagraph"/>
        <w:tabs>
          <w:tab w:val="left" w:pos="0"/>
          <w:tab w:val="left" w:pos="1134"/>
          <w:tab w:val="left" w:pos="1701"/>
        </w:tabs>
        <w:autoSpaceDE w:val="0"/>
        <w:autoSpaceDN w:val="0"/>
        <w:adjustRightInd w:val="0"/>
        <w:spacing w:line="240" w:lineRule="auto"/>
        <w:ind w:left="0"/>
        <w:jc w:val="both"/>
      </w:pPr>
    </w:p>
    <w:p w14:paraId="697E2523" w14:textId="6A3A7C4D" w:rsidR="00530681" w:rsidRDefault="009947F2" w:rsidP="000B7D54">
      <w:pPr>
        <w:pStyle w:val="ListParagraph"/>
        <w:numPr>
          <w:ilvl w:val="0"/>
          <w:numId w:val="13"/>
        </w:numPr>
        <w:tabs>
          <w:tab w:val="left" w:pos="0"/>
          <w:tab w:val="left" w:pos="1134"/>
          <w:tab w:val="left" w:pos="1701"/>
        </w:tabs>
        <w:autoSpaceDE w:val="0"/>
        <w:autoSpaceDN w:val="0"/>
        <w:adjustRightInd w:val="0"/>
        <w:spacing w:line="240" w:lineRule="auto"/>
        <w:ind w:left="786"/>
        <w:jc w:val="both"/>
      </w:pPr>
      <w:r>
        <w:t>limited to the allotment of equity securities or sale of treasury shares up to a nominal value of £120,372 (representing not more than 5% of the Company’s issued ordinary share capital as at 18 March 2020, being the last practicable date prior to the publication of the Notice of AGM); and</w:t>
      </w:r>
    </w:p>
    <w:p w14:paraId="60BF7AAD" w14:textId="77777777" w:rsidR="009947F2" w:rsidRDefault="009947F2" w:rsidP="009947F2">
      <w:pPr>
        <w:pStyle w:val="ListParagraph"/>
        <w:tabs>
          <w:tab w:val="left" w:pos="0"/>
          <w:tab w:val="left" w:pos="1134"/>
          <w:tab w:val="left" w:pos="1701"/>
        </w:tabs>
        <w:autoSpaceDE w:val="0"/>
        <w:autoSpaceDN w:val="0"/>
        <w:adjustRightInd w:val="0"/>
        <w:spacing w:line="240" w:lineRule="auto"/>
        <w:ind w:left="786"/>
        <w:jc w:val="both"/>
      </w:pPr>
    </w:p>
    <w:p w14:paraId="3C727D20" w14:textId="45B28D48" w:rsidR="009947F2" w:rsidRDefault="009947F2" w:rsidP="000709BF">
      <w:pPr>
        <w:pStyle w:val="ListParagraph"/>
        <w:numPr>
          <w:ilvl w:val="0"/>
          <w:numId w:val="13"/>
        </w:numPr>
        <w:tabs>
          <w:tab w:val="left" w:pos="0"/>
          <w:tab w:val="left" w:pos="1134"/>
          <w:tab w:val="left" w:pos="1701"/>
        </w:tabs>
        <w:autoSpaceDE w:val="0"/>
        <w:autoSpaceDN w:val="0"/>
        <w:adjustRightInd w:val="0"/>
        <w:spacing w:after="0" w:line="240" w:lineRule="auto"/>
        <w:ind w:left="786"/>
        <w:jc w:val="both"/>
      </w:pPr>
      <w:r>
        <w:t>used only for the purposes of financing (or refinancing, if the authority is to be used within six months after the original transaction) a transaction which the Directors of the Company determine to be an acquisition or other capital investment of a kind contemplated by the Statement of Principles on Disapplying Pre-Emption Rights most recently published by the Pre-Emption Group prior to the date of this Notice.</w:t>
      </w:r>
    </w:p>
    <w:p w14:paraId="6DE2E3D0" w14:textId="77777777" w:rsidR="009947F2" w:rsidRDefault="009947F2" w:rsidP="009947F2">
      <w:pPr>
        <w:tabs>
          <w:tab w:val="left" w:pos="0"/>
          <w:tab w:val="left" w:pos="1134"/>
          <w:tab w:val="left" w:pos="1701"/>
        </w:tabs>
        <w:autoSpaceDE w:val="0"/>
        <w:autoSpaceDN w:val="0"/>
        <w:adjustRightInd w:val="0"/>
        <w:spacing w:after="0" w:line="240" w:lineRule="auto"/>
        <w:jc w:val="both"/>
      </w:pPr>
    </w:p>
    <w:p w14:paraId="08A2FBF4" w14:textId="0E8D34CC" w:rsidR="00E728CE" w:rsidRPr="002978D6" w:rsidRDefault="00F13C50" w:rsidP="00F13C50">
      <w:pPr>
        <w:tabs>
          <w:tab w:val="left" w:pos="0"/>
          <w:tab w:val="left" w:pos="1134"/>
          <w:tab w:val="left" w:pos="1701"/>
        </w:tabs>
        <w:autoSpaceDE w:val="0"/>
        <w:autoSpaceDN w:val="0"/>
        <w:adjustRightInd w:val="0"/>
        <w:spacing w:after="0" w:line="240" w:lineRule="auto"/>
        <w:jc w:val="both"/>
      </w:pPr>
      <w:r>
        <w:t>The authority hereby conferred shall expire at the conclusion of the Annual General Meeting of the Company to be held in 2021 or, if earlier, 15 months from the date of the passing of this resolution, unless such authority is renewed prior to such time. Under the authority hereby conferred, Directors of the Company may, before such expiry, make offers or enter into agreements which would or might require shares to be allotted or rights to subscribe for, or convert any security into, shares (and treasury shares to be sold) after such expiry and the Directors of the Company may allot shares or grant rights to subscribe for, or convert any security into, shares (as the case may be) in pursuance of such an offer or agreement as if the relevant authority conferred in this resolution had not expired</w:t>
      </w:r>
      <w:r w:rsidR="00530681" w:rsidRPr="002978D6">
        <w:t>.</w:t>
      </w:r>
    </w:p>
    <w:p w14:paraId="36FC2FF4" w14:textId="77777777" w:rsidR="00E728CE" w:rsidRDefault="00E728CE" w:rsidP="00530681">
      <w:pPr>
        <w:pStyle w:val="TextForfigsover"/>
        <w:tabs>
          <w:tab w:val="left" w:pos="0"/>
          <w:tab w:val="left" w:pos="1134"/>
          <w:tab w:val="left" w:pos="1701"/>
        </w:tabs>
        <w:spacing w:after="0" w:line="240" w:lineRule="auto"/>
        <w:jc w:val="both"/>
        <w:rPr>
          <w:rFonts w:asciiTheme="minorHAnsi" w:hAnsiTheme="minorHAnsi"/>
          <w:color w:val="auto"/>
          <w:sz w:val="22"/>
          <w:szCs w:val="22"/>
        </w:rPr>
      </w:pPr>
    </w:p>
    <w:p w14:paraId="0275ECBE" w14:textId="1944B102" w:rsidR="00530681" w:rsidRDefault="00530681" w:rsidP="00530681">
      <w:pPr>
        <w:pStyle w:val="Subhead4Forfigsover"/>
        <w:tabs>
          <w:tab w:val="left" w:pos="567"/>
          <w:tab w:val="left" w:pos="1134"/>
          <w:tab w:val="left" w:pos="1701"/>
        </w:tabs>
        <w:spacing w:line="240" w:lineRule="auto"/>
        <w:ind w:left="567" w:hanging="567"/>
        <w:jc w:val="both"/>
        <w:rPr>
          <w:rFonts w:asciiTheme="minorHAnsi" w:hAnsiTheme="minorHAnsi" w:cs="Trade Gothic LT Com"/>
          <w:i/>
          <w:iCs/>
          <w:color w:val="auto"/>
          <w:sz w:val="22"/>
          <w:szCs w:val="22"/>
        </w:rPr>
      </w:pPr>
      <w:r w:rsidRPr="00530681">
        <w:rPr>
          <w:rFonts w:asciiTheme="minorHAnsi" w:hAnsiTheme="minorHAnsi" w:cs="Trade Gothic LT Com"/>
          <w:i/>
          <w:iCs/>
          <w:color w:val="auto"/>
          <w:sz w:val="22"/>
          <w:szCs w:val="22"/>
        </w:rPr>
        <w:t>Resolution 1</w:t>
      </w:r>
      <w:r w:rsidR="00F13C50">
        <w:rPr>
          <w:rFonts w:asciiTheme="minorHAnsi" w:hAnsiTheme="minorHAnsi" w:cs="Trade Gothic LT Com"/>
          <w:i/>
          <w:iCs/>
          <w:color w:val="auto"/>
          <w:sz w:val="22"/>
          <w:szCs w:val="22"/>
        </w:rPr>
        <w:t>6</w:t>
      </w:r>
      <w:r w:rsidRPr="00530681">
        <w:rPr>
          <w:rFonts w:asciiTheme="minorHAnsi" w:hAnsiTheme="minorHAnsi" w:cs="Trade Gothic LT Com"/>
          <w:i/>
          <w:iCs/>
          <w:color w:val="auto"/>
          <w:sz w:val="22"/>
          <w:szCs w:val="22"/>
        </w:rPr>
        <w:t xml:space="preserve"> – Company’s authority to purchase its own shares</w:t>
      </w:r>
      <w:r>
        <w:rPr>
          <w:rFonts w:asciiTheme="minorHAnsi" w:hAnsiTheme="minorHAnsi" w:cs="Trade Gothic LT Com"/>
          <w:i/>
          <w:iCs/>
          <w:color w:val="auto"/>
          <w:sz w:val="22"/>
          <w:szCs w:val="22"/>
        </w:rPr>
        <w:t xml:space="preserve"> </w:t>
      </w:r>
      <w:r w:rsidRPr="00530681">
        <w:rPr>
          <w:rFonts w:asciiTheme="minorHAnsi" w:hAnsiTheme="minorHAnsi" w:cs="Trade Gothic LT Com"/>
          <w:i/>
          <w:iCs/>
          <w:color w:val="auto"/>
          <w:sz w:val="22"/>
          <w:szCs w:val="22"/>
        </w:rPr>
        <w:t>(as a Special Resolution)</w:t>
      </w:r>
    </w:p>
    <w:p w14:paraId="014CF84B" w14:textId="77777777" w:rsidR="00530681" w:rsidRPr="00530681" w:rsidRDefault="00530681" w:rsidP="00530681">
      <w:pPr>
        <w:pStyle w:val="Subhead4Forfigsover"/>
        <w:tabs>
          <w:tab w:val="left" w:pos="567"/>
          <w:tab w:val="left" w:pos="1134"/>
          <w:tab w:val="left" w:pos="1701"/>
        </w:tabs>
        <w:spacing w:line="240" w:lineRule="auto"/>
        <w:ind w:left="567" w:hanging="567"/>
        <w:jc w:val="both"/>
        <w:rPr>
          <w:rFonts w:asciiTheme="minorHAnsi" w:hAnsiTheme="minorHAnsi" w:cs="Trade Gothic LT Com"/>
          <w:i/>
          <w:iCs/>
          <w:color w:val="auto"/>
          <w:sz w:val="22"/>
          <w:szCs w:val="22"/>
        </w:rPr>
      </w:pPr>
    </w:p>
    <w:p w14:paraId="26F96D7A" w14:textId="77D950A4" w:rsidR="00530681" w:rsidRDefault="00530681" w:rsidP="00530681">
      <w:pPr>
        <w:pStyle w:val="TextForfigsover"/>
        <w:tabs>
          <w:tab w:val="left" w:pos="0"/>
          <w:tab w:val="left" w:pos="1134"/>
          <w:tab w:val="left" w:pos="1701"/>
        </w:tabs>
        <w:spacing w:after="0" w:line="240" w:lineRule="auto"/>
        <w:jc w:val="both"/>
        <w:rPr>
          <w:rFonts w:asciiTheme="minorHAnsi" w:hAnsiTheme="minorHAnsi"/>
          <w:color w:val="auto"/>
          <w:sz w:val="22"/>
          <w:szCs w:val="22"/>
        </w:rPr>
      </w:pPr>
      <w:r w:rsidRPr="00530681">
        <w:rPr>
          <w:rFonts w:asciiTheme="minorHAnsi" w:hAnsiTheme="minorHAnsi"/>
          <w:color w:val="auto"/>
          <w:sz w:val="22"/>
          <w:szCs w:val="22"/>
        </w:rPr>
        <w:t>THAT, pursuant to the authorities contained in its Articles, the Company be generally and unconditionally authorised for the purposes of section 701 of the 2006 Act to make one or more market purchases (within the meaning of section 693(4) of  the 2006 Act) of Ordinary shares of 25/48ths of a penny each</w:t>
      </w:r>
      <w:r>
        <w:rPr>
          <w:rFonts w:asciiTheme="minorHAnsi" w:hAnsiTheme="minorHAnsi"/>
          <w:color w:val="auto"/>
          <w:sz w:val="22"/>
          <w:szCs w:val="22"/>
        </w:rPr>
        <w:t xml:space="preserve"> </w:t>
      </w:r>
      <w:r w:rsidRPr="00530681">
        <w:rPr>
          <w:rFonts w:asciiTheme="minorHAnsi" w:hAnsiTheme="minorHAnsi"/>
          <w:color w:val="auto"/>
          <w:sz w:val="22"/>
          <w:szCs w:val="22"/>
        </w:rPr>
        <w:t>(‘Ordinary shares’) in the capital of the Company on such terms and in such manner as the Directors of the Company may think fit, provided that:</w:t>
      </w:r>
    </w:p>
    <w:p w14:paraId="66F79A90" w14:textId="77777777" w:rsidR="00530681" w:rsidRPr="00530681" w:rsidRDefault="00530681" w:rsidP="00530681">
      <w:pPr>
        <w:pStyle w:val="TextForfigsover"/>
        <w:tabs>
          <w:tab w:val="left" w:pos="0"/>
          <w:tab w:val="left" w:pos="1134"/>
          <w:tab w:val="left" w:pos="1701"/>
        </w:tabs>
        <w:spacing w:after="0" w:line="240" w:lineRule="auto"/>
        <w:jc w:val="both"/>
        <w:rPr>
          <w:rFonts w:asciiTheme="minorHAnsi" w:hAnsiTheme="minorHAnsi"/>
          <w:color w:val="auto"/>
          <w:sz w:val="22"/>
          <w:szCs w:val="22"/>
        </w:rPr>
      </w:pPr>
    </w:p>
    <w:p w14:paraId="49E9BADA" w14:textId="19252592" w:rsidR="00530681" w:rsidRPr="00530681" w:rsidRDefault="00530681" w:rsidP="00530681">
      <w:pPr>
        <w:pStyle w:val="ListParagraph"/>
        <w:numPr>
          <w:ilvl w:val="0"/>
          <w:numId w:val="11"/>
        </w:numPr>
        <w:tabs>
          <w:tab w:val="left" w:pos="0"/>
          <w:tab w:val="left" w:pos="1134"/>
          <w:tab w:val="left" w:pos="1701"/>
        </w:tabs>
        <w:autoSpaceDE w:val="0"/>
        <w:autoSpaceDN w:val="0"/>
        <w:adjustRightInd w:val="0"/>
        <w:spacing w:line="240" w:lineRule="auto"/>
        <w:jc w:val="both"/>
        <w:rPr>
          <w:bCs/>
        </w:rPr>
      </w:pPr>
      <w:r w:rsidRPr="00530681">
        <w:rPr>
          <w:bCs/>
        </w:rPr>
        <w:t>the maximum aggregate number of Ordinary shares that may be purchased is 46,223,007 Ordinary shares;</w:t>
      </w:r>
    </w:p>
    <w:p w14:paraId="31CAD9EA" w14:textId="77777777" w:rsidR="00530681" w:rsidRDefault="00530681" w:rsidP="00530681">
      <w:pPr>
        <w:pStyle w:val="ListParagraph"/>
        <w:tabs>
          <w:tab w:val="left" w:pos="0"/>
          <w:tab w:val="left" w:pos="1134"/>
          <w:tab w:val="left" w:pos="1701"/>
        </w:tabs>
        <w:autoSpaceDE w:val="0"/>
        <w:autoSpaceDN w:val="0"/>
        <w:adjustRightInd w:val="0"/>
        <w:spacing w:line="240" w:lineRule="auto"/>
        <w:ind w:left="786"/>
        <w:jc w:val="both"/>
        <w:rPr>
          <w:bCs/>
        </w:rPr>
      </w:pPr>
    </w:p>
    <w:p w14:paraId="26B22C94" w14:textId="101286D2" w:rsidR="00530681" w:rsidRPr="00530681" w:rsidRDefault="00530681" w:rsidP="00530681">
      <w:pPr>
        <w:pStyle w:val="ListParagraph"/>
        <w:numPr>
          <w:ilvl w:val="0"/>
          <w:numId w:val="11"/>
        </w:numPr>
        <w:tabs>
          <w:tab w:val="left" w:pos="0"/>
          <w:tab w:val="left" w:pos="1134"/>
          <w:tab w:val="left" w:pos="1701"/>
        </w:tabs>
        <w:autoSpaceDE w:val="0"/>
        <w:autoSpaceDN w:val="0"/>
        <w:adjustRightInd w:val="0"/>
        <w:spacing w:line="240" w:lineRule="auto"/>
        <w:jc w:val="both"/>
        <w:rPr>
          <w:bCs/>
        </w:rPr>
      </w:pPr>
      <w:r w:rsidRPr="00530681">
        <w:rPr>
          <w:bCs/>
        </w:rPr>
        <w:t>the minimum price (exclusive of expenses) which may be paid for an Ordinary share is 25/48ths of a penny (approximately 0.520833p);</w:t>
      </w:r>
    </w:p>
    <w:p w14:paraId="5AA80F8B" w14:textId="77777777" w:rsidR="00530681" w:rsidRDefault="00530681" w:rsidP="00530681">
      <w:pPr>
        <w:pStyle w:val="ListParagraph"/>
        <w:tabs>
          <w:tab w:val="left" w:pos="0"/>
          <w:tab w:val="left" w:pos="1134"/>
          <w:tab w:val="left" w:pos="1701"/>
        </w:tabs>
        <w:autoSpaceDE w:val="0"/>
        <w:autoSpaceDN w:val="0"/>
        <w:adjustRightInd w:val="0"/>
        <w:spacing w:line="240" w:lineRule="auto"/>
        <w:ind w:left="786"/>
        <w:jc w:val="both"/>
        <w:rPr>
          <w:bCs/>
        </w:rPr>
      </w:pPr>
    </w:p>
    <w:p w14:paraId="4D68FE04" w14:textId="4E16C59E" w:rsidR="00530681" w:rsidRPr="00530681" w:rsidRDefault="00530681" w:rsidP="00530681">
      <w:pPr>
        <w:pStyle w:val="ListParagraph"/>
        <w:numPr>
          <w:ilvl w:val="0"/>
          <w:numId w:val="11"/>
        </w:numPr>
        <w:tabs>
          <w:tab w:val="left" w:pos="0"/>
          <w:tab w:val="left" w:pos="1134"/>
          <w:tab w:val="left" w:pos="1701"/>
        </w:tabs>
        <w:autoSpaceDE w:val="0"/>
        <w:autoSpaceDN w:val="0"/>
        <w:adjustRightInd w:val="0"/>
        <w:spacing w:line="240" w:lineRule="auto"/>
        <w:jc w:val="both"/>
        <w:rPr>
          <w:bCs/>
        </w:rPr>
      </w:pPr>
      <w:r w:rsidRPr="00530681">
        <w:rPr>
          <w:bCs/>
        </w:rPr>
        <w:t>the maximum price (exclusive of expenses) which may be paid for an Ordinary share is the higher of (</w:t>
      </w:r>
      <w:proofErr w:type="spellStart"/>
      <w:r w:rsidRPr="00530681">
        <w:rPr>
          <w:bCs/>
        </w:rPr>
        <w:t>i</w:t>
      </w:r>
      <w:proofErr w:type="spellEnd"/>
      <w:r w:rsidRPr="00530681">
        <w:rPr>
          <w:bCs/>
        </w:rPr>
        <w:t>) an amount  equal to 105%</w:t>
      </w:r>
      <w:r w:rsidRPr="00530681">
        <w:t xml:space="preserve"> of the average of the middle market quotations for an Ordinary share as derived from the London Stock Exchange Daily Official List for the five business days immediately preceding the day on which that Ordinary share is contracted to be purchased; and (ii) an amount equal</w:t>
      </w:r>
      <w:r>
        <w:t xml:space="preserve"> </w:t>
      </w:r>
      <w:r w:rsidRPr="00530681">
        <w:t xml:space="preserve">to the higher of the price of the last independent trade of an Ordinary share and the highest current </w:t>
      </w:r>
      <w:r w:rsidRPr="00530681">
        <w:rPr>
          <w:bCs/>
        </w:rPr>
        <w:t>independent bid for an Ordinary share on the London Stock Exchange’s Main Market for listed securities at the time the purchase is carried out;</w:t>
      </w:r>
    </w:p>
    <w:p w14:paraId="6C4FA273" w14:textId="77777777" w:rsidR="00530681" w:rsidRDefault="00530681" w:rsidP="00530681">
      <w:pPr>
        <w:pStyle w:val="ListParagraph"/>
        <w:tabs>
          <w:tab w:val="left" w:pos="0"/>
          <w:tab w:val="left" w:pos="1134"/>
          <w:tab w:val="left" w:pos="1701"/>
        </w:tabs>
        <w:autoSpaceDE w:val="0"/>
        <w:autoSpaceDN w:val="0"/>
        <w:adjustRightInd w:val="0"/>
        <w:spacing w:line="240" w:lineRule="auto"/>
        <w:ind w:left="786"/>
        <w:jc w:val="both"/>
        <w:rPr>
          <w:bCs/>
        </w:rPr>
      </w:pPr>
    </w:p>
    <w:p w14:paraId="4FE5C2BC" w14:textId="7A4CAB58" w:rsidR="00530681" w:rsidRPr="00530681" w:rsidRDefault="00530681" w:rsidP="00530681">
      <w:pPr>
        <w:pStyle w:val="ListParagraph"/>
        <w:numPr>
          <w:ilvl w:val="0"/>
          <w:numId w:val="11"/>
        </w:numPr>
        <w:tabs>
          <w:tab w:val="left" w:pos="0"/>
          <w:tab w:val="left" w:pos="1134"/>
          <w:tab w:val="left" w:pos="1701"/>
        </w:tabs>
        <w:autoSpaceDE w:val="0"/>
        <w:autoSpaceDN w:val="0"/>
        <w:adjustRightInd w:val="0"/>
        <w:spacing w:line="240" w:lineRule="auto"/>
        <w:jc w:val="both"/>
        <w:rPr>
          <w:bCs/>
        </w:rPr>
      </w:pPr>
      <w:r w:rsidRPr="00530681">
        <w:rPr>
          <w:bCs/>
        </w:rPr>
        <w:t>the authority hereby conferred shall expire at the conclusion of the next Annual General Meeting of the Company to be held in 202</w:t>
      </w:r>
      <w:r w:rsidR="00F13C50">
        <w:rPr>
          <w:bCs/>
        </w:rPr>
        <w:t>1</w:t>
      </w:r>
      <w:r w:rsidRPr="00530681">
        <w:rPr>
          <w:bCs/>
        </w:rPr>
        <w:t xml:space="preserve"> or, if earlier, 15 months from the date of the passing of this resolution, unless such authority is revoked, varied or renewed prior to such time; and</w:t>
      </w:r>
    </w:p>
    <w:p w14:paraId="79CB9E60" w14:textId="77777777" w:rsidR="00530681" w:rsidRDefault="00530681" w:rsidP="00530681">
      <w:pPr>
        <w:pStyle w:val="ListParagraph"/>
        <w:tabs>
          <w:tab w:val="left" w:pos="0"/>
          <w:tab w:val="left" w:pos="1134"/>
          <w:tab w:val="left" w:pos="1701"/>
        </w:tabs>
        <w:autoSpaceDE w:val="0"/>
        <w:autoSpaceDN w:val="0"/>
        <w:adjustRightInd w:val="0"/>
        <w:spacing w:line="240" w:lineRule="auto"/>
        <w:ind w:left="786"/>
        <w:jc w:val="both"/>
        <w:rPr>
          <w:bCs/>
        </w:rPr>
      </w:pPr>
    </w:p>
    <w:p w14:paraId="3C6C73A0" w14:textId="3F7B7352" w:rsidR="00530681" w:rsidRPr="00F13C50" w:rsidRDefault="00530681" w:rsidP="00F13C50">
      <w:pPr>
        <w:pStyle w:val="ListParagraph"/>
        <w:numPr>
          <w:ilvl w:val="0"/>
          <w:numId w:val="11"/>
        </w:numPr>
        <w:tabs>
          <w:tab w:val="left" w:pos="0"/>
          <w:tab w:val="left" w:pos="1134"/>
          <w:tab w:val="left" w:pos="1701"/>
        </w:tabs>
        <w:autoSpaceDE w:val="0"/>
        <w:autoSpaceDN w:val="0"/>
        <w:adjustRightInd w:val="0"/>
        <w:spacing w:line="240" w:lineRule="auto"/>
        <w:jc w:val="both"/>
        <w:rPr>
          <w:bCs/>
        </w:rPr>
      </w:pPr>
      <w:r w:rsidRPr="00530681">
        <w:rPr>
          <w:bCs/>
        </w:rPr>
        <w:t xml:space="preserve">the Company may at any time before such expiry make offers or enter into agreements which would or might </w:t>
      </w:r>
      <w:r w:rsidRPr="00F13C50">
        <w:rPr>
          <w:bCs/>
        </w:rPr>
        <w:t>require Ordinary shares to be purchased under this authority which will or may be executed wholly or partly after such expiry, and the Company may make a purchase of Ordinary shares in pursuance of such an offer or agreement as if the power conferred hereby had not expired.</w:t>
      </w:r>
    </w:p>
    <w:p w14:paraId="3ACCEB9D" w14:textId="793C0F00" w:rsidR="00530681" w:rsidRPr="00530681" w:rsidRDefault="00530681" w:rsidP="00530681">
      <w:pPr>
        <w:pStyle w:val="TextForfigsover"/>
        <w:tabs>
          <w:tab w:val="left" w:pos="0"/>
          <w:tab w:val="left" w:pos="1134"/>
          <w:tab w:val="left" w:pos="1701"/>
        </w:tabs>
        <w:spacing w:after="0" w:line="240" w:lineRule="auto"/>
        <w:jc w:val="both"/>
        <w:rPr>
          <w:rFonts w:asciiTheme="minorHAnsi" w:hAnsiTheme="minorHAnsi"/>
          <w:color w:val="auto"/>
          <w:sz w:val="22"/>
          <w:szCs w:val="22"/>
        </w:rPr>
      </w:pPr>
      <w:r w:rsidRPr="00530681">
        <w:rPr>
          <w:rFonts w:asciiTheme="minorHAnsi" w:hAnsiTheme="minorHAnsi"/>
          <w:color w:val="auto"/>
          <w:sz w:val="22"/>
          <w:szCs w:val="22"/>
        </w:rPr>
        <w:t xml:space="preserve"> </w:t>
      </w:r>
    </w:p>
    <w:p w14:paraId="418A44F6" w14:textId="77777777" w:rsidR="00280D94" w:rsidRDefault="00280D94" w:rsidP="00530681">
      <w:pPr>
        <w:pStyle w:val="Subhead4Forfigsover"/>
        <w:keepNext w:val="0"/>
        <w:tabs>
          <w:tab w:val="left" w:pos="567"/>
          <w:tab w:val="left" w:pos="1134"/>
          <w:tab w:val="left" w:pos="1701"/>
        </w:tabs>
        <w:spacing w:line="240" w:lineRule="auto"/>
        <w:ind w:left="567" w:hanging="567"/>
        <w:jc w:val="both"/>
        <w:rPr>
          <w:rFonts w:asciiTheme="minorHAnsi" w:hAnsiTheme="minorHAnsi"/>
          <w:i/>
          <w:color w:val="auto"/>
          <w:sz w:val="22"/>
          <w:szCs w:val="22"/>
        </w:rPr>
      </w:pPr>
    </w:p>
    <w:p w14:paraId="723B7AD3" w14:textId="1ED737F4" w:rsidR="00530681" w:rsidRPr="00530681" w:rsidRDefault="00530681" w:rsidP="00530681">
      <w:pPr>
        <w:pStyle w:val="Subhead4Forfigsover"/>
        <w:keepNext w:val="0"/>
        <w:tabs>
          <w:tab w:val="left" w:pos="567"/>
          <w:tab w:val="left" w:pos="1134"/>
          <w:tab w:val="left" w:pos="1701"/>
        </w:tabs>
        <w:spacing w:line="240" w:lineRule="auto"/>
        <w:ind w:left="567" w:hanging="567"/>
        <w:jc w:val="both"/>
        <w:rPr>
          <w:rFonts w:asciiTheme="minorHAnsi" w:hAnsiTheme="minorHAnsi" w:cs="Trade Gothic LT Com"/>
          <w:i/>
          <w:iCs/>
          <w:color w:val="auto"/>
          <w:sz w:val="22"/>
          <w:szCs w:val="22"/>
        </w:rPr>
      </w:pPr>
      <w:bookmarkStart w:id="0" w:name="_GoBack"/>
      <w:bookmarkEnd w:id="0"/>
      <w:r w:rsidRPr="00530681">
        <w:rPr>
          <w:rFonts w:asciiTheme="minorHAnsi" w:hAnsiTheme="minorHAnsi"/>
          <w:i/>
          <w:color w:val="auto"/>
          <w:sz w:val="22"/>
          <w:szCs w:val="22"/>
        </w:rPr>
        <w:lastRenderedPageBreak/>
        <w:t>R</w:t>
      </w:r>
      <w:r w:rsidRPr="00530681">
        <w:rPr>
          <w:rFonts w:asciiTheme="minorHAnsi" w:hAnsiTheme="minorHAnsi" w:cs="Trade Gothic LT Com"/>
          <w:bCs w:val="0"/>
          <w:i/>
          <w:iCs/>
          <w:color w:val="auto"/>
          <w:sz w:val="22"/>
          <w:szCs w:val="22"/>
        </w:rPr>
        <w:t>esolution 1</w:t>
      </w:r>
      <w:r w:rsidR="00F13C50">
        <w:rPr>
          <w:rFonts w:asciiTheme="minorHAnsi" w:hAnsiTheme="minorHAnsi" w:cs="Trade Gothic LT Com"/>
          <w:bCs w:val="0"/>
          <w:i/>
          <w:iCs/>
          <w:color w:val="auto"/>
          <w:sz w:val="22"/>
          <w:szCs w:val="22"/>
        </w:rPr>
        <w:t>7</w:t>
      </w:r>
      <w:r w:rsidRPr="00530681">
        <w:rPr>
          <w:rFonts w:asciiTheme="minorHAnsi" w:hAnsiTheme="minorHAnsi" w:cs="Trade Gothic LT Com"/>
          <w:bCs w:val="0"/>
          <w:i/>
          <w:iCs/>
          <w:color w:val="auto"/>
          <w:sz w:val="22"/>
          <w:szCs w:val="22"/>
        </w:rPr>
        <w:t xml:space="preserve"> – Reduced notice of general meetings (other than an Annual General Meeting)</w:t>
      </w:r>
      <w:r w:rsidRPr="00530681">
        <w:rPr>
          <w:rFonts w:asciiTheme="minorHAnsi" w:hAnsiTheme="minorHAnsi" w:cs="Trade Gothic LT Com"/>
          <w:i/>
          <w:iCs/>
          <w:color w:val="auto"/>
          <w:sz w:val="22"/>
          <w:szCs w:val="22"/>
        </w:rPr>
        <w:t xml:space="preserve"> (as a Special </w:t>
      </w:r>
    </w:p>
    <w:p w14:paraId="6EE3DA4C" w14:textId="77777777" w:rsidR="00530681" w:rsidRPr="00530681" w:rsidRDefault="00530681" w:rsidP="00530681">
      <w:pPr>
        <w:pStyle w:val="Subhead4Forfigsover"/>
        <w:keepNext w:val="0"/>
        <w:tabs>
          <w:tab w:val="left" w:pos="567"/>
          <w:tab w:val="left" w:pos="1134"/>
          <w:tab w:val="left" w:pos="1701"/>
        </w:tabs>
        <w:spacing w:line="240" w:lineRule="auto"/>
        <w:ind w:left="567" w:hanging="567"/>
        <w:jc w:val="both"/>
        <w:rPr>
          <w:rFonts w:asciiTheme="minorHAnsi" w:hAnsiTheme="minorHAnsi" w:cs="Trade Gothic LT Com"/>
          <w:i/>
          <w:iCs/>
          <w:color w:val="auto"/>
          <w:sz w:val="22"/>
          <w:szCs w:val="22"/>
        </w:rPr>
      </w:pPr>
      <w:r w:rsidRPr="00530681">
        <w:rPr>
          <w:rFonts w:asciiTheme="minorHAnsi" w:hAnsiTheme="minorHAnsi" w:cs="Trade Gothic LT Com"/>
          <w:i/>
          <w:iCs/>
          <w:color w:val="auto"/>
          <w:sz w:val="22"/>
          <w:szCs w:val="22"/>
        </w:rPr>
        <w:t>Resolution)</w:t>
      </w:r>
    </w:p>
    <w:p w14:paraId="6277C26C" w14:textId="77777777" w:rsidR="00530681" w:rsidRPr="00530681" w:rsidRDefault="00530681" w:rsidP="00530681">
      <w:pPr>
        <w:pStyle w:val="TextForfigsover"/>
        <w:tabs>
          <w:tab w:val="left" w:pos="0"/>
          <w:tab w:val="left" w:pos="1134"/>
          <w:tab w:val="left" w:pos="1701"/>
        </w:tabs>
        <w:spacing w:after="0" w:line="240" w:lineRule="auto"/>
        <w:jc w:val="both"/>
        <w:rPr>
          <w:rFonts w:asciiTheme="minorHAnsi" w:hAnsiTheme="minorHAnsi"/>
          <w:color w:val="auto"/>
          <w:sz w:val="22"/>
          <w:szCs w:val="22"/>
        </w:rPr>
      </w:pPr>
    </w:p>
    <w:p w14:paraId="3977D7EA" w14:textId="3B07577E" w:rsidR="00E728CE" w:rsidRDefault="00530681" w:rsidP="00530681">
      <w:pPr>
        <w:pStyle w:val="TextForfigsover"/>
        <w:tabs>
          <w:tab w:val="left" w:pos="0"/>
          <w:tab w:val="left" w:pos="1134"/>
          <w:tab w:val="left" w:pos="1701"/>
        </w:tabs>
        <w:spacing w:after="0" w:line="240" w:lineRule="auto"/>
        <w:jc w:val="both"/>
        <w:rPr>
          <w:rFonts w:asciiTheme="minorHAnsi" w:hAnsiTheme="minorHAnsi"/>
          <w:color w:val="auto"/>
          <w:sz w:val="22"/>
          <w:szCs w:val="22"/>
        </w:rPr>
      </w:pPr>
      <w:r w:rsidRPr="00530681">
        <w:rPr>
          <w:rFonts w:asciiTheme="minorHAnsi" w:hAnsiTheme="minorHAnsi"/>
          <w:color w:val="auto"/>
          <w:sz w:val="22"/>
          <w:szCs w:val="22"/>
        </w:rPr>
        <w:t>THAT a general meeting of the Company, other than an Annual General Meeting, may be called on not less than 14 clear days’ notice, provided that this authority shall expire at the conclusion of the Annual General Meeting of the Company to be held in 202</w:t>
      </w:r>
      <w:r w:rsidR="00F13C50">
        <w:rPr>
          <w:rFonts w:asciiTheme="minorHAnsi" w:hAnsiTheme="minorHAnsi"/>
          <w:color w:val="auto"/>
          <w:sz w:val="22"/>
          <w:szCs w:val="22"/>
        </w:rPr>
        <w:t>1</w:t>
      </w:r>
      <w:r w:rsidRPr="00530681">
        <w:rPr>
          <w:rFonts w:asciiTheme="minorHAnsi" w:hAnsiTheme="minorHAnsi"/>
          <w:color w:val="auto"/>
          <w:sz w:val="22"/>
          <w:szCs w:val="22"/>
        </w:rPr>
        <w:t xml:space="preserve"> or, if earlier, 15 months from the date of the passing of</w:t>
      </w:r>
      <w:r>
        <w:rPr>
          <w:rFonts w:asciiTheme="minorHAnsi" w:hAnsiTheme="minorHAnsi"/>
          <w:color w:val="auto"/>
          <w:sz w:val="22"/>
          <w:szCs w:val="22"/>
        </w:rPr>
        <w:t xml:space="preserve"> </w:t>
      </w:r>
      <w:r w:rsidRPr="00530681">
        <w:rPr>
          <w:rFonts w:asciiTheme="minorHAnsi" w:hAnsiTheme="minorHAnsi"/>
          <w:color w:val="auto"/>
          <w:sz w:val="22"/>
          <w:szCs w:val="22"/>
        </w:rPr>
        <w:t>the resolution.</w:t>
      </w:r>
    </w:p>
    <w:p w14:paraId="182FFE02" w14:textId="77777777" w:rsidR="00E728CE" w:rsidRDefault="00E728CE" w:rsidP="00530681">
      <w:pPr>
        <w:pStyle w:val="TextForfigsover"/>
        <w:tabs>
          <w:tab w:val="left" w:pos="0"/>
          <w:tab w:val="left" w:pos="1134"/>
          <w:tab w:val="left" w:pos="1701"/>
        </w:tabs>
        <w:spacing w:after="0" w:line="240" w:lineRule="auto"/>
        <w:jc w:val="both"/>
        <w:rPr>
          <w:rFonts w:asciiTheme="minorHAnsi" w:hAnsiTheme="minorHAnsi"/>
          <w:color w:val="auto"/>
          <w:sz w:val="22"/>
          <w:szCs w:val="22"/>
        </w:rPr>
      </w:pPr>
    </w:p>
    <w:p w14:paraId="4EEA5D8E" w14:textId="77777777" w:rsidR="00E728CE" w:rsidRDefault="00E728CE" w:rsidP="00530681">
      <w:pPr>
        <w:pStyle w:val="TextForfigsover"/>
        <w:tabs>
          <w:tab w:val="left" w:pos="0"/>
          <w:tab w:val="left" w:pos="1134"/>
          <w:tab w:val="left" w:pos="1701"/>
        </w:tabs>
        <w:spacing w:after="0" w:line="240" w:lineRule="auto"/>
        <w:jc w:val="both"/>
        <w:rPr>
          <w:rFonts w:asciiTheme="minorHAnsi" w:hAnsiTheme="minorHAnsi"/>
          <w:color w:val="auto"/>
          <w:sz w:val="22"/>
          <w:szCs w:val="22"/>
        </w:rPr>
      </w:pPr>
    </w:p>
    <w:p w14:paraId="6A90412D" w14:textId="77777777" w:rsidR="00E728CE" w:rsidRDefault="00E728CE" w:rsidP="00E728CE">
      <w:pPr>
        <w:pStyle w:val="TextForfigsover"/>
        <w:tabs>
          <w:tab w:val="left" w:pos="0"/>
          <w:tab w:val="left" w:pos="1134"/>
          <w:tab w:val="left" w:pos="1701"/>
        </w:tabs>
        <w:spacing w:after="0" w:line="240" w:lineRule="auto"/>
        <w:rPr>
          <w:rFonts w:asciiTheme="minorHAnsi" w:hAnsiTheme="minorHAnsi"/>
          <w:color w:val="auto"/>
          <w:sz w:val="22"/>
          <w:szCs w:val="22"/>
        </w:rPr>
      </w:pPr>
    </w:p>
    <w:p w14:paraId="00C97255" w14:textId="77777777" w:rsidR="00D4230C" w:rsidRPr="008C5D5F" w:rsidRDefault="00F0349E" w:rsidP="000B4581">
      <w:pPr>
        <w:rPr>
          <w:rFonts w:cs="Trade Gothic LT Com"/>
          <w:b/>
          <w:i/>
          <w:iCs/>
        </w:rPr>
      </w:pPr>
      <w:r w:rsidRPr="008C5D5F">
        <w:rPr>
          <w:rFonts w:eastAsia="Times New Roman" w:cs="Times New Roman"/>
          <w:bCs/>
          <w:lang w:eastAsia="en-GB"/>
        </w:rPr>
        <w:t xml:space="preserve">For and on behalf of </w:t>
      </w:r>
      <w:r w:rsidR="00D4230C" w:rsidRPr="008C5D5F">
        <w:rPr>
          <w:rFonts w:eastAsia="Times New Roman" w:cs="Times New Roman"/>
          <w:bCs/>
          <w:lang w:eastAsia="en-GB"/>
        </w:rPr>
        <w:t>Domino's Pizza Group plc</w:t>
      </w:r>
    </w:p>
    <w:p w14:paraId="4B33D748" w14:textId="77777777" w:rsidR="00990625" w:rsidRPr="008C5D5F" w:rsidRDefault="00990625" w:rsidP="009A1316">
      <w:pPr>
        <w:spacing w:after="0"/>
        <w:rPr>
          <w:rFonts w:eastAsia="Times New Roman" w:cs="Times New Roman"/>
          <w:lang w:eastAsia="en-GB"/>
        </w:rPr>
      </w:pPr>
    </w:p>
    <w:p w14:paraId="1ED6CC09" w14:textId="77777777" w:rsidR="00041076" w:rsidRPr="008C5D5F" w:rsidRDefault="00041076" w:rsidP="009A1316">
      <w:pPr>
        <w:spacing w:after="0"/>
        <w:rPr>
          <w:rFonts w:eastAsia="Times New Roman" w:cs="Times New Roman"/>
          <w:b/>
          <w:lang w:eastAsia="en-GB"/>
        </w:rPr>
      </w:pPr>
    </w:p>
    <w:p w14:paraId="315E4345" w14:textId="77777777" w:rsidR="00F0349E" w:rsidRPr="008C5D5F" w:rsidRDefault="00041076" w:rsidP="009A1316">
      <w:pPr>
        <w:spacing w:after="0"/>
        <w:rPr>
          <w:rFonts w:eastAsia="Times New Roman" w:cs="Times New Roman"/>
          <w:b/>
          <w:lang w:eastAsia="en-GB"/>
        </w:rPr>
      </w:pPr>
      <w:r w:rsidRPr="008C5D5F">
        <w:rPr>
          <w:rFonts w:eastAsia="Times New Roman" w:cs="Times New Roman"/>
          <w:b/>
          <w:lang w:eastAsia="en-GB"/>
        </w:rPr>
        <w:t>Adrian Bushnell</w:t>
      </w:r>
    </w:p>
    <w:p w14:paraId="08478B48" w14:textId="77777777" w:rsidR="00D4230C" w:rsidRPr="008C5D5F" w:rsidRDefault="00D4230C" w:rsidP="009A1316">
      <w:pPr>
        <w:spacing w:after="0"/>
        <w:rPr>
          <w:rFonts w:eastAsia="Times New Roman" w:cs="Times New Roman"/>
          <w:u w:val="single"/>
          <w:lang w:eastAsia="en-GB"/>
        </w:rPr>
      </w:pPr>
      <w:r w:rsidRPr="008C5D5F">
        <w:rPr>
          <w:rFonts w:eastAsia="Times New Roman" w:cs="Times New Roman"/>
          <w:u w:val="single"/>
          <w:lang w:eastAsia="en-GB"/>
        </w:rPr>
        <w:t>Company Secretary</w:t>
      </w:r>
    </w:p>
    <w:sectPr w:rsidR="00D4230C" w:rsidRPr="008C5D5F" w:rsidSect="00F0349E">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FC973" w14:textId="77777777" w:rsidR="009F144F" w:rsidRDefault="009F144F" w:rsidP="002C72B1">
      <w:pPr>
        <w:spacing w:after="0" w:line="240" w:lineRule="auto"/>
      </w:pPr>
      <w:r>
        <w:separator/>
      </w:r>
    </w:p>
  </w:endnote>
  <w:endnote w:type="continuationSeparator" w:id="0">
    <w:p w14:paraId="6BCCA12D" w14:textId="77777777" w:rsidR="009F144F" w:rsidRDefault="009F144F" w:rsidP="002C7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Com">
    <w:altName w:val="Calibri"/>
    <w:panose1 w:val="00000000000000000000"/>
    <w:charset w:val="00"/>
    <w:family w:val="swiss"/>
    <w:notTrueType/>
    <w:pitch w:val="default"/>
    <w:sig w:usb0="00000003" w:usb1="00000000" w:usb2="00000000" w:usb3="00000000" w:csb0="00000001" w:csb1="00000000"/>
  </w:font>
  <w:font w:name="Trade Gothic LT Com 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6FB22" w14:textId="77777777" w:rsidR="009F144F" w:rsidRDefault="009F144F" w:rsidP="002C72B1">
      <w:pPr>
        <w:spacing w:after="0" w:line="240" w:lineRule="auto"/>
      </w:pPr>
      <w:r>
        <w:separator/>
      </w:r>
    </w:p>
  </w:footnote>
  <w:footnote w:type="continuationSeparator" w:id="0">
    <w:p w14:paraId="5A623C41" w14:textId="77777777" w:rsidR="009F144F" w:rsidRDefault="009F144F" w:rsidP="002C7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EA555" w14:textId="77777777" w:rsidR="009F144F" w:rsidRDefault="009F144F" w:rsidP="002C72B1">
    <w:pPr>
      <w:pStyle w:val="Header"/>
      <w:jc w:val="right"/>
    </w:pPr>
    <w:r>
      <w:rPr>
        <w:noProof/>
        <w:lang w:eastAsia="en-GB"/>
      </w:rPr>
      <w:drawing>
        <wp:inline distT="0" distB="0" distL="0" distR="0" wp14:anchorId="54E1186B" wp14:editId="5A72AE57">
          <wp:extent cx="992610"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2610" cy="9620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C3549"/>
    <w:multiLevelType w:val="hybridMultilevel"/>
    <w:tmpl w:val="3CDE9C42"/>
    <w:lvl w:ilvl="0" w:tplc="B9BC10F8">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 w15:restartNumberingAfterBreak="0">
    <w:nsid w:val="1826266F"/>
    <w:multiLevelType w:val="hybridMultilevel"/>
    <w:tmpl w:val="3CDE9C42"/>
    <w:lvl w:ilvl="0" w:tplc="B9BC10F8">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2" w15:restartNumberingAfterBreak="0">
    <w:nsid w:val="1A9A2A07"/>
    <w:multiLevelType w:val="hybridMultilevel"/>
    <w:tmpl w:val="D71E4F98"/>
    <w:lvl w:ilvl="0" w:tplc="C26EA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6422C"/>
    <w:multiLevelType w:val="hybridMultilevel"/>
    <w:tmpl w:val="3CDE9C42"/>
    <w:lvl w:ilvl="0" w:tplc="B9BC10F8">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4" w15:restartNumberingAfterBreak="0">
    <w:nsid w:val="247563CA"/>
    <w:multiLevelType w:val="hybridMultilevel"/>
    <w:tmpl w:val="FEA21AFC"/>
    <w:lvl w:ilvl="0" w:tplc="04090017">
      <w:start w:val="1"/>
      <w:numFmt w:val="lowerLetter"/>
      <w:lvlText w:val="%1)"/>
      <w:lvlJc w:val="left"/>
      <w:pPr>
        <w:ind w:left="1506" w:hanging="360"/>
      </w:pPr>
    </w:lvl>
    <w:lvl w:ilvl="1" w:tplc="04090019">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15:restartNumberingAfterBreak="0">
    <w:nsid w:val="26542CB4"/>
    <w:multiLevelType w:val="hybridMultilevel"/>
    <w:tmpl w:val="3CDE9C42"/>
    <w:lvl w:ilvl="0" w:tplc="B9BC10F8">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6" w15:restartNumberingAfterBreak="0">
    <w:nsid w:val="32BD3D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2BF7A38"/>
    <w:multiLevelType w:val="hybridMultilevel"/>
    <w:tmpl w:val="15560BF0"/>
    <w:lvl w:ilvl="0" w:tplc="99480E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866C4"/>
    <w:multiLevelType w:val="hybridMultilevel"/>
    <w:tmpl w:val="281ADA0E"/>
    <w:lvl w:ilvl="0" w:tplc="C688CF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A15827"/>
    <w:multiLevelType w:val="hybridMultilevel"/>
    <w:tmpl w:val="E132C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F427C4"/>
    <w:multiLevelType w:val="hybridMultilevel"/>
    <w:tmpl w:val="3CDE9C42"/>
    <w:lvl w:ilvl="0" w:tplc="B9BC10F8">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1" w15:restartNumberingAfterBreak="0">
    <w:nsid w:val="73D053C6"/>
    <w:multiLevelType w:val="hybridMultilevel"/>
    <w:tmpl w:val="573E4C58"/>
    <w:lvl w:ilvl="0" w:tplc="F9748860">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6"/>
  </w:num>
  <w:num w:numId="3">
    <w:abstractNumId w:val="8"/>
  </w:num>
  <w:num w:numId="4">
    <w:abstractNumId w:val="2"/>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3"/>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65"/>
    <w:rsid w:val="00041076"/>
    <w:rsid w:val="00045D28"/>
    <w:rsid w:val="000522DB"/>
    <w:rsid w:val="0005433A"/>
    <w:rsid w:val="0006588E"/>
    <w:rsid w:val="0008145D"/>
    <w:rsid w:val="000B4581"/>
    <w:rsid w:val="000D42C3"/>
    <w:rsid w:val="00137BE3"/>
    <w:rsid w:val="00167037"/>
    <w:rsid w:val="001738B5"/>
    <w:rsid w:val="001E4AA4"/>
    <w:rsid w:val="0020346F"/>
    <w:rsid w:val="00216226"/>
    <w:rsid w:val="00280D94"/>
    <w:rsid w:val="00282006"/>
    <w:rsid w:val="002978D6"/>
    <w:rsid w:val="002C6CDF"/>
    <w:rsid w:val="002C72B1"/>
    <w:rsid w:val="002C7AEA"/>
    <w:rsid w:val="002D4F4C"/>
    <w:rsid w:val="002D620B"/>
    <w:rsid w:val="002E701C"/>
    <w:rsid w:val="002F5AA5"/>
    <w:rsid w:val="00303B66"/>
    <w:rsid w:val="00320C53"/>
    <w:rsid w:val="0033729A"/>
    <w:rsid w:val="00391EAC"/>
    <w:rsid w:val="003A51B9"/>
    <w:rsid w:val="003B15A6"/>
    <w:rsid w:val="003F4AC4"/>
    <w:rsid w:val="00435228"/>
    <w:rsid w:val="00464A81"/>
    <w:rsid w:val="00483D08"/>
    <w:rsid w:val="00486F05"/>
    <w:rsid w:val="004878D2"/>
    <w:rsid w:val="004A6086"/>
    <w:rsid w:val="004C164E"/>
    <w:rsid w:val="004C43C5"/>
    <w:rsid w:val="004D29CF"/>
    <w:rsid w:val="00502AA1"/>
    <w:rsid w:val="00521B48"/>
    <w:rsid w:val="00527A11"/>
    <w:rsid w:val="00530681"/>
    <w:rsid w:val="005335A9"/>
    <w:rsid w:val="00581418"/>
    <w:rsid w:val="005C2351"/>
    <w:rsid w:val="005C281B"/>
    <w:rsid w:val="005D1E9A"/>
    <w:rsid w:val="005D2BFF"/>
    <w:rsid w:val="00605DD1"/>
    <w:rsid w:val="0062755C"/>
    <w:rsid w:val="00627777"/>
    <w:rsid w:val="0063003F"/>
    <w:rsid w:val="00634816"/>
    <w:rsid w:val="00662C28"/>
    <w:rsid w:val="00674B7D"/>
    <w:rsid w:val="006C10A9"/>
    <w:rsid w:val="006C2FF4"/>
    <w:rsid w:val="006E02CB"/>
    <w:rsid w:val="006E38F6"/>
    <w:rsid w:val="006F77F7"/>
    <w:rsid w:val="007062A7"/>
    <w:rsid w:val="00731B7F"/>
    <w:rsid w:val="007574E2"/>
    <w:rsid w:val="007A7DDB"/>
    <w:rsid w:val="007C567F"/>
    <w:rsid w:val="00844E55"/>
    <w:rsid w:val="008561B0"/>
    <w:rsid w:val="008A1E33"/>
    <w:rsid w:val="008A6E9D"/>
    <w:rsid w:val="008C5D5F"/>
    <w:rsid w:val="008D32C1"/>
    <w:rsid w:val="008D72A3"/>
    <w:rsid w:val="00937242"/>
    <w:rsid w:val="009419F8"/>
    <w:rsid w:val="009456C7"/>
    <w:rsid w:val="00947432"/>
    <w:rsid w:val="00973833"/>
    <w:rsid w:val="00990625"/>
    <w:rsid w:val="009947F2"/>
    <w:rsid w:val="009A1316"/>
    <w:rsid w:val="009A27B8"/>
    <w:rsid w:val="009A6942"/>
    <w:rsid w:val="009B457A"/>
    <w:rsid w:val="009D2D15"/>
    <w:rsid w:val="009E0465"/>
    <w:rsid w:val="009F144F"/>
    <w:rsid w:val="009F2BB6"/>
    <w:rsid w:val="00A21FB0"/>
    <w:rsid w:val="00A23DFA"/>
    <w:rsid w:val="00A525B6"/>
    <w:rsid w:val="00A55073"/>
    <w:rsid w:val="00A6440F"/>
    <w:rsid w:val="00AA4E65"/>
    <w:rsid w:val="00AB0C65"/>
    <w:rsid w:val="00AC2C86"/>
    <w:rsid w:val="00B13B0A"/>
    <w:rsid w:val="00B22374"/>
    <w:rsid w:val="00B30D7F"/>
    <w:rsid w:val="00B32C90"/>
    <w:rsid w:val="00B65085"/>
    <w:rsid w:val="00B81EDF"/>
    <w:rsid w:val="00BC06CF"/>
    <w:rsid w:val="00BC1CC8"/>
    <w:rsid w:val="00BD4C59"/>
    <w:rsid w:val="00C01D9C"/>
    <w:rsid w:val="00C461F4"/>
    <w:rsid w:val="00C5325F"/>
    <w:rsid w:val="00CD2A7C"/>
    <w:rsid w:val="00CF63C7"/>
    <w:rsid w:val="00D07A42"/>
    <w:rsid w:val="00D156E0"/>
    <w:rsid w:val="00D26989"/>
    <w:rsid w:val="00D30264"/>
    <w:rsid w:val="00D34DB2"/>
    <w:rsid w:val="00D4230C"/>
    <w:rsid w:val="00D750C4"/>
    <w:rsid w:val="00D76B93"/>
    <w:rsid w:val="00DB5D94"/>
    <w:rsid w:val="00DC3B7F"/>
    <w:rsid w:val="00DC7295"/>
    <w:rsid w:val="00DF5811"/>
    <w:rsid w:val="00E22EC3"/>
    <w:rsid w:val="00E40ED2"/>
    <w:rsid w:val="00E728CE"/>
    <w:rsid w:val="00E80269"/>
    <w:rsid w:val="00E90A12"/>
    <w:rsid w:val="00E914CE"/>
    <w:rsid w:val="00F0349E"/>
    <w:rsid w:val="00F13C50"/>
    <w:rsid w:val="00F51755"/>
    <w:rsid w:val="00F578CF"/>
    <w:rsid w:val="00F97199"/>
    <w:rsid w:val="00FF4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C320"/>
  <w15:docId w15:val="{83B2BD82-2402-4715-8AF6-5C0BD909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
    <w:name w:val="an"/>
    <w:basedOn w:val="DefaultParagraphFont"/>
    <w:rsid w:val="00AA4E65"/>
  </w:style>
  <w:style w:type="character" w:customStyle="1" w:styleId="am">
    <w:name w:val="am"/>
    <w:basedOn w:val="DefaultParagraphFont"/>
    <w:rsid w:val="00AA4E65"/>
  </w:style>
  <w:style w:type="character" w:customStyle="1" w:styleId="aw">
    <w:name w:val="aw"/>
    <w:basedOn w:val="DefaultParagraphFont"/>
    <w:rsid w:val="00AA4E65"/>
  </w:style>
  <w:style w:type="character" w:customStyle="1" w:styleId="ab">
    <w:name w:val="ab"/>
    <w:basedOn w:val="DefaultParagraphFont"/>
    <w:rsid w:val="00AA4E65"/>
  </w:style>
  <w:style w:type="character" w:customStyle="1" w:styleId="ay">
    <w:name w:val="ay"/>
    <w:basedOn w:val="DefaultParagraphFont"/>
    <w:rsid w:val="00AA4E65"/>
  </w:style>
  <w:style w:type="character" w:customStyle="1" w:styleId="i">
    <w:name w:val="i"/>
    <w:basedOn w:val="DefaultParagraphFont"/>
    <w:rsid w:val="00AA4E65"/>
  </w:style>
  <w:style w:type="character" w:customStyle="1" w:styleId="bc">
    <w:name w:val="bc"/>
    <w:basedOn w:val="DefaultParagraphFont"/>
    <w:rsid w:val="00AA4E65"/>
  </w:style>
  <w:style w:type="character" w:customStyle="1" w:styleId="p">
    <w:name w:val="p"/>
    <w:basedOn w:val="DefaultParagraphFont"/>
    <w:rsid w:val="00AA4E65"/>
  </w:style>
  <w:style w:type="paragraph" w:styleId="ListParagraph">
    <w:name w:val="List Paragraph"/>
    <w:basedOn w:val="Normal"/>
    <w:uiPriority w:val="34"/>
    <w:qFormat/>
    <w:rsid w:val="00167037"/>
    <w:pPr>
      <w:ind w:left="720"/>
      <w:contextualSpacing/>
    </w:pPr>
  </w:style>
  <w:style w:type="character" w:customStyle="1" w:styleId="provisiondate1">
    <w:name w:val="provisiondate1"/>
    <w:basedOn w:val="DefaultParagraphFont"/>
    <w:rsid w:val="009F2BB6"/>
    <w:rPr>
      <w:b/>
      <w:bCs/>
      <w:vanish w:val="0"/>
      <w:webHidden w:val="0"/>
      <w:color w:val="000000"/>
      <w:sz w:val="18"/>
      <w:szCs w:val="18"/>
      <w:specVanish w:val="0"/>
    </w:rPr>
  </w:style>
  <w:style w:type="paragraph" w:customStyle="1" w:styleId="subpara11">
    <w:name w:val="subpara11"/>
    <w:basedOn w:val="Normal"/>
    <w:rsid w:val="009F2BB6"/>
    <w:pPr>
      <w:spacing w:before="100" w:beforeAutospacing="1" w:after="100" w:afterAutospacing="1" w:line="240" w:lineRule="auto"/>
      <w:ind w:left="480" w:right="240"/>
      <w:jc w:val="both"/>
    </w:pPr>
    <w:rPr>
      <w:rFonts w:ascii="Arial" w:eastAsia="Times New Roman" w:hAnsi="Arial" w:cs="Arial"/>
      <w:color w:val="000000"/>
      <w:sz w:val="18"/>
      <w:szCs w:val="18"/>
      <w:lang w:eastAsia="en-GB"/>
    </w:rPr>
  </w:style>
  <w:style w:type="character" w:customStyle="1" w:styleId="subparatext">
    <w:name w:val="subparatext"/>
    <w:basedOn w:val="DefaultParagraphFont"/>
    <w:rsid w:val="009F2BB6"/>
  </w:style>
  <w:style w:type="paragraph" w:styleId="BalloonText">
    <w:name w:val="Balloon Text"/>
    <w:basedOn w:val="Normal"/>
    <w:link w:val="BalloonTextChar"/>
    <w:uiPriority w:val="99"/>
    <w:semiHidden/>
    <w:unhideWhenUsed/>
    <w:rsid w:val="009F2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BB6"/>
    <w:rPr>
      <w:rFonts w:ascii="Tahoma" w:hAnsi="Tahoma" w:cs="Tahoma"/>
      <w:sz w:val="16"/>
      <w:szCs w:val="16"/>
    </w:rPr>
  </w:style>
  <w:style w:type="table" w:styleId="TableGrid">
    <w:name w:val="Table Grid"/>
    <w:basedOn w:val="TableNormal"/>
    <w:uiPriority w:val="59"/>
    <w:rsid w:val="009F2B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578CF"/>
    <w:rPr>
      <w:strike w:val="0"/>
      <w:dstrike w:val="0"/>
      <w:color w:val="10497C"/>
      <w:sz w:val="18"/>
      <w:szCs w:val="18"/>
      <w:u w:val="none"/>
      <w:effect w:val="none"/>
    </w:rPr>
  </w:style>
  <w:style w:type="character" w:customStyle="1" w:styleId="ar">
    <w:name w:val="ar"/>
    <w:basedOn w:val="DefaultParagraphFont"/>
    <w:rsid w:val="00F578CF"/>
  </w:style>
  <w:style w:type="character" w:customStyle="1" w:styleId="ap">
    <w:name w:val="ap"/>
    <w:basedOn w:val="DefaultParagraphFont"/>
    <w:rsid w:val="00F578CF"/>
  </w:style>
  <w:style w:type="character" w:customStyle="1" w:styleId="q">
    <w:name w:val="q"/>
    <w:basedOn w:val="DefaultParagraphFont"/>
    <w:rsid w:val="00F578CF"/>
  </w:style>
  <w:style w:type="character" w:customStyle="1" w:styleId="al">
    <w:name w:val="al"/>
    <w:basedOn w:val="DefaultParagraphFont"/>
    <w:rsid w:val="00F578CF"/>
  </w:style>
  <w:style w:type="paragraph" w:styleId="Header">
    <w:name w:val="header"/>
    <w:basedOn w:val="Normal"/>
    <w:link w:val="HeaderChar"/>
    <w:uiPriority w:val="99"/>
    <w:semiHidden/>
    <w:unhideWhenUsed/>
    <w:rsid w:val="002C72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72B1"/>
  </w:style>
  <w:style w:type="paragraph" w:styleId="Footer">
    <w:name w:val="footer"/>
    <w:basedOn w:val="Normal"/>
    <w:link w:val="FooterChar"/>
    <w:uiPriority w:val="99"/>
    <w:semiHidden/>
    <w:unhideWhenUsed/>
    <w:rsid w:val="002C72B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C72B1"/>
  </w:style>
  <w:style w:type="paragraph" w:customStyle="1" w:styleId="TableLeftm">
    <w:name w:val="^Table=Left+m"/>
    <w:basedOn w:val="Normal"/>
    <w:uiPriority w:val="17"/>
    <w:qFormat/>
    <w:rsid w:val="00B22374"/>
    <w:pPr>
      <w:spacing w:before="120" w:after="120" w:line="240" w:lineRule="auto"/>
    </w:pPr>
    <w:rPr>
      <w:rFonts w:ascii="Arial" w:eastAsia="Times New Roman" w:hAnsi="Arial" w:cs="Times New Roman"/>
      <w:sz w:val="20"/>
      <w:szCs w:val="20"/>
      <w:lang w:eastAsia="en-CA"/>
    </w:rPr>
  </w:style>
  <w:style w:type="character" w:customStyle="1" w:styleId="h">
    <w:name w:val="h"/>
    <w:basedOn w:val="DefaultParagraphFont"/>
    <w:rsid w:val="00B81EDF"/>
  </w:style>
  <w:style w:type="paragraph" w:customStyle="1" w:styleId="ak">
    <w:name w:val="ak"/>
    <w:basedOn w:val="Normal"/>
    <w:rsid w:val="00D4230C"/>
    <w:pPr>
      <w:spacing w:before="242" w:after="242" w:line="240" w:lineRule="auto"/>
    </w:pPr>
    <w:rPr>
      <w:rFonts w:ascii="Calibri" w:eastAsia="Times New Roman" w:hAnsi="Calibri" w:cs="Times New Roman"/>
      <w:b/>
      <w:bCs/>
      <w:lang w:eastAsia="en-GB"/>
    </w:rPr>
  </w:style>
  <w:style w:type="paragraph" w:customStyle="1" w:styleId="Pa10">
    <w:name w:val="Pa10"/>
    <w:basedOn w:val="Normal"/>
    <w:next w:val="Normal"/>
    <w:uiPriority w:val="99"/>
    <w:rsid w:val="00F0349E"/>
    <w:pPr>
      <w:autoSpaceDE w:val="0"/>
      <w:autoSpaceDN w:val="0"/>
      <w:adjustRightInd w:val="0"/>
      <w:spacing w:after="0" w:line="161" w:lineRule="atLeast"/>
    </w:pPr>
    <w:rPr>
      <w:rFonts w:ascii="Trade Gothic LT Com" w:hAnsi="Trade Gothic LT Com"/>
      <w:sz w:val="24"/>
      <w:szCs w:val="24"/>
    </w:rPr>
  </w:style>
  <w:style w:type="paragraph" w:customStyle="1" w:styleId="Pa1">
    <w:name w:val="Pa1"/>
    <w:basedOn w:val="Normal"/>
    <w:next w:val="Normal"/>
    <w:uiPriority w:val="99"/>
    <w:rsid w:val="00F0349E"/>
    <w:pPr>
      <w:autoSpaceDE w:val="0"/>
      <w:autoSpaceDN w:val="0"/>
      <w:adjustRightInd w:val="0"/>
      <w:spacing w:after="0" w:line="161" w:lineRule="atLeast"/>
    </w:pPr>
    <w:rPr>
      <w:rFonts w:ascii="Trade Gothic LT Com" w:hAnsi="Trade Gothic LT Com"/>
      <w:sz w:val="24"/>
      <w:szCs w:val="24"/>
    </w:rPr>
  </w:style>
  <w:style w:type="paragraph" w:customStyle="1" w:styleId="TextForfigsover">
    <w:name w:val="_Text (For figsover)"/>
    <w:basedOn w:val="Normal"/>
    <w:uiPriority w:val="29"/>
    <w:qFormat/>
    <w:rsid w:val="000B4581"/>
    <w:pPr>
      <w:tabs>
        <w:tab w:val="left" w:pos="227"/>
      </w:tabs>
      <w:suppressAutoHyphens/>
      <w:autoSpaceDE w:val="0"/>
      <w:autoSpaceDN w:val="0"/>
      <w:adjustRightInd w:val="0"/>
      <w:spacing w:after="120" w:line="200" w:lineRule="atLeast"/>
      <w:textAlignment w:val="center"/>
    </w:pPr>
    <w:rPr>
      <w:rFonts w:ascii="Arial" w:hAnsi="Arial" w:cs="Arial"/>
      <w:color w:val="000000"/>
      <w:sz w:val="18"/>
      <w:szCs w:val="18"/>
    </w:rPr>
  </w:style>
  <w:style w:type="paragraph" w:customStyle="1" w:styleId="Subhead3Forfigsover">
    <w:name w:val="_Subhead 3 (For figsover)"/>
    <w:basedOn w:val="Normal"/>
    <w:uiPriority w:val="29"/>
    <w:qFormat/>
    <w:rsid w:val="000B4581"/>
    <w:pPr>
      <w:keepNext/>
      <w:suppressAutoHyphens/>
      <w:autoSpaceDE w:val="0"/>
      <w:autoSpaceDN w:val="0"/>
      <w:adjustRightInd w:val="0"/>
      <w:spacing w:before="40" w:after="40" w:line="200" w:lineRule="atLeast"/>
      <w:textAlignment w:val="center"/>
    </w:pPr>
    <w:rPr>
      <w:rFonts w:ascii="Arial" w:hAnsi="Arial" w:cs="Arial"/>
      <w:i/>
      <w:iCs/>
      <w:color w:val="000000"/>
      <w:sz w:val="18"/>
      <w:szCs w:val="18"/>
    </w:rPr>
  </w:style>
  <w:style w:type="paragraph" w:customStyle="1" w:styleId="Subhead4Forfigsover">
    <w:name w:val="_Subhead 4 (For figsover)"/>
    <w:basedOn w:val="Subhead3Forfigsover"/>
    <w:uiPriority w:val="29"/>
    <w:qFormat/>
    <w:rsid w:val="000B4581"/>
    <w:rPr>
      <w:b/>
      <w:bCs/>
      <w:i w:val="0"/>
      <w:iCs w:val="0"/>
      <w:sz w:val="14"/>
      <w:szCs w:val="14"/>
    </w:rPr>
  </w:style>
  <w:style w:type="character" w:customStyle="1" w:styleId="Boldbodytext">
    <w:name w:val="Bold body text"/>
    <w:uiPriority w:val="29"/>
    <w:qFormat/>
    <w:rsid w:val="000B4581"/>
    <w:rPr>
      <w:rFonts w:ascii="Trade Gothic LT Com Bold" w:hAnsi="Trade Gothic LT Com Bold" w:cs="Trade Gothic LT Com Bold"/>
      <w:b/>
      <w:bCs/>
    </w:rPr>
  </w:style>
  <w:style w:type="character" w:styleId="CommentReference">
    <w:name w:val="annotation reference"/>
    <w:basedOn w:val="DefaultParagraphFont"/>
    <w:uiPriority w:val="99"/>
    <w:semiHidden/>
    <w:unhideWhenUsed/>
    <w:rsid w:val="005335A9"/>
    <w:rPr>
      <w:sz w:val="16"/>
      <w:szCs w:val="16"/>
    </w:rPr>
  </w:style>
  <w:style w:type="paragraph" w:styleId="CommentText">
    <w:name w:val="annotation text"/>
    <w:basedOn w:val="Normal"/>
    <w:link w:val="CommentTextChar"/>
    <w:uiPriority w:val="99"/>
    <w:semiHidden/>
    <w:unhideWhenUsed/>
    <w:rsid w:val="005335A9"/>
    <w:pPr>
      <w:spacing w:line="240" w:lineRule="auto"/>
    </w:pPr>
    <w:rPr>
      <w:sz w:val="20"/>
      <w:szCs w:val="20"/>
    </w:rPr>
  </w:style>
  <w:style w:type="character" w:customStyle="1" w:styleId="CommentTextChar">
    <w:name w:val="Comment Text Char"/>
    <w:basedOn w:val="DefaultParagraphFont"/>
    <w:link w:val="CommentText"/>
    <w:uiPriority w:val="99"/>
    <w:semiHidden/>
    <w:rsid w:val="005335A9"/>
    <w:rPr>
      <w:sz w:val="20"/>
      <w:szCs w:val="20"/>
    </w:rPr>
  </w:style>
  <w:style w:type="paragraph" w:styleId="CommentSubject">
    <w:name w:val="annotation subject"/>
    <w:basedOn w:val="CommentText"/>
    <w:next w:val="CommentText"/>
    <w:link w:val="CommentSubjectChar"/>
    <w:uiPriority w:val="99"/>
    <w:semiHidden/>
    <w:unhideWhenUsed/>
    <w:rsid w:val="005335A9"/>
    <w:rPr>
      <w:b/>
      <w:bCs/>
    </w:rPr>
  </w:style>
  <w:style w:type="character" w:customStyle="1" w:styleId="CommentSubjectChar">
    <w:name w:val="Comment Subject Char"/>
    <w:basedOn w:val="CommentTextChar"/>
    <w:link w:val="CommentSubject"/>
    <w:uiPriority w:val="99"/>
    <w:semiHidden/>
    <w:rsid w:val="005335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89997">
      <w:bodyDiv w:val="1"/>
      <w:marLeft w:val="0"/>
      <w:marRight w:val="0"/>
      <w:marTop w:val="0"/>
      <w:marBottom w:val="0"/>
      <w:divBdr>
        <w:top w:val="none" w:sz="0" w:space="0" w:color="auto"/>
        <w:left w:val="none" w:sz="0" w:space="0" w:color="auto"/>
        <w:bottom w:val="none" w:sz="0" w:space="0" w:color="auto"/>
        <w:right w:val="none" w:sz="0" w:space="0" w:color="auto"/>
      </w:divBdr>
    </w:div>
    <w:div w:id="92750269">
      <w:bodyDiv w:val="1"/>
      <w:marLeft w:val="0"/>
      <w:marRight w:val="0"/>
      <w:marTop w:val="0"/>
      <w:marBottom w:val="0"/>
      <w:divBdr>
        <w:top w:val="none" w:sz="0" w:space="0" w:color="auto"/>
        <w:left w:val="none" w:sz="0" w:space="0" w:color="auto"/>
        <w:bottom w:val="none" w:sz="0" w:space="0" w:color="auto"/>
        <w:right w:val="none" w:sz="0" w:space="0" w:color="auto"/>
      </w:divBdr>
      <w:divsChild>
        <w:div w:id="834489112">
          <w:marLeft w:val="4350"/>
          <w:marRight w:val="0"/>
          <w:marTop w:val="825"/>
          <w:marBottom w:val="0"/>
          <w:divBdr>
            <w:top w:val="none" w:sz="0" w:space="0" w:color="auto"/>
            <w:left w:val="single" w:sz="6" w:space="15" w:color="000000"/>
            <w:bottom w:val="none" w:sz="0" w:space="0" w:color="auto"/>
            <w:right w:val="none" w:sz="0" w:space="0" w:color="auto"/>
          </w:divBdr>
        </w:div>
      </w:divsChild>
    </w:div>
    <w:div w:id="846404821">
      <w:bodyDiv w:val="1"/>
      <w:marLeft w:val="0"/>
      <w:marRight w:val="0"/>
      <w:marTop w:val="0"/>
      <w:marBottom w:val="0"/>
      <w:divBdr>
        <w:top w:val="none" w:sz="0" w:space="0" w:color="auto"/>
        <w:left w:val="none" w:sz="0" w:space="0" w:color="auto"/>
        <w:bottom w:val="none" w:sz="0" w:space="0" w:color="auto"/>
        <w:right w:val="none" w:sz="0" w:space="0" w:color="auto"/>
      </w:divBdr>
      <w:divsChild>
        <w:div w:id="1788427403">
          <w:marLeft w:val="0"/>
          <w:marRight w:val="0"/>
          <w:marTop w:val="0"/>
          <w:marBottom w:val="0"/>
          <w:divBdr>
            <w:top w:val="none" w:sz="0" w:space="0" w:color="auto"/>
            <w:left w:val="none" w:sz="0" w:space="0" w:color="auto"/>
            <w:bottom w:val="none" w:sz="0" w:space="0" w:color="auto"/>
            <w:right w:val="none" w:sz="0" w:space="0" w:color="auto"/>
          </w:divBdr>
          <w:divsChild>
            <w:div w:id="114253116">
              <w:marLeft w:val="150"/>
              <w:marRight w:val="150"/>
              <w:marTop w:val="225"/>
              <w:marBottom w:val="1500"/>
              <w:divBdr>
                <w:top w:val="none" w:sz="0" w:space="0" w:color="auto"/>
                <w:left w:val="none" w:sz="0" w:space="0" w:color="auto"/>
                <w:bottom w:val="none" w:sz="0" w:space="0" w:color="auto"/>
                <w:right w:val="none" w:sz="0" w:space="0" w:color="auto"/>
              </w:divBdr>
              <w:divsChild>
                <w:div w:id="1673222110">
                  <w:marLeft w:val="0"/>
                  <w:marRight w:val="0"/>
                  <w:marTop w:val="0"/>
                  <w:marBottom w:val="0"/>
                  <w:divBdr>
                    <w:top w:val="none" w:sz="0" w:space="0" w:color="auto"/>
                    <w:left w:val="none" w:sz="0" w:space="0" w:color="auto"/>
                    <w:bottom w:val="none" w:sz="0" w:space="0" w:color="auto"/>
                    <w:right w:val="none" w:sz="0" w:space="0" w:color="auto"/>
                  </w:divBdr>
                  <w:divsChild>
                    <w:div w:id="962929108">
                      <w:marLeft w:val="0"/>
                      <w:marRight w:val="0"/>
                      <w:marTop w:val="0"/>
                      <w:marBottom w:val="0"/>
                      <w:divBdr>
                        <w:top w:val="none" w:sz="0" w:space="0" w:color="auto"/>
                        <w:left w:val="none" w:sz="0" w:space="0" w:color="auto"/>
                        <w:bottom w:val="none" w:sz="0" w:space="0" w:color="auto"/>
                        <w:right w:val="none" w:sz="0" w:space="0" w:color="auto"/>
                      </w:divBdr>
                      <w:divsChild>
                        <w:div w:id="12375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308884">
      <w:bodyDiv w:val="1"/>
      <w:marLeft w:val="0"/>
      <w:marRight w:val="0"/>
      <w:marTop w:val="0"/>
      <w:marBottom w:val="0"/>
      <w:divBdr>
        <w:top w:val="none" w:sz="0" w:space="0" w:color="auto"/>
        <w:left w:val="none" w:sz="0" w:space="0" w:color="auto"/>
        <w:bottom w:val="none" w:sz="0" w:space="0" w:color="auto"/>
        <w:right w:val="none" w:sz="0" w:space="0" w:color="auto"/>
      </w:divBdr>
      <w:divsChild>
        <w:div w:id="1491095666">
          <w:marLeft w:val="0"/>
          <w:marRight w:val="0"/>
          <w:marTop w:val="0"/>
          <w:marBottom w:val="0"/>
          <w:divBdr>
            <w:top w:val="none" w:sz="0" w:space="0" w:color="auto"/>
            <w:left w:val="none" w:sz="0" w:space="0" w:color="auto"/>
            <w:bottom w:val="none" w:sz="0" w:space="0" w:color="auto"/>
            <w:right w:val="none" w:sz="0" w:space="0" w:color="auto"/>
          </w:divBdr>
          <w:divsChild>
            <w:div w:id="421947839">
              <w:marLeft w:val="150"/>
              <w:marRight w:val="150"/>
              <w:marTop w:val="225"/>
              <w:marBottom w:val="1500"/>
              <w:divBdr>
                <w:top w:val="none" w:sz="0" w:space="0" w:color="auto"/>
                <w:left w:val="none" w:sz="0" w:space="0" w:color="auto"/>
                <w:bottom w:val="none" w:sz="0" w:space="0" w:color="auto"/>
                <w:right w:val="none" w:sz="0" w:space="0" w:color="auto"/>
              </w:divBdr>
              <w:divsChild>
                <w:div w:id="426386365">
                  <w:marLeft w:val="0"/>
                  <w:marRight w:val="0"/>
                  <w:marTop w:val="0"/>
                  <w:marBottom w:val="0"/>
                  <w:divBdr>
                    <w:top w:val="none" w:sz="0" w:space="0" w:color="auto"/>
                    <w:left w:val="none" w:sz="0" w:space="0" w:color="auto"/>
                    <w:bottom w:val="none" w:sz="0" w:space="0" w:color="auto"/>
                    <w:right w:val="none" w:sz="0" w:space="0" w:color="auto"/>
                  </w:divBdr>
                  <w:divsChild>
                    <w:div w:id="437481617">
                      <w:marLeft w:val="0"/>
                      <w:marRight w:val="0"/>
                      <w:marTop w:val="0"/>
                      <w:marBottom w:val="0"/>
                      <w:divBdr>
                        <w:top w:val="none" w:sz="0" w:space="0" w:color="auto"/>
                        <w:left w:val="none" w:sz="0" w:space="0" w:color="auto"/>
                        <w:bottom w:val="none" w:sz="0" w:space="0" w:color="auto"/>
                        <w:right w:val="none" w:sz="0" w:space="0" w:color="auto"/>
                      </w:divBdr>
                      <w:divsChild>
                        <w:div w:id="5256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432757">
      <w:bodyDiv w:val="1"/>
      <w:marLeft w:val="0"/>
      <w:marRight w:val="0"/>
      <w:marTop w:val="0"/>
      <w:marBottom w:val="0"/>
      <w:divBdr>
        <w:top w:val="none" w:sz="0" w:space="0" w:color="auto"/>
        <w:left w:val="none" w:sz="0" w:space="0" w:color="auto"/>
        <w:bottom w:val="none" w:sz="0" w:space="0" w:color="auto"/>
        <w:right w:val="none" w:sz="0" w:space="0" w:color="auto"/>
      </w:divBdr>
    </w:div>
    <w:div w:id="1172136100">
      <w:bodyDiv w:val="1"/>
      <w:marLeft w:val="0"/>
      <w:marRight w:val="0"/>
      <w:marTop w:val="0"/>
      <w:marBottom w:val="0"/>
      <w:divBdr>
        <w:top w:val="none" w:sz="0" w:space="0" w:color="auto"/>
        <w:left w:val="none" w:sz="0" w:space="0" w:color="auto"/>
        <w:bottom w:val="none" w:sz="0" w:space="0" w:color="auto"/>
        <w:right w:val="none" w:sz="0" w:space="0" w:color="auto"/>
      </w:divBdr>
    </w:div>
    <w:div w:id="1315908487">
      <w:bodyDiv w:val="1"/>
      <w:marLeft w:val="0"/>
      <w:marRight w:val="0"/>
      <w:marTop w:val="0"/>
      <w:marBottom w:val="0"/>
      <w:divBdr>
        <w:top w:val="none" w:sz="0" w:space="0" w:color="auto"/>
        <w:left w:val="none" w:sz="0" w:space="0" w:color="auto"/>
        <w:bottom w:val="none" w:sz="0" w:space="0" w:color="auto"/>
        <w:right w:val="none" w:sz="0" w:space="0" w:color="auto"/>
      </w:divBdr>
      <w:divsChild>
        <w:div w:id="1492258395">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03EA3-8FB0-4F43-BAC6-308508BA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Ashleigh.Stewart</dc:creator>
  <cp:lastModifiedBy>Kiera Maloney</cp:lastModifiedBy>
  <cp:revision>3</cp:revision>
  <cp:lastPrinted>2019-04-18T13:33:00Z</cp:lastPrinted>
  <dcterms:created xsi:type="dcterms:W3CDTF">2020-06-15T11:15:00Z</dcterms:created>
  <dcterms:modified xsi:type="dcterms:W3CDTF">2020-06-17T10:06:00Z</dcterms:modified>
</cp:coreProperties>
</file>