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EA72D" w14:textId="1812AF45" w:rsidR="000D2B70" w:rsidRDefault="00577B1E" w:rsidP="001F171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Company </w:t>
      </w:r>
      <w:r w:rsidR="000D2B70">
        <w:rPr>
          <w:rFonts w:ascii="Arial" w:eastAsia="Times New Roman" w:hAnsi="Arial" w:cs="Arial"/>
          <w:b/>
        </w:rPr>
        <w:t xml:space="preserve">Number </w:t>
      </w:r>
      <w:r w:rsidR="00E82EB8" w:rsidRPr="00E82EB8">
        <w:rPr>
          <w:rFonts w:ascii="Arial" w:eastAsia="Times New Roman" w:hAnsi="Arial" w:cs="Arial"/>
          <w:b/>
        </w:rPr>
        <w:t>02231246</w:t>
      </w:r>
    </w:p>
    <w:p w14:paraId="1FDA98D3" w14:textId="77777777" w:rsidR="00490801" w:rsidRDefault="00490801" w:rsidP="001F171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7C04309" w14:textId="35D88551" w:rsidR="00E82EB8" w:rsidRDefault="00E82EB8" w:rsidP="001F171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E7F451F" w14:textId="42DC0C6D" w:rsidR="00E82EB8" w:rsidRDefault="002F7556" w:rsidP="001F171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THE COMPANIES ACT 2006</w:t>
      </w:r>
    </w:p>
    <w:p w14:paraId="5A3A0FB0" w14:textId="77777777" w:rsidR="002F7556" w:rsidRDefault="002F7556" w:rsidP="001F171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E3D7BB9" w14:textId="6E298691" w:rsidR="00E82EB8" w:rsidRDefault="002F7556" w:rsidP="001F171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PUBLIC COMPANY LIMITED BY SHARES</w:t>
      </w:r>
    </w:p>
    <w:p w14:paraId="22FFD55E" w14:textId="77777777" w:rsidR="00E82EB8" w:rsidRDefault="00E82EB8" w:rsidP="001F171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4172BA8" w14:textId="10703B3F" w:rsidR="001E2FFD" w:rsidRPr="001E2FFD" w:rsidRDefault="001E2FFD" w:rsidP="001F171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2FFD">
        <w:rPr>
          <w:rFonts w:ascii="Arial" w:eastAsia="Times New Roman" w:hAnsi="Arial" w:cs="Arial"/>
          <w:b/>
        </w:rPr>
        <w:t>RESOLUTIONS</w:t>
      </w:r>
    </w:p>
    <w:p w14:paraId="77F28D24" w14:textId="77777777" w:rsidR="001E2FFD" w:rsidRPr="001E2FFD" w:rsidRDefault="001E2FFD" w:rsidP="001F171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F1D985D" w14:textId="77777777" w:rsidR="001E2FFD" w:rsidRPr="001E2FFD" w:rsidRDefault="001E2FFD" w:rsidP="001F171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2FFD">
        <w:rPr>
          <w:rFonts w:ascii="Arial" w:eastAsia="Times New Roman" w:hAnsi="Arial" w:cs="Arial"/>
          <w:b/>
        </w:rPr>
        <w:t>OF</w:t>
      </w:r>
    </w:p>
    <w:p w14:paraId="1D6AEC0C" w14:textId="77777777" w:rsidR="001E2FFD" w:rsidRPr="001E2FFD" w:rsidRDefault="001E2FFD" w:rsidP="001F171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9EE4E0B" w14:textId="11897C31" w:rsidR="001E2FFD" w:rsidRDefault="001E2FFD" w:rsidP="001F171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2FFD">
        <w:rPr>
          <w:rFonts w:ascii="Arial" w:eastAsia="Times New Roman" w:hAnsi="Arial" w:cs="Arial"/>
          <w:b/>
        </w:rPr>
        <w:t>THE SAGE GROUP PLC</w:t>
      </w:r>
      <w:r w:rsidR="00EC7334">
        <w:rPr>
          <w:rFonts w:ascii="Arial" w:eastAsia="Times New Roman" w:hAnsi="Arial" w:cs="Arial"/>
          <w:b/>
        </w:rPr>
        <w:t>.</w:t>
      </w:r>
    </w:p>
    <w:p w14:paraId="3634D2FD" w14:textId="5C8DED84" w:rsidR="001E2FFD" w:rsidRDefault="002F7556" w:rsidP="001F171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</w:t>
      </w:r>
      <w:r w:rsidR="0034276D">
        <w:rPr>
          <w:rFonts w:ascii="Arial" w:eastAsia="Times New Roman" w:hAnsi="Arial" w:cs="Arial"/>
          <w:b/>
        </w:rPr>
        <w:t xml:space="preserve">the </w:t>
      </w:r>
      <w:r w:rsidR="00EC7334">
        <w:rPr>
          <w:rFonts w:ascii="Arial" w:eastAsia="Times New Roman" w:hAnsi="Arial" w:cs="Arial"/>
          <w:b/>
        </w:rPr>
        <w:t>“</w:t>
      </w:r>
      <w:r w:rsidR="0034276D">
        <w:rPr>
          <w:rFonts w:ascii="Arial" w:eastAsia="Times New Roman" w:hAnsi="Arial" w:cs="Arial"/>
          <w:b/>
        </w:rPr>
        <w:t>Company”)</w:t>
      </w:r>
    </w:p>
    <w:p w14:paraId="1BF484CF" w14:textId="0E97A723" w:rsidR="0034276D" w:rsidRDefault="0034276D" w:rsidP="001F171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AF39B17" w14:textId="77777777" w:rsidR="0034276D" w:rsidRPr="001E2FFD" w:rsidRDefault="0034276D" w:rsidP="001F171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38F0955" w14:textId="10F2F797" w:rsidR="001E2FFD" w:rsidRPr="001E2FFD" w:rsidRDefault="001E2FFD" w:rsidP="4AA16A6A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4AA16A6A">
        <w:rPr>
          <w:rFonts w:ascii="Arial" w:eastAsia="Times New Roman" w:hAnsi="Arial" w:cs="Arial"/>
          <w:b/>
          <w:bCs/>
        </w:rPr>
        <w:t>(</w:t>
      </w:r>
      <w:r w:rsidR="00DB04B1">
        <w:rPr>
          <w:rFonts w:ascii="Arial" w:eastAsia="Times New Roman" w:hAnsi="Arial" w:cs="Arial"/>
          <w:b/>
          <w:bCs/>
        </w:rPr>
        <w:t>P</w:t>
      </w:r>
      <w:r w:rsidRPr="4AA16A6A">
        <w:rPr>
          <w:rFonts w:ascii="Arial" w:eastAsia="Times New Roman" w:hAnsi="Arial" w:cs="Arial"/>
          <w:b/>
          <w:bCs/>
        </w:rPr>
        <w:t xml:space="preserve">assed on </w:t>
      </w:r>
      <w:r w:rsidR="00A02F2B">
        <w:rPr>
          <w:rFonts w:ascii="Arial" w:eastAsia="Times New Roman" w:hAnsi="Arial" w:cs="Arial"/>
          <w:b/>
          <w:bCs/>
        </w:rPr>
        <w:t>4</w:t>
      </w:r>
      <w:r w:rsidRPr="4AA16A6A">
        <w:rPr>
          <w:rFonts w:ascii="Arial" w:eastAsia="Times New Roman" w:hAnsi="Arial" w:cs="Arial"/>
          <w:b/>
          <w:bCs/>
        </w:rPr>
        <w:t xml:space="preserve"> February 20</w:t>
      </w:r>
      <w:r w:rsidR="2F77A4F3" w:rsidRPr="4AA16A6A">
        <w:rPr>
          <w:rFonts w:ascii="Arial" w:eastAsia="Times New Roman" w:hAnsi="Arial" w:cs="Arial"/>
          <w:b/>
          <w:bCs/>
        </w:rPr>
        <w:t>2</w:t>
      </w:r>
      <w:r w:rsidR="00A02F2B">
        <w:rPr>
          <w:rFonts w:ascii="Arial" w:eastAsia="Times New Roman" w:hAnsi="Arial" w:cs="Arial"/>
          <w:b/>
          <w:bCs/>
        </w:rPr>
        <w:t>1</w:t>
      </w:r>
      <w:r w:rsidRPr="4AA16A6A">
        <w:rPr>
          <w:rFonts w:ascii="Arial" w:eastAsia="Times New Roman" w:hAnsi="Arial" w:cs="Arial"/>
          <w:b/>
          <w:bCs/>
        </w:rPr>
        <w:t>)</w:t>
      </w:r>
    </w:p>
    <w:p w14:paraId="4165B80D" w14:textId="77777777" w:rsidR="001E2FFD" w:rsidRPr="001E2FFD" w:rsidRDefault="001E2FFD" w:rsidP="001F171E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1E2FFD">
        <w:rPr>
          <w:rFonts w:ascii="Arial" w:eastAsia="Times New Roman" w:hAnsi="Arial" w:cs="Arial"/>
          <w:b/>
        </w:rPr>
        <w:br/>
      </w:r>
    </w:p>
    <w:p w14:paraId="17C8E92F" w14:textId="6E60ED59" w:rsidR="00DB04B1" w:rsidRDefault="00DB04B1" w:rsidP="00490801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</w:t>
      </w:r>
      <w:r w:rsidRPr="00DB04B1">
        <w:rPr>
          <w:rFonts w:ascii="Arial" w:eastAsia="Times New Roman" w:hAnsi="Arial" w:cs="Arial"/>
        </w:rPr>
        <w:t xml:space="preserve">esolutions numbered 18 to 22 (inclusive) were duly passed as Special Resolutions </w:t>
      </w:r>
      <w:r w:rsidR="00A90F7D">
        <w:rPr>
          <w:rFonts w:ascii="Arial" w:eastAsia="Times New Roman" w:hAnsi="Arial" w:cs="Arial"/>
        </w:rPr>
        <w:t>at the Annual General Meeting of</w:t>
      </w:r>
      <w:r w:rsidRPr="00DB04B1">
        <w:rPr>
          <w:rFonts w:ascii="Arial" w:eastAsia="Times New Roman" w:hAnsi="Arial" w:cs="Arial"/>
        </w:rPr>
        <w:t xml:space="preserve"> the Company on 4 February </w:t>
      </w:r>
      <w:proofErr w:type="gramStart"/>
      <w:r w:rsidRPr="00DB04B1">
        <w:rPr>
          <w:rFonts w:ascii="Arial" w:eastAsia="Times New Roman" w:hAnsi="Arial" w:cs="Arial"/>
        </w:rPr>
        <w:t>2021:-</w:t>
      </w:r>
      <w:proofErr w:type="gramEnd"/>
    </w:p>
    <w:p w14:paraId="366BE02A" w14:textId="77777777" w:rsidR="00F410E5" w:rsidRDefault="00F410E5" w:rsidP="00490801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BF4900B" w14:textId="1D4FED10" w:rsidR="00837B6C" w:rsidRDefault="00837B6C" w:rsidP="006D0FDE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SPECIAL RESOLUTIONS</w:t>
      </w:r>
    </w:p>
    <w:p w14:paraId="06575979" w14:textId="77777777" w:rsidR="000E29BA" w:rsidRDefault="000E29BA" w:rsidP="006D0FDE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30B5AFD1" w14:textId="0D99FE49" w:rsidR="00A02F2B" w:rsidRPr="00A02F2B" w:rsidRDefault="00A02F2B" w:rsidP="00A02F2B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A02F2B">
        <w:rPr>
          <w:rFonts w:ascii="Arial" w:eastAsia="Times New Roman" w:hAnsi="Arial" w:cs="Arial"/>
          <w:b/>
        </w:rPr>
        <w:t xml:space="preserve">Resolution 18 </w:t>
      </w:r>
    </w:p>
    <w:p w14:paraId="7AE71192" w14:textId="77777777" w:rsidR="00A02F2B" w:rsidRDefault="00A02F2B" w:rsidP="00A02F2B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282CDC88" w14:textId="67928EEF" w:rsidR="00A02F2B" w:rsidRDefault="00A02F2B" w:rsidP="00A02F2B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A02F2B">
        <w:rPr>
          <w:rFonts w:ascii="Arial" w:eastAsia="Times New Roman" w:hAnsi="Arial" w:cs="Arial"/>
          <w:bCs/>
        </w:rPr>
        <w:t>That:</w:t>
      </w:r>
    </w:p>
    <w:p w14:paraId="7C826693" w14:textId="31A609FE" w:rsidR="00A02F2B" w:rsidRDefault="00A02F2B" w:rsidP="00A02F2B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0CF9A2AC" w14:textId="2B254800" w:rsidR="00A02F2B" w:rsidRDefault="00A02F2B" w:rsidP="00A02F2B">
      <w:pPr>
        <w:pStyle w:val="ListParagraph"/>
        <w:numPr>
          <w:ilvl w:val="0"/>
          <w:numId w:val="13"/>
        </w:num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A02F2B">
        <w:rPr>
          <w:rFonts w:ascii="Arial" w:eastAsia="Times New Roman" w:hAnsi="Arial" w:cs="Arial"/>
          <w:bCs/>
        </w:rPr>
        <w:t xml:space="preserve">in accordance with article 8 of the Company’s Articles of Association, the Directors be given power to allot equity securities for cash as if section 561 of the Companies Act 2006 did not </w:t>
      </w:r>
      <w:proofErr w:type="gramStart"/>
      <w:r w:rsidRPr="00A02F2B">
        <w:rPr>
          <w:rFonts w:ascii="Arial" w:eastAsia="Times New Roman" w:hAnsi="Arial" w:cs="Arial"/>
          <w:bCs/>
        </w:rPr>
        <w:t>apply;</w:t>
      </w:r>
      <w:proofErr w:type="gramEnd"/>
    </w:p>
    <w:p w14:paraId="5047E118" w14:textId="77777777" w:rsidR="00A02F2B" w:rsidRDefault="00A02F2B" w:rsidP="00A02F2B">
      <w:pPr>
        <w:pStyle w:val="ListParagraph"/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7DF397F4" w14:textId="0FD7D1F2" w:rsidR="00A02F2B" w:rsidRDefault="00A02F2B" w:rsidP="00A02F2B">
      <w:pPr>
        <w:pStyle w:val="ListParagraph"/>
        <w:numPr>
          <w:ilvl w:val="0"/>
          <w:numId w:val="13"/>
        </w:num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A02F2B">
        <w:rPr>
          <w:rFonts w:ascii="Arial" w:eastAsia="Times New Roman" w:hAnsi="Arial" w:cs="Arial"/>
          <w:bCs/>
        </w:rPr>
        <w:t>the power under paragraph (a) above (other than in</w:t>
      </w:r>
      <w:r>
        <w:rPr>
          <w:rFonts w:ascii="Arial" w:eastAsia="Times New Roman" w:hAnsi="Arial" w:cs="Arial"/>
          <w:bCs/>
        </w:rPr>
        <w:t xml:space="preserve"> </w:t>
      </w:r>
      <w:r w:rsidRPr="00A02F2B">
        <w:rPr>
          <w:rFonts w:ascii="Arial" w:eastAsia="Times New Roman" w:hAnsi="Arial" w:cs="Arial"/>
          <w:bCs/>
        </w:rPr>
        <w:t>connection with a rights issue, as defined in article 8 of</w:t>
      </w:r>
      <w:r>
        <w:rPr>
          <w:rFonts w:ascii="Arial" w:eastAsia="Times New Roman" w:hAnsi="Arial" w:cs="Arial"/>
          <w:bCs/>
        </w:rPr>
        <w:t xml:space="preserve"> </w:t>
      </w:r>
      <w:r w:rsidRPr="00A02F2B">
        <w:rPr>
          <w:rFonts w:ascii="Arial" w:eastAsia="Times New Roman" w:hAnsi="Arial" w:cs="Arial"/>
          <w:bCs/>
        </w:rPr>
        <w:t>the Company’s Articles of Association) shall be limited</w:t>
      </w:r>
      <w:r>
        <w:rPr>
          <w:rFonts w:ascii="Arial" w:eastAsia="Times New Roman" w:hAnsi="Arial" w:cs="Arial"/>
          <w:bCs/>
        </w:rPr>
        <w:t xml:space="preserve"> </w:t>
      </w:r>
      <w:r w:rsidRPr="00A02F2B">
        <w:rPr>
          <w:rFonts w:ascii="Arial" w:eastAsia="Times New Roman" w:hAnsi="Arial" w:cs="Arial"/>
          <w:bCs/>
        </w:rPr>
        <w:t>to the allotment of equity securities having a nominal</w:t>
      </w:r>
      <w:r>
        <w:rPr>
          <w:rFonts w:ascii="Arial" w:eastAsia="Times New Roman" w:hAnsi="Arial" w:cs="Arial"/>
          <w:bCs/>
        </w:rPr>
        <w:t xml:space="preserve"> </w:t>
      </w:r>
      <w:r w:rsidRPr="00A02F2B">
        <w:rPr>
          <w:rFonts w:ascii="Arial" w:eastAsia="Times New Roman" w:hAnsi="Arial" w:cs="Arial"/>
          <w:bCs/>
        </w:rPr>
        <w:t xml:space="preserve">amount not exceeding in aggregate </w:t>
      </w:r>
      <w:proofErr w:type="gramStart"/>
      <w:r w:rsidRPr="00A02F2B">
        <w:rPr>
          <w:rFonts w:ascii="Arial" w:eastAsia="Times New Roman" w:hAnsi="Arial" w:cs="Arial"/>
          <w:bCs/>
        </w:rPr>
        <w:t>£575,181.34;</w:t>
      </w:r>
      <w:proofErr w:type="gramEnd"/>
    </w:p>
    <w:p w14:paraId="751344B7" w14:textId="77777777" w:rsidR="00A02F2B" w:rsidRPr="00A02F2B" w:rsidRDefault="00A02F2B" w:rsidP="00A02F2B">
      <w:pPr>
        <w:pStyle w:val="ListParagraph"/>
        <w:rPr>
          <w:rFonts w:ascii="Arial" w:eastAsia="Times New Roman" w:hAnsi="Arial" w:cs="Arial"/>
          <w:bCs/>
        </w:rPr>
      </w:pPr>
    </w:p>
    <w:p w14:paraId="325F84B1" w14:textId="28B74987" w:rsidR="00A02F2B" w:rsidRPr="00A02F2B" w:rsidRDefault="00A02F2B" w:rsidP="00A02F2B">
      <w:pPr>
        <w:pStyle w:val="ListParagraph"/>
        <w:numPr>
          <w:ilvl w:val="0"/>
          <w:numId w:val="13"/>
        </w:num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A02F2B">
        <w:rPr>
          <w:rFonts w:ascii="Arial" w:eastAsia="Times New Roman" w:hAnsi="Arial" w:cs="Arial"/>
          <w:bCs/>
        </w:rPr>
        <w:t>this authority shall expire at the conclusion of the next</w:t>
      </w:r>
      <w:r>
        <w:rPr>
          <w:rFonts w:ascii="Arial" w:eastAsia="Times New Roman" w:hAnsi="Arial" w:cs="Arial"/>
          <w:bCs/>
        </w:rPr>
        <w:t xml:space="preserve"> </w:t>
      </w:r>
      <w:r w:rsidRPr="00A02F2B">
        <w:rPr>
          <w:rFonts w:ascii="Arial" w:eastAsia="Times New Roman" w:hAnsi="Arial" w:cs="Arial"/>
          <w:bCs/>
        </w:rPr>
        <w:t>Annual General Meeting of the Company after the</w:t>
      </w:r>
      <w:r>
        <w:rPr>
          <w:rFonts w:ascii="Arial" w:eastAsia="Times New Roman" w:hAnsi="Arial" w:cs="Arial"/>
          <w:bCs/>
        </w:rPr>
        <w:t xml:space="preserve"> </w:t>
      </w:r>
      <w:r w:rsidRPr="00A02F2B">
        <w:rPr>
          <w:rFonts w:ascii="Arial" w:eastAsia="Times New Roman" w:hAnsi="Arial" w:cs="Arial"/>
          <w:bCs/>
        </w:rPr>
        <w:t>passing of this resolution or, if earlier, at the close of</w:t>
      </w:r>
      <w:r>
        <w:rPr>
          <w:rFonts w:ascii="Arial" w:eastAsia="Times New Roman" w:hAnsi="Arial" w:cs="Arial"/>
          <w:bCs/>
        </w:rPr>
        <w:t xml:space="preserve"> </w:t>
      </w:r>
      <w:r w:rsidRPr="00A02F2B">
        <w:rPr>
          <w:rFonts w:ascii="Arial" w:eastAsia="Times New Roman" w:hAnsi="Arial" w:cs="Arial"/>
          <w:bCs/>
        </w:rPr>
        <w:t>business on 31 March 2022.</w:t>
      </w:r>
    </w:p>
    <w:p w14:paraId="5B77D8C1" w14:textId="1A8C8EA5" w:rsidR="00A02F2B" w:rsidRDefault="00A02F2B" w:rsidP="006D0FDE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3A6EF12" w14:textId="77777777" w:rsidR="00A02F2B" w:rsidRPr="00A02F2B" w:rsidRDefault="00A02F2B" w:rsidP="00A02F2B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A02F2B">
        <w:rPr>
          <w:rFonts w:ascii="Arial" w:eastAsia="Times New Roman" w:hAnsi="Arial" w:cs="Arial"/>
          <w:b/>
        </w:rPr>
        <w:t>Resolution 19</w:t>
      </w:r>
    </w:p>
    <w:p w14:paraId="7EF93C48" w14:textId="77777777" w:rsidR="00A02F2B" w:rsidRDefault="00A02F2B" w:rsidP="00A02F2B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7DECAC6F" w14:textId="3A8A989B" w:rsidR="00A02F2B" w:rsidRDefault="00A02F2B" w:rsidP="00A02F2B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A02F2B">
        <w:rPr>
          <w:rFonts w:ascii="Arial" w:eastAsia="Times New Roman" w:hAnsi="Arial" w:cs="Arial"/>
          <w:bCs/>
        </w:rPr>
        <w:t>That:</w:t>
      </w:r>
    </w:p>
    <w:p w14:paraId="720D5549" w14:textId="048DCFB4" w:rsidR="00A02F2B" w:rsidRDefault="00A02F2B" w:rsidP="00A02F2B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46A0AB4F" w14:textId="6A90E9B1" w:rsidR="00A02F2B" w:rsidRDefault="00A02F2B" w:rsidP="00A02F2B">
      <w:pPr>
        <w:pStyle w:val="ListParagraph"/>
        <w:numPr>
          <w:ilvl w:val="0"/>
          <w:numId w:val="14"/>
        </w:num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A02F2B">
        <w:rPr>
          <w:rFonts w:ascii="Arial" w:eastAsia="Times New Roman" w:hAnsi="Arial" w:cs="Arial"/>
          <w:bCs/>
        </w:rPr>
        <w:t>in addition to any authority granted under resolution 18,</w:t>
      </w:r>
      <w:r>
        <w:rPr>
          <w:rFonts w:ascii="Arial" w:eastAsia="Times New Roman" w:hAnsi="Arial" w:cs="Arial"/>
          <w:bCs/>
        </w:rPr>
        <w:t xml:space="preserve"> </w:t>
      </w:r>
      <w:r w:rsidRPr="00A02F2B">
        <w:rPr>
          <w:rFonts w:ascii="Arial" w:eastAsia="Times New Roman" w:hAnsi="Arial" w:cs="Arial"/>
          <w:bCs/>
        </w:rPr>
        <w:t>the Directors be authorised:</w:t>
      </w:r>
    </w:p>
    <w:p w14:paraId="54622A74" w14:textId="77777777" w:rsidR="00CA5B0F" w:rsidRDefault="00CA5B0F" w:rsidP="00CA5B0F">
      <w:pPr>
        <w:pStyle w:val="ListParagraph"/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0082336C" w14:textId="55038758" w:rsidR="00A02F2B" w:rsidRDefault="00A02F2B" w:rsidP="00A02F2B">
      <w:pPr>
        <w:pStyle w:val="ListParagraph"/>
        <w:numPr>
          <w:ilvl w:val="1"/>
          <w:numId w:val="14"/>
        </w:num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A02F2B">
        <w:rPr>
          <w:rFonts w:ascii="Arial" w:eastAsia="Times New Roman" w:hAnsi="Arial" w:cs="Arial"/>
          <w:bCs/>
        </w:rPr>
        <w:t>subject to the passing of resolution 17, to allot</w:t>
      </w:r>
      <w:r>
        <w:rPr>
          <w:rFonts w:ascii="Arial" w:eastAsia="Times New Roman" w:hAnsi="Arial" w:cs="Arial"/>
          <w:bCs/>
        </w:rPr>
        <w:t xml:space="preserve"> </w:t>
      </w:r>
      <w:r w:rsidRPr="00A02F2B">
        <w:rPr>
          <w:rFonts w:ascii="Arial" w:eastAsia="Times New Roman" w:hAnsi="Arial" w:cs="Arial"/>
          <w:bCs/>
        </w:rPr>
        <w:t>equity securities (as defined in section 560 of the</w:t>
      </w:r>
      <w:r>
        <w:rPr>
          <w:rFonts w:ascii="Arial" w:eastAsia="Times New Roman" w:hAnsi="Arial" w:cs="Arial"/>
          <w:bCs/>
        </w:rPr>
        <w:t xml:space="preserve"> </w:t>
      </w:r>
      <w:r w:rsidRPr="00A02F2B">
        <w:rPr>
          <w:rFonts w:ascii="Arial" w:eastAsia="Times New Roman" w:hAnsi="Arial" w:cs="Arial"/>
          <w:bCs/>
        </w:rPr>
        <w:t>Companies Act 2006) for cash pursuant to the</w:t>
      </w:r>
      <w:r>
        <w:rPr>
          <w:rFonts w:ascii="Arial" w:eastAsia="Times New Roman" w:hAnsi="Arial" w:cs="Arial"/>
          <w:bCs/>
        </w:rPr>
        <w:t xml:space="preserve"> </w:t>
      </w:r>
      <w:r w:rsidRPr="00A02F2B">
        <w:rPr>
          <w:rFonts w:ascii="Arial" w:eastAsia="Times New Roman" w:hAnsi="Arial" w:cs="Arial"/>
          <w:bCs/>
        </w:rPr>
        <w:t>authority conferred on them by that resolution under</w:t>
      </w:r>
      <w:r>
        <w:rPr>
          <w:rFonts w:ascii="Arial" w:eastAsia="Times New Roman" w:hAnsi="Arial" w:cs="Arial"/>
          <w:bCs/>
        </w:rPr>
        <w:t xml:space="preserve"> </w:t>
      </w:r>
      <w:r w:rsidRPr="00A02F2B">
        <w:rPr>
          <w:rFonts w:ascii="Arial" w:eastAsia="Times New Roman" w:hAnsi="Arial" w:cs="Arial"/>
          <w:bCs/>
        </w:rPr>
        <w:t>section 551 of that Act; and</w:t>
      </w:r>
    </w:p>
    <w:p w14:paraId="036C27B2" w14:textId="77777777" w:rsidR="00CA5B0F" w:rsidRDefault="00CA5B0F" w:rsidP="00CA5B0F">
      <w:pPr>
        <w:pStyle w:val="ListParagraph"/>
        <w:tabs>
          <w:tab w:val="left" w:pos="4253"/>
        </w:tabs>
        <w:spacing w:after="0" w:line="240" w:lineRule="auto"/>
        <w:ind w:left="1440"/>
        <w:jc w:val="both"/>
        <w:rPr>
          <w:rFonts w:ascii="Arial" w:eastAsia="Times New Roman" w:hAnsi="Arial" w:cs="Arial"/>
          <w:bCs/>
        </w:rPr>
      </w:pPr>
    </w:p>
    <w:p w14:paraId="6FCEF2D8" w14:textId="100C96B5" w:rsidR="00CA5B0F" w:rsidRPr="00CA5B0F" w:rsidRDefault="00A02F2B" w:rsidP="00CA5B0F">
      <w:pPr>
        <w:pStyle w:val="ListParagraph"/>
        <w:numPr>
          <w:ilvl w:val="1"/>
          <w:numId w:val="14"/>
        </w:num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A02F2B">
        <w:rPr>
          <w:rFonts w:ascii="Arial" w:eastAsia="Times New Roman" w:hAnsi="Arial" w:cs="Arial"/>
          <w:bCs/>
        </w:rPr>
        <w:t>to allot equity securities as defined in section 560(3)</w:t>
      </w:r>
      <w:r>
        <w:rPr>
          <w:rFonts w:ascii="Arial" w:eastAsia="Times New Roman" w:hAnsi="Arial" w:cs="Arial"/>
          <w:bCs/>
        </w:rPr>
        <w:t xml:space="preserve"> </w:t>
      </w:r>
      <w:r w:rsidRPr="00A02F2B">
        <w:rPr>
          <w:rFonts w:ascii="Arial" w:eastAsia="Times New Roman" w:hAnsi="Arial" w:cs="Arial"/>
          <w:bCs/>
        </w:rPr>
        <w:t>of that Act (sale of treasury shares) for cash,</w:t>
      </w:r>
      <w:r>
        <w:rPr>
          <w:rFonts w:ascii="Arial" w:eastAsia="Times New Roman" w:hAnsi="Arial" w:cs="Arial"/>
          <w:bCs/>
        </w:rPr>
        <w:t xml:space="preserve"> </w:t>
      </w:r>
    </w:p>
    <w:p w14:paraId="4CDFC75D" w14:textId="77777777" w:rsidR="00CA5B0F" w:rsidRDefault="00CA5B0F" w:rsidP="00A02F2B">
      <w:pPr>
        <w:tabs>
          <w:tab w:val="left" w:pos="4253"/>
        </w:tabs>
        <w:spacing w:after="0" w:line="240" w:lineRule="auto"/>
        <w:ind w:left="1080"/>
        <w:jc w:val="both"/>
        <w:rPr>
          <w:rFonts w:ascii="Arial" w:eastAsia="Times New Roman" w:hAnsi="Arial" w:cs="Arial"/>
          <w:bCs/>
        </w:rPr>
      </w:pPr>
    </w:p>
    <w:p w14:paraId="2056F9E9" w14:textId="4BCFC164" w:rsidR="00A02F2B" w:rsidRDefault="00A02F2B" w:rsidP="00A02F2B">
      <w:pPr>
        <w:tabs>
          <w:tab w:val="left" w:pos="4253"/>
        </w:tabs>
        <w:spacing w:after="0" w:line="240" w:lineRule="auto"/>
        <w:ind w:left="1080"/>
        <w:jc w:val="both"/>
        <w:rPr>
          <w:rFonts w:ascii="Arial" w:eastAsia="Times New Roman" w:hAnsi="Arial" w:cs="Arial"/>
          <w:bCs/>
        </w:rPr>
      </w:pPr>
      <w:r w:rsidRPr="00A02F2B">
        <w:rPr>
          <w:rFonts w:ascii="Arial" w:eastAsia="Times New Roman" w:hAnsi="Arial" w:cs="Arial"/>
          <w:bCs/>
        </w:rPr>
        <w:t>in either case as if section 561 of that Act did not apply to the allotment or sale, but this power shall be:</w:t>
      </w:r>
    </w:p>
    <w:p w14:paraId="7C3B000D" w14:textId="7E7DF40C" w:rsidR="00CA5B0F" w:rsidRDefault="00CA5B0F" w:rsidP="00A02F2B">
      <w:pPr>
        <w:tabs>
          <w:tab w:val="left" w:pos="4253"/>
        </w:tabs>
        <w:spacing w:after="0" w:line="240" w:lineRule="auto"/>
        <w:ind w:left="1080"/>
        <w:jc w:val="both"/>
        <w:rPr>
          <w:rFonts w:ascii="Arial" w:eastAsia="Times New Roman" w:hAnsi="Arial" w:cs="Arial"/>
          <w:bCs/>
        </w:rPr>
      </w:pPr>
    </w:p>
    <w:p w14:paraId="6E521989" w14:textId="45D10EF0" w:rsidR="00A02F2B" w:rsidRDefault="00A02F2B" w:rsidP="00CA5B0F">
      <w:pPr>
        <w:pStyle w:val="ListParagraph"/>
        <w:numPr>
          <w:ilvl w:val="0"/>
          <w:numId w:val="15"/>
        </w:num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A5B0F">
        <w:rPr>
          <w:rFonts w:ascii="Arial" w:eastAsia="Times New Roman" w:hAnsi="Arial" w:cs="Arial"/>
          <w:bCs/>
        </w:rPr>
        <w:lastRenderedPageBreak/>
        <w:t>limited to the allotment of equity securities up to</w:t>
      </w:r>
      <w:r w:rsidR="00EC7334"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a maximum nominal amount of £575,181.34; and</w:t>
      </w:r>
    </w:p>
    <w:p w14:paraId="4D9F0136" w14:textId="77777777" w:rsidR="00CA5B0F" w:rsidRPr="00CA5B0F" w:rsidRDefault="00CA5B0F" w:rsidP="00CA5B0F">
      <w:pPr>
        <w:pStyle w:val="ListParagraph"/>
        <w:tabs>
          <w:tab w:val="left" w:pos="4253"/>
        </w:tabs>
        <w:spacing w:after="0" w:line="240" w:lineRule="auto"/>
        <w:ind w:left="1440"/>
        <w:jc w:val="both"/>
        <w:rPr>
          <w:rFonts w:ascii="Arial" w:eastAsia="Times New Roman" w:hAnsi="Arial" w:cs="Arial"/>
          <w:bCs/>
        </w:rPr>
      </w:pPr>
    </w:p>
    <w:p w14:paraId="1785266B" w14:textId="45B5D0FA" w:rsidR="00A02F2B" w:rsidRDefault="00A02F2B" w:rsidP="00A02F2B">
      <w:pPr>
        <w:pStyle w:val="ListParagraph"/>
        <w:numPr>
          <w:ilvl w:val="0"/>
          <w:numId w:val="15"/>
        </w:num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A5B0F">
        <w:rPr>
          <w:rFonts w:ascii="Arial" w:eastAsia="Times New Roman" w:hAnsi="Arial" w:cs="Arial"/>
          <w:bCs/>
        </w:rPr>
        <w:t>used only for the purposes of financing (or</w:t>
      </w:r>
      <w:r w:rsidR="00CA5B0F"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refinancing, if the authority is to be used within</w:t>
      </w:r>
      <w:r w:rsidR="00CA5B0F"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six months after the original transaction) a</w:t>
      </w:r>
      <w:r w:rsidR="00CA5B0F"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transaction which the Board of the Company</w:t>
      </w:r>
      <w:r w:rsidR="00CA5B0F"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determines to be an acquisition or other capital</w:t>
      </w:r>
      <w:r w:rsidR="00CA5B0F"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investment of a kind contemplated by the</w:t>
      </w:r>
      <w:r w:rsidR="00CA5B0F"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Statement of Principles on Disapplying</w:t>
      </w:r>
      <w:r w:rsidR="00CA5B0F"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Pre-Emption Rights most recently published</w:t>
      </w:r>
      <w:r w:rsidR="00CA5B0F"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by the Pre-Emption Group prior to the date of</w:t>
      </w:r>
      <w:r w:rsidR="00CA5B0F"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 xml:space="preserve">this </w:t>
      </w:r>
      <w:proofErr w:type="gramStart"/>
      <w:r w:rsidRPr="00CA5B0F">
        <w:rPr>
          <w:rFonts w:ascii="Arial" w:eastAsia="Times New Roman" w:hAnsi="Arial" w:cs="Arial"/>
          <w:bCs/>
        </w:rPr>
        <w:t>document;</w:t>
      </w:r>
      <w:proofErr w:type="gramEnd"/>
    </w:p>
    <w:p w14:paraId="6B1ED977" w14:textId="3F18FA6E" w:rsid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30D31D7A" w14:textId="7AFD0644" w:rsidR="00A02F2B" w:rsidRDefault="00A02F2B" w:rsidP="00A02F2B">
      <w:pPr>
        <w:pStyle w:val="ListParagraph"/>
        <w:numPr>
          <w:ilvl w:val="0"/>
          <w:numId w:val="14"/>
        </w:num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A5B0F">
        <w:rPr>
          <w:rFonts w:ascii="Arial" w:eastAsia="Times New Roman" w:hAnsi="Arial" w:cs="Arial"/>
          <w:bCs/>
        </w:rPr>
        <w:t>this power shall expire at the conclusion of the next</w:t>
      </w:r>
      <w:r w:rsidR="00CA5B0F"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Annual General Meeting of the Company after the passing</w:t>
      </w:r>
      <w:r w:rsidR="00CA5B0F"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of this resolution or, if earlier, at the close of business on</w:t>
      </w:r>
      <w:r w:rsidR="00CA5B0F"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 xml:space="preserve">31 March </w:t>
      </w:r>
      <w:proofErr w:type="gramStart"/>
      <w:r w:rsidRPr="00CA5B0F">
        <w:rPr>
          <w:rFonts w:ascii="Arial" w:eastAsia="Times New Roman" w:hAnsi="Arial" w:cs="Arial"/>
          <w:bCs/>
        </w:rPr>
        <w:t>2022;</w:t>
      </w:r>
      <w:proofErr w:type="gramEnd"/>
      <w:r w:rsidRPr="00CA5B0F">
        <w:rPr>
          <w:rFonts w:ascii="Arial" w:eastAsia="Times New Roman" w:hAnsi="Arial" w:cs="Arial"/>
          <w:bCs/>
        </w:rPr>
        <w:t xml:space="preserve"> and</w:t>
      </w:r>
    </w:p>
    <w:p w14:paraId="57E6541D" w14:textId="77777777" w:rsidR="00CA5B0F" w:rsidRDefault="00CA5B0F" w:rsidP="00CA5B0F">
      <w:pPr>
        <w:pStyle w:val="ListParagraph"/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1D49182D" w14:textId="6CEEF274" w:rsidR="00A02F2B" w:rsidRPr="00CA5B0F" w:rsidRDefault="00A02F2B" w:rsidP="00A02F2B">
      <w:pPr>
        <w:pStyle w:val="ListParagraph"/>
        <w:numPr>
          <w:ilvl w:val="0"/>
          <w:numId w:val="14"/>
        </w:num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A5B0F">
        <w:rPr>
          <w:rFonts w:ascii="Arial" w:eastAsia="Times New Roman" w:hAnsi="Arial" w:cs="Arial"/>
          <w:bCs/>
        </w:rPr>
        <w:t>the Company may, before this power expires, make an</w:t>
      </w:r>
      <w:r w:rsidR="00CA5B0F">
        <w:rPr>
          <w:rFonts w:ascii="Arial" w:eastAsia="Times New Roman" w:hAnsi="Arial" w:cs="Arial"/>
          <w:bCs/>
        </w:rPr>
        <w:t xml:space="preserve"> </w:t>
      </w:r>
      <w:proofErr w:type="gramStart"/>
      <w:r w:rsidRPr="00CA5B0F">
        <w:rPr>
          <w:rFonts w:ascii="Arial" w:eastAsia="Times New Roman" w:hAnsi="Arial" w:cs="Arial"/>
          <w:bCs/>
        </w:rPr>
        <w:t>offer</w:t>
      </w:r>
      <w:proofErr w:type="gramEnd"/>
      <w:r w:rsidRPr="00CA5B0F">
        <w:rPr>
          <w:rFonts w:ascii="Arial" w:eastAsia="Times New Roman" w:hAnsi="Arial" w:cs="Arial"/>
          <w:bCs/>
        </w:rPr>
        <w:t xml:space="preserve"> or enter into an agreement, which would or might</w:t>
      </w:r>
      <w:r w:rsidR="00CA5B0F"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require equity securities to be allotted after it expires, and</w:t>
      </w:r>
      <w:r w:rsidR="00CA5B0F"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the Directors may allot equity securities in pursuance of</w:t>
      </w:r>
      <w:r w:rsidR="00CA5B0F"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such offer or agreement as if this power had not expired.</w:t>
      </w:r>
    </w:p>
    <w:p w14:paraId="31B3CE9A" w14:textId="77777777" w:rsidR="00A02F2B" w:rsidRDefault="00A02F2B" w:rsidP="006D0FDE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AFB9B27" w14:textId="77777777" w:rsidR="00CA5B0F" w:rsidRP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A5B0F">
        <w:rPr>
          <w:rFonts w:ascii="Arial" w:eastAsia="Times New Roman" w:hAnsi="Arial" w:cs="Arial"/>
          <w:b/>
        </w:rPr>
        <w:t xml:space="preserve">Resolution 20 </w:t>
      </w:r>
    </w:p>
    <w:p w14:paraId="10C332EC" w14:textId="77777777" w:rsid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3356EB9C" w14:textId="0036DDAA" w:rsid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A5B0F">
        <w:rPr>
          <w:rFonts w:ascii="Arial" w:eastAsia="Times New Roman" w:hAnsi="Arial" w:cs="Arial"/>
          <w:bCs/>
        </w:rPr>
        <w:t>That</w:t>
      </w:r>
      <w:r w:rsidR="00EC7334">
        <w:rPr>
          <w:rFonts w:ascii="Arial" w:eastAsia="Times New Roman" w:hAnsi="Arial" w:cs="Arial"/>
          <w:bCs/>
        </w:rPr>
        <w:t>:</w:t>
      </w:r>
      <w:r w:rsidRPr="00CA5B0F">
        <w:rPr>
          <w:rFonts w:ascii="Arial" w:eastAsia="Times New Roman" w:hAnsi="Arial" w:cs="Arial"/>
          <w:bCs/>
        </w:rPr>
        <w:t xml:space="preserve"> </w:t>
      </w:r>
    </w:p>
    <w:p w14:paraId="2382A7CA" w14:textId="77777777" w:rsid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764732CB" w14:textId="08D2BC8D" w:rsid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A5B0F">
        <w:rPr>
          <w:rFonts w:ascii="Arial" w:eastAsia="Times New Roman" w:hAnsi="Arial" w:cs="Arial"/>
          <w:bCs/>
        </w:rPr>
        <w:t>in accordance with section 701 of the Companies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Act 2006, the Company be and is hereby granted general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and unconditional authority to make one or more market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purchases (within the meaning of section 693 of the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Companies Act 2006) of ordinary shares in the capital of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the Company on such terms and in such manner as the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Directors shall determine provided that:</w:t>
      </w:r>
    </w:p>
    <w:p w14:paraId="17981D08" w14:textId="419E6B09" w:rsid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46A7BC70" w14:textId="57841A47" w:rsidR="00CA5B0F" w:rsidRDefault="00CA5B0F" w:rsidP="00CA5B0F">
      <w:pPr>
        <w:pStyle w:val="ListParagraph"/>
        <w:numPr>
          <w:ilvl w:val="0"/>
          <w:numId w:val="16"/>
        </w:num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t</w:t>
      </w:r>
      <w:r w:rsidRPr="00CA5B0F">
        <w:rPr>
          <w:rFonts w:ascii="Arial" w:eastAsia="Times New Roman" w:hAnsi="Arial" w:cs="Arial"/>
          <w:bCs/>
        </w:rPr>
        <w:t>he maximum number of ordinary shares which may be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acquired pursuant to this authority is 109,355,465 ordinary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 xml:space="preserve">shares in the capital of the </w:t>
      </w:r>
      <w:proofErr w:type="gramStart"/>
      <w:r w:rsidRPr="00CA5B0F">
        <w:rPr>
          <w:rFonts w:ascii="Arial" w:eastAsia="Times New Roman" w:hAnsi="Arial" w:cs="Arial"/>
          <w:bCs/>
        </w:rPr>
        <w:t>Company;</w:t>
      </w:r>
      <w:proofErr w:type="gramEnd"/>
    </w:p>
    <w:p w14:paraId="01F0EC90" w14:textId="77777777" w:rsidR="00CA5B0F" w:rsidRDefault="00CA5B0F" w:rsidP="00CA5B0F">
      <w:pPr>
        <w:pStyle w:val="ListParagraph"/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11E8DAA7" w14:textId="451EC73A" w:rsidR="00CA5B0F" w:rsidRDefault="00CA5B0F" w:rsidP="00CA5B0F">
      <w:pPr>
        <w:pStyle w:val="ListParagraph"/>
        <w:numPr>
          <w:ilvl w:val="0"/>
          <w:numId w:val="16"/>
        </w:num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A5B0F">
        <w:rPr>
          <w:rFonts w:ascii="Arial" w:eastAsia="Times New Roman" w:hAnsi="Arial" w:cs="Arial"/>
          <w:bCs/>
        </w:rPr>
        <w:t>the minimum price which may be paid for each such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ordinary share (exclusive of all expenses) is its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 xml:space="preserve">nominal </w:t>
      </w:r>
      <w:proofErr w:type="gramStart"/>
      <w:r w:rsidRPr="00CA5B0F">
        <w:rPr>
          <w:rFonts w:ascii="Arial" w:eastAsia="Times New Roman" w:hAnsi="Arial" w:cs="Arial"/>
          <w:bCs/>
        </w:rPr>
        <w:t>value;</w:t>
      </w:r>
      <w:proofErr w:type="gramEnd"/>
    </w:p>
    <w:p w14:paraId="1CB67042" w14:textId="77777777" w:rsidR="00CA5B0F" w:rsidRPr="00CA5B0F" w:rsidRDefault="00CA5B0F" w:rsidP="00CA5B0F">
      <w:pPr>
        <w:pStyle w:val="ListParagraph"/>
        <w:rPr>
          <w:rFonts w:ascii="Arial" w:eastAsia="Times New Roman" w:hAnsi="Arial" w:cs="Arial"/>
          <w:bCs/>
        </w:rPr>
      </w:pPr>
    </w:p>
    <w:p w14:paraId="3A8C21AD" w14:textId="078406B1" w:rsidR="00CA5B0F" w:rsidRDefault="00CA5B0F" w:rsidP="00CA5B0F">
      <w:pPr>
        <w:pStyle w:val="ListParagraph"/>
        <w:numPr>
          <w:ilvl w:val="0"/>
          <w:numId w:val="16"/>
        </w:num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A5B0F">
        <w:rPr>
          <w:rFonts w:ascii="Arial" w:eastAsia="Times New Roman" w:hAnsi="Arial" w:cs="Arial"/>
          <w:bCs/>
        </w:rPr>
        <w:t>the maximum price which may be paid for each such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ordinary share (exclusive of all expenses) shall not be more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than the higher of:</w:t>
      </w:r>
    </w:p>
    <w:p w14:paraId="257DFD61" w14:textId="77777777" w:rsidR="00CA5B0F" w:rsidRPr="00CA5B0F" w:rsidRDefault="00CA5B0F" w:rsidP="00CA5B0F">
      <w:pPr>
        <w:pStyle w:val="ListParagraph"/>
        <w:rPr>
          <w:rFonts w:ascii="Arial" w:eastAsia="Times New Roman" w:hAnsi="Arial" w:cs="Arial"/>
          <w:bCs/>
        </w:rPr>
      </w:pPr>
    </w:p>
    <w:p w14:paraId="773E95FD" w14:textId="32790098" w:rsidR="00CA5B0F" w:rsidRDefault="00CA5B0F" w:rsidP="00CA5B0F">
      <w:pPr>
        <w:pStyle w:val="ListParagraph"/>
        <w:numPr>
          <w:ilvl w:val="1"/>
          <w:numId w:val="16"/>
        </w:num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A5B0F">
        <w:rPr>
          <w:rFonts w:ascii="Arial" w:eastAsia="Times New Roman" w:hAnsi="Arial" w:cs="Arial"/>
          <w:bCs/>
        </w:rPr>
        <w:t>an amount equal to 105% of the average of the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middle market prices shown in the quotations for the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ordinary shares in the London Stock Exchange Daily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Official List for the five business days immediately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preceding the day on which that ordinary share is</w:t>
      </w:r>
      <w:r>
        <w:rPr>
          <w:rFonts w:ascii="Arial" w:eastAsia="Times New Roman" w:hAnsi="Arial" w:cs="Arial"/>
          <w:bCs/>
        </w:rPr>
        <w:t xml:space="preserve"> </w:t>
      </w:r>
      <w:proofErr w:type="gramStart"/>
      <w:r w:rsidRPr="00CA5B0F">
        <w:rPr>
          <w:rFonts w:ascii="Arial" w:eastAsia="Times New Roman" w:hAnsi="Arial" w:cs="Arial"/>
          <w:bCs/>
        </w:rPr>
        <w:t>purchased;</w:t>
      </w:r>
      <w:proofErr w:type="gramEnd"/>
      <w:r w:rsidRPr="00CA5B0F">
        <w:rPr>
          <w:rFonts w:ascii="Arial" w:eastAsia="Times New Roman" w:hAnsi="Arial" w:cs="Arial"/>
          <w:bCs/>
        </w:rPr>
        <w:t xml:space="preserve"> and</w:t>
      </w:r>
    </w:p>
    <w:p w14:paraId="67189751" w14:textId="77777777" w:rsidR="00CA5B0F" w:rsidRDefault="00CA5B0F" w:rsidP="00CA5B0F">
      <w:pPr>
        <w:pStyle w:val="ListParagraph"/>
        <w:tabs>
          <w:tab w:val="left" w:pos="4253"/>
        </w:tabs>
        <w:spacing w:after="0" w:line="240" w:lineRule="auto"/>
        <w:ind w:left="1440"/>
        <w:jc w:val="both"/>
        <w:rPr>
          <w:rFonts w:ascii="Arial" w:eastAsia="Times New Roman" w:hAnsi="Arial" w:cs="Arial"/>
          <w:bCs/>
        </w:rPr>
      </w:pPr>
    </w:p>
    <w:p w14:paraId="2DECCBF4" w14:textId="10806A0B" w:rsidR="00CA5B0F" w:rsidRDefault="00CA5B0F" w:rsidP="00CA5B0F">
      <w:pPr>
        <w:pStyle w:val="ListParagraph"/>
        <w:numPr>
          <w:ilvl w:val="1"/>
          <w:numId w:val="16"/>
        </w:num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A5B0F">
        <w:rPr>
          <w:rFonts w:ascii="Arial" w:eastAsia="Times New Roman" w:hAnsi="Arial" w:cs="Arial"/>
          <w:bCs/>
        </w:rPr>
        <w:t>an amount equal to the higher of the price of the last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independent trade of an ordinary share and the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highest current independent bid for an ordinary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share on the trading venue where the purchase is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 xml:space="preserve">carried </w:t>
      </w:r>
      <w:proofErr w:type="gramStart"/>
      <w:r w:rsidRPr="00CA5B0F">
        <w:rPr>
          <w:rFonts w:ascii="Arial" w:eastAsia="Times New Roman" w:hAnsi="Arial" w:cs="Arial"/>
          <w:bCs/>
        </w:rPr>
        <w:t>out;</w:t>
      </w:r>
      <w:proofErr w:type="gramEnd"/>
    </w:p>
    <w:p w14:paraId="2970E344" w14:textId="27219CEF" w:rsid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111B3A32" w14:textId="64C82A97" w:rsidR="00CA5B0F" w:rsidRDefault="00CA5B0F" w:rsidP="00CA5B0F">
      <w:pPr>
        <w:pStyle w:val="ListParagraph"/>
        <w:numPr>
          <w:ilvl w:val="0"/>
          <w:numId w:val="16"/>
        </w:num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A5B0F">
        <w:rPr>
          <w:rFonts w:ascii="Arial" w:eastAsia="Times New Roman" w:hAnsi="Arial" w:cs="Arial"/>
          <w:bCs/>
        </w:rPr>
        <w:t>this authority shall expire at the conclusion of the next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Annual General Meeting of the Company after the passing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of this resolution, or, if earlier, at the close of business on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 xml:space="preserve">31 March 2022 unless renewed before that </w:t>
      </w:r>
      <w:proofErr w:type="gramStart"/>
      <w:r w:rsidRPr="00CA5B0F">
        <w:rPr>
          <w:rFonts w:ascii="Arial" w:eastAsia="Times New Roman" w:hAnsi="Arial" w:cs="Arial"/>
          <w:bCs/>
        </w:rPr>
        <w:t>time;</w:t>
      </w:r>
      <w:proofErr w:type="gramEnd"/>
      <w:r w:rsidRPr="00CA5B0F">
        <w:rPr>
          <w:rFonts w:ascii="Arial" w:eastAsia="Times New Roman" w:hAnsi="Arial" w:cs="Arial"/>
          <w:bCs/>
        </w:rPr>
        <w:t xml:space="preserve"> and</w:t>
      </w:r>
    </w:p>
    <w:p w14:paraId="6E16D977" w14:textId="13E2BB5E" w:rsidR="00CA5B0F" w:rsidRDefault="00CA5B0F" w:rsidP="00CA5B0F">
      <w:pPr>
        <w:pStyle w:val="ListParagraph"/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0D246CFB" w14:textId="0B55FE30" w:rsidR="000E29BA" w:rsidRPr="00CA5B0F" w:rsidRDefault="00CA5B0F" w:rsidP="00CA5B0F">
      <w:pPr>
        <w:pStyle w:val="ListParagraph"/>
        <w:numPr>
          <w:ilvl w:val="0"/>
          <w:numId w:val="16"/>
        </w:num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A5B0F">
        <w:rPr>
          <w:rFonts w:ascii="Arial" w:eastAsia="Times New Roman" w:hAnsi="Arial" w:cs="Arial"/>
          <w:bCs/>
        </w:rPr>
        <w:t>the Company may make a contract or contracts to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purchase ordinary shares under this authority before its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expiry which will be or may be executed wholly or partly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after expiry of this authority and may make a purchase of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ordinary shares in pursuance of such contract.</w:t>
      </w:r>
    </w:p>
    <w:p w14:paraId="20081F1D" w14:textId="729E5A2C" w:rsidR="00CA5B0F" w:rsidRDefault="00CA5B0F" w:rsidP="006D0FDE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48C218FB" w14:textId="77777777" w:rsid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6669C480" w14:textId="6322CA91" w:rsidR="00CA5B0F" w:rsidRP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A5B0F">
        <w:rPr>
          <w:rFonts w:ascii="Arial" w:eastAsia="Times New Roman" w:hAnsi="Arial" w:cs="Arial"/>
          <w:b/>
        </w:rPr>
        <w:lastRenderedPageBreak/>
        <w:t>Resolution 21</w:t>
      </w:r>
    </w:p>
    <w:p w14:paraId="73E4CDAB" w14:textId="77777777" w:rsid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0F418074" w14:textId="53E27961" w:rsid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A5B0F">
        <w:rPr>
          <w:rFonts w:ascii="Arial" w:eastAsia="Times New Roman" w:hAnsi="Arial" w:cs="Arial"/>
          <w:bCs/>
        </w:rPr>
        <w:t>That</w:t>
      </w:r>
      <w:r w:rsidR="00EC7334">
        <w:rPr>
          <w:rFonts w:ascii="Arial" w:eastAsia="Times New Roman" w:hAnsi="Arial" w:cs="Arial"/>
          <w:bCs/>
        </w:rPr>
        <w:t>:</w:t>
      </w:r>
      <w:r w:rsidRPr="00CA5B0F">
        <w:rPr>
          <w:rFonts w:ascii="Arial" w:eastAsia="Times New Roman" w:hAnsi="Arial" w:cs="Arial"/>
          <w:bCs/>
        </w:rPr>
        <w:t xml:space="preserve"> </w:t>
      </w:r>
    </w:p>
    <w:p w14:paraId="43627175" w14:textId="77777777" w:rsid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3FF6447E" w14:textId="3171D621" w:rsid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A5B0F">
        <w:rPr>
          <w:rFonts w:ascii="Arial" w:eastAsia="Times New Roman" w:hAnsi="Arial" w:cs="Arial"/>
          <w:bCs/>
        </w:rPr>
        <w:t>a general meeting (other than an Annual General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Meeting) may be called on not less than 14 clear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days’ notice.</w:t>
      </w:r>
    </w:p>
    <w:p w14:paraId="773089AD" w14:textId="1C1E9BF3" w:rsid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21884813" w14:textId="77777777" w:rsidR="00CA5B0F" w:rsidRP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A5B0F">
        <w:rPr>
          <w:rFonts w:ascii="Arial" w:eastAsia="Times New Roman" w:hAnsi="Arial" w:cs="Arial"/>
          <w:b/>
        </w:rPr>
        <w:t>Resolution 22</w:t>
      </w:r>
    </w:p>
    <w:p w14:paraId="6935CD73" w14:textId="77777777" w:rsid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3592D4DE" w14:textId="75683CBD" w:rsid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A5B0F">
        <w:rPr>
          <w:rFonts w:ascii="Arial" w:eastAsia="Times New Roman" w:hAnsi="Arial" w:cs="Arial"/>
          <w:bCs/>
        </w:rPr>
        <w:t>That</w:t>
      </w:r>
      <w:r w:rsidR="00EB58B9">
        <w:rPr>
          <w:rFonts w:ascii="Arial" w:eastAsia="Times New Roman" w:hAnsi="Arial" w:cs="Arial"/>
          <w:bCs/>
        </w:rPr>
        <w:t>:</w:t>
      </w:r>
      <w:r w:rsidRPr="00CA5B0F">
        <w:rPr>
          <w:rFonts w:ascii="Arial" w:eastAsia="Times New Roman" w:hAnsi="Arial" w:cs="Arial"/>
          <w:bCs/>
        </w:rPr>
        <w:t xml:space="preserve"> </w:t>
      </w:r>
    </w:p>
    <w:p w14:paraId="7782772C" w14:textId="77777777" w:rsid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5D51748B" w14:textId="0919306A" w:rsidR="00CA5B0F" w:rsidRPr="00CA5B0F" w:rsidRDefault="00CA5B0F" w:rsidP="00CA5B0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A5B0F">
        <w:rPr>
          <w:rFonts w:ascii="Arial" w:eastAsia="Times New Roman" w:hAnsi="Arial" w:cs="Arial"/>
          <w:bCs/>
        </w:rPr>
        <w:t>with effect from the conclusion of the Annual General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Meeting, the Articles of Association produced to the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Meeting and for the purpose of identification initialled by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the Chairman of the Meeting be adopted as the Articles of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Association of the Company in substitution for, and to the</w:t>
      </w:r>
      <w:r>
        <w:rPr>
          <w:rFonts w:ascii="Arial" w:eastAsia="Times New Roman" w:hAnsi="Arial" w:cs="Arial"/>
          <w:bCs/>
        </w:rPr>
        <w:t xml:space="preserve"> </w:t>
      </w:r>
      <w:r w:rsidRPr="00CA5B0F">
        <w:rPr>
          <w:rFonts w:ascii="Arial" w:eastAsia="Times New Roman" w:hAnsi="Arial" w:cs="Arial"/>
          <w:bCs/>
        </w:rPr>
        <w:t>exclusion of, the existing Articles of Association.</w:t>
      </w:r>
    </w:p>
    <w:p w14:paraId="6FE5ACBD" w14:textId="5920C904" w:rsidR="00CA5B0F" w:rsidRDefault="00CA5B0F" w:rsidP="006D0FDE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9CC901E" w14:textId="77777777" w:rsidR="00CA5B0F" w:rsidRPr="00837B6C" w:rsidRDefault="00CA5B0F" w:rsidP="006D0FDE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758BCBDA" w14:textId="77777777" w:rsidR="00F410E5" w:rsidRDefault="00F410E5" w:rsidP="00490801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sectPr w:rsidR="00F410E5" w:rsidSect="00490801">
      <w:headerReference w:type="even" r:id="rId11"/>
      <w:headerReference w:type="default" r:id="rId12"/>
      <w:footerReference w:type="default" r:id="rId13"/>
      <w:pgSz w:w="11909" w:h="16834" w:code="9"/>
      <w:pgMar w:top="1814" w:right="1418" w:bottom="567" w:left="1418" w:header="709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13B6B" w14:textId="77777777" w:rsidR="009B14AF" w:rsidRDefault="009B14AF" w:rsidP="007B58E2">
      <w:pPr>
        <w:spacing w:after="0" w:line="240" w:lineRule="auto"/>
      </w:pPr>
      <w:r>
        <w:separator/>
      </w:r>
    </w:p>
  </w:endnote>
  <w:endnote w:type="continuationSeparator" w:id="0">
    <w:p w14:paraId="4C28CF95" w14:textId="77777777" w:rsidR="009B14AF" w:rsidRDefault="009B14AF" w:rsidP="007B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elle Sans SAGE L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6491D" w14:textId="4545F0D0" w:rsidR="00D45B1B" w:rsidRPr="00BA11BF" w:rsidRDefault="0016356B" w:rsidP="0016356B">
    <w:pPr>
      <w:pStyle w:val="Footer"/>
      <w:tabs>
        <w:tab w:val="clear" w:pos="4513"/>
        <w:tab w:val="right" w:pos="8222"/>
      </w:tabs>
      <w:rPr>
        <w:rFonts w:ascii="Arial" w:hAnsi="Arial"/>
        <w:sz w:val="20"/>
      </w:rPr>
    </w:pPr>
    <w:r>
      <w:rPr>
        <w:rFonts w:ascii="Arial" w:hAnsi="Arial"/>
        <w:sz w:val="20"/>
      </w:rPr>
      <w:tab/>
    </w:r>
    <w:r w:rsidR="009B14AF" w:rsidRPr="00BA11BF">
      <w:rPr>
        <w:rFonts w:ascii="Arial" w:hAnsi="Arial"/>
        <w:sz w:val="20"/>
      </w:rPr>
      <w:t xml:space="preserve">Page </w:t>
    </w:r>
    <w:r w:rsidR="009B14AF" w:rsidRPr="00BA11BF">
      <w:rPr>
        <w:rFonts w:ascii="Arial" w:hAnsi="Arial"/>
        <w:b/>
        <w:bCs/>
        <w:sz w:val="20"/>
        <w:szCs w:val="24"/>
      </w:rPr>
      <w:fldChar w:fldCharType="begin"/>
    </w:r>
    <w:r w:rsidR="009B14AF" w:rsidRPr="00BA11BF">
      <w:rPr>
        <w:rFonts w:ascii="Arial" w:hAnsi="Arial"/>
        <w:b/>
        <w:bCs/>
        <w:sz w:val="20"/>
      </w:rPr>
      <w:instrText xml:space="preserve"> PAGE </w:instrText>
    </w:r>
    <w:r w:rsidR="009B14AF" w:rsidRPr="00BA11BF">
      <w:rPr>
        <w:rFonts w:ascii="Arial" w:hAnsi="Arial"/>
        <w:b/>
        <w:bCs/>
        <w:sz w:val="20"/>
        <w:szCs w:val="24"/>
      </w:rPr>
      <w:fldChar w:fldCharType="separate"/>
    </w:r>
    <w:r w:rsidR="009B14AF">
      <w:rPr>
        <w:rFonts w:ascii="Arial" w:hAnsi="Arial"/>
        <w:b/>
        <w:bCs/>
        <w:noProof/>
        <w:sz w:val="20"/>
      </w:rPr>
      <w:t>1</w:t>
    </w:r>
    <w:r w:rsidR="009B14AF" w:rsidRPr="00BA11BF">
      <w:rPr>
        <w:rFonts w:ascii="Arial" w:hAnsi="Arial"/>
        <w:b/>
        <w:bCs/>
        <w:sz w:val="20"/>
        <w:szCs w:val="24"/>
      </w:rPr>
      <w:fldChar w:fldCharType="end"/>
    </w:r>
    <w:r w:rsidR="009B14AF" w:rsidRPr="00BA11BF">
      <w:rPr>
        <w:rFonts w:ascii="Arial" w:hAnsi="Arial"/>
        <w:sz w:val="20"/>
      </w:rPr>
      <w:t xml:space="preserve"> of </w:t>
    </w:r>
    <w:r w:rsidR="009B14AF" w:rsidRPr="00BA11BF">
      <w:rPr>
        <w:rFonts w:ascii="Arial" w:hAnsi="Arial"/>
        <w:b/>
        <w:bCs/>
        <w:sz w:val="20"/>
        <w:szCs w:val="24"/>
      </w:rPr>
      <w:fldChar w:fldCharType="begin"/>
    </w:r>
    <w:r w:rsidR="009B14AF" w:rsidRPr="00BA11BF">
      <w:rPr>
        <w:rFonts w:ascii="Arial" w:hAnsi="Arial"/>
        <w:b/>
        <w:bCs/>
        <w:sz w:val="20"/>
      </w:rPr>
      <w:instrText xml:space="preserve"> NUMPAGES  </w:instrText>
    </w:r>
    <w:r w:rsidR="009B14AF" w:rsidRPr="00BA11BF">
      <w:rPr>
        <w:rFonts w:ascii="Arial" w:hAnsi="Arial"/>
        <w:b/>
        <w:bCs/>
        <w:sz w:val="20"/>
        <w:szCs w:val="24"/>
      </w:rPr>
      <w:fldChar w:fldCharType="separate"/>
    </w:r>
    <w:r w:rsidR="009B14AF">
      <w:rPr>
        <w:rFonts w:ascii="Arial" w:hAnsi="Arial"/>
        <w:b/>
        <w:bCs/>
        <w:noProof/>
        <w:sz w:val="20"/>
      </w:rPr>
      <w:t>1</w:t>
    </w:r>
    <w:r w:rsidR="009B14AF" w:rsidRPr="00BA11BF">
      <w:rPr>
        <w:rFonts w:ascii="Arial" w:hAnsi="Arial"/>
        <w:b/>
        <w:bCs/>
        <w:sz w:val="20"/>
        <w:szCs w:val="24"/>
      </w:rPr>
      <w:fldChar w:fldCharType="end"/>
    </w:r>
  </w:p>
  <w:p w14:paraId="7ADFB99E" w14:textId="77777777" w:rsidR="00D45B1B" w:rsidRDefault="00A9045D">
    <w:pPr>
      <w:pStyle w:val="Footer"/>
      <w:jc w:val="right"/>
      <w:rPr>
        <w:rFonts w:ascii="Arial" w:hAnsi="Arial" w:cs="Arial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921F6" w14:textId="77777777" w:rsidR="009B14AF" w:rsidRDefault="009B14AF" w:rsidP="007B58E2">
      <w:pPr>
        <w:spacing w:after="0" w:line="240" w:lineRule="auto"/>
      </w:pPr>
      <w:r>
        <w:separator/>
      </w:r>
    </w:p>
  </w:footnote>
  <w:footnote w:type="continuationSeparator" w:id="0">
    <w:p w14:paraId="7EBB853E" w14:textId="77777777" w:rsidR="009B14AF" w:rsidRDefault="009B14AF" w:rsidP="007B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D5783" w14:textId="77777777" w:rsidR="00D45B1B" w:rsidRDefault="009B14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B12F95B" w14:textId="77777777" w:rsidR="00D45B1B" w:rsidRDefault="00A90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9E1D0" w14:textId="77777777" w:rsidR="00D45B1B" w:rsidRDefault="00A9045D">
    <w:pPr>
      <w:pStyle w:val="Header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63FB"/>
    <w:multiLevelType w:val="hybridMultilevel"/>
    <w:tmpl w:val="DD547E54"/>
    <w:lvl w:ilvl="0" w:tplc="BEDA4F14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D3BDE"/>
    <w:multiLevelType w:val="hybridMultilevel"/>
    <w:tmpl w:val="03EE0840"/>
    <w:lvl w:ilvl="0" w:tplc="B322CCF6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66401F9E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52DF6"/>
    <w:multiLevelType w:val="hybridMultilevel"/>
    <w:tmpl w:val="86888ED6"/>
    <w:lvl w:ilvl="0" w:tplc="B322CCF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6401F9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04A92"/>
    <w:multiLevelType w:val="hybridMultilevel"/>
    <w:tmpl w:val="95600EA8"/>
    <w:lvl w:ilvl="0" w:tplc="07E2D8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4F1C33"/>
    <w:multiLevelType w:val="hybridMultilevel"/>
    <w:tmpl w:val="EC6A578E"/>
    <w:lvl w:ilvl="0" w:tplc="B322CCF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61196"/>
    <w:multiLevelType w:val="hybridMultilevel"/>
    <w:tmpl w:val="153280DC"/>
    <w:lvl w:ilvl="0" w:tplc="18887034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FF07BB"/>
    <w:multiLevelType w:val="hybridMultilevel"/>
    <w:tmpl w:val="7D08148E"/>
    <w:lvl w:ilvl="0" w:tplc="B322CCF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A1307"/>
    <w:multiLevelType w:val="hybridMultilevel"/>
    <w:tmpl w:val="58A2D3EC"/>
    <w:lvl w:ilvl="0" w:tplc="66401F9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3A69F9"/>
    <w:multiLevelType w:val="hybridMultilevel"/>
    <w:tmpl w:val="13921C70"/>
    <w:lvl w:ilvl="0" w:tplc="8BC0BA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692CA2"/>
    <w:multiLevelType w:val="hybridMultilevel"/>
    <w:tmpl w:val="388CCEFE"/>
    <w:lvl w:ilvl="0" w:tplc="DFB003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66401F9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E3190"/>
    <w:multiLevelType w:val="hybridMultilevel"/>
    <w:tmpl w:val="7E8A1A76"/>
    <w:lvl w:ilvl="0" w:tplc="855A3F00">
      <w:start w:val="1"/>
      <w:numFmt w:val="upperLetter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9C77F9"/>
    <w:multiLevelType w:val="hybridMultilevel"/>
    <w:tmpl w:val="719AAFD4"/>
    <w:lvl w:ilvl="0" w:tplc="B322CCF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6401F9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44517"/>
    <w:multiLevelType w:val="hybridMultilevel"/>
    <w:tmpl w:val="90E0605E"/>
    <w:lvl w:ilvl="0" w:tplc="6CE8653E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51518D"/>
    <w:multiLevelType w:val="hybridMultilevel"/>
    <w:tmpl w:val="644C14CA"/>
    <w:lvl w:ilvl="0" w:tplc="5CAE0E8C">
      <w:start w:val="1"/>
      <w:numFmt w:val="lowerLetter"/>
      <w:lvlText w:val="(%1)"/>
      <w:lvlJc w:val="left"/>
      <w:pPr>
        <w:ind w:left="4608" w:hanging="424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B69A5"/>
    <w:multiLevelType w:val="hybridMultilevel"/>
    <w:tmpl w:val="4E2A1B74"/>
    <w:lvl w:ilvl="0" w:tplc="77403694">
      <w:start w:val="1"/>
      <w:numFmt w:val="upperLetter"/>
      <w:lvlText w:val="%1."/>
      <w:lvlJc w:val="left"/>
      <w:pPr>
        <w:ind w:left="814" w:hanging="360"/>
      </w:pPr>
      <w:rPr>
        <w:rFonts w:ascii="Adelle Sans SAGE Lt" w:eastAsia="Times New Roman" w:hAnsi="Adelle Sans SAGE Lt" w:cs="Times New Roman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7B5668DB"/>
    <w:multiLevelType w:val="hybridMultilevel"/>
    <w:tmpl w:val="217C1476"/>
    <w:lvl w:ilvl="0" w:tplc="BEDA4F14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66401F9E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046944"/>
    <w:multiLevelType w:val="hybridMultilevel"/>
    <w:tmpl w:val="D4F428A6"/>
    <w:lvl w:ilvl="0" w:tplc="B322CCF6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15"/>
  </w:num>
  <w:num w:numId="6">
    <w:abstractNumId w:val="16"/>
  </w:num>
  <w:num w:numId="7">
    <w:abstractNumId w:val="14"/>
  </w:num>
  <w:num w:numId="8">
    <w:abstractNumId w:val="5"/>
  </w:num>
  <w:num w:numId="9">
    <w:abstractNumId w:val="13"/>
  </w:num>
  <w:num w:numId="10">
    <w:abstractNumId w:val="1"/>
  </w:num>
  <w:num w:numId="11">
    <w:abstractNumId w:val="10"/>
  </w:num>
  <w:num w:numId="12">
    <w:abstractNumId w:val="9"/>
  </w:num>
  <w:num w:numId="13">
    <w:abstractNumId w:val="6"/>
  </w:num>
  <w:num w:numId="14">
    <w:abstractNumId w:val="2"/>
  </w:num>
  <w:num w:numId="15">
    <w:abstractNumId w:val="12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FD"/>
    <w:rsid w:val="000251A6"/>
    <w:rsid w:val="000C0F65"/>
    <w:rsid w:val="000D2B70"/>
    <w:rsid w:val="000E29BA"/>
    <w:rsid w:val="00105EBA"/>
    <w:rsid w:val="0016356B"/>
    <w:rsid w:val="001856A1"/>
    <w:rsid w:val="001A7AB5"/>
    <w:rsid w:val="001E2FFD"/>
    <w:rsid w:val="001F171E"/>
    <w:rsid w:val="002267B9"/>
    <w:rsid w:val="00273E03"/>
    <w:rsid w:val="00277DB6"/>
    <w:rsid w:val="002F7556"/>
    <w:rsid w:val="003378D3"/>
    <w:rsid w:val="0034276D"/>
    <w:rsid w:val="003E5732"/>
    <w:rsid w:val="00490801"/>
    <w:rsid w:val="00533834"/>
    <w:rsid w:val="00577B1E"/>
    <w:rsid w:val="005D48C1"/>
    <w:rsid w:val="00676176"/>
    <w:rsid w:val="006848EB"/>
    <w:rsid w:val="006D0FDE"/>
    <w:rsid w:val="006F1D99"/>
    <w:rsid w:val="00714DD2"/>
    <w:rsid w:val="0076225B"/>
    <w:rsid w:val="007753B1"/>
    <w:rsid w:val="007B58E2"/>
    <w:rsid w:val="00837B6C"/>
    <w:rsid w:val="009B14AF"/>
    <w:rsid w:val="009C20CB"/>
    <w:rsid w:val="009D2A0F"/>
    <w:rsid w:val="00A02F2B"/>
    <w:rsid w:val="00A178C1"/>
    <w:rsid w:val="00A52F1C"/>
    <w:rsid w:val="00A9045D"/>
    <w:rsid w:val="00A90F7D"/>
    <w:rsid w:val="00A97B55"/>
    <w:rsid w:val="00AE4C2C"/>
    <w:rsid w:val="00B1425D"/>
    <w:rsid w:val="00B2302E"/>
    <w:rsid w:val="00B615AE"/>
    <w:rsid w:val="00B847D7"/>
    <w:rsid w:val="00B87DA1"/>
    <w:rsid w:val="00BC22D6"/>
    <w:rsid w:val="00C403F9"/>
    <w:rsid w:val="00C93234"/>
    <w:rsid w:val="00CA5B0F"/>
    <w:rsid w:val="00CE0438"/>
    <w:rsid w:val="00D244F3"/>
    <w:rsid w:val="00DA0141"/>
    <w:rsid w:val="00DB04B1"/>
    <w:rsid w:val="00E400BD"/>
    <w:rsid w:val="00E82EB8"/>
    <w:rsid w:val="00EA2035"/>
    <w:rsid w:val="00EB58B9"/>
    <w:rsid w:val="00EC7334"/>
    <w:rsid w:val="00F07D68"/>
    <w:rsid w:val="00F20EBE"/>
    <w:rsid w:val="00F410E5"/>
    <w:rsid w:val="00F67F7D"/>
    <w:rsid w:val="00F9416E"/>
    <w:rsid w:val="00FA72EA"/>
    <w:rsid w:val="23E25E0D"/>
    <w:rsid w:val="2F77A4F3"/>
    <w:rsid w:val="4AA16A6A"/>
    <w:rsid w:val="66B9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CC103"/>
  <w15:chartTrackingRefBased/>
  <w15:docId w15:val="{098A54F1-3683-45FD-8A1C-887FF693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FFD"/>
  </w:style>
  <w:style w:type="paragraph" w:styleId="Footer">
    <w:name w:val="footer"/>
    <w:basedOn w:val="Normal"/>
    <w:link w:val="FooterChar"/>
    <w:uiPriority w:val="99"/>
    <w:unhideWhenUsed/>
    <w:rsid w:val="001E2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FFD"/>
  </w:style>
  <w:style w:type="character" w:styleId="PageNumber">
    <w:name w:val="page number"/>
    <w:basedOn w:val="DefaultParagraphFont"/>
    <w:rsid w:val="001E2FFD"/>
  </w:style>
  <w:style w:type="paragraph" w:styleId="FootnoteText">
    <w:name w:val="footnote text"/>
    <w:basedOn w:val="Normal"/>
    <w:link w:val="FootnoteTextChar"/>
    <w:uiPriority w:val="99"/>
    <w:semiHidden/>
    <w:unhideWhenUsed/>
    <w:rsid w:val="007B58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58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58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A52F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3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3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3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40E989D23F64586B5E23FAC83CCC7" ma:contentTypeVersion="14" ma:contentTypeDescription="Create a new document." ma:contentTypeScope="" ma:versionID="2682fddc4e23d567f6fbd4887d0735e5">
  <xsd:schema xmlns:xsd="http://www.w3.org/2001/XMLSchema" xmlns:xs="http://www.w3.org/2001/XMLSchema" xmlns:p="http://schemas.microsoft.com/office/2006/metadata/properties" xmlns:ns1="http://schemas.microsoft.com/sharepoint/v3" xmlns:ns2="17237fe3-92e1-4d33-abba-1c853e47ec20" xmlns:ns3="1eb98892-dbc6-481c-a83e-e74585c90883" targetNamespace="http://schemas.microsoft.com/office/2006/metadata/properties" ma:root="true" ma:fieldsID="2a9d6013fcdab0620d94137bcf98632a" ns1:_="" ns2:_="" ns3:_="">
    <xsd:import namespace="http://schemas.microsoft.com/sharepoint/v3"/>
    <xsd:import namespace="17237fe3-92e1-4d33-abba-1c853e47ec20"/>
    <xsd:import namespace="1eb98892-dbc6-481c-a83e-e74585c9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37fe3-92e1-4d33-abba-1c853e47e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98892-dbc6-481c-a83e-e74585c90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F2BE5-BED3-4D05-948F-95F8310A80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920746-560F-4571-BC99-6A2B4EB0F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A2D77-AA08-4398-B0CC-5D7D0E838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237fe3-92e1-4d33-abba-1c853e47ec20"/>
    <ds:schemaRef ds:uri="1eb98892-dbc6-481c-a83e-e74585c9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020B2E-9DD5-4E36-A046-5E0EC5AA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Ines</dc:creator>
  <cp:keywords/>
  <dc:description/>
  <cp:lastModifiedBy>Molnar, Judit</cp:lastModifiedBy>
  <cp:revision>9</cp:revision>
  <dcterms:created xsi:type="dcterms:W3CDTF">2021-01-22T11:05:00Z</dcterms:created>
  <dcterms:modified xsi:type="dcterms:W3CDTF">2021-02-03T12:39:00Z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0x0101007CC40E989D23F64586B5E23FAC83CCC7</vt:lpwstr>
  </property>
</Properties>
</file>