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D64DC" w14:textId="076FDA2E" w:rsidR="0036551E" w:rsidRDefault="0036551E">
      <w:r>
        <w:rPr>
          <w:noProof/>
          <w:lang w:eastAsia="en-GB"/>
        </w:rPr>
        <w:drawing>
          <wp:inline distT="0" distB="0" distL="0" distR="0" wp14:anchorId="454FAE48" wp14:editId="1991BF98">
            <wp:extent cx="1350084" cy="81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m-logo-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7686" cy="814823"/>
                    </a:xfrm>
                    <a:prstGeom prst="rect">
                      <a:avLst/>
                    </a:prstGeom>
                  </pic:spPr>
                </pic:pic>
              </a:graphicData>
            </a:graphic>
          </wp:inline>
        </w:drawing>
      </w:r>
    </w:p>
    <w:p w14:paraId="4756082B" w14:textId="384BBB89" w:rsidR="00E16ED0" w:rsidRDefault="00596EE5">
      <w:r>
        <w:t>16 June 2020</w:t>
      </w:r>
    </w:p>
    <w:p w14:paraId="4A843D5A" w14:textId="77777777" w:rsidR="000341E6" w:rsidRDefault="000341E6"/>
    <w:p w14:paraId="4E327678" w14:textId="77777777" w:rsidR="000341E6" w:rsidRDefault="000341E6" w:rsidP="000341E6">
      <w:pPr>
        <w:jc w:val="center"/>
        <w:rPr>
          <w:b/>
        </w:rPr>
      </w:pPr>
      <w:r>
        <w:rPr>
          <w:b/>
        </w:rPr>
        <w:t xml:space="preserve">FDM </w:t>
      </w:r>
      <w:r w:rsidR="005E29E5">
        <w:rPr>
          <w:b/>
        </w:rPr>
        <w:t>Group</w:t>
      </w:r>
      <w:r>
        <w:rPr>
          <w:b/>
        </w:rPr>
        <w:t xml:space="preserve"> (</w:t>
      </w:r>
      <w:r w:rsidR="005E29E5">
        <w:rPr>
          <w:b/>
        </w:rPr>
        <w:t>Holdings) plc</w:t>
      </w:r>
    </w:p>
    <w:p w14:paraId="00F7AC18" w14:textId="77777777" w:rsidR="000341E6" w:rsidRDefault="000341E6" w:rsidP="000341E6">
      <w:pPr>
        <w:jc w:val="center"/>
      </w:pPr>
      <w:r>
        <w:rPr>
          <w:b/>
        </w:rPr>
        <w:t>Result of AGM</w:t>
      </w:r>
    </w:p>
    <w:p w14:paraId="3891C7AC" w14:textId="408EFEF8" w:rsidR="000341E6" w:rsidRDefault="000341E6" w:rsidP="000341E6">
      <w:pPr>
        <w:jc w:val="both"/>
      </w:pPr>
      <w:r>
        <w:t xml:space="preserve">The </w:t>
      </w:r>
      <w:r w:rsidR="00596EE5">
        <w:t>B</w:t>
      </w:r>
      <w:r>
        <w:t xml:space="preserve">oard of </w:t>
      </w:r>
      <w:r w:rsidR="00596EE5">
        <w:t>D</w:t>
      </w:r>
      <w:r w:rsidR="00D66E4F">
        <w:t xml:space="preserve">irectors of </w:t>
      </w:r>
      <w:r>
        <w:t>FDM Group (Holdings) plc (</w:t>
      </w:r>
      <w:r w:rsidR="005E29E5">
        <w:t>the “</w:t>
      </w:r>
      <w:r w:rsidR="005E29E5">
        <w:rPr>
          <w:b/>
        </w:rPr>
        <w:t>Company</w:t>
      </w:r>
      <w:r w:rsidR="005E29E5">
        <w:t>” or “</w:t>
      </w:r>
      <w:r w:rsidR="005E29E5">
        <w:rPr>
          <w:b/>
        </w:rPr>
        <w:t>FDM</w:t>
      </w:r>
      <w:r w:rsidR="005E29E5">
        <w:t>”</w:t>
      </w:r>
      <w:r>
        <w:t>) announces that</w:t>
      </w:r>
      <w:r w:rsidR="005E29E5">
        <w:t>,</w:t>
      </w:r>
      <w:r>
        <w:t xml:space="preserve"> at the C</w:t>
      </w:r>
      <w:r w:rsidR="005E7928">
        <w:t xml:space="preserve">ompany’s </w:t>
      </w:r>
      <w:r w:rsidR="00596EE5">
        <w:t xml:space="preserve">2020 </w:t>
      </w:r>
      <w:r w:rsidR="00D66E4F">
        <w:t>annual general m</w:t>
      </w:r>
      <w:r w:rsidR="005E29E5">
        <w:t>eeting</w:t>
      </w:r>
      <w:r>
        <w:t xml:space="preserve"> held earlier today, all resolutions were duly passed on a show of hands.</w:t>
      </w:r>
    </w:p>
    <w:p w14:paraId="4BA5D8BE" w14:textId="67271797" w:rsidR="000341E6" w:rsidRDefault="000341E6" w:rsidP="000341E6">
      <w:pPr>
        <w:jc w:val="both"/>
      </w:pPr>
      <w:r>
        <w:t>In accordance with Listing Rule 9.6.2(R), a copy of the resolutions passed at the Annual General Meeting will be submitted to the National Storage Mechanism and will be available for inspectio</w:t>
      </w:r>
      <w:r w:rsidRPr="00101AB4">
        <w:t>n at</w:t>
      </w:r>
      <w:r w:rsidR="00101AB4" w:rsidRPr="00101AB4">
        <w:t xml:space="preserve"> https://data.fca.org.uk/#/nsm/nationalstoragemechanism</w:t>
      </w:r>
      <w:r w:rsidRPr="00101AB4">
        <w:t>.</w:t>
      </w:r>
    </w:p>
    <w:p w14:paraId="3478CC5D" w14:textId="5F7E500D" w:rsidR="000341E6" w:rsidRDefault="000341E6" w:rsidP="000341E6">
      <w:pPr>
        <w:jc w:val="both"/>
      </w:pPr>
      <w:r>
        <w:t xml:space="preserve">As at the date of the meeting, there were </w:t>
      </w:r>
      <w:r w:rsidR="00596EE5">
        <w:t>109,191,669</w:t>
      </w:r>
      <w:r w:rsidR="00EC0EDB">
        <w:t xml:space="preserve"> </w:t>
      </w:r>
      <w:r w:rsidRPr="00014D06">
        <w:t>ordinary shares</w:t>
      </w:r>
      <w:r w:rsidR="00F672C4">
        <w:t xml:space="preserve"> with voting rights in issue. </w:t>
      </w:r>
      <w:r w:rsidR="00D66E4F">
        <w:t>The following p</w:t>
      </w:r>
      <w:r w:rsidR="00F672C4">
        <w:t xml:space="preserve">roxies were received by the Company from shareholders </w:t>
      </w:r>
      <w:r w:rsidR="00D66E4F">
        <w:t>prior to the meeting</w:t>
      </w:r>
      <w:r w:rsidR="00F672C4">
        <w:t>:</w:t>
      </w:r>
    </w:p>
    <w:tbl>
      <w:tblPr>
        <w:tblStyle w:val="TableGrid"/>
        <w:tblW w:w="0" w:type="auto"/>
        <w:tblLook w:val="04A0" w:firstRow="1" w:lastRow="0" w:firstColumn="1" w:lastColumn="0" w:noHBand="0" w:noVBand="1"/>
      </w:tblPr>
      <w:tblGrid>
        <w:gridCol w:w="440"/>
        <w:gridCol w:w="3053"/>
        <w:gridCol w:w="1217"/>
        <w:gridCol w:w="964"/>
        <w:gridCol w:w="1106"/>
        <w:gridCol w:w="964"/>
        <w:gridCol w:w="1272"/>
      </w:tblGrid>
      <w:tr w:rsidR="00220904" w14:paraId="0EE26AEC" w14:textId="77777777" w:rsidTr="007D010B">
        <w:tc>
          <w:tcPr>
            <w:tcW w:w="0" w:type="auto"/>
            <w:gridSpan w:val="2"/>
            <w:vMerge w:val="restart"/>
          </w:tcPr>
          <w:p w14:paraId="1944CF60" w14:textId="77777777" w:rsidR="00220904" w:rsidRPr="00F672C4" w:rsidRDefault="00220904" w:rsidP="00F672C4">
            <w:pPr>
              <w:jc w:val="center"/>
              <w:rPr>
                <w:b/>
              </w:rPr>
            </w:pPr>
            <w:r>
              <w:rPr>
                <w:b/>
              </w:rPr>
              <w:t>RESOLUTION</w:t>
            </w:r>
          </w:p>
        </w:tc>
        <w:tc>
          <w:tcPr>
            <w:tcW w:w="0" w:type="auto"/>
            <w:gridSpan w:val="2"/>
            <w:tcBorders>
              <w:bottom w:val="single" w:sz="12" w:space="0" w:color="auto"/>
            </w:tcBorders>
          </w:tcPr>
          <w:p w14:paraId="7FD44334" w14:textId="532C9F98" w:rsidR="00220904" w:rsidRPr="00F672C4" w:rsidRDefault="00ED09A4" w:rsidP="00F672C4">
            <w:pPr>
              <w:jc w:val="center"/>
              <w:rPr>
                <w:b/>
              </w:rPr>
            </w:pPr>
            <w:r>
              <w:rPr>
                <w:b/>
              </w:rPr>
              <w:t>FOR*</w:t>
            </w:r>
          </w:p>
        </w:tc>
        <w:tc>
          <w:tcPr>
            <w:tcW w:w="0" w:type="auto"/>
            <w:gridSpan w:val="2"/>
            <w:tcBorders>
              <w:bottom w:val="single" w:sz="12" w:space="0" w:color="auto"/>
            </w:tcBorders>
          </w:tcPr>
          <w:p w14:paraId="0D231DFA" w14:textId="77777777" w:rsidR="00220904" w:rsidRPr="00F672C4" w:rsidRDefault="00220904" w:rsidP="00F672C4">
            <w:pPr>
              <w:jc w:val="center"/>
              <w:rPr>
                <w:b/>
              </w:rPr>
            </w:pPr>
            <w:r>
              <w:rPr>
                <w:b/>
              </w:rPr>
              <w:t>AGAINST</w:t>
            </w:r>
          </w:p>
        </w:tc>
        <w:tc>
          <w:tcPr>
            <w:tcW w:w="0" w:type="auto"/>
            <w:tcBorders>
              <w:bottom w:val="single" w:sz="12" w:space="0" w:color="auto"/>
            </w:tcBorders>
          </w:tcPr>
          <w:p w14:paraId="1741AB82" w14:textId="77777777" w:rsidR="00220904" w:rsidRDefault="00220904" w:rsidP="00F672C4">
            <w:pPr>
              <w:jc w:val="center"/>
              <w:rPr>
                <w:b/>
              </w:rPr>
            </w:pPr>
            <w:r>
              <w:rPr>
                <w:b/>
              </w:rPr>
              <w:t>WITHHELD</w:t>
            </w:r>
          </w:p>
          <w:p w14:paraId="4D5D49BB" w14:textId="77777777" w:rsidR="00220904" w:rsidRPr="00F672C4" w:rsidRDefault="00220904" w:rsidP="00F672C4">
            <w:pPr>
              <w:jc w:val="center"/>
              <w:rPr>
                <w:b/>
              </w:rPr>
            </w:pPr>
          </w:p>
        </w:tc>
      </w:tr>
      <w:tr w:rsidR="00220904" w14:paraId="200AD05F" w14:textId="77777777" w:rsidTr="007D010B">
        <w:tc>
          <w:tcPr>
            <w:tcW w:w="0" w:type="auto"/>
            <w:gridSpan w:val="2"/>
            <w:vMerge/>
            <w:tcBorders>
              <w:bottom w:val="single" w:sz="12" w:space="0" w:color="auto"/>
              <w:right w:val="single" w:sz="8" w:space="0" w:color="auto"/>
            </w:tcBorders>
          </w:tcPr>
          <w:p w14:paraId="1F2C8700" w14:textId="77777777" w:rsidR="00220904" w:rsidRDefault="00220904" w:rsidP="00F672C4">
            <w:pPr>
              <w:jc w:val="center"/>
            </w:pPr>
          </w:p>
        </w:tc>
        <w:tc>
          <w:tcPr>
            <w:tcW w:w="0" w:type="auto"/>
            <w:tcBorders>
              <w:top w:val="single" w:sz="12" w:space="0" w:color="auto"/>
              <w:left w:val="single" w:sz="8" w:space="0" w:color="auto"/>
              <w:bottom w:val="single" w:sz="12" w:space="0" w:color="auto"/>
            </w:tcBorders>
          </w:tcPr>
          <w:p w14:paraId="0A43C55F" w14:textId="77777777" w:rsidR="00220904" w:rsidRPr="00F672C4" w:rsidRDefault="00220904" w:rsidP="00F672C4">
            <w:pPr>
              <w:jc w:val="center"/>
              <w:rPr>
                <w:b/>
              </w:rPr>
            </w:pPr>
            <w:r>
              <w:rPr>
                <w:b/>
              </w:rPr>
              <w:t>VOTES</w:t>
            </w:r>
          </w:p>
        </w:tc>
        <w:tc>
          <w:tcPr>
            <w:tcW w:w="0" w:type="auto"/>
            <w:tcBorders>
              <w:top w:val="single" w:sz="12" w:space="0" w:color="auto"/>
              <w:bottom w:val="single" w:sz="12" w:space="0" w:color="auto"/>
              <w:right w:val="single" w:sz="8" w:space="0" w:color="auto"/>
            </w:tcBorders>
          </w:tcPr>
          <w:p w14:paraId="64F79418" w14:textId="6C25964C" w:rsidR="00220904" w:rsidRDefault="00220904" w:rsidP="00F672C4">
            <w:pPr>
              <w:jc w:val="center"/>
              <w:rPr>
                <w:b/>
              </w:rPr>
            </w:pPr>
            <w:r>
              <w:rPr>
                <w:b/>
              </w:rPr>
              <w:t>% OF VOTES CAST*</w:t>
            </w:r>
            <w:r w:rsidR="00826E12">
              <w:rPr>
                <w:b/>
              </w:rPr>
              <w:t>*</w:t>
            </w:r>
          </w:p>
          <w:p w14:paraId="08F93A9C" w14:textId="77777777" w:rsidR="00D66E4F" w:rsidRPr="00F672C4" w:rsidRDefault="00D66E4F" w:rsidP="00F672C4">
            <w:pPr>
              <w:jc w:val="center"/>
              <w:rPr>
                <w:b/>
              </w:rPr>
            </w:pPr>
          </w:p>
        </w:tc>
        <w:tc>
          <w:tcPr>
            <w:tcW w:w="0" w:type="auto"/>
            <w:tcBorders>
              <w:top w:val="single" w:sz="12" w:space="0" w:color="auto"/>
              <w:left w:val="single" w:sz="8" w:space="0" w:color="auto"/>
              <w:bottom w:val="single" w:sz="12" w:space="0" w:color="auto"/>
            </w:tcBorders>
          </w:tcPr>
          <w:p w14:paraId="5C4A16A3" w14:textId="77777777" w:rsidR="00220904" w:rsidRPr="00F672C4" w:rsidRDefault="00220904" w:rsidP="00F672C4">
            <w:pPr>
              <w:jc w:val="center"/>
              <w:rPr>
                <w:b/>
              </w:rPr>
            </w:pPr>
            <w:r>
              <w:rPr>
                <w:b/>
              </w:rPr>
              <w:t>VOTES</w:t>
            </w:r>
          </w:p>
        </w:tc>
        <w:tc>
          <w:tcPr>
            <w:tcW w:w="0" w:type="auto"/>
            <w:tcBorders>
              <w:top w:val="single" w:sz="12" w:space="0" w:color="auto"/>
              <w:bottom w:val="single" w:sz="12" w:space="0" w:color="auto"/>
              <w:right w:val="single" w:sz="8" w:space="0" w:color="auto"/>
            </w:tcBorders>
          </w:tcPr>
          <w:p w14:paraId="21534C40" w14:textId="71F3645B" w:rsidR="00220904" w:rsidRPr="00F672C4" w:rsidRDefault="00220904" w:rsidP="00F672C4">
            <w:pPr>
              <w:jc w:val="center"/>
              <w:rPr>
                <w:b/>
              </w:rPr>
            </w:pPr>
            <w:r>
              <w:rPr>
                <w:b/>
              </w:rPr>
              <w:t>% OF VOTES CAST*</w:t>
            </w:r>
            <w:r w:rsidR="00ED09A4">
              <w:rPr>
                <w:b/>
              </w:rPr>
              <w:t>*</w:t>
            </w:r>
          </w:p>
        </w:tc>
        <w:tc>
          <w:tcPr>
            <w:tcW w:w="0" w:type="auto"/>
            <w:tcBorders>
              <w:top w:val="single" w:sz="12" w:space="0" w:color="auto"/>
              <w:left w:val="single" w:sz="8" w:space="0" w:color="auto"/>
              <w:bottom w:val="single" w:sz="12" w:space="0" w:color="auto"/>
            </w:tcBorders>
          </w:tcPr>
          <w:p w14:paraId="13A0EF58" w14:textId="77777777" w:rsidR="00220904" w:rsidRPr="00F672C4" w:rsidRDefault="00220904" w:rsidP="00F672C4">
            <w:pPr>
              <w:jc w:val="center"/>
              <w:rPr>
                <w:b/>
              </w:rPr>
            </w:pPr>
            <w:r>
              <w:rPr>
                <w:b/>
              </w:rPr>
              <w:t>VOTES</w:t>
            </w:r>
          </w:p>
        </w:tc>
      </w:tr>
      <w:tr w:rsidR="00374D2F" w14:paraId="29AC84F4" w14:textId="77777777" w:rsidTr="007D010B">
        <w:tc>
          <w:tcPr>
            <w:tcW w:w="0" w:type="auto"/>
            <w:tcBorders>
              <w:top w:val="single" w:sz="12" w:space="0" w:color="auto"/>
            </w:tcBorders>
          </w:tcPr>
          <w:p w14:paraId="59E89857" w14:textId="77777777" w:rsidR="00374D2F" w:rsidRDefault="00374D2F" w:rsidP="00374D2F">
            <w:pPr>
              <w:jc w:val="both"/>
            </w:pPr>
            <w:r>
              <w:t>1</w:t>
            </w:r>
          </w:p>
        </w:tc>
        <w:tc>
          <w:tcPr>
            <w:tcW w:w="0" w:type="auto"/>
            <w:tcBorders>
              <w:top w:val="single" w:sz="12" w:space="0" w:color="auto"/>
              <w:right w:val="single" w:sz="8" w:space="0" w:color="auto"/>
            </w:tcBorders>
          </w:tcPr>
          <w:p w14:paraId="4B29148D" w14:textId="0ED05D6D" w:rsidR="00374D2F" w:rsidRDefault="00374D2F" w:rsidP="00374D2F">
            <w:r>
              <w:t>Receive the Company’s Annual Report and Accounts for the year ended 31 December 2019 together with the reports of the Directors and shareholders.</w:t>
            </w:r>
          </w:p>
          <w:p w14:paraId="020641FD" w14:textId="77777777" w:rsidR="00374D2F" w:rsidRDefault="00374D2F" w:rsidP="00374D2F"/>
        </w:tc>
        <w:tc>
          <w:tcPr>
            <w:tcW w:w="0" w:type="auto"/>
            <w:tcBorders>
              <w:top w:val="single" w:sz="12" w:space="0" w:color="auto"/>
              <w:left w:val="single" w:sz="8" w:space="0" w:color="auto"/>
            </w:tcBorders>
          </w:tcPr>
          <w:p w14:paraId="451E3571" w14:textId="573ADF85" w:rsidR="00374D2F" w:rsidRDefault="00374D2F" w:rsidP="00704FF1">
            <w:pPr>
              <w:jc w:val="right"/>
            </w:pPr>
            <w:r w:rsidRPr="00930333">
              <w:t>96,016,491</w:t>
            </w:r>
          </w:p>
        </w:tc>
        <w:tc>
          <w:tcPr>
            <w:tcW w:w="0" w:type="auto"/>
            <w:tcBorders>
              <w:top w:val="single" w:sz="12" w:space="0" w:color="auto"/>
              <w:right w:val="single" w:sz="8" w:space="0" w:color="auto"/>
            </w:tcBorders>
          </w:tcPr>
          <w:p w14:paraId="32F5022D" w14:textId="2121728A" w:rsidR="00374D2F" w:rsidRDefault="00374D2F" w:rsidP="0001542E">
            <w:pPr>
              <w:jc w:val="right"/>
            </w:pPr>
            <w:r w:rsidRPr="002D377C">
              <w:t>99.77</w:t>
            </w:r>
          </w:p>
        </w:tc>
        <w:tc>
          <w:tcPr>
            <w:tcW w:w="0" w:type="auto"/>
            <w:tcBorders>
              <w:top w:val="single" w:sz="12" w:space="0" w:color="auto"/>
              <w:left w:val="single" w:sz="8" w:space="0" w:color="auto"/>
            </w:tcBorders>
          </w:tcPr>
          <w:p w14:paraId="7C6145D2" w14:textId="61AD4B5D" w:rsidR="00374D2F" w:rsidRDefault="00374D2F" w:rsidP="00704FF1">
            <w:pPr>
              <w:jc w:val="right"/>
            </w:pPr>
            <w:r w:rsidRPr="00B06CFB">
              <w:t>224,948</w:t>
            </w:r>
          </w:p>
        </w:tc>
        <w:tc>
          <w:tcPr>
            <w:tcW w:w="0" w:type="auto"/>
            <w:tcBorders>
              <w:top w:val="single" w:sz="12" w:space="0" w:color="auto"/>
              <w:right w:val="single" w:sz="8" w:space="0" w:color="auto"/>
            </w:tcBorders>
          </w:tcPr>
          <w:p w14:paraId="3AC08273" w14:textId="782AAA39" w:rsidR="00374D2F" w:rsidRDefault="00374D2F" w:rsidP="0001542E">
            <w:pPr>
              <w:jc w:val="right"/>
            </w:pPr>
            <w:r w:rsidRPr="00B93633">
              <w:t>0.23</w:t>
            </w:r>
          </w:p>
        </w:tc>
        <w:tc>
          <w:tcPr>
            <w:tcW w:w="0" w:type="auto"/>
            <w:tcBorders>
              <w:top w:val="single" w:sz="12" w:space="0" w:color="auto"/>
              <w:left w:val="single" w:sz="8" w:space="0" w:color="auto"/>
              <w:right w:val="single" w:sz="8" w:space="0" w:color="auto"/>
            </w:tcBorders>
          </w:tcPr>
          <w:p w14:paraId="065944AE" w14:textId="17BDA2BE" w:rsidR="00374D2F" w:rsidRDefault="00374D2F" w:rsidP="00704FF1">
            <w:pPr>
              <w:jc w:val="right"/>
            </w:pPr>
            <w:r w:rsidRPr="00851AD8">
              <w:t>855,236</w:t>
            </w:r>
          </w:p>
        </w:tc>
      </w:tr>
      <w:tr w:rsidR="00374D2F" w14:paraId="76EBFD86" w14:textId="77777777" w:rsidTr="007D010B">
        <w:tc>
          <w:tcPr>
            <w:tcW w:w="0" w:type="auto"/>
          </w:tcPr>
          <w:p w14:paraId="5A7551E4" w14:textId="6480EC99" w:rsidR="00374D2F" w:rsidRDefault="00374D2F" w:rsidP="00374D2F">
            <w:pPr>
              <w:jc w:val="both"/>
            </w:pPr>
            <w:r>
              <w:t>2</w:t>
            </w:r>
          </w:p>
        </w:tc>
        <w:tc>
          <w:tcPr>
            <w:tcW w:w="0" w:type="auto"/>
            <w:tcBorders>
              <w:right w:val="single" w:sz="8" w:space="0" w:color="auto"/>
            </w:tcBorders>
          </w:tcPr>
          <w:p w14:paraId="61D37C15" w14:textId="0BF41BFF" w:rsidR="00374D2F" w:rsidRDefault="00374D2F" w:rsidP="00374D2F">
            <w:r>
              <w:t>Approve the Directors’ Remuneration Report (other than the part containing the Directors’ Remuneration Policy) for the year ended 31 December 2019 as set out on pages 86 to 103 of the Annual Report 2019.</w:t>
            </w:r>
          </w:p>
          <w:p w14:paraId="094C0CD2" w14:textId="77777777" w:rsidR="00374D2F" w:rsidRDefault="00374D2F" w:rsidP="00374D2F"/>
        </w:tc>
        <w:tc>
          <w:tcPr>
            <w:tcW w:w="0" w:type="auto"/>
            <w:tcBorders>
              <w:left w:val="single" w:sz="8" w:space="0" w:color="auto"/>
            </w:tcBorders>
          </w:tcPr>
          <w:p w14:paraId="459489F0" w14:textId="089DE888" w:rsidR="00374D2F" w:rsidRDefault="00374D2F" w:rsidP="00704FF1">
            <w:pPr>
              <w:jc w:val="right"/>
            </w:pPr>
            <w:r w:rsidRPr="00930333">
              <w:t>91,432,157</w:t>
            </w:r>
          </w:p>
        </w:tc>
        <w:tc>
          <w:tcPr>
            <w:tcW w:w="0" w:type="auto"/>
            <w:tcBorders>
              <w:right w:val="single" w:sz="8" w:space="0" w:color="auto"/>
            </w:tcBorders>
          </w:tcPr>
          <w:p w14:paraId="6E7C981F" w14:textId="1B33E935" w:rsidR="00374D2F" w:rsidRDefault="00374D2F" w:rsidP="0001542E">
            <w:pPr>
              <w:jc w:val="right"/>
            </w:pPr>
            <w:r w:rsidRPr="002D377C">
              <w:t>98.93</w:t>
            </w:r>
          </w:p>
        </w:tc>
        <w:tc>
          <w:tcPr>
            <w:tcW w:w="0" w:type="auto"/>
            <w:tcBorders>
              <w:left w:val="single" w:sz="8" w:space="0" w:color="auto"/>
            </w:tcBorders>
          </w:tcPr>
          <w:p w14:paraId="3CE4D898" w14:textId="50311A3B" w:rsidR="00374D2F" w:rsidRDefault="00374D2F" w:rsidP="00704FF1">
            <w:pPr>
              <w:jc w:val="right"/>
            </w:pPr>
            <w:r w:rsidRPr="00B06CFB">
              <w:t>992,671</w:t>
            </w:r>
          </w:p>
        </w:tc>
        <w:tc>
          <w:tcPr>
            <w:tcW w:w="0" w:type="auto"/>
            <w:tcBorders>
              <w:right w:val="single" w:sz="8" w:space="0" w:color="auto"/>
            </w:tcBorders>
          </w:tcPr>
          <w:p w14:paraId="32561876" w14:textId="17D138D5" w:rsidR="00374D2F" w:rsidRDefault="00374D2F" w:rsidP="0001542E">
            <w:pPr>
              <w:jc w:val="right"/>
            </w:pPr>
            <w:r w:rsidRPr="00B93633">
              <w:t>1.07</w:t>
            </w:r>
          </w:p>
        </w:tc>
        <w:tc>
          <w:tcPr>
            <w:tcW w:w="0" w:type="auto"/>
            <w:tcBorders>
              <w:left w:val="single" w:sz="8" w:space="0" w:color="auto"/>
              <w:right w:val="single" w:sz="8" w:space="0" w:color="auto"/>
            </w:tcBorders>
          </w:tcPr>
          <w:p w14:paraId="2BF52728" w14:textId="61191170" w:rsidR="00374D2F" w:rsidRDefault="00374D2F" w:rsidP="00704FF1">
            <w:pPr>
              <w:jc w:val="right"/>
            </w:pPr>
            <w:r w:rsidRPr="00851AD8">
              <w:t>4,671,847</w:t>
            </w:r>
          </w:p>
        </w:tc>
      </w:tr>
      <w:tr w:rsidR="00374D2F" w14:paraId="0A48DE6E" w14:textId="77777777" w:rsidTr="007D010B">
        <w:tc>
          <w:tcPr>
            <w:tcW w:w="0" w:type="auto"/>
          </w:tcPr>
          <w:p w14:paraId="7E880B8E" w14:textId="5523BB2F" w:rsidR="00374D2F" w:rsidRDefault="00374D2F" w:rsidP="00374D2F">
            <w:pPr>
              <w:jc w:val="both"/>
            </w:pPr>
            <w:r>
              <w:t>3</w:t>
            </w:r>
          </w:p>
        </w:tc>
        <w:tc>
          <w:tcPr>
            <w:tcW w:w="0" w:type="auto"/>
            <w:tcBorders>
              <w:right w:val="single" w:sz="8" w:space="0" w:color="auto"/>
            </w:tcBorders>
          </w:tcPr>
          <w:p w14:paraId="14252393" w14:textId="56D0E346" w:rsidR="00374D2F" w:rsidRDefault="00374D2F" w:rsidP="00374D2F">
            <w:r>
              <w:t>Re-elect Andrew Brown as a Director of the Company.</w:t>
            </w:r>
          </w:p>
          <w:p w14:paraId="44304A03" w14:textId="7B555830" w:rsidR="00374D2F" w:rsidRDefault="00374D2F" w:rsidP="00374D2F"/>
        </w:tc>
        <w:tc>
          <w:tcPr>
            <w:tcW w:w="0" w:type="auto"/>
            <w:tcBorders>
              <w:left w:val="single" w:sz="8" w:space="0" w:color="auto"/>
            </w:tcBorders>
          </w:tcPr>
          <w:p w14:paraId="0B941FA6" w14:textId="2CEE5C82" w:rsidR="00374D2F" w:rsidRDefault="00374D2F" w:rsidP="00704FF1">
            <w:pPr>
              <w:jc w:val="right"/>
            </w:pPr>
            <w:r w:rsidRPr="00930333">
              <w:t>96,969,838</w:t>
            </w:r>
          </w:p>
        </w:tc>
        <w:tc>
          <w:tcPr>
            <w:tcW w:w="0" w:type="auto"/>
            <w:tcBorders>
              <w:right w:val="single" w:sz="8" w:space="0" w:color="auto"/>
            </w:tcBorders>
          </w:tcPr>
          <w:p w14:paraId="4C8ECC84" w14:textId="31865E43" w:rsidR="00374D2F" w:rsidRDefault="00374D2F" w:rsidP="0001542E">
            <w:pPr>
              <w:jc w:val="right"/>
            </w:pPr>
            <w:r w:rsidRPr="002D377C">
              <w:t>99.87</w:t>
            </w:r>
          </w:p>
        </w:tc>
        <w:tc>
          <w:tcPr>
            <w:tcW w:w="0" w:type="auto"/>
            <w:tcBorders>
              <w:left w:val="single" w:sz="8" w:space="0" w:color="auto"/>
            </w:tcBorders>
          </w:tcPr>
          <w:p w14:paraId="1D48BA0C" w14:textId="06C83569" w:rsidR="00374D2F" w:rsidRDefault="00374D2F" w:rsidP="00704FF1">
            <w:pPr>
              <w:jc w:val="right"/>
            </w:pPr>
            <w:r w:rsidRPr="00B06CFB">
              <w:t>126,593</w:t>
            </w:r>
          </w:p>
        </w:tc>
        <w:tc>
          <w:tcPr>
            <w:tcW w:w="0" w:type="auto"/>
            <w:tcBorders>
              <w:right w:val="single" w:sz="8" w:space="0" w:color="auto"/>
            </w:tcBorders>
          </w:tcPr>
          <w:p w14:paraId="0A162CE3" w14:textId="507DFB0D" w:rsidR="00374D2F" w:rsidRDefault="00374D2F" w:rsidP="0001542E">
            <w:pPr>
              <w:jc w:val="right"/>
            </w:pPr>
            <w:r w:rsidRPr="00B93633">
              <w:t>0.13</w:t>
            </w:r>
          </w:p>
        </w:tc>
        <w:tc>
          <w:tcPr>
            <w:tcW w:w="0" w:type="auto"/>
            <w:tcBorders>
              <w:left w:val="single" w:sz="8" w:space="0" w:color="auto"/>
              <w:right w:val="single" w:sz="8" w:space="0" w:color="auto"/>
            </w:tcBorders>
          </w:tcPr>
          <w:p w14:paraId="0FC4C1BB" w14:textId="19BEDB4B" w:rsidR="00374D2F" w:rsidRDefault="00374D2F" w:rsidP="00704FF1">
            <w:pPr>
              <w:jc w:val="right"/>
            </w:pPr>
            <w:r w:rsidRPr="00851AD8">
              <w:t>245</w:t>
            </w:r>
          </w:p>
        </w:tc>
      </w:tr>
      <w:tr w:rsidR="00374D2F" w14:paraId="2BE414B7" w14:textId="77777777" w:rsidTr="007D010B">
        <w:tc>
          <w:tcPr>
            <w:tcW w:w="0" w:type="auto"/>
          </w:tcPr>
          <w:p w14:paraId="3EC9A0A6" w14:textId="7295B9C2" w:rsidR="00374D2F" w:rsidRDefault="00374D2F" w:rsidP="00374D2F">
            <w:pPr>
              <w:jc w:val="both"/>
            </w:pPr>
            <w:r>
              <w:t>4</w:t>
            </w:r>
          </w:p>
        </w:tc>
        <w:tc>
          <w:tcPr>
            <w:tcW w:w="0" w:type="auto"/>
            <w:tcBorders>
              <w:right w:val="single" w:sz="8" w:space="0" w:color="auto"/>
            </w:tcBorders>
          </w:tcPr>
          <w:p w14:paraId="51C6C5CF" w14:textId="75043ED6" w:rsidR="00374D2F" w:rsidRDefault="00374D2F" w:rsidP="00374D2F">
            <w:r>
              <w:t>Re-elect Rod Flavell as a Director of the Company.</w:t>
            </w:r>
          </w:p>
          <w:p w14:paraId="5824D1D3" w14:textId="70DC62CA" w:rsidR="00374D2F" w:rsidRDefault="00374D2F" w:rsidP="00374D2F"/>
        </w:tc>
        <w:tc>
          <w:tcPr>
            <w:tcW w:w="0" w:type="auto"/>
            <w:tcBorders>
              <w:left w:val="single" w:sz="8" w:space="0" w:color="auto"/>
            </w:tcBorders>
          </w:tcPr>
          <w:p w14:paraId="17927D79" w14:textId="4F5FBC6B" w:rsidR="00374D2F" w:rsidRDefault="00374D2F" w:rsidP="00704FF1">
            <w:pPr>
              <w:jc w:val="right"/>
            </w:pPr>
            <w:r w:rsidRPr="00930333">
              <w:t>95,978,025</w:t>
            </w:r>
          </w:p>
        </w:tc>
        <w:tc>
          <w:tcPr>
            <w:tcW w:w="0" w:type="auto"/>
            <w:tcBorders>
              <w:right w:val="single" w:sz="8" w:space="0" w:color="auto"/>
            </w:tcBorders>
          </w:tcPr>
          <w:p w14:paraId="69E43B0F" w14:textId="0ADAF92C" w:rsidR="00374D2F" w:rsidRDefault="00374D2F" w:rsidP="0001542E">
            <w:pPr>
              <w:jc w:val="right"/>
            </w:pPr>
            <w:r w:rsidRPr="002D377C">
              <w:t>98.85</w:t>
            </w:r>
          </w:p>
        </w:tc>
        <w:tc>
          <w:tcPr>
            <w:tcW w:w="0" w:type="auto"/>
            <w:tcBorders>
              <w:left w:val="single" w:sz="8" w:space="0" w:color="auto"/>
            </w:tcBorders>
          </w:tcPr>
          <w:p w14:paraId="73BA9FD0" w14:textId="49B5A6CE" w:rsidR="00374D2F" w:rsidRDefault="00374D2F" w:rsidP="00704FF1">
            <w:pPr>
              <w:jc w:val="right"/>
            </w:pPr>
            <w:r w:rsidRPr="00B06CFB">
              <w:t>1,118,405</w:t>
            </w:r>
          </w:p>
        </w:tc>
        <w:tc>
          <w:tcPr>
            <w:tcW w:w="0" w:type="auto"/>
            <w:tcBorders>
              <w:right w:val="single" w:sz="8" w:space="0" w:color="auto"/>
            </w:tcBorders>
          </w:tcPr>
          <w:p w14:paraId="5991E7F2" w14:textId="0C14F9FE" w:rsidR="00374D2F" w:rsidRDefault="00374D2F" w:rsidP="0001542E">
            <w:pPr>
              <w:jc w:val="right"/>
            </w:pPr>
            <w:bookmarkStart w:id="0" w:name="_GoBack"/>
            <w:bookmarkEnd w:id="0"/>
            <w:r w:rsidRPr="00B93633">
              <w:t>1.15</w:t>
            </w:r>
          </w:p>
        </w:tc>
        <w:tc>
          <w:tcPr>
            <w:tcW w:w="0" w:type="auto"/>
            <w:tcBorders>
              <w:left w:val="single" w:sz="8" w:space="0" w:color="auto"/>
              <w:right w:val="single" w:sz="8" w:space="0" w:color="auto"/>
            </w:tcBorders>
          </w:tcPr>
          <w:p w14:paraId="4D7C12A5" w14:textId="49EF8B69" w:rsidR="00374D2F" w:rsidRDefault="00374D2F" w:rsidP="00704FF1">
            <w:pPr>
              <w:jc w:val="right"/>
            </w:pPr>
            <w:r w:rsidRPr="00851AD8">
              <w:t>245</w:t>
            </w:r>
          </w:p>
        </w:tc>
      </w:tr>
      <w:tr w:rsidR="00374D2F" w14:paraId="4C546009" w14:textId="77777777" w:rsidTr="007D010B">
        <w:tc>
          <w:tcPr>
            <w:tcW w:w="0" w:type="auto"/>
          </w:tcPr>
          <w:p w14:paraId="7EF66EF9" w14:textId="0C57F04A" w:rsidR="00374D2F" w:rsidRDefault="00374D2F" w:rsidP="00374D2F">
            <w:pPr>
              <w:jc w:val="both"/>
            </w:pPr>
            <w:r>
              <w:t>5</w:t>
            </w:r>
          </w:p>
        </w:tc>
        <w:tc>
          <w:tcPr>
            <w:tcW w:w="0" w:type="auto"/>
            <w:tcBorders>
              <w:right w:val="single" w:sz="8" w:space="0" w:color="auto"/>
            </w:tcBorders>
          </w:tcPr>
          <w:p w14:paraId="4F0C30A1" w14:textId="24AA0ED1" w:rsidR="00374D2F" w:rsidRDefault="00374D2F" w:rsidP="00374D2F">
            <w:r>
              <w:t>Re-elect Sheila Flavell as a Director of the Company.</w:t>
            </w:r>
          </w:p>
          <w:p w14:paraId="21B2792A" w14:textId="77777777" w:rsidR="00374D2F" w:rsidRDefault="00374D2F" w:rsidP="00374D2F"/>
        </w:tc>
        <w:tc>
          <w:tcPr>
            <w:tcW w:w="0" w:type="auto"/>
            <w:tcBorders>
              <w:left w:val="single" w:sz="8" w:space="0" w:color="auto"/>
            </w:tcBorders>
          </w:tcPr>
          <w:p w14:paraId="56DF1094" w14:textId="26CC42DE" w:rsidR="00374D2F" w:rsidRDefault="00374D2F" w:rsidP="00704FF1">
            <w:pPr>
              <w:jc w:val="right"/>
            </w:pPr>
            <w:r w:rsidRPr="00930333">
              <w:t>96,971,688</w:t>
            </w:r>
          </w:p>
        </w:tc>
        <w:tc>
          <w:tcPr>
            <w:tcW w:w="0" w:type="auto"/>
            <w:tcBorders>
              <w:right w:val="single" w:sz="8" w:space="0" w:color="auto"/>
            </w:tcBorders>
          </w:tcPr>
          <w:p w14:paraId="468BF32E" w14:textId="0D95D5BE" w:rsidR="00374D2F" w:rsidRDefault="00374D2F" w:rsidP="0001542E">
            <w:pPr>
              <w:jc w:val="right"/>
            </w:pPr>
            <w:r w:rsidRPr="002D377C">
              <w:t>99.87</w:t>
            </w:r>
          </w:p>
        </w:tc>
        <w:tc>
          <w:tcPr>
            <w:tcW w:w="0" w:type="auto"/>
            <w:tcBorders>
              <w:left w:val="single" w:sz="8" w:space="0" w:color="auto"/>
            </w:tcBorders>
          </w:tcPr>
          <w:p w14:paraId="01FCF765" w14:textId="58CD0660" w:rsidR="00374D2F" w:rsidRDefault="00374D2F" w:rsidP="00704FF1">
            <w:pPr>
              <w:jc w:val="right"/>
            </w:pPr>
            <w:r w:rsidRPr="00B06CFB">
              <w:t>124,743</w:t>
            </w:r>
          </w:p>
        </w:tc>
        <w:tc>
          <w:tcPr>
            <w:tcW w:w="0" w:type="auto"/>
            <w:tcBorders>
              <w:right w:val="single" w:sz="8" w:space="0" w:color="auto"/>
            </w:tcBorders>
          </w:tcPr>
          <w:p w14:paraId="60AB7C56" w14:textId="1BC737B4" w:rsidR="00374D2F" w:rsidRDefault="00374D2F" w:rsidP="0001542E">
            <w:pPr>
              <w:jc w:val="right"/>
            </w:pPr>
            <w:r w:rsidRPr="00B93633">
              <w:t>0.13</w:t>
            </w:r>
          </w:p>
        </w:tc>
        <w:tc>
          <w:tcPr>
            <w:tcW w:w="0" w:type="auto"/>
            <w:tcBorders>
              <w:left w:val="single" w:sz="8" w:space="0" w:color="auto"/>
              <w:right w:val="single" w:sz="8" w:space="0" w:color="auto"/>
            </w:tcBorders>
          </w:tcPr>
          <w:p w14:paraId="2DCDD440" w14:textId="05C419B5" w:rsidR="00374D2F" w:rsidRDefault="00374D2F" w:rsidP="00704FF1">
            <w:pPr>
              <w:jc w:val="right"/>
            </w:pPr>
            <w:r w:rsidRPr="00851AD8">
              <w:t>245</w:t>
            </w:r>
          </w:p>
        </w:tc>
      </w:tr>
      <w:tr w:rsidR="00374D2F" w14:paraId="3B997FD2" w14:textId="77777777" w:rsidTr="007D010B">
        <w:tc>
          <w:tcPr>
            <w:tcW w:w="0" w:type="auto"/>
          </w:tcPr>
          <w:p w14:paraId="5BF5095E" w14:textId="7EC42565" w:rsidR="00374D2F" w:rsidRDefault="00374D2F" w:rsidP="00374D2F">
            <w:pPr>
              <w:jc w:val="both"/>
            </w:pPr>
            <w:r>
              <w:t>6</w:t>
            </w:r>
          </w:p>
        </w:tc>
        <w:tc>
          <w:tcPr>
            <w:tcW w:w="0" w:type="auto"/>
            <w:tcBorders>
              <w:right w:val="single" w:sz="8" w:space="0" w:color="auto"/>
            </w:tcBorders>
          </w:tcPr>
          <w:p w14:paraId="62753BA8" w14:textId="45DB82F6" w:rsidR="00374D2F" w:rsidRDefault="00374D2F" w:rsidP="00374D2F">
            <w:r>
              <w:t>Re-elect Michael McLaren as a Director of the Company.</w:t>
            </w:r>
          </w:p>
          <w:p w14:paraId="467E7412" w14:textId="77777777" w:rsidR="00374D2F" w:rsidRDefault="00374D2F" w:rsidP="00374D2F"/>
        </w:tc>
        <w:tc>
          <w:tcPr>
            <w:tcW w:w="0" w:type="auto"/>
            <w:tcBorders>
              <w:left w:val="single" w:sz="8" w:space="0" w:color="auto"/>
            </w:tcBorders>
          </w:tcPr>
          <w:p w14:paraId="7C37C0C9" w14:textId="052E0B01" w:rsidR="00374D2F" w:rsidRDefault="00374D2F" w:rsidP="00704FF1">
            <w:pPr>
              <w:jc w:val="right"/>
            </w:pPr>
            <w:r w:rsidRPr="00930333">
              <w:t>96,954,557</w:t>
            </w:r>
          </w:p>
        </w:tc>
        <w:tc>
          <w:tcPr>
            <w:tcW w:w="0" w:type="auto"/>
            <w:tcBorders>
              <w:right w:val="single" w:sz="8" w:space="0" w:color="auto"/>
            </w:tcBorders>
          </w:tcPr>
          <w:p w14:paraId="01EBCE98" w14:textId="48359BCF" w:rsidR="00374D2F" w:rsidRDefault="00374D2F" w:rsidP="0001542E">
            <w:pPr>
              <w:jc w:val="right"/>
            </w:pPr>
            <w:r w:rsidRPr="002D377C">
              <w:t>99.85</w:t>
            </w:r>
          </w:p>
        </w:tc>
        <w:tc>
          <w:tcPr>
            <w:tcW w:w="0" w:type="auto"/>
            <w:tcBorders>
              <w:left w:val="single" w:sz="8" w:space="0" w:color="auto"/>
            </w:tcBorders>
          </w:tcPr>
          <w:p w14:paraId="4E613C2A" w14:textId="4C7A6D09" w:rsidR="00374D2F" w:rsidRDefault="00374D2F" w:rsidP="00704FF1">
            <w:pPr>
              <w:jc w:val="right"/>
            </w:pPr>
            <w:r w:rsidRPr="00B06CFB">
              <w:t>141,874</w:t>
            </w:r>
          </w:p>
        </w:tc>
        <w:tc>
          <w:tcPr>
            <w:tcW w:w="0" w:type="auto"/>
            <w:tcBorders>
              <w:right w:val="single" w:sz="8" w:space="0" w:color="auto"/>
            </w:tcBorders>
          </w:tcPr>
          <w:p w14:paraId="034DF1C7" w14:textId="44B0B13C" w:rsidR="00374D2F" w:rsidRDefault="00374D2F" w:rsidP="0001542E">
            <w:pPr>
              <w:jc w:val="right"/>
            </w:pPr>
            <w:r w:rsidRPr="00B93633">
              <w:t>0.15</w:t>
            </w:r>
          </w:p>
        </w:tc>
        <w:tc>
          <w:tcPr>
            <w:tcW w:w="0" w:type="auto"/>
            <w:tcBorders>
              <w:left w:val="single" w:sz="8" w:space="0" w:color="auto"/>
              <w:right w:val="single" w:sz="8" w:space="0" w:color="auto"/>
            </w:tcBorders>
          </w:tcPr>
          <w:p w14:paraId="60411397" w14:textId="4F1AF112" w:rsidR="00374D2F" w:rsidRDefault="00374D2F" w:rsidP="00704FF1">
            <w:pPr>
              <w:jc w:val="right"/>
            </w:pPr>
            <w:r w:rsidRPr="00851AD8">
              <w:t>245</w:t>
            </w:r>
          </w:p>
        </w:tc>
      </w:tr>
      <w:tr w:rsidR="00DA275F" w14:paraId="4E49FF15" w14:textId="77777777" w:rsidTr="007D010B">
        <w:tc>
          <w:tcPr>
            <w:tcW w:w="0" w:type="auto"/>
          </w:tcPr>
          <w:p w14:paraId="24AB74C4" w14:textId="07CBAEC3" w:rsidR="00DA275F" w:rsidRDefault="00DA275F" w:rsidP="00DA275F">
            <w:pPr>
              <w:jc w:val="both"/>
            </w:pPr>
            <w:r>
              <w:t>7</w:t>
            </w:r>
          </w:p>
        </w:tc>
        <w:tc>
          <w:tcPr>
            <w:tcW w:w="0" w:type="auto"/>
            <w:tcBorders>
              <w:right w:val="single" w:sz="8" w:space="0" w:color="auto"/>
            </w:tcBorders>
          </w:tcPr>
          <w:p w14:paraId="1C7EDA49" w14:textId="77777777" w:rsidR="00DA275F" w:rsidRDefault="00DA275F" w:rsidP="00DA275F">
            <w:r w:rsidRPr="001C23E7">
              <w:t xml:space="preserve">Re-elect Alan Kinnear as a Director of the Company, who </w:t>
            </w:r>
            <w:r w:rsidRPr="001C23E7">
              <w:lastRenderedPageBreak/>
              <w:t>was appointed by the Board of Directors of the Company since the last AGM.</w:t>
            </w:r>
          </w:p>
          <w:p w14:paraId="60AB369A" w14:textId="1BD6DA3B" w:rsidR="000104B1" w:rsidRDefault="000104B1" w:rsidP="00DA275F"/>
        </w:tc>
        <w:tc>
          <w:tcPr>
            <w:tcW w:w="0" w:type="auto"/>
            <w:tcBorders>
              <w:left w:val="single" w:sz="8" w:space="0" w:color="auto"/>
            </w:tcBorders>
          </w:tcPr>
          <w:p w14:paraId="235AA304" w14:textId="742EA217" w:rsidR="00DA275F" w:rsidRPr="00930333" w:rsidRDefault="00DA275F" w:rsidP="00704FF1">
            <w:pPr>
              <w:jc w:val="right"/>
            </w:pPr>
            <w:r w:rsidRPr="007A3582">
              <w:lastRenderedPageBreak/>
              <w:t>96,086,885</w:t>
            </w:r>
          </w:p>
        </w:tc>
        <w:tc>
          <w:tcPr>
            <w:tcW w:w="0" w:type="auto"/>
            <w:tcBorders>
              <w:right w:val="single" w:sz="8" w:space="0" w:color="auto"/>
            </w:tcBorders>
          </w:tcPr>
          <w:p w14:paraId="672C8799" w14:textId="036D45DB" w:rsidR="00DA275F" w:rsidRPr="002D377C" w:rsidRDefault="00DA275F" w:rsidP="0001542E">
            <w:pPr>
              <w:jc w:val="right"/>
            </w:pPr>
            <w:r w:rsidRPr="00AA600B">
              <w:t>98.96</w:t>
            </w:r>
          </w:p>
        </w:tc>
        <w:tc>
          <w:tcPr>
            <w:tcW w:w="0" w:type="auto"/>
            <w:tcBorders>
              <w:left w:val="single" w:sz="8" w:space="0" w:color="auto"/>
            </w:tcBorders>
          </w:tcPr>
          <w:p w14:paraId="325AECCC" w14:textId="141A2E39" w:rsidR="00DA275F" w:rsidRPr="00B06CFB" w:rsidRDefault="00DA275F" w:rsidP="00704FF1">
            <w:pPr>
              <w:jc w:val="right"/>
            </w:pPr>
            <w:r w:rsidRPr="00721366">
              <w:t>1,009,545</w:t>
            </w:r>
          </w:p>
        </w:tc>
        <w:tc>
          <w:tcPr>
            <w:tcW w:w="0" w:type="auto"/>
            <w:tcBorders>
              <w:right w:val="single" w:sz="8" w:space="0" w:color="auto"/>
            </w:tcBorders>
          </w:tcPr>
          <w:p w14:paraId="653B1D62" w14:textId="60FDC7F8" w:rsidR="00DA275F" w:rsidRPr="00B93633" w:rsidRDefault="00DA275F" w:rsidP="0001542E">
            <w:pPr>
              <w:jc w:val="right"/>
            </w:pPr>
            <w:r w:rsidRPr="00DA72BB">
              <w:t>1.04</w:t>
            </w:r>
          </w:p>
        </w:tc>
        <w:tc>
          <w:tcPr>
            <w:tcW w:w="0" w:type="auto"/>
            <w:tcBorders>
              <w:left w:val="single" w:sz="8" w:space="0" w:color="auto"/>
              <w:right w:val="single" w:sz="8" w:space="0" w:color="auto"/>
            </w:tcBorders>
          </w:tcPr>
          <w:p w14:paraId="27E31930" w14:textId="77B8A785" w:rsidR="00DA275F" w:rsidRPr="00851AD8" w:rsidRDefault="00DA275F" w:rsidP="00704FF1">
            <w:pPr>
              <w:jc w:val="right"/>
            </w:pPr>
            <w:r w:rsidRPr="000162A5">
              <w:t>245</w:t>
            </w:r>
          </w:p>
        </w:tc>
      </w:tr>
      <w:tr w:rsidR="00DA275F" w14:paraId="2F625372" w14:textId="77777777" w:rsidTr="007D010B">
        <w:tc>
          <w:tcPr>
            <w:tcW w:w="0" w:type="auto"/>
          </w:tcPr>
          <w:p w14:paraId="66E01FB5" w14:textId="139A3961" w:rsidR="00DA275F" w:rsidRDefault="00DA275F" w:rsidP="00DA275F">
            <w:pPr>
              <w:jc w:val="both"/>
            </w:pPr>
            <w:r>
              <w:t>8</w:t>
            </w:r>
          </w:p>
        </w:tc>
        <w:tc>
          <w:tcPr>
            <w:tcW w:w="0" w:type="auto"/>
            <w:tcBorders>
              <w:right w:val="single" w:sz="8" w:space="0" w:color="auto"/>
            </w:tcBorders>
          </w:tcPr>
          <w:p w14:paraId="217809F5" w14:textId="77777777" w:rsidR="00DA275F" w:rsidRDefault="00DA275F" w:rsidP="00DA275F">
            <w:r w:rsidRPr="00374D2F">
              <w:t>Re-elect David Lister as a Director of the Company.</w:t>
            </w:r>
          </w:p>
          <w:p w14:paraId="3F2D4C41" w14:textId="4988D59F" w:rsidR="000104B1" w:rsidRDefault="000104B1" w:rsidP="00DA275F"/>
        </w:tc>
        <w:tc>
          <w:tcPr>
            <w:tcW w:w="0" w:type="auto"/>
            <w:tcBorders>
              <w:left w:val="single" w:sz="8" w:space="0" w:color="auto"/>
            </w:tcBorders>
          </w:tcPr>
          <w:p w14:paraId="47D329DD" w14:textId="3C0D4E22" w:rsidR="00DA275F" w:rsidRPr="00930333" w:rsidRDefault="00DA275F" w:rsidP="00704FF1">
            <w:pPr>
              <w:jc w:val="right"/>
            </w:pPr>
            <w:r w:rsidRPr="007A3582">
              <w:t>92,407,291</w:t>
            </w:r>
          </w:p>
        </w:tc>
        <w:tc>
          <w:tcPr>
            <w:tcW w:w="0" w:type="auto"/>
            <w:tcBorders>
              <w:right w:val="single" w:sz="8" w:space="0" w:color="auto"/>
            </w:tcBorders>
          </w:tcPr>
          <w:p w14:paraId="0AF9CB5F" w14:textId="121D887A" w:rsidR="00DA275F" w:rsidRPr="002D377C" w:rsidRDefault="00DA275F" w:rsidP="0001542E">
            <w:pPr>
              <w:jc w:val="right"/>
            </w:pPr>
            <w:r w:rsidRPr="00AA600B">
              <w:t>99.86</w:t>
            </w:r>
          </w:p>
        </w:tc>
        <w:tc>
          <w:tcPr>
            <w:tcW w:w="0" w:type="auto"/>
            <w:tcBorders>
              <w:left w:val="single" w:sz="8" w:space="0" w:color="auto"/>
            </w:tcBorders>
          </w:tcPr>
          <w:p w14:paraId="2BFBA4F3" w14:textId="4B6BEB7E" w:rsidR="00DA275F" w:rsidRPr="00B06CFB" w:rsidRDefault="00DA275F" w:rsidP="00704FF1">
            <w:pPr>
              <w:jc w:val="right"/>
            </w:pPr>
            <w:r w:rsidRPr="00721366">
              <w:t>125,875</w:t>
            </w:r>
          </w:p>
        </w:tc>
        <w:tc>
          <w:tcPr>
            <w:tcW w:w="0" w:type="auto"/>
            <w:tcBorders>
              <w:right w:val="single" w:sz="8" w:space="0" w:color="auto"/>
            </w:tcBorders>
          </w:tcPr>
          <w:p w14:paraId="6FF3C2E9" w14:textId="02ED6FD5" w:rsidR="00DA275F" w:rsidRPr="00B93633" w:rsidRDefault="00DA275F" w:rsidP="0001542E">
            <w:pPr>
              <w:jc w:val="right"/>
            </w:pPr>
            <w:r w:rsidRPr="00DA72BB">
              <w:t>0.14</w:t>
            </w:r>
          </w:p>
        </w:tc>
        <w:tc>
          <w:tcPr>
            <w:tcW w:w="0" w:type="auto"/>
            <w:tcBorders>
              <w:left w:val="single" w:sz="8" w:space="0" w:color="auto"/>
              <w:right w:val="single" w:sz="8" w:space="0" w:color="auto"/>
            </w:tcBorders>
          </w:tcPr>
          <w:p w14:paraId="75894D2B" w14:textId="01FF81D8" w:rsidR="00DA275F" w:rsidRPr="00851AD8" w:rsidRDefault="00DA275F" w:rsidP="00704FF1">
            <w:pPr>
              <w:jc w:val="right"/>
            </w:pPr>
            <w:r w:rsidRPr="000162A5">
              <w:t>4,563,509</w:t>
            </w:r>
          </w:p>
        </w:tc>
      </w:tr>
      <w:tr w:rsidR="00DA275F" w14:paraId="6FB5FC4F" w14:textId="77777777" w:rsidTr="007D010B">
        <w:tc>
          <w:tcPr>
            <w:tcW w:w="0" w:type="auto"/>
          </w:tcPr>
          <w:p w14:paraId="0F4A56DE" w14:textId="1E98019A" w:rsidR="00DA275F" w:rsidRDefault="00DA275F" w:rsidP="00DA275F">
            <w:pPr>
              <w:jc w:val="both"/>
            </w:pPr>
            <w:r>
              <w:t>9</w:t>
            </w:r>
          </w:p>
        </w:tc>
        <w:tc>
          <w:tcPr>
            <w:tcW w:w="0" w:type="auto"/>
            <w:tcBorders>
              <w:right w:val="single" w:sz="8" w:space="0" w:color="auto"/>
            </w:tcBorders>
          </w:tcPr>
          <w:p w14:paraId="71B81090" w14:textId="77777777" w:rsidR="00DA275F" w:rsidRDefault="00DA275F" w:rsidP="00DA275F">
            <w:r w:rsidRPr="00DA275F">
              <w:t>Re-elect Jacqueline de Rojas as a Director of the Company, who was appointed by the Board of Directors of the Company since the last AGM.</w:t>
            </w:r>
          </w:p>
          <w:p w14:paraId="31F34AF5" w14:textId="1522C3A3" w:rsidR="000104B1" w:rsidRDefault="000104B1" w:rsidP="00DA275F"/>
        </w:tc>
        <w:tc>
          <w:tcPr>
            <w:tcW w:w="0" w:type="auto"/>
            <w:tcBorders>
              <w:left w:val="single" w:sz="8" w:space="0" w:color="auto"/>
            </w:tcBorders>
          </w:tcPr>
          <w:p w14:paraId="5D8F5758" w14:textId="657B38E7" w:rsidR="00DA275F" w:rsidRPr="00930333" w:rsidRDefault="00DA275F" w:rsidP="00704FF1">
            <w:pPr>
              <w:jc w:val="right"/>
            </w:pPr>
            <w:r w:rsidRPr="007A3582">
              <w:t>97,095,407</w:t>
            </w:r>
          </w:p>
        </w:tc>
        <w:tc>
          <w:tcPr>
            <w:tcW w:w="0" w:type="auto"/>
            <w:tcBorders>
              <w:right w:val="single" w:sz="8" w:space="0" w:color="auto"/>
            </w:tcBorders>
          </w:tcPr>
          <w:p w14:paraId="5F16A99A" w14:textId="1209605A" w:rsidR="00DA275F" w:rsidRPr="002D377C" w:rsidRDefault="00DA275F" w:rsidP="0001542E">
            <w:pPr>
              <w:jc w:val="right"/>
            </w:pPr>
            <w:r w:rsidRPr="00AA600B">
              <w:t>99.99</w:t>
            </w:r>
          </w:p>
        </w:tc>
        <w:tc>
          <w:tcPr>
            <w:tcW w:w="0" w:type="auto"/>
            <w:tcBorders>
              <w:left w:val="single" w:sz="8" w:space="0" w:color="auto"/>
            </w:tcBorders>
          </w:tcPr>
          <w:p w14:paraId="03756299" w14:textId="063626C1" w:rsidR="00DA275F" w:rsidRPr="00B06CFB" w:rsidRDefault="00DA275F" w:rsidP="00704FF1">
            <w:pPr>
              <w:jc w:val="right"/>
            </w:pPr>
            <w:r w:rsidRPr="00721366">
              <w:t>1,024</w:t>
            </w:r>
          </w:p>
        </w:tc>
        <w:tc>
          <w:tcPr>
            <w:tcW w:w="0" w:type="auto"/>
            <w:tcBorders>
              <w:right w:val="single" w:sz="8" w:space="0" w:color="auto"/>
            </w:tcBorders>
          </w:tcPr>
          <w:p w14:paraId="49543F67" w14:textId="69E7DFB8" w:rsidR="00DA275F" w:rsidRPr="00B93633" w:rsidRDefault="00DA275F" w:rsidP="0001542E">
            <w:pPr>
              <w:jc w:val="right"/>
            </w:pPr>
            <w:r w:rsidRPr="00DA72BB">
              <w:t>0.01</w:t>
            </w:r>
          </w:p>
        </w:tc>
        <w:tc>
          <w:tcPr>
            <w:tcW w:w="0" w:type="auto"/>
            <w:tcBorders>
              <w:left w:val="single" w:sz="8" w:space="0" w:color="auto"/>
              <w:right w:val="single" w:sz="8" w:space="0" w:color="auto"/>
            </w:tcBorders>
          </w:tcPr>
          <w:p w14:paraId="4011389F" w14:textId="4224FDEE" w:rsidR="00DA275F" w:rsidRPr="00851AD8" w:rsidRDefault="00DA275F" w:rsidP="00704FF1">
            <w:pPr>
              <w:jc w:val="right"/>
            </w:pPr>
            <w:r w:rsidRPr="000162A5">
              <w:t>245</w:t>
            </w:r>
          </w:p>
        </w:tc>
      </w:tr>
      <w:tr w:rsidR="00DA275F" w14:paraId="1C2E7657" w14:textId="77777777" w:rsidTr="007D010B">
        <w:tc>
          <w:tcPr>
            <w:tcW w:w="0" w:type="auto"/>
          </w:tcPr>
          <w:p w14:paraId="093EBBDC" w14:textId="456E2161" w:rsidR="00DA275F" w:rsidRDefault="00DA275F" w:rsidP="00DA275F">
            <w:pPr>
              <w:jc w:val="both"/>
            </w:pPr>
            <w:r>
              <w:t>10</w:t>
            </w:r>
          </w:p>
        </w:tc>
        <w:tc>
          <w:tcPr>
            <w:tcW w:w="0" w:type="auto"/>
            <w:tcBorders>
              <w:right w:val="single" w:sz="8" w:space="0" w:color="auto"/>
            </w:tcBorders>
          </w:tcPr>
          <w:p w14:paraId="368407B3" w14:textId="77777777" w:rsidR="00DA275F" w:rsidRDefault="00DA275F" w:rsidP="00DA275F">
            <w:r w:rsidRPr="00756978">
              <w:t>Re-elect Michelle Senecal de Fonseca as a Director of the Company.</w:t>
            </w:r>
          </w:p>
          <w:p w14:paraId="46B9A723" w14:textId="3D606809" w:rsidR="000104B1" w:rsidRDefault="000104B1" w:rsidP="00DA275F"/>
        </w:tc>
        <w:tc>
          <w:tcPr>
            <w:tcW w:w="0" w:type="auto"/>
            <w:tcBorders>
              <w:left w:val="single" w:sz="8" w:space="0" w:color="auto"/>
            </w:tcBorders>
          </w:tcPr>
          <w:p w14:paraId="5B4DB6BD" w14:textId="4342EBDB" w:rsidR="00DA275F" w:rsidRPr="00930333" w:rsidRDefault="00DA275F" w:rsidP="00704FF1">
            <w:pPr>
              <w:jc w:val="right"/>
            </w:pPr>
            <w:r w:rsidRPr="007A3582">
              <w:t>97,095,407</w:t>
            </w:r>
          </w:p>
        </w:tc>
        <w:tc>
          <w:tcPr>
            <w:tcW w:w="0" w:type="auto"/>
            <w:tcBorders>
              <w:right w:val="single" w:sz="8" w:space="0" w:color="auto"/>
            </w:tcBorders>
          </w:tcPr>
          <w:p w14:paraId="4F68665F" w14:textId="0CC220BC" w:rsidR="00DA275F" w:rsidRPr="002D377C" w:rsidRDefault="00DA275F" w:rsidP="0001542E">
            <w:pPr>
              <w:jc w:val="right"/>
            </w:pPr>
            <w:r w:rsidRPr="00AA600B">
              <w:t>99.99</w:t>
            </w:r>
          </w:p>
        </w:tc>
        <w:tc>
          <w:tcPr>
            <w:tcW w:w="0" w:type="auto"/>
            <w:tcBorders>
              <w:left w:val="single" w:sz="8" w:space="0" w:color="auto"/>
            </w:tcBorders>
          </w:tcPr>
          <w:p w14:paraId="732C320F" w14:textId="667975C1" w:rsidR="00DA275F" w:rsidRPr="00B06CFB" w:rsidRDefault="00DA275F" w:rsidP="00704FF1">
            <w:pPr>
              <w:jc w:val="right"/>
            </w:pPr>
            <w:r w:rsidRPr="00721366">
              <w:t>1,024</w:t>
            </w:r>
          </w:p>
        </w:tc>
        <w:tc>
          <w:tcPr>
            <w:tcW w:w="0" w:type="auto"/>
            <w:tcBorders>
              <w:right w:val="single" w:sz="8" w:space="0" w:color="auto"/>
            </w:tcBorders>
          </w:tcPr>
          <w:p w14:paraId="01896AB4" w14:textId="7F7E8F87" w:rsidR="00DA275F" w:rsidRPr="00B93633" w:rsidRDefault="00DA275F" w:rsidP="0001542E">
            <w:pPr>
              <w:jc w:val="right"/>
            </w:pPr>
            <w:r w:rsidRPr="00DA72BB">
              <w:t>0.01</w:t>
            </w:r>
          </w:p>
        </w:tc>
        <w:tc>
          <w:tcPr>
            <w:tcW w:w="0" w:type="auto"/>
            <w:tcBorders>
              <w:left w:val="single" w:sz="8" w:space="0" w:color="auto"/>
              <w:right w:val="single" w:sz="8" w:space="0" w:color="auto"/>
            </w:tcBorders>
          </w:tcPr>
          <w:p w14:paraId="0FCF3B9C" w14:textId="202E71BA" w:rsidR="00DA275F" w:rsidRPr="00851AD8" w:rsidRDefault="00DA275F" w:rsidP="00704FF1">
            <w:pPr>
              <w:jc w:val="right"/>
            </w:pPr>
            <w:r w:rsidRPr="000162A5">
              <w:t>245</w:t>
            </w:r>
          </w:p>
        </w:tc>
      </w:tr>
      <w:tr w:rsidR="00DA275F" w14:paraId="5F0AA449" w14:textId="77777777" w:rsidTr="007D010B">
        <w:tc>
          <w:tcPr>
            <w:tcW w:w="0" w:type="auto"/>
          </w:tcPr>
          <w:p w14:paraId="6FCEDE22" w14:textId="7433A053" w:rsidR="00DA275F" w:rsidRDefault="00DA275F" w:rsidP="00DA275F">
            <w:pPr>
              <w:jc w:val="both"/>
            </w:pPr>
            <w:r>
              <w:t>11</w:t>
            </w:r>
          </w:p>
        </w:tc>
        <w:tc>
          <w:tcPr>
            <w:tcW w:w="0" w:type="auto"/>
            <w:tcBorders>
              <w:right w:val="single" w:sz="8" w:space="0" w:color="auto"/>
            </w:tcBorders>
          </w:tcPr>
          <w:p w14:paraId="57F1DF7D" w14:textId="77777777" w:rsidR="00DA275F" w:rsidRDefault="00DA275F" w:rsidP="00DA275F">
            <w:r w:rsidRPr="00DA275F">
              <w:t>Re-elect Peter Whiting as a Director of the Company.</w:t>
            </w:r>
          </w:p>
          <w:p w14:paraId="6E2CC2D3" w14:textId="02281D1F" w:rsidR="000104B1" w:rsidRDefault="000104B1" w:rsidP="00DA275F"/>
        </w:tc>
        <w:tc>
          <w:tcPr>
            <w:tcW w:w="0" w:type="auto"/>
            <w:tcBorders>
              <w:left w:val="single" w:sz="8" w:space="0" w:color="auto"/>
            </w:tcBorders>
          </w:tcPr>
          <w:p w14:paraId="463AF7E3" w14:textId="795F06A6" w:rsidR="00DA275F" w:rsidRPr="00930333" w:rsidRDefault="00DA275F" w:rsidP="00704FF1">
            <w:pPr>
              <w:jc w:val="right"/>
            </w:pPr>
            <w:r w:rsidRPr="007A3582">
              <w:t>96,285,429</w:t>
            </w:r>
          </w:p>
        </w:tc>
        <w:tc>
          <w:tcPr>
            <w:tcW w:w="0" w:type="auto"/>
            <w:tcBorders>
              <w:right w:val="single" w:sz="8" w:space="0" w:color="auto"/>
            </w:tcBorders>
          </w:tcPr>
          <w:p w14:paraId="5F449435" w14:textId="0E6E7D14" w:rsidR="00DA275F" w:rsidRPr="002D377C" w:rsidRDefault="00DA275F" w:rsidP="0001542E">
            <w:pPr>
              <w:jc w:val="right"/>
            </w:pPr>
            <w:r w:rsidRPr="00AA600B">
              <w:t>99.16</w:t>
            </w:r>
          </w:p>
        </w:tc>
        <w:tc>
          <w:tcPr>
            <w:tcW w:w="0" w:type="auto"/>
            <w:tcBorders>
              <w:left w:val="single" w:sz="8" w:space="0" w:color="auto"/>
            </w:tcBorders>
          </w:tcPr>
          <w:p w14:paraId="64F69FCD" w14:textId="5CA75D6E" w:rsidR="00DA275F" w:rsidRPr="00B06CFB" w:rsidRDefault="00DA275F" w:rsidP="00704FF1">
            <w:pPr>
              <w:jc w:val="right"/>
            </w:pPr>
            <w:r w:rsidRPr="00721366">
              <w:t>811,002</w:t>
            </w:r>
          </w:p>
        </w:tc>
        <w:tc>
          <w:tcPr>
            <w:tcW w:w="0" w:type="auto"/>
            <w:tcBorders>
              <w:right w:val="single" w:sz="8" w:space="0" w:color="auto"/>
            </w:tcBorders>
          </w:tcPr>
          <w:p w14:paraId="645D608D" w14:textId="35551E49" w:rsidR="00DA275F" w:rsidRPr="00B93633" w:rsidRDefault="00DA275F" w:rsidP="0001542E">
            <w:pPr>
              <w:jc w:val="right"/>
            </w:pPr>
            <w:r w:rsidRPr="00DA72BB">
              <w:t>0.84</w:t>
            </w:r>
          </w:p>
        </w:tc>
        <w:tc>
          <w:tcPr>
            <w:tcW w:w="0" w:type="auto"/>
            <w:tcBorders>
              <w:left w:val="single" w:sz="8" w:space="0" w:color="auto"/>
              <w:right w:val="single" w:sz="8" w:space="0" w:color="auto"/>
            </w:tcBorders>
          </w:tcPr>
          <w:p w14:paraId="6D4DDC55" w14:textId="30CDA405" w:rsidR="00DA275F" w:rsidRPr="00851AD8" w:rsidRDefault="00DA275F" w:rsidP="00704FF1">
            <w:pPr>
              <w:jc w:val="right"/>
            </w:pPr>
            <w:r w:rsidRPr="000162A5">
              <w:t>245</w:t>
            </w:r>
          </w:p>
        </w:tc>
      </w:tr>
      <w:tr w:rsidR="00DA275F" w14:paraId="572A92AE" w14:textId="77777777" w:rsidTr="007D010B">
        <w:tc>
          <w:tcPr>
            <w:tcW w:w="0" w:type="auto"/>
          </w:tcPr>
          <w:p w14:paraId="3CFE84CA" w14:textId="72507402" w:rsidR="00DA275F" w:rsidRDefault="00DA275F" w:rsidP="00DA275F">
            <w:pPr>
              <w:jc w:val="both"/>
            </w:pPr>
            <w:r>
              <w:t>12</w:t>
            </w:r>
          </w:p>
        </w:tc>
        <w:tc>
          <w:tcPr>
            <w:tcW w:w="0" w:type="auto"/>
            <w:tcBorders>
              <w:right w:val="single" w:sz="8" w:space="0" w:color="auto"/>
            </w:tcBorders>
          </w:tcPr>
          <w:p w14:paraId="272A018E" w14:textId="77777777" w:rsidR="00DA275F" w:rsidRDefault="00DA275F" w:rsidP="00DA275F">
            <w:r w:rsidRPr="004E169C">
              <w:t>Re-appoint PricewaterhouseCoopers LLP as the Company’s auditors.</w:t>
            </w:r>
          </w:p>
          <w:p w14:paraId="0B391FBD" w14:textId="7517A536" w:rsidR="000104B1" w:rsidRDefault="000104B1" w:rsidP="00DA275F"/>
        </w:tc>
        <w:tc>
          <w:tcPr>
            <w:tcW w:w="0" w:type="auto"/>
            <w:tcBorders>
              <w:left w:val="single" w:sz="8" w:space="0" w:color="auto"/>
            </w:tcBorders>
          </w:tcPr>
          <w:p w14:paraId="29834DC8" w14:textId="4D8F0331" w:rsidR="00DA275F" w:rsidRPr="00930333" w:rsidRDefault="00DA275F" w:rsidP="00704FF1">
            <w:pPr>
              <w:jc w:val="right"/>
            </w:pPr>
            <w:r w:rsidRPr="007A3582">
              <w:t>96,086,866</w:t>
            </w:r>
          </w:p>
        </w:tc>
        <w:tc>
          <w:tcPr>
            <w:tcW w:w="0" w:type="auto"/>
            <w:tcBorders>
              <w:right w:val="single" w:sz="8" w:space="0" w:color="auto"/>
            </w:tcBorders>
          </w:tcPr>
          <w:p w14:paraId="2D4BCD5F" w14:textId="3FC12542" w:rsidR="00DA275F" w:rsidRPr="002D377C" w:rsidRDefault="00DA275F" w:rsidP="0001542E">
            <w:pPr>
              <w:jc w:val="right"/>
            </w:pPr>
            <w:r w:rsidRPr="00AA600B">
              <w:t>98.96</w:t>
            </w:r>
          </w:p>
        </w:tc>
        <w:tc>
          <w:tcPr>
            <w:tcW w:w="0" w:type="auto"/>
            <w:tcBorders>
              <w:left w:val="single" w:sz="8" w:space="0" w:color="auto"/>
            </w:tcBorders>
          </w:tcPr>
          <w:p w14:paraId="50127593" w14:textId="1BB82984" w:rsidR="00DA275F" w:rsidRPr="00B06CFB" w:rsidRDefault="00DA275F" w:rsidP="00704FF1">
            <w:pPr>
              <w:jc w:val="right"/>
            </w:pPr>
            <w:r w:rsidRPr="00721366">
              <w:t>1,009,564</w:t>
            </w:r>
          </w:p>
        </w:tc>
        <w:tc>
          <w:tcPr>
            <w:tcW w:w="0" w:type="auto"/>
            <w:tcBorders>
              <w:right w:val="single" w:sz="8" w:space="0" w:color="auto"/>
            </w:tcBorders>
          </w:tcPr>
          <w:p w14:paraId="6F356DDA" w14:textId="1D77B442" w:rsidR="00DA275F" w:rsidRPr="00B93633" w:rsidRDefault="00DA275F" w:rsidP="0001542E">
            <w:pPr>
              <w:jc w:val="right"/>
            </w:pPr>
            <w:r w:rsidRPr="00DA72BB">
              <w:t>1.04</w:t>
            </w:r>
          </w:p>
        </w:tc>
        <w:tc>
          <w:tcPr>
            <w:tcW w:w="0" w:type="auto"/>
            <w:tcBorders>
              <w:left w:val="single" w:sz="8" w:space="0" w:color="auto"/>
              <w:right w:val="single" w:sz="8" w:space="0" w:color="auto"/>
            </w:tcBorders>
          </w:tcPr>
          <w:p w14:paraId="6FC44226" w14:textId="5C1A172D" w:rsidR="00DA275F" w:rsidRPr="00851AD8" w:rsidRDefault="00DA275F" w:rsidP="00704FF1">
            <w:pPr>
              <w:jc w:val="right"/>
            </w:pPr>
            <w:r w:rsidRPr="000162A5">
              <w:t>245</w:t>
            </w:r>
          </w:p>
        </w:tc>
      </w:tr>
      <w:tr w:rsidR="00DA275F" w14:paraId="32D4E346" w14:textId="77777777" w:rsidTr="007D010B">
        <w:tc>
          <w:tcPr>
            <w:tcW w:w="0" w:type="auto"/>
          </w:tcPr>
          <w:p w14:paraId="6C1CE6F0" w14:textId="1AA93162" w:rsidR="00DA275F" w:rsidRDefault="00DA275F" w:rsidP="00DA275F">
            <w:pPr>
              <w:jc w:val="both"/>
            </w:pPr>
            <w:r>
              <w:t>13</w:t>
            </w:r>
          </w:p>
        </w:tc>
        <w:tc>
          <w:tcPr>
            <w:tcW w:w="0" w:type="auto"/>
            <w:tcBorders>
              <w:right w:val="single" w:sz="8" w:space="0" w:color="auto"/>
            </w:tcBorders>
          </w:tcPr>
          <w:p w14:paraId="21F276B4" w14:textId="77777777" w:rsidR="00DA275F" w:rsidRPr="00DA275F" w:rsidRDefault="00DA275F" w:rsidP="00DA275F">
            <w:r w:rsidRPr="00DA275F">
              <w:t>Authorise the Directors to agree the remuneration of the auditors.</w:t>
            </w:r>
          </w:p>
          <w:p w14:paraId="2BD46EC3" w14:textId="35A7FDFB" w:rsidR="00DA275F" w:rsidRDefault="00DA275F" w:rsidP="00DA275F"/>
        </w:tc>
        <w:tc>
          <w:tcPr>
            <w:tcW w:w="0" w:type="auto"/>
            <w:tcBorders>
              <w:left w:val="single" w:sz="8" w:space="0" w:color="auto"/>
            </w:tcBorders>
          </w:tcPr>
          <w:p w14:paraId="0FAA0622" w14:textId="027A566E" w:rsidR="00DA275F" w:rsidRPr="00930333" w:rsidRDefault="00DA275F" w:rsidP="00704FF1">
            <w:pPr>
              <w:jc w:val="right"/>
            </w:pPr>
            <w:r w:rsidRPr="007A3582">
              <w:t>97,095,388</w:t>
            </w:r>
          </w:p>
        </w:tc>
        <w:tc>
          <w:tcPr>
            <w:tcW w:w="0" w:type="auto"/>
            <w:tcBorders>
              <w:right w:val="single" w:sz="8" w:space="0" w:color="auto"/>
            </w:tcBorders>
          </w:tcPr>
          <w:p w14:paraId="08BA1149" w14:textId="6FBF2945" w:rsidR="00DA275F" w:rsidRPr="002D377C" w:rsidRDefault="00DA275F" w:rsidP="0001542E">
            <w:pPr>
              <w:jc w:val="right"/>
            </w:pPr>
            <w:r w:rsidRPr="00AA600B">
              <w:t>99.99</w:t>
            </w:r>
          </w:p>
        </w:tc>
        <w:tc>
          <w:tcPr>
            <w:tcW w:w="0" w:type="auto"/>
            <w:tcBorders>
              <w:left w:val="single" w:sz="8" w:space="0" w:color="auto"/>
            </w:tcBorders>
          </w:tcPr>
          <w:p w14:paraId="6535C335" w14:textId="031D7DA8" w:rsidR="00DA275F" w:rsidRPr="00B06CFB" w:rsidRDefault="00DA275F" w:rsidP="00704FF1">
            <w:pPr>
              <w:jc w:val="right"/>
            </w:pPr>
            <w:r w:rsidRPr="00721366">
              <w:t>1,043</w:t>
            </w:r>
          </w:p>
        </w:tc>
        <w:tc>
          <w:tcPr>
            <w:tcW w:w="0" w:type="auto"/>
            <w:tcBorders>
              <w:right w:val="single" w:sz="8" w:space="0" w:color="auto"/>
            </w:tcBorders>
          </w:tcPr>
          <w:p w14:paraId="5A8EB01A" w14:textId="144B045F" w:rsidR="00DA275F" w:rsidRPr="00B93633" w:rsidRDefault="00DA275F" w:rsidP="0001542E">
            <w:pPr>
              <w:jc w:val="right"/>
            </w:pPr>
            <w:r w:rsidRPr="00DA72BB">
              <w:t>0.01</w:t>
            </w:r>
          </w:p>
        </w:tc>
        <w:tc>
          <w:tcPr>
            <w:tcW w:w="0" w:type="auto"/>
            <w:tcBorders>
              <w:left w:val="single" w:sz="8" w:space="0" w:color="auto"/>
              <w:right w:val="single" w:sz="8" w:space="0" w:color="auto"/>
            </w:tcBorders>
          </w:tcPr>
          <w:p w14:paraId="2F06CC35" w14:textId="6FF7FE80" w:rsidR="00DA275F" w:rsidRPr="00851AD8" w:rsidRDefault="00DA275F" w:rsidP="00704FF1">
            <w:pPr>
              <w:jc w:val="right"/>
            </w:pPr>
            <w:r w:rsidRPr="000162A5">
              <w:t>245</w:t>
            </w:r>
          </w:p>
        </w:tc>
      </w:tr>
      <w:tr w:rsidR="00DA275F" w14:paraId="5740C583" w14:textId="77777777" w:rsidTr="007D010B">
        <w:tc>
          <w:tcPr>
            <w:tcW w:w="0" w:type="auto"/>
          </w:tcPr>
          <w:p w14:paraId="6DC292D4" w14:textId="6E684207" w:rsidR="00DA275F" w:rsidRDefault="00DA275F" w:rsidP="00DA275F">
            <w:pPr>
              <w:jc w:val="both"/>
            </w:pPr>
            <w:r>
              <w:t>14</w:t>
            </w:r>
          </w:p>
        </w:tc>
        <w:tc>
          <w:tcPr>
            <w:tcW w:w="0" w:type="auto"/>
            <w:tcBorders>
              <w:right w:val="single" w:sz="8" w:space="0" w:color="auto"/>
            </w:tcBorders>
          </w:tcPr>
          <w:p w14:paraId="4D40279D" w14:textId="77777777" w:rsidR="00DA275F" w:rsidRPr="00DA275F" w:rsidRDefault="00DA275F" w:rsidP="00DA275F">
            <w:r w:rsidRPr="00DA275F">
              <w:t>Authorise the Directors to allot securities pursuant to section 551 of the Companies Act 2006 (the “Act”).</w:t>
            </w:r>
          </w:p>
          <w:p w14:paraId="5C87AF26" w14:textId="08C757A2" w:rsidR="00DA275F" w:rsidRDefault="00DA275F" w:rsidP="00DA275F"/>
        </w:tc>
        <w:tc>
          <w:tcPr>
            <w:tcW w:w="0" w:type="auto"/>
            <w:tcBorders>
              <w:left w:val="single" w:sz="8" w:space="0" w:color="auto"/>
            </w:tcBorders>
          </w:tcPr>
          <w:p w14:paraId="5C572071" w14:textId="2A527575" w:rsidR="00DA275F" w:rsidRPr="00930333" w:rsidRDefault="00DA275F" w:rsidP="00704FF1">
            <w:pPr>
              <w:jc w:val="right"/>
            </w:pPr>
            <w:r w:rsidRPr="007A3582">
              <w:t>93,503,317</w:t>
            </w:r>
          </w:p>
        </w:tc>
        <w:tc>
          <w:tcPr>
            <w:tcW w:w="0" w:type="auto"/>
            <w:tcBorders>
              <w:right w:val="single" w:sz="8" w:space="0" w:color="auto"/>
            </w:tcBorders>
          </w:tcPr>
          <w:p w14:paraId="15846E83" w14:textId="6042E411" w:rsidR="00DA275F" w:rsidRPr="002D377C" w:rsidRDefault="00DA275F" w:rsidP="0001542E">
            <w:pPr>
              <w:jc w:val="right"/>
            </w:pPr>
            <w:r w:rsidRPr="007F3133">
              <w:t>96.3</w:t>
            </w:r>
            <w:r w:rsidR="00704FF1" w:rsidRPr="007F3133">
              <w:t>0</w:t>
            </w:r>
          </w:p>
        </w:tc>
        <w:tc>
          <w:tcPr>
            <w:tcW w:w="0" w:type="auto"/>
            <w:tcBorders>
              <w:left w:val="single" w:sz="8" w:space="0" w:color="auto"/>
            </w:tcBorders>
          </w:tcPr>
          <w:p w14:paraId="14905ACE" w14:textId="1D6A3B33" w:rsidR="00DA275F" w:rsidRPr="00B06CFB" w:rsidRDefault="00DA275F" w:rsidP="00704FF1">
            <w:pPr>
              <w:jc w:val="right"/>
            </w:pPr>
            <w:r w:rsidRPr="00721366">
              <w:t>3,593,095</w:t>
            </w:r>
          </w:p>
        </w:tc>
        <w:tc>
          <w:tcPr>
            <w:tcW w:w="0" w:type="auto"/>
            <w:tcBorders>
              <w:right w:val="single" w:sz="8" w:space="0" w:color="auto"/>
            </w:tcBorders>
          </w:tcPr>
          <w:p w14:paraId="00F841B2" w14:textId="01344209" w:rsidR="00DA275F" w:rsidRPr="00B93633" w:rsidRDefault="00DA275F" w:rsidP="0001542E">
            <w:pPr>
              <w:jc w:val="right"/>
            </w:pPr>
            <w:r w:rsidRPr="007F3133">
              <w:t>3.7</w:t>
            </w:r>
            <w:r w:rsidR="00704FF1" w:rsidRPr="007F3133">
              <w:t>0</w:t>
            </w:r>
          </w:p>
        </w:tc>
        <w:tc>
          <w:tcPr>
            <w:tcW w:w="0" w:type="auto"/>
            <w:tcBorders>
              <w:left w:val="single" w:sz="8" w:space="0" w:color="auto"/>
              <w:right w:val="single" w:sz="8" w:space="0" w:color="auto"/>
            </w:tcBorders>
          </w:tcPr>
          <w:p w14:paraId="4EFCE743" w14:textId="17EB5695" w:rsidR="00DA275F" w:rsidRPr="00851AD8" w:rsidRDefault="00DA275F" w:rsidP="00704FF1">
            <w:pPr>
              <w:jc w:val="right"/>
            </w:pPr>
            <w:r w:rsidRPr="000162A5">
              <w:t>264</w:t>
            </w:r>
          </w:p>
        </w:tc>
      </w:tr>
      <w:tr w:rsidR="00DA275F" w14:paraId="0BD09A58" w14:textId="77777777" w:rsidTr="007D010B">
        <w:tc>
          <w:tcPr>
            <w:tcW w:w="0" w:type="auto"/>
          </w:tcPr>
          <w:p w14:paraId="738EB093" w14:textId="67B0AC73" w:rsidR="00DA275F" w:rsidRDefault="00DA275F" w:rsidP="00DA275F">
            <w:pPr>
              <w:jc w:val="both"/>
            </w:pPr>
            <w:r>
              <w:t>15</w:t>
            </w:r>
          </w:p>
        </w:tc>
        <w:tc>
          <w:tcPr>
            <w:tcW w:w="0" w:type="auto"/>
            <w:tcBorders>
              <w:right w:val="single" w:sz="8" w:space="0" w:color="auto"/>
            </w:tcBorders>
          </w:tcPr>
          <w:p w14:paraId="13A89B19" w14:textId="77777777" w:rsidR="00DA275F" w:rsidRPr="00DA275F" w:rsidRDefault="00DA275F" w:rsidP="00DA275F">
            <w:pPr>
              <w:rPr>
                <w:b/>
              </w:rPr>
            </w:pPr>
            <w:r w:rsidRPr="00DA275F">
              <w:rPr>
                <w:b/>
              </w:rPr>
              <w:t>Special Resolution:</w:t>
            </w:r>
          </w:p>
          <w:p w14:paraId="4652DA0F" w14:textId="77777777" w:rsidR="00DA275F" w:rsidRDefault="00DA275F" w:rsidP="00DA275F">
            <w:r>
              <w:t>Disapply pre-emption rights pursuant to section 570 of the Act.</w:t>
            </w:r>
          </w:p>
          <w:p w14:paraId="4418DC08" w14:textId="6279A656" w:rsidR="00DA275F" w:rsidRDefault="00DA275F" w:rsidP="00DA275F"/>
        </w:tc>
        <w:tc>
          <w:tcPr>
            <w:tcW w:w="0" w:type="auto"/>
            <w:tcBorders>
              <w:left w:val="single" w:sz="8" w:space="0" w:color="auto"/>
            </w:tcBorders>
          </w:tcPr>
          <w:p w14:paraId="08BDF6A7" w14:textId="3870C586" w:rsidR="00DA275F" w:rsidRPr="00930333" w:rsidRDefault="00DA275F" w:rsidP="00704FF1">
            <w:pPr>
              <w:jc w:val="right"/>
            </w:pPr>
            <w:r w:rsidRPr="007A3582">
              <w:t>97,027,530</w:t>
            </w:r>
          </w:p>
        </w:tc>
        <w:tc>
          <w:tcPr>
            <w:tcW w:w="0" w:type="auto"/>
            <w:tcBorders>
              <w:right w:val="single" w:sz="8" w:space="0" w:color="auto"/>
            </w:tcBorders>
          </w:tcPr>
          <w:p w14:paraId="7AAC0CAD" w14:textId="5B150010" w:rsidR="00DA275F" w:rsidRPr="002D377C" w:rsidRDefault="00DA275F" w:rsidP="0001542E">
            <w:pPr>
              <w:jc w:val="right"/>
            </w:pPr>
            <w:r w:rsidRPr="00AA600B">
              <w:t>99.93</w:t>
            </w:r>
          </w:p>
        </w:tc>
        <w:tc>
          <w:tcPr>
            <w:tcW w:w="0" w:type="auto"/>
            <w:tcBorders>
              <w:left w:val="single" w:sz="8" w:space="0" w:color="auto"/>
            </w:tcBorders>
          </w:tcPr>
          <w:p w14:paraId="356F48E7" w14:textId="0F6DCA9B" w:rsidR="00DA275F" w:rsidRPr="00B06CFB" w:rsidRDefault="00DA275F" w:rsidP="00704FF1">
            <w:pPr>
              <w:jc w:val="right"/>
            </w:pPr>
            <w:r w:rsidRPr="00721366">
              <w:t>68,901</w:t>
            </w:r>
          </w:p>
        </w:tc>
        <w:tc>
          <w:tcPr>
            <w:tcW w:w="0" w:type="auto"/>
            <w:tcBorders>
              <w:right w:val="single" w:sz="8" w:space="0" w:color="auto"/>
            </w:tcBorders>
          </w:tcPr>
          <w:p w14:paraId="094C89BB" w14:textId="429FD7F1" w:rsidR="00DA275F" w:rsidRPr="00B93633" w:rsidRDefault="00DA275F" w:rsidP="0001542E">
            <w:pPr>
              <w:jc w:val="right"/>
            </w:pPr>
            <w:r w:rsidRPr="00DA72BB">
              <w:t>0.07</w:t>
            </w:r>
          </w:p>
        </w:tc>
        <w:tc>
          <w:tcPr>
            <w:tcW w:w="0" w:type="auto"/>
            <w:tcBorders>
              <w:left w:val="single" w:sz="8" w:space="0" w:color="auto"/>
              <w:right w:val="single" w:sz="8" w:space="0" w:color="auto"/>
            </w:tcBorders>
          </w:tcPr>
          <w:p w14:paraId="584C8D2B" w14:textId="3A656321" w:rsidR="00DA275F" w:rsidRPr="00851AD8" w:rsidRDefault="00DA275F" w:rsidP="00704FF1">
            <w:pPr>
              <w:jc w:val="right"/>
            </w:pPr>
            <w:r w:rsidRPr="000162A5">
              <w:t>245</w:t>
            </w:r>
          </w:p>
        </w:tc>
      </w:tr>
      <w:tr w:rsidR="00DA275F" w14:paraId="1B282D24" w14:textId="77777777" w:rsidTr="007D010B">
        <w:tc>
          <w:tcPr>
            <w:tcW w:w="0" w:type="auto"/>
          </w:tcPr>
          <w:p w14:paraId="703A1B6A" w14:textId="1CDF9E29" w:rsidR="00DA275F" w:rsidRDefault="00DA275F" w:rsidP="00DA275F">
            <w:pPr>
              <w:jc w:val="both"/>
            </w:pPr>
            <w:r>
              <w:t>16</w:t>
            </w:r>
          </w:p>
        </w:tc>
        <w:tc>
          <w:tcPr>
            <w:tcW w:w="0" w:type="auto"/>
            <w:tcBorders>
              <w:right w:val="single" w:sz="8" w:space="0" w:color="auto"/>
            </w:tcBorders>
          </w:tcPr>
          <w:p w14:paraId="35DB82C2" w14:textId="77777777" w:rsidR="00DA275F" w:rsidRPr="00DA275F" w:rsidRDefault="00DA275F" w:rsidP="00DA275F">
            <w:pPr>
              <w:rPr>
                <w:b/>
              </w:rPr>
            </w:pPr>
            <w:r w:rsidRPr="00DA275F">
              <w:rPr>
                <w:b/>
              </w:rPr>
              <w:t>Special Resolution:</w:t>
            </w:r>
          </w:p>
          <w:p w14:paraId="41342E1C" w14:textId="77777777" w:rsidR="00DA275F" w:rsidRDefault="00DA275F" w:rsidP="00DA275F">
            <w:r>
              <w:t>Disapply pre-emption rights in additional limited circumstances.</w:t>
            </w:r>
          </w:p>
          <w:p w14:paraId="003AB071" w14:textId="6FEF0BD4" w:rsidR="00DA275F" w:rsidRDefault="00DA275F" w:rsidP="00DA275F"/>
        </w:tc>
        <w:tc>
          <w:tcPr>
            <w:tcW w:w="0" w:type="auto"/>
            <w:tcBorders>
              <w:left w:val="single" w:sz="8" w:space="0" w:color="auto"/>
            </w:tcBorders>
          </w:tcPr>
          <w:p w14:paraId="668F8723" w14:textId="5956831D" w:rsidR="00DA275F" w:rsidRPr="00930333" w:rsidRDefault="00DA275F" w:rsidP="00704FF1">
            <w:pPr>
              <w:jc w:val="right"/>
            </w:pPr>
            <w:r w:rsidRPr="007A3582">
              <w:t>96,019,008</w:t>
            </w:r>
          </w:p>
        </w:tc>
        <w:tc>
          <w:tcPr>
            <w:tcW w:w="0" w:type="auto"/>
            <w:tcBorders>
              <w:right w:val="single" w:sz="8" w:space="0" w:color="auto"/>
            </w:tcBorders>
          </w:tcPr>
          <w:p w14:paraId="2B402A60" w14:textId="4FB03EAD" w:rsidR="00DA275F" w:rsidRPr="002D377C" w:rsidRDefault="00DA275F" w:rsidP="0001542E">
            <w:pPr>
              <w:jc w:val="right"/>
            </w:pPr>
            <w:r w:rsidRPr="00AA600B">
              <w:t>98.89</w:t>
            </w:r>
          </w:p>
        </w:tc>
        <w:tc>
          <w:tcPr>
            <w:tcW w:w="0" w:type="auto"/>
            <w:tcBorders>
              <w:left w:val="single" w:sz="8" w:space="0" w:color="auto"/>
            </w:tcBorders>
          </w:tcPr>
          <w:p w14:paraId="57A672E0" w14:textId="020253D6" w:rsidR="00DA275F" w:rsidRPr="00B06CFB" w:rsidRDefault="00DA275F" w:rsidP="00704FF1">
            <w:pPr>
              <w:jc w:val="right"/>
            </w:pPr>
            <w:r w:rsidRPr="00721366">
              <w:t>1,077,422</w:t>
            </w:r>
          </w:p>
        </w:tc>
        <w:tc>
          <w:tcPr>
            <w:tcW w:w="0" w:type="auto"/>
            <w:tcBorders>
              <w:right w:val="single" w:sz="8" w:space="0" w:color="auto"/>
            </w:tcBorders>
          </w:tcPr>
          <w:p w14:paraId="2791D896" w14:textId="092C0D00" w:rsidR="00DA275F" w:rsidRPr="00B93633" w:rsidRDefault="00DA275F" w:rsidP="0001542E">
            <w:pPr>
              <w:jc w:val="right"/>
            </w:pPr>
            <w:r w:rsidRPr="00DA72BB">
              <w:t>1.11</w:t>
            </w:r>
          </w:p>
        </w:tc>
        <w:tc>
          <w:tcPr>
            <w:tcW w:w="0" w:type="auto"/>
            <w:tcBorders>
              <w:left w:val="single" w:sz="8" w:space="0" w:color="auto"/>
              <w:right w:val="single" w:sz="8" w:space="0" w:color="auto"/>
            </w:tcBorders>
          </w:tcPr>
          <w:p w14:paraId="212ECAD6" w14:textId="5E98AA06" w:rsidR="00DA275F" w:rsidRPr="00851AD8" w:rsidRDefault="00DA275F" w:rsidP="00704FF1">
            <w:pPr>
              <w:jc w:val="right"/>
            </w:pPr>
            <w:r w:rsidRPr="000162A5">
              <w:t>245</w:t>
            </w:r>
          </w:p>
        </w:tc>
      </w:tr>
      <w:tr w:rsidR="00DA275F" w14:paraId="63DABD8D" w14:textId="77777777" w:rsidTr="007D010B">
        <w:tc>
          <w:tcPr>
            <w:tcW w:w="0" w:type="auto"/>
          </w:tcPr>
          <w:p w14:paraId="528598BF" w14:textId="67279B89" w:rsidR="00DA275F" w:rsidRDefault="00DA275F" w:rsidP="00DA275F">
            <w:pPr>
              <w:jc w:val="both"/>
            </w:pPr>
            <w:r>
              <w:t>17</w:t>
            </w:r>
          </w:p>
        </w:tc>
        <w:tc>
          <w:tcPr>
            <w:tcW w:w="0" w:type="auto"/>
            <w:tcBorders>
              <w:right w:val="single" w:sz="8" w:space="0" w:color="auto"/>
            </w:tcBorders>
          </w:tcPr>
          <w:p w14:paraId="51273948" w14:textId="77777777" w:rsidR="00DA275F" w:rsidRPr="00DA275F" w:rsidRDefault="00DA275F" w:rsidP="00DA275F">
            <w:pPr>
              <w:rPr>
                <w:b/>
              </w:rPr>
            </w:pPr>
            <w:r w:rsidRPr="00DA275F">
              <w:rPr>
                <w:b/>
              </w:rPr>
              <w:t>Special Resolution:</w:t>
            </w:r>
          </w:p>
          <w:p w14:paraId="045E241C" w14:textId="77777777" w:rsidR="00DA275F" w:rsidRDefault="00DA275F" w:rsidP="00DA275F">
            <w:r>
              <w:t>Authorise the Company to make market purchases of its own shares pursuant to section 701 of the Act.</w:t>
            </w:r>
          </w:p>
          <w:p w14:paraId="6A41B472" w14:textId="118A5EA9" w:rsidR="000104B1" w:rsidRDefault="000104B1" w:rsidP="00DA275F"/>
        </w:tc>
        <w:tc>
          <w:tcPr>
            <w:tcW w:w="0" w:type="auto"/>
            <w:tcBorders>
              <w:left w:val="single" w:sz="8" w:space="0" w:color="auto"/>
            </w:tcBorders>
          </w:tcPr>
          <w:p w14:paraId="75B46A2E" w14:textId="66F0DCC7" w:rsidR="00DA275F" w:rsidRPr="00930333" w:rsidRDefault="00DA275F" w:rsidP="00704FF1">
            <w:pPr>
              <w:jc w:val="right"/>
            </w:pPr>
            <w:r w:rsidRPr="007A3582">
              <w:t>96,070,702</w:t>
            </w:r>
          </w:p>
        </w:tc>
        <w:tc>
          <w:tcPr>
            <w:tcW w:w="0" w:type="auto"/>
            <w:tcBorders>
              <w:right w:val="single" w:sz="8" w:space="0" w:color="auto"/>
            </w:tcBorders>
          </w:tcPr>
          <w:p w14:paraId="255A4EB7" w14:textId="37615D06" w:rsidR="00DA275F" w:rsidRPr="002D377C" w:rsidRDefault="00DA275F" w:rsidP="0001542E">
            <w:pPr>
              <w:jc w:val="right"/>
            </w:pPr>
            <w:r w:rsidRPr="00AA600B">
              <w:t>98.96</w:t>
            </w:r>
          </w:p>
        </w:tc>
        <w:tc>
          <w:tcPr>
            <w:tcW w:w="0" w:type="auto"/>
            <w:tcBorders>
              <w:left w:val="single" w:sz="8" w:space="0" w:color="auto"/>
            </w:tcBorders>
          </w:tcPr>
          <w:p w14:paraId="148A7A74" w14:textId="2E56DCB6" w:rsidR="00DA275F" w:rsidRPr="00B06CFB" w:rsidRDefault="00DA275F" w:rsidP="00704FF1">
            <w:pPr>
              <w:jc w:val="right"/>
            </w:pPr>
            <w:r w:rsidRPr="00721366">
              <w:t>1,009,545</w:t>
            </w:r>
          </w:p>
        </w:tc>
        <w:tc>
          <w:tcPr>
            <w:tcW w:w="0" w:type="auto"/>
            <w:tcBorders>
              <w:right w:val="single" w:sz="8" w:space="0" w:color="auto"/>
            </w:tcBorders>
          </w:tcPr>
          <w:p w14:paraId="1F8881EB" w14:textId="79FB614F" w:rsidR="00DA275F" w:rsidRPr="00B93633" w:rsidRDefault="00DA275F" w:rsidP="0001542E">
            <w:pPr>
              <w:jc w:val="right"/>
            </w:pPr>
            <w:r w:rsidRPr="00DA72BB">
              <w:t>1.04</w:t>
            </w:r>
          </w:p>
        </w:tc>
        <w:tc>
          <w:tcPr>
            <w:tcW w:w="0" w:type="auto"/>
            <w:tcBorders>
              <w:left w:val="single" w:sz="8" w:space="0" w:color="auto"/>
              <w:right w:val="single" w:sz="8" w:space="0" w:color="auto"/>
            </w:tcBorders>
          </w:tcPr>
          <w:p w14:paraId="52ECDCAD" w14:textId="21BF9B7F" w:rsidR="00DA275F" w:rsidRPr="00851AD8" w:rsidRDefault="00DA275F" w:rsidP="00704FF1">
            <w:pPr>
              <w:jc w:val="right"/>
            </w:pPr>
            <w:r w:rsidRPr="000162A5">
              <w:t>16,428</w:t>
            </w:r>
          </w:p>
        </w:tc>
      </w:tr>
      <w:tr w:rsidR="00DA275F" w14:paraId="64C5CEC5" w14:textId="77777777" w:rsidTr="007D010B">
        <w:tc>
          <w:tcPr>
            <w:tcW w:w="0" w:type="auto"/>
          </w:tcPr>
          <w:p w14:paraId="7D27CDCB" w14:textId="5095E444" w:rsidR="00DA275F" w:rsidRDefault="00DA275F" w:rsidP="00DA275F">
            <w:pPr>
              <w:jc w:val="both"/>
            </w:pPr>
            <w:r>
              <w:t>18</w:t>
            </w:r>
          </w:p>
        </w:tc>
        <w:tc>
          <w:tcPr>
            <w:tcW w:w="0" w:type="auto"/>
            <w:tcBorders>
              <w:right w:val="single" w:sz="8" w:space="0" w:color="auto"/>
            </w:tcBorders>
          </w:tcPr>
          <w:p w14:paraId="18EEAA5C" w14:textId="77777777" w:rsidR="00DA275F" w:rsidRPr="00DA275F" w:rsidRDefault="00DA275F" w:rsidP="00DA275F">
            <w:pPr>
              <w:rPr>
                <w:b/>
              </w:rPr>
            </w:pPr>
            <w:r w:rsidRPr="00DA275F">
              <w:rPr>
                <w:b/>
              </w:rPr>
              <w:t>Special Resolution:</w:t>
            </w:r>
          </w:p>
          <w:p w14:paraId="3A1905C2" w14:textId="77777777" w:rsidR="00DA275F" w:rsidRDefault="00DA275F" w:rsidP="00DA275F">
            <w:r>
              <w:t>That a general meeting (other than an AGM) may be called on not less than 14 clear days’ notice.</w:t>
            </w:r>
          </w:p>
          <w:p w14:paraId="7B0EE58B" w14:textId="2A9BE7D1" w:rsidR="000104B1" w:rsidRDefault="000104B1" w:rsidP="00DA275F"/>
        </w:tc>
        <w:tc>
          <w:tcPr>
            <w:tcW w:w="0" w:type="auto"/>
            <w:tcBorders>
              <w:left w:val="single" w:sz="8" w:space="0" w:color="auto"/>
            </w:tcBorders>
          </w:tcPr>
          <w:p w14:paraId="05890EFE" w14:textId="4152B80D" w:rsidR="00DA275F" w:rsidRPr="00930333" w:rsidRDefault="00DA275F" w:rsidP="00704FF1">
            <w:pPr>
              <w:jc w:val="right"/>
            </w:pPr>
            <w:r w:rsidRPr="007A3582">
              <w:t>95,179,010</w:t>
            </w:r>
          </w:p>
        </w:tc>
        <w:tc>
          <w:tcPr>
            <w:tcW w:w="0" w:type="auto"/>
            <w:tcBorders>
              <w:right w:val="single" w:sz="8" w:space="0" w:color="auto"/>
            </w:tcBorders>
          </w:tcPr>
          <w:p w14:paraId="7610E5BC" w14:textId="2D3A716B" w:rsidR="00DA275F" w:rsidRPr="002D377C" w:rsidRDefault="00DA275F" w:rsidP="0001542E">
            <w:pPr>
              <w:jc w:val="right"/>
            </w:pPr>
            <w:r w:rsidRPr="00AA600B">
              <w:t>98.02</w:t>
            </w:r>
          </w:p>
        </w:tc>
        <w:tc>
          <w:tcPr>
            <w:tcW w:w="0" w:type="auto"/>
            <w:tcBorders>
              <w:left w:val="single" w:sz="8" w:space="0" w:color="auto"/>
            </w:tcBorders>
          </w:tcPr>
          <w:p w14:paraId="014A57BC" w14:textId="555DECCA" w:rsidR="00DA275F" w:rsidRPr="00B06CFB" w:rsidRDefault="00DA275F" w:rsidP="00704FF1">
            <w:pPr>
              <w:jc w:val="right"/>
            </w:pPr>
            <w:r w:rsidRPr="00721366">
              <w:t>1,917,666</w:t>
            </w:r>
          </w:p>
        </w:tc>
        <w:tc>
          <w:tcPr>
            <w:tcW w:w="0" w:type="auto"/>
            <w:tcBorders>
              <w:right w:val="single" w:sz="8" w:space="0" w:color="auto"/>
            </w:tcBorders>
          </w:tcPr>
          <w:p w14:paraId="1C147348" w14:textId="3BD10943" w:rsidR="00DA275F" w:rsidRPr="00B93633" w:rsidRDefault="00DA275F" w:rsidP="0001542E">
            <w:pPr>
              <w:jc w:val="right"/>
            </w:pPr>
            <w:r w:rsidRPr="00DA72BB">
              <w:t>1.98</w:t>
            </w:r>
          </w:p>
        </w:tc>
        <w:tc>
          <w:tcPr>
            <w:tcW w:w="0" w:type="auto"/>
            <w:tcBorders>
              <w:left w:val="single" w:sz="8" w:space="0" w:color="auto"/>
              <w:right w:val="single" w:sz="8" w:space="0" w:color="auto"/>
            </w:tcBorders>
          </w:tcPr>
          <w:p w14:paraId="57975C89" w14:textId="4EBD1F84" w:rsidR="00DA275F" w:rsidRPr="00851AD8" w:rsidRDefault="00DA275F" w:rsidP="00704FF1">
            <w:pPr>
              <w:jc w:val="right"/>
            </w:pPr>
            <w:r w:rsidRPr="000162A5">
              <w:t>0</w:t>
            </w:r>
          </w:p>
        </w:tc>
      </w:tr>
      <w:tr w:rsidR="00DA275F" w14:paraId="7A1EAC7C" w14:textId="77777777" w:rsidTr="007D010B">
        <w:tc>
          <w:tcPr>
            <w:tcW w:w="0" w:type="auto"/>
          </w:tcPr>
          <w:p w14:paraId="2C105237" w14:textId="7D4C1D9F" w:rsidR="00DA275F" w:rsidRDefault="00DA275F" w:rsidP="00DA275F">
            <w:pPr>
              <w:jc w:val="both"/>
            </w:pPr>
            <w:r>
              <w:t>19</w:t>
            </w:r>
          </w:p>
        </w:tc>
        <w:tc>
          <w:tcPr>
            <w:tcW w:w="0" w:type="auto"/>
            <w:tcBorders>
              <w:right w:val="single" w:sz="8" w:space="0" w:color="auto"/>
            </w:tcBorders>
          </w:tcPr>
          <w:p w14:paraId="37F5E5AF" w14:textId="77777777" w:rsidR="00DA275F" w:rsidRPr="00DA275F" w:rsidRDefault="00DA275F" w:rsidP="00DA275F">
            <w:pPr>
              <w:rPr>
                <w:b/>
              </w:rPr>
            </w:pPr>
            <w:r w:rsidRPr="00DA275F">
              <w:rPr>
                <w:b/>
              </w:rPr>
              <w:t>Special Resolution:</w:t>
            </w:r>
          </w:p>
          <w:p w14:paraId="092EDD54" w14:textId="6F794BAE" w:rsidR="00DA275F" w:rsidRDefault="00DA275F" w:rsidP="00DA275F">
            <w:r>
              <w:t xml:space="preserve">That the articles of association contained in the document produced to the meeting, be </w:t>
            </w:r>
            <w:r>
              <w:lastRenderedPageBreak/>
              <w:t>adopted as the articles of association of the Company.</w:t>
            </w:r>
          </w:p>
        </w:tc>
        <w:tc>
          <w:tcPr>
            <w:tcW w:w="0" w:type="auto"/>
            <w:tcBorders>
              <w:left w:val="single" w:sz="8" w:space="0" w:color="auto"/>
            </w:tcBorders>
          </w:tcPr>
          <w:p w14:paraId="65ED8EB8" w14:textId="1D6BAAEF" w:rsidR="00DA275F" w:rsidRPr="00930333" w:rsidRDefault="00DA275F" w:rsidP="00704FF1">
            <w:pPr>
              <w:jc w:val="right"/>
            </w:pPr>
            <w:r w:rsidRPr="007A3582">
              <w:lastRenderedPageBreak/>
              <w:t>97,092,431</w:t>
            </w:r>
          </w:p>
        </w:tc>
        <w:tc>
          <w:tcPr>
            <w:tcW w:w="0" w:type="auto"/>
            <w:tcBorders>
              <w:right w:val="single" w:sz="8" w:space="0" w:color="auto"/>
            </w:tcBorders>
          </w:tcPr>
          <w:p w14:paraId="65891351" w14:textId="361DDF3A" w:rsidR="00DA275F" w:rsidRPr="002D377C" w:rsidRDefault="00DA275F" w:rsidP="0001542E">
            <w:pPr>
              <w:jc w:val="right"/>
            </w:pPr>
            <w:r w:rsidRPr="00AA600B">
              <w:t>99.99</w:t>
            </w:r>
          </w:p>
        </w:tc>
        <w:tc>
          <w:tcPr>
            <w:tcW w:w="0" w:type="auto"/>
            <w:tcBorders>
              <w:left w:val="single" w:sz="8" w:space="0" w:color="auto"/>
            </w:tcBorders>
          </w:tcPr>
          <w:p w14:paraId="56B6E889" w14:textId="0F51D47B" w:rsidR="00DA275F" w:rsidRPr="00B06CFB" w:rsidRDefault="00DA275F" w:rsidP="00704FF1">
            <w:pPr>
              <w:jc w:val="right"/>
            </w:pPr>
            <w:r w:rsidRPr="00721366">
              <w:t>1,024</w:t>
            </w:r>
          </w:p>
        </w:tc>
        <w:tc>
          <w:tcPr>
            <w:tcW w:w="0" w:type="auto"/>
            <w:tcBorders>
              <w:right w:val="single" w:sz="8" w:space="0" w:color="auto"/>
            </w:tcBorders>
          </w:tcPr>
          <w:p w14:paraId="4203AF01" w14:textId="5D5D2907" w:rsidR="00DA275F" w:rsidRPr="00B93633" w:rsidRDefault="00DA275F" w:rsidP="0001542E">
            <w:pPr>
              <w:jc w:val="right"/>
            </w:pPr>
            <w:r w:rsidRPr="00DA72BB">
              <w:t>0.01</w:t>
            </w:r>
          </w:p>
        </w:tc>
        <w:tc>
          <w:tcPr>
            <w:tcW w:w="0" w:type="auto"/>
            <w:tcBorders>
              <w:left w:val="single" w:sz="8" w:space="0" w:color="auto"/>
              <w:right w:val="single" w:sz="8" w:space="0" w:color="auto"/>
            </w:tcBorders>
          </w:tcPr>
          <w:p w14:paraId="225D8E09" w14:textId="486EF6A0" w:rsidR="00DA275F" w:rsidRPr="00851AD8" w:rsidRDefault="00DA275F" w:rsidP="00704FF1">
            <w:pPr>
              <w:jc w:val="right"/>
            </w:pPr>
            <w:r w:rsidRPr="000162A5">
              <w:t>3,221</w:t>
            </w:r>
          </w:p>
        </w:tc>
      </w:tr>
    </w:tbl>
    <w:p w14:paraId="746D4C1C" w14:textId="6CFEAC3B" w:rsidR="002627CE" w:rsidRDefault="002627CE"/>
    <w:p w14:paraId="2A17D75E" w14:textId="13CDFBCB" w:rsidR="00ED09A4" w:rsidRDefault="00ED09A4" w:rsidP="000341E6">
      <w:pPr>
        <w:jc w:val="both"/>
      </w:pPr>
      <w:r>
        <w:t>*Includes proxies giving the Chairman discretion as to how to vote</w:t>
      </w:r>
    </w:p>
    <w:p w14:paraId="3B9B5F19" w14:textId="77777777" w:rsidR="00826E12" w:rsidRDefault="00ED09A4" w:rsidP="00826E12">
      <w:pPr>
        <w:jc w:val="both"/>
      </w:pPr>
      <w:r>
        <w:t>*</w:t>
      </w:r>
      <w:r w:rsidR="00F672C4">
        <w:t>*Excludes votes withheld</w:t>
      </w:r>
    </w:p>
    <w:p w14:paraId="47AFA4A2" w14:textId="4330A0F3" w:rsidR="008210F9" w:rsidRDefault="005E29E5" w:rsidP="00826E12">
      <w:pPr>
        <w:jc w:val="center"/>
        <w:rPr>
          <w:rFonts w:cs="Arial"/>
          <w:b/>
          <w:iCs/>
          <w:szCs w:val="20"/>
        </w:rPr>
      </w:pPr>
      <w:r>
        <w:t>ends</w:t>
      </w:r>
    </w:p>
    <w:p w14:paraId="053FDE66" w14:textId="77777777" w:rsidR="00B77325" w:rsidRDefault="00B77325" w:rsidP="000446CD">
      <w:pPr>
        <w:jc w:val="both"/>
        <w:rPr>
          <w:rFonts w:cs="Arial"/>
          <w:b/>
          <w:iCs/>
          <w:szCs w:val="20"/>
        </w:rPr>
      </w:pPr>
    </w:p>
    <w:p w14:paraId="384BBE82" w14:textId="1976FFCB" w:rsidR="000446CD" w:rsidRPr="00931887" w:rsidRDefault="000446CD" w:rsidP="000446CD">
      <w:pPr>
        <w:jc w:val="both"/>
        <w:rPr>
          <w:rFonts w:cs="Arial"/>
          <w:iCs/>
          <w:szCs w:val="20"/>
        </w:rPr>
      </w:pPr>
      <w:r w:rsidRPr="00931887">
        <w:rPr>
          <w:rFonts w:cs="Arial"/>
          <w:b/>
          <w:iCs/>
          <w:szCs w:val="20"/>
        </w:rPr>
        <w:t>For further information please contact:</w:t>
      </w:r>
    </w:p>
    <w:tbl>
      <w:tblPr>
        <w:tblW w:w="0" w:type="auto"/>
        <w:tblInd w:w="-108" w:type="dxa"/>
        <w:shd w:val="clear" w:color="auto" w:fill="FFFFFF"/>
        <w:tblCellMar>
          <w:left w:w="0" w:type="dxa"/>
          <w:right w:w="0" w:type="dxa"/>
        </w:tblCellMar>
        <w:tblLook w:val="04A0" w:firstRow="1" w:lastRow="0" w:firstColumn="1" w:lastColumn="0" w:noHBand="0" w:noVBand="1"/>
      </w:tblPr>
      <w:tblGrid>
        <w:gridCol w:w="3335"/>
        <w:gridCol w:w="2835"/>
        <w:gridCol w:w="2835"/>
      </w:tblGrid>
      <w:tr w:rsidR="000446CD" w:rsidRPr="00931887" w14:paraId="15A09195" w14:textId="77777777" w:rsidTr="001D3A6B">
        <w:tc>
          <w:tcPr>
            <w:tcW w:w="3335" w:type="dxa"/>
            <w:shd w:val="clear" w:color="auto" w:fill="FFFFFF"/>
            <w:tcMar>
              <w:top w:w="0" w:type="dxa"/>
              <w:left w:w="108" w:type="dxa"/>
              <w:bottom w:w="0" w:type="dxa"/>
              <w:right w:w="108" w:type="dxa"/>
            </w:tcMar>
            <w:hideMark/>
          </w:tcPr>
          <w:p w14:paraId="4CD84B08" w14:textId="77777777" w:rsidR="000446CD" w:rsidRPr="00931887" w:rsidRDefault="000446CD" w:rsidP="001D3A6B">
            <w:pPr>
              <w:spacing w:before="130" w:after="0" w:line="240" w:lineRule="auto"/>
              <w:jc w:val="both"/>
              <w:textAlignment w:val="baseline"/>
              <w:rPr>
                <w:rFonts w:eastAsia="Times New Roman" w:cs="Arial"/>
                <w:color w:val="000000"/>
                <w:szCs w:val="20"/>
                <w:lang w:eastAsia="en-GB"/>
              </w:rPr>
            </w:pPr>
            <w:r w:rsidRPr="00931887">
              <w:rPr>
                <w:rFonts w:eastAsia="Times New Roman" w:cs="Arial"/>
                <w:color w:val="000000"/>
                <w:szCs w:val="20"/>
                <w:lang w:eastAsia="en-GB"/>
              </w:rPr>
              <w:t>FDM</w:t>
            </w:r>
            <w:r>
              <w:rPr>
                <w:rFonts w:eastAsia="Times New Roman" w:cs="Arial"/>
                <w:color w:val="000000"/>
                <w:szCs w:val="20"/>
                <w:lang w:eastAsia="en-GB"/>
              </w:rPr>
              <w:t xml:space="preserve"> Group (Holdings) plc</w:t>
            </w:r>
          </w:p>
        </w:tc>
        <w:tc>
          <w:tcPr>
            <w:tcW w:w="2835" w:type="dxa"/>
            <w:shd w:val="clear" w:color="auto" w:fill="FFFFFF"/>
            <w:tcMar>
              <w:top w:w="0" w:type="dxa"/>
              <w:left w:w="108" w:type="dxa"/>
              <w:bottom w:w="0" w:type="dxa"/>
              <w:right w:w="108" w:type="dxa"/>
            </w:tcMar>
            <w:hideMark/>
          </w:tcPr>
          <w:p w14:paraId="7EC2159E" w14:textId="62A737E1" w:rsidR="000446CD" w:rsidRPr="00931887" w:rsidRDefault="00255540" w:rsidP="00255540">
            <w:pPr>
              <w:spacing w:before="130" w:after="0" w:line="240" w:lineRule="auto"/>
              <w:jc w:val="both"/>
              <w:textAlignment w:val="baseline"/>
              <w:rPr>
                <w:rFonts w:eastAsia="Times New Roman" w:cs="Arial"/>
                <w:color w:val="000000"/>
                <w:szCs w:val="20"/>
                <w:lang w:eastAsia="en-GB"/>
              </w:rPr>
            </w:pPr>
            <w:r>
              <w:rPr>
                <w:rFonts w:eastAsia="Times New Roman" w:cs="Arial"/>
                <w:color w:val="000000"/>
                <w:szCs w:val="20"/>
                <w:lang w:eastAsia="en-GB"/>
              </w:rPr>
              <w:t>Mark Heather – Company Secretary</w:t>
            </w:r>
          </w:p>
        </w:tc>
        <w:tc>
          <w:tcPr>
            <w:tcW w:w="2835" w:type="dxa"/>
            <w:shd w:val="clear" w:color="auto" w:fill="FFFFFF"/>
            <w:tcMar>
              <w:top w:w="0" w:type="dxa"/>
              <w:left w:w="108" w:type="dxa"/>
              <w:bottom w:w="0" w:type="dxa"/>
              <w:right w:w="108" w:type="dxa"/>
            </w:tcMar>
            <w:hideMark/>
          </w:tcPr>
          <w:p w14:paraId="61C675C3" w14:textId="09A37CA3" w:rsidR="000446CD" w:rsidRPr="00931887" w:rsidRDefault="000446CD" w:rsidP="00255540">
            <w:pPr>
              <w:spacing w:before="130" w:after="0" w:line="240" w:lineRule="auto"/>
              <w:jc w:val="both"/>
              <w:textAlignment w:val="baseline"/>
              <w:rPr>
                <w:rFonts w:eastAsia="Times New Roman" w:cs="Arial"/>
                <w:color w:val="000000"/>
                <w:szCs w:val="20"/>
                <w:lang w:eastAsia="en-GB"/>
              </w:rPr>
            </w:pPr>
            <w:r w:rsidRPr="00931887">
              <w:rPr>
                <w:rFonts w:eastAsia="Times New Roman" w:cs="Arial"/>
                <w:color w:val="000000"/>
                <w:szCs w:val="20"/>
                <w:lang w:eastAsia="en-GB"/>
              </w:rPr>
              <w:t>0203 056 8240</w:t>
            </w:r>
          </w:p>
        </w:tc>
      </w:tr>
      <w:tr w:rsidR="000446CD" w:rsidRPr="00931887" w14:paraId="4700536C" w14:textId="77777777" w:rsidTr="001D3A6B">
        <w:tc>
          <w:tcPr>
            <w:tcW w:w="3335" w:type="dxa"/>
            <w:shd w:val="clear" w:color="auto" w:fill="FFFFFF"/>
            <w:tcMar>
              <w:top w:w="0" w:type="dxa"/>
              <w:left w:w="108" w:type="dxa"/>
              <w:bottom w:w="0" w:type="dxa"/>
              <w:right w:w="108" w:type="dxa"/>
            </w:tcMar>
            <w:hideMark/>
          </w:tcPr>
          <w:p w14:paraId="4BFDCF81" w14:textId="6F85443D" w:rsidR="000446CD" w:rsidRPr="00931887" w:rsidRDefault="00255540" w:rsidP="00255540">
            <w:pPr>
              <w:spacing w:before="130" w:after="0" w:line="240" w:lineRule="auto"/>
              <w:jc w:val="both"/>
              <w:textAlignment w:val="baseline"/>
              <w:rPr>
                <w:rFonts w:eastAsia="Times New Roman" w:cs="Arial"/>
                <w:color w:val="000000"/>
                <w:szCs w:val="20"/>
                <w:lang w:eastAsia="en-GB"/>
              </w:rPr>
            </w:pPr>
            <w:r>
              <w:rPr>
                <w:rFonts w:eastAsia="Times New Roman" w:cs="Arial"/>
                <w:color w:val="000000"/>
                <w:szCs w:val="20"/>
                <w:lang w:eastAsia="en-GB"/>
              </w:rPr>
              <w:t>Nick Oborne</w:t>
            </w:r>
          </w:p>
        </w:tc>
        <w:tc>
          <w:tcPr>
            <w:tcW w:w="2835" w:type="dxa"/>
            <w:shd w:val="clear" w:color="auto" w:fill="FFFFFF"/>
            <w:tcMar>
              <w:top w:w="0" w:type="dxa"/>
              <w:left w:w="108" w:type="dxa"/>
              <w:bottom w:w="0" w:type="dxa"/>
              <w:right w:w="108" w:type="dxa"/>
            </w:tcMar>
            <w:hideMark/>
          </w:tcPr>
          <w:p w14:paraId="630E618D" w14:textId="2781D179" w:rsidR="000446CD" w:rsidRPr="00931887" w:rsidRDefault="00255540" w:rsidP="001D3A6B">
            <w:pPr>
              <w:spacing w:before="130" w:after="0" w:line="240" w:lineRule="auto"/>
              <w:jc w:val="both"/>
              <w:textAlignment w:val="baseline"/>
              <w:rPr>
                <w:rFonts w:eastAsia="Times New Roman" w:cs="Arial"/>
                <w:color w:val="000000"/>
                <w:szCs w:val="20"/>
                <w:lang w:eastAsia="en-GB"/>
              </w:rPr>
            </w:pPr>
            <w:r>
              <w:rPr>
                <w:rFonts w:eastAsia="Times New Roman" w:cs="Arial"/>
                <w:color w:val="000000"/>
                <w:szCs w:val="20"/>
                <w:lang w:eastAsia="en-GB"/>
              </w:rPr>
              <w:t>Financial Public Relations</w:t>
            </w:r>
          </w:p>
        </w:tc>
        <w:tc>
          <w:tcPr>
            <w:tcW w:w="2835" w:type="dxa"/>
            <w:shd w:val="clear" w:color="auto" w:fill="FFFFFF"/>
            <w:tcMar>
              <w:top w:w="0" w:type="dxa"/>
              <w:left w:w="108" w:type="dxa"/>
              <w:bottom w:w="0" w:type="dxa"/>
              <w:right w:w="108" w:type="dxa"/>
            </w:tcMar>
            <w:hideMark/>
          </w:tcPr>
          <w:p w14:paraId="39C14852" w14:textId="4CBC9AB0" w:rsidR="000446CD" w:rsidRPr="00931887" w:rsidRDefault="00255540" w:rsidP="001D3A6B">
            <w:pPr>
              <w:spacing w:before="130" w:after="0" w:line="240" w:lineRule="auto"/>
              <w:jc w:val="both"/>
              <w:textAlignment w:val="baseline"/>
              <w:rPr>
                <w:rFonts w:eastAsia="Times New Roman" w:cs="Arial"/>
                <w:color w:val="000000"/>
                <w:szCs w:val="20"/>
                <w:lang w:eastAsia="en-GB"/>
              </w:rPr>
            </w:pPr>
            <w:r>
              <w:rPr>
                <w:rFonts w:eastAsia="Times New Roman" w:cs="Arial"/>
                <w:color w:val="000000"/>
                <w:szCs w:val="20"/>
                <w:lang w:eastAsia="en-GB"/>
              </w:rPr>
              <w:t>07850 127526</w:t>
            </w:r>
          </w:p>
        </w:tc>
      </w:tr>
    </w:tbl>
    <w:p w14:paraId="706BCD37" w14:textId="77777777" w:rsidR="00B71318" w:rsidRDefault="00B71318" w:rsidP="00954763">
      <w:pPr>
        <w:jc w:val="both"/>
        <w:rPr>
          <w:rFonts w:cs="Arial"/>
          <w:b/>
          <w:iCs/>
          <w:szCs w:val="20"/>
        </w:rPr>
      </w:pPr>
    </w:p>
    <w:sectPr w:rsidR="00B71318">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1A9C" w14:textId="77777777" w:rsidR="0083051A" w:rsidRDefault="0083051A" w:rsidP="000B55BC">
      <w:pPr>
        <w:spacing w:after="0" w:line="240" w:lineRule="auto"/>
      </w:pPr>
      <w:r>
        <w:separator/>
      </w:r>
    </w:p>
  </w:endnote>
  <w:endnote w:type="continuationSeparator" w:id="0">
    <w:p w14:paraId="011C51B9" w14:textId="77777777" w:rsidR="0083051A" w:rsidRDefault="0083051A" w:rsidP="000B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83D8" w14:textId="77777777" w:rsidR="000B55BC" w:rsidRPr="000B55BC" w:rsidRDefault="000B55BC">
    <w:pPr>
      <w:pStyle w:val="Footer"/>
      <w:rPr>
        <w:rFonts w:cs="Arial"/>
        <w:sz w:val="12"/>
      </w:rPr>
    </w:pPr>
    <w:r w:rsidRPr="000B55BC">
      <w:rPr>
        <w:rFonts w:cs="Arial"/>
        <w:sz w:val="12"/>
      </w:rPr>
      <w:fldChar w:fldCharType="begin"/>
    </w:r>
    <w:r w:rsidRPr="000B55BC">
      <w:rPr>
        <w:rFonts w:cs="Arial"/>
        <w:sz w:val="12"/>
      </w:rPr>
      <w:instrText xml:space="preserve"> DOCPROPERTY DocID \* MERGEFORMAT </w:instrText>
    </w:r>
    <w:r w:rsidRPr="000B55BC">
      <w:rPr>
        <w:rFonts w:cs="Arial"/>
        <w:sz w:val="12"/>
      </w:rPr>
      <w:fldChar w:fldCharType="separate"/>
    </w:r>
    <w:r w:rsidR="00452609">
      <w:rPr>
        <w:rFonts w:cs="Arial"/>
        <w:sz w:val="12"/>
      </w:rPr>
      <w:t>UKMATTERS:34400660.2</w:t>
    </w:r>
    <w:r w:rsidRPr="000B55BC">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B309" w14:textId="77777777" w:rsidR="0083051A" w:rsidRDefault="0083051A" w:rsidP="000B55BC">
      <w:pPr>
        <w:spacing w:after="0" w:line="240" w:lineRule="auto"/>
      </w:pPr>
      <w:r>
        <w:separator/>
      </w:r>
    </w:p>
  </w:footnote>
  <w:footnote w:type="continuationSeparator" w:id="0">
    <w:p w14:paraId="7E8783BC" w14:textId="77777777" w:rsidR="0083051A" w:rsidRDefault="0083051A" w:rsidP="000B5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34953"/>
    <w:multiLevelType w:val="multilevel"/>
    <w:tmpl w:val="E2207752"/>
    <w:name w:val="HouseTemplate"/>
    <w:lvl w:ilvl="0">
      <w:start w:val="1"/>
      <w:numFmt w:val="decimal"/>
      <w:lvlRestart w:val="0"/>
      <w:pStyle w:val="House1"/>
      <w:isLgl/>
      <w:lvlText w:val="%1"/>
      <w:lvlJc w:val="left"/>
      <w:pPr>
        <w:tabs>
          <w:tab w:val="num" w:pos="720"/>
        </w:tabs>
        <w:ind w:left="720" w:hanging="720"/>
      </w:pPr>
      <w:rPr>
        <w:b w:val="0"/>
        <w:i w:val="0"/>
        <w:u w:val="none"/>
      </w:rPr>
    </w:lvl>
    <w:lvl w:ilvl="1">
      <w:start w:val="1"/>
      <w:numFmt w:val="lowerLetter"/>
      <w:pStyle w:val="House2"/>
      <w:lvlText w:val="(%2)"/>
      <w:lvlJc w:val="left"/>
      <w:pPr>
        <w:tabs>
          <w:tab w:val="num" w:pos="1440"/>
        </w:tabs>
        <w:ind w:left="1440" w:hanging="720"/>
      </w:pPr>
    </w:lvl>
    <w:lvl w:ilvl="2">
      <w:start w:val="1"/>
      <w:numFmt w:val="lowerRoman"/>
      <w:pStyle w:val="House3"/>
      <w:lvlText w:val="(%3)"/>
      <w:lvlJc w:val="left"/>
      <w:pPr>
        <w:tabs>
          <w:tab w:val="num" w:pos="2160"/>
        </w:tabs>
        <w:ind w:left="2160" w:hanging="720"/>
      </w:pPr>
    </w:lvl>
    <w:lvl w:ilvl="3">
      <w:start w:val="1"/>
      <w:numFmt w:val="upperLetter"/>
      <w:pStyle w:val="House4"/>
      <w:lvlText w:val="(%4)"/>
      <w:lvlJc w:val="left"/>
      <w:pPr>
        <w:tabs>
          <w:tab w:val="num" w:pos="2880"/>
        </w:tabs>
        <w:ind w:left="2880" w:hanging="720"/>
      </w:pPr>
    </w:lvl>
    <w:lvl w:ilvl="4">
      <w:start w:val="1"/>
      <w:numFmt w:val="decimal"/>
      <w:pStyle w:val="House5"/>
      <w:lvlText w:val="%5)"/>
      <w:lvlJc w:val="left"/>
      <w:pPr>
        <w:tabs>
          <w:tab w:val="num" w:pos="3600"/>
        </w:tabs>
        <w:ind w:left="3600" w:hanging="720"/>
      </w:pPr>
    </w:lvl>
    <w:lvl w:ilvl="5">
      <w:start w:val="1"/>
      <w:numFmt w:val="lowerLetter"/>
      <w:pStyle w:val="House6"/>
      <w:lvlText w:val="%6)"/>
      <w:lvlJc w:val="left"/>
      <w:pPr>
        <w:tabs>
          <w:tab w:val="num" w:pos="4320"/>
        </w:tabs>
        <w:ind w:left="4320" w:hanging="720"/>
      </w:pPr>
    </w:lvl>
    <w:lvl w:ilvl="6">
      <w:start w:val="1"/>
      <w:numFmt w:val="lowerRoman"/>
      <w:pStyle w:val="House7"/>
      <w:lvlText w:val="%7)"/>
      <w:lvlJc w:val="left"/>
      <w:pPr>
        <w:tabs>
          <w:tab w:val="num" w:pos="5040"/>
        </w:tabs>
        <w:ind w:left="5040" w:hanging="720"/>
      </w:pPr>
    </w:lvl>
    <w:lvl w:ilvl="7">
      <w:start w:val="1"/>
      <w:numFmt w:val="upperLetter"/>
      <w:pStyle w:val="House8"/>
      <w:lvlText w:val="%8)"/>
      <w:lvlJc w:val="left"/>
      <w:pPr>
        <w:tabs>
          <w:tab w:val="num" w:pos="5760"/>
        </w:tabs>
        <w:ind w:left="5760" w:hanging="720"/>
      </w:pPr>
    </w:lvl>
    <w:lvl w:ilvl="8">
      <w:start w:val="1"/>
      <w:numFmt w:val="none"/>
      <w:suff w:val="nothing"/>
      <w:lvlText w:val=""/>
      <w:lvlJc w:val="left"/>
      <w:pPr>
        <w:ind w:left="576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E6"/>
    <w:rsid w:val="000000E9"/>
    <w:rsid w:val="00000247"/>
    <w:rsid w:val="00000ECF"/>
    <w:rsid w:val="000063AD"/>
    <w:rsid w:val="00007756"/>
    <w:rsid w:val="000104B1"/>
    <w:rsid w:val="0001331C"/>
    <w:rsid w:val="000149A4"/>
    <w:rsid w:val="00014D4F"/>
    <w:rsid w:val="0001542E"/>
    <w:rsid w:val="0002239B"/>
    <w:rsid w:val="00023299"/>
    <w:rsid w:val="00023B49"/>
    <w:rsid w:val="000277B9"/>
    <w:rsid w:val="00032DCC"/>
    <w:rsid w:val="000341E6"/>
    <w:rsid w:val="0003616A"/>
    <w:rsid w:val="00036445"/>
    <w:rsid w:val="00037A7C"/>
    <w:rsid w:val="00037BF2"/>
    <w:rsid w:val="00037EE2"/>
    <w:rsid w:val="0004208A"/>
    <w:rsid w:val="000446CD"/>
    <w:rsid w:val="00045483"/>
    <w:rsid w:val="00045CD6"/>
    <w:rsid w:val="00046CEB"/>
    <w:rsid w:val="000513F0"/>
    <w:rsid w:val="000532A0"/>
    <w:rsid w:val="00055883"/>
    <w:rsid w:val="00056C90"/>
    <w:rsid w:val="0005780D"/>
    <w:rsid w:val="00060AB8"/>
    <w:rsid w:val="00064E4E"/>
    <w:rsid w:val="00066D19"/>
    <w:rsid w:val="00071B18"/>
    <w:rsid w:val="00072301"/>
    <w:rsid w:val="00075AC6"/>
    <w:rsid w:val="00084669"/>
    <w:rsid w:val="00085CA3"/>
    <w:rsid w:val="00091091"/>
    <w:rsid w:val="000911D1"/>
    <w:rsid w:val="00091677"/>
    <w:rsid w:val="0009182D"/>
    <w:rsid w:val="0009184E"/>
    <w:rsid w:val="00092B4F"/>
    <w:rsid w:val="0009497D"/>
    <w:rsid w:val="00094A30"/>
    <w:rsid w:val="000950F6"/>
    <w:rsid w:val="00096413"/>
    <w:rsid w:val="00096D00"/>
    <w:rsid w:val="000A1397"/>
    <w:rsid w:val="000A1ACA"/>
    <w:rsid w:val="000A3215"/>
    <w:rsid w:val="000A33E9"/>
    <w:rsid w:val="000A3642"/>
    <w:rsid w:val="000A6E92"/>
    <w:rsid w:val="000B14A6"/>
    <w:rsid w:val="000B2B95"/>
    <w:rsid w:val="000B55BC"/>
    <w:rsid w:val="000B71FB"/>
    <w:rsid w:val="000C0DD5"/>
    <w:rsid w:val="000C5578"/>
    <w:rsid w:val="000C6A9C"/>
    <w:rsid w:val="000D13D3"/>
    <w:rsid w:val="000D6B8F"/>
    <w:rsid w:val="000D78D6"/>
    <w:rsid w:val="000E25BD"/>
    <w:rsid w:val="000E2608"/>
    <w:rsid w:val="000E2BA7"/>
    <w:rsid w:val="000E59C2"/>
    <w:rsid w:val="000E60C6"/>
    <w:rsid w:val="000E6386"/>
    <w:rsid w:val="000E72BF"/>
    <w:rsid w:val="000F0624"/>
    <w:rsid w:val="000F3871"/>
    <w:rsid w:val="000F4799"/>
    <w:rsid w:val="000F59F8"/>
    <w:rsid w:val="000F5C0D"/>
    <w:rsid w:val="000F7878"/>
    <w:rsid w:val="0010075A"/>
    <w:rsid w:val="0010080B"/>
    <w:rsid w:val="00101403"/>
    <w:rsid w:val="00101706"/>
    <w:rsid w:val="00101AB4"/>
    <w:rsid w:val="00102C74"/>
    <w:rsid w:val="0010305E"/>
    <w:rsid w:val="001033B1"/>
    <w:rsid w:val="001048B1"/>
    <w:rsid w:val="00104B2E"/>
    <w:rsid w:val="00106306"/>
    <w:rsid w:val="00107A4C"/>
    <w:rsid w:val="001140EA"/>
    <w:rsid w:val="00116CB0"/>
    <w:rsid w:val="00121DD4"/>
    <w:rsid w:val="00122C58"/>
    <w:rsid w:val="00123344"/>
    <w:rsid w:val="0012363B"/>
    <w:rsid w:val="0012428B"/>
    <w:rsid w:val="0012486C"/>
    <w:rsid w:val="00130817"/>
    <w:rsid w:val="001329C3"/>
    <w:rsid w:val="00134772"/>
    <w:rsid w:val="001401F5"/>
    <w:rsid w:val="00141348"/>
    <w:rsid w:val="00141BFF"/>
    <w:rsid w:val="001430E5"/>
    <w:rsid w:val="00143936"/>
    <w:rsid w:val="00145DF1"/>
    <w:rsid w:val="001612AE"/>
    <w:rsid w:val="00162430"/>
    <w:rsid w:val="00162C6B"/>
    <w:rsid w:val="00166A32"/>
    <w:rsid w:val="00166D74"/>
    <w:rsid w:val="00171325"/>
    <w:rsid w:val="001719C1"/>
    <w:rsid w:val="00173011"/>
    <w:rsid w:val="001754E5"/>
    <w:rsid w:val="00175FDC"/>
    <w:rsid w:val="00185542"/>
    <w:rsid w:val="0018649E"/>
    <w:rsid w:val="001903D4"/>
    <w:rsid w:val="001905EE"/>
    <w:rsid w:val="00196825"/>
    <w:rsid w:val="001A5C56"/>
    <w:rsid w:val="001A65B4"/>
    <w:rsid w:val="001B0FD0"/>
    <w:rsid w:val="001B1191"/>
    <w:rsid w:val="001B4085"/>
    <w:rsid w:val="001C2224"/>
    <w:rsid w:val="001C46CF"/>
    <w:rsid w:val="001C4C15"/>
    <w:rsid w:val="001C657E"/>
    <w:rsid w:val="001D18CC"/>
    <w:rsid w:val="001D1AD7"/>
    <w:rsid w:val="001D1E8B"/>
    <w:rsid w:val="001D5510"/>
    <w:rsid w:val="001D580B"/>
    <w:rsid w:val="001D6F5C"/>
    <w:rsid w:val="001F0C87"/>
    <w:rsid w:val="001F0E5B"/>
    <w:rsid w:val="001F14D3"/>
    <w:rsid w:val="001F43AC"/>
    <w:rsid w:val="001F4E07"/>
    <w:rsid w:val="001F59C9"/>
    <w:rsid w:val="001F75DB"/>
    <w:rsid w:val="00200EAB"/>
    <w:rsid w:val="00201241"/>
    <w:rsid w:val="00203748"/>
    <w:rsid w:val="002055CC"/>
    <w:rsid w:val="002060B9"/>
    <w:rsid w:val="00211278"/>
    <w:rsid w:val="00212A32"/>
    <w:rsid w:val="002138B0"/>
    <w:rsid w:val="002208E2"/>
    <w:rsid w:val="00220904"/>
    <w:rsid w:val="00221BD2"/>
    <w:rsid w:val="00225693"/>
    <w:rsid w:val="00231059"/>
    <w:rsid w:val="002345BF"/>
    <w:rsid w:val="00235485"/>
    <w:rsid w:val="00235E8A"/>
    <w:rsid w:val="00236FE5"/>
    <w:rsid w:val="00240081"/>
    <w:rsid w:val="00240190"/>
    <w:rsid w:val="00242726"/>
    <w:rsid w:val="00242BDE"/>
    <w:rsid w:val="00247CAF"/>
    <w:rsid w:val="00252BA6"/>
    <w:rsid w:val="00254501"/>
    <w:rsid w:val="00255289"/>
    <w:rsid w:val="00255540"/>
    <w:rsid w:val="002627CE"/>
    <w:rsid w:val="00265012"/>
    <w:rsid w:val="0027053A"/>
    <w:rsid w:val="00271640"/>
    <w:rsid w:val="00274326"/>
    <w:rsid w:val="00274C8C"/>
    <w:rsid w:val="00276665"/>
    <w:rsid w:val="00281726"/>
    <w:rsid w:val="00281CC9"/>
    <w:rsid w:val="0028484C"/>
    <w:rsid w:val="002873C9"/>
    <w:rsid w:val="002924D5"/>
    <w:rsid w:val="0029705C"/>
    <w:rsid w:val="002A1FDF"/>
    <w:rsid w:val="002A60A5"/>
    <w:rsid w:val="002A7B8A"/>
    <w:rsid w:val="002B406C"/>
    <w:rsid w:val="002B7855"/>
    <w:rsid w:val="002B7CBC"/>
    <w:rsid w:val="002C4A02"/>
    <w:rsid w:val="002C4F4B"/>
    <w:rsid w:val="002D02DF"/>
    <w:rsid w:val="002D1B5B"/>
    <w:rsid w:val="002D4A1F"/>
    <w:rsid w:val="002E0384"/>
    <w:rsid w:val="002E04E8"/>
    <w:rsid w:val="002E1A71"/>
    <w:rsid w:val="002E5240"/>
    <w:rsid w:val="002E58C5"/>
    <w:rsid w:val="00301936"/>
    <w:rsid w:val="00301DC8"/>
    <w:rsid w:val="00302163"/>
    <w:rsid w:val="00302D5E"/>
    <w:rsid w:val="00303421"/>
    <w:rsid w:val="00305829"/>
    <w:rsid w:val="00306C66"/>
    <w:rsid w:val="00306EEC"/>
    <w:rsid w:val="0031020D"/>
    <w:rsid w:val="003148D2"/>
    <w:rsid w:val="003149A9"/>
    <w:rsid w:val="00314BF7"/>
    <w:rsid w:val="003173E6"/>
    <w:rsid w:val="00317A75"/>
    <w:rsid w:val="0032233D"/>
    <w:rsid w:val="00327F67"/>
    <w:rsid w:val="003306C5"/>
    <w:rsid w:val="00331565"/>
    <w:rsid w:val="0033284A"/>
    <w:rsid w:val="00333E21"/>
    <w:rsid w:val="0033454B"/>
    <w:rsid w:val="00335DFD"/>
    <w:rsid w:val="00342DCF"/>
    <w:rsid w:val="00347D83"/>
    <w:rsid w:val="0035101C"/>
    <w:rsid w:val="00357F41"/>
    <w:rsid w:val="0036350B"/>
    <w:rsid w:val="0036551E"/>
    <w:rsid w:val="00365C19"/>
    <w:rsid w:val="00367944"/>
    <w:rsid w:val="00367AEC"/>
    <w:rsid w:val="00370A29"/>
    <w:rsid w:val="00372ED6"/>
    <w:rsid w:val="003730D3"/>
    <w:rsid w:val="00374319"/>
    <w:rsid w:val="00374D2F"/>
    <w:rsid w:val="003765A4"/>
    <w:rsid w:val="00380865"/>
    <w:rsid w:val="00382A05"/>
    <w:rsid w:val="00383691"/>
    <w:rsid w:val="00384326"/>
    <w:rsid w:val="003861F1"/>
    <w:rsid w:val="00391937"/>
    <w:rsid w:val="00391EE1"/>
    <w:rsid w:val="00393C6C"/>
    <w:rsid w:val="00393EF8"/>
    <w:rsid w:val="00397985"/>
    <w:rsid w:val="003A1DF3"/>
    <w:rsid w:val="003A3189"/>
    <w:rsid w:val="003A5CAD"/>
    <w:rsid w:val="003A7270"/>
    <w:rsid w:val="003A796E"/>
    <w:rsid w:val="003B3860"/>
    <w:rsid w:val="003B6FC8"/>
    <w:rsid w:val="003C0B26"/>
    <w:rsid w:val="003C345B"/>
    <w:rsid w:val="003C3E47"/>
    <w:rsid w:val="003D18B5"/>
    <w:rsid w:val="003D2668"/>
    <w:rsid w:val="003D4439"/>
    <w:rsid w:val="003D586B"/>
    <w:rsid w:val="003E138E"/>
    <w:rsid w:val="003E5E8A"/>
    <w:rsid w:val="003F04A8"/>
    <w:rsid w:val="003F0E1B"/>
    <w:rsid w:val="003F26EF"/>
    <w:rsid w:val="004019C7"/>
    <w:rsid w:val="004051BE"/>
    <w:rsid w:val="004115A3"/>
    <w:rsid w:val="004140E3"/>
    <w:rsid w:val="0041627C"/>
    <w:rsid w:val="0042178C"/>
    <w:rsid w:val="00423CDD"/>
    <w:rsid w:val="004251FD"/>
    <w:rsid w:val="00430BB6"/>
    <w:rsid w:val="00431058"/>
    <w:rsid w:val="00437BD9"/>
    <w:rsid w:val="00443F5B"/>
    <w:rsid w:val="0044437B"/>
    <w:rsid w:val="004461DC"/>
    <w:rsid w:val="00447455"/>
    <w:rsid w:val="00447508"/>
    <w:rsid w:val="00447D2A"/>
    <w:rsid w:val="004509F4"/>
    <w:rsid w:val="00452609"/>
    <w:rsid w:val="00454E3B"/>
    <w:rsid w:val="0046036F"/>
    <w:rsid w:val="00462193"/>
    <w:rsid w:val="004659A6"/>
    <w:rsid w:val="00474D35"/>
    <w:rsid w:val="00476BAA"/>
    <w:rsid w:val="00490853"/>
    <w:rsid w:val="00491086"/>
    <w:rsid w:val="00491F0F"/>
    <w:rsid w:val="004937D1"/>
    <w:rsid w:val="00495034"/>
    <w:rsid w:val="004A2641"/>
    <w:rsid w:val="004A779C"/>
    <w:rsid w:val="004B0BC1"/>
    <w:rsid w:val="004B0E16"/>
    <w:rsid w:val="004B1041"/>
    <w:rsid w:val="004B77E7"/>
    <w:rsid w:val="004C0FC2"/>
    <w:rsid w:val="004C2DA9"/>
    <w:rsid w:val="004C47DF"/>
    <w:rsid w:val="004D00FE"/>
    <w:rsid w:val="004D155C"/>
    <w:rsid w:val="004D46B6"/>
    <w:rsid w:val="004D5B99"/>
    <w:rsid w:val="004E04EC"/>
    <w:rsid w:val="004E6878"/>
    <w:rsid w:val="004F0CD4"/>
    <w:rsid w:val="004F1A49"/>
    <w:rsid w:val="004F2ACF"/>
    <w:rsid w:val="004F38A4"/>
    <w:rsid w:val="004F6825"/>
    <w:rsid w:val="00500514"/>
    <w:rsid w:val="00502BE2"/>
    <w:rsid w:val="00504628"/>
    <w:rsid w:val="00505360"/>
    <w:rsid w:val="00511AE5"/>
    <w:rsid w:val="0051602D"/>
    <w:rsid w:val="0051653B"/>
    <w:rsid w:val="005201AB"/>
    <w:rsid w:val="00520294"/>
    <w:rsid w:val="00520A09"/>
    <w:rsid w:val="00521C61"/>
    <w:rsid w:val="00523497"/>
    <w:rsid w:val="00530195"/>
    <w:rsid w:val="005325D3"/>
    <w:rsid w:val="0053317C"/>
    <w:rsid w:val="005344B7"/>
    <w:rsid w:val="005375C9"/>
    <w:rsid w:val="00537EAE"/>
    <w:rsid w:val="00540245"/>
    <w:rsid w:val="005416B6"/>
    <w:rsid w:val="00542A05"/>
    <w:rsid w:val="00543C7F"/>
    <w:rsid w:val="0054456B"/>
    <w:rsid w:val="0054794D"/>
    <w:rsid w:val="005539F3"/>
    <w:rsid w:val="005568E9"/>
    <w:rsid w:val="00556E0F"/>
    <w:rsid w:val="0056085A"/>
    <w:rsid w:val="00561CAC"/>
    <w:rsid w:val="0056644D"/>
    <w:rsid w:val="0056724F"/>
    <w:rsid w:val="00571B7C"/>
    <w:rsid w:val="00574682"/>
    <w:rsid w:val="00574794"/>
    <w:rsid w:val="00575E99"/>
    <w:rsid w:val="00575ED9"/>
    <w:rsid w:val="005773A9"/>
    <w:rsid w:val="0058379F"/>
    <w:rsid w:val="00586310"/>
    <w:rsid w:val="005871AE"/>
    <w:rsid w:val="00596EE5"/>
    <w:rsid w:val="00597EA6"/>
    <w:rsid w:val="005A00BB"/>
    <w:rsid w:val="005A639B"/>
    <w:rsid w:val="005A65EE"/>
    <w:rsid w:val="005A6F28"/>
    <w:rsid w:val="005A700D"/>
    <w:rsid w:val="005A76B4"/>
    <w:rsid w:val="005B0ECE"/>
    <w:rsid w:val="005B66F5"/>
    <w:rsid w:val="005C10DF"/>
    <w:rsid w:val="005C2F78"/>
    <w:rsid w:val="005C3F16"/>
    <w:rsid w:val="005D01A7"/>
    <w:rsid w:val="005D425B"/>
    <w:rsid w:val="005E29E5"/>
    <w:rsid w:val="005E4AF6"/>
    <w:rsid w:val="005E58CF"/>
    <w:rsid w:val="005E7928"/>
    <w:rsid w:val="005F01FD"/>
    <w:rsid w:val="005F0945"/>
    <w:rsid w:val="005F19C6"/>
    <w:rsid w:val="005F1E4E"/>
    <w:rsid w:val="005F21BA"/>
    <w:rsid w:val="005F70F0"/>
    <w:rsid w:val="00603210"/>
    <w:rsid w:val="00603AC5"/>
    <w:rsid w:val="00604564"/>
    <w:rsid w:val="00615CCC"/>
    <w:rsid w:val="006224E8"/>
    <w:rsid w:val="00624D43"/>
    <w:rsid w:val="0063047B"/>
    <w:rsid w:val="00630687"/>
    <w:rsid w:val="00631A7A"/>
    <w:rsid w:val="00631AA7"/>
    <w:rsid w:val="00635710"/>
    <w:rsid w:val="006358E8"/>
    <w:rsid w:val="00635967"/>
    <w:rsid w:val="006359EF"/>
    <w:rsid w:val="00635B6B"/>
    <w:rsid w:val="00636E50"/>
    <w:rsid w:val="00645257"/>
    <w:rsid w:val="0064715D"/>
    <w:rsid w:val="006477ED"/>
    <w:rsid w:val="00650327"/>
    <w:rsid w:val="0065117A"/>
    <w:rsid w:val="0065449C"/>
    <w:rsid w:val="006616E5"/>
    <w:rsid w:val="00666E55"/>
    <w:rsid w:val="00667BEE"/>
    <w:rsid w:val="0067142B"/>
    <w:rsid w:val="006726BF"/>
    <w:rsid w:val="006733D5"/>
    <w:rsid w:val="00674BA0"/>
    <w:rsid w:val="00675119"/>
    <w:rsid w:val="0068133E"/>
    <w:rsid w:val="00681C81"/>
    <w:rsid w:val="0068388F"/>
    <w:rsid w:val="006860C2"/>
    <w:rsid w:val="00686CAD"/>
    <w:rsid w:val="00690556"/>
    <w:rsid w:val="006905D5"/>
    <w:rsid w:val="00694DB7"/>
    <w:rsid w:val="00695024"/>
    <w:rsid w:val="006A0A83"/>
    <w:rsid w:val="006A15F2"/>
    <w:rsid w:val="006A4838"/>
    <w:rsid w:val="006A7434"/>
    <w:rsid w:val="006B5975"/>
    <w:rsid w:val="006B6097"/>
    <w:rsid w:val="006B6A5D"/>
    <w:rsid w:val="006B7CFF"/>
    <w:rsid w:val="006C57CB"/>
    <w:rsid w:val="006D020C"/>
    <w:rsid w:val="006D159A"/>
    <w:rsid w:val="006D28AC"/>
    <w:rsid w:val="006D379B"/>
    <w:rsid w:val="006E35AA"/>
    <w:rsid w:val="006E42AF"/>
    <w:rsid w:val="006E67E5"/>
    <w:rsid w:val="006F1B31"/>
    <w:rsid w:val="006F3B10"/>
    <w:rsid w:val="006F40A6"/>
    <w:rsid w:val="00700343"/>
    <w:rsid w:val="00701031"/>
    <w:rsid w:val="00701C61"/>
    <w:rsid w:val="0070309D"/>
    <w:rsid w:val="00704FF1"/>
    <w:rsid w:val="007064BC"/>
    <w:rsid w:val="0070695E"/>
    <w:rsid w:val="00712473"/>
    <w:rsid w:val="00712733"/>
    <w:rsid w:val="00720A5E"/>
    <w:rsid w:val="00721188"/>
    <w:rsid w:val="00721ACE"/>
    <w:rsid w:val="00721B58"/>
    <w:rsid w:val="00725710"/>
    <w:rsid w:val="00730A37"/>
    <w:rsid w:val="0073591C"/>
    <w:rsid w:val="007360EE"/>
    <w:rsid w:val="00736810"/>
    <w:rsid w:val="0073736D"/>
    <w:rsid w:val="00737A9A"/>
    <w:rsid w:val="00743902"/>
    <w:rsid w:val="0074488F"/>
    <w:rsid w:val="0075107E"/>
    <w:rsid w:val="0075143F"/>
    <w:rsid w:val="00751FCC"/>
    <w:rsid w:val="007548D0"/>
    <w:rsid w:val="007553CC"/>
    <w:rsid w:val="00761EF4"/>
    <w:rsid w:val="00763C66"/>
    <w:rsid w:val="0076795E"/>
    <w:rsid w:val="007711C6"/>
    <w:rsid w:val="00772AAE"/>
    <w:rsid w:val="00776DEF"/>
    <w:rsid w:val="00777260"/>
    <w:rsid w:val="00777B2A"/>
    <w:rsid w:val="00781758"/>
    <w:rsid w:val="00783CD9"/>
    <w:rsid w:val="0078461A"/>
    <w:rsid w:val="007863AC"/>
    <w:rsid w:val="00791B10"/>
    <w:rsid w:val="007949A2"/>
    <w:rsid w:val="007970B9"/>
    <w:rsid w:val="007970E4"/>
    <w:rsid w:val="007974C0"/>
    <w:rsid w:val="00797C0B"/>
    <w:rsid w:val="007A2F99"/>
    <w:rsid w:val="007A46EB"/>
    <w:rsid w:val="007B0D36"/>
    <w:rsid w:val="007B1C4A"/>
    <w:rsid w:val="007B20E6"/>
    <w:rsid w:val="007B61DD"/>
    <w:rsid w:val="007B7A94"/>
    <w:rsid w:val="007C0844"/>
    <w:rsid w:val="007C1C3F"/>
    <w:rsid w:val="007C24C2"/>
    <w:rsid w:val="007C27D1"/>
    <w:rsid w:val="007C29BD"/>
    <w:rsid w:val="007C40F2"/>
    <w:rsid w:val="007C4D33"/>
    <w:rsid w:val="007D010B"/>
    <w:rsid w:val="007D0E93"/>
    <w:rsid w:val="007D3916"/>
    <w:rsid w:val="007D6DDC"/>
    <w:rsid w:val="007E0029"/>
    <w:rsid w:val="007E1E84"/>
    <w:rsid w:val="007E29B5"/>
    <w:rsid w:val="007E2A17"/>
    <w:rsid w:val="007F0EBE"/>
    <w:rsid w:val="007F2418"/>
    <w:rsid w:val="007F3133"/>
    <w:rsid w:val="007F70CA"/>
    <w:rsid w:val="007F76E7"/>
    <w:rsid w:val="0080132B"/>
    <w:rsid w:val="0080378A"/>
    <w:rsid w:val="008054E2"/>
    <w:rsid w:val="00805FA7"/>
    <w:rsid w:val="00811B9D"/>
    <w:rsid w:val="00812BD9"/>
    <w:rsid w:val="00814164"/>
    <w:rsid w:val="00815094"/>
    <w:rsid w:val="00817896"/>
    <w:rsid w:val="008210F9"/>
    <w:rsid w:val="008212EE"/>
    <w:rsid w:val="00822878"/>
    <w:rsid w:val="00826E12"/>
    <w:rsid w:val="0082737F"/>
    <w:rsid w:val="00827446"/>
    <w:rsid w:val="008302B5"/>
    <w:rsid w:val="0083051A"/>
    <w:rsid w:val="008346B1"/>
    <w:rsid w:val="00836BBC"/>
    <w:rsid w:val="00840755"/>
    <w:rsid w:val="00842094"/>
    <w:rsid w:val="00842B9C"/>
    <w:rsid w:val="00842FA4"/>
    <w:rsid w:val="0084377D"/>
    <w:rsid w:val="00845684"/>
    <w:rsid w:val="0084601B"/>
    <w:rsid w:val="00846772"/>
    <w:rsid w:val="00847BDF"/>
    <w:rsid w:val="00852460"/>
    <w:rsid w:val="00853F8E"/>
    <w:rsid w:val="00861877"/>
    <w:rsid w:val="008619CE"/>
    <w:rsid w:val="00862C8F"/>
    <w:rsid w:val="0086520E"/>
    <w:rsid w:val="0087004D"/>
    <w:rsid w:val="00870935"/>
    <w:rsid w:val="00871F34"/>
    <w:rsid w:val="00872500"/>
    <w:rsid w:val="00873C80"/>
    <w:rsid w:val="00877A2C"/>
    <w:rsid w:val="00880154"/>
    <w:rsid w:val="008803AA"/>
    <w:rsid w:val="00881455"/>
    <w:rsid w:val="00883AE5"/>
    <w:rsid w:val="0088426F"/>
    <w:rsid w:val="0088435F"/>
    <w:rsid w:val="00884F37"/>
    <w:rsid w:val="00890A8F"/>
    <w:rsid w:val="00890F6E"/>
    <w:rsid w:val="00891AD8"/>
    <w:rsid w:val="00892A1C"/>
    <w:rsid w:val="00896755"/>
    <w:rsid w:val="008979D4"/>
    <w:rsid w:val="008A0F3B"/>
    <w:rsid w:val="008A3F47"/>
    <w:rsid w:val="008A4056"/>
    <w:rsid w:val="008A5685"/>
    <w:rsid w:val="008A68B3"/>
    <w:rsid w:val="008A72FF"/>
    <w:rsid w:val="008B0B58"/>
    <w:rsid w:val="008B394C"/>
    <w:rsid w:val="008C015A"/>
    <w:rsid w:val="008C1A01"/>
    <w:rsid w:val="008C1D54"/>
    <w:rsid w:val="008C4881"/>
    <w:rsid w:val="008D0837"/>
    <w:rsid w:val="008D0AB9"/>
    <w:rsid w:val="008D1608"/>
    <w:rsid w:val="008D28EC"/>
    <w:rsid w:val="008D32BB"/>
    <w:rsid w:val="008D6011"/>
    <w:rsid w:val="008D65F5"/>
    <w:rsid w:val="008D6F04"/>
    <w:rsid w:val="008D749D"/>
    <w:rsid w:val="008D7937"/>
    <w:rsid w:val="008E178E"/>
    <w:rsid w:val="008E4C8A"/>
    <w:rsid w:val="008E4EDC"/>
    <w:rsid w:val="008E7DCF"/>
    <w:rsid w:val="008F6425"/>
    <w:rsid w:val="008F6A31"/>
    <w:rsid w:val="00900246"/>
    <w:rsid w:val="00904E57"/>
    <w:rsid w:val="00907193"/>
    <w:rsid w:val="00910750"/>
    <w:rsid w:val="00911BC8"/>
    <w:rsid w:val="0091285B"/>
    <w:rsid w:val="00915C54"/>
    <w:rsid w:val="00920126"/>
    <w:rsid w:val="009277AF"/>
    <w:rsid w:val="00933B17"/>
    <w:rsid w:val="00933DFF"/>
    <w:rsid w:val="009347E6"/>
    <w:rsid w:val="00935323"/>
    <w:rsid w:val="00937D87"/>
    <w:rsid w:val="00940F1E"/>
    <w:rsid w:val="00943E3E"/>
    <w:rsid w:val="00944FE7"/>
    <w:rsid w:val="00946F71"/>
    <w:rsid w:val="00950DFB"/>
    <w:rsid w:val="009540F1"/>
    <w:rsid w:val="00954763"/>
    <w:rsid w:val="009573D7"/>
    <w:rsid w:val="009579CD"/>
    <w:rsid w:val="009635F5"/>
    <w:rsid w:val="00965BA4"/>
    <w:rsid w:val="00965E9E"/>
    <w:rsid w:val="00966EEB"/>
    <w:rsid w:val="00970DC0"/>
    <w:rsid w:val="00971C83"/>
    <w:rsid w:val="00972194"/>
    <w:rsid w:val="009747B6"/>
    <w:rsid w:val="00975370"/>
    <w:rsid w:val="00981D5A"/>
    <w:rsid w:val="00981E04"/>
    <w:rsid w:val="00982AE5"/>
    <w:rsid w:val="00982C00"/>
    <w:rsid w:val="00983D2F"/>
    <w:rsid w:val="00985377"/>
    <w:rsid w:val="009872BC"/>
    <w:rsid w:val="00990111"/>
    <w:rsid w:val="0099078C"/>
    <w:rsid w:val="00991CED"/>
    <w:rsid w:val="009A5EE7"/>
    <w:rsid w:val="009A6C11"/>
    <w:rsid w:val="009A6D58"/>
    <w:rsid w:val="009A6E35"/>
    <w:rsid w:val="009A6E6A"/>
    <w:rsid w:val="009A7095"/>
    <w:rsid w:val="009A72C3"/>
    <w:rsid w:val="009A7C71"/>
    <w:rsid w:val="009B1E6E"/>
    <w:rsid w:val="009C0B4F"/>
    <w:rsid w:val="009C1547"/>
    <w:rsid w:val="009C2267"/>
    <w:rsid w:val="009C48BA"/>
    <w:rsid w:val="009D06EB"/>
    <w:rsid w:val="009D1BC7"/>
    <w:rsid w:val="009D49F3"/>
    <w:rsid w:val="009E12C5"/>
    <w:rsid w:val="009E192F"/>
    <w:rsid w:val="009E2673"/>
    <w:rsid w:val="009E6D6E"/>
    <w:rsid w:val="009E759D"/>
    <w:rsid w:val="009E791E"/>
    <w:rsid w:val="009F0886"/>
    <w:rsid w:val="009F1880"/>
    <w:rsid w:val="009F1D9A"/>
    <w:rsid w:val="009F4AAF"/>
    <w:rsid w:val="009F649B"/>
    <w:rsid w:val="00A02C81"/>
    <w:rsid w:val="00A13676"/>
    <w:rsid w:val="00A14D8D"/>
    <w:rsid w:val="00A2591D"/>
    <w:rsid w:val="00A27082"/>
    <w:rsid w:val="00A330E8"/>
    <w:rsid w:val="00A33111"/>
    <w:rsid w:val="00A34CBC"/>
    <w:rsid w:val="00A351FD"/>
    <w:rsid w:val="00A355F3"/>
    <w:rsid w:val="00A37075"/>
    <w:rsid w:val="00A37993"/>
    <w:rsid w:val="00A47166"/>
    <w:rsid w:val="00A50667"/>
    <w:rsid w:val="00A52808"/>
    <w:rsid w:val="00A54AA1"/>
    <w:rsid w:val="00A56172"/>
    <w:rsid w:val="00A57BD6"/>
    <w:rsid w:val="00A625E1"/>
    <w:rsid w:val="00A64224"/>
    <w:rsid w:val="00A67193"/>
    <w:rsid w:val="00A67D05"/>
    <w:rsid w:val="00A73B0B"/>
    <w:rsid w:val="00A846FB"/>
    <w:rsid w:val="00A86DE1"/>
    <w:rsid w:val="00A87924"/>
    <w:rsid w:val="00A93FD2"/>
    <w:rsid w:val="00A97088"/>
    <w:rsid w:val="00AA087D"/>
    <w:rsid w:val="00AA1851"/>
    <w:rsid w:val="00AA32F4"/>
    <w:rsid w:val="00AA4E09"/>
    <w:rsid w:val="00AA6D81"/>
    <w:rsid w:val="00AB205D"/>
    <w:rsid w:val="00AB6281"/>
    <w:rsid w:val="00AC142F"/>
    <w:rsid w:val="00AC1CC0"/>
    <w:rsid w:val="00AC6D69"/>
    <w:rsid w:val="00AC73B2"/>
    <w:rsid w:val="00AD07DA"/>
    <w:rsid w:val="00AD17A3"/>
    <w:rsid w:val="00AD3AA2"/>
    <w:rsid w:val="00AE03BC"/>
    <w:rsid w:val="00AE1F97"/>
    <w:rsid w:val="00AE25C4"/>
    <w:rsid w:val="00AE2F83"/>
    <w:rsid w:val="00AE341A"/>
    <w:rsid w:val="00AE462D"/>
    <w:rsid w:val="00AE4EC2"/>
    <w:rsid w:val="00AE75C1"/>
    <w:rsid w:val="00AF1E63"/>
    <w:rsid w:val="00AF2029"/>
    <w:rsid w:val="00AF380E"/>
    <w:rsid w:val="00AF3BB5"/>
    <w:rsid w:val="00AF511B"/>
    <w:rsid w:val="00AF590B"/>
    <w:rsid w:val="00AF5BA3"/>
    <w:rsid w:val="00AF5F87"/>
    <w:rsid w:val="00AF6850"/>
    <w:rsid w:val="00AF71D2"/>
    <w:rsid w:val="00B00C9A"/>
    <w:rsid w:val="00B0183F"/>
    <w:rsid w:val="00B07936"/>
    <w:rsid w:val="00B12E37"/>
    <w:rsid w:val="00B14E91"/>
    <w:rsid w:val="00B15C54"/>
    <w:rsid w:val="00B21747"/>
    <w:rsid w:val="00B23340"/>
    <w:rsid w:val="00B31D2A"/>
    <w:rsid w:val="00B331E9"/>
    <w:rsid w:val="00B40A5E"/>
    <w:rsid w:val="00B43D45"/>
    <w:rsid w:val="00B43F27"/>
    <w:rsid w:val="00B50A79"/>
    <w:rsid w:val="00B5578C"/>
    <w:rsid w:val="00B55BF8"/>
    <w:rsid w:val="00B65384"/>
    <w:rsid w:val="00B71318"/>
    <w:rsid w:val="00B75D32"/>
    <w:rsid w:val="00B75FC5"/>
    <w:rsid w:val="00B77325"/>
    <w:rsid w:val="00B7793C"/>
    <w:rsid w:val="00B80F01"/>
    <w:rsid w:val="00B82B26"/>
    <w:rsid w:val="00B84916"/>
    <w:rsid w:val="00B87A89"/>
    <w:rsid w:val="00B902A1"/>
    <w:rsid w:val="00B92463"/>
    <w:rsid w:val="00B94B65"/>
    <w:rsid w:val="00B9614C"/>
    <w:rsid w:val="00B9655D"/>
    <w:rsid w:val="00BA56E3"/>
    <w:rsid w:val="00BA6449"/>
    <w:rsid w:val="00BA67B3"/>
    <w:rsid w:val="00BB49CF"/>
    <w:rsid w:val="00BB74AD"/>
    <w:rsid w:val="00BC152F"/>
    <w:rsid w:val="00BC1E61"/>
    <w:rsid w:val="00BC2E61"/>
    <w:rsid w:val="00BC679E"/>
    <w:rsid w:val="00BD0D50"/>
    <w:rsid w:val="00BD3830"/>
    <w:rsid w:val="00BD7659"/>
    <w:rsid w:val="00BE7822"/>
    <w:rsid w:val="00BF0510"/>
    <w:rsid w:val="00BF0545"/>
    <w:rsid w:val="00BF2955"/>
    <w:rsid w:val="00BF65D1"/>
    <w:rsid w:val="00C135EF"/>
    <w:rsid w:val="00C153F5"/>
    <w:rsid w:val="00C16034"/>
    <w:rsid w:val="00C23E9D"/>
    <w:rsid w:val="00C24609"/>
    <w:rsid w:val="00C2559C"/>
    <w:rsid w:val="00C26217"/>
    <w:rsid w:val="00C2663F"/>
    <w:rsid w:val="00C32299"/>
    <w:rsid w:val="00C32D72"/>
    <w:rsid w:val="00C32ED6"/>
    <w:rsid w:val="00C344C5"/>
    <w:rsid w:val="00C36275"/>
    <w:rsid w:val="00C370A9"/>
    <w:rsid w:val="00C409A8"/>
    <w:rsid w:val="00C46F56"/>
    <w:rsid w:val="00C50112"/>
    <w:rsid w:val="00C5559D"/>
    <w:rsid w:val="00C66817"/>
    <w:rsid w:val="00C706A7"/>
    <w:rsid w:val="00C71823"/>
    <w:rsid w:val="00C72188"/>
    <w:rsid w:val="00C730E4"/>
    <w:rsid w:val="00C73A9F"/>
    <w:rsid w:val="00C75017"/>
    <w:rsid w:val="00C75627"/>
    <w:rsid w:val="00C76085"/>
    <w:rsid w:val="00C81719"/>
    <w:rsid w:val="00C81FAC"/>
    <w:rsid w:val="00C82660"/>
    <w:rsid w:val="00C82B33"/>
    <w:rsid w:val="00C83ACA"/>
    <w:rsid w:val="00C865B9"/>
    <w:rsid w:val="00C8683A"/>
    <w:rsid w:val="00C90DB2"/>
    <w:rsid w:val="00C91FF6"/>
    <w:rsid w:val="00CA3007"/>
    <w:rsid w:val="00CA326A"/>
    <w:rsid w:val="00CA339B"/>
    <w:rsid w:val="00CA4E32"/>
    <w:rsid w:val="00CA6206"/>
    <w:rsid w:val="00CA7470"/>
    <w:rsid w:val="00CA7FF8"/>
    <w:rsid w:val="00CB17F6"/>
    <w:rsid w:val="00CB3DB7"/>
    <w:rsid w:val="00CB44CA"/>
    <w:rsid w:val="00CC1020"/>
    <w:rsid w:val="00CC409F"/>
    <w:rsid w:val="00CC5E2A"/>
    <w:rsid w:val="00CC62B0"/>
    <w:rsid w:val="00CD0F02"/>
    <w:rsid w:val="00CD1675"/>
    <w:rsid w:val="00CD18AC"/>
    <w:rsid w:val="00CD23C5"/>
    <w:rsid w:val="00CD3210"/>
    <w:rsid w:val="00CD4120"/>
    <w:rsid w:val="00CD5167"/>
    <w:rsid w:val="00CE016C"/>
    <w:rsid w:val="00CE6200"/>
    <w:rsid w:val="00CE6618"/>
    <w:rsid w:val="00CE6C75"/>
    <w:rsid w:val="00CF0623"/>
    <w:rsid w:val="00CF1E63"/>
    <w:rsid w:val="00CF1FDE"/>
    <w:rsid w:val="00CF22E8"/>
    <w:rsid w:val="00CF2EC8"/>
    <w:rsid w:val="00CF4914"/>
    <w:rsid w:val="00CF6268"/>
    <w:rsid w:val="00CF7C30"/>
    <w:rsid w:val="00D00131"/>
    <w:rsid w:val="00D007AD"/>
    <w:rsid w:val="00D01AFF"/>
    <w:rsid w:val="00D031A7"/>
    <w:rsid w:val="00D03362"/>
    <w:rsid w:val="00D03570"/>
    <w:rsid w:val="00D07FDD"/>
    <w:rsid w:val="00D118D5"/>
    <w:rsid w:val="00D12A77"/>
    <w:rsid w:val="00D12D6B"/>
    <w:rsid w:val="00D145B0"/>
    <w:rsid w:val="00D1578E"/>
    <w:rsid w:val="00D15F0D"/>
    <w:rsid w:val="00D168EA"/>
    <w:rsid w:val="00D22340"/>
    <w:rsid w:val="00D25C6F"/>
    <w:rsid w:val="00D27860"/>
    <w:rsid w:val="00D27B1E"/>
    <w:rsid w:val="00D32276"/>
    <w:rsid w:val="00D32CAA"/>
    <w:rsid w:val="00D34F4A"/>
    <w:rsid w:val="00D35A51"/>
    <w:rsid w:val="00D35D67"/>
    <w:rsid w:val="00D429C2"/>
    <w:rsid w:val="00D46246"/>
    <w:rsid w:val="00D46EF5"/>
    <w:rsid w:val="00D50A40"/>
    <w:rsid w:val="00D50E73"/>
    <w:rsid w:val="00D5161E"/>
    <w:rsid w:val="00D53535"/>
    <w:rsid w:val="00D55C01"/>
    <w:rsid w:val="00D57525"/>
    <w:rsid w:val="00D60CF0"/>
    <w:rsid w:val="00D62523"/>
    <w:rsid w:val="00D664E1"/>
    <w:rsid w:val="00D66A43"/>
    <w:rsid w:val="00D66E4F"/>
    <w:rsid w:val="00D674F4"/>
    <w:rsid w:val="00D70DDA"/>
    <w:rsid w:val="00D75EB1"/>
    <w:rsid w:val="00D8026E"/>
    <w:rsid w:val="00D82E88"/>
    <w:rsid w:val="00D85435"/>
    <w:rsid w:val="00D868B4"/>
    <w:rsid w:val="00D916D3"/>
    <w:rsid w:val="00D93556"/>
    <w:rsid w:val="00D95511"/>
    <w:rsid w:val="00D95C07"/>
    <w:rsid w:val="00D97B3F"/>
    <w:rsid w:val="00D97CEE"/>
    <w:rsid w:val="00DA275F"/>
    <w:rsid w:val="00DB3175"/>
    <w:rsid w:val="00DB3328"/>
    <w:rsid w:val="00DB3E08"/>
    <w:rsid w:val="00DB4515"/>
    <w:rsid w:val="00DB6598"/>
    <w:rsid w:val="00DB7096"/>
    <w:rsid w:val="00DC01C8"/>
    <w:rsid w:val="00DC31D9"/>
    <w:rsid w:val="00DD1DCB"/>
    <w:rsid w:val="00DD220E"/>
    <w:rsid w:val="00DD300C"/>
    <w:rsid w:val="00DD4A5C"/>
    <w:rsid w:val="00DD56FB"/>
    <w:rsid w:val="00DE7BB4"/>
    <w:rsid w:val="00DF194E"/>
    <w:rsid w:val="00DF21C5"/>
    <w:rsid w:val="00DF40C2"/>
    <w:rsid w:val="00DF4B89"/>
    <w:rsid w:val="00DF7C85"/>
    <w:rsid w:val="00E00D29"/>
    <w:rsid w:val="00E01AC1"/>
    <w:rsid w:val="00E03C09"/>
    <w:rsid w:val="00E03FB9"/>
    <w:rsid w:val="00E049B5"/>
    <w:rsid w:val="00E05A61"/>
    <w:rsid w:val="00E07762"/>
    <w:rsid w:val="00E10223"/>
    <w:rsid w:val="00E12086"/>
    <w:rsid w:val="00E16232"/>
    <w:rsid w:val="00E163A3"/>
    <w:rsid w:val="00E16ED0"/>
    <w:rsid w:val="00E208AD"/>
    <w:rsid w:val="00E21CDE"/>
    <w:rsid w:val="00E22325"/>
    <w:rsid w:val="00E22346"/>
    <w:rsid w:val="00E30EDD"/>
    <w:rsid w:val="00E31E13"/>
    <w:rsid w:val="00E3280D"/>
    <w:rsid w:val="00E32F8F"/>
    <w:rsid w:val="00E33568"/>
    <w:rsid w:val="00E35D61"/>
    <w:rsid w:val="00E362C3"/>
    <w:rsid w:val="00E379CD"/>
    <w:rsid w:val="00E37DB0"/>
    <w:rsid w:val="00E4360A"/>
    <w:rsid w:val="00E4362B"/>
    <w:rsid w:val="00E4479C"/>
    <w:rsid w:val="00E447F4"/>
    <w:rsid w:val="00E44912"/>
    <w:rsid w:val="00E4535F"/>
    <w:rsid w:val="00E458BB"/>
    <w:rsid w:val="00E46674"/>
    <w:rsid w:val="00E5091F"/>
    <w:rsid w:val="00E50FF0"/>
    <w:rsid w:val="00E53AFB"/>
    <w:rsid w:val="00E570F3"/>
    <w:rsid w:val="00E57BDB"/>
    <w:rsid w:val="00E61490"/>
    <w:rsid w:val="00E61721"/>
    <w:rsid w:val="00E65163"/>
    <w:rsid w:val="00E66968"/>
    <w:rsid w:val="00E676D6"/>
    <w:rsid w:val="00E7080F"/>
    <w:rsid w:val="00E70F22"/>
    <w:rsid w:val="00E738FB"/>
    <w:rsid w:val="00E74F52"/>
    <w:rsid w:val="00E762CE"/>
    <w:rsid w:val="00E80DEE"/>
    <w:rsid w:val="00E82682"/>
    <w:rsid w:val="00E82B7D"/>
    <w:rsid w:val="00E85359"/>
    <w:rsid w:val="00E87CB1"/>
    <w:rsid w:val="00E9332E"/>
    <w:rsid w:val="00E964C8"/>
    <w:rsid w:val="00EA03DE"/>
    <w:rsid w:val="00EA1C6E"/>
    <w:rsid w:val="00EA3FB3"/>
    <w:rsid w:val="00EA4217"/>
    <w:rsid w:val="00EB19C4"/>
    <w:rsid w:val="00EB2732"/>
    <w:rsid w:val="00EB3C2F"/>
    <w:rsid w:val="00EB3F9A"/>
    <w:rsid w:val="00EB4E9A"/>
    <w:rsid w:val="00EC0EDB"/>
    <w:rsid w:val="00EC1C76"/>
    <w:rsid w:val="00EC4E05"/>
    <w:rsid w:val="00EC6475"/>
    <w:rsid w:val="00EC65A4"/>
    <w:rsid w:val="00ED09A4"/>
    <w:rsid w:val="00ED10DF"/>
    <w:rsid w:val="00EE14CD"/>
    <w:rsid w:val="00EE3231"/>
    <w:rsid w:val="00EE3E71"/>
    <w:rsid w:val="00EE4D5A"/>
    <w:rsid w:val="00EE654E"/>
    <w:rsid w:val="00EE6AE8"/>
    <w:rsid w:val="00EE6E91"/>
    <w:rsid w:val="00EF0AEE"/>
    <w:rsid w:val="00EF2ADD"/>
    <w:rsid w:val="00EF37D7"/>
    <w:rsid w:val="00EF42F8"/>
    <w:rsid w:val="00EF4C19"/>
    <w:rsid w:val="00EF799A"/>
    <w:rsid w:val="00EF7E5E"/>
    <w:rsid w:val="00F032AA"/>
    <w:rsid w:val="00F040D1"/>
    <w:rsid w:val="00F07BA6"/>
    <w:rsid w:val="00F2247F"/>
    <w:rsid w:val="00F2409D"/>
    <w:rsid w:val="00F27C95"/>
    <w:rsid w:val="00F33F03"/>
    <w:rsid w:val="00F344FB"/>
    <w:rsid w:val="00F354C6"/>
    <w:rsid w:val="00F35FD1"/>
    <w:rsid w:val="00F43DA7"/>
    <w:rsid w:val="00F4786F"/>
    <w:rsid w:val="00F521CC"/>
    <w:rsid w:val="00F52790"/>
    <w:rsid w:val="00F5577F"/>
    <w:rsid w:val="00F56FF8"/>
    <w:rsid w:val="00F63DE1"/>
    <w:rsid w:val="00F644E5"/>
    <w:rsid w:val="00F6486E"/>
    <w:rsid w:val="00F65C47"/>
    <w:rsid w:val="00F66C41"/>
    <w:rsid w:val="00F672C4"/>
    <w:rsid w:val="00F70301"/>
    <w:rsid w:val="00F716A9"/>
    <w:rsid w:val="00F82820"/>
    <w:rsid w:val="00F83157"/>
    <w:rsid w:val="00F83F39"/>
    <w:rsid w:val="00F907F5"/>
    <w:rsid w:val="00F925C1"/>
    <w:rsid w:val="00F92745"/>
    <w:rsid w:val="00F93DC9"/>
    <w:rsid w:val="00F95712"/>
    <w:rsid w:val="00F9761D"/>
    <w:rsid w:val="00FA1F98"/>
    <w:rsid w:val="00FA5546"/>
    <w:rsid w:val="00FB09A9"/>
    <w:rsid w:val="00FB6716"/>
    <w:rsid w:val="00FB7DCE"/>
    <w:rsid w:val="00FB7E41"/>
    <w:rsid w:val="00FC01E9"/>
    <w:rsid w:val="00FC053D"/>
    <w:rsid w:val="00FC2777"/>
    <w:rsid w:val="00FC5495"/>
    <w:rsid w:val="00FC67F2"/>
    <w:rsid w:val="00FC7E57"/>
    <w:rsid w:val="00FD139A"/>
    <w:rsid w:val="00FD43D8"/>
    <w:rsid w:val="00FD505C"/>
    <w:rsid w:val="00FD5D4A"/>
    <w:rsid w:val="00FE088F"/>
    <w:rsid w:val="00FE75D3"/>
    <w:rsid w:val="00FE7773"/>
    <w:rsid w:val="00FF1584"/>
    <w:rsid w:val="00FF51A5"/>
    <w:rsid w:val="00FF5503"/>
    <w:rsid w:val="00FF595E"/>
    <w:rsid w:val="00FF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2C16"/>
  <w15:docId w15:val="{2EABFDC8-B690-4CEC-9680-892446C7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1E6"/>
    <w:rPr>
      <w:color w:val="0563C1" w:themeColor="hyperlink"/>
      <w:u w:val="single"/>
    </w:rPr>
  </w:style>
  <w:style w:type="table" w:styleId="TableGrid">
    <w:name w:val="Table Grid"/>
    <w:basedOn w:val="TableNormal"/>
    <w:uiPriority w:val="39"/>
    <w:rsid w:val="00F6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5BC"/>
  </w:style>
  <w:style w:type="paragraph" w:styleId="Footer">
    <w:name w:val="footer"/>
    <w:basedOn w:val="Normal"/>
    <w:link w:val="FooterChar"/>
    <w:uiPriority w:val="99"/>
    <w:unhideWhenUsed/>
    <w:rsid w:val="000B5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5BC"/>
  </w:style>
  <w:style w:type="paragraph" w:customStyle="1" w:styleId="House1">
    <w:name w:val="House 1"/>
    <w:basedOn w:val="Normal"/>
    <w:rsid w:val="002627CE"/>
    <w:pPr>
      <w:numPr>
        <w:numId w:val="1"/>
      </w:numPr>
      <w:spacing w:after="240" w:line="240" w:lineRule="auto"/>
      <w:jc w:val="both"/>
    </w:pPr>
    <w:rPr>
      <w:rFonts w:eastAsia="Times New Roman" w:cs="Times New Roman"/>
      <w:szCs w:val="20"/>
    </w:rPr>
  </w:style>
  <w:style w:type="paragraph" w:customStyle="1" w:styleId="House2">
    <w:name w:val="House 2"/>
    <w:basedOn w:val="Normal"/>
    <w:rsid w:val="002627CE"/>
    <w:pPr>
      <w:numPr>
        <w:ilvl w:val="1"/>
        <w:numId w:val="1"/>
      </w:numPr>
      <w:spacing w:after="240" w:line="240" w:lineRule="auto"/>
      <w:jc w:val="both"/>
    </w:pPr>
    <w:rPr>
      <w:rFonts w:eastAsia="Times New Roman" w:cs="Times New Roman"/>
      <w:szCs w:val="20"/>
    </w:rPr>
  </w:style>
  <w:style w:type="paragraph" w:customStyle="1" w:styleId="House3">
    <w:name w:val="House 3"/>
    <w:basedOn w:val="Normal"/>
    <w:rsid w:val="002627CE"/>
    <w:pPr>
      <w:numPr>
        <w:ilvl w:val="2"/>
        <w:numId w:val="1"/>
      </w:numPr>
      <w:spacing w:after="240" w:line="240" w:lineRule="auto"/>
      <w:jc w:val="both"/>
    </w:pPr>
    <w:rPr>
      <w:rFonts w:eastAsia="Times New Roman" w:cs="Times New Roman"/>
      <w:szCs w:val="20"/>
    </w:rPr>
  </w:style>
  <w:style w:type="paragraph" w:customStyle="1" w:styleId="House4">
    <w:name w:val="House 4"/>
    <w:basedOn w:val="Normal"/>
    <w:rsid w:val="002627CE"/>
    <w:pPr>
      <w:numPr>
        <w:ilvl w:val="3"/>
        <w:numId w:val="1"/>
      </w:numPr>
      <w:spacing w:after="240" w:line="240" w:lineRule="auto"/>
      <w:jc w:val="both"/>
    </w:pPr>
    <w:rPr>
      <w:rFonts w:eastAsia="Times New Roman" w:cs="Times New Roman"/>
      <w:szCs w:val="20"/>
    </w:rPr>
  </w:style>
  <w:style w:type="paragraph" w:customStyle="1" w:styleId="House5">
    <w:name w:val="House 5"/>
    <w:basedOn w:val="Normal"/>
    <w:rsid w:val="002627CE"/>
    <w:pPr>
      <w:numPr>
        <w:ilvl w:val="4"/>
        <w:numId w:val="1"/>
      </w:numPr>
      <w:spacing w:after="240" w:line="240" w:lineRule="auto"/>
      <w:jc w:val="both"/>
    </w:pPr>
    <w:rPr>
      <w:rFonts w:eastAsia="Times New Roman" w:cs="Times New Roman"/>
      <w:szCs w:val="20"/>
    </w:rPr>
  </w:style>
  <w:style w:type="paragraph" w:customStyle="1" w:styleId="House6">
    <w:name w:val="House 6"/>
    <w:basedOn w:val="Normal"/>
    <w:rsid w:val="002627CE"/>
    <w:pPr>
      <w:numPr>
        <w:ilvl w:val="5"/>
        <w:numId w:val="1"/>
      </w:numPr>
      <w:spacing w:after="240" w:line="240" w:lineRule="auto"/>
      <w:jc w:val="both"/>
    </w:pPr>
    <w:rPr>
      <w:rFonts w:eastAsia="Times New Roman" w:cs="Times New Roman"/>
      <w:szCs w:val="20"/>
    </w:rPr>
  </w:style>
  <w:style w:type="paragraph" w:customStyle="1" w:styleId="House7">
    <w:name w:val="House 7"/>
    <w:basedOn w:val="Normal"/>
    <w:rsid w:val="002627CE"/>
    <w:pPr>
      <w:numPr>
        <w:ilvl w:val="6"/>
        <w:numId w:val="1"/>
      </w:numPr>
      <w:spacing w:after="240" w:line="240" w:lineRule="auto"/>
      <w:jc w:val="both"/>
    </w:pPr>
    <w:rPr>
      <w:rFonts w:eastAsia="Times New Roman" w:cs="Times New Roman"/>
      <w:szCs w:val="20"/>
    </w:rPr>
  </w:style>
  <w:style w:type="paragraph" w:customStyle="1" w:styleId="House8">
    <w:name w:val="House 8"/>
    <w:basedOn w:val="Normal"/>
    <w:rsid w:val="002627CE"/>
    <w:pPr>
      <w:numPr>
        <w:ilvl w:val="7"/>
        <w:numId w:val="1"/>
      </w:numPr>
      <w:spacing w:after="240" w:line="24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B77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FDM GROUP</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Proteus Solutions</dc:creator>
  <cp:lastModifiedBy>Mark Heather</cp:lastModifiedBy>
  <cp:revision>3</cp:revision>
  <dcterms:created xsi:type="dcterms:W3CDTF">2020-06-15T16:51:00Z</dcterms:created>
  <dcterms:modified xsi:type="dcterms:W3CDTF">2020-06-15T16:51:00Z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UKMATTERS:34400660.2</vt:lpwstr>
  </property>
</Properties>
</file>