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35" w:rsidRPr="00E41DB0" w:rsidRDefault="00235147" w:rsidP="00636FDC">
      <w:pPr>
        <w:tabs>
          <w:tab w:val="num" w:pos="1440"/>
        </w:tabs>
        <w:ind w:left="1440" w:hanging="1440"/>
        <w:jc w:val="center"/>
        <w:rPr>
          <w:rFonts w:ascii="Arial" w:hAnsi="Arial" w:cs="Arial"/>
          <w:b/>
          <w:sz w:val="22"/>
          <w:szCs w:val="22"/>
        </w:rPr>
      </w:pPr>
      <w:r w:rsidRPr="00E41DB0">
        <w:rPr>
          <w:rFonts w:ascii="Arial" w:hAnsi="Arial" w:cs="Arial"/>
          <w:b/>
          <w:sz w:val="22"/>
          <w:szCs w:val="22"/>
        </w:rPr>
        <w:t>IBSTOCK</w:t>
      </w:r>
      <w:r w:rsidR="00D70335" w:rsidRPr="00E41DB0">
        <w:rPr>
          <w:rFonts w:ascii="Arial" w:hAnsi="Arial" w:cs="Arial"/>
          <w:b/>
          <w:sz w:val="22"/>
          <w:szCs w:val="22"/>
        </w:rPr>
        <w:t xml:space="preserve"> PLC</w:t>
      </w:r>
    </w:p>
    <w:p w:rsidR="00636FDC" w:rsidRPr="00E41DB0" w:rsidRDefault="00636FDC" w:rsidP="00636FDC">
      <w:pPr>
        <w:tabs>
          <w:tab w:val="num" w:pos="1440"/>
        </w:tabs>
        <w:ind w:left="1440" w:hanging="1440"/>
        <w:jc w:val="center"/>
        <w:rPr>
          <w:rFonts w:ascii="Arial" w:hAnsi="Arial" w:cs="Arial"/>
          <w:b/>
          <w:sz w:val="22"/>
          <w:szCs w:val="22"/>
        </w:rPr>
      </w:pPr>
    </w:p>
    <w:p w:rsidR="00235147" w:rsidRPr="00E41DB0" w:rsidRDefault="00235147" w:rsidP="00636FDC">
      <w:pPr>
        <w:tabs>
          <w:tab w:val="num" w:pos="1440"/>
        </w:tabs>
        <w:ind w:left="1440" w:hanging="1440"/>
        <w:jc w:val="center"/>
        <w:rPr>
          <w:rFonts w:ascii="Arial" w:hAnsi="Arial" w:cs="Arial"/>
          <w:b/>
          <w:sz w:val="22"/>
          <w:szCs w:val="22"/>
        </w:rPr>
      </w:pPr>
      <w:r w:rsidRPr="00E41DB0">
        <w:rPr>
          <w:rFonts w:ascii="Arial" w:hAnsi="Arial" w:cs="Arial"/>
          <w:b/>
          <w:sz w:val="22"/>
          <w:szCs w:val="22"/>
        </w:rPr>
        <w:t>(the “Company”)</w:t>
      </w:r>
    </w:p>
    <w:p w:rsidR="00636FDC" w:rsidRPr="00E41DB0" w:rsidRDefault="00636FDC" w:rsidP="00636FDC">
      <w:pPr>
        <w:tabs>
          <w:tab w:val="num" w:pos="1440"/>
        </w:tabs>
        <w:ind w:left="1440" w:hanging="1440"/>
        <w:jc w:val="center"/>
        <w:rPr>
          <w:rFonts w:ascii="Arial" w:hAnsi="Arial" w:cs="Arial"/>
          <w:b/>
          <w:sz w:val="22"/>
          <w:szCs w:val="22"/>
        </w:rPr>
      </w:pPr>
    </w:p>
    <w:p w:rsidR="00D70335" w:rsidRPr="00E41DB0" w:rsidRDefault="00D70335" w:rsidP="00636FDC">
      <w:pPr>
        <w:tabs>
          <w:tab w:val="num" w:pos="1440"/>
        </w:tabs>
        <w:ind w:left="1440" w:hanging="1440"/>
        <w:jc w:val="center"/>
        <w:rPr>
          <w:rFonts w:ascii="Arial" w:hAnsi="Arial" w:cs="Arial"/>
          <w:sz w:val="22"/>
          <w:szCs w:val="22"/>
        </w:rPr>
      </w:pPr>
      <w:r w:rsidRPr="00E41DB0">
        <w:rPr>
          <w:rFonts w:ascii="Arial" w:hAnsi="Arial" w:cs="Arial"/>
          <w:sz w:val="22"/>
          <w:szCs w:val="22"/>
        </w:rPr>
        <w:t xml:space="preserve">Company Number </w:t>
      </w:r>
      <w:r w:rsidR="00F150BB" w:rsidRPr="00E41DB0">
        <w:rPr>
          <w:rFonts w:ascii="Arial" w:hAnsi="Arial" w:cs="Arial"/>
          <w:sz w:val="22"/>
          <w:szCs w:val="22"/>
        </w:rPr>
        <w:t>09760850</w:t>
      </w:r>
    </w:p>
    <w:p w:rsidR="00D70335" w:rsidRPr="00E41DB0" w:rsidRDefault="00D70335" w:rsidP="00636FDC">
      <w:pPr>
        <w:pBdr>
          <w:bottom w:val="single" w:sz="4" w:space="1" w:color="auto"/>
        </w:pBdr>
        <w:tabs>
          <w:tab w:val="num" w:pos="1440"/>
        </w:tabs>
        <w:ind w:left="1440" w:hanging="1440"/>
        <w:jc w:val="both"/>
        <w:rPr>
          <w:rFonts w:ascii="Arial" w:hAnsi="Arial" w:cs="Arial"/>
          <w:sz w:val="22"/>
          <w:szCs w:val="22"/>
        </w:rPr>
      </w:pPr>
    </w:p>
    <w:p w:rsidR="00217DFC" w:rsidRPr="00E41DB0" w:rsidRDefault="00217DFC" w:rsidP="00217DFC">
      <w:pPr>
        <w:pBdr>
          <w:bottom w:val="single" w:sz="4" w:space="1" w:color="auto"/>
        </w:pBdr>
        <w:tabs>
          <w:tab w:val="num" w:pos="1440"/>
        </w:tabs>
        <w:ind w:left="1440" w:hanging="1440"/>
        <w:jc w:val="center"/>
        <w:rPr>
          <w:rFonts w:ascii="Arial" w:hAnsi="Arial" w:cs="Arial"/>
          <w:b/>
          <w:sz w:val="22"/>
          <w:szCs w:val="22"/>
        </w:rPr>
      </w:pPr>
      <w:r w:rsidRPr="00E41DB0">
        <w:rPr>
          <w:rFonts w:ascii="Arial" w:hAnsi="Arial" w:cs="Arial"/>
          <w:b/>
          <w:sz w:val="22"/>
          <w:szCs w:val="22"/>
        </w:rPr>
        <w:t>Special Business conducted at the Annual General Meeting</w:t>
      </w:r>
    </w:p>
    <w:p w:rsidR="00217DFC" w:rsidRPr="00E41DB0" w:rsidRDefault="00217DFC" w:rsidP="00636FDC">
      <w:pPr>
        <w:pBdr>
          <w:bottom w:val="single" w:sz="4" w:space="1" w:color="auto"/>
        </w:pBdr>
        <w:tabs>
          <w:tab w:val="num" w:pos="1440"/>
        </w:tabs>
        <w:ind w:left="1440" w:hanging="1440"/>
        <w:jc w:val="both"/>
        <w:rPr>
          <w:rFonts w:ascii="Arial" w:hAnsi="Arial" w:cs="Arial"/>
          <w:sz w:val="22"/>
          <w:szCs w:val="22"/>
        </w:rPr>
      </w:pPr>
    </w:p>
    <w:p w:rsidR="00235147" w:rsidRPr="00E41DB0" w:rsidRDefault="00235147" w:rsidP="00636FDC">
      <w:pPr>
        <w:tabs>
          <w:tab w:val="num" w:pos="0"/>
        </w:tabs>
        <w:jc w:val="both"/>
        <w:rPr>
          <w:rFonts w:ascii="Arial" w:hAnsi="Arial" w:cs="Arial"/>
          <w:sz w:val="22"/>
          <w:szCs w:val="22"/>
        </w:rPr>
      </w:pPr>
    </w:p>
    <w:p w:rsidR="00235147" w:rsidRPr="00E41DB0" w:rsidRDefault="00235147" w:rsidP="00636FDC">
      <w:pPr>
        <w:tabs>
          <w:tab w:val="num" w:pos="0"/>
        </w:tabs>
        <w:jc w:val="center"/>
        <w:rPr>
          <w:rFonts w:ascii="Arial" w:hAnsi="Arial" w:cs="Arial"/>
          <w:b/>
          <w:sz w:val="22"/>
          <w:szCs w:val="22"/>
        </w:rPr>
      </w:pPr>
      <w:r w:rsidRPr="00E41DB0">
        <w:rPr>
          <w:rFonts w:ascii="Arial" w:hAnsi="Arial" w:cs="Arial"/>
          <w:b/>
          <w:sz w:val="22"/>
          <w:szCs w:val="22"/>
        </w:rPr>
        <w:t>RESOLUTIONS</w:t>
      </w:r>
    </w:p>
    <w:p w:rsidR="00235147" w:rsidRPr="00E41DB0" w:rsidRDefault="00235147" w:rsidP="00636FDC">
      <w:pPr>
        <w:pBdr>
          <w:bottom w:val="single" w:sz="4" w:space="1" w:color="auto"/>
        </w:pBdr>
        <w:tabs>
          <w:tab w:val="num" w:pos="0"/>
        </w:tabs>
        <w:jc w:val="both"/>
        <w:rPr>
          <w:rFonts w:ascii="Arial" w:hAnsi="Arial" w:cs="Arial"/>
          <w:sz w:val="22"/>
          <w:szCs w:val="22"/>
          <w:u w:val="single"/>
        </w:rPr>
      </w:pPr>
    </w:p>
    <w:p w:rsidR="00235147" w:rsidRPr="00E41DB0" w:rsidRDefault="00235147" w:rsidP="00636FDC">
      <w:pPr>
        <w:tabs>
          <w:tab w:val="num" w:pos="0"/>
        </w:tabs>
        <w:jc w:val="both"/>
        <w:rPr>
          <w:rFonts w:ascii="Arial" w:hAnsi="Arial" w:cs="Arial"/>
          <w:sz w:val="22"/>
          <w:szCs w:val="22"/>
        </w:rPr>
      </w:pPr>
    </w:p>
    <w:p w:rsidR="00520FA3" w:rsidRDefault="00D70335" w:rsidP="00636FDC">
      <w:pPr>
        <w:tabs>
          <w:tab w:val="num" w:pos="0"/>
        </w:tabs>
        <w:jc w:val="center"/>
        <w:rPr>
          <w:rFonts w:ascii="Arial" w:hAnsi="Arial" w:cs="Arial"/>
          <w:b/>
          <w:sz w:val="22"/>
          <w:szCs w:val="22"/>
        </w:rPr>
      </w:pPr>
      <w:r w:rsidRPr="00E41DB0">
        <w:rPr>
          <w:rFonts w:ascii="Arial" w:hAnsi="Arial" w:cs="Arial"/>
          <w:b/>
          <w:sz w:val="22"/>
          <w:szCs w:val="22"/>
        </w:rPr>
        <w:t>At the Annual General Meeting of the Com</w:t>
      </w:r>
      <w:r w:rsidR="002F724F" w:rsidRPr="00E41DB0">
        <w:rPr>
          <w:rFonts w:ascii="Arial" w:hAnsi="Arial" w:cs="Arial"/>
          <w:b/>
          <w:sz w:val="22"/>
          <w:szCs w:val="22"/>
        </w:rPr>
        <w:t>pany, duly convened and held at</w:t>
      </w:r>
      <w:r w:rsidR="00235147" w:rsidRPr="00E41DB0">
        <w:rPr>
          <w:rFonts w:ascii="Arial" w:hAnsi="Arial" w:cs="Arial"/>
          <w:b/>
          <w:sz w:val="22"/>
          <w:szCs w:val="22"/>
        </w:rPr>
        <w:t xml:space="preserve"> </w:t>
      </w:r>
      <w:r w:rsidR="00E41DB0">
        <w:rPr>
          <w:rFonts w:ascii="Arial" w:hAnsi="Arial" w:cs="Arial"/>
          <w:b/>
          <w:sz w:val="22"/>
          <w:szCs w:val="22"/>
        </w:rPr>
        <w:t xml:space="preserve">the </w:t>
      </w:r>
    </w:p>
    <w:p w:rsidR="009E4AB9" w:rsidRPr="00E41DB0" w:rsidRDefault="00520FA3" w:rsidP="00636FDC">
      <w:pPr>
        <w:tabs>
          <w:tab w:val="num" w:pos="0"/>
        </w:tabs>
        <w:jc w:val="center"/>
        <w:rPr>
          <w:rFonts w:ascii="Arial" w:hAnsi="Arial" w:cs="Arial"/>
          <w:b/>
          <w:sz w:val="22"/>
          <w:szCs w:val="22"/>
        </w:rPr>
      </w:pPr>
      <w:r>
        <w:rPr>
          <w:rFonts w:ascii="Arial" w:hAnsi="Arial" w:cs="Arial"/>
          <w:b/>
          <w:sz w:val="22"/>
          <w:szCs w:val="22"/>
        </w:rPr>
        <w:t>o</w:t>
      </w:r>
      <w:r w:rsidRPr="00520FA3">
        <w:rPr>
          <w:rFonts w:ascii="Arial" w:hAnsi="Arial" w:cs="Arial"/>
          <w:b/>
          <w:sz w:val="22"/>
          <w:szCs w:val="22"/>
        </w:rPr>
        <w:t xml:space="preserve">ffices of Ibstock plc, 54 Hatton Garden, London, EC1N 8HN </w:t>
      </w:r>
      <w:r w:rsidR="009E4AB9" w:rsidRPr="00E41DB0">
        <w:rPr>
          <w:rFonts w:ascii="Arial" w:hAnsi="Arial" w:cs="Arial"/>
          <w:b/>
          <w:sz w:val="22"/>
          <w:szCs w:val="22"/>
        </w:rPr>
        <w:t xml:space="preserve">on </w:t>
      </w:r>
    </w:p>
    <w:p w:rsidR="00235147" w:rsidRPr="00E41DB0" w:rsidRDefault="00EA475E" w:rsidP="00636FDC">
      <w:pPr>
        <w:tabs>
          <w:tab w:val="num" w:pos="0"/>
        </w:tabs>
        <w:jc w:val="center"/>
        <w:rPr>
          <w:rFonts w:ascii="Arial" w:hAnsi="Arial" w:cs="Arial"/>
          <w:sz w:val="22"/>
          <w:szCs w:val="22"/>
        </w:rPr>
      </w:pPr>
      <w:r>
        <w:rPr>
          <w:rFonts w:ascii="Arial" w:hAnsi="Arial" w:cs="Arial"/>
          <w:b/>
          <w:sz w:val="22"/>
          <w:szCs w:val="22"/>
        </w:rPr>
        <w:t>Thursday 21</w:t>
      </w:r>
      <w:r w:rsidRPr="00EA475E">
        <w:rPr>
          <w:rFonts w:ascii="Arial" w:hAnsi="Arial" w:cs="Arial"/>
          <w:b/>
          <w:sz w:val="22"/>
          <w:szCs w:val="22"/>
          <w:vertAlign w:val="superscript"/>
        </w:rPr>
        <w:t>st</w:t>
      </w:r>
      <w:r>
        <w:rPr>
          <w:rFonts w:ascii="Arial" w:hAnsi="Arial" w:cs="Arial"/>
          <w:b/>
          <w:sz w:val="22"/>
          <w:szCs w:val="22"/>
        </w:rPr>
        <w:t xml:space="preserve"> April 2022</w:t>
      </w:r>
    </w:p>
    <w:p w:rsidR="00636FDC" w:rsidRPr="00E41DB0" w:rsidRDefault="00636FDC" w:rsidP="00636FDC">
      <w:pPr>
        <w:tabs>
          <w:tab w:val="num" w:pos="0"/>
        </w:tabs>
        <w:jc w:val="center"/>
        <w:rPr>
          <w:rFonts w:ascii="Arial" w:hAnsi="Arial" w:cs="Arial"/>
          <w:sz w:val="22"/>
          <w:szCs w:val="22"/>
        </w:rPr>
      </w:pPr>
    </w:p>
    <w:p w:rsidR="00D70335" w:rsidRPr="00E41DB0" w:rsidRDefault="002F724F" w:rsidP="00636FDC">
      <w:pPr>
        <w:tabs>
          <w:tab w:val="num" w:pos="0"/>
        </w:tabs>
        <w:jc w:val="both"/>
        <w:rPr>
          <w:rFonts w:ascii="Arial" w:hAnsi="Arial" w:cs="Arial"/>
          <w:b/>
          <w:sz w:val="22"/>
          <w:szCs w:val="22"/>
        </w:rPr>
      </w:pPr>
      <w:r w:rsidRPr="00E41DB0">
        <w:rPr>
          <w:rFonts w:ascii="Arial" w:hAnsi="Arial" w:cs="Arial"/>
          <w:b/>
          <w:sz w:val="22"/>
          <w:szCs w:val="22"/>
        </w:rPr>
        <w:t xml:space="preserve">THE FOLLOWING RESOLUTIONS WERE DULY PASSED AS ORDINARY RESOLUTIONS: </w:t>
      </w:r>
    </w:p>
    <w:p w:rsidR="00520FA3" w:rsidRDefault="00520FA3" w:rsidP="00520FA3">
      <w:pPr>
        <w:pStyle w:val="Pa1"/>
        <w:jc w:val="both"/>
        <w:rPr>
          <w:rFonts w:ascii="Arial" w:hAnsi="Arial" w:cs="Arial"/>
          <w:b/>
          <w:color w:val="000000"/>
          <w:sz w:val="22"/>
          <w:szCs w:val="22"/>
        </w:rPr>
      </w:pPr>
    </w:p>
    <w:p w:rsidR="00235147" w:rsidRPr="00E41DB0" w:rsidRDefault="00520FA3" w:rsidP="00520FA3">
      <w:pPr>
        <w:pStyle w:val="Pa1"/>
        <w:jc w:val="both"/>
        <w:rPr>
          <w:rFonts w:ascii="Arial" w:hAnsi="Arial" w:cs="Arial"/>
          <w:b/>
          <w:color w:val="000000"/>
          <w:sz w:val="22"/>
          <w:szCs w:val="22"/>
        </w:rPr>
      </w:pPr>
      <w:r w:rsidRPr="00E41DB0">
        <w:rPr>
          <w:rFonts w:ascii="Arial" w:hAnsi="Arial" w:cs="Arial"/>
          <w:b/>
          <w:color w:val="000000"/>
          <w:sz w:val="22"/>
          <w:szCs w:val="22"/>
        </w:rPr>
        <w:t xml:space="preserve">RESOLUTION </w:t>
      </w:r>
      <w:r w:rsidR="00EA475E">
        <w:rPr>
          <w:rFonts w:ascii="Arial" w:hAnsi="Arial" w:cs="Arial"/>
          <w:b/>
          <w:color w:val="000000"/>
          <w:sz w:val="22"/>
          <w:szCs w:val="22"/>
        </w:rPr>
        <w:t>15</w:t>
      </w:r>
      <w:r w:rsidRPr="00E41DB0">
        <w:rPr>
          <w:rFonts w:ascii="Arial" w:hAnsi="Arial" w:cs="Arial"/>
          <w:b/>
          <w:color w:val="000000"/>
          <w:sz w:val="22"/>
          <w:szCs w:val="22"/>
        </w:rPr>
        <w:t xml:space="preserve">. </w:t>
      </w:r>
      <w:r w:rsidR="00235147" w:rsidRPr="00E41DB0">
        <w:rPr>
          <w:rFonts w:ascii="Arial" w:hAnsi="Arial" w:cs="Arial"/>
          <w:b/>
          <w:color w:val="000000"/>
          <w:sz w:val="22"/>
          <w:szCs w:val="22"/>
        </w:rPr>
        <w:t>Political donations</w:t>
      </w:r>
    </w:p>
    <w:p w:rsidR="009F63A1" w:rsidRPr="00E41DB0" w:rsidRDefault="009F63A1" w:rsidP="009F63A1">
      <w:pPr>
        <w:pStyle w:val="Default"/>
        <w:rPr>
          <w:rFonts w:ascii="Arial" w:hAnsi="Arial" w:cs="Arial"/>
          <w:sz w:val="22"/>
          <w:szCs w:val="22"/>
        </w:rPr>
      </w:pPr>
    </w:p>
    <w:p w:rsidR="009E4AB9" w:rsidRPr="00E41DB0" w:rsidRDefault="007A138E" w:rsidP="009E4AB9">
      <w:pPr>
        <w:pStyle w:val="Default"/>
        <w:jc w:val="both"/>
        <w:rPr>
          <w:rFonts w:ascii="Arial" w:hAnsi="Arial" w:cs="Arial"/>
          <w:sz w:val="22"/>
          <w:szCs w:val="22"/>
        </w:rPr>
      </w:pPr>
      <w:r w:rsidRPr="00E41DB0">
        <w:rPr>
          <w:rFonts w:ascii="Arial" w:hAnsi="Arial" w:cs="Arial"/>
          <w:b/>
          <w:sz w:val="22"/>
          <w:szCs w:val="22"/>
        </w:rPr>
        <w:t>That</w:t>
      </w:r>
      <w:r w:rsidRPr="00E41DB0">
        <w:rPr>
          <w:rFonts w:ascii="Arial" w:hAnsi="Arial" w:cs="Arial"/>
          <w:sz w:val="22"/>
          <w:szCs w:val="22"/>
        </w:rPr>
        <w:t xml:space="preserve"> </w:t>
      </w:r>
      <w:r w:rsidR="009E4AB9" w:rsidRPr="00E41DB0">
        <w:rPr>
          <w:rFonts w:ascii="Arial" w:hAnsi="Arial" w:cs="Arial"/>
          <w:sz w:val="22"/>
          <w:szCs w:val="22"/>
        </w:rPr>
        <w:t>in accordance with section 366 of the Companies Act 2006 the Company and all companies that are subsidiaries of the Company at any time during the period for which this resolution has effect are authorised to:</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make political donations to political parties or independent election candidates, not exceeding £100,000 in total;</w:t>
      </w:r>
    </w:p>
    <w:p w:rsidR="009E4AB9" w:rsidRPr="00E41DB0" w:rsidRDefault="009E4AB9" w:rsidP="009E4AB9">
      <w:pPr>
        <w:pStyle w:val="Default"/>
        <w:jc w:val="both"/>
        <w:rPr>
          <w:rFonts w:ascii="Arial" w:hAnsi="Arial" w:cs="Arial"/>
          <w:sz w:val="22"/>
          <w:szCs w:val="22"/>
        </w:rPr>
      </w:pPr>
      <w:bookmarkStart w:id="0" w:name="_GoBack"/>
      <w:bookmarkEnd w:id="0"/>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make political donations to political organisations other than political parties, not exceeding £100,000 in total; and</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incur political expenditure not exceeding £100,000 in total,</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jc w:val="both"/>
        <w:rPr>
          <w:rFonts w:ascii="Arial" w:hAnsi="Arial" w:cs="Arial"/>
          <w:sz w:val="22"/>
          <w:szCs w:val="22"/>
        </w:rPr>
      </w:pPr>
      <w:r w:rsidRPr="00E41DB0">
        <w:rPr>
          <w:rFonts w:ascii="Arial" w:hAnsi="Arial" w:cs="Arial"/>
          <w:sz w:val="22"/>
          <w:szCs w:val="22"/>
        </w:rPr>
        <w:t>provided that the aggregate amount of any such donations and expenditure shall not exceed £100,000 during the period beginning with the date of the passing of this reso</w:t>
      </w:r>
      <w:r w:rsidR="00EA475E">
        <w:rPr>
          <w:rFonts w:ascii="Arial" w:hAnsi="Arial" w:cs="Arial"/>
          <w:sz w:val="22"/>
          <w:szCs w:val="22"/>
        </w:rPr>
        <w:t>lution and ending on 1 July 2023</w:t>
      </w:r>
      <w:r w:rsidRPr="00E41DB0">
        <w:rPr>
          <w:rFonts w:ascii="Arial" w:hAnsi="Arial" w:cs="Arial"/>
          <w:sz w:val="22"/>
          <w:szCs w:val="22"/>
        </w:rPr>
        <w:t xml:space="preserve"> or, if sooner, the conclusion of the Annual General Meeting o</w:t>
      </w:r>
      <w:r w:rsidR="00520FA3">
        <w:rPr>
          <w:rFonts w:ascii="Arial" w:hAnsi="Arial" w:cs="Arial"/>
          <w:sz w:val="22"/>
          <w:szCs w:val="22"/>
        </w:rPr>
        <w:t>f the Compa</w:t>
      </w:r>
      <w:r w:rsidR="00EA475E">
        <w:rPr>
          <w:rFonts w:ascii="Arial" w:hAnsi="Arial" w:cs="Arial"/>
          <w:sz w:val="22"/>
          <w:szCs w:val="22"/>
        </w:rPr>
        <w:t>ny to be held in 2023</w:t>
      </w:r>
      <w:r w:rsidRPr="00E41DB0">
        <w:rPr>
          <w:rFonts w:ascii="Arial" w:hAnsi="Arial" w:cs="Arial"/>
          <w:sz w:val="22"/>
          <w:szCs w:val="22"/>
        </w:rPr>
        <w:t>.</w:t>
      </w:r>
    </w:p>
    <w:p w:rsidR="009E4AB9" w:rsidRPr="00E41DB0" w:rsidRDefault="009E4AB9" w:rsidP="009E4AB9">
      <w:pPr>
        <w:pStyle w:val="Default"/>
        <w:jc w:val="both"/>
        <w:rPr>
          <w:rFonts w:ascii="Arial" w:hAnsi="Arial" w:cs="Arial"/>
          <w:sz w:val="22"/>
          <w:szCs w:val="22"/>
        </w:rPr>
      </w:pPr>
    </w:p>
    <w:p w:rsidR="00BA21FA" w:rsidRPr="00E41DB0" w:rsidRDefault="009E4AB9" w:rsidP="009E4AB9">
      <w:pPr>
        <w:pStyle w:val="Default"/>
        <w:jc w:val="both"/>
        <w:rPr>
          <w:rFonts w:ascii="Arial" w:hAnsi="Arial" w:cs="Arial"/>
          <w:sz w:val="22"/>
          <w:szCs w:val="22"/>
        </w:rPr>
      </w:pPr>
      <w:r w:rsidRPr="00E41DB0">
        <w:rPr>
          <w:rFonts w:ascii="Arial" w:hAnsi="Arial" w:cs="Arial"/>
          <w:sz w:val="22"/>
          <w:szCs w:val="22"/>
        </w:rPr>
        <w:t>For the purpose of this resolution the terms “political donations”, “political parties”, “independent election candidates”, “political organisations” and “political expenditure” have the meanings set out in sections 363 to 365 of the Companies Act 2006.</w:t>
      </w:r>
    </w:p>
    <w:p w:rsidR="009E4AB9" w:rsidRPr="00E41DB0" w:rsidRDefault="009E4AB9" w:rsidP="009E4AB9">
      <w:pPr>
        <w:pStyle w:val="Default"/>
        <w:jc w:val="both"/>
        <w:rPr>
          <w:rFonts w:ascii="Arial" w:hAnsi="Arial" w:cs="Arial"/>
          <w:sz w:val="22"/>
          <w:szCs w:val="22"/>
        </w:rPr>
      </w:pPr>
    </w:p>
    <w:p w:rsidR="007A138E" w:rsidRPr="00E41DB0" w:rsidRDefault="002F724F" w:rsidP="007A138E">
      <w:pPr>
        <w:pStyle w:val="Pa1"/>
        <w:jc w:val="both"/>
        <w:rPr>
          <w:rFonts w:ascii="Arial" w:hAnsi="Arial" w:cs="Arial"/>
          <w:b/>
          <w:color w:val="000000"/>
          <w:sz w:val="22"/>
          <w:szCs w:val="22"/>
        </w:rPr>
      </w:pPr>
      <w:r w:rsidRPr="00E41DB0">
        <w:rPr>
          <w:rFonts w:ascii="Arial" w:hAnsi="Arial" w:cs="Arial"/>
          <w:b/>
          <w:color w:val="000000"/>
          <w:sz w:val="22"/>
          <w:szCs w:val="22"/>
        </w:rPr>
        <w:t xml:space="preserve">RESOLUTION </w:t>
      </w:r>
      <w:r w:rsidR="00EA475E">
        <w:rPr>
          <w:rFonts w:ascii="Arial" w:hAnsi="Arial" w:cs="Arial"/>
          <w:b/>
          <w:color w:val="000000"/>
          <w:sz w:val="22"/>
          <w:szCs w:val="22"/>
        </w:rPr>
        <w:t>16</w:t>
      </w:r>
      <w:r w:rsidR="00235147" w:rsidRPr="00E41DB0">
        <w:rPr>
          <w:rFonts w:ascii="Arial" w:hAnsi="Arial" w:cs="Arial"/>
          <w:b/>
          <w:color w:val="000000"/>
          <w:sz w:val="22"/>
          <w:szCs w:val="22"/>
        </w:rPr>
        <w:t>. Authority to allot shares</w:t>
      </w:r>
    </w:p>
    <w:p w:rsidR="007A138E" w:rsidRPr="00E41DB0" w:rsidRDefault="007A138E" w:rsidP="007A138E">
      <w:pPr>
        <w:pStyle w:val="Default"/>
        <w:rPr>
          <w:rFonts w:ascii="Arial" w:hAnsi="Arial" w:cs="Arial"/>
          <w:sz w:val="22"/>
          <w:szCs w:val="22"/>
        </w:rPr>
      </w:pPr>
    </w:p>
    <w:p w:rsidR="007A138E" w:rsidRPr="00E41DB0" w:rsidRDefault="007A138E" w:rsidP="007A138E">
      <w:pPr>
        <w:pStyle w:val="Default"/>
        <w:jc w:val="both"/>
        <w:rPr>
          <w:rFonts w:ascii="Arial" w:hAnsi="Arial" w:cs="Arial"/>
          <w:b/>
          <w:sz w:val="22"/>
          <w:szCs w:val="22"/>
        </w:rPr>
      </w:pPr>
      <w:r w:rsidRPr="00E41DB0">
        <w:rPr>
          <w:rFonts w:ascii="Arial" w:hAnsi="Arial" w:cs="Arial"/>
          <w:b/>
          <w:sz w:val="22"/>
          <w:szCs w:val="22"/>
        </w:rPr>
        <w:t>That:</w:t>
      </w:r>
    </w:p>
    <w:p w:rsidR="007A138E" w:rsidRPr="00E41DB0" w:rsidRDefault="007A138E" w:rsidP="007A138E">
      <w:pPr>
        <w:pStyle w:val="Default"/>
        <w:jc w:val="both"/>
        <w:rPr>
          <w:rFonts w:ascii="Arial" w:hAnsi="Arial" w:cs="Arial"/>
          <w:b/>
          <w:sz w:val="22"/>
          <w:szCs w:val="22"/>
        </w:rPr>
      </w:pPr>
    </w:p>
    <w:p w:rsidR="0081600F" w:rsidRPr="00E41DB0" w:rsidRDefault="0081600F" w:rsidP="0081600F">
      <w:pPr>
        <w:pStyle w:val="ListParagraph"/>
        <w:numPr>
          <w:ilvl w:val="0"/>
          <w:numId w:val="25"/>
        </w:numPr>
        <w:rPr>
          <w:rFonts w:ascii="Arial" w:eastAsiaTheme="minorHAnsi" w:hAnsi="Arial" w:cs="Arial"/>
          <w:color w:val="000000"/>
          <w:sz w:val="22"/>
          <w:szCs w:val="22"/>
        </w:rPr>
      </w:pPr>
      <w:r w:rsidRPr="00E41DB0">
        <w:rPr>
          <w:rFonts w:ascii="Arial" w:eastAsiaTheme="minorHAnsi" w:hAnsi="Arial" w:cs="Arial"/>
          <w:color w:val="000000"/>
          <w:sz w:val="22"/>
          <w:szCs w:val="22"/>
        </w:rPr>
        <w:t>the Directors be authorised to allot shares in the Company or grant rights to subscribe for, or convert any security into, shares in the Company:</w:t>
      </w:r>
    </w:p>
    <w:p w:rsidR="007A138E" w:rsidRPr="00E41DB0" w:rsidRDefault="007A138E" w:rsidP="007A138E">
      <w:pPr>
        <w:pStyle w:val="Default"/>
        <w:ind w:left="720"/>
        <w:jc w:val="both"/>
        <w:rPr>
          <w:rFonts w:ascii="Arial" w:hAnsi="Arial" w:cs="Arial"/>
          <w:sz w:val="22"/>
          <w:szCs w:val="22"/>
        </w:rPr>
      </w:pPr>
    </w:p>
    <w:p w:rsidR="007A138E" w:rsidRPr="005B5AFB" w:rsidRDefault="007A138E" w:rsidP="005B5AFB">
      <w:pPr>
        <w:pStyle w:val="Default"/>
        <w:numPr>
          <w:ilvl w:val="0"/>
          <w:numId w:val="16"/>
        </w:numPr>
        <w:jc w:val="both"/>
        <w:rPr>
          <w:rFonts w:ascii="Arial" w:hAnsi="Arial" w:cs="Arial"/>
          <w:sz w:val="22"/>
          <w:szCs w:val="22"/>
        </w:rPr>
      </w:pPr>
      <w:r w:rsidRPr="00E41DB0">
        <w:rPr>
          <w:rFonts w:ascii="Arial" w:hAnsi="Arial" w:cs="Arial"/>
          <w:sz w:val="22"/>
          <w:szCs w:val="22"/>
        </w:rPr>
        <w:t xml:space="preserve">in </w:t>
      </w:r>
      <w:r w:rsidR="0081600F" w:rsidRPr="00E41DB0">
        <w:rPr>
          <w:rFonts w:ascii="Arial" w:hAnsi="Arial" w:cs="Arial"/>
          <w:sz w:val="22"/>
          <w:szCs w:val="22"/>
        </w:rPr>
        <w:t xml:space="preserve">accordance with Article 7 of the Company’s Articles of Association, up to a maximum nominal amount of </w:t>
      </w:r>
      <w:r w:rsidR="00EA475E">
        <w:rPr>
          <w:rFonts w:ascii="Arial" w:hAnsi="Arial" w:cs="Arial"/>
          <w:sz w:val="22"/>
          <w:szCs w:val="22"/>
        </w:rPr>
        <w:t>£1,365,302</w:t>
      </w:r>
      <w:r w:rsidR="0081600F" w:rsidRPr="00E41DB0">
        <w:rPr>
          <w:rFonts w:ascii="Arial" w:hAnsi="Arial" w:cs="Arial"/>
          <w:sz w:val="22"/>
          <w:szCs w:val="22"/>
        </w:rPr>
        <w:t xml:space="preserve"> (such amount to be reduced by the nominal amount of any equity securities (as defined in Article 8 of the Company’s Articles of Association) allotted under paragraph </w:t>
      </w:r>
      <w:r w:rsidR="008A10DB">
        <w:rPr>
          <w:rFonts w:ascii="Arial" w:hAnsi="Arial" w:cs="Arial"/>
          <w:sz w:val="22"/>
          <w:szCs w:val="22"/>
        </w:rPr>
        <w:t>(</w:t>
      </w:r>
      <w:r w:rsidR="00EA475E">
        <w:rPr>
          <w:rFonts w:ascii="Arial" w:hAnsi="Arial" w:cs="Arial"/>
          <w:sz w:val="22"/>
          <w:szCs w:val="22"/>
        </w:rPr>
        <w:t>ii) below in excess of £1,365,30</w:t>
      </w:r>
      <w:r w:rsidR="008A10DB">
        <w:rPr>
          <w:rFonts w:ascii="Arial" w:hAnsi="Arial" w:cs="Arial"/>
          <w:sz w:val="22"/>
          <w:szCs w:val="22"/>
        </w:rPr>
        <w:t>2</w:t>
      </w:r>
      <w:r w:rsidR="0081600F" w:rsidRPr="00E41DB0">
        <w:rPr>
          <w:rFonts w:ascii="Arial" w:hAnsi="Arial" w:cs="Arial"/>
          <w:sz w:val="22"/>
          <w:szCs w:val="22"/>
        </w:rPr>
        <w:t>); and</w:t>
      </w:r>
    </w:p>
    <w:p w:rsidR="007A138E" w:rsidRPr="00E41DB0" w:rsidRDefault="007A138E" w:rsidP="007A138E">
      <w:pPr>
        <w:pStyle w:val="Default"/>
        <w:ind w:left="1440"/>
        <w:jc w:val="both"/>
        <w:rPr>
          <w:rFonts w:ascii="Arial" w:hAnsi="Arial" w:cs="Arial"/>
          <w:sz w:val="22"/>
          <w:szCs w:val="22"/>
        </w:rPr>
      </w:pPr>
    </w:p>
    <w:p w:rsidR="0081600F" w:rsidRPr="00E41DB0" w:rsidRDefault="0081600F" w:rsidP="0081600F">
      <w:pPr>
        <w:pStyle w:val="ListParagraph"/>
        <w:numPr>
          <w:ilvl w:val="0"/>
          <w:numId w:val="16"/>
        </w:numPr>
        <w:rPr>
          <w:rFonts w:ascii="Arial" w:eastAsiaTheme="minorHAnsi" w:hAnsi="Arial" w:cs="Arial"/>
          <w:color w:val="000000"/>
          <w:sz w:val="22"/>
          <w:szCs w:val="22"/>
        </w:rPr>
      </w:pPr>
      <w:r w:rsidRPr="00E41DB0">
        <w:rPr>
          <w:rFonts w:ascii="Arial" w:eastAsiaTheme="minorHAnsi" w:hAnsi="Arial" w:cs="Arial"/>
          <w:color w:val="000000"/>
          <w:sz w:val="22"/>
          <w:szCs w:val="22"/>
        </w:rPr>
        <w:lastRenderedPageBreak/>
        <w:t>comprising equity securities (as defined in Article 8 of the Company’s Articles of Association) up to a maxi</w:t>
      </w:r>
      <w:r w:rsidR="00EA475E">
        <w:rPr>
          <w:rFonts w:ascii="Arial" w:eastAsiaTheme="minorHAnsi" w:hAnsi="Arial" w:cs="Arial"/>
          <w:color w:val="000000"/>
          <w:sz w:val="22"/>
          <w:szCs w:val="22"/>
        </w:rPr>
        <w:t>mum nominal amount of £2,731,013</w:t>
      </w:r>
      <w:r w:rsidRPr="00E41DB0">
        <w:rPr>
          <w:rFonts w:ascii="Arial" w:eastAsiaTheme="minorHAnsi" w:hAnsi="Arial" w:cs="Arial"/>
          <w:color w:val="000000"/>
          <w:sz w:val="22"/>
          <w:szCs w:val="22"/>
        </w:rPr>
        <w:t xml:space="preserve"> (such amount to be reduced by any shares allotted or rights granted under paragraph (</w:t>
      </w:r>
      <w:proofErr w:type="spellStart"/>
      <w:r w:rsidRPr="00E41DB0">
        <w:rPr>
          <w:rFonts w:ascii="Arial" w:eastAsiaTheme="minorHAnsi" w:hAnsi="Arial" w:cs="Arial"/>
          <w:color w:val="000000"/>
          <w:sz w:val="22"/>
          <w:szCs w:val="22"/>
        </w:rPr>
        <w:t>i</w:t>
      </w:r>
      <w:proofErr w:type="spellEnd"/>
      <w:r w:rsidRPr="00E41DB0">
        <w:rPr>
          <w:rFonts w:ascii="Arial" w:eastAsiaTheme="minorHAnsi" w:hAnsi="Arial" w:cs="Arial"/>
          <w:color w:val="000000"/>
          <w:sz w:val="22"/>
          <w:szCs w:val="22"/>
        </w:rPr>
        <w:t>) above) in connection with an offer by way of a rights issue (as defined in Article 8 of the Company’s Articles of Association);</w:t>
      </w:r>
    </w:p>
    <w:p w:rsidR="007A138E" w:rsidRPr="00E41DB0" w:rsidRDefault="007A138E" w:rsidP="0081600F">
      <w:pPr>
        <w:pStyle w:val="Default"/>
        <w:ind w:left="1440"/>
        <w:jc w:val="both"/>
        <w:rPr>
          <w:rFonts w:ascii="Arial" w:hAnsi="Arial" w:cs="Arial"/>
          <w:sz w:val="22"/>
          <w:szCs w:val="22"/>
        </w:rPr>
      </w:pPr>
    </w:p>
    <w:p w:rsidR="007A138E" w:rsidRPr="00E41DB0" w:rsidRDefault="007A138E" w:rsidP="0081600F">
      <w:pPr>
        <w:pStyle w:val="Default"/>
        <w:numPr>
          <w:ilvl w:val="0"/>
          <w:numId w:val="25"/>
        </w:numPr>
        <w:jc w:val="both"/>
        <w:rPr>
          <w:rFonts w:ascii="Arial" w:hAnsi="Arial" w:cs="Arial"/>
          <w:sz w:val="22"/>
          <w:szCs w:val="22"/>
        </w:rPr>
      </w:pPr>
      <w:r w:rsidRPr="00E41DB0">
        <w:rPr>
          <w:rFonts w:ascii="Arial" w:hAnsi="Arial" w:cs="Arial"/>
          <w:sz w:val="22"/>
          <w:szCs w:val="22"/>
        </w:rPr>
        <w:t>this authority</w:t>
      </w:r>
      <w:r w:rsidR="0081600F" w:rsidRPr="00E41DB0">
        <w:rPr>
          <w:rFonts w:ascii="Arial" w:hAnsi="Arial" w:cs="Arial"/>
          <w:sz w:val="22"/>
          <w:szCs w:val="22"/>
        </w:rPr>
        <w:t xml:space="preserve"> shall expire at the conclusion of the next Annual General Meeting of the Company after the passing of this resolution, or, if earlier, at the </w:t>
      </w:r>
      <w:r w:rsidR="00EA475E">
        <w:rPr>
          <w:rFonts w:ascii="Arial" w:hAnsi="Arial" w:cs="Arial"/>
          <w:sz w:val="22"/>
          <w:szCs w:val="22"/>
        </w:rPr>
        <w:t>close of business on 1 July 2023</w:t>
      </w:r>
      <w:r w:rsidR="0081600F" w:rsidRPr="00E41DB0">
        <w:rPr>
          <w:rFonts w:ascii="Arial" w:hAnsi="Arial" w:cs="Arial"/>
          <w:sz w:val="22"/>
          <w:szCs w:val="22"/>
        </w:rPr>
        <w:t>; and</w:t>
      </w:r>
    </w:p>
    <w:p w:rsidR="007A138E" w:rsidRPr="00E41DB0" w:rsidRDefault="007A138E" w:rsidP="007A138E">
      <w:pPr>
        <w:pStyle w:val="Default"/>
        <w:ind w:left="720"/>
        <w:jc w:val="both"/>
        <w:rPr>
          <w:rFonts w:ascii="Arial" w:hAnsi="Arial" w:cs="Arial"/>
          <w:sz w:val="22"/>
          <w:szCs w:val="22"/>
        </w:rPr>
      </w:pPr>
    </w:p>
    <w:p w:rsidR="0081600F" w:rsidRPr="00E41DB0" w:rsidRDefault="007A138E" w:rsidP="0081600F">
      <w:pPr>
        <w:pStyle w:val="ListParagraph"/>
        <w:numPr>
          <w:ilvl w:val="0"/>
          <w:numId w:val="25"/>
        </w:numPr>
        <w:rPr>
          <w:rFonts w:ascii="Arial" w:eastAsiaTheme="minorHAnsi" w:hAnsi="Arial" w:cs="Arial"/>
          <w:color w:val="000000"/>
          <w:sz w:val="22"/>
          <w:szCs w:val="22"/>
        </w:rPr>
      </w:pPr>
      <w:r w:rsidRPr="00E41DB0">
        <w:rPr>
          <w:rFonts w:ascii="Arial" w:hAnsi="Arial" w:cs="Arial"/>
          <w:sz w:val="22"/>
          <w:szCs w:val="22"/>
        </w:rPr>
        <w:t xml:space="preserve"> </w:t>
      </w:r>
      <w:r w:rsidR="0081600F" w:rsidRPr="00E41DB0">
        <w:rPr>
          <w:rFonts w:ascii="Arial" w:eastAsiaTheme="minorHAnsi" w:hAnsi="Arial" w:cs="Arial"/>
          <w:color w:val="000000"/>
          <w:sz w:val="22"/>
          <w:szCs w:val="22"/>
        </w:rPr>
        <w:t>all 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p>
    <w:p w:rsidR="007A138E" w:rsidRPr="00E41DB0" w:rsidRDefault="007A138E" w:rsidP="0081600F">
      <w:pPr>
        <w:pStyle w:val="Default"/>
        <w:ind w:left="360"/>
        <w:jc w:val="both"/>
        <w:rPr>
          <w:rFonts w:ascii="Arial" w:hAnsi="Arial" w:cs="Arial"/>
          <w:sz w:val="22"/>
          <w:szCs w:val="22"/>
        </w:rPr>
      </w:pPr>
    </w:p>
    <w:p w:rsidR="00235147" w:rsidRPr="00E41DB0"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636FDC" w:rsidRPr="00E41DB0" w:rsidRDefault="002F724F" w:rsidP="00636FDC">
      <w:pPr>
        <w:tabs>
          <w:tab w:val="num" w:pos="0"/>
        </w:tabs>
        <w:jc w:val="both"/>
        <w:rPr>
          <w:rFonts w:ascii="Arial" w:hAnsi="Arial" w:cs="Arial"/>
          <w:b/>
          <w:sz w:val="22"/>
          <w:szCs w:val="22"/>
        </w:rPr>
      </w:pPr>
      <w:r w:rsidRPr="00E41DB0">
        <w:rPr>
          <w:rFonts w:ascii="Arial" w:hAnsi="Arial" w:cs="Arial"/>
          <w:b/>
          <w:sz w:val="22"/>
          <w:szCs w:val="22"/>
        </w:rPr>
        <w:t xml:space="preserve">THE FOLLOWING RESOLUTIONS WERE DULY PASSED AS SPECIAL RESOLUTIONS: </w:t>
      </w:r>
    </w:p>
    <w:p w:rsidR="00235147" w:rsidRPr="00E41DB0"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235147" w:rsidRPr="00E41DB0" w:rsidRDefault="002F724F" w:rsidP="00636FDC">
      <w:pPr>
        <w:autoSpaceDE w:val="0"/>
        <w:autoSpaceDN w:val="0"/>
        <w:adjustRightInd w:val="0"/>
        <w:spacing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EA475E">
        <w:rPr>
          <w:rFonts w:ascii="Arial" w:eastAsiaTheme="minorHAnsi" w:hAnsi="Arial" w:cs="Arial"/>
          <w:b/>
          <w:color w:val="000000"/>
          <w:sz w:val="22"/>
          <w:szCs w:val="22"/>
        </w:rPr>
        <w:t>17</w:t>
      </w:r>
      <w:r w:rsidR="00724D7A" w:rsidRPr="00E41DB0">
        <w:rPr>
          <w:rFonts w:ascii="Arial" w:eastAsiaTheme="minorHAnsi" w:hAnsi="Arial" w:cs="Arial"/>
          <w:b/>
          <w:color w:val="000000"/>
          <w:sz w:val="22"/>
          <w:szCs w:val="22"/>
        </w:rPr>
        <w:t xml:space="preserve">. General authority to dis-apply </w:t>
      </w:r>
      <w:r w:rsidR="00235147" w:rsidRPr="00E41DB0">
        <w:rPr>
          <w:rFonts w:ascii="Arial" w:eastAsiaTheme="minorHAnsi" w:hAnsi="Arial" w:cs="Arial"/>
          <w:b/>
          <w:color w:val="000000"/>
          <w:sz w:val="22"/>
          <w:szCs w:val="22"/>
        </w:rPr>
        <w:t>pre-emption rights</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p>
    <w:p w:rsidR="00235147" w:rsidRPr="00E41DB0" w:rsidRDefault="00235147" w:rsidP="00636FDC">
      <w:pPr>
        <w:autoSpaceDE w:val="0"/>
        <w:autoSpaceDN w:val="0"/>
        <w:adjustRightInd w:val="0"/>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That: </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accordance with Article 8 of the Company’s Articles of Association, the Directors be given power to allot equity securities for cash;</w:t>
      </w:r>
    </w:p>
    <w:p w:rsidR="0081600F" w:rsidRPr="00E41DB0"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power under paragraph (a) above (other than in connection with a rights issue, as defined in Article 8 of the Company’s Articles of Association) shall be limited to the allotment of equity securities having a nominal amount not</w:t>
      </w:r>
      <w:r w:rsidR="00EA475E">
        <w:rPr>
          <w:rFonts w:ascii="Arial" w:eastAsiaTheme="minorHAnsi" w:hAnsi="Arial" w:cs="Arial"/>
          <w:color w:val="000000"/>
          <w:sz w:val="22"/>
          <w:szCs w:val="22"/>
        </w:rPr>
        <w:t xml:space="preserve"> exceeding in aggregate £204,815</w:t>
      </w:r>
      <w:r w:rsidRPr="00E41DB0">
        <w:rPr>
          <w:rFonts w:ascii="Arial" w:eastAsiaTheme="minorHAnsi" w:hAnsi="Arial" w:cs="Arial"/>
          <w:color w:val="000000"/>
          <w:sz w:val="22"/>
          <w:szCs w:val="22"/>
        </w:rPr>
        <w:t>;</w:t>
      </w:r>
    </w:p>
    <w:p w:rsidR="0081600F" w:rsidRPr="00E41DB0"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this authority shall expire at the conclusion of the next Annual General Meeting of the Company after the passing of this resolution or, if earlier, at the close of business on </w:t>
      </w:r>
      <w:r w:rsidR="00E41DB0">
        <w:rPr>
          <w:rFonts w:ascii="Arial" w:eastAsiaTheme="minorHAnsi" w:hAnsi="Arial" w:cs="Arial"/>
          <w:color w:val="000000"/>
          <w:sz w:val="22"/>
          <w:szCs w:val="22"/>
        </w:rPr>
        <w:t>1 July</w:t>
      </w:r>
      <w:r w:rsidR="00EA475E">
        <w:rPr>
          <w:rFonts w:ascii="Arial" w:eastAsiaTheme="minorHAnsi" w:hAnsi="Arial" w:cs="Arial"/>
          <w:color w:val="000000"/>
          <w:sz w:val="22"/>
          <w:szCs w:val="22"/>
        </w:rPr>
        <w:t xml:space="preserve"> 2023</w:t>
      </w:r>
      <w:r w:rsidRPr="00E41DB0">
        <w:rPr>
          <w:rFonts w:ascii="Arial" w:eastAsiaTheme="minorHAnsi" w:hAnsi="Arial" w:cs="Arial"/>
          <w:color w:val="000000"/>
          <w:sz w:val="22"/>
          <w:szCs w:val="22"/>
        </w:rPr>
        <w:t>.</w:t>
      </w:r>
    </w:p>
    <w:p w:rsidR="007A138E" w:rsidRPr="00E41DB0" w:rsidRDefault="007A138E" w:rsidP="007A138E">
      <w:pPr>
        <w:pStyle w:val="ListParagraph"/>
        <w:autoSpaceDE w:val="0"/>
        <w:autoSpaceDN w:val="0"/>
        <w:adjustRightInd w:val="0"/>
        <w:spacing w:line="171" w:lineRule="atLeast"/>
        <w:jc w:val="both"/>
        <w:rPr>
          <w:rFonts w:ascii="Arial" w:eastAsiaTheme="minorHAnsi" w:hAnsi="Arial" w:cs="Arial"/>
          <w:color w:val="000000"/>
          <w:sz w:val="22"/>
          <w:szCs w:val="22"/>
        </w:rPr>
      </w:pPr>
    </w:p>
    <w:p w:rsidR="008454D3" w:rsidRPr="00E41DB0" w:rsidRDefault="00EA475E" w:rsidP="008454D3">
      <w:pPr>
        <w:autoSpaceDE w:val="0"/>
        <w:autoSpaceDN w:val="0"/>
        <w:adjustRightInd w:val="0"/>
        <w:spacing w:line="171"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RESOLUTION 18</w:t>
      </w:r>
      <w:r w:rsidR="008454D3" w:rsidRPr="00E41DB0">
        <w:rPr>
          <w:rFonts w:ascii="Arial" w:eastAsiaTheme="minorHAnsi" w:hAnsi="Arial" w:cs="Arial"/>
          <w:b/>
          <w:color w:val="000000"/>
          <w:sz w:val="22"/>
          <w:szCs w:val="22"/>
        </w:rPr>
        <w:t xml:space="preserve">. Additional authority to dis-apply pre-emption rights </w:t>
      </w:r>
    </w:p>
    <w:p w:rsidR="008454D3" w:rsidRPr="00E41DB0" w:rsidRDefault="008454D3" w:rsidP="008454D3">
      <w:pPr>
        <w:autoSpaceDE w:val="0"/>
        <w:autoSpaceDN w:val="0"/>
        <w:adjustRightInd w:val="0"/>
        <w:spacing w:line="171" w:lineRule="atLeast"/>
        <w:jc w:val="both"/>
        <w:rPr>
          <w:rFonts w:ascii="Arial" w:eastAsiaTheme="minorHAnsi" w:hAnsi="Arial" w:cs="Arial"/>
          <w:color w:val="000000"/>
          <w:sz w:val="22"/>
          <w:szCs w:val="22"/>
        </w:rPr>
      </w:pPr>
    </w:p>
    <w:p w:rsidR="008454D3" w:rsidRPr="00E41DB0" w:rsidRDefault="008454D3" w:rsidP="008454D3">
      <w:pPr>
        <w:autoSpaceDE w:val="0"/>
        <w:autoSpaceDN w:val="0"/>
        <w:adjustRightInd w:val="0"/>
        <w:spacing w:line="17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That:</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addition to any autho</w:t>
      </w:r>
      <w:r w:rsidR="00EA475E">
        <w:rPr>
          <w:rFonts w:ascii="Arial" w:eastAsiaTheme="minorHAnsi" w:hAnsi="Arial" w:cs="Arial"/>
          <w:color w:val="000000"/>
          <w:sz w:val="22"/>
          <w:szCs w:val="22"/>
        </w:rPr>
        <w:t>rity granted under Resolution 17</w:t>
      </w:r>
      <w:r w:rsidRPr="00E41DB0">
        <w:rPr>
          <w:rFonts w:ascii="Arial" w:eastAsiaTheme="minorHAnsi" w:hAnsi="Arial" w:cs="Arial"/>
          <w:color w:val="000000"/>
          <w:sz w:val="22"/>
          <w:szCs w:val="22"/>
        </w:rPr>
        <w:t>, the Directors be given power:</w:t>
      </w:r>
    </w:p>
    <w:p w:rsidR="00D05945" w:rsidRPr="00E41DB0"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subject</w:t>
      </w:r>
      <w:r w:rsidR="008A10DB">
        <w:rPr>
          <w:rFonts w:ascii="Arial" w:eastAsiaTheme="minorHAnsi" w:hAnsi="Arial" w:cs="Arial"/>
          <w:color w:val="000000"/>
          <w:sz w:val="22"/>
          <w:szCs w:val="22"/>
        </w:rPr>
        <w:t xml:space="preserve"> to the passing of Resolution 15</w:t>
      </w:r>
      <w:r w:rsidRPr="00E41DB0">
        <w:rPr>
          <w:rFonts w:ascii="Arial" w:eastAsiaTheme="minorHAnsi" w:hAnsi="Arial" w:cs="Arial"/>
          <w:color w:val="000000"/>
          <w:sz w:val="22"/>
          <w:szCs w:val="22"/>
        </w:rPr>
        <w:t>, to allot equity securities (as defined in section 560 of the Companies Act 2006) for cash pursuant to the authority conferred on them by that resolution under section 551 of that Act; and</w:t>
      </w:r>
    </w:p>
    <w:p w:rsidR="00D05945" w:rsidRPr="00E41DB0" w:rsidRDefault="00D05945" w:rsidP="00D05945">
      <w:pPr>
        <w:pStyle w:val="ListParagraph"/>
        <w:autoSpaceDE w:val="0"/>
        <w:autoSpaceDN w:val="0"/>
        <w:adjustRightInd w:val="0"/>
        <w:spacing w:line="171" w:lineRule="atLeast"/>
        <w:ind w:left="1440"/>
        <w:jc w:val="both"/>
        <w:rPr>
          <w:rFonts w:ascii="Arial" w:eastAsiaTheme="minorHAnsi" w:hAnsi="Arial" w:cs="Arial"/>
          <w:color w:val="000000"/>
          <w:sz w:val="22"/>
          <w:szCs w:val="22"/>
        </w:rPr>
      </w:pPr>
    </w:p>
    <w:p w:rsidR="005875DC" w:rsidRPr="00E41DB0"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to allot equity securities as defined in section 560(3) of that Act (sale of treasury shares) for cash,</w:t>
      </w:r>
    </w:p>
    <w:p w:rsidR="005875DC" w:rsidRPr="00E41DB0" w:rsidRDefault="005875DC" w:rsidP="005875DC">
      <w:pPr>
        <w:pStyle w:val="ListParagraph"/>
        <w:rPr>
          <w:rFonts w:ascii="Arial" w:eastAsiaTheme="minorHAnsi" w:hAnsi="Arial" w:cs="Arial"/>
          <w:color w:val="000000"/>
          <w:sz w:val="22"/>
          <w:szCs w:val="22"/>
        </w:rPr>
      </w:pPr>
    </w:p>
    <w:p w:rsidR="00D05945" w:rsidRPr="00E41DB0" w:rsidRDefault="00D05945" w:rsidP="005875DC">
      <w:pPr>
        <w:pStyle w:val="ListParagraph"/>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either case as if section 561 of that Act did not apply to the allotment or sale, but this power shall be:</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limited to the allotment of equity securities up to a maximum nominal amount of £</w:t>
      </w:r>
      <w:r w:rsidR="00EA475E">
        <w:rPr>
          <w:rFonts w:ascii="Arial" w:eastAsiaTheme="minorHAnsi" w:hAnsi="Arial" w:cs="Arial"/>
          <w:color w:val="000000"/>
          <w:sz w:val="22"/>
          <w:szCs w:val="22"/>
        </w:rPr>
        <w:t>204,815</w:t>
      </w:r>
      <w:r w:rsidRPr="00E41DB0">
        <w:rPr>
          <w:rFonts w:ascii="Arial" w:eastAsiaTheme="minorHAnsi" w:hAnsi="Arial" w:cs="Arial"/>
          <w:color w:val="000000"/>
          <w:sz w:val="22"/>
          <w:szCs w:val="22"/>
        </w:rPr>
        <w:t>; and</w:t>
      </w:r>
    </w:p>
    <w:p w:rsidR="00D05945" w:rsidRPr="00E41DB0"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used only </w:t>
      </w:r>
      <w:r w:rsidR="0081600F" w:rsidRPr="00E41DB0">
        <w:rPr>
          <w:rFonts w:ascii="Arial" w:eastAsiaTheme="minorHAnsi" w:hAnsi="Arial" w:cs="Arial"/>
          <w:color w:val="000000"/>
          <w:sz w:val="22"/>
          <w:szCs w:val="22"/>
        </w:rPr>
        <w:t xml:space="preserve">for the purposes of financing (or refinancing, if the authority is to be used within six months after the original transaction) a transaction which the board of the Company determines to be an acquisition or other capital </w:t>
      </w:r>
      <w:r w:rsidR="0081600F" w:rsidRPr="00E41DB0">
        <w:rPr>
          <w:rFonts w:ascii="Arial" w:eastAsiaTheme="minorHAnsi" w:hAnsi="Arial" w:cs="Arial"/>
          <w:color w:val="000000"/>
          <w:sz w:val="22"/>
          <w:szCs w:val="22"/>
        </w:rPr>
        <w:lastRenderedPageBreak/>
        <w:t xml:space="preserve">investment of a kind contemplated by the Statement of Principles on </w:t>
      </w:r>
      <w:proofErr w:type="spellStart"/>
      <w:r w:rsidR="0081600F" w:rsidRPr="00E41DB0">
        <w:rPr>
          <w:rFonts w:ascii="Arial" w:eastAsiaTheme="minorHAnsi" w:hAnsi="Arial" w:cs="Arial"/>
          <w:color w:val="000000"/>
          <w:sz w:val="22"/>
          <w:szCs w:val="22"/>
        </w:rPr>
        <w:t>Disapplying</w:t>
      </w:r>
      <w:proofErr w:type="spellEnd"/>
      <w:r w:rsidR="0081600F" w:rsidRPr="00E41DB0">
        <w:rPr>
          <w:rFonts w:ascii="Arial" w:eastAsiaTheme="minorHAnsi" w:hAnsi="Arial" w:cs="Arial"/>
          <w:color w:val="000000"/>
          <w:sz w:val="22"/>
          <w:szCs w:val="22"/>
        </w:rPr>
        <w:t xml:space="preserve"> Pre-Emption Rights most recently published by the Pre-Emption Group prior to the date of this notice;</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this power shall expire at the conclusion of the next Annual General Meeting of the Company after the passing of this resolution or, if earlier, at the </w:t>
      </w:r>
      <w:r w:rsidR="00EA475E">
        <w:rPr>
          <w:rFonts w:ascii="Arial" w:eastAsiaTheme="minorHAnsi" w:hAnsi="Arial" w:cs="Arial"/>
          <w:color w:val="000000"/>
          <w:sz w:val="22"/>
          <w:szCs w:val="22"/>
        </w:rPr>
        <w:t>close of business on 1 July 2023</w:t>
      </w:r>
      <w:r w:rsidRPr="00E41DB0">
        <w:rPr>
          <w:rFonts w:ascii="Arial" w:eastAsiaTheme="minorHAnsi" w:hAnsi="Arial" w:cs="Arial"/>
          <w:color w:val="000000"/>
          <w:sz w:val="22"/>
          <w:szCs w:val="22"/>
        </w:rPr>
        <w:t>; and</w:t>
      </w:r>
    </w:p>
    <w:p w:rsidR="00D05945" w:rsidRPr="00E41DB0"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8454D3" w:rsidRPr="00E41DB0" w:rsidRDefault="008454D3" w:rsidP="008454D3">
      <w:pPr>
        <w:pStyle w:val="ListParagraph"/>
        <w:autoSpaceDE w:val="0"/>
        <w:autoSpaceDN w:val="0"/>
        <w:adjustRightInd w:val="0"/>
        <w:spacing w:line="171" w:lineRule="atLeast"/>
        <w:jc w:val="both"/>
        <w:rPr>
          <w:rFonts w:ascii="Arial" w:eastAsiaTheme="minorHAnsi" w:hAnsi="Arial" w:cs="Arial"/>
          <w:color w:val="000000"/>
          <w:sz w:val="22"/>
          <w:szCs w:val="22"/>
        </w:rPr>
      </w:pPr>
    </w:p>
    <w:p w:rsidR="009F63A1" w:rsidRPr="00E41DB0" w:rsidRDefault="009F63A1" w:rsidP="009F63A1">
      <w:pPr>
        <w:autoSpaceDE w:val="0"/>
        <w:autoSpaceDN w:val="0"/>
        <w:adjustRightInd w:val="0"/>
        <w:spacing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EA475E">
        <w:rPr>
          <w:rFonts w:ascii="Arial" w:eastAsiaTheme="minorHAnsi" w:hAnsi="Arial" w:cs="Arial"/>
          <w:b/>
          <w:color w:val="000000"/>
          <w:sz w:val="22"/>
          <w:szCs w:val="22"/>
        </w:rPr>
        <w:t>19</w:t>
      </w:r>
      <w:r w:rsidRPr="00E41DB0">
        <w:rPr>
          <w:rFonts w:ascii="Arial" w:eastAsiaTheme="minorHAnsi" w:hAnsi="Arial" w:cs="Arial"/>
          <w:b/>
          <w:color w:val="000000"/>
          <w:sz w:val="22"/>
          <w:szCs w:val="22"/>
        </w:rPr>
        <w:t>. Market Purchase of Own Shares</w:t>
      </w:r>
    </w:p>
    <w:p w:rsidR="009F63A1" w:rsidRPr="00E41DB0" w:rsidRDefault="009F63A1" w:rsidP="009F63A1">
      <w:pPr>
        <w:autoSpaceDE w:val="0"/>
        <w:autoSpaceDN w:val="0"/>
        <w:adjustRightInd w:val="0"/>
        <w:spacing w:line="181" w:lineRule="atLeast"/>
        <w:jc w:val="both"/>
        <w:rPr>
          <w:rFonts w:ascii="Arial" w:eastAsiaTheme="minorHAnsi" w:hAnsi="Arial" w:cs="Arial"/>
          <w:b/>
          <w:color w:val="000000"/>
          <w:sz w:val="22"/>
          <w:szCs w:val="22"/>
        </w:rPr>
      </w:pP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b/>
          <w:color w:val="000000"/>
          <w:sz w:val="22"/>
          <w:szCs w:val="22"/>
        </w:rPr>
        <w:t>That,</w:t>
      </w:r>
      <w:r w:rsidRPr="00E41DB0">
        <w:rPr>
          <w:rFonts w:ascii="Arial" w:eastAsiaTheme="minorHAnsi" w:hAnsi="Arial" w:cs="Arial"/>
          <w:color w:val="000000"/>
          <w:sz w:val="22"/>
          <w:szCs w:val="22"/>
        </w:rPr>
        <w:t xml:space="preserve"> in accordance with </w:t>
      </w:r>
      <w:r w:rsidR="0081600F" w:rsidRPr="00E41DB0">
        <w:rPr>
          <w:rFonts w:ascii="Arial" w:eastAsiaTheme="minorHAnsi" w:hAnsi="Arial" w:cs="Arial"/>
          <w:color w:val="000000"/>
          <w:sz w:val="22"/>
          <w:szCs w:val="22"/>
        </w:rPr>
        <w:t xml:space="preserve">section 701 of </w:t>
      </w:r>
      <w:r w:rsidRPr="00E41DB0">
        <w:rPr>
          <w:rFonts w:ascii="Arial" w:eastAsiaTheme="minorHAnsi" w:hAnsi="Arial" w:cs="Arial"/>
          <w:color w:val="000000"/>
          <w:sz w:val="22"/>
          <w:szCs w:val="22"/>
        </w:rPr>
        <w:t>the Companies Act 2006 (the “Act”), the Company is generally and unconditionally authorised to make market purchases (within the meaning of section 693 of the Act) of ordinary shares in the capital of the Company on such terms and in such manner as the Directors of the Company may determine provided that:</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maximum number of ordinary shares that may be purchased un</w:t>
      </w:r>
      <w:r w:rsidR="00EA475E">
        <w:rPr>
          <w:rFonts w:ascii="Arial" w:eastAsiaTheme="minorHAnsi" w:hAnsi="Arial" w:cs="Arial"/>
          <w:color w:val="000000"/>
          <w:sz w:val="22"/>
          <w:szCs w:val="22"/>
        </w:rPr>
        <w:t>der this authority is 40,963,159</w:t>
      </w:r>
      <w:r w:rsidRPr="00E41DB0">
        <w:rPr>
          <w:rFonts w:ascii="Arial" w:eastAsiaTheme="minorHAnsi" w:hAnsi="Arial" w:cs="Arial"/>
          <w:color w:val="000000"/>
          <w:sz w:val="22"/>
          <w:szCs w:val="22"/>
        </w:rPr>
        <w:t>;</w:t>
      </w:r>
    </w:p>
    <w:p w:rsidR="00D05945" w:rsidRPr="00E41DB0"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maximum price which may be paid for any ordinary share purchased under this authority (exclusive of expenses payable by the Company in connection with the purchase) shall not be more than the higher of:</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an amount equal to 105% of the average of the middle market prices shown in the quotations for the ordinary shares in the London Stock Exchange Daily </w:t>
      </w:r>
      <w:r w:rsidR="00E378ED" w:rsidRPr="00E41DB0">
        <w:rPr>
          <w:rFonts w:ascii="Arial" w:eastAsiaTheme="minorHAnsi" w:hAnsi="Arial" w:cs="Arial"/>
          <w:color w:val="000000"/>
          <w:sz w:val="22"/>
          <w:szCs w:val="22"/>
        </w:rPr>
        <w:t>Official</w:t>
      </w:r>
      <w:r w:rsidRPr="00E41DB0">
        <w:rPr>
          <w:rFonts w:ascii="Arial" w:eastAsiaTheme="minorHAnsi" w:hAnsi="Arial" w:cs="Arial"/>
          <w:color w:val="000000"/>
          <w:sz w:val="22"/>
          <w:szCs w:val="22"/>
        </w:rPr>
        <w:t xml:space="preserve"> List for the five business days immediately preceding the day on which that ordinary share is purchased; and</w:t>
      </w:r>
    </w:p>
    <w:p w:rsidR="00D05945" w:rsidRPr="00E41DB0" w:rsidRDefault="00D05945" w:rsidP="00D05945">
      <w:pPr>
        <w:pStyle w:val="ListParagraph"/>
        <w:autoSpaceDE w:val="0"/>
        <w:autoSpaceDN w:val="0"/>
        <w:adjustRightInd w:val="0"/>
        <w:spacing w:line="181" w:lineRule="atLeast"/>
        <w:ind w:left="1440"/>
        <w:jc w:val="both"/>
        <w:rPr>
          <w:rFonts w:ascii="Arial" w:eastAsiaTheme="minorHAnsi" w:hAnsi="Arial" w:cs="Arial"/>
          <w:color w:val="000000"/>
          <w:sz w:val="22"/>
          <w:szCs w:val="22"/>
        </w:rPr>
      </w:pPr>
    </w:p>
    <w:p w:rsidR="00D05945" w:rsidRPr="00E41DB0"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an amount equal to the higher of the price of the last independent trade of an ordinary share and the highest current independent bid for an ordinary share on the trading venue where the purchase is carried out;</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minimum price which may be paid shall be the nominal value of that ordinary share (exclusive of expenses payable by the Company in connection with the purchase);</w:t>
      </w:r>
    </w:p>
    <w:p w:rsidR="00D05945" w:rsidRPr="00E41DB0"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this authority shall expire at the conclusion of the next Annual General Meeting of the Company after the passing of this resolution</w:t>
      </w:r>
      <w:r w:rsidR="00EA475E">
        <w:rPr>
          <w:rFonts w:ascii="Arial" w:eastAsiaTheme="minorHAnsi" w:hAnsi="Arial" w:cs="Arial"/>
          <w:color w:val="000000"/>
          <w:sz w:val="22"/>
          <w:szCs w:val="22"/>
        </w:rPr>
        <w:t>, or, if earlier, on 1 July 2023</w:t>
      </w:r>
      <w:r w:rsidRPr="00E41DB0">
        <w:rPr>
          <w:rFonts w:ascii="Arial" w:eastAsiaTheme="minorHAnsi" w:hAnsi="Arial" w:cs="Arial"/>
          <w:color w:val="000000"/>
          <w:sz w:val="22"/>
          <w:szCs w:val="22"/>
        </w:rPr>
        <w:t xml:space="preserve"> unless renewed before that time; and</w:t>
      </w:r>
    </w:p>
    <w:p w:rsidR="00D05945" w:rsidRPr="00E41DB0" w:rsidRDefault="00D05945" w:rsidP="00D05945">
      <w:pPr>
        <w:pStyle w:val="ListParagrap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Company may make a contract or contracts to purchase ordinary shares under this authority before its expiry which will or may be executed wholly or partly after the expiry of this authority and may make a purchase of ordinary shares in pursuance of any such contract.</w:t>
      </w:r>
    </w:p>
    <w:p w:rsidR="008454D3" w:rsidRPr="00E41DB0" w:rsidRDefault="008454D3" w:rsidP="00A26C78">
      <w:pPr>
        <w:autoSpaceDE w:val="0"/>
        <w:autoSpaceDN w:val="0"/>
        <w:adjustRightInd w:val="0"/>
        <w:spacing w:line="171" w:lineRule="atLeast"/>
        <w:jc w:val="both"/>
        <w:rPr>
          <w:rFonts w:ascii="Arial" w:eastAsiaTheme="minorHAnsi" w:hAnsi="Arial" w:cs="Arial"/>
          <w:color w:val="000000"/>
          <w:sz w:val="22"/>
          <w:szCs w:val="22"/>
        </w:rPr>
      </w:pPr>
    </w:p>
    <w:p w:rsidR="00235147" w:rsidRPr="00E41DB0" w:rsidRDefault="002F724F" w:rsidP="008A10DB">
      <w:pPr>
        <w:spacing w:after="200" w:line="276" w:lineRule="auto"/>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EA475E">
        <w:rPr>
          <w:rFonts w:ascii="Arial" w:eastAsiaTheme="minorHAnsi" w:hAnsi="Arial" w:cs="Arial"/>
          <w:b/>
          <w:color w:val="000000"/>
          <w:sz w:val="22"/>
          <w:szCs w:val="22"/>
        </w:rPr>
        <w:t>20</w:t>
      </w:r>
      <w:r w:rsidR="00724D7A" w:rsidRPr="00E41DB0">
        <w:rPr>
          <w:rFonts w:ascii="Arial" w:eastAsiaTheme="minorHAnsi" w:hAnsi="Arial" w:cs="Arial"/>
          <w:b/>
          <w:color w:val="000000"/>
          <w:sz w:val="22"/>
          <w:szCs w:val="22"/>
        </w:rPr>
        <w:t>. Notice period for G</w:t>
      </w:r>
      <w:r w:rsidR="00235147" w:rsidRPr="00E41DB0">
        <w:rPr>
          <w:rFonts w:ascii="Arial" w:eastAsiaTheme="minorHAnsi" w:hAnsi="Arial" w:cs="Arial"/>
          <w:b/>
          <w:color w:val="000000"/>
          <w:sz w:val="22"/>
          <w:szCs w:val="22"/>
        </w:rPr>
        <w:t>enera</w:t>
      </w:r>
      <w:r w:rsidR="00724D7A" w:rsidRPr="00E41DB0">
        <w:rPr>
          <w:rFonts w:ascii="Arial" w:eastAsiaTheme="minorHAnsi" w:hAnsi="Arial" w:cs="Arial"/>
          <w:b/>
          <w:color w:val="000000"/>
          <w:sz w:val="22"/>
          <w:szCs w:val="22"/>
        </w:rPr>
        <w:t>l M</w:t>
      </w:r>
      <w:r w:rsidR="00235147" w:rsidRPr="00E41DB0">
        <w:rPr>
          <w:rFonts w:ascii="Arial" w:eastAsiaTheme="minorHAnsi" w:hAnsi="Arial" w:cs="Arial"/>
          <w:b/>
          <w:color w:val="000000"/>
          <w:sz w:val="22"/>
          <w:szCs w:val="22"/>
        </w:rPr>
        <w:t>eetings</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r w:rsidRPr="00E41DB0">
        <w:rPr>
          <w:rFonts w:ascii="Arial" w:eastAsiaTheme="minorHAnsi" w:hAnsi="Arial" w:cs="Arial"/>
          <w:b/>
          <w:color w:val="000000"/>
          <w:sz w:val="22"/>
          <w:szCs w:val="22"/>
        </w:rPr>
        <w:t>That</w:t>
      </w:r>
      <w:r w:rsidR="008454D3" w:rsidRPr="00E41DB0">
        <w:rPr>
          <w:rFonts w:ascii="Arial" w:eastAsiaTheme="minorHAnsi" w:hAnsi="Arial" w:cs="Arial"/>
          <w:color w:val="000000"/>
          <w:sz w:val="22"/>
          <w:szCs w:val="22"/>
        </w:rPr>
        <w:t xml:space="preserve"> a General M</w:t>
      </w:r>
      <w:r w:rsidRPr="00E41DB0">
        <w:rPr>
          <w:rFonts w:ascii="Arial" w:eastAsiaTheme="minorHAnsi" w:hAnsi="Arial" w:cs="Arial"/>
          <w:color w:val="000000"/>
          <w:sz w:val="22"/>
          <w:szCs w:val="22"/>
        </w:rPr>
        <w:t>eeting (other than an Annual General Meeting) may be called on not less than 14 clear days’ notice.</w:t>
      </w:r>
    </w:p>
    <w:p w:rsidR="00235147" w:rsidRPr="00E41DB0" w:rsidRDefault="00235147" w:rsidP="00636FDC">
      <w:pPr>
        <w:jc w:val="both"/>
        <w:rPr>
          <w:rFonts w:ascii="Arial" w:hAnsi="Arial" w:cs="Arial"/>
          <w:sz w:val="22"/>
          <w:szCs w:val="22"/>
        </w:rPr>
      </w:pPr>
    </w:p>
    <w:p w:rsidR="007248BE" w:rsidRPr="007248BE" w:rsidRDefault="007248BE" w:rsidP="007248BE">
      <w:pPr>
        <w:jc w:val="both"/>
        <w:rPr>
          <w:rFonts w:ascii="Arial" w:hAnsi="Arial" w:cs="Arial"/>
          <w:sz w:val="22"/>
          <w:szCs w:val="22"/>
        </w:rPr>
      </w:pPr>
      <w:r w:rsidRPr="007248BE">
        <w:rPr>
          <w:rFonts w:ascii="Arial" w:hAnsi="Arial" w:cs="Arial"/>
          <w:sz w:val="22"/>
          <w:szCs w:val="22"/>
        </w:rPr>
        <w:t xml:space="preserve">This information is provided in compliance with </w:t>
      </w:r>
      <w:r w:rsidRPr="007248BE">
        <w:rPr>
          <w:rFonts w:ascii="Arial" w:hAnsi="Arial" w:cs="Arial"/>
          <w:b/>
          <w:sz w:val="22"/>
          <w:szCs w:val="22"/>
        </w:rPr>
        <w:t xml:space="preserve">Listing Rule 9.6.2R. </w:t>
      </w:r>
    </w:p>
    <w:p w:rsidR="004B40BB" w:rsidRPr="00E41DB0" w:rsidRDefault="004B40BB" w:rsidP="00636FDC">
      <w:pPr>
        <w:jc w:val="both"/>
        <w:rPr>
          <w:rFonts w:ascii="Arial" w:hAnsi="Arial" w:cs="Arial"/>
          <w:sz w:val="22"/>
          <w:szCs w:val="22"/>
        </w:rPr>
      </w:pPr>
    </w:p>
    <w:sectPr w:rsidR="004B40BB" w:rsidRPr="00E41DB0" w:rsidSect="00EA475E">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321"/>
    <w:multiLevelType w:val="hybridMultilevel"/>
    <w:tmpl w:val="AC978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B165E"/>
    <w:multiLevelType w:val="hybridMultilevel"/>
    <w:tmpl w:val="FCC4A204"/>
    <w:lvl w:ilvl="0" w:tplc="36B6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1C5"/>
    <w:multiLevelType w:val="hybridMultilevel"/>
    <w:tmpl w:val="D9EE25E2"/>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243FA"/>
    <w:multiLevelType w:val="hybridMultilevel"/>
    <w:tmpl w:val="FA739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14AB6"/>
    <w:multiLevelType w:val="hybridMultilevel"/>
    <w:tmpl w:val="49D4CB80"/>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32E2B"/>
    <w:multiLevelType w:val="hybridMultilevel"/>
    <w:tmpl w:val="CD0CE246"/>
    <w:lvl w:ilvl="0" w:tplc="B70E1DE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5F9275C"/>
    <w:multiLevelType w:val="hybridMultilevel"/>
    <w:tmpl w:val="728CD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01A64"/>
    <w:multiLevelType w:val="hybridMultilevel"/>
    <w:tmpl w:val="2A70604C"/>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81D13"/>
    <w:multiLevelType w:val="hybridMultilevel"/>
    <w:tmpl w:val="0BB47BBC"/>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3D7E"/>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510A9"/>
    <w:multiLevelType w:val="hybridMultilevel"/>
    <w:tmpl w:val="E040B2D2"/>
    <w:lvl w:ilvl="0" w:tplc="179E9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B457A5"/>
    <w:multiLevelType w:val="hybridMultilevel"/>
    <w:tmpl w:val="CCB6E830"/>
    <w:lvl w:ilvl="0" w:tplc="EB70BC5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84D7B"/>
    <w:multiLevelType w:val="hybridMultilevel"/>
    <w:tmpl w:val="70166114"/>
    <w:lvl w:ilvl="0" w:tplc="62C8F1F4">
      <w:start w:val="1"/>
      <w:numFmt w:val="lowerRoman"/>
      <w:lvlText w:val="(%1)"/>
      <w:lvlJc w:val="left"/>
      <w:pPr>
        <w:ind w:left="1080" w:hanging="720"/>
      </w:pPr>
      <w:rPr>
        <w:rFonts w:hint="default"/>
      </w:rPr>
    </w:lvl>
    <w:lvl w:ilvl="1" w:tplc="B70E1DE0">
      <w:start w:val="1"/>
      <w:numFmt w:val="upperLetter"/>
      <w:lvlText w:val="(%2)"/>
      <w:lvlJc w:val="left"/>
      <w:pPr>
        <w:ind w:left="1440" w:hanging="360"/>
      </w:pPr>
      <w:rPr>
        <w:rFonts w:hint="default"/>
      </w:rPr>
    </w:lvl>
    <w:lvl w:ilvl="2" w:tplc="B70E1DE0">
      <w:start w:val="1"/>
      <w:numFmt w:val="upp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D2F7D"/>
    <w:multiLevelType w:val="hybridMultilevel"/>
    <w:tmpl w:val="12B6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32869"/>
    <w:multiLevelType w:val="hybridMultilevel"/>
    <w:tmpl w:val="E5184A38"/>
    <w:lvl w:ilvl="0" w:tplc="6F84BC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244C3"/>
    <w:multiLevelType w:val="hybridMultilevel"/>
    <w:tmpl w:val="3CAABB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676408"/>
    <w:multiLevelType w:val="hybridMultilevel"/>
    <w:tmpl w:val="5BDC6E7A"/>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C15759"/>
    <w:multiLevelType w:val="hybridMultilevel"/>
    <w:tmpl w:val="4B0ECDB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82C16"/>
    <w:multiLevelType w:val="hybridMultilevel"/>
    <w:tmpl w:val="A4AA84EA"/>
    <w:lvl w:ilvl="0" w:tplc="21E4B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A302C"/>
    <w:multiLevelType w:val="hybridMultilevel"/>
    <w:tmpl w:val="3714EB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12226DD"/>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BF155E"/>
    <w:multiLevelType w:val="hybridMultilevel"/>
    <w:tmpl w:val="90741B90"/>
    <w:lvl w:ilvl="0" w:tplc="861EB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3A27A0"/>
    <w:multiLevelType w:val="hybridMultilevel"/>
    <w:tmpl w:val="35C67B10"/>
    <w:lvl w:ilvl="0" w:tplc="5EC2A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4474B7"/>
    <w:multiLevelType w:val="hybridMultilevel"/>
    <w:tmpl w:val="DCEE375C"/>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7B889C"/>
    <w:multiLevelType w:val="hybridMultilevel"/>
    <w:tmpl w:val="4BA58F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FE0AE8"/>
    <w:multiLevelType w:val="hybridMultilevel"/>
    <w:tmpl w:val="1B8C430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154597"/>
    <w:multiLevelType w:val="hybridMultilevel"/>
    <w:tmpl w:val="F35E00F4"/>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C630B6"/>
    <w:multiLevelType w:val="hybridMultilevel"/>
    <w:tmpl w:val="4FCE1A5E"/>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num>
  <w:num w:numId="3">
    <w:abstractNumId w:val="0"/>
  </w:num>
  <w:num w:numId="4">
    <w:abstractNumId w:val="24"/>
  </w:num>
  <w:num w:numId="5">
    <w:abstractNumId w:val="16"/>
  </w:num>
  <w:num w:numId="6">
    <w:abstractNumId w:val="27"/>
  </w:num>
  <w:num w:numId="7">
    <w:abstractNumId w:val="18"/>
  </w:num>
  <w:num w:numId="8">
    <w:abstractNumId w:val="23"/>
  </w:num>
  <w:num w:numId="9">
    <w:abstractNumId w:val="4"/>
  </w:num>
  <w:num w:numId="10">
    <w:abstractNumId w:val="8"/>
  </w:num>
  <w:num w:numId="11">
    <w:abstractNumId w:val="22"/>
  </w:num>
  <w:num w:numId="12">
    <w:abstractNumId w:val="12"/>
  </w:num>
  <w:num w:numId="13">
    <w:abstractNumId w:val="5"/>
  </w:num>
  <w:num w:numId="14">
    <w:abstractNumId w:val="21"/>
  </w:num>
  <w:num w:numId="15">
    <w:abstractNumId w:val="25"/>
  </w:num>
  <w:num w:numId="16">
    <w:abstractNumId w:val="10"/>
  </w:num>
  <w:num w:numId="17">
    <w:abstractNumId w:val="2"/>
  </w:num>
  <w:num w:numId="18">
    <w:abstractNumId w:val="26"/>
  </w:num>
  <w:num w:numId="19">
    <w:abstractNumId w:val="7"/>
  </w:num>
  <w:num w:numId="20">
    <w:abstractNumId w:val="14"/>
  </w:num>
  <w:num w:numId="21">
    <w:abstractNumId w:val="11"/>
  </w:num>
  <w:num w:numId="22">
    <w:abstractNumId w:val="17"/>
  </w:num>
  <w:num w:numId="23">
    <w:abstractNumId w:val="1"/>
  </w:num>
  <w:num w:numId="24">
    <w:abstractNumId w:val="13"/>
  </w:num>
  <w:num w:numId="25">
    <w:abstractNumId w:val="20"/>
  </w:num>
  <w:num w:numId="26">
    <w:abstractNumId w:val="15"/>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21199F"/>
    <w:rsid w:val="00217DFC"/>
    <w:rsid w:val="00235147"/>
    <w:rsid w:val="00264DF0"/>
    <w:rsid w:val="002F724F"/>
    <w:rsid w:val="003341B8"/>
    <w:rsid w:val="004A242B"/>
    <w:rsid w:val="004B40BB"/>
    <w:rsid w:val="004E4389"/>
    <w:rsid w:val="00511169"/>
    <w:rsid w:val="00520FA3"/>
    <w:rsid w:val="005274B1"/>
    <w:rsid w:val="005875DC"/>
    <w:rsid w:val="005B5AFB"/>
    <w:rsid w:val="006161D9"/>
    <w:rsid w:val="00636FDC"/>
    <w:rsid w:val="006408E5"/>
    <w:rsid w:val="007248BE"/>
    <w:rsid w:val="00724D7A"/>
    <w:rsid w:val="007A138E"/>
    <w:rsid w:val="0081600F"/>
    <w:rsid w:val="008211CC"/>
    <w:rsid w:val="008454D3"/>
    <w:rsid w:val="00885FA0"/>
    <w:rsid w:val="008A10DB"/>
    <w:rsid w:val="008D4C95"/>
    <w:rsid w:val="009E38C8"/>
    <w:rsid w:val="009E4AB9"/>
    <w:rsid w:val="009F63A1"/>
    <w:rsid w:val="00A26C78"/>
    <w:rsid w:val="00BA21FA"/>
    <w:rsid w:val="00C110AA"/>
    <w:rsid w:val="00D05945"/>
    <w:rsid w:val="00D70335"/>
    <w:rsid w:val="00E104A9"/>
    <w:rsid w:val="00E24126"/>
    <w:rsid w:val="00E378ED"/>
    <w:rsid w:val="00E41DB0"/>
    <w:rsid w:val="00E774DE"/>
    <w:rsid w:val="00EA475E"/>
    <w:rsid w:val="00F150BB"/>
    <w:rsid w:val="00FA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1086"/>
  <w15:docId w15:val="{B4972DD8-D0F4-4455-86A9-32241DF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147"/>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1">
    <w:name w:val="Pa1"/>
    <w:basedOn w:val="Default"/>
    <w:next w:val="Default"/>
    <w:uiPriority w:val="99"/>
    <w:rsid w:val="00235147"/>
    <w:pPr>
      <w:spacing w:line="181" w:lineRule="atLeast"/>
    </w:pPr>
    <w:rPr>
      <w:rFonts w:cstheme="minorBidi"/>
      <w:color w:val="auto"/>
    </w:rPr>
  </w:style>
  <w:style w:type="paragraph" w:customStyle="1" w:styleId="Pa0">
    <w:name w:val="Pa0"/>
    <w:basedOn w:val="Default"/>
    <w:next w:val="Default"/>
    <w:uiPriority w:val="99"/>
    <w:rsid w:val="00235147"/>
    <w:pPr>
      <w:spacing w:line="171" w:lineRule="atLeast"/>
    </w:pPr>
    <w:rPr>
      <w:rFonts w:cstheme="minorBidi"/>
      <w:color w:val="auto"/>
    </w:rPr>
  </w:style>
  <w:style w:type="paragraph" w:styleId="ListParagraph">
    <w:name w:val="List Paragraph"/>
    <w:basedOn w:val="Normal"/>
    <w:uiPriority w:val="34"/>
    <w:qFormat/>
    <w:rsid w:val="008454D3"/>
    <w:pPr>
      <w:ind w:left="720"/>
      <w:contextualSpacing/>
    </w:pPr>
  </w:style>
  <w:style w:type="paragraph" w:styleId="BalloonText">
    <w:name w:val="Balloon Text"/>
    <w:basedOn w:val="Normal"/>
    <w:link w:val="BalloonTextChar"/>
    <w:uiPriority w:val="99"/>
    <w:semiHidden/>
    <w:unhideWhenUsed/>
    <w:rsid w:val="00FA451F"/>
    <w:rPr>
      <w:rFonts w:ascii="Tahoma" w:hAnsi="Tahoma" w:cs="Tahoma"/>
      <w:sz w:val="16"/>
      <w:szCs w:val="16"/>
    </w:rPr>
  </w:style>
  <w:style w:type="character" w:customStyle="1" w:styleId="BalloonTextChar">
    <w:name w:val="Balloon Text Char"/>
    <w:basedOn w:val="DefaultParagraphFont"/>
    <w:link w:val="BalloonText"/>
    <w:uiPriority w:val="99"/>
    <w:semiHidden/>
    <w:rsid w:val="00FA45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Robert</dc:creator>
  <cp:lastModifiedBy>Denise Hurd</cp:lastModifiedBy>
  <cp:revision>3</cp:revision>
  <cp:lastPrinted>2019-05-21T08:41:00Z</cp:lastPrinted>
  <dcterms:created xsi:type="dcterms:W3CDTF">2022-04-20T09:43:00Z</dcterms:created>
  <dcterms:modified xsi:type="dcterms:W3CDTF">2022-04-20T09:46:00Z</dcterms:modified>
</cp:coreProperties>
</file>