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4D0E" w:rsidR="009D6D85" w:rsidP="009D6D85" w:rsidRDefault="009D6D85">
      <w:pPr>
        <w:pStyle w:val="Header"/>
        <w:rPr>
          <w:rFonts w:ascii="Times New Roman" w:hAnsi="Times New Roman"/>
          <w:b/>
          <w:bCs/>
          <w:i/>
          <w:iCs/>
          <w:sz w:val="20"/>
          <w:szCs w:val="20"/>
        </w:rPr>
      </w:pPr>
      <w:r w:rsidRPr="00E34D0E">
        <w:rPr>
          <w:rFonts w:ascii="Times New Roman" w:hAnsi="Times New Roman"/>
          <w:b/>
          <w:bCs/>
          <w:sz w:val="20"/>
          <w:szCs w:val="20"/>
        </w:rPr>
        <w:t>Company Number:</w:t>
      </w:r>
      <w:r w:rsidRPr="00E34D0E">
        <w:rPr>
          <w:rFonts w:ascii="Times New Roman" w:hAnsi="Times New Roman"/>
          <w:bCs/>
          <w:sz w:val="20"/>
          <w:szCs w:val="20"/>
        </w:rPr>
        <w:t xml:space="preserve"> </w:t>
      </w:r>
      <w:r w:rsidRPr="00E34D0E" w:rsidR="00E34D0E">
        <w:rPr>
          <w:rStyle w:val="Strong"/>
          <w:rFonts w:ascii="Times New Roman" w:hAnsi="Times New Roman"/>
          <w:sz w:val="20"/>
          <w:szCs w:val="20"/>
          <w:lang w:val="en"/>
        </w:rPr>
        <w:t>09800044</w:t>
      </w:r>
    </w:p>
    <w:p w:rsidRPr="00E34D0E" w:rsidR="009D6D85" w:rsidP="009D6D85" w:rsidRDefault="009D6D85">
      <w:pPr>
        <w:pStyle w:val="Header"/>
        <w:pBdr>
          <w:bottom w:val="single" w:color="auto" w:sz="6" w:space="1"/>
        </w:pBdr>
        <w:spacing w:after="0"/>
        <w:jc w:val="center"/>
        <w:rPr>
          <w:rFonts w:ascii="Times New Roman" w:hAnsi="Times New Roman"/>
          <w:b/>
          <w:bCs/>
          <w:sz w:val="20"/>
          <w:szCs w:val="20"/>
        </w:rPr>
      </w:pPr>
    </w:p>
    <w:p w:rsidRPr="00E34D0E" w:rsidR="009D6D85" w:rsidP="009D6D85" w:rsidRDefault="009D6D85">
      <w:pPr>
        <w:pStyle w:val="Header"/>
        <w:pBdr>
          <w:bottom w:val="single" w:color="auto" w:sz="6" w:space="1"/>
        </w:pBdr>
        <w:spacing w:after="0"/>
        <w:jc w:val="center"/>
        <w:rPr>
          <w:rFonts w:ascii="Times New Roman" w:hAnsi="Times New Roman"/>
          <w:b/>
          <w:bCs/>
          <w:sz w:val="20"/>
          <w:szCs w:val="20"/>
        </w:rPr>
      </w:pPr>
      <w:r w:rsidRPr="00E34D0E">
        <w:rPr>
          <w:rFonts w:ascii="Times New Roman" w:hAnsi="Times New Roman"/>
          <w:b/>
          <w:bCs/>
          <w:sz w:val="20"/>
          <w:szCs w:val="20"/>
        </w:rPr>
        <w:t>THE COMPANIES ACT 2006</w:t>
      </w:r>
    </w:p>
    <w:p w:rsidRPr="00E34D0E" w:rsidR="009D6D85" w:rsidP="009D6D85" w:rsidRDefault="009D6D85">
      <w:pPr>
        <w:pStyle w:val="Header"/>
        <w:pBdr>
          <w:bottom w:val="single" w:color="auto" w:sz="6" w:space="1"/>
        </w:pBdr>
        <w:spacing w:after="0"/>
        <w:jc w:val="center"/>
        <w:rPr>
          <w:rFonts w:ascii="Times New Roman" w:hAnsi="Times New Roman"/>
          <w:b/>
          <w:bCs/>
          <w:sz w:val="20"/>
          <w:szCs w:val="20"/>
        </w:rPr>
      </w:pPr>
      <w:r w:rsidRPr="00E34D0E">
        <w:rPr>
          <w:rFonts w:ascii="Times New Roman" w:hAnsi="Times New Roman"/>
          <w:b/>
          <w:bCs/>
          <w:sz w:val="20"/>
          <w:szCs w:val="20"/>
        </w:rPr>
        <w:t xml:space="preserve">PUBLIC COMPANY LIMITED BY SHARES </w:t>
      </w:r>
    </w:p>
    <w:p w:rsidRPr="00E34D0E" w:rsidR="009D6D85" w:rsidP="009D6D85" w:rsidRDefault="009D6D85">
      <w:pPr>
        <w:pStyle w:val="Header"/>
        <w:pBdr>
          <w:bottom w:val="single" w:color="auto" w:sz="6" w:space="1"/>
        </w:pBdr>
        <w:spacing w:after="0"/>
        <w:jc w:val="center"/>
        <w:rPr>
          <w:rFonts w:ascii="Times New Roman" w:hAnsi="Times New Roman"/>
          <w:b/>
          <w:bCs/>
          <w:sz w:val="20"/>
          <w:szCs w:val="20"/>
        </w:rPr>
      </w:pPr>
    </w:p>
    <w:p w:rsidRPr="00E34D0E" w:rsidR="009D6D85" w:rsidP="009D6D85" w:rsidRDefault="009D6D85">
      <w:pPr>
        <w:pStyle w:val="Header"/>
        <w:pBdr>
          <w:bottom w:val="single" w:color="auto" w:sz="6" w:space="1"/>
        </w:pBdr>
        <w:spacing w:after="0"/>
        <w:jc w:val="center"/>
        <w:rPr>
          <w:rFonts w:ascii="Times New Roman" w:hAnsi="Times New Roman"/>
          <w:b/>
          <w:bCs/>
          <w:sz w:val="20"/>
          <w:szCs w:val="20"/>
        </w:rPr>
      </w:pPr>
      <w:r w:rsidRPr="00E34D0E">
        <w:rPr>
          <w:rFonts w:ascii="Times New Roman" w:hAnsi="Times New Roman"/>
          <w:b/>
          <w:bCs/>
          <w:sz w:val="20"/>
          <w:szCs w:val="20"/>
        </w:rPr>
        <w:t xml:space="preserve">Resolution passed at the General Meeting </w:t>
      </w:r>
    </w:p>
    <w:p w:rsidRPr="00E34D0E" w:rsidR="009D6D85" w:rsidP="009D6D85" w:rsidRDefault="009D6D85">
      <w:pPr>
        <w:pStyle w:val="Header"/>
        <w:pBdr>
          <w:bottom w:val="single" w:color="auto" w:sz="6" w:space="1"/>
        </w:pBdr>
        <w:spacing w:after="0"/>
        <w:jc w:val="center"/>
        <w:rPr>
          <w:rFonts w:ascii="Times New Roman" w:hAnsi="Times New Roman"/>
          <w:b/>
          <w:bCs/>
          <w:sz w:val="20"/>
          <w:szCs w:val="20"/>
        </w:rPr>
      </w:pPr>
      <w:r w:rsidRPr="00E34D0E">
        <w:rPr>
          <w:rFonts w:ascii="Times New Roman" w:hAnsi="Times New Roman"/>
          <w:b/>
          <w:bCs/>
          <w:sz w:val="20"/>
          <w:szCs w:val="20"/>
        </w:rPr>
        <w:t xml:space="preserve">of </w:t>
      </w:r>
      <w:r w:rsidRPr="00E34D0E" w:rsidR="00E34D0E">
        <w:rPr>
          <w:rFonts w:ascii="Times New Roman" w:hAnsi="Times New Roman"/>
          <w:b/>
          <w:bCs/>
          <w:iCs/>
          <w:sz w:val="20"/>
          <w:szCs w:val="20"/>
        </w:rPr>
        <w:t>Melrose Industries</w:t>
      </w:r>
      <w:r w:rsidRPr="00E34D0E">
        <w:rPr>
          <w:rFonts w:ascii="Times New Roman" w:hAnsi="Times New Roman"/>
          <w:b/>
          <w:bCs/>
          <w:iCs/>
          <w:sz w:val="20"/>
          <w:szCs w:val="20"/>
        </w:rPr>
        <w:t xml:space="preserve"> </w:t>
      </w:r>
      <w:r w:rsidRPr="00E34D0E" w:rsidR="00E34D0E">
        <w:rPr>
          <w:rFonts w:ascii="Times New Roman" w:hAnsi="Times New Roman"/>
          <w:b/>
          <w:bCs/>
          <w:iCs/>
          <w:sz w:val="20"/>
          <w:szCs w:val="20"/>
        </w:rPr>
        <w:t>PLC</w:t>
      </w:r>
      <w:r w:rsidRPr="00E34D0E">
        <w:rPr>
          <w:rFonts w:ascii="Times New Roman" w:hAnsi="Times New Roman"/>
          <w:b/>
          <w:bCs/>
          <w:iCs/>
          <w:sz w:val="20"/>
          <w:szCs w:val="20"/>
        </w:rPr>
        <w:t xml:space="preserve"> (the “Company”)</w:t>
      </w:r>
    </w:p>
    <w:p w:rsidRPr="00E34D0E" w:rsidR="009D6D85" w:rsidP="009D6D85" w:rsidRDefault="009D6D85">
      <w:pPr>
        <w:pStyle w:val="Header"/>
        <w:pBdr>
          <w:bottom w:val="single" w:color="auto" w:sz="6" w:space="1"/>
        </w:pBdr>
        <w:spacing w:after="0"/>
        <w:jc w:val="center"/>
        <w:rPr>
          <w:rFonts w:ascii="Times New Roman" w:hAnsi="Times New Roman"/>
          <w:b/>
          <w:bCs/>
          <w:sz w:val="20"/>
          <w:szCs w:val="20"/>
        </w:rPr>
      </w:pPr>
    </w:p>
    <w:p w:rsidRPr="00E34D0E" w:rsidR="009D6D85" w:rsidP="009D6D85" w:rsidRDefault="009D6D85">
      <w:pPr>
        <w:pStyle w:val="Header"/>
        <w:pBdr>
          <w:bottom w:val="single" w:color="auto" w:sz="6" w:space="1"/>
        </w:pBdr>
        <w:spacing w:after="0"/>
        <w:jc w:val="center"/>
        <w:rPr>
          <w:rFonts w:ascii="Times New Roman" w:hAnsi="Times New Roman"/>
          <w:b/>
          <w:bCs/>
          <w:sz w:val="20"/>
          <w:szCs w:val="20"/>
        </w:rPr>
      </w:pPr>
      <w:r w:rsidRPr="00E34D0E">
        <w:rPr>
          <w:rFonts w:ascii="Times New Roman" w:hAnsi="Times New Roman"/>
          <w:b/>
          <w:bCs/>
          <w:sz w:val="20"/>
          <w:szCs w:val="20"/>
        </w:rPr>
        <w:t>held on 30 March 2023</w:t>
      </w:r>
    </w:p>
    <w:p w:rsidRPr="00E34D0E" w:rsidR="009D6D85" w:rsidP="009D6D85" w:rsidRDefault="009D6D85">
      <w:pPr>
        <w:pStyle w:val="Header"/>
        <w:pBdr>
          <w:bottom w:val="single" w:color="auto" w:sz="6" w:space="1"/>
        </w:pBdr>
        <w:spacing w:after="0"/>
        <w:rPr>
          <w:rFonts w:ascii="Times New Roman" w:hAnsi="Times New Roman"/>
          <w:b/>
          <w:bCs/>
          <w:sz w:val="20"/>
          <w:szCs w:val="20"/>
        </w:rPr>
      </w:pPr>
    </w:p>
    <w:p w:rsidRPr="00E34D0E" w:rsidR="009D6D85" w:rsidP="009D6D85" w:rsidRDefault="009D6D85">
      <w:pPr>
        <w:pStyle w:val="Header"/>
        <w:pBdr>
          <w:bottom w:val="single" w:color="auto" w:sz="6" w:space="1"/>
        </w:pBdr>
        <w:jc w:val="center"/>
        <w:rPr>
          <w:rFonts w:ascii="Times New Roman" w:hAnsi="Times New Roman"/>
          <w:b/>
          <w:bCs/>
          <w:sz w:val="20"/>
          <w:szCs w:val="20"/>
        </w:rPr>
      </w:pPr>
    </w:p>
    <w:p w:rsidRPr="00E34D0E" w:rsidR="009D6D85" w:rsidP="00EA77DA" w:rsidRDefault="009D6D85">
      <w:pPr>
        <w:pStyle w:val="Text"/>
        <w:spacing w:after="0"/>
        <w:rPr>
          <w:sz w:val="20"/>
        </w:rPr>
      </w:pPr>
      <w:r w:rsidRPr="00E34D0E">
        <w:rPr>
          <w:sz w:val="20"/>
        </w:rPr>
        <w:t>At a General Meeting of the Company duly convened and held at 1</w:t>
      </w:r>
      <w:r w:rsidRPr="00E34D0E" w:rsidR="00E34D0E">
        <w:rPr>
          <w:sz w:val="20"/>
        </w:rPr>
        <w:t>0</w:t>
      </w:r>
      <w:r w:rsidRPr="00E34D0E">
        <w:rPr>
          <w:sz w:val="20"/>
        </w:rPr>
        <w:t xml:space="preserve">.00 a.m. on 30 March 2023 at </w:t>
      </w:r>
      <w:r w:rsidRPr="00E34D0E" w:rsidR="00E34D0E">
        <w:rPr>
          <w:sz w:val="20"/>
        </w:rPr>
        <w:t>Investec Bank plc, 30 Gresham Street, London EC2V 7QN</w:t>
      </w:r>
      <w:r w:rsidRPr="00E34D0E">
        <w:rPr>
          <w:color w:val="000000"/>
          <w:sz w:val="20"/>
        </w:rPr>
        <w:t xml:space="preserve">, </w:t>
      </w:r>
      <w:r w:rsidRPr="00E34D0E">
        <w:rPr>
          <w:sz w:val="20"/>
        </w:rPr>
        <w:t xml:space="preserve">the following Resolution </w:t>
      </w:r>
      <w:r w:rsidRPr="00E34D0E" w:rsidR="00E34D0E">
        <w:rPr>
          <w:sz w:val="20"/>
        </w:rPr>
        <w:t xml:space="preserve">was </w:t>
      </w:r>
      <w:r w:rsidRPr="00E34D0E">
        <w:rPr>
          <w:sz w:val="20"/>
        </w:rPr>
        <w:t>duly passed</w:t>
      </w:r>
      <w:r w:rsidRPr="00E34D0E" w:rsidR="00E34D0E">
        <w:rPr>
          <w:sz w:val="20"/>
        </w:rPr>
        <w:t xml:space="preserve"> as an ordinary resolution</w:t>
      </w:r>
      <w:r w:rsidRPr="00E34D0E">
        <w:rPr>
          <w:sz w:val="20"/>
        </w:rPr>
        <w:t xml:space="preserve">: </w:t>
      </w:r>
    </w:p>
    <w:p w:rsidRPr="00E34D0E" w:rsidR="009D6D85" w:rsidP="009D6D85" w:rsidRDefault="009D6D85">
      <w:pPr>
        <w:spacing w:after="0"/>
        <w:rPr>
          <w:rFonts w:ascii="Times New Roman" w:hAnsi="Times New Roman"/>
          <w:b/>
          <w:sz w:val="20"/>
          <w:szCs w:val="20"/>
        </w:rPr>
      </w:pPr>
      <w:bookmarkStart w:name="_DV_M34" w:id="0"/>
      <w:bookmarkStart w:name="_DV_M35" w:id="1"/>
      <w:bookmarkEnd w:id="0"/>
      <w:bookmarkEnd w:id="1"/>
    </w:p>
    <w:p w:rsidRPr="00E34D0E" w:rsidR="009D6D85" w:rsidP="009D6D85" w:rsidRDefault="009D6D85">
      <w:pPr>
        <w:spacing w:after="0"/>
        <w:rPr>
          <w:rFonts w:ascii="Times New Roman" w:hAnsi="Times New Roman"/>
          <w:b/>
          <w:sz w:val="20"/>
          <w:szCs w:val="20"/>
        </w:rPr>
      </w:pPr>
    </w:p>
    <w:p w:rsidRPr="00E34D0E" w:rsidR="009D6D85" w:rsidP="009D6D85" w:rsidRDefault="00E34D0E">
      <w:pPr>
        <w:spacing w:after="0"/>
        <w:jc w:val="center"/>
        <w:rPr>
          <w:rFonts w:ascii="Times New Roman" w:hAnsi="Times New Roman"/>
          <w:b/>
          <w:sz w:val="20"/>
          <w:szCs w:val="20"/>
        </w:rPr>
      </w:pPr>
      <w:r w:rsidRPr="00E34D0E">
        <w:rPr>
          <w:rFonts w:ascii="Times New Roman" w:hAnsi="Times New Roman"/>
          <w:b/>
          <w:sz w:val="20"/>
          <w:szCs w:val="20"/>
        </w:rPr>
        <w:t>ORDINARY RESOLUTION</w:t>
      </w:r>
    </w:p>
    <w:p w:rsidRPr="0077798B" w:rsidR="009D6D85" w:rsidP="009D6D85" w:rsidRDefault="009D6D85">
      <w:pPr>
        <w:spacing w:after="0"/>
        <w:rPr>
          <w:rFonts w:cs="Arial"/>
          <w:sz w:val="20"/>
          <w:szCs w:val="20"/>
        </w:rPr>
      </w:pPr>
    </w:p>
    <w:p w:rsidRPr="002066C5" w:rsidR="00E34D0E" w:rsidP="00E34D0E" w:rsidRDefault="00E34D0E">
      <w:pPr>
        <w:spacing w:before="128"/>
        <w:ind w:right="583"/>
        <w:rPr>
          <w:rFonts w:ascii="Times New Roman" w:hAnsi="Times New Roman"/>
          <w:b/>
          <w:sz w:val="20"/>
          <w:szCs w:val="20"/>
        </w:rPr>
      </w:pPr>
      <w:r w:rsidRPr="002066C5">
        <w:rPr>
          <w:rFonts w:ascii="Times New Roman" w:hAnsi="Times New Roman"/>
          <w:b/>
          <w:sz w:val="20"/>
          <w:szCs w:val="20"/>
        </w:rPr>
        <w:t>THAT:</w:t>
      </w:r>
    </w:p>
    <w:p w:rsidR="00E34D0E" w:rsidP="00E34D0E" w:rsidRDefault="00E34D0E">
      <w:pPr>
        <w:pStyle w:val="ListParagraph"/>
        <w:numPr>
          <w:ilvl w:val="0"/>
          <w:numId w:val="1"/>
        </w:numPr>
        <w:tabs>
          <w:tab w:val="left" w:pos="549"/>
        </w:tabs>
        <w:spacing w:before="129" w:line="249" w:lineRule="auto"/>
        <w:ind w:right="-42"/>
        <w:jc w:val="both"/>
        <w:rPr>
          <w:sz w:val="20"/>
        </w:rPr>
      </w:pPr>
      <w:r>
        <w:rPr>
          <w:sz w:val="20"/>
        </w:rPr>
        <w:t>each holding of three Existing Melrose Shares as shown in the register of members of Melrose at a record date and time to be determined by the board of directors of the Company (the “</w:t>
      </w:r>
      <w:r>
        <w:rPr>
          <w:b/>
          <w:sz w:val="20"/>
        </w:rPr>
        <w:t>Board</w:t>
      </w:r>
      <w:r>
        <w:rPr>
          <w:sz w:val="20"/>
        </w:rPr>
        <w:t>”) (or a duly appointed committee thereof), at the discretion of the Board (or a duly appointed committee thereof), be consolidated into one ordinary share of 160/7 pence each in the capital of the Company (each resulting</w:t>
      </w:r>
      <w:r>
        <w:rPr>
          <w:spacing w:val="80"/>
          <w:sz w:val="20"/>
        </w:rPr>
        <w:t xml:space="preserve"> </w:t>
      </w:r>
      <w:r>
        <w:rPr>
          <w:sz w:val="20"/>
        </w:rPr>
        <w:t>share</w:t>
      </w:r>
      <w:r>
        <w:rPr>
          <w:spacing w:val="17"/>
          <w:sz w:val="20"/>
        </w:rPr>
        <w:t xml:space="preserve"> </w:t>
      </w:r>
      <w:r>
        <w:rPr>
          <w:sz w:val="20"/>
        </w:rPr>
        <w:t>being</w:t>
      </w:r>
      <w:r>
        <w:rPr>
          <w:spacing w:val="16"/>
          <w:sz w:val="20"/>
        </w:rPr>
        <w:t xml:space="preserve"> </w:t>
      </w:r>
      <w:r>
        <w:rPr>
          <w:sz w:val="20"/>
        </w:rPr>
        <w:t>a</w:t>
      </w:r>
      <w:r>
        <w:rPr>
          <w:spacing w:val="17"/>
          <w:sz w:val="20"/>
        </w:rPr>
        <w:t xml:space="preserve"> </w:t>
      </w:r>
      <w:r>
        <w:rPr>
          <w:sz w:val="20"/>
        </w:rPr>
        <w:t>“</w:t>
      </w:r>
      <w:r>
        <w:rPr>
          <w:b/>
          <w:sz w:val="20"/>
        </w:rPr>
        <w:t>New</w:t>
      </w:r>
      <w:r>
        <w:rPr>
          <w:b/>
          <w:spacing w:val="16"/>
          <w:sz w:val="20"/>
        </w:rPr>
        <w:t xml:space="preserve"> </w:t>
      </w:r>
      <w:r>
        <w:rPr>
          <w:b/>
          <w:sz w:val="20"/>
        </w:rPr>
        <w:t>Melrose</w:t>
      </w:r>
      <w:r>
        <w:rPr>
          <w:b/>
          <w:spacing w:val="16"/>
          <w:sz w:val="20"/>
        </w:rPr>
        <w:t xml:space="preserve"> </w:t>
      </w:r>
      <w:r>
        <w:rPr>
          <w:b/>
          <w:sz w:val="20"/>
        </w:rPr>
        <w:t>Share</w:t>
      </w:r>
      <w:r>
        <w:rPr>
          <w:sz w:val="20"/>
        </w:rPr>
        <w:t>”)</w:t>
      </w:r>
      <w:r>
        <w:rPr>
          <w:spacing w:val="16"/>
          <w:sz w:val="20"/>
        </w:rPr>
        <w:t xml:space="preserve"> </w:t>
      </w:r>
      <w:r>
        <w:rPr>
          <w:sz w:val="20"/>
        </w:rPr>
        <w:t>and</w:t>
      </w:r>
      <w:r>
        <w:rPr>
          <w:spacing w:val="17"/>
          <w:sz w:val="20"/>
        </w:rPr>
        <w:t xml:space="preserve"> </w:t>
      </w:r>
      <w:r>
        <w:rPr>
          <w:sz w:val="20"/>
        </w:rPr>
        <w:t>in</w:t>
      </w:r>
      <w:r>
        <w:rPr>
          <w:spacing w:val="16"/>
          <w:sz w:val="20"/>
        </w:rPr>
        <w:t xml:space="preserve"> </w:t>
      </w:r>
      <w:r>
        <w:rPr>
          <w:sz w:val="20"/>
        </w:rPr>
        <w:t>such</w:t>
      </w:r>
      <w:r>
        <w:rPr>
          <w:spacing w:val="17"/>
          <w:sz w:val="20"/>
        </w:rPr>
        <w:t xml:space="preserve"> </w:t>
      </w:r>
      <w:r>
        <w:rPr>
          <w:sz w:val="20"/>
        </w:rPr>
        <w:t>ratio</w:t>
      </w:r>
      <w:r>
        <w:rPr>
          <w:spacing w:val="17"/>
          <w:sz w:val="20"/>
        </w:rPr>
        <w:t xml:space="preserve"> </w:t>
      </w:r>
      <w:r>
        <w:rPr>
          <w:sz w:val="20"/>
        </w:rPr>
        <w:t>for</w:t>
      </w:r>
      <w:r>
        <w:rPr>
          <w:spacing w:val="17"/>
          <w:sz w:val="20"/>
        </w:rPr>
        <w:t xml:space="preserve"> </w:t>
      </w:r>
      <w:r>
        <w:rPr>
          <w:sz w:val="20"/>
        </w:rPr>
        <w:t>any</w:t>
      </w:r>
      <w:r>
        <w:rPr>
          <w:spacing w:val="16"/>
          <w:sz w:val="20"/>
        </w:rPr>
        <w:t xml:space="preserve"> </w:t>
      </w:r>
      <w:r>
        <w:rPr>
          <w:sz w:val="20"/>
        </w:rPr>
        <w:t>other</w:t>
      </w:r>
      <w:r>
        <w:rPr>
          <w:spacing w:val="17"/>
          <w:sz w:val="20"/>
        </w:rPr>
        <w:t xml:space="preserve"> </w:t>
      </w:r>
      <w:r>
        <w:rPr>
          <w:sz w:val="20"/>
        </w:rPr>
        <w:t>number</w:t>
      </w:r>
      <w:r>
        <w:rPr>
          <w:spacing w:val="17"/>
          <w:sz w:val="20"/>
        </w:rPr>
        <w:t xml:space="preserve"> </w:t>
      </w:r>
      <w:r>
        <w:rPr>
          <w:sz w:val="20"/>
        </w:rPr>
        <w:t>of</w:t>
      </w:r>
      <w:r>
        <w:rPr>
          <w:spacing w:val="17"/>
          <w:sz w:val="20"/>
        </w:rPr>
        <w:t xml:space="preserve"> </w:t>
      </w:r>
      <w:r>
        <w:rPr>
          <w:sz w:val="20"/>
        </w:rPr>
        <w:t>Existing</w:t>
      </w:r>
      <w:r>
        <w:rPr>
          <w:spacing w:val="17"/>
          <w:sz w:val="20"/>
        </w:rPr>
        <w:t xml:space="preserve"> </w:t>
      </w:r>
      <w:r>
        <w:rPr>
          <w:sz w:val="20"/>
        </w:rPr>
        <w:t>Melrose</w:t>
      </w:r>
      <w:r>
        <w:rPr>
          <w:spacing w:val="16"/>
          <w:sz w:val="20"/>
        </w:rPr>
        <w:t xml:space="preserve"> </w:t>
      </w:r>
      <w:r>
        <w:rPr>
          <w:sz w:val="20"/>
        </w:rPr>
        <w:t>Shares so</w:t>
      </w:r>
      <w:r>
        <w:rPr>
          <w:spacing w:val="16"/>
          <w:sz w:val="20"/>
        </w:rPr>
        <w:t xml:space="preserve"> </w:t>
      </w:r>
      <w:r>
        <w:rPr>
          <w:sz w:val="20"/>
        </w:rPr>
        <w:t>held,</w:t>
      </w:r>
      <w:r>
        <w:rPr>
          <w:spacing w:val="17"/>
          <w:sz w:val="20"/>
        </w:rPr>
        <w:t xml:space="preserve"> </w:t>
      </w:r>
      <w:r>
        <w:rPr>
          <w:b/>
          <w:sz w:val="20"/>
        </w:rPr>
        <w:t>PROVIDED</w:t>
      </w:r>
      <w:r>
        <w:rPr>
          <w:b/>
          <w:spacing w:val="15"/>
          <w:sz w:val="20"/>
        </w:rPr>
        <w:t xml:space="preserve"> </w:t>
      </w:r>
      <w:r>
        <w:rPr>
          <w:b/>
          <w:sz w:val="20"/>
        </w:rPr>
        <w:t xml:space="preserve">THAT </w:t>
      </w:r>
      <w:r>
        <w:rPr>
          <w:sz w:val="20"/>
        </w:rPr>
        <w:t>where</w:t>
      </w:r>
      <w:r>
        <w:rPr>
          <w:spacing w:val="17"/>
          <w:sz w:val="20"/>
        </w:rPr>
        <w:t xml:space="preserve"> </w:t>
      </w:r>
      <w:r>
        <w:rPr>
          <w:sz w:val="20"/>
        </w:rPr>
        <w:t>such</w:t>
      </w:r>
      <w:r>
        <w:rPr>
          <w:spacing w:val="16"/>
          <w:sz w:val="20"/>
        </w:rPr>
        <w:t xml:space="preserve"> </w:t>
      </w:r>
      <w:r>
        <w:rPr>
          <w:sz w:val="20"/>
        </w:rPr>
        <w:t>consolidation</w:t>
      </w:r>
      <w:r>
        <w:rPr>
          <w:spacing w:val="16"/>
          <w:sz w:val="20"/>
        </w:rPr>
        <w:t xml:space="preserve"> </w:t>
      </w:r>
      <w:r>
        <w:rPr>
          <w:sz w:val="20"/>
        </w:rPr>
        <w:t>results</w:t>
      </w:r>
      <w:r>
        <w:rPr>
          <w:spacing w:val="16"/>
          <w:sz w:val="20"/>
        </w:rPr>
        <w:t xml:space="preserve"> </w:t>
      </w:r>
      <w:r>
        <w:rPr>
          <w:sz w:val="20"/>
        </w:rPr>
        <w:t>in</w:t>
      </w:r>
      <w:r>
        <w:rPr>
          <w:spacing w:val="15"/>
          <w:sz w:val="20"/>
        </w:rPr>
        <w:t xml:space="preserve"> </w:t>
      </w:r>
      <w:r>
        <w:rPr>
          <w:sz w:val="20"/>
        </w:rPr>
        <w:t>any</w:t>
      </w:r>
      <w:r>
        <w:rPr>
          <w:spacing w:val="16"/>
          <w:sz w:val="20"/>
        </w:rPr>
        <w:t xml:space="preserve"> </w:t>
      </w:r>
      <w:r>
        <w:rPr>
          <w:sz w:val="20"/>
        </w:rPr>
        <w:t>member</w:t>
      </w:r>
      <w:r>
        <w:rPr>
          <w:spacing w:val="16"/>
          <w:sz w:val="20"/>
        </w:rPr>
        <w:t xml:space="preserve"> </w:t>
      </w:r>
      <w:r>
        <w:rPr>
          <w:sz w:val="20"/>
        </w:rPr>
        <w:t>being</w:t>
      </w:r>
      <w:r>
        <w:rPr>
          <w:spacing w:val="17"/>
          <w:sz w:val="20"/>
        </w:rPr>
        <w:t xml:space="preserve"> </w:t>
      </w:r>
      <w:r>
        <w:rPr>
          <w:sz w:val="20"/>
        </w:rPr>
        <w:t>entitled</w:t>
      </w:r>
      <w:r>
        <w:rPr>
          <w:spacing w:val="16"/>
          <w:sz w:val="20"/>
        </w:rPr>
        <w:t xml:space="preserve"> </w:t>
      </w:r>
      <w:r>
        <w:rPr>
          <w:sz w:val="20"/>
        </w:rPr>
        <w:t>to</w:t>
      </w:r>
      <w:r>
        <w:rPr>
          <w:spacing w:val="15"/>
          <w:sz w:val="20"/>
        </w:rPr>
        <w:t xml:space="preserve"> </w:t>
      </w:r>
      <w:r>
        <w:rPr>
          <w:sz w:val="20"/>
        </w:rPr>
        <w:t>a</w:t>
      </w:r>
      <w:r>
        <w:rPr>
          <w:spacing w:val="16"/>
          <w:sz w:val="20"/>
        </w:rPr>
        <w:t xml:space="preserve"> </w:t>
      </w:r>
      <w:r>
        <w:rPr>
          <w:sz w:val="20"/>
        </w:rPr>
        <w:t>fraction of a New Melrose Share, such fraction shall, so far as possible, be aggregated with the fractions of New Melrose</w:t>
      </w:r>
      <w:r>
        <w:rPr>
          <w:spacing w:val="40"/>
          <w:sz w:val="20"/>
        </w:rPr>
        <w:t xml:space="preserve"> </w:t>
      </w:r>
      <w:r>
        <w:rPr>
          <w:sz w:val="20"/>
        </w:rPr>
        <w:t>Shares</w:t>
      </w:r>
      <w:r>
        <w:rPr>
          <w:spacing w:val="40"/>
          <w:sz w:val="20"/>
        </w:rPr>
        <w:t xml:space="preserve"> </w:t>
      </w:r>
      <w:r>
        <w:rPr>
          <w:sz w:val="20"/>
        </w:rPr>
        <w:t>to</w:t>
      </w:r>
      <w:r>
        <w:rPr>
          <w:spacing w:val="40"/>
          <w:sz w:val="20"/>
        </w:rPr>
        <w:t xml:space="preserve"> </w:t>
      </w:r>
      <w:r>
        <w:rPr>
          <w:sz w:val="20"/>
        </w:rPr>
        <w:t>which</w:t>
      </w:r>
      <w:r>
        <w:rPr>
          <w:spacing w:val="40"/>
          <w:sz w:val="20"/>
        </w:rPr>
        <w:t xml:space="preserve"> </w:t>
      </w:r>
      <w:r>
        <w:rPr>
          <w:sz w:val="20"/>
        </w:rPr>
        <w:t>other</w:t>
      </w:r>
      <w:r>
        <w:rPr>
          <w:spacing w:val="40"/>
          <w:sz w:val="20"/>
        </w:rPr>
        <w:t xml:space="preserve"> </w:t>
      </w:r>
      <w:r>
        <w:rPr>
          <w:sz w:val="20"/>
        </w:rPr>
        <w:t>members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Company</w:t>
      </w:r>
      <w:r>
        <w:rPr>
          <w:spacing w:val="40"/>
          <w:sz w:val="20"/>
        </w:rPr>
        <w:t xml:space="preserve"> </w:t>
      </w:r>
      <w:r>
        <w:rPr>
          <w:sz w:val="20"/>
        </w:rPr>
        <w:t>may</w:t>
      </w:r>
      <w:r>
        <w:rPr>
          <w:spacing w:val="40"/>
          <w:sz w:val="20"/>
        </w:rPr>
        <w:t xml:space="preserve"> </w:t>
      </w:r>
      <w:r>
        <w:rPr>
          <w:sz w:val="20"/>
        </w:rPr>
        <w:t>be</w:t>
      </w:r>
      <w:r>
        <w:rPr>
          <w:spacing w:val="40"/>
          <w:sz w:val="20"/>
        </w:rPr>
        <w:t xml:space="preserve"> </w:t>
      </w:r>
      <w:r>
        <w:rPr>
          <w:sz w:val="20"/>
        </w:rPr>
        <w:t>entitled</w:t>
      </w:r>
      <w:r>
        <w:rPr>
          <w:spacing w:val="40"/>
          <w:sz w:val="20"/>
        </w:rPr>
        <w:t xml:space="preserve"> </w:t>
      </w:r>
      <w:r>
        <w:rPr>
          <w:sz w:val="20"/>
        </w:rPr>
        <w:t>and</w:t>
      </w:r>
      <w:r>
        <w:rPr>
          <w:spacing w:val="40"/>
          <w:sz w:val="20"/>
        </w:rPr>
        <w:t xml:space="preserve"> </w:t>
      </w:r>
      <w:r>
        <w:rPr>
          <w:sz w:val="20"/>
        </w:rPr>
        <w:t>the</w:t>
      </w:r>
      <w:r>
        <w:rPr>
          <w:spacing w:val="40"/>
          <w:sz w:val="20"/>
        </w:rPr>
        <w:t xml:space="preserve"> </w:t>
      </w:r>
      <w:r>
        <w:rPr>
          <w:sz w:val="20"/>
        </w:rPr>
        <w:t>directors</w:t>
      </w:r>
      <w:r>
        <w:rPr>
          <w:spacing w:val="40"/>
          <w:sz w:val="20"/>
        </w:rPr>
        <w:t xml:space="preserve"> </w:t>
      </w:r>
      <w:r>
        <w:rPr>
          <w:sz w:val="20"/>
        </w:rPr>
        <w:t>of</w:t>
      </w:r>
      <w:r>
        <w:rPr>
          <w:spacing w:val="40"/>
          <w:sz w:val="20"/>
        </w:rPr>
        <w:t xml:space="preserve"> </w:t>
      </w:r>
      <w:r>
        <w:rPr>
          <w:sz w:val="20"/>
        </w:rPr>
        <w:t>the Company (the “</w:t>
      </w:r>
      <w:r>
        <w:rPr>
          <w:b/>
          <w:sz w:val="20"/>
        </w:rPr>
        <w:t>Directors</w:t>
      </w:r>
      <w:r>
        <w:rPr>
          <w:sz w:val="20"/>
        </w:rPr>
        <w:t>”) be and are authorised to sell (or appoint any other person to se</w:t>
      </w:r>
      <w:bookmarkStart w:name="_GoBack" w:id="2"/>
      <w:bookmarkEnd w:id="2"/>
      <w:r>
        <w:rPr>
          <w:sz w:val="20"/>
        </w:rPr>
        <w:t>ll), on behalf of the relevant members, all the New Melrose Shares representing such fractions at the best price reasonably obtainable to any persons, and to pay the proceeds of sale (net of expenses) in due proportion to the</w:t>
      </w:r>
      <w:r>
        <w:rPr>
          <w:spacing w:val="80"/>
          <w:w w:val="150"/>
          <w:sz w:val="20"/>
        </w:rPr>
        <w:t xml:space="preserve"> </w:t>
      </w:r>
      <w:r>
        <w:rPr>
          <w:sz w:val="20"/>
        </w:rPr>
        <w:t>relevant members entitled thereto (save that any fraction of a penny which would otherwise be payable shall be rounded up or down in accordance with the usual practice of Equiniti Limited (the “</w:t>
      </w:r>
      <w:r>
        <w:rPr>
          <w:b/>
          <w:sz w:val="20"/>
        </w:rPr>
        <w:t>Registrar</w:t>
      </w:r>
      <w:r>
        <w:rPr>
          <w:sz w:val="20"/>
        </w:rPr>
        <w:t>”) and,</w:t>
      </w:r>
      <w:r>
        <w:rPr>
          <w:spacing w:val="33"/>
          <w:sz w:val="20"/>
        </w:rPr>
        <w:t xml:space="preserve"> </w:t>
      </w:r>
      <w:r>
        <w:rPr>
          <w:sz w:val="20"/>
        </w:rPr>
        <w:t>if</w:t>
      </w:r>
      <w:r>
        <w:rPr>
          <w:spacing w:val="33"/>
          <w:sz w:val="20"/>
        </w:rPr>
        <w:t xml:space="preserve"> </w:t>
      </w:r>
      <w:r>
        <w:rPr>
          <w:sz w:val="20"/>
        </w:rPr>
        <w:t>the</w:t>
      </w:r>
      <w:r>
        <w:rPr>
          <w:spacing w:val="34"/>
          <w:sz w:val="20"/>
        </w:rPr>
        <w:t xml:space="preserve"> </w:t>
      </w:r>
      <w:r>
        <w:rPr>
          <w:sz w:val="20"/>
        </w:rPr>
        <w:t>proceeds</w:t>
      </w:r>
      <w:r>
        <w:rPr>
          <w:spacing w:val="33"/>
          <w:sz w:val="20"/>
        </w:rPr>
        <w:t xml:space="preserve"> </w:t>
      </w:r>
      <w:r>
        <w:rPr>
          <w:sz w:val="20"/>
        </w:rPr>
        <w:t>are</w:t>
      </w:r>
      <w:r>
        <w:rPr>
          <w:spacing w:val="33"/>
          <w:sz w:val="20"/>
        </w:rPr>
        <w:t xml:space="preserve"> </w:t>
      </w:r>
      <w:r>
        <w:rPr>
          <w:sz w:val="20"/>
        </w:rPr>
        <w:t>less</w:t>
      </w:r>
      <w:r>
        <w:rPr>
          <w:spacing w:val="33"/>
          <w:sz w:val="20"/>
        </w:rPr>
        <w:t xml:space="preserve"> </w:t>
      </w:r>
      <w:r>
        <w:rPr>
          <w:sz w:val="20"/>
        </w:rPr>
        <w:t>than</w:t>
      </w:r>
      <w:r>
        <w:rPr>
          <w:spacing w:val="34"/>
          <w:sz w:val="20"/>
        </w:rPr>
        <w:t xml:space="preserve"> </w:t>
      </w:r>
      <w:r>
        <w:rPr>
          <w:sz w:val="20"/>
        </w:rPr>
        <w:t>£5.00</w:t>
      </w:r>
      <w:r>
        <w:rPr>
          <w:spacing w:val="33"/>
          <w:sz w:val="20"/>
        </w:rPr>
        <w:t xml:space="preserve"> </w:t>
      </w:r>
      <w:r>
        <w:rPr>
          <w:sz w:val="20"/>
        </w:rPr>
        <w:t>in</w:t>
      </w:r>
      <w:r>
        <w:rPr>
          <w:spacing w:val="33"/>
          <w:sz w:val="20"/>
        </w:rPr>
        <w:t xml:space="preserve"> </w:t>
      </w:r>
      <w:r>
        <w:rPr>
          <w:sz w:val="20"/>
        </w:rPr>
        <w:t>the</w:t>
      </w:r>
      <w:r>
        <w:rPr>
          <w:spacing w:val="33"/>
          <w:sz w:val="20"/>
        </w:rPr>
        <w:t xml:space="preserve"> </w:t>
      </w:r>
      <w:r>
        <w:rPr>
          <w:sz w:val="20"/>
        </w:rPr>
        <w:t>case</w:t>
      </w:r>
      <w:r>
        <w:rPr>
          <w:spacing w:val="33"/>
          <w:sz w:val="20"/>
        </w:rPr>
        <w:t xml:space="preserve"> </w:t>
      </w:r>
      <w:r>
        <w:rPr>
          <w:sz w:val="20"/>
        </w:rPr>
        <w:t>of</w:t>
      </w:r>
      <w:r>
        <w:rPr>
          <w:spacing w:val="35"/>
          <w:sz w:val="20"/>
        </w:rPr>
        <w:t xml:space="preserve"> </w:t>
      </w:r>
      <w:r>
        <w:rPr>
          <w:sz w:val="20"/>
        </w:rPr>
        <w:t>any</w:t>
      </w:r>
      <w:r>
        <w:rPr>
          <w:spacing w:val="33"/>
          <w:sz w:val="20"/>
        </w:rPr>
        <w:t xml:space="preserve"> </w:t>
      </w:r>
      <w:r>
        <w:rPr>
          <w:sz w:val="20"/>
        </w:rPr>
        <w:t>one</w:t>
      </w:r>
      <w:r>
        <w:rPr>
          <w:spacing w:val="33"/>
          <w:sz w:val="20"/>
        </w:rPr>
        <w:t xml:space="preserve"> </w:t>
      </w:r>
      <w:r>
        <w:rPr>
          <w:sz w:val="20"/>
        </w:rPr>
        <w:t>Shareholder,</w:t>
      </w:r>
      <w:r>
        <w:rPr>
          <w:spacing w:val="34"/>
          <w:sz w:val="20"/>
        </w:rPr>
        <w:t xml:space="preserve"> </w:t>
      </w:r>
      <w:r>
        <w:rPr>
          <w:sz w:val="20"/>
        </w:rPr>
        <w:t>they</w:t>
      </w:r>
      <w:r>
        <w:rPr>
          <w:spacing w:val="33"/>
          <w:sz w:val="20"/>
        </w:rPr>
        <w:t xml:space="preserve"> </w:t>
      </w:r>
      <w:r>
        <w:rPr>
          <w:sz w:val="20"/>
        </w:rPr>
        <w:t>will</w:t>
      </w:r>
      <w:r>
        <w:rPr>
          <w:spacing w:val="33"/>
          <w:sz w:val="20"/>
        </w:rPr>
        <w:t xml:space="preserve"> </w:t>
      </w:r>
      <w:r>
        <w:rPr>
          <w:sz w:val="20"/>
        </w:rPr>
        <w:t>be</w:t>
      </w:r>
      <w:r>
        <w:rPr>
          <w:spacing w:val="33"/>
          <w:sz w:val="20"/>
        </w:rPr>
        <w:t xml:space="preserve"> </w:t>
      </w:r>
      <w:r>
        <w:rPr>
          <w:sz w:val="20"/>
        </w:rPr>
        <w:t>donated</w:t>
      </w:r>
      <w:r>
        <w:rPr>
          <w:spacing w:val="33"/>
          <w:sz w:val="20"/>
        </w:rPr>
        <w:t xml:space="preserve"> </w:t>
      </w:r>
      <w:r>
        <w:rPr>
          <w:sz w:val="20"/>
        </w:rPr>
        <w:t>to</w:t>
      </w:r>
      <w:r>
        <w:rPr>
          <w:spacing w:val="34"/>
          <w:sz w:val="20"/>
        </w:rPr>
        <w:t xml:space="preserve"> </w:t>
      </w:r>
      <w:r>
        <w:rPr>
          <w:sz w:val="20"/>
        </w:rPr>
        <w:t>a charity chosen by the Board of the Company) and that any Director (or any person appointed by the Directors) shall be and is authorised to execute one or more instrument(s) of transfer in respect of such shares on behalf of the relevant members and to do all acts and things the Directors consider necessary or expedient to effect the transfer of such shares to, or in accordance with the directions of, any buyer of any such</w:t>
      </w:r>
      <w:r>
        <w:rPr>
          <w:spacing w:val="40"/>
          <w:sz w:val="20"/>
        </w:rPr>
        <w:t xml:space="preserve"> </w:t>
      </w:r>
      <w:r>
        <w:rPr>
          <w:sz w:val="20"/>
        </w:rPr>
        <w:t>shares</w:t>
      </w:r>
      <w:r>
        <w:rPr>
          <w:spacing w:val="40"/>
          <w:sz w:val="20"/>
        </w:rPr>
        <w:t xml:space="preserve"> </w:t>
      </w:r>
      <w:r>
        <w:rPr>
          <w:sz w:val="20"/>
        </w:rPr>
        <w:t>(the</w:t>
      </w:r>
      <w:r>
        <w:rPr>
          <w:spacing w:val="40"/>
          <w:sz w:val="20"/>
        </w:rPr>
        <w:t xml:space="preserve"> </w:t>
      </w:r>
      <w:r>
        <w:rPr>
          <w:sz w:val="20"/>
        </w:rPr>
        <w:t>“</w:t>
      </w:r>
      <w:r>
        <w:rPr>
          <w:b/>
          <w:sz w:val="20"/>
        </w:rPr>
        <w:t>Melrose</w:t>
      </w:r>
      <w:r>
        <w:rPr>
          <w:b/>
          <w:spacing w:val="40"/>
          <w:sz w:val="20"/>
        </w:rPr>
        <w:t xml:space="preserve"> </w:t>
      </w:r>
      <w:r>
        <w:rPr>
          <w:b/>
          <w:sz w:val="20"/>
        </w:rPr>
        <w:t>Share</w:t>
      </w:r>
      <w:r>
        <w:rPr>
          <w:b/>
          <w:spacing w:val="40"/>
          <w:sz w:val="20"/>
        </w:rPr>
        <w:t xml:space="preserve"> </w:t>
      </w:r>
      <w:r>
        <w:rPr>
          <w:b/>
          <w:sz w:val="20"/>
        </w:rPr>
        <w:t>Consolidation</w:t>
      </w:r>
      <w:r>
        <w:rPr>
          <w:sz w:val="20"/>
        </w:rPr>
        <w:t>”);</w:t>
      </w:r>
    </w:p>
    <w:p w:rsidR="00E34D0E" w:rsidP="00E34D0E" w:rsidRDefault="00E34D0E">
      <w:pPr>
        <w:pStyle w:val="ListParagraph"/>
        <w:numPr>
          <w:ilvl w:val="0"/>
          <w:numId w:val="1"/>
        </w:numPr>
        <w:tabs>
          <w:tab w:val="left" w:pos="549"/>
          <w:tab w:val="left" w:pos="7088"/>
        </w:tabs>
        <w:spacing w:before="118" w:line="249" w:lineRule="auto"/>
        <w:ind w:right="-42"/>
        <w:jc w:val="both"/>
        <w:rPr>
          <w:sz w:val="20"/>
        </w:rPr>
      </w:pPr>
      <w:r>
        <w:rPr>
          <w:sz w:val="20"/>
        </w:rPr>
        <w:t>upon the recommendation and conditional on the approval of the Directors and immediately prior to the ordinary shares (“</w:t>
      </w:r>
      <w:r>
        <w:rPr>
          <w:b/>
          <w:sz w:val="20"/>
        </w:rPr>
        <w:t>Dowlais Shares</w:t>
      </w:r>
      <w:r>
        <w:rPr>
          <w:sz w:val="20"/>
        </w:rPr>
        <w:t>”) of Dowlais Group plc (“</w:t>
      </w:r>
      <w:r>
        <w:rPr>
          <w:b/>
          <w:sz w:val="20"/>
        </w:rPr>
        <w:t>Dowlais</w:t>
      </w:r>
      <w:r>
        <w:rPr>
          <w:sz w:val="20"/>
        </w:rPr>
        <w:t>”) being admitted to the premium listing segment of the Official List of the Financial Conduct Authority and to trading on the main market</w:t>
      </w:r>
      <w:r>
        <w:rPr>
          <w:spacing w:val="80"/>
          <w:sz w:val="20"/>
        </w:rPr>
        <w:t xml:space="preserve"> </w:t>
      </w:r>
      <w:r>
        <w:rPr>
          <w:sz w:val="20"/>
        </w:rPr>
        <w:t>for listed securities of the London Stock Exchange (“</w:t>
      </w:r>
      <w:r>
        <w:rPr>
          <w:b/>
          <w:sz w:val="20"/>
        </w:rPr>
        <w:t>Dowlais Admission</w:t>
      </w:r>
      <w:r>
        <w:rPr>
          <w:sz w:val="20"/>
        </w:rPr>
        <w:t>”), in connection with the</w:t>
      </w:r>
      <w:r>
        <w:rPr>
          <w:spacing w:val="40"/>
          <w:sz w:val="20"/>
        </w:rPr>
        <w:t xml:space="preserve"> </w:t>
      </w:r>
      <w:r>
        <w:rPr>
          <w:sz w:val="20"/>
        </w:rPr>
        <w:t>proposed demerger of Dowlais and its business from the Company on the terms, and subject to the conditions, of the demerger agreement between Dowlais and the Company dated 2 March 2023 (the “</w:t>
      </w:r>
      <w:r>
        <w:rPr>
          <w:b/>
          <w:sz w:val="20"/>
        </w:rPr>
        <w:t>Demerger</w:t>
      </w:r>
      <w:r>
        <w:rPr>
          <w:sz w:val="20"/>
        </w:rPr>
        <w:t>” and the “</w:t>
      </w:r>
      <w:r>
        <w:rPr>
          <w:b/>
          <w:sz w:val="20"/>
        </w:rPr>
        <w:t>Demerger Agreement</w:t>
      </w:r>
      <w:r>
        <w:rPr>
          <w:sz w:val="20"/>
        </w:rPr>
        <w:t xml:space="preserve">”), the Company make an interim distribution </w:t>
      </w:r>
      <w:r>
        <w:rPr>
          <w:i/>
          <w:sz w:val="20"/>
        </w:rPr>
        <w:t xml:space="preserve">in specie </w:t>
      </w:r>
      <w:r>
        <w:rPr>
          <w:sz w:val="20"/>
        </w:rPr>
        <w:t>of 1,351,475,321 Dowlais Shares to holders of ordinary shares of the Company (“</w:t>
      </w:r>
      <w:r>
        <w:rPr>
          <w:b/>
          <w:sz w:val="20"/>
        </w:rPr>
        <w:t>Melrose Shares</w:t>
      </w:r>
      <w:r>
        <w:rPr>
          <w:sz w:val="20"/>
        </w:rPr>
        <w:t>”) on the register of members of the Company at 10:00 p.m. on 19 April 2023 (or such other time and/or date as the Directors may determine) (the “</w:t>
      </w:r>
      <w:r>
        <w:rPr>
          <w:b/>
          <w:sz w:val="20"/>
        </w:rPr>
        <w:t>Demerger Record Time</w:t>
      </w:r>
      <w:r>
        <w:rPr>
          <w:sz w:val="20"/>
        </w:rPr>
        <w:t>”) (each such holder being a “</w:t>
      </w:r>
      <w:r>
        <w:rPr>
          <w:b/>
          <w:sz w:val="20"/>
        </w:rPr>
        <w:t>Qualifying Shareholder</w:t>
      </w:r>
      <w:r>
        <w:rPr>
          <w:sz w:val="20"/>
        </w:rPr>
        <w:t>”), in the proportion of one Dowlais Share for each Melrose Share then held by each</w:t>
      </w:r>
      <w:r>
        <w:rPr>
          <w:spacing w:val="40"/>
          <w:sz w:val="20"/>
        </w:rPr>
        <w:t xml:space="preserve"> </w:t>
      </w:r>
      <w:r>
        <w:rPr>
          <w:sz w:val="20"/>
        </w:rPr>
        <w:t>Qualifying Shareholder, so that immediately prior to Dowlais Admission each Qualifying Shareholder will hold an entitlement to one Dowlais Share for each Melrose Share held by such Qualifying Shareholder at</w:t>
      </w:r>
      <w:r>
        <w:rPr>
          <w:spacing w:val="40"/>
          <w:sz w:val="20"/>
        </w:rPr>
        <w:t xml:space="preserve"> </w:t>
      </w:r>
      <w:r>
        <w:rPr>
          <w:sz w:val="20"/>
        </w:rPr>
        <w:t>the Demerger Record Time (the “</w:t>
      </w:r>
      <w:r>
        <w:rPr>
          <w:b/>
          <w:sz w:val="20"/>
        </w:rPr>
        <w:t>Demerger Distribution</w:t>
      </w:r>
      <w:r>
        <w:rPr>
          <w:sz w:val="20"/>
        </w:rPr>
        <w:t>”), provided that for Shareholders to whom it is not possible or impractical without undue expense, complexity or registration or filing in another</w:t>
      </w:r>
      <w:r>
        <w:rPr>
          <w:spacing w:val="40"/>
          <w:sz w:val="20"/>
        </w:rPr>
        <w:t xml:space="preserve"> </w:t>
      </w:r>
      <w:r>
        <w:rPr>
          <w:sz w:val="20"/>
        </w:rPr>
        <w:t>jurisdiction</w:t>
      </w:r>
      <w:r>
        <w:rPr>
          <w:spacing w:val="40"/>
          <w:sz w:val="20"/>
        </w:rPr>
        <w:t xml:space="preserve"> </w:t>
      </w:r>
      <w:r>
        <w:rPr>
          <w:sz w:val="20"/>
        </w:rPr>
        <w:t>to</w:t>
      </w:r>
      <w:r>
        <w:rPr>
          <w:spacing w:val="40"/>
          <w:sz w:val="20"/>
        </w:rPr>
        <w:t xml:space="preserve"> </w:t>
      </w:r>
      <w:r>
        <w:rPr>
          <w:sz w:val="20"/>
        </w:rPr>
        <w:t>make</w:t>
      </w:r>
      <w:r>
        <w:rPr>
          <w:spacing w:val="40"/>
          <w:sz w:val="20"/>
        </w:rPr>
        <w:t xml:space="preserve"> </w:t>
      </w:r>
      <w:r>
        <w:rPr>
          <w:sz w:val="20"/>
        </w:rPr>
        <w:t>an</w:t>
      </w:r>
      <w:r>
        <w:rPr>
          <w:spacing w:val="40"/>
          <w:sz w:val="20"/>
        </w:rPr>
        <w:t xml:space="preserve"> </w:t>
      </w:r>
      <w:r>
        <w:rPr>
          <w:i/>
          <w:sz w:val="20"/>
        </w:rPr>
        <w:t>in</w:t>
      </w:r>
      <w:r>
        <w:rPr>
          <w:i/>
          <w:spacing w:val="40"/>
          <w:sz w:val="20"/>
        </w:rPr>
        <w:t xml:space="preserve"> </w:t>
      </w:r>
      <w:r>
        <w:rPr>
          <w:i/>
          <w:sz w:val="20"/>
        </w:rPr>
        <w:t>specie</w:t>
      </w:r>
      <w:r>
        <w:rPr>
          <w:i/>
          <w:spacing w:val="40"/>
          <w:sz w:val="20"/>
        </w:rPr>
        <w:t xml:space="preserve"> </w:t>
      </w:r>
      <w:r>
        <w:rPr>
          <w:sz w:val="20"/>
        </w:rPr>
        <w:t>distribution</w:t>
      </w:r>
      <w:r>
        <w:rPr>
          <w:spacing w:val="40"/>
          <w:sz w:val="20"/>
        </w:rPr>
        <w:t xml:space="preserve"> </w:t>
      </w:r>
      <w:r>
        <w:rPr>
          <w:sz w:val="20"/>
        </w:rPr>
        <w:t>of</w:t>
      </w:r>
      <w:r>
        <w:rPr>
          <w:spacing w:val="40"/>
          <w:sz w:val="20"/>
        </w:rPr>
        <w:t xml:space="preserve"> </w:t>
      </w:r>
      <w:r>
        <w:rPr>
          <w:sz w:val="20"/>
        </w:rPr>
        <w:t>Dowlais</w:t>
      </w:r>
      <w:r>
        <w:rPr>
          <w:spacing w:val="40"/>
          <w:sz w:val="20"/>
        </w:rPr>
        <w:t xml:space="preserve"> </w:t>
      </w:r>
      <w:r>
        <w:rPr>
          <w:sz w:val="20"/>
        </w:rPr>
        <w:t>Shares,</w:t>
      </w:r>
      <w:r>
        <w:rPr>
          <w:spacing w:val="40"/>
          <w:sz w:val="20"/>
        </w:rPr>
        <w:t xml:space="preserve"> </w:t>
      </w:r>
      <w:r>
        <w:rPr>
          <w:sz w:val="20"/>
        </w:rPr>
        <w:t>the</w:t>
      </w:r>
      <w:r>
        <w:rPr>
          <w:spacing w:val="40"/>
          <w:sz w:val="20"/>
        </w:rPr>
        <w:t xml:space="preserve"> </w:t>
      </w:r>
      <w:r>
        <w:rPr>
          <w:sz w:val="20"/>
        </w:rPr>
        <w:t>Board</w:t>
      </w:r>
      <w:r>
        <w:rPr>
          <w:spacing w:val="40"/>
          <w:sz w:val="20"/>
        </w:rPr>
        <w:t xml:space="preserve"> </w:t>
      </w:r>
      <w:r>
        <w:rPr>
          <w:sz w:val="20"/>
        </w:rPr>
        <w:t>is</w:t>
      </w:r>
      <w:r>
        <w:rPr>
          <w:spacing w:val="40"/>
          <w:sz w:val="20"/>
        </w:rPr>
        <w:t xml:space="preserve"> </w:t>
      </w:r>
      <w:r>
        <w:rPr>
          <w:sz w:val="20"/>
        </w:rPr>
        <w:t>authorised</w:t>
      </w:r>
      <w:r>
        <w:rPr>
          <w:spacing w:val="40"/>
          <w:sz w:val="20"/>
        </w:rPr>
        <w:t xml:space="preserve"> </w:t>
      </w:r>
      <w:r>
        <w:rPr>
          <w:sz w:val="20"/>
        </w:rPr>
        <w:t>to,</w:t>
      </w:r>
      <w:r>
        <w:rPr>
          <w:spacing w:val="40"/>
          <w:sz w:val="20"/>
        </w:rPr>
        <w:t xml:space="preserve"> </w:t>
      </w:r>
      <w:r>
        <w:rPr>
          <w:sz w:val="20"/>
        </w:rPr>
        <w:t>at</w:t>
      </w:r>
      <w:r>
        <w:rPr>
          <w:spacing w:val="40"/>
          <w:sz w:val="20"/>
        </w:rPr>
        <w:t xml:space="preserve"> </w:t>
      </w:r>
      <w:r>
        <w:rPr>
          <w:sz w:val="20"/>
        </w:rPr>
        <w:t xml:space="preserve">its discretion (or at the discretion of a duly appointed committee thereof), sell (or procure the sale of) the Dowlais Shares to which they would otherwise be entitled in the market and pay the net proceeds to such </w:t>
      </w:r>
      <w:r>
        <w:rPr>
          <w:sz w:val="20"/>
        </w:rPr>
        <w:lastRenderedPageBreak/>
        <w:t>Shareholders in settlement of their entitlement to the distribution. Each and any of the Directors be and is authorised to do or procure to be done all such acts and things on behalf of the Company and each of its subsidiaries as they may, in their discretion, consider necessary or expedient for the purpose of giving</w:t>
      </w:r>
      <w:r>
        <w:rPr>
          <w:spacing w:val="80"/>
          <w:w w:val="150"/>
          <w:sz w:val="20"/>
        </w:rPr>
        <w:t xml:space="preserve"> </w:t>
      </w:r>
      <w:r>
        <w:rPr>
          <w:sz w:val="20"/>
        </w:rPr>
        <w:t>effect</w:t>
      </w:r>
      <w:r>
        <w:rPr>
          <w:spacing w:val="23"/>
          <w:sz w:val="20"/>
        </w:rPr>
        <w:t xml:space="preserve"> </w:t>
      </w:r>
      <w:r>
        <w:rPr>
          <w:sz w:val="20"/>
        </w:rPr>
        <w:t>to</w:t>
      </w:r>
      <w:r>
        <w:rPr>
          <w:spacing w:val="22"/>
          <w:sz w:val="20"/>
        </w:rPr>
        <w:t xml:space="preserve"> </w:t>
      </w:r>
      <w:r>
        <w:rPr>
          <w:sz w:val="20"/>
        </w:rPr>
        <w:t>the</w:t>
      </w:r>
      <w:r>
        <w:rPr>
          <w:spacing w:val="22"/>
          <w:sz w:val="20"/>
        </w:rPr>
        <w:t xml:space="preserve"> </w:t>
      </w:r>
      <w:r>
        <w:rPr>
          <w:sz w:val="20"/>
        </w:rPr>
        <w:t>Demerger</w:t>
      </w:r>
      <w:r>
        <w:rPr>
          <w:spacing w:val="21"/>
          <w:sz w:val="20"/>
        </w:rPr>
        <w:t xml:space="preserve"> </w:t>
      </w:r>
      <w:r>
        <w:rPr>
          <w:sz w:val="20"/>
        </w:rPr>
        <w:t>Distribution</w:t>
      </w:r>
      <w:r>
        <w:rPr>
          <w:spacing w:val="23"/>
          <w:sz w:val="20"/>
        </w:rPr>
        <w:t xml:space="preserve"> </w:t>
      </w:r>
      <w:r>
        <w:rPr>
          <w:sz w:val="20"/>
        </w:rPr>
        <w:t>with</w:t>
      </w:r>
      <w:r>
        <w:rPr>
          <w:spacing w:val="22"/>
          <w:sz w:val="20"/>
        </w:rPr>
        <w:t xml:space="preserve"> </w:t>
      </w:r>
      <w:r>
        <w:rPr>
          <w:sz w:val="20"/>
        </w:rPr>
        <w:t>such</w:t>
      </w:r>
      <w:r>
        <w:rPr>
          <w:spacing w:val="22"/>
          <w:sz w:val="20"/>
        </w:rPr>
        <w:t xml:space="preserve"> </w:t>
      </w:r>
      <w:r>
        <w:rPr>
          <w:sz w:val="20"/>
        </w:rPr>
        <w:t>amendments,</w:t>
      </w:r>
      <w:r>
        <w:rPr>
          <w:spacing w:val="22"/>
          <w:sz w:val="20"/>
        </w:rPr>
        <w:t xml:space="preserve"> </w:t>
      </w:r>
      <w:r>
        <w:rPr>
          <w:sz w:val="20"/>
        </w:rPr>
        <w:t>modifications,</w:t>
      </w:r>
      <w:r>
        <w:rPr>
          <w:spacing w:val="22"/>
          <w:sz w:val="20"/>
        </w:rPr>
        <w:t xml:space="preserve"> </w:t>
      </w:r>
      <w:r>
        <w:rPr>
          <w:sz w:val="20"/>
        </w:rPr>
        <w:t>variations</w:t>
      </w:r>
      <w:r>
        <w:rPr>
          <w:spacing w:val="23"/>
          <w:sz w:val="20"/>
        </w:rPr>
        <w:t xml:space="preserve"> </w:t>
      </w:r>
      <w:r>
        <w:rPr>
          <w:sz w:val="20"/>
        </w:rPr>
        <w:t>or</w:t>
      </w:r>
      <w:r>
        <w:rPr>
          <w:spacing w:val="22"/>
          <w:sz w:val="20"/>
        </w:rPr>
        <w:t xml:space="preserve"> </w:t>
      </w:r>
      <w:r>
        <w:rPr>
          <w:sz w:val="20"/>
        </w:rPr>
        <w:t>revisions</w:t>
      </w:r>
      <w:r>
        <w:rPr>
          <w:spacing w:val="22"/>
          <w:sz w:val="20"/>
        </w:rPr>
        <w:t xml:space="preserve"> </w:t>
      </w:r>
      <w:r>
        <w:rPr>
          <w:sz w:val="20"/>
        </w:rPr>
        <w:t>thereto as</w:t>
      </w:r>
      <w:r>
        <w:rPr>
          <w:spacing w:val="40"/>
          <w:sz w:val="20"/>
        </w:rPr>
        <w:t xml:space="preserve"> </w:t>
      </w:r>
      <w:r>
        <w:rPr>
          <w:sz w:val="20"/>
        </w:rPr>
        <w:t>are</w:t>
      </w:r>
      <w:r>
        <w:rPr>
          <w:spacing w:val="40"/>
          <w:sz w:val="20"/>
        </w:rPr>
        <w:t xml:space="preserve"> </w:t>
      </w:r>
      <w:r>
        <w:rPr>
          <w:sz w:val="20"/>
        </w:rPr>
        <w:t>not</w:t>
      </w:r>
      <w:r>
        <w:rPr>
          <w:spacing w:val="40"/>
          <w:sz w:val="20"/>
        </w:rPr>
        <w:t xml:space="preserve"> </w:t>
      </w:r>
      <w:r>
        <w:rPr>
          <w:sz w:val="20"/>
        </w:rPr>
        <w:t>of</w:t>
      </w:r>
      <w:r>
        <w:rPr>
          <w:spacing w:val="40"/>
          <w:sz w:val="20"/>
        </w:rPr>
        <w:t xml:space="preserve"> </w:t>
      </w:r>
      <w:r>
        <w:rPr>
          <w:sz w:val="20"/>
        </w:rPr>
        <w:t>a</w:t>
      </w:r>
      <w:r>
        <w:rPr>
          <w:spacing w:val="40"/>
          <w:sz w:val="20"/>
        </w:rPr>
        <w:t xml:space="preserve"> </w:t>
      </w:r>
      <w:r>
        <w:rPr>
          <w:sz w:val="20"/>
        </w:rPr>
        <w:t>material</w:t>
      </w:r>
      <w:r>
        <w:rPr>
          <w:spacing w:val="40"/>
          <w:sz w:val="20"/>
        </w:rPr>
        <w:t xml:space="preserve"> </w:t>
      </w:r>
      <w:r>
        <w:rPr>
          <w:sz w:val="20"/>
        </w:rPr>
        <w:t>nature;</w:t>
      </w:r>
    </w:p>
    <w:p w:rsidR="00E34D0E" w:rsidP="00E34D0E" w:rsidRDefault="00E34D0E">
      <w:pPr>
        <w:pStyle w:val="ListParagraph"/>
        <w:numPr>
          <w:ilvl w:val="0"/>
          <w:numId w:val="1"/>
        </w:numPr>
        <w:tabs>
          <w:tab w:val="left" w:pos="549"/>
        </w:tabs>
        <w:spacing w:before="129" w:line="249" w:lineRule="auto"/>
        <w:ind w:right="-42"/>
        <w:jc w:val="both"/>
        <w:rPr>
          <w:sz w:val="20"/>
        </w:rPr>
      </w:pPr>
      <w:r>
        <w:rPr>
          <w:sz w:val="20"/>
        </w:rPr>
        <w:t>the Demerger, on the terms, and subject to the conditions, of the Demerger Agreement and all agreements entered into pursuant to or in connection with the Demerger, with such modifications (if any) as may be made in the manner specified below, be and is approved for the purposes of Chapter 10 of the Listing</w:t>
      </w:r>
      <w:r w:rsidRPr="00E34D0E">
        <w:rPr>
          <w:sz w:val="20"/>
        </w:rPr>
        <w:t xml:space="preserve"> </w:t>
      </w:r>
      <w:r>
        <w:rPr>
          <w:sz w:val="20"/>
        </w:rPr>
        <w:t>Rules,</w:t>
      </w:r>
      <w:r w:rsidRPr="00E34D0E">
        <w:rPr>
          <w:sz w:val="20"/>
        </w:rPr>
        <w:t xml:space="preserve"> </w:t>
      </w:r>
      <w:r>
        <w:rPr>
          <w:sz w:val="20"/>
        </w:rPr>
        <w:t>as</w:t>
      </w:r>
      <w:r w:rsidRPr="00E34D0E">
        <w:rPr>
          <w:sz w:val="20"/>
        </w:rPr>
        <w:t xml:space="preserve"> </w:t>
      </w:r>
      <w:r>
        <w:rPr>
          <w:sz w:val="20"/>
        </w:rPr>
        <w:t>amended,</w:t>
      </w:r>
      <w:r w:rsidRPr="00E34D0E">
        <w:rPr>
          <w:sz w:val="20"/>
        </w:rPr>
        <w:t xml:space="preserve"> </w:t>
      </w:r>
      <w:r>
        <w:rPr>
          <w:sz w:val="20"/>
        </w:rPr>
        <w:t>and</w:t>
      </w:r>
      <w:r w:rsidRPr="00E34D0E">
        <w:rPr>
          <w:sz w:val="20"/>
        </w:rPr>
        <w:t xml:space="preserve"> </w:t>
      </w:r>
      <w:r>
        <w:rPr>
          <w:sz w:val="20"/>
        </w:rPr>
        <w:t>generally;</w:t>
      </w:r>
    </w:p>
    <w:p w:rsidR="00E34D0E" w:rsidP="00E34D0E" w:rsidRDefault="00E34D0E">
      <w:pPr>
        <w:pStyle w:val="ListParagraph"/>
        <w:numPr>
          <w:ilvl w:val="0"/>
          <w:numId w:val="1"/>
        </w:numPr>
        <w:tabs>
          <w:tab w:val="left" w:pos="549"/>
        </w:tabs>
        <w:spacing w:before="129" w:line="249" w:lineRule="auto"/>
        <w:ind w:right="-42"/>
        <w:jc w:val="both"/>
        <w:rPr>
          <w:sz w:val="20"/>
        </w:rPr>
      </w:pPr>
      <w:r>
        <w:rPr>
          <w:sz w:val="20"/>
        </w:rPr>
        <w:t>each and any of the Directors be and is authorised to conclude and implement the Demerger in accordance with</w:t>
      </w:r>
      <w:r w:rsidRPr="00E34D0E">
        <w:rPr>
          <w:sz w:val="20"/>
        </w:rPr>
        <w:t xml:space="preserve"> </w:t>
      </w:r>
      <w:r>
        <w:rPr>
          <w:sz w:val="20"/>
        </w:rPr>
        <w:t>the</w:t>
      </w:r>
      <w:r w:rsidRPr="00E34D0E">
        <w:rPr>
          <w:sz w:val="20"/>
        </w:rPr>
        <w:t xml:space="preserve"> </w:t>
      </w:r>
      <w:r>
        <w:rPr>
          <w:sz w:val="20"/>
        </w:rPr>
        <w:t>terms</w:t>
      </w:r>
      <w:r w:rsidRPr="00E34D0E">
        <w:rPr>
          <w:sz w:val="20"/>
        </w:rPr>
        <w:t xml:space="preserve"> </w:t>
      </w:r>
      <w:r>
        <w:rPr>
          <w:sz w:val="20"/>
        </w:rPr>
        <w:t>and</w:t>
      </w:r>
      <w:r w:rsidRPr="00E34D0E">
        <w:rPr>
          <w:sz w:val="20"/>
        </w:rPr>
        <w:t xml:space="preserve"> </w:t>
      </w:r>
      <w:r>
        <w:rPr>
          <w:sz w:val="20"/>
        </w:rPr>
        <w:t>conditions</w:t>
      </w:r>
      <w:r w:rsidRPr="00E34D0E">
        <w:rPr>
          <w:sz w:val="20"/>
        </w:rPr>
        <w:t xml:space="preserve"> </w:t>
      </w:r>
      <w:r>
        <w:rPr>
          <w:sz w:val="20"/>
        </w:rPr>
        <w:t>of</w:t>
      </w:r>
      <w:r w:rsidRPr="00E34D0E">
        <w:rPr>
          <w:sz w:val="20"/>
        </w:rPr>
        <w:t xml:space="preserve"> </w:t>
      </w:r>
      <w:r>
        <w:rPr>
          <w:sz w:val="20"/>
        </w:rPr>
        <w:t>the</w:t>
      </w:r>
      <w:r w:rsidRPr="00E34D0E">
        <w:rPr>
          <w:sz w:val="20"/>
        </w:rPr>
        <w:t xml:space="preserve"> </w:t>
      </w:r>
      <w:r>
        <w:rPr>
          <w:sz w:val="20"/>
        </w:rPr>
        <w:t>Demerger</w:t>
      </w:r>
      <w:r w:rsidRPr="00E34D0E">
        <w:rPr>
          <w:sz w:val="20"/>
        </w:rPr>
        <w:t xml:space="preserve"> </w:t>
      </w:r>
      <w:r>
        <w:rPr>
          <w:sz w:val="20"/>
        </w:rPr>
        <w:t>Agreement</w:t>
      </w:r>
      <w:r w:rsidRPr="00E34D0E">
        <w:rPr>
          <w:sz w:val="20"/>
        </w:rPr>
        <w:t xml:space="preserve"> </w:t>
      </w:r>
      <w:r>
        <w:rPr>
          <w:sz w:val="20"/>
        </w:rPr>
        <w:t>and</w:t>
      </w:r>
      <w:r w:rsidRPr="00E34D0E">
        <w:rPr>
          <w:sz w:val="20"/>
        </w:rPr>
        <w:t xml:space="preserve"> </w:t>
      </w:r>
      <w:r>
        <w:rPr>
          <w:sz w:val="20"/>
        </w:rPr>
        <w:t>all</w:t>
      </w:r>
      <w:r w:rsidRPr="00E34D0E">
        <w:rPr>
          <w:sz w:val="20"/>
        </w:rPr>
        <w:t xml:space="preserve"> </w:t>
      </w:r>
      <w:r>
        <w:rPr>
          <w:sz w:val="20"/>
        </w:rPr>
        <w:t>agreements</w:t>
      </w:r>
      <w:r w:rsidRPr="00E34D0E">
        <w:rPr>
          <w:sz w:val="20"/>
        </w:rPr>
        <w:t xml:space="preserve"> </w:t>
      </w:r>
      <w:r>
        <w:rPr>
          <w:sz w:val="20"/>
        </w:rPr>
        <w:t>entered</w:t>
      </w:r>
      <w:r w:rsidRPr="00E34D0E">
        <w:rPr>
          <w:sz w:val="20"/>
        </w:rPr>
        <w:t xml:space="preserve"> </w:t>
      </w:r>
      <w:r>
        <w:rPr>
          <w:sz w:val="20"/>
        </w:rPr>
        <w:t>into</w:t>
      </w:r>
      <w:r w:rsidRPr="00E34D0E">
        <w:rPr>
          <w:sz w:val="20"/>
        </w:rPr>
        <w:t xml:space="preserve"> </w:t>
      </w:r>
      <w:r>
        <w:rPr>
          <w:sz w:val="20"/>
        </w:rPr>
        <w:t>pursuant</w:t>
      </w:r>
      <w:r w:rsidRPr="00E34D0E">
        <w:rPr>
          <w:sz w:val="20"/>
        </w:rPr>
        <w:t xml:space="preserve"> </w:t>
      </w:r>
      <w:r>
        <w:rPr>
          <w:sz w:val="20"/>
        </w:rPr>
        <w:t>to</w:t>
      </w:r>
      <w:r w:rsidRPr="00E34D0E">
        <w:rPr>
          <w:sz w:val="20"/>
        </w:rPr>
        <w:t xml:space="preserve"> </w:t>
      </w:r>
      <w:r>
        <w:rPr>
          <w:sz w:val="20"/>
        </w:rPr>
        <w:t>or in connection with the Demerger and to do or procure to be done all such acts and things on behalf of the Company and each of its subsidiaries as they may, in their discretion, consider necessary or expedient for</w:t>
      </w:r>
      <w:r w:rsidRPr="00E34D0E">
        <w:rPr>
          <w:sz w:val="20"/>
        </w:rPr>
        <w:t xml:space="preserve"> </w:t>
      </w:r>
      <w:r>
        <w:rPr>
          <w:sz w:val="20"/>
        </w:rPr>
        <w:t>the purpose of giving effect to the Demerger with such amendments, modifications, variations or revisions thereto</w:t>
      </w:r>
      <w:r w:rsidRPr="00E34D0E">
        <w:rPr>
          <w:sz w:val="20"/>
        </w:rPr>
        <w:t xml:space="preserve"> </w:t>
      </w:r>
      <w:r>
        <w:rPr>
          <w:sz w:val="20"/>
        </w:rPr>
        <w:t>as</w:t>
      </w:r>
      <w:r w:rsidRPr="00E34D0E">
        <w:rPr>
          <w:sz w:val="20"/>
        </w:rPr>
        <w:t xml:space="preserve"> </w:t>
      </w:r>
      <w:r>
        <w:rPr>
          <w:sz w:val="20"/>
        </w:rPr>
        <w:t>are</w:t>
      </w:r>
      <w:r w:rsidRPr="00E34D0E">
        <w:rPr>
          <w:sz w:val="20"/>
        </w:rPr>
        <w:t xml:space="preserve"> </w:t>
      </w:r>
      <w:r>
        <w:rPr>
          <w:sz w:val="20"/>
        </w:rPr>
        <w:t>not</w:t>
      </w:r>
      <w:r w:rsidRPr="00E34D0E">
        <w:rPr>
          <w:sz w:val="20"/>
        </w:rPr>
        <w:t xml:space="preserve"> </w:t>
      </w:r>
      <w:r>
        <w:rPr>
          <w:sz w:val="20"/>
        </w:rPr>
        <w:t>of</w:t>
      </w:r>
      <w:r w:rsidRPr="00E34D0E">
        <w:rPr>
          <w:sz w:val="20"/>
        </w:rPr>
        <w:t xml:space="preserve"> </w:t>
      </w:r>
      <w:r>
        <w:rPr>
          <w:sz w:val="20"/>
        </w:rPr>
        <w:t>a</w:t>
      </w:r>
      <w:r w:rsidRPr="00E34D0E">
        <w:rPr>
          <w:sz w:val="20"/>
        </w:rPr>
        <w:t xml:space="preserve"> </w:t>
      </w:r>
      <w:r>
        <w:rPr>
          <w:sz w:val="20"/>
        </w:rPr>
        <w:t>material</w:t>
      </w:r>
      <w:r w:rsidRPr="00E34D0E">
        <w:rPr>
          <w:sz w:val="20"/>
        </w:rPr>
        <w:t xml:space="preserve"> </w:t>
      </w:r>
      <w:r>
        <w:rPr>
          <w:sz w:val="20"/>
        </w:rPr>
        <w:t>nature;</w:t>
      </w:r>
      <w:r w:rsidRPr="00E34D0E">
        <w:rPr>
          <w:sz w:val="20"/>
        </w:rPr>
        <w:t xml:space="preserve"> </w:t>
      </w:r>
      <w:r>
        <w:rPr>
          <w:sz w:val="20"/>
        </w:rPr>
        <w:t>and</w:t>
      </w:r>
    </w:p>
    <w:p w:rsidR="00E34D0E" w:rsidP="00E34D0E" w:rsidRDefault="00E34D0E">
      <w:pPr>
        <w:pStyle w:val="ListParagraph"/>
        <w:numPr>
          <w:ilvl w:val="0"/>
          <w:numId w:val="1"/>
        </w:numPr>
        <w:tabs>
          <w:tab w:val="left" w:pos="549"/>
        </w:tabs>
        <w:spacing w:before="129" w:line="249" w:lineRule="auto"/>
        <w:ind w:right="-42"/>
        <w:jc w:val="both"/>
        <w:rPr>
          <w:sz w:val="20"/>
        </w:rPr>
      </w:pPr>
      <w:r>
        <w:rPr>
          <w:sz w:val="20"/>
        </w:rPr>
        <w:t xml:space="preserve">conditional on Dowlais Admission, the following adjustments to the Company’s incentive arrangements be </w:t>
      </w:r>
      <w:r w:rsidRPr="00E34D0E">
        <w:rPr>
          <w:sz w:val="20"/>
        </w:rPr>
        <w:t>implemented:</w:t>
      </w:r>
    </w:p>
    <w:p w:rsidR="00E34D0E" w:rsidP="00E34D0E" w:rsidRDefault="00E34D0E">
      <w:pPr>
        <w:pStyle w:val="ListParagraph"/>
        <w:numPr>
          <w:ilvl w:val="1"/>
          <w:numId w:val="1"/>
        </w:numPr>
        <w:tabs>
          <w:tab w:val="left" w:pos="947"/>
        </w:tabs>
        <w:spacing w:before="82" w:line="249" w:lineRule="auto"/>
        <w:ind w:right="-43"/>
        <w:jc w:val="both"/>
        <w:rPr>
          <w:sz w:val="20"/>
        </w:rPr>
      </w:pPr>
      <w:r>
        <w:rPr>
          <w:sz w:val="20"/>
        </w:rPr>
        <w:t>the 2020 Melrose Employee Share Plan be amended, the principal terms of such amendments being summarised in Part VII of the Circular to Shareholders accompanying this Notice of General Meeting and the rules of which will be produced at the meeting and for the purposes of identification initialled by the Chairman, and the Board be and is authorised to do all such acts and things necessary or desirable to implement the proposed amendments to the 2020 Melrose Employee Share Plan, and to establish such further plans based on the 2020 Melrose Employee Share Plan or schedules to the 2020 Melrose Employee Share Plan as the Board considers necessary or desirable but which have been modified to take account of local tax, exchange control or securities laws in overseas territories, provided that any Shares made available under such further plans or schedules are treated as counting against</w:t>
      </w:r>
      <w:r>
        <w:rPr>
          <w:spacing w:val="40"/>
          <w:sz w:val="20"/>
        </w:rPr>
        <w:t xml:space="preserve"> </w:t>
      </w:r>
      <w:r>
        <w:rPr>
          <w:sz w:val="20"/>
        </w:rPr>
        <w:t>any</w:t>
      </w:r>
      <w:r>
        <w:rPr>
          <w:spacing w:val="40"/>
          <w:sz w:val="20"/>
        </w:rPr>
        <w:t xml:space="preserve"> </w:t>
      </w:r>
      <w:r>
        <w:rPr>
          <w:sz w:val="20"/>
        </w:rPr>
        <w:t>limits</w:t>
      </w:r>
      <w:r>
        <w:rPr>
          <w:spacing w:val="40"/>
          <w:sz w:val="20"/>
        </w:rPr>
        <w:t xml:space="preserve"> </w:t>
      </w:r>
      <w:r>
        <w:rPr>
          <w:sz w:val="20"/>
        </w:rPr>
        <w:t>on</w:t>
      </w:r>
      <w:r>
        <w:rPr>
          <w:spacing w:val="40"/>
          <w:sz w:val="20"/>
        </w:rPr>
        <w:t xml:space="preserve"> </w:t>
      </w:r>
      <w:r>
        <w:rPr>
          <w:sz w:val="20"/>
        </w:rPr>
        <w:t>individual</w:t>
      </w:r>
      <w:r>
        <w:rPr>
          <w:spacing w:val="40"/>
          <w:sz w:val="20"/>
        </w:rPr>
        <w:t xml:space="preserve"> </w:t>
      </w:r>
      <w:r>
        <w:rPr>
          <w:sz w:val="20"/>
        </w:rPr>
        <w:t>or</w:t>
      </w:r>
      <w:r>
        <w:rPr>
          <w:spacing w:val="40"/>
          <w:sz w:val="20"/>
        </w:rPr>
        <w:t xml:space="preserve"> </w:t>
      </w:r>
      <w:r>
        <w:rPr>
          <w:sz w:val="20"/>
        </w:rPr>
        <w:t>overall</w:t>
      </w:r>
      <w:r>
        <w:rPr>
          <w:spacing w:val="40"/>
          <w:sz w:val="20"/>
        </w:rPr>
        <w:t xml:space="preserve"> </w:t>
      </w:r>
      <w:r>
        <w:rPr>
          <w:sz w:val="20"/>
        </w:rPr>
        <w:t>participation</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2020</w:t>
      </w:r>
      <w:r>
        <w:rPr>
          <w:spacing w:val="40"/>
          <w:sz w:val="20"/>
        </w:rPr>
        <w:t xml:space="preserve"> </w:t>
      </w:r>
      <w:r>
        <w:rPr>
          <w:sz w:val="20"/>
        </w:rPr>
        <w:t>Melrose</w:t>
      </w:r>
      <w:r>
        <w:rPr>
          <w:spacing w:val="40"/>
          <w:sz w:val="20"/>
        </w:rPr>
        <w:t xml:space="preserve"> </w:t>
      </w:r>
      <w:r>
        <w:rPr>
          <w:sz w:val="20"/>
        </w:rPr>
        <w:t>Employee</w:t>
      </w:r>
      <w:r>
        <w:rPr>
          <w:spacing w:val="40"/>
          <w:sz w:val="20"/>
        </w:rPr>
        <w:t xml:space="preserve"> </w:t>
      </w:r>
      <w:r>
        <w:rPr>
          <w:sz w:val="20"/>
        </w:rPr>
        <w:t>Share Plan;</w:t>
      </w:r>
      <w:r>
        <w:rPr>
          <w:spacing w:val="40"/>
          <w:sz w:val="20"/>
        </w:rPr>
        <w:t xml:space="preserve"> </w:t>
      </w:r>
      <w:r>
        <w:rPr>
          <w:sz w:val="20"/>
        </w:rPr>
        <w:t>and</w:t>
      </w:r>
    </w:p>
    <w:p w:rsidR="00E34D0E" w:rsidP="00E34D0E" w:rsidRDefault="00E34D0E">
      <w:pPr>
        <w:pStyle w:val="ListParagraph"/>
        <w:numPr>
          <w:ilvl w:val="1"/>
          <w:numId w:val="1"/>
        </w:numPr>
        <w:tabs>
          <w:tab w:val="left" w:pos="947"/>
        </w:tabs>
        <w:spacing w:before="71" w:line="249" w:lineRule="auto"/>
        <w:ind w:right="-43"/>
        <w:jc w:val="both"/>
        <w:rPr>
          <w:sz w:val="20"/>
        </w:rPr>
      </w:pPr>
      <w:r>
        <w:rPr>
          <w:sz w:val="20"/>
        </w:rPr>
        <w:t>the Melrose Automotive Share Plan, the principal terms of which are summarised in Part VII of the Circular to Shareholders accompanying this Notice of General Meeting and the rules of which will be produced at the meeting and for the purposes of identification initialled by the Chairman, be and are approved and the Board be and is authorised to do all such acts and things necessary or desirable to establish</w:t>
      </w:r>
      <w:r>
        <w:rPr>
          <w:spacing w:val="40"/>
          <w:sz w:val="20"/>
        </w:rPr>
        <w:t xml:space="preserve"> </w:t>
      </w:r>
      <w:r>
        <w:rPr>
          <w:sz w:val="20"/>
        </w:rPr>
        <w:t>and</w:t>
      </w:r>
      <w:r>
        <w:rPr>
          <w:spacing w:val="40"/>
          <w:sz w:val="20"/>
        </w:rPr>
        <w:t xml:space="preserve"> </w:t>
      </w:r>
      <w:r>
        <w:rPr>
          <w:sz w:val="20"/>
        </w:rPr>
        <w:t>implement</w:t>
      </w:r>
      <w:r>
        <w:rPr>
          <w:spacing w:val="40"/>
          <w:sz w:val="20"/>
        </w:rPr>
        <w:t xml:space="preserve"> </w:t>
      </w:r>
      <w:r>
        <w:rPr>
          <w:sz w:val="20"/>
        </w:rPr>
        <w:t>the</w:t>
      </w:r>
      <w:r>
        <w:rPr>
          <w:spacing w:val="40"/>
          <w:sz w:val="20"/>
        </w:rPr>
        <w:t xml:space="preserve"> </w:t>
      </w:r>
      <w:r>
        <w:rPr>
          <w:sz w:val="20"/>
        </w:rPr>
        <w:t>Melrose</w:t>
      </w:r>
      <w:r>
        <w:rPr>
          <w:spacing w:val="40"/>
          <w:sz w:val="20"/>
        </w:rPr>
        <w:t xml:space="preserve"> </w:t>
      </w:r>
      <w:r>
        <w:rPr>
          <w:sz w:val="20"/>
        </w:rPr>
        <w:t>Automotive</w:t>
      </w:r>
      <w:r>
        <w:rPr>
          <w:spacing w:val="40"/>
          <w:sz w:val="20"/>
        </w:rPr>
        <w:t xml:space="preserve"> </w:t>
      </w:r>
      <w:r>
        <w:rPr>
          <w:sz w:val="20"/>
        </w:rPr>
        <w:t>Share</w:t>
      </w:r>
      <w:r>
        <w:rPr>
          <w:spacing w:val="40"/>
          <w:sz w:val="20"/>
        </w:rPr>
        <w:t xml:space="preserve"> </w:t>
      </w:r>
      <w:r>
        <w:rPr>
          <w:sz w:val="20"/>
        </w:rPr>
        <w:t>Plan,</w:t>
      </w:r>
      <w:r>
        <w:rPr>
          <w:spacing w:val="40"/>
          <w:sz w:val="20"/>
        </w:rPr>
        <w:t xml:space="preserve"> </w:t>
      </w:r>
      <w:r>
        <w:rPr>
          <w:sz w:val="20"/>
        </w:rPr>
        <w:t>and</w:t>
      </w:r>
      <w:r>
        <w:rPr>
          <w:spacing w:val="40"/>
          <w:sz w:val="20"/>
        </w:rPr>
        <w:t xml:space="preserve"> </w:t>
      </w:r>
      <w:r>
        <w:rPr>
          <w:sz w:val="20"/>
        </w:rPr>
        <w:t>to</w:t>
      </w:r>
      <w:r>
        <w:rPr>
          <w:spacing w:val="40"/>
          <w:sz w:val="20"/>
        </w:rPr>
        <w:t xml:space="preserve"> </w:t>
      </w:r>
      <w:r>
        <w:rPr>
          <w:sz w:val="20"/>
        </w:rPr>
        <w:t>establish</w:t>
      </w:r>
      <w:r>
        <w:rPr>
          <w:spacing w:val="40"/>
          <w:sz w:val="20"/>
        </w:rPr>
        <w:t xml:space="preserve"> </w:t>
      </w:r>
      <w:r>
        <w:rPr>
          <w:sz w:val="20"/>
        </w:rPr>
        <w:t>such</w:t>
      </w:r>
      <w:r>
        <w:rPr>
          <w:spacing w:val="40"/>
          <w:sz w:val="20"/>
        </w:rPr>
        <w:t xml:space="preserve"> </w:t>
      </w:r>
      <w:r>
        <w:rPr>
          <w:sz w:val="20"/>
        </w:rPr>
        <w:t>further</w:t>
      </w:r>
      <w:r>
        <w:rPr>
          <w:spacing w:val="40"/>
          <w:sz w:val="20"/>
        </w:rPr>
        <w:t xml:space="preserve"> </w:t>
      </w:r>
      <w:r>
        <w:rPr>
          <w:sz w:val="20"/>
        </w:rPr>
        <w:t>plans based on the Melrose Automotive Share Plan or schedules to the Melrose Automotive Share Plan as</w:t>
      </w:r>
      <w:r>
        <w:rPr>
          <w:spacing w:val="40"/>
          <w:sz w:val="20"/>
        </w:rPr>
        <w:t xml:space="preserve"> </w:t>
      </w:r>
      <w:r>
        <w:rPr>
          <w:sz w:val="20"/>
        </w:rPr>
        <w:t>the Board considers necessary or desirable but which have been modified to take account of local tax, exchange control or securities laws in overseas territories, provided that any Dowlais Shares made available</w:t>
      </w:r>
      <w:r>
        <w:rPr>
          <w:spacing w:val="40"/>
          <w:sz w:val="20"/>
        </w:rPr>
        <w:t xml:space="preserve"> </w:t>
      </w:r>
      <w:r>
        <w:rPr>
          <w:sz w:val="20"/>
        </w:rPr>
        <w:t>under</w:t>
      </w:r>
      <w:r>
        <w:rPr>
          <w:spacing w:val="40"/>
          <w:sz w:val="20"/>
        </w:rPr>
        <w:t xml:space="preserve"> </w:t>
      </w:r>
      <w:r>
        <w:rPr>
          <w:sz w:val="20"/>
        </w:rPr>
        <w:t>such</w:t>
      </w:r>
      <w:r>
        <w:rPr>
          <w:spacing w:val="40"/>
          <w:sz w:val="20"/>
        </w:rPr>
        <w:t xml:space="preserve"> </w:t>
      </w:r>
      <w:r>
        <w:rPr>
          <w:sz w:val="20"/>
        </w:rPr>
        <w:t>further</w:t>
      </w:r>
      <w:r>
        <w:rPr>
          <w:spacing w:val="40"/>
          <w:sz w:val="20"/>
        </w:rPr>
        <w:t xml:space="preserve"> </w:t>
      </w:r>
      <w:r>
        <w:rPr>
          <w:sz w:val="20"/>
        </w:rPr>
        <w:t>plans</w:t>
      </w:r>
      <w:r>
        <w:rPr>
          <w:spacing w:val="40"/>
          <w:sz w:val="20"/>
        </w:rPr>
        <w:t xml:space="preserve"> </w:t>
      </w:r>
      <w:r>
        <w:rPr>
          <w:sz w:val="20"/>
        </w:rPr>
        <w:t>or</w:t>
      </w:r>
      <w:r>
        <w:rPr>
          <w:spacing w:val="40"/>
          <w:sz w:val="20"/>
        </w:rPr>
        <w:t xml:space="preserve"> </w:t>
      </w:r>
      <w:r>
        <w:rPr>
          <w:sz w:val="20"/>
        </w:rPr>
        <w:t>schedules</w:t>
      </w:r>
      <w:r>
        <w:rPr>
          <w:spacing w:val="40"/>
          <w:sz w:val="20"/>
        </w:rPr>
        <w:t xml:space="preserve"> </w:t>
      </w:r>
      <w:r>
        <w:rPr>
          <w:sz w:val="20"/>
        </w:rPr>
        <w:t>are</w:t>
      </w:r>
      <w:r>
        <w:rPr>
          <w:spacing w:val="40"/>
          <w:sz w:val="20"/>
        </w:rPr>
        <w:t xml:space="preserve"> </w:t>
      </w:r>
      <w:r>
        <w:rPr>
          <w:sz w:val="20"/>
        </w:rPr>
        <w:t>treated</w:t>
      </w:r>
      <w:r>
        <w:rPr>
          <w:spacing w:val="40"/>
          <w:sz w:val="20"/>
        </w:rPr>
        <w:t xml:space="preserve"> </w:t>
      </w:r>
      <w:r>
        <w:rPr>
          <w:sz w:val="20"/>
        </w:rPr>
        <w:t>as</w:t>
      </w:r>
      <w:r>
        <w:rPr>
          <w:spacing w:val="40"/>
          <w:sz w:val="20"/>
        </w:rPr>
        <w:t xml:space="preserve"> </w:t>
      </w:r>
      <w:r>
        <w:rPr>
          <w:sz w:val="20"/>
        </w:rPr>
        <w:t>counting</w:t>
      </w:r>
      <w:r>
        <w:rPr>
          <w:spacing w:val="40"/>
          <w:sz w:val="20"/>
        </w:rPr>
        <w:t xml:space="preserve"> </w:t>
      </w:r>
      <w:r>
        <w:rPr>
          <w:sz w:val="20"/>
        </w:rPr>
        <w:t>against</w:t>
      </w:r>
      <w:r>
        <w:rPr>
          <w:spacing w:val="40"/>
          <w:sz w:val="20"/>
        </w:rPr>
        <w:t xml:space="preserve"> </w:t>
      </w:r>
      <w:r>
        <w:rPr>
          <w:sz w:val="20"/>
        </w:rPr>
        <w:t>any</w:t>
      </w:r>
      <w:r>
        <w:rPr>
          <w:spacing w:val="40"/>
          <w:sz w:val="20"/>
        </w:rPr>
        <w:t xml:space="preserve"> </w:t>
      </w:r>
      <w:r>
        <w:rPr>
          <w:sz w:val="20"/>
        </w:rPr>
        <w:t>limits</w:t>
      </w:r>
      <w:r>
        <w:rPr>
          <w:spacing w:val="40"/>
          <w:sz w:val="20"/>
        </w:rPr>
        <w:t xml:space="preserve"> </w:t>
      </w:r>
      <w:r>
        <w:rPr>
          <w:sz w:val="20"/>
        </w:rPr>
        <w:t>on individual</w:t>
      </w:r>
      <w:r>
        <w:rPr>
          <w:spacing w:val="40"/>
          <w:sz w:val="20"/>
        </w:rPr>
        <w:t xml:space="preserve"> </w:t>
      </w:r>
      <w:r>
        <w:rPr>
          <w:sz w:val="20"/>
        </w:rPr>
        <w:t>or</w:t>
      </w:r>
      <w:r>
        <w:rPr>
          <w:spacing w:val="40"/>
          <w:sz w:val="20"/>
        </w:rPr>
        <w:t xml:space="preserve"> </w:t>
      </w:r>
      <w:r>
        <w:rPr>
          <w:sz w:val="20"/>
        </w:rPr>
        <w:t>overall</w:t>
      </w:r>
      <w:r>
        <w:rPr>
          <w:spacing w:val="40"/>
          <w:sz w:val="20"/>
        </w:rPr>
        <w:t xml:space="preserve"> </w:t>
      </w:r>
      <w:r>
        <w:rPr>
          <w:sz w:val="20"/>
        </w:rPr>
        <w:t>participation</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Melrose</w:t>
      </w:r>
      <w:r>
        <w:rPr>
          <w:spacing w:val="40"/>
          <w:sz w:val="20"/>
        </w:rPr>
        <w:t xml:space="preserve"> </w:t>
      </w:r>
      <w:r>
        <w:rPr>
          <w:sz w:val="20"/>
        </w:rPr>
        <w:t>Automotive</w:t>
      </w:r>
      <w:r>
        <w:rPr>
          <w:spacing w:val="40"/>
          <w:sz w:val="20"/>
        </w:rPr>
        <w:t xml:space="preserve"> </w:t>
      </w:r>
      <w:r>
        <w:rPr>
          <w:sz w:val="20"/>
        </w:rPr>
        <w:t>Share</w:t>
      </w:r>
      <w:r>
        <w:rPr>
          <w:spacing w:val="40"/>
          <w:sz w:val="20"/>
        </w:rPr>
        <w:t xml:space="preserve"> </w:t>
      </w:r>
      <w:r>
        <w:rPr>
          <w:sz w:val="20"/>
        </w:rPr>
        <w:t>Plan;</w:t>
      </w:r>
      <w:r>
        <w:rPr>
          <w:spacing w:val="40"/>
          <w:sz w:val="20"/>
        </w:rPr>
        <w:t xml:space="preserve"> </w:t>
      </w:r>
      <w:r>
        <w:rPr>
          <w:sz w:val="20"/>
        </w:rPr>
        <w:t>and</w:t>
      </w:r>
    </w:p>
    <w:p w:rsidR="00E34D0E" w:rsidP="00E34D0E" w:rsidRDefault="00E34D0E">
      <w:pPr>
        <w:pStyle w:val="ListParagraph"/>
        <w:numPr>
          <w:ilvl w:val="1"/>
          <w:numId w:val="1"/>
        </w:numPr>
        <w:tabs>
          <w:tab w:val="left" w:pos="947"/>
        </w:tabs>
        <w:spacing w:before="70" w:line="247" w:lineRule="auto"/>
        <w:ind w:right="-43"/>
        <w:jc w:val="both"/>
        <w:rPr>
          <w:sz w:val="20"/>
        </w:rPr>
      </w:pPr>
      <w:r>
        <w:rPr>
          <w:sz w:val="20"/>
        </w:rPr>
        <w:t>the 2020 Directors’ Remuneration Policy be and is revised, such that the sections relating to the 2020 Melrose Employee Share Plan in column 1 of the table set out in the Appendix to the Notice of</w:t>
      </w:r>
      <w:r>
        <w:rPr>
          <w:spacing w:val="80"/>
          <w:sz w:val="20"/>
        </w:rPr>
        <w:t xml:space="preserve"> </w:t>
      </w:r>
      <w:r>
        <w:rPr>
          <w:sz w:val="20"/>
        </w:rPr>
        <w:t>General Meeting (</w:t>
      </w:r>
      <w:r>
        <w:rPr>
          <w:i/>
          <w:sz w:val="20"/>
        </w:rPr>
        <w:t>Proposed Revisions to the 2020 Directors’ Remuneration Policy</w:t>
      </w:r>
      <w:r>
        <w:rPr>
          <w:sz w:val="20"/>
        </w:rPr>
        <w:t>) shall be replaced</w:t>
      </w:r>
      <w:r>
        <w:rPr>
          <w:spacing w:val="40"/>
          <w:sz w:val="20"/>
        </w:rPr>
        <w:t xml:space="preserve"> </w:t>
      </w:r>
      <w:r>
        <w:rPr>
          <w:sz w:val="20"/>
        </w:rPr>
        <w:t>by the sections set out in column 2 of the table set out in the Appendix to the Notice of General</w:t>
      </w:r>
      <w:r>
        <w:rPr>
          <w:spacing w:val="40"/>
          <w:sz w:val="20"/>
        </w:rPr>
        <w:t xml:space="preserve"> </w:t>
      </w:r>
      <w:r>
        <w:rPr>
          <w:sz w:val="20"/>
        </w:rPr>
        <w:t>Meeting (</w:t>
      </w:r>
      <w:r>
        <w:rPr>
          <w:i/>
          <w:sz w:val="20"/>
        </w:rPr>
        <w:t>Proposed Revisions to the 2020 Directors’ Remuneration Policy</w:t>
      </w:r>
      <w:r>
        <w:rPr>
          <w:sz w:val="20"/>
        </w:rPr>
        <w:t>), other than where column</w:t>
      </w:r>
    </w:p>
    <w:p w:rsidR="00E34D0E" w:rsidP="00E34D0E" w:rsidRDefault="00E34D0E">
      <w:pPr>
        <w:pStyle w:val="BodyText"/>
        <w:spacing w:before="2"/>
        <w:ind w:left="946" w:right="-43"/>
        <w:jc w:val="both"/>
      </w:pPr>
      <w:r>
        <w:t>2</w:t>
      </w:r>
      <w:r>
        <w:rPr>
          <w:spacing w:val="24"/>
        </w:rPr>
        <w:t xml:space="preserve"> </w:t>
      </w:r>
      <w:r>
        <w:t>states</w:t>
      </w:r>
      <w:r>
        <w:rPr>
          <w:spacing w:val="23"/>
        </w:rPr>
        <w:t xml:space="preserve"> </w:t>
      </w:r>
      <w:r>
        <w:t>“No</w:t>
      </w:r>
      <w:r>
        <w:rPr>
          <w:spacing w:val="23"/>
        </w:rPr>
        <w:t xml:space="preserve"> </w:t>
      </w:r>
      <w:r>
        <w:t>amendment</w:t>
      </w:r>
      <w:r>
        <w:rPr>
          <w:spacing w:val="23"/>
        </w:rPr>
        <w:t xml:space="preserve"> </w:t>
      </w:r>
      <w:r>
        <w:rPr>
          <w:spacing w:val="-2"/>
        </w:rPr>
        <w:t>proposed”.</w:t>
      </w:r>
    </w:p>
    <w:sectPr w:rsidR="00E34D0E" w:rsidSect="005908A5">
      <w:headerReference w:type="even" r:id="rId8"/>
      <w:headerReference w:type="default" r:id="rId9"/>
      <w:footerReference w:type="even" r:id="rId10"/>
      <w:footerReference w:type="default" r:id="rId11"/>
      <w:headerReference w:type="first" r:id="rId12"/>
      <w:footerReference w:type="first" r:id="rId13"/>
      <w:pgSz w:w="11909" w:h="16834" w:code="9"/>
      <w:pgMar w:top="1134"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1B7" w:rsidRDefault="00DF11B7">
      <w:pPr>
        <w:spacing w:after="0"/>
      </w:pPr>
      <w:r>
        <w:separator/>
      </w:r>
    </w:p>
  </w:endnote>
  <w:endnote w:type="continuationSeparator" w:id="0">
    <w:p w:rsidR="00DF11B7" w:rsidRDefault="00DF11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0E" w:rsidRDefault="00E34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826" w:rsidP="00B36E8D" w:rsidRDefault="002066C5">
    <w:pPr>
      <w:pStyle w:val="Footer"/>
      <w:jc w:val="center"/>
    </w:pPr>
  </w:p>
  <w:p w:rsidRPr="00447F2D" w:rsidR="00EA08ED" w:rsidP="00B36E8D" w:rsidRDefault="00EA77DA">
    <w:pPr>
      <w:pStyle w:val="Footer"/>
      <w:jc w:val="center"/>
      <w:rPr>
        <w:rFonts w:ascii="Times New Roman" w:hAnsi="Times New Roman"/>
        <w:sz w:val="20"/>
        <w:szCs w:val="20"/>
      </w:rPr>
    </w:pPr>
    <w:r w:rsidRPr="00447F2D">
      <w:rPr>
        <w:rFonts w:ascii="Times New Roman" w:hAnsi="Times New Roman"/>
        <w:sz w:val="20"/>
        <w:szCs w:val="20"/>
      </w:rPr>
      <w:t xml:space="preserve">- </w:t>
    </w:r>
    <w:r w:rsidRPr="00447F2D">
      <w:rPr>
        <w:rStyle w:val="PageNumber"/>
        <w:rFonts w:ascii="Times New Roman" w:hAnsi="Times New Roman"/>
        <w:sz w:val="20"/>
        <w:szCs w:val="20"/>
      </w:rPr>
      <w:fldChar w:fldCharType="begin"/>
    </w:r>
    <w:r w:rsidRPr="00447F2D">
      <w:rPr>
        <w:rStyle w:val="PageNumber"/>
        <w:rFonts w:ascii="Times New Roman" w:hAnsi="Times New Roman"/>
        <w:sz w:val="20"/>
        <w:szCs w:val="20"/>
      </w:rPr>
      <w:instrText xml:space="preserve"> PAGE </w:instrText>
    </w:r>
    <w:r w:rsidRPr="00447F2D">
      <w:rPr>
        <w:rStyle w:val="PageNumber"/>
        <w:rFonts w:ascii="Times New Roman" w:hAnsi="Times New Roman"/>
        <w:sz w:val="20"/>
        <w:szCs w:val="20"/>
      </w:rPr>
      <w:fldChar w:fldCharType="separate"/>
    </w:r>
    <w:r w:rsidR="002066C5">
      <w:rPr>
        <w:rStyle w:val="PageNumber"/>
        <w:rFonts w:ascii="Times New Roman" w:hAnsi="Times New Roman"/>
        <w:noProof/>
        <w:sz w:val="20"/>
        <w:szCs w:val="20"/>
      </w:rPr>
      <w:t>2</w:t>
    </w:r>
    <w:r w:rsidRPr="00447F2D">
      <w:rPr>
        <w:rStyle w:val="PageNumber"/>
        <w:rFonts w:ascii="Times New Roman" w:hAnsi="Times New Roman"/>
        <w:sz w:val="20"/>
        <w:szCs w:val="20"/>
      </w:rPr>
      <w:fldChar w:fldCharType="end"/>
    </w:r>
    <w:r w:rsidRPr="00447F2D">
      <w:rPr>
        <w:rStyle w:val="PageNumber"/>
        <w:rFonts w:ascii="Times New Roman" w:hAnsi="Times New Roman"/>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0E" w:rsidRDefault="00E34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1B7" w:rsidRDefault="00DF11B7">
      <w:pPr>
        <w:spacing w:after="0"/>
      </w:pPr>
      <w:r>
        <w:separator/>
      </w:r>
    </w:p>
  </w:footnote>
  <w:footnote w:type="continuationSeparator" w:id="0">
    <w:p w:rsidR="00DF11B7" w:rsidRDefault="00DF11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0E" w:rsidRDefault="00E34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0E" w:rsidRDefault="00E34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0E" w:rsidRDefault="00E34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A0756"/>
    <w:multiLevelType w:val="hybridMultilevel"/>
    <w:tmpl w:val="5F1C3076"/>
    <w:lvl w:ilvl="0" w:tplc="A612B336">
      <w:numFmt w:val="bullet"/>
      <w:lvlText w:val="•"/>
      <w:lvlJc w:val="left"/>
      <w:pPr>
        <w:ind w:left="548" w:hanging="398"/>
      </w:pPr>
      <w:rPr>
        <w:rFonts w:ascii="Times New Roman" w:eastAsia="Times New Roman" w:hAnsi="Times New Roman" w:cs="Times New Roman" w:hint="default"/>
        <w:b w:val="0"/>
        <w:bCs w:val="0"/>
        <w:i w:val="0"/>
        <w:iCs w:val="0"/>
        <w:w w:val="99"/>
        <w:sz w:val="20"/>
        <w:szCs w:val="20"/>
        <w:lang w:val="en-US" w:eastAsia="en-US" w:bidi="ar-SA"/>
      </w:rPr>
    </w:lvl>
    <w:lvl w:ilvl="1" w:tplc="AB44B93E">
      <w:numFmt w:val="bullet"/>
      <w:lvlText w:val="◦"/>
      <w:lvlJc w:val="left"/>
      <w:pPr>
        <w:ind w:left="946" w:hanging="398"/>
      </w:pPr>
      <w:rPr>
        <w:rFonts w:ascii="Times New Roman" w:eastAsia="Times New Roman" w:hAnsi="Times New Roman" w:cs="Times New Roman" w:hint="default"/>
        <w:b w:val="0"/>
        <w:bCs w:val="0"/>
        <w:i w:val="0"/>
        <w:iCs w:val="0"/>
        <w:w w:val="99"/>
        <w:sz w:val="24"/>
        <w:szCs w:val="24"/>
        <w:lang w:val="en-US" w:eastAsia="en-US" w:bidi="ar-SA"/>
      </w:rPr>
    </w:lvl>
    <w:lvl w:ilvl="2" w:tplc="290C25D8">
      <w:numFmt w:val="bullet"/>
      <w:lvlText w:val="•"/>
      <w:lvlJc w:val="left"/>
      <w:pPr>
        <w:ind w:left="2007" w:hanging="398"/>
      </w:pPr>
      <w:rPr>
        <w:rFonts w:hint="default"/>
        <w:lang w:val="en-US" w:eastAsia="en-US" w:bidi="ar-SA"/>
      </w:rPr>
    </w:lvl>
    <w:lvl w:ilvl="3" w:tplc="3D8C95E0">
      <w:numFmt w:val="bullet"/>
      <w:lvlText w:val="•"/>
      <w:lvlJc w:val="left"/>
      <w:pPr>
        <w:ind w:left="3074" w:hanging="398"/>
      </w:pPr>
      <w:rPr>
        <w:rFonts w:hint="default"/>
        <w:lang w:val="en-US" w:eastAsia="en-US" w:bidi="ar-SA"/>
      </w:rPr>
    </w:lvl>
    <w:lvl w:ilvl="4" w:tplc="19169FA0">
      <w:numFmt w:val="bullet"/>
      <w:lvlText w:val="•"/>
      <w:lvlJc w:val="left"/>
      <w:pPr>
        <w:ind w:left="4141" w:hanging="398"/>
      </w:pPr>
      <w:rPr>
        <w:rFonts w:hint="default"/>
        <w:lang w:val="en-US" w:eastAsia="en-US" w:bidi="ar-SA"/>
      </w:rPr>
    </w:lvl>
    <w:lvl w:ilvl="5" w:tplc="4BAEC874">
      <w:numFmt w:val="bullet"/>
      <w:lvlText w:val="•"/>
      <w:lvlJc w:val="left"/>
      <w:pPr>
        <w:ind w:left="5209" w:hanging="398"/>
      </w:pPr>
      <w:rPr>
        <w:rFonts w:hint="default"/>
        <w:lang w:val="en-US" w:eastAsia="en-US" w:bidi="ar-SA"/>
      </w:rPr>
    </w:lvl>
    <w:lvl w:ilvl="6" w:tplc="92C88BF4">
      <w:numFmt w:val="bullet"/>
      <w:lvlText w:val="•"/>
      <w:lvlJc w:val="left"/>
      <w:pPr>
        <w:ind w:left="6276" w:hanging="398"/>
      </w:pPr>
      <w:rPr>
        <w:rFonts w:hint="default"/>
        <w:lang w:val="en-US" w:eastAsia="en-US" w:bidi="ar-SA"/>
      </w:rPr>
    </w:lvl>
    <w:lvl w:ilvl="7" w:tplc="9098B16C">
      <w:numFmt w:val="bullet"/>
      <w:lvlText w:val="•"/>
      <w:lvlJc w:val="left"/>
      <w:pPr>
        <w:ind w:left="7343" w:hanging="398"/>
      </w:pPr>
      <w:rPr>
        <w:rFonts w:hint="default"/>
        <w:lang w:val="en-US" w:eastAsia="en-US" w:bidi="ar-SA"/>
      </w:rPr>
    </w:lvl>
    <w:lvl w:ilvl="8" w:tplc="E9F0404C">
      <w:numFmt w:val="bullet"/>
      <w:lvlText w:val="•"/>
      <w:lvlJc w:val="left"/>
      <w:pPr>
        <w:ind w:left="8410" w:hanging="39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D85"/>
    <w:rsid w:val="002066C5"/>
    <w:rsid w:val="00447F2D"/>
    <w:rsid w:val="006645C0"/>
    <w:rsid w:val="009D4B3B"/>
    <w:rsid w:val="009D6D85"/>
    <w:rsid w:val="00A51B65"/>
    <w:rsid w:val="00D2699E"/>
    <w:rsid w:val="00DF11B7"/>
    <w:rsid w:val="00E34D0E"/>
    <w:rsid w:val="00EA77DA"/>
    <w:rsid w:val="00EB7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F3AD02-7747-4FE0-954E-0823CD2C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6D85"/>
    <w:pPr>
      <w:spacing w:after="220" w:line="240" w:lineRule="auto"/>
      <w:jc w:val="both"/>
    </w:pPr>
    <w:rPr>
      <w:rFonts w:ascii="Arial" w:hAnsi="Arial" w:eastAsia="Times New Roman" w:cs="Times New Roman"/>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9D6D85"/>
    <w:pPr>
      <w:tabs>
        <w:tab w:val="center" w:pos="4153"/>
        <w:tab w:val="right" w:pos="8306"/>
      </w:tabs>
    </w:pPr>
  </w:style>
  <w:style w:type="character" w:styleId="HeaderChar" w:customStyle="1">
    <w:name w:val="Header Char"/>
    <w:basedOn w:val="DefaultParagraphFont"/>
    <w:link w:val="Header"/>
    <w:rsid w:val="009D6D85"/>
    <w:rPr>
      <w:rFonts w:ascii="Arial" w:hAnsi="Arial" w:eastAsia="Times New Roman" w:cs="Times New Roman"/>
      <w:szCs w:val="24"/>
      <w:lang w:val="en-US"/>
    </w:rPr>
  </w:style>
  <w:style w:type="paragraph" w:styleId="Footer">
    <w:name w:val="footer"/>
    <w:basedOn w:val="Normal"/>
    <w:link w:val="FooterChar"/>
    <w:rsid w:val="009D6D85"/>
    <w:pPr>
      <w:tabs>
        <w:tab w:val="center" w:pos="4153"/>
        <w:tab w:val="right" w:pos="8306"/>
      </w:tabs>
    </w:pPr>
  </w:style>
  <w:style w:type="character" w:styleId="FooterChar" w:customStyle="1">
    <w:name w:val="Footer Char"/>
    <w:basedOn w:val="DefaultParagraphFont"/>
    <w:link w:val="Footer"/>
    <w:rsid w:val="009D6D85"/>
    <w:rPr>
      <w:rFonts w:ascii="Arial" w:hAnsi="Arial" w:eastAsia="Times New Roman" w:cs="Times New Roman"/>
      <w:szCs w:val="24"/>
      <w:lang w:val="en-US"/>
    </w:rPr>
  </w:style>
  <w:style w:type="character" w:styleId="PageNumber">
    <w:name w:val="page number"/>
    <w:basedOn w:val="DefaultParagraphFont"/>
    <w:rsid w:val="009D6D85"/>
  </w:style>
  <w:style w:type="paragraph" w:styleId="Text" w:customStyle="1">
    <w:name w:val="Text"/>
    <w:basedOn w:val="Normal"/>
    <w:rsid w:val="009D6D85"/>
    <w:pPr>
      <w:tabs>
        <w:tab w:val="left" w:pos="284"/>
      </w:tabs>
      <w:overflowPunct w:val="0"/>
      <w:autoSpaceDE w:val="0"/>
      <w:autoSpaceDN w:val="0"/>
      <w:adjustRightInd w:val="0"/>
      <w:spacing w:after="260"/>
    </w:pPr>
    <w:rPr>
      <w:rFonts w:ascii="Times New Roman" w:hAnsi="Times New Roman"/>
      <w:szCs w:val="20"/>
      <w:lang w:val="en-GB"/>
    </w:rPr>
  </w:style>
  <w:style w:type="character" w:styleId="text1" w:customStyle="1">
    <w:name w:val="text1"/>
    <w:rsid w:val="009D6D85"/>
    <w:rPr>
      <w:rFonts w:hint="default" w:ascii="Arial" w:hAnsi="Arial" w:cs="Arial"/>
      <w:color w:val="000080"/>
      <w:sz w:val="20"/>
      <w:szCs w:val="20"/>
    </w:rPr>
  </w:style>
  <w:style w:type="character" w:styleId="Strong">
    <w:name w:val="Strong"/>
    <w:uiPriority w:val="22"/>
    <w:qFormat/>
    <w:rsid w:val="009D6D85"/>
    <w:rPr>
      <w:b/>
      <w:bCs/>
    </w:rPr>
  </w:style>
  <w:style w:type="paragraph" w:styleId="BalloonText">
    <w:name w:val="Balloon Text"/>
    <w:basedOn w:val="Normal"/>
    <w:link w:val="BalloonTextChar"/>
    <w:uiPriority w:val="99"/>
    <w:semiHidden/>
    <w:unhideWhenUsed/>
    <w:rsid w:val="00E34D0E"/>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34D0E"/>
    <w:rPr>
      <w:rFonts w:ascii="Segoe UI" w:hAnsi="Segoe UI" w:eastAsia="Times New Roman" w:cs="Segoe UI"/>
      <w:sz w:val="18"/>
      <w:szCs w:val="18"/>
      <w:lang w:val="en-US"/>
    </w:rPr>
  </w:style>
  <w:style w:type="paragraph" w:styleId="BodyText">
    <w:name w:val="Body Text"/>
    <w:basedOn w:val="Normal"/>
    <w:link w:val="BodyTextChar"/>
    <w:uiPriority w:val="1"/>
    <w:qFormat/>
    <w:rsid w:val="00E34D0E"/>
    <w:pPr>
      <w:widowControl w:val="0"/>
      <w:autoSpaceDE w:val="0"/>
      <w:autoSpaceDN w:val="0"/>
      <w:spacing w:after="0"/>
      <w:jc w:val="left"/>
    </w:pPr>
    <w:rPr>
      <w:rFonts w:ascii="Times New Roman" w:hAnsi="Times New Roman"/>
      <w:sz w:val="20"/>
      <w:szCs w:val="20"/>
    </w:rPr>
  </w:style>
  <w:style w:type="character" w:styleId="BodyTextChar" w:customStyle="1">
    <w:name w:val="Body Text Char"/>
    <w:basedOn w:val="DefaultParagraphFont"/>
    <w:link w:val="BodyText"/>
    <w:uiPriority w:val="1"/>
    <w:rsid w:val="00E34D0E"/>
    <w:rPr>
      <w:rFonts w:ascii="Times New Roman" w:hAnsi="Times New Roman" w:eastAsia="Times New Roman" w:cs="Times New Roman"/>
      <w:sz w:val="20"/>
      <w:szCs w:val="20"/>
      <w:lang w:val="en-US"/>
    </w:rPr>
  </w:style>
  <w:style w:type="paragraph" w:styleId="ListParagraph">
    <w:name w:val="List Paragraph"/>
    <w:basedOn w:val="Normal"/>
    <w:uiPriority w:val="1"/>
    <w:qFormat/>
    <w:rsid w:val="00E34D0E"/>
    <w:pPr>
      <w:widowControl w:val="0"/>
      <w:autoSpaceDE w:val="0"/>
      <w:autoSpaceDN w:val="0"/>
      <w:spacing w:after="0"/>
      <w:ind w:left="548" w:hanging="399"/>
      <w:jc w:val="left"/>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2023-03-30T14:55:05.0000000Z</dcterms:modified>
</coreProperties>
</file>