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2EC3" w14:textId="77777777" w:rsidR="00CC6789" w:rsidRPr="00C91ACD" w:rsidRDefault="00CC6789" w:rsidP="00CC6789">
      <w:pPr>
        <w:spacing w:line="240" w:lineRule="auto"/>
        <w:jc w:val="center"/>
        <w:rPr>
          <w:rFonts w:cstheme="minorHAnsi"/>
          <w:b/>
          <w:szCs w:val="20"/>
        </w:rPr>
      </w:pPr>
      <w:r w:rsidRPr="00C91ACD">
        <w:rPr>
          <w:rFonts w:cstheme="minorHAnsi"/>
          <w:b/>
          <w:szCs w:val="20"/>
        </w:rPr>
        <w:t>Energean plc</w:t>
      </w:r>
    </w:p>
    <w:p w14:paraId="7E7DBA5D" w14:textId="77777777" w:rsidR="00CC6789" w:rsidRPr="00C91ACD" w:rsidRDefault="00CC6789" w:rsidP="00CC6789">
      <w:pPr>
        <w:spacing w:line="240" w:lineRule="auto"/>
        <w:jc w:val="center"/>
        <w:rPr>
          <w:rFonts w:cstheme="minorHAnsi"/>
          <w:b/>
          <w:szCs w:val="20"/>
        </w:rPr>
      </w:pPr>
      <w:r w:rsidRPr="00C91ACD">
        <w:rPr>
          <w:rFonts w:cstheme="minorHAnsi"/>
          <w:b/>
          <w:szCs w:val="20"/>
        </w:rPr>
        <w:t>(“Energean” or the “Company”)</w:t>
      </w:r>
    </w:p>
    <w:p w14:paraId="37922BB8" w14:textId="2CE72024" w:rsidR="00CC6789" w:rsidRDefault="00CC6789" w:rsidP="00AA0F30">
      <w:pPr>
        <w:jc w:val="both"/>
        <w:rPr>
          <w:b/>
          <w:bCs/>
        </w:rPr>
      </w:pPr>
    </w:p>
    <w:p w14:paraId="39C8E12A" w14:textId="25196735" w:rsidR="00CC6789" w:rsidRDefault="00CC6789" w:rsidP="00CC6789">
      <w:pPr>
        <w:jc w:val="center"/>
        <w:rPr>
          <w:b/>
          <w:bCs/>
        </w:rPr>
      </w:pPr>
      <w:r>
        <w:rPr>
          <w:b/>
          <w:bCs/>
        </w:rPr>
        <w:t>2020 Report on Payments to Governments</w:t>
      </w:r>
    </w:p>
    <w:p w14:paraId="425078F8" w14:textId="3E0E5E52" w:rsidR="00F06AD7" w:rsidRDefault="00F06AD7" w:rsidP="00AA0F30">
      <w:pPr>
        <w:jc w:val="both"/>
        <w:rPr>
          <w:b/>
          <w:bCs/>
        </w:rPr>
      </w:pPr>
    </w:p>
    <w:p w14:paraId="3E67D042" w14:textId="0A7E1E51" w:rsidR="00CC6789" w:rsidRDefault="00CC6789" w:rsidP="00AA0F30">
      <w:pPr>
        <w:jc w:val="both"/>
        <w:rPr>
          <w:rFonts w:ascii="Calibri" w:eastAsia="Calibri" w:hAnsi="Calibri" w:cs="Times New Roman"/>
        </w:rPr>
      </w:pPr>
      <w:r>
        <w:rPr>
          <w:b/>
          <w:bCs/>
        </w:rPr>
        <w:t xml:space="preserve">London, </w:t>
      </w:r>
      <w:r w:rsidR="004160DC">
        <w:rPr>
          <w:b/>
          <w:bCs/>
        </w:rPr>
        <w:t>17</w:t>
      </w:r>
      <w:r>
        <w:rPr>
          <w:b/>
          <w:bCs/>
        </w:rPr>
        <w:t xml:space="preserve"> June 2021</w:t>
      </w:r>
      <w:r w:rsidRPr="00290F54">
        <w:t>. Energean plc (LSE: ENOG, TASE: אנאג,</w:t>
      </w:r>
      <w:r>
        <w:t>)</w:t>
      </w:r>
      <w:r w:rsidRPr="00290F54">
        <w:t xml:space="preserve"> </w:t>
      </w:r>
      <w:r>
        <w:t>is pleased to present its</w:t>
      </w:r>
      <w:r>
        <w:rPr>
          <w:rFonts w:ascii="Calibri" w:eastAsia="Calibri" w:hAnsi="Calibri" w:cs="Times New Roman"/>
        </w:rPr>
        <w:t xml:space="preserve"> 2020 Report on Payments to Governments.</w:t>
      </w:r>
    </w:p>
    <w:p w14:paraId="28AC6F3F" w14:textId="77777777" w:rsidR="00CC6789" w:rsidRPr="00AA0F30" w:rsidRDefault="00CC6789" w:rsidP="00AA0F30">
      <w:pPr>
        <w:jc w:val="both"/>
        <w:rPr>
          <w:b/>
          <w:bCs/>
        </w:rPr>
      </w:pPr>
    </w:p>
    <w:p w14:paraId="2121F42C" w14:textId="451A817F" w:rsidR="002151F9" w:rsidRPr="00AA0F30" w:rsidRDefault="002151F9" w:rsidP="00AA0F30">
      <w:pPr>
        <w:jc w:val="both"/>
        <w:rPr>
          <w:b/>
          <w:bCs/>
        </w:rPr>
      </w:pPr>
      <w:r w:rsidRPr="00AA0F30">
        <w:rPr>
          <w:b/>
          <w:bCs/>
        </w:rPr>
        <w:t xml:space="preserve">Basis for Preparation </w:t>
      </w:r>
    </w:p>
    <w:p w14:paraId="7023471F" w14:textId="580E24A0" w:rsidR="002151F9" w:rsidRDefault="002151F9" w:rsidP="00AA0F30">
      <w:pPr>
        <w:jc w:val="both"/>
      </w:pPr>
      <w:r>
        <w:t xml:space="preserve">This Report provides a consolidated overview of the payments to governments made by Energean plc and its subsidiary undertakings ( “Energean”) for the </w:t>
      </w:r>
      <w:r w:rsidR="008D3840">
        <w:t xml:space="preserve">full </w:t>
      </w:r>
      <w:r>
        <w:t>year 2020 as required under the Report on Payments to Governments Regulations 2014</w:t>
      </w:r>
      <w:r w:rsidR="00C602D0">
        <w:t xml:space="preserve"> </w:t>
      </w:r>
      <w:r w:rsidR="00C602D0">
        <w:rPr>
          <w:rFonts w:ascii="Arial" w:hAnsi="Arial" w:cs="Arial"/>
          <w:color w:val="16202C"/>
          <w:sz w:val="20"/>
          <w:szCs w:val="20"/>
        </w:rPr>
        <w:t xml:space="preserve">(2014/3209), </w:t>
      </w:r>
      <w:r>
        <w:t>as amended in December 2015</w:t>
      </w:r>
      <w:r w:rsidR="00C602D0">
        <w:t xml:space="preserve"> (</w:t>
      </w:r>
      <w:r w:rsidR="00C602D0">
        <w:rPr>
          <w:rFonts w:ascii="Calibri" w:hAnsi="Calibri" w:cs="Calibri"/>
          <w:color w:val="16202C"/>
        </w:rPr>
        <w:t>2015/1928)</w:t>
      </w:r>
      <w:r w:rsidR="00C602D0">
        <w:t xml:space="preserve">, </w:t>
      </w:r>
      <w:r w:rsidR="00AA0F30" w:rsidRPr="00AA0F30">
        <w:t xml:space="preserve">(the </w:t>
      </w:r>
      <w:r w:rsidR="008D3840">
        <w:t>“</w:t>
      </w:r>
      <w:r w:rsidR="00AA0F30" w:rsidRPr="00AA0F30">
        <w:t>Regulations</w:t>
      </w:r>
      <w:r w:rsidR="008D3840">
        <w:t>”</w:t>
      </w:r>
      <w:r w:rsidR="00AA0F30" w:rsidRPr="00AA0F30">
        <w:t>)</w:t>
      </w:r>
      <w:r w:rsidR="00C602D0">
        <w:t xml:space="preserve"> </w:t>
      </w:r>
      <w:r w:rsidR="00C602D0">
        <w:rPr>
          <w:rFonts w:ascii="Arial" w:hAnsi="Arial" w:cs="Arial"/>
          <w:color w:val="16202C"/>
          <w:sz w:val="20"/>
          <w:szCs w:val="20"/>
        </w:rPr>
        <w:t>and DTR 4.3A of the Financial Conduct Authority's Disclosure and Transparency Rules</w:t>
      </w:r>
      <w:r>
        <w:t>.</w:t>
      </w:r>
    </w:p>
    <w:p w14:paraId="1D462C73" w14:textId="3731ACA0" w:rsidR="002151F9" w:rsidRDefault="002151F9" w:rsidP="00AA0F30">
      <w:pPr>
        <w:jc w:val="both"/>
      </w:pPr>
      <w:r>
        <w:t xml:space="preserve">This Report is available for download from </w:t>
      </w:r>
      <w:r w:rsidR="00845D27">
        <w:t>www.energean.com.</w:t>
      </w:r>
    </w:p>
    <w:p w14:paraId="5214DB39" w14:textId="77777777" w:rsidR="001612A8" w:rsidRPr="001612A8" w:rsidRDefault="001612A8" w:rsidP="001612A8">
      <w:pPr>
        <w:jc w:val="both"/>
        <w:rPr>
          <w:b/>
          <w:bCs/>
        </w:rPr>
      </w:pPr>
      <w:r w:rsidRPr="001612A8">
        <w:rPr>
          <w:b/>
          <w:bCs/>
        </w:rPr>
        <w:t>Reporting entities</w:t>
      </w:r>
    </w:p>
    <w:p w14:paraId="4441FDF0" w14:textId="408DF98F" w:rsidR="001612A8" w:rsidRPr="008D3840" w:rsidRDefault="001612A8" w:rsidP="00F06AD7">
      <w:pPr>
        <w:jc w:val="both"/>
      </w:pPr>
      <w:r w:rsidRPr="001612A8">
        <w:t xml:space="preserve">This Report includes payments to governments made by </w:t>
      </w:r>
      <w:r>
        <w:t>Energean</w:t>
      </w:r>
      <w:r w:rsidRPr="001612A8">
        <w:t xml:space="preserve">. </w:t>
      </w:r>
      <w:r w:rsidR="008D3840">
        <w:t xml:space="preserve"> Edison E&amp;P is included on a </w:t>
      </w:r>
      <w:r w:rsidR="008D3840">
        <w:rPr>
          <w:i/>
          <w:iCs/>
        </w:rPr>
        <w:t>pro forma</w:t>
      </w:r>
      <w:r w:rsidR="008D3840">
        <w:t xml:space="preserve"> basis, i.e. as if Energean had owned the acquired companies for the duration of the year</w:t>
      </w:r>
      <w:r w:rsidR="008D3840">
        <w:rPr>
          <w:rStyle w:val="FootnoteReference"/>
        </w:rPr>
        <w:footnoteReference w:id="1"/>
      </w:r>
      <w:r w:rsidR="008D3840">
        <w:t>.</w:t>
      </w:r>
    </w:p>
    <w:p w14:paraId="63F7860A" w14:textId="32B7A858" w:rsidR="002151F9" w:rsidRPr="00AA0F30" w:rsidRDefault="002151F9" w:rsidP="00F06AD7">
      <w:pPr>
        <w:jc w:val="both"/>
        <w:rPr>
          <w:b/>
          <w:bCs/>
        </w:rPr>
      </w:pPr>
      <w:r w:rsidRPr="00AA0F30">
        <w:rPr>
          <w:b/>
          <w:bCs/>
        </w:rPr>
        <w:t>Activities</w:t>
      </w:r>
    </w:p>
    <w:p w14:paraId="0038588B" w14:textId="7AC3F4D5" w:rsidR="001612A8" w:rsidRDefault="00AA0F30" w:rsidP="00F06AD7">
      <w:pPr>
        <w:autoSpaceDE w:val="0"/>
        <w:autoSpaceDN w:val="0"/>
        <w:adjustRightInd w:val="0"/>
        <w:spacing w:after="0" w:line="240" w:lineRule="auto"/>
        <w:jc w:val="both"/>
      </w:pPr>
      <w:r w:rsidRPr="00AA0F30">
        <w:t>Payments made to governments that relate to Energean’s activities involving the exploration, development, and production of oil and gas reserves (</w:t>
      </w:r>
      <w:r w:rsidR="008D3840">
        <w:t>“E</w:t>
      </w:r>
      <w:r w:rsidRPr="00AA0F30">
        <w:t xml:space="preserve">xtractive </w:t>
      </w:r>
      <w:r w:rsidR="008D3840">
        <w:t>A</w:t>
      </w:r>
      <w:r w:rsidRPr="00AA0F30">
        <w:t>ctivities</w:t>
      </w:r>
      <w:r w:rsidR="008D3840">
        <w:t>”</w:t>
      </w:r>
      <w:r w:rsidRPr="00AA0F30">
        <w:t xml:space="preserve">) are included in this disclosure. Payments made to governments that relate to activities other than </w:t>
      </w:r>
      <w:r w:rsidR="008D3840">
        <w:t>E</w:t>
      </w:r>
      <w:r w:rsidRPr="00AA0F30">
        <w:t>xtractive</w:t>
      </w:r>
      <w:r w:rsidR="008D3840">
        <w:t xml:space="preserve"> Activities</w:t>
      </w:r>
      <w:r w:rsidRPr="00AA0F30">
        <w:t xml:space="preserve"> are not included in this </w:t>
      </w:r>
      <w:r w:rsidR="008D3840">
        <w:t>r</w:t>
      </w:r>
      <w:r w:rsidRPr="00AA0F30">
        <w:t xml:space="preserve">eport as they are not within the scope of the Regulations. </w:t>
      </w:r>
    </w:p>
    <w:p w14:paraId="5B43A04A" w14:textId="77777777" w:rsidR="001612A8" w:rsidRDefault="001612A8" w:rsidP="00F06AD7">
      <w:pPr>
        <w:autoSpaceDE w:val="0"/>
        <w:autoSpaceDN w:val="0"/>
        <w:adjustRightInd w:val="0"/>
        <w:spacing w:after="0" w:line="240" w:lineRule="auto"/>
        <w:jc w:val="both"/>
      </w:pPr>
    </w:p>
    <w:p w14:paraId="3845E4D9" w14:textId="77777777" w:rsidR="001612A8" w:rsidRDefault="002151F9" w:rsidP="00F06AD7">
      <w:pPr>
        <w:autoSpaceDE w:val="0"/>
        <w:autoSpaceDN w:val="0"/>
        <w:adjustRightInd w:val="0"/>
        <w:spacing w:after="0" w:line="240" w:lineRule="auto"/>
        <w:jc w:val="both"/>
      </w:pPr>
      <w:r w:rsidRPr="005B6DFE">
        <w:rPr>
          <w:b/>
          <w:bCs/>
        </w:rPr>
        <w:t>Government</w:t>
      </w:r>
    </w:p>
    <w:p w14:paraId="194E533B" w14:textId="77777777" w:rsidR="001612A8" w:rsidRDefault="001612A8" w:rsidP="00F06AD7">
      <w:pPr>
        <w:autoSpaceDE w:val="0"/>
        <w:autoSpaceDN w:val="0"/>
        <w:adjustRightInd w:val="0"/>
        <w:spacing w:after="0" w:line="240" w:lineRule="auto"/>
        <w:jc w:val="both"/>
      </w:pPr>
    </w:p>
    <w:p w14:paraId="138DD75C" w14:textId="328BE62A" w:rsidR="00AA0F30" w:rsidRDefault="00AA0F30" w:rsidP="00F06AD7">
      <w:pPr>
        <w:autoSpaceDE w:val="0"/>
        <w:autoSpaceDN w:val="0"/>
        <w:adjustRightInd w:val="0"/>
        <w:spacing w:after="0" w:line="240" w:lineRule="auto"/>
        <w:jc w:val="both"/>
      </w:pPr>
      <w:r w:rsidRPr="00AA0F30">
        <w:t xml:space="preserve">Under the Regulations, a government is defined as any national, regional or local authority of a country and includes a department, agency or undertaking that is a subsidiary undertaking controlled by such an authority. All of the payments disclosed in this </w:t>
      </w:r>
      <w:r w:rsidR="008D3840">
        <w:t>d</w:t>
      </w:r>
      <w:r w:rsidRPr="00AA0F30">
        <w:t xml:space="preserve">isclosure have been made to </w:t>
      </w:r>
      <w:r w:rsidR="008D3840">
        <w:t>n</w:t>
      </w:r>
      <w:r w:rsidRPr="00AA0F30">
        <w:t xml:space="preserve">ational </w:t>
      </w:r>
      <w:r w:rsidR="008D3840">
        <w:t>g</w:t>
      </w:r>
      <w:r w:rsidRPr="00AA0F30">
        <w:t xml:space="preserve">overnments, either directly or through a </w:t>
      </w:r>
      <w:r w:rsidR="008D3840">
        <w:t>m</w:t>
      </w:r>
      <w:r w:rsidRPr="00AA0F30">
        <w:t xml:space="preserve">inistry or </w:t>
      </w:r>
      <w:r w:rsidR="008D3840">
        <w:t>d</w:t>
      </w:r>
      <w:r w:rsidRPr="00AA0F30">
        <w:t xml:space="preserve">epartment of the </w:t>
      </w:r>
      <w:r w:rsidR="008D3840">
        <w:t>n</w:t>
      </w:r>
      <w:r w:rsidRPr="00AA0F30">
        <w:t xml:space="preserve">ational </w:t>
      </w:r>
      <w:r w:rsidR="008D3840">
        <w:t>g</w:t>
      </w:r>
      <w:r w:rsidRPr="00AA0F30">
        <w:t xml:space="preserve">overnment, with the exception of Greek payments in respect of production royalties and </w:t>
      </w:r>
      <w:proofErr w:type="spellStart"/>
      <w:r w:rsidRPr="00AA0F30">
        <w:t>licence</w:t>
      </w:r>
      <w:proofErr w:type="spellEnd"/>
      <w:r w:rsidRPr="00AA0F30">
        <w:t xml:space="preserve"> fees, which are paid to the Hellenic Hydrocarbon Resources Management SA.</w:t>
      </w:r>
    </w:p>
    <w:p w14:paraId="68CAE60F" w14:textId="77777777" w:rsidR="00F06AD7" w:rsidRDefault="00F06AD7" w:rsidP="00F06AD7">
      <w:pPr>
        <w:jc w:val="both"/>
        <w:rPr>
          <w:b/>
          <w:bCs/>
        </w:rPr>
      </w:pPr>
    </w:p>
    <w:p w14:paraId="4CECFBEA" w14:textId="77777777" w:rsidR="0024767F" w:rsidRDefault="0024767F" w:rsidP="00F06AD7">
      <w:pPr>
        <w:jc w:val="both"/>
        <w:rPr>
          <w:b/>
          <w:bCs/>
        </w:rPr>
      </w:pPr>
    </w:p>
    <w:p w14:paraId="24786A93" w14:textId="0CA9108F" w:rsidR="002151F9" w:rsidRPr="005B6DFE" w:rsidRDefault="002151F9" w:rsidP="00F06AD7">
      <w:pPr>
        <w:jc w:val="both"/>
        <w:rPr>
          <w:b/>
          <w:bCs/>
        </w:rPr>
      </w:pPr>
      <w:r w:rsidRPr="005B6DFE">
        <w:rPr>
          <w:b/>
          <w:bCs/>
        </w:rPr>
        <w:lastRenderedPageBreak/>
        <w:t>Project</w:t>
      </w:r>
    </w:p>
    <w:p w14:paraId="3E8B6605" w14:textId="3CF1F603" w:rsidR="002151F9" w:rsidRDefault="002151F9" w:rsidP="00F06AD7">
      <w:pPr>
        <w:jc w:val="both"/>
      </w:pPr>
      <w:r>
        <w:t xml:space="preserve">Payments are reported at project level </w:t>
      </w:r>
      <w:r w:rsidR="008D3840">
        <w:t xml:space="preserve">with the exception </w:t>
      </w:r>
      <w:r>
        <w:t>that payments that are not attributable to a specific project are reported at</w:t>
      </w:r>
      <w:r w:rsidR="008D3840">
        <w:t xml:space="preserve"> the</w:t>
      </w:r>
      <w:r>
        <w:t xml:space="preserve"> entity level. </w:t>
      </w:r>
      <w:r w:rsidR="00845D27">
        <w:t xml:space="preserve"> A “Project</w:t>
      </w:r>
      <w:r w:rsidR="008D3840">
        <w:t>”</w:t>
      </w:r>
      <w:r>
        <w:t xml:space="preserve"> is defined as operational activities which are governed by a single contract, </w:t>
      </w:r>
      <w:proofErr w:type="spellStart"/>
      <w:r>
        <w:t>licence</w:t>
      </w:r>
      <w:proofErr w:type="spellEnd"/>
      <w:r>
        <w:t>, lease, concession or similar legal agreement, and form the basis for payment liabilities with a government. If such agreements are substantially interconnected, those agreements are to be treated as a single project.</w:t>
      </w:r>
    </w:p>
    <w:p w14:paraId="14BB7C20" w14:textId="77777777" w:rsidR="002151F9" w:rsidRDefault="002151F9" w:rsidP="00F06AD7">
      <w:pPr>
        <w:jc w:val="both"/>
      </w:pPr>
      <w:r>
        <w:t xml:space="preserve">“Substantially interconnected” means forming a set of operationally and geographically integrated contracts, </w:t>
      </w:r>
      <w:proofErr w:type="spellStart"/>
      <w:r>
        <w:t>licences</w:t>
      </w:r>
      <w:proofErr w:type="spellEnd"/>
      <w:r>
        <w:t>, leases or concessions or related agreements with substantially similar terms that are signed with a government giving rise to payment liabilities. Such agreements can be governed by a single contract, joint venture, production sharing agreement, or other overarching legal agreement. Indicators of integration include, but are not limited to, geographic proximity, the use of shared infrastructure and common operational management.</w:t>
      </w:r>
    </w:p>
    <w:p w14:paraId="4319A72C" w14:textId="59E22F19" w:rsidR="002151F9" w:rsidRPr="005B6DFE" w:rsidRDefault="002151F9" w:rsidP="00F06AD7">
      <w:pPr>
        <w:jc w:val="both"/>
        <w:rPr>
          <w:b/>
          <w:bCs/>
        </w:rPr>
      </w:pPr>
      <w:r w:rsidRPr="005B6DFE">
        <w:rPr>
          <w:b/>
          <w:bCs/>
        </w:rPr>
        <w:t>Payment</w:t>
      </w:r>
      <w:r w:rsidR="008D3840">
        <w:rPr>
          <w:b/>
          <w:bCs/>
        </w:rPr>
        <w:t>s</w:t>
      </w:r>
    </w:p>
    <w:p w14:paraId="0C6BDC96" w14:textId="77777777" w:rsidR="002151F9" w:rsidRDefault="002151F9" w:rsidP="00F06AD7">
      <w:pPr>
        <w:jc w:val="both"/>
      </w:pPr>
      <w:r>
        <w:t>The information is reported under the following payment types.</w:t>
      </w:r>
    </w:p>
    <w:p w14:paraId="2B5DAF59" w14:textId="77777777" w:rsidR="00AA0F30" w:rsidRPr="005B6DFE" w:rsidRDefault="00AA0F30" w:rsidP="00F06AD7">
      <w:pPr>
        <w:jc w:val="both"/>
        <w:rPr>
          <w:i/>
          <w:iCs/>
        </w:rPr>
      </w:pPr>
      <w:r w:rsidRPr="005B6DFE">
        <w:rPr>
          <w:i/>
          <w:iCs/>
        </w:rPr>
        <w:t>Production entitlements</w:t>
      </w:r>
    </w:p>
    <w:p w14:paraId="51FEBA05" w14:textId="09F050CB" w:rsidR="00AA0F30" w:rsidRDefault="00AA0F30" w:rsidP="00F06AD7">
      <w:pPr>
        <w:jc w:val="both"/>
      </w:pPr>
      <w:r w:rsidRPr="00AA0F30">
        <w:t>Under production-sharing agreements</w:t>
      </w:r>
      <w:r w:rsidR="008D3840">
        <w:t xml:space="preserve"> (“PSAs”),</w:t>
      </w:r>
      <w:r w:rsidRPr="00AA0F30">
        <w:t xml:space="preserve"> production is shared between the host government and the other parties to the PSA. The host government typically receives its share or entitlement in kind rather than being paid in cash. </w:t>
      </w:r>
    </w:p>
    <w:p w14:paraId="289B544A" w14:textId="633060CE" w:rsidR="002151F9" w:rsidRPr="005B6DFE" w:rsidRDefault="002151F9" w:rsidP="00F06AD7">
      <w:pPr>
        <w:jc w:val="both"/>
        <w:rPr>
          <w:i/>
          <w:iCs/>
        </w:rPr>
      </w:pPr>
      <w:r w:rsidRPr="005B6DFE">
        <w:rPr>
          <w:i/>
          <w:iCs/>
        </w:rPr>
        <w:t>Taxes</w:t>
      </w:r>
    </w:p>
    <w:p w14:paraId="38A7EF15" w14:textId="4479272E" w:rsidR="002151F9" w:rsidRDefault="008D3840" w:rsidP="00F06AD7">
      <w:pPr>
        <w:jc w:val="both"/>
      </w:pPr>
      <w:r>
        <w:t xml:space="preserve">Taxes </w:t>
      </w:r>
      <w:r w:rsidR="002151F9">
        <w:t>are paid by Energean on its income, profits or production</w:t>
      </w:r>
      <w:r>
        <w:t xml:space="preserve"> and are </w:t>
      </w:r>
      <w:r w:rsidR="002151F9">
        <w:t>reported net of refunds. Consumption taxes, personal income taxes, sales taxes, property and environmental taxes are excluded.</w:t>
      </w:r>
    </w:p>
    <w:p w14:paraId="169208BA" w14:textId="77777777" w:rsidR="002151F9" w:rsidRPr="005B6DFE" w:rsidRDefault="002151F9" w:rsidP="00F06AD7">
      <w:pPr>
        <w:jc w:val="both"/>
        <w:rPr>
          <w:i/>
          <w:iCs/>
        </w:rPr>
      </w:pPr>
      <w:r w:rsidRPr="005B6DFE">
        <w:rPr>
          <w:i/>
          <w:iCs/>
        </w:rPr>
        <w:t>Royalties</w:t>
      </w:r>
    </w:p>
    <w:p w14:paraId="01FFCC93" w14:textId="3015D93F" w:rsidR="002151F9" w:rsidRDefault="008D3840" w:rsidP="00F06AD7">
      <w:pPr>
        <w:jc w:val="both"/>
      </w:pPr>
      <w:r>
        <w:t xml:space="preserve">Royalties </w:t>
      </w:r>
      <w:r w:rsidR="002151F9">
        <w:t xml:space="preserve">are payments for the rights to extract oil and gas resources, typically at a set percentage of revenue less any </w:t>
      </w:r>
      <w:r>
        <w:t xml:space="preserve">allowable </w:t>
      </w:r>
      <w:r w:rsidR="002151F9">
        <w:t xml:space="preserve">deductions.  </w:t>
      </w:r>
    </w:p>
    <w:p w14:paraId="3E03859A" w14:textId="77777777" w:rsidR="002151F9" w:rsidRPr="005B6DFE" w:rsidRDefault="002151F9" w:rsidP="00F06AD7">
      <w:pPr>
        <w:jc w:val="both"/>
        <w:rPr>
          <w:i/>
          <w:iCs/>
        </w:rPr>
      </w:pPr>
      <w:r w:rsidRPr="005B6DFE">
        <w:rPr>
          <w:i/>
          <w:iCs/>
        </w:rPr>
        <w:t>Dividends</w:t>
      </w:r>
    </w:p>
    <w:p w14:paraId="51D61121" w14:textId="07E81349" w:rsidR="002151F9" w:rsidRDefault="008D3840" w:rsidP="00F06AD7">
      <w:pPr>
        <w:jc w:val="both"/>
      </w:pPr>
      <w:r>
        <w:t>Dividends, in this context, are</w:t>
      </w:r>
      <w:r w:rsidR="00D9203B">
        <w:t xml:space="preserve"> dividend</w:t>
      </w:r>
      <w:r w:rsidR="002151F9">
        <w:t xml:space="preserve"> payments other than </w:t>
      </w:r>
      <w:r w:rsidR="00D9203B">
        <w:t xml:space="preserve">those </w:t>
      </w:r>
      <w:r w:rsidR="002151F9">
        <w:t>paid to a government as an ordinary shareholder of an entity</w:t>
      </w:r>
      <w:r w:rsidR="00D9203B">
        <w:t>,</w:t>
      </w:r>
      <w:r w:rsidR="002151F9">
        <w:t xml:space="preserve"> unless paid in lieu of production entitlements or royalties. For the year ended December 31, 2020, there were no reportable dividend payments to a government.</w:t>
      </w:r>
    </w:p>
    <w:p w14:paraId="1184F63F" w14:textId="77777777" w:rsidR="002151F9" w:rsidRPr="005B6DFE" w:rsidRDefault="002151F9" w:rsidP="00F06AD7">
      <w:pPr>
        <w:jc w:val="both"/>
        <w:rPr>
          <w:i/>
          <w:iCs/>
        </w:rPr>
      </w:pPr>
      <w:r w:rsidRPr="005B6DFE">
        <w:rPr>
          <w:i/>
          <w:iCs/>
        </w:rPr>
        <w:t>Bonuses</w:t>
      </w:r>
    </w:p>
    <w:p w14:paraId="3471EE11" w14:textId="3F28AD4E" w:rsidR="002151F9" w:rsidRDefault="00D9203B" w:rsidP="00F06AD7">
      <w:pPr>
        <w:jc w:val="both"/>
      </w:pPr>
      <w:r>
        <w:t>Bonuses</w:t>
      </w:r>
      <w:r w:rsidR="002151F9">
        <w:t xml:space="preserve"> are usually paid upon </w:t>
      </w:r>
      <w:r>
        <w:t xml:space="preserve">signature of </w:t>
      </w:r>
      <w:r w:rsidR="002151F9">
        <w:t xml:space="preserve">an agreement or a contract, </w:t>
      </w:r>
      <w:r>
        <w:t>declaration of a commercial discovery, commencement of production or achievement of a specified milestone.</w:t>
      </w:r>
    </w:p>
    <w:p w14:paraId="10D46697" w14:textId="2708F6B4" w:rsidR="002151F9" w:rsidRPr="005B6DFE" w:rsidRDefault="005B6DFE" w:rsidP="00F06AD7">
      <w:pPr>
        <w:jc w:val="both"/>
        <w:rPr>
          <w:i/>
          <w:iCs/>
        </w:rPr>
      </w:pPr>
      <w:r w:rsidRPr="005B6DFE">
        <w:rPr>
          <w:i/>
          <w:iCs/>
        </w:rPr>
        <w:t xml:space="preserve">Fees </w:t>
      </w:r>
    </w:p>
    <w:p w14:paraId="57D7AD43" w14:textId="65A061DA" w:rsidR="002151F9" w:rsidRDefault="00D9203B" w:rsidP="00D9203B">
      <w:pPr>
        <w:jc w:val="both"/>
      </w:pPr>
      <w:r>
        <w:t>F</w:t>
      </w:r>
      <w:r w:rsidR="002151F9">
        <w:t xml:space="preserve">ees and other sums </w:t>
      </w:r>
      <w:r>
        <w:t xml:space="preserve">are </w:t>
      </w:r>
      <w:r w:rsidR="002151F9">
        <w:t xml:space="preserve">paid as consideration </w:t>
      </w:r>
      <w:r>
        <w:t xml:space="preserve">for the acquisition of a </w:t>
      </w:r>
      <w:proofErr w:type="spellStart"/>
      <w:r>
        <w:t>licence</w:t>
      </w:r>
      <w:proofErr w:type="spellEnd"/>
      <w:r>
        <w:t xml:space="preserve"> that enables access to an area for the purposes of performing Extractive Activities. </w:t>
      </w:r>
      <w:r w:rsidR="002151F9">
        <w:t xml:space="preserve">Administrative government fees that are not </w:t>
      </w:r>
      <w:r w:rsidR="002151F9">
        <w:lastRenderedPageBreak/>
        <w:t xml:space="preserve">specifically related to </w:t>
      </w:r>
      <w:r>
        <w:t>Extractive Activities</w:t>
      </w:r>
      <w:r w:rsidR="002151F9">
        <w:t>, or to access to extractive resources, are excluded</w:t>
      </w:r>
      <w:r>
        <w:t>, as are</w:t>
      </w:r>
      <w:r w:rsidR="00D23F02">
        <w:t xml:space="preserve"> </w:t>
      </w:r>
      <w:r w:rsidR="002151F9">
        <w:t>payments made in return for services provided by a government.</w:t>
      </w:r>
    </w:p>
    <w:p w14:paraId="2026AA0C" w14:textId="77777777" w:rsidR="002151F9" w:rsidRPr="005B6DFE" w:rsidRDefault="002151F9" w:rsidP="00F06AD7">
      <w:pPr>
        <w:jc w:val="both"/>
        <w:rPr>
          <w:i/>
          <w:iCs/>
        </w:rPr>
      </w:pPr>
      <w:r w:rsidRPr="005B6DFE">
        <w:rPr>
          <w:i/>
          <w:iCs/>
        </w:rPr>
        <w:t>Infrastructure improvements</w:t>
      </w:r>
    </w:p>
    <w:p w14:paraId="78CDE91F" w14:textId="2B43C688" w:rsidR="00AA0F30" w:rsidRDefault="00D9203B" w:rsidP="00F06AD7">
      <w:pPr>
        <w:jc w:val="both"/>
      </w:pPr>
      <w:r>
        <w:t>Infrastructure improvements payments</w:t>
      </w:r>
      <w:r w:rsidR="002151F9">
        <w:t xml:space="preserve"> relate to the construction of infrastructure (road, bridge or rail) </w:t>
      </w:r>
      <w:r>
        <w:t xml:space="preserve">that are </w:t>
      </w:r>
      <w:r w:rsidR="002151F9">
        <w:t xml:space="preserve">not substantially dedicated for the use of extractive activities. Payments </w:t>
      </w:r>
      <w:r>
        <w:t xml:space="preserve">that </w:t>
      </w:r>
      <w:r w:rsidR="002151F9">
        <w:t>are of a social investment in nature, for example building of a school or hospital, are</w:t>
      </w:r>
      <w:r>
        <w:t xml:space="preserve"> also</w:t>
      </w:r>
      <w:r w:rsidR="002151F9">
        <w:t xml:space="preserve"> excluded.</w:t>
      </w:r>
      <w:r w:rsidR="00AA0F30">
        <w:t xml:space="preserve"> For the year ended December 31, 2020, there were no reportable payments for infrastructure improvements.</w:t>
      </w:r>
    </w:p>
    <w:p w14:paraId="1AA57C68" w14:textId="2FB2D394" w:rsidR="005B6DFE" w:rsidRPr="005B6DFE" w:rsidRDefault="002151F9" w:rsidP="00F06AD7">
      <w:pPr>
        <w:jc w:val="both"/>
        <w:rPr>
          <w:b/>
          <w:bCs/>
        </w:rPr>
      </w:pPr>
      <w:r w:rsidRPr="005B6DFE">
        <w:rPr>
          <w:b/>
          <w:bCs/>
        </w:rPr>
        <w:t xml:space="preserve">Cash </w:t>
      </w:r>
      <w:r w:rsidR="005B6DFE" w:rsidRPr="005B6DFE">
        <w:rPr>
          <w:b/>
          <w:bCs/>
        </w:rPr>
        <w:t>basis</w:t>
      </w:r>
    </w:p>
    <w:p w14:paraId="446E2DFC" w14:textId="2C4D359D" w:rsidR="005B6DFE" w:rsidRDefault="005B6DFE" w:rsidP="00F06AD7">
      <w:pPr>
        <w:jc w:val="both"/>
      </w:pPr>
      <w:r w:rsidRPr="005B6DFE">
        <w:t>Payments are reported on a cash basis, meaning that they are reported in the period in which they are paid, as opposed to being reported on an accruals basis (which would mean that they were reported in the period for which the liabilities arise).</w:t>
      </w:r>
    </w:p>
    <w:p w14:paraId="3F26F6FB" w14:textId="77777777" w:rsidR="002151F9" w:rsidRPr="005B6DFE" w:rsidRDefault="002151F9" w:rsidP="00F06AD7">
      <w:pPr>
        <w:jc w:val="both"/>
        <w:rPr>
          <w:b/>
          <w:bCs/>
        </w:rPr>
      </w:pPr>
      <w:r w:rsidRPr="005B6DFE">
        <w:rPr>
          <w:b/>
          <w:bCs/>
        </w:rPr>
        <w:t>Materiality Level</w:t>
      </w:r>
    </w:p>
    <w:p w14:paraId="5E110F8A" w14:textId="62242100" w:rsidR="002151F9" w:rsidRDefault="002151F9" w:rsidP="00F06AD7">
      <w:pPr>
        <w:jc w:val="both"/>
      </w:pPr>
      <w:r>
        <w:t xml:space="preserve">For each payment type, total payments below £86,000 to a government are excluded from this </w:t>
      </w:r>
      <w:r w:rsidR="00D9203B">
        <w:t>r</w:t>
      </w:r>
      <w:r>
        <w:t>eport.</w:t>
      </w:r>
    </w:p>
    <w:p w14:paraId="1657A352" w14:textId="77777777" w:rsidR="002151F9" w:rsidRPr="005B6DFE" w:rsidRDefault="002151F9" w:rsidP="00F06AD7">
      <w:pPr>
        <w:jc w:val="both"/>
        <w:rPr>
          <w:b/>
          <w:bCs/>
        </w:rPr>
      </w:pPr>
      <w:r w:rsidRPr="005B6DFE">
        <w:rPr>
          <w:b/>
          <w:bCs/>
        </w:rPr>
        <w:t>Exchange Rate</w:t>
      </w:r>
    </w:p>
    <w:p w14:paraId="79D35546" w14:textId="77777777" w:rsidR="005B6DFE" w:rsidRDefault="005B6DFE" w:rsidP="00F06AD7">
      <w:pPr>
        <w:jc w:val="both"/>
      </w:pPr>
      <w:r w:rsidRPr="005B6DFE">
        <w:t>All payments have been reported in US dollars. Payments made in currencies other than US dollars are typically translated at the average exchange rate of the year under consideration.</w:t>
      </w:r>
    </w:p>
    <w:p w14:paraId="49911B69" w14:textId="77777777" w:rsidR="008750B9" w:rsidRPr="008750B9" w:rsidRDefault="008750B9" w:rsidP="008750B9">
      <w:pPr>
        <w:jc w:val="center"/>
        <w:rPr>
          <w:b/>
          <w:bCs/>
        </w:rPr>
      </w:pPr>
      <w:r w:rsidRPr="008750B9">
        <w:rPr>
          <w:b/>
          <w:bCs/>
        </w:rPr>
        <w:t>PAYMENTS OVERVIEW</w:t>
      </w:r>
    </w:p>
    <w:p w14:paraId="3DB7DBDA" w14:textId="61095F09" w:rsidR="008750B9" w:rsidRDefault="008750B9" w:rsidP="00F06AD7">
      <w:pPr>
        <w:jc w:val="both"/>
      </w:pPr>
      <w:r>
        <w:t xml:space="preserve">The table below shows the relevant payments to governments made by Energean in the year ended 31 December 2020 shown by country and payment type. </w:t>
      </w:r>
    </w:p>
    <w:p w14:paraId="1E883FCC" w14:textId="22B5C98B" w:rsidR="008750B9" w:rsidRDefault="008750B9" w:rsidP="00F06AD7">
      <w:pPr>
        <w:jc w:val="both"/>
      </w:pPr>
      <w:r>
        <w:t xml:space="preserve">Of the seven payment types </w:t>
      </w:r>
      <w:r w:rsidR="00D9203B">
        <w:t>that the</w:t>
      </w:r>
      <w:r>
        <w:t xml:space="preserve"> UK regulations</w:t>
      </w:r>
      <w:r w:rsidR="00D9203B">
        <w:t xml:space="preserve"> require disclosure of</w:t>
      </w:r>
      <w:r>
        <w:t xml:space="preserve">, Energean did not </w:t>
      </w:r>
      <w:r w:rsidR="00D9203B">
        <w:t>make any payments in respect of</w:t>
      </w:r>
      <w:r>
        <w:t xml:space="preserve"> production entitlements, dividends and or infrastructure improvements, therefore, those categories are not shown</w:t>
      </w:r>
      <w:r w:rsidR="001A3213">
        <w:t xml:space="preserve"> in the tables</w:t>
      </w:r>
      <w:r>
        <w:t>.</w:t>
      </w:r>
    </w:p>
    <w:tbl>
      <w:tblPr>
        <w:tblW w:w="9361" w:type="dxa"/>
        <w:jc w:val="right"/>
        <w:tblLook w:val="04A0" w:firstRow="1" w:lastRow="0" w:firstColumn="1" w:lastColumn="0" w:noHBand="0" w:noVBand="1"/>
      </w:tblPr>
      <w:tblGrid>
        <w:gridCol w:w="2978"/>
        <w:gridCol w:w="1134"/>
        <w:gridCol w:w="1134"/>
        <w:gridCol w:w="1422"/>
        <w:gridCol w:w="1276"/>
        <w:gridCol w:w="1417"/>
      </w:tblGrid>
      <w:tr w:rsidR="008750B9" w:rsidRPr="00CE5912" w14:paraId="2F760223" w14:textId="77777777" w:rsidTr="0024767F">
        <w:trPr>
          <w:trHeight w:val="510"/>
          <w:tblHeader/>
          <w:jc w:val="right"/>
        </w:trPr>
        <w:tc>
          <w:tcPr>
            <w:tcW w:w="297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67F4C8A" w14:textId="77777777" w:rsidR="008750B9" w:rsidRPr="00CE5912" w:rsidRDefault="008750B9"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Country</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14:paraId="1CA83103" w14:textId="77777777" w:rsidR="008750B9" w:rsidRPr="00CE5912" w:rsidRDefault="008750B9" w:rsidP="001A5C9B">
            <w:pPr>
              <w:spacing w:after="0" w:line="240" w:lineRule="auto"/>
              <w:jc w:val="center"/>
              <w:rPr>
                <w:rFonts w:ascii="Calibri" w:eastAsia="Times New Roman" w:hAnsi="Calibri" w:cs="Calibri"/>
                <w:b/>
                <w:bCs/>
                <w:color w:val="FFFFFF" w:themeColor="background1"/>
                <w:sz w:val="20"/>
                <w:szCs w:val="20"/>
              </w:rPr>
            </w:pPr>
            <w:r w:rsidRPr="00CE5912">
              <w:rPr>
                <w:rFonts w:ascii="Calibri" w:eastAsia="Times New Roman" w:hAnsi="Calibri" w:cs="Calibri"/>
                <w:b/>
                <w:bCs/>
                <w:color w:val="FFFFFF" w:themeColor="background1"/>
                <w:sz w:val="20"/>
                <w:szCs w:val="20"/>
              </w:rPr>
              <w:t>Income</w:t>
            </w:r>
            <w:r w:rsidRPr="00CE5912">
              <w:rPr>
                <w:rFonts w:ascii="Calibri" w:eastAsia="Times New Roman" w:hAnsi="Calibri" w:cs="Calibri"/>
                <w:b/>
                <w:bCs/>
                <w:color w:val="FFFFFF" w:themeColor="background1"/>
                <w:sz w:val="20"/>
                <w:szCs w:val="20"/>
              </w:rPr>
              <w:br/>
              <w:t>taxes</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14:paraId="7B6D029F" w14:textId="77777777" w:rsidR="008750B9" w:rsidRPr="00CE5912" w:rsidRDefault="008750B9" w:rsidP="001A5C9B">
            <w:pPr>
              <w:spacing w:after="0" w:line="240" w:lineRule="auto"/>
              <w:jc w:val="center"/>
              <w:rPr>
                <w:rFonts w:ascii="Calibri" w:eastAsia="Times New Roman" w:hAnsi="Calibri" w:cs="Calibri"/>
                <w:b/>
                <w:bCs/>
                <w:color w:val="FFFFFF" w:themeColor="background1"/>
                <w:sz w:val="20"/>
                <w:szCs w:val="20"/>
              </w:rPr>
            </w:pPr>
            <w:r w:rsidRPr="00CE5912">
              <w:rPr>
                <w:rFonts w:ascii="Calibri" w:eastAsia="Times New Roman" w:hAnsi="Calibri" w:cs="Calibri"/>
                <w:b/>
                <w:bCs/>
                <w:color w:val="FFFFFF" w:themeColor="background1"/>
                <w:sz w:val="20"/>
                <w:szCs w:val="20"/>
              </w:rPr>
              <w:t>Royalties</w:t>
            </w:r>
          </w:p>
        </w:tc>
        <w:tc>
          <w:tcPr>
            <w:tcW w:w="1422" w:type="dxa"/>
            <w:tcBorders>
              <w:top w:val="single" w:sz="4" w:space="0" w:color="auto"/>
              <w:left w:val="nil"/>
              <w:bottom w:val="single" w:sz="4" w:space="0" w:color="auto"/>
              <w:right w:val="single" w:sz="4" w:space="0" w:color="auto"/>
            </w:tcBorders>
            <w:shd w:val="clear" w:color="000000" w:fill="002060"/>
            <w:vAlign w:val="center"/>
            <w:hideMark/>
          </w:tcPr>
          <w:p w14:paraId="200A995B" w14:textId="77777777" w:rsidR="008750B9" w:rsidRPr="00CE5912" w:rsidRDefault="008750B9" w:rsidP="001A5C9B">
            <w:pPr>
              <w:spacing w:after="0" w:line="240" w:lineRule="auto"/>
              <w:jc w:val="center"/>
              <w:rPr>
                <w:rFonts w:ascii="Calibri" w:eastAsia="Times New Roman" w:hAnsi="Calibri" w:cs="Calibri"/>
                <w:b/>
                <w:bCs/>
                <w:color w:val="FFFFFF" w:themeColor="background1"/>
                <w:sz w:val="20"/>
                <w:szCs w:val="20"/>
              </w:rPr>
            </w:pPr>
            <w:r w:rsidRPr="00CE5912">
              <w:rPr>
                <w:rFonts w:ascii="Calibri" w:eastAsia="Times New Roman" w:hAnsi="Calibri" w:cs="Calibri"/>
                <w:b/>
                <w:bCs/>
                <w:color w:val="FFFFFF" w:themeColor="background1"/>
                <w:sz w:val="20"/>
                <w:szCs w:val="20"/>
              </w:rPr>
              <w:t>Bonuses</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51A9FAD2" w14:textId="77777777" w:rsidR="008750B9" w:rsidRPr="00CE5912" w:rsidRDefault="008750B9" w:rsidP="001A5C9B">
            <w:pPr>
              <w:spacing w:after="0" w:line="240" w:lineRule="auto"/>
              <w:jc w:val="center"/>
              <w:rPr>
                <w:rFonts w:ascii="Calibri" w:eastAsia="Times New Roman" w:hAnsi="Calibri" w:cs="Calibri"/>
                <w:b/>
                <w:bCs/>
                <w:color w:val="FFFFFF" w:themeColor="background1"/>
                <w:sz w:val="20"/>
                <w:szCs w:val="20"/>
              </w:rPr>
            </w:pPr>
            <w:r w:rsidRPr="00CE5912">
              <w:rPr>
                <w:rFonts w:ascii="Calibri" w:eastAsia="Times New Roman" w:hAnsi="Calibri" w:cs="Calibri"/>
                <w:b/>
                <w:bCs/>
                <w:color w:val="FFFFFF" w:themeColor="background1"/>
                <w:sz w:val="20"/>
                <w:szCs w:val="20"/>
              </w:rPr>
              <w:t>Fees</w:t>
            </w:r>
          </w:p>
        </w:tc>
        <w:tc>
          <w:tcPr>
            <w:tcW w:w="1417" w:type="dxa"/>
            <w:tcBorders>
              <w:top w:val="single" w:sz="4" w:space="0" w:color="auto"/>
              <w:left w:val="nil"/>
              <w:bottom w:val="single" w:sz="4" w:space="0" w:color="auto"/>
              <w:right w:val="single" w:sz="4" w:space="0" w:color="auto"/>
            </w:tcBorders>
            <w:shd w:val="clear" w:color="000000" w:fill="002060"/>
            <w:vAlign w:val="center"/>
            <w:hideMark/>
          </w:tcPr>
          <w:p w14:paraId="01081E10" w14:textId="77777777" w:rsidR="008750B9" w:rsidRPr="00CE5912" w:rsidRDefault="008750B9" w:rsidP="001A5C9B">
            <w:pPr>
              <w:spacing w:after="0" w:line="240" w:lineRule="auto"/>
              <w:jc w:val="center"/>
              <w:rPr>
                <w:rFonts w:ascii="Calibri" w:eastAsia="Times New Roman" w:hAnsi="Calibri" w:cs="Calibri"/>
                <w:b/>
                <w:bCs/>
                <w:color w:val="FFFFFF" w:themeColor="background1"/>
                <w:sz w:val="20"/>
                <w:szCs w:val="20"/>
              </w:rPr>
            </w:pPr>
            <w:r w:rsidRPr="00CE5912">
              <w:rPr>
                <w:rFonts w:ascii="Calibri" w:eastAsia="Times New Roman" w:hAnsi="Calibri" w:cs="Calibri"/>
                <w:b/>
                <w:bCs/>
                <w:color w:val="FFFFFF" w:themeColor="background1"/>
                <w:sz w:val="20"/>
                <w:szCs w:val="20"/>
              </w:rPr>
              <w:t>Total</w:t>
            </w:r>
          </w:p>
        </w:tc>
      </w:tr>
      <w:tr w:rsidR="008750B9" w:rsidRPr="001F3475" w14:paraId="3EF98999" w14:textId="77777777" w:rsidTr="0024767F">
        <w:trPr>
          <w:trHeight w:val="300"/>
          <w:tblHeader/>
          <w:jc w:val="right"/>
        </w:trPr>
        <w:tc>
          <w:tcPr>
            <w:tcW w:w="2978" w:type="dxa"/>
            <w:tcBorders>
              <w:top w:val="single" w:sz="4" w:space="0" w:color="auto"/>
              <w:left w:val="single" w:sz="4" w:space="0" w:color="auto"/>
              <w:bottom w:val="single" w:sz="4" w:space="0" w:color="auto"/>
              <w:right w:val="nil"/>
            </w:tcBorders>
            <w:shd w:val="clear" w:color="auto" w:fill="002060"/>
            <w:noWrap/>
            <w:vAlign w:val="center"/>
          </w:tcPr>
          <w:p w14:paraId="5D3CC6A4" w14:textId="77777777" w:rsidR="008750B9" w:rsidRPr="00CE5912" w:rsidRDefault="008750B9"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 </w:t>
            </w:r>
          </w:p>
        </w:tc>
        <w:tc>
          <w:tcPr>
            <w:tcW w:w="1134"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F9D6352" w14:textId="77777777" w:rsidR="008750B9" w:rsidRPr="00CE5912" w:rsidRDefault="008750B9"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134"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53F82BF0" w14:textId="77777777" w:rsidR="008750B9" w:rsidRPr="00CE5912" w:rsidRDefault="008750B9"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422"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2BA666F" w14:textId="77777777" w:rsidR="008750B9" w:rsidRPr="00CE5912" w:rsidRDefault="008750B9"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276"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3F89EC4" w14:textId="77777777" w:rsidR="008750B9" w:rsidRPr="00CE5912" w:rsidRDefault="008750B9"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417" w:type="dxa"/>
            <w:tcBorders>
              <w:top w:val="single" w:sz="4" w:space="0" w:color="auto"/>
              <w:left w:val="nil"/>
              <w:bottom w:val="single" w:sz="4" w:space="0" w:color="auto"/>
              <w:right w:val="single" w:sz="4" w:space="0" w:color="auto"/>
            </w:tcBorders>
            <w:shd w:val="clear" w:color="auto" w:fill="002060"/>
            <w:noWrap/>
            <w:vAlign w:val="center"/>
          </w:tcPr>
          <w:p w14:paraId="23EFBB84" w14:textId="77777777" w:rsidR="008750B9" w:rsidRPr="00CE5912" w:rsidRDefault="008750B9"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r>
      <w:tr w:rsidR="008750B9" w:rsidRPr="001F3475" w14:paraId="4ABC9A2E" w14:textId="77777777" w:rsidTr="0024767F">
        <w:trPr>
          <w:trHeight w:val="300"/>
          <w:tblHeader/>
          <w:jc w:val="right"/>
        </w:trPr>
        <w:tc>
          <w:tcPr>
            <w:tcW w:w="2978" w:type="dxa"/>
            <w:tcBorders>
              <w:top w:val="single" w:sz="4" w:space="0" w:color="auto"/>
              <w:left w:val="single" w:sz="4" w:space="0" w:color="auto"/>
              <w:bottom w:val="nil"/>
              <w:right w:val="nil"/>
            </w:tcBorders>
            <w:shd w:val="clear" w:color="auto" w:fill="auto"/>
            <w:noWrap/>
            <w:vAlign w:val="bottom"/>
            <w:hideMark/>
          </w:tcPr>
          <w:p w14:paraId="062099D6" w14:textId="5FABF64A" w:rsidR="008750B9" w:rsidRPr="00CE5912" w:rsidRDefault="008750B9"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Egypt</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BBA65C2" w14:textId="39627E83"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58.19</w:t>
            </w:r>
            <w:r w:rsidR="001A5C9B">
              <w:rPr>
                <w:rStyle w:val="FootnoteReference"/>
                <w:rFonts w:ascii="Calibri" w:eastAsia="Times New Roman" w:hAnsi="Calibri" w:cs="Calibri"/>
                <w:color w:val="808080" w:themeColor="background1" w:themeShade="80"/>
              </w:rPr>
              <w:footnoteReference w:id="2"/>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28DE941A" w14:textId="243215CB"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422" w:type="dxa"/>
            <w:tcBorders>
              <w:top w:val="single" w:sz="4" w:space="0" w:color="auto"/>
              <w:left w:val="single" w:sz="4" w:space="0" w:color="auto"/>
              <w:bottom w:val="nil"/>
              <w:right w:val="single" w:sz="4" w:space="0" w:color="auto"/>
            </w:tcBorders>
            <w:shd w:val="clear" w:color="auto" w:fill="auto"/>
            <w:noWrap/>
            <w:vAlign w:val="bottom"/>
          </w:tcPr>
          <w:p w14:paraId="7DE46E00" w14:textId="5C3E6D67"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2.54</w:t>
            </w:r>
          </w:p>
        </w:tc>
        <w:tc>
          <w:tcPr>
            <w:tcW w:w="1276" w:type="dxa"/>
            <w:tcBorders>
              <w:top w:val="single" w:sz="4" w:space="0" w:color="auto"/>
              <w:left w:val="single" w:sz="4" w:space="0" w:color="auto"/>
              <w:bottom w:val="nil"/>
              <w:right w:val="single" w:sz="4" w:space="0" w:color="auto"/>
            </w:tcBorders>
            <w:shd w:val="clear" w:color="auto" w:fill="auto"/>
            <w:noWrap/>
            <w:vAlign w:val="bottom"/>
          </w:tcPr>
          <w:p w14:paraId="3F5CFDEC" w14:textId="334F498A"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0.34</w:t>
            </w:r>
          </w:p>
        </w:tc>
        <w:tc>
          <w:tcPr>
            <w:tcW w:w="1417" w:type="dxa"/>
            <w:tcBorders>
              <w:top w:val="single" w:sz="4" w:space="0" w:color="auto"/>
              <w:left w:val="nil"/>
              <w:bottom w:val="nil"/>
              <w:right w:val="single" w:sz="4" w:space="0" w:color="auto"/>
            </w:tcBorders>
            <w:shd w:val="clear" w:color="auto" w:fill="auto"/>
            <w:noWrap/>
            <w:vAlign w:val="bottom"/>
          </w:tcPr>
          <w:p w14:paraId="6D860D64" w14:textId="7F4C92C0"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61.07</w:t>
            </w:r>
          </w:p>
        </w:tc>
      </w:tr>
      <w:tr w:rsidR="008750B9" w:rsidRPr="001F3475" w14:paraId="615104E9" w14:textId="77777777" w:rsidTr="0024767F">
        <w:trPr>
          <w:trHeight w:val="300"/>
          <w:tblHeader/>
          <w:jc w:val="right"/>
        </w:trPr>
        <w:tc>
          <w:tcPr>
            <w:tcW w:w="2978" w:type="dxa"/>
            <w:tcBorders>
              <w:top w:val="nil"/>
              <w:left w:val="single" w:sz="4" w:space="0" w:color="auto"/>
              <w:bottom w:val="nil"/>
              <w:right w:val="nil"/>
            </w:tcBorders>
            <w:shd w:val="clear" w:color="auto" w:fill="auto"/>
            <w:noWrap/>
            <w:vAlign w:val="bottom"/>
          </w:tcPr>
          <w:p w14:paraId="2E6BCF94" w14:textId="0A233265" w:rsidR="008750B9" w:rsidRPr="00CE5912" w:rsidRDefault="008750B9"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Greece</w:t>
            </w:r>
          </w:p>
        </w:tc>
        <w:tc>
          <w:tcPr>
            <w:tcW w:w="1134" w:type="dxa"/>
            <w:tcBorders>
              <w:top w:val="nil"/>
              <w:left w:val="single" w:sz="4" w:space="0" w:color="auto"/>
              <w:right w:val="single" w:sz="4" w:space="0" w:color="auto"/>
            </w:tcBorders>
            <w:shd w:val="clear" w:color="auto" w:fill="auto"/>
            <w:noWrap/>
            <w:vAlign w:val="bottom"/>
          </w:tcPr>
          <w:p w14:paraId="79073043" w14:textId="3F44A0E3"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134" w:type="dxa"/>
            <w:tcBorders>
              <w:top w:val="nil"/>
              <w:left w:val="single" w:sz="4" w:space="0" w:color="auto"/>
              <w:right w:val="single" w:sz="4" w:space="0" w:color="auto"/>
            </w:tcBorders>
            <w:shd w:val="clear" w:color="auto" w:fill="auto"/>
            <w:noWrap/>
            <w:vAlign w:val="bottom"/>
          </w:tcPr>
          <w:p w14:paraId="23D36FD4" w14:textId="1F6942BD"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0.70</w:t>
            </w:r>
          </w:p>
        </w:tc>
        <w:tc>
          <w:tcPr>
            <w:tcW w:w="1422" w:type="dxa"/>
            <w:tcBorders>
              <w:top w:val="nil"/>
              <w:left w:val="single" w:sz="4" w:space="0" w:color="auto"/>
              <w:right w:val="single" w:sz="4" w:space="0" w:color="auto"/>
            </w:tcBorders>
            <w:shd w:val="clear" w:color="auto" w:fill="auto"/>
            <w:noWrap/>
            <w:vAlign w:val="bottom"/>
          </w:tcPr>
          <w:p w14:paraId="0175EAAA" w14:textId="61F7EE2B"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76" w:type="dxa"/>
            <w:tcBorders>
              <w:top w:val="nil"/>
              <w:left w:val="single" w:sz="4" w:space="0" w:color="auto"/>
              <w:right w:val="single" w:sz="4" w:space="0" w:color="auto"/>
            </w:tcBorders>
            <w:shd w:val="clear" w:color="auto" w:fill="auto"/>
            <w:noWrap/>
            <w:vAlign w:val="bottom"/>
          </w:tcPr>
          <w:p w14:paraId="23B83CA6" w14:textId="166BE4E8" w:rsidR="008750B9" w:rsidRPr="00CE5912" w:rsidRDefault="00C336BF"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0.26</w:t>
            </w:r>
          </w:p>
        </w:tc>
        <w:tc>
          <w:tcPr>
            <w:tcW w:w="1417" w:type="dxa"/>
            <w:tcBorders>
              <w:top w:val="nil"/>
              <w:left w:val="nil"/>
              <w:right w:val="single" w:sz="4" w:space="0" w:color="auto"/>
            </w:tcBorders>
            <w:shd w:val="clear" w:color="auto" w:fill="auto"/>
            <w:noWrap/>
            <w:vAlign w:val="bottom"/>
          </w:tcPr>
          <w:p w14:paraId="6DFB6B51" w14:textId="44394DB5"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w:t>
            </w:r>
            <w:r w:rsidR="00C336BF">
              <w:rPr>
                <w:rFonts w:ascii="Calibri" w:eastAsia="Times New Roman" w:hAnsi="Calibri" w:cs="Calibri"/>
                <w:color w:val="808080" w:themeColor="background1" w:themeShade="80"/>
              </w:rPr>
              <w:t>96</w:t>
            </w:r>
          </w:p>
        </w:tc>
      </w:tr>
      <w:tr w:rsidR="008750B9" w:rsidRPr="001F3475" w14:paraId="6B121C73" w14:textId="77777777" w:rsidTr="0024767F">
        <w:trPr>
          <w:trHeight w:val="300"/>
          <w:tblHeader/>
          <w:jc w:val="right"/>
        </w:trPr>
        <w:tc>
          <w:tcPr>
            <w:tcW w:w="2978" w:type="dxa"/>
            <w:tcBorders>
              <w:top w:val="nil"/>
              <w:left w:val="single" w:sz="4" w:space="0" w:color="auto"/>
              <w:bottom w:val="nil"/>
              <w:right w:val="nil"/>
            </w:tcBorders>
            <w:shd w:val="clear" w:color="auto" w:fill="auto"/>
            <w:noWrap/>
            <w:vAlign w:val="bottom"/>
          </w:tcPr>
          <w:p w14:paraId="7C365840" w14:textId="4957416F" w:rsidR="008750B9" w:rsidRPr="00CE5912" w:rsidRDefault="008750B9"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Israel</w:t>
            </w:r>
          </w:p>
        </w:tc>
        <w:tc>
          <w:tcPr>
            <w:tcW w:w="1134" w:type="dxa"/>
            <w:tcBorders>
              <w:top w:val="nil"/>
              <w:left w:val="single" w:sz="4" w:space="0" w:color="auto"/>
              <w:right w:val="single" w:sz="4" w:space="0" w:color="auto"/>
            </w:tcBorders>
            <w:shd w:val="clear" w:color="auto" w:fill="auto"/>
            <w:noWrap/>
            <w:vAlign w:val="bottom"/>
          </w:tcPr>
          <w:p w14:paraId="4BE487E2" w14:textId="323BE81E"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134" w:type="dxa"/>
            <w:tcBorders>
              <w:top w:val="nil"/>
              <w:left w:val="single" w:sz="4" w:space="0" w:color="auto"/>
              <w:right w:val="single" w:sz="4" w:space="0" w:color="auto"/>
            </w:tcBorders>
            <w:shd w:val="clear" w:color="auto" w:fill="auto"/>
            <w:noWrap/>
            <w:vAlign w:val="bottom"/>
          </w:tcPr>
          <w:p w14:paraId="193DD407" w14:textId="2BB3D232"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422" w:type="dxa"/>
            <w:tcBorders>
              <w:top w:val="nil"/>
              <w:left w:val="single" w:sz="4" w:space="0" w:color="auto"/>
              <w:right w:val="single" w:sz="4" w:space="0" w:color="auto"/>
            </w:tcBorders>
            <w:shd w:val="clear" w:color="auto" w:fill="auto"/>
            <w:noWrap/>
            <w:vAlign w:val="bottom"/>
          </w:tcPr>
          <w:p w14:paraId="73FBCBBC" w14:textId="7F78DB15"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76" w:type="dxa"/>
            <w:tcBorders>
              <w:top w:val="nil"/>
              <w:left w:val="single" w:sz="4" w:space="0" w:color="auto"/>
              <w:right w:val="single" w:sz="4" w:space="0" w:color="auto"/>
            </w:tcBorders>
            <w:shd w:val="clear" w:color="auto" w:fill="auto"/>
            <w:noWrap/>
            <w:vAlign w:val="bottom"/>
          </w:tcPr>
          <w:p w14:paraId="1DC3D82C" w14:textId="5DA4D271"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0.29</w:t>
            </w:r>
          </w:p>
        </w:tc>
        <w:tc>
          <w:tcPr>
            <w:tcW w:w="1417" w:type="dxa"/>
            <w:tcBorders>
              <w:top w:val="nil"/>
              <w:left w:val="nil"/>
              <w:right w:val="single" w:sz="4" w:space="0" w:color="auto"/>
            </w:tcBorders>
            <w:shd w:val="clear" w:color="auto" w:fill="auto"/>
            <w:noWrap/>
            <w:vAlign w:val="bottom"/>
          </w:tcPr>
          <w:p w14:paraId="7D48C09C" w14:textId="6F0002E0"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0.29</w:t>
            </w:r>
          </w:p>
        </w:tc>
      </w:tr>
      <w:tr w:rsidR="008750B9" w:rsidRPr="001F3475" w14:paraId="3DEA6B22" w14:textId="77777777" w:rsidTr="0024767F">
        <w:trPr>
          <w:trHeight w:val="300"/>
          <w:tblHeader/>
          <w:jc w:val="right"/>
        </w:trPr>
        <w:tc>
          <w:tcPr>
            <w:tcW w:w="2978" w:type="dxa"/>
            <w:tcBorders>
              <w:top w:val="nil"/>
              <w:left w:val="single" w:sz="4" w:space="0" w:color="auto"/>
              <w:bottom w:val="nil"/>
              <w:right w:val="nil"/>
            </w:tcBorders>
            <w:shd w:val="clear" w:color="auto" w:fill="auto"/>
            <w:noWrap/>
            <w:vAlign w:val="bottom"/>
          </w:tcPr>
          <w:p w14:paraId="437177ED" w14:textId="3721D323" w:rsidR="008750B9" w:rsidRPr="00CE5912" w:rsidRDefault="008750B9"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 xml:space="preserve">Italy </w:t>
            </w:r>
          </w:p>
        </w:tc>
        <w:tc>
          <w:tcPr>
            <w:tcW w:w="1134" w:type="dxa"/>
            <w:tcBorders>
              <w:top w:val="nil"/>
              <w:left w:val="single" w:sz="4" w:space="0" w:color="auto"/>
              <w:right w:val="single" w:sz="4" w:space="0" w:color="auto"/>
            </w:tcBorders>
            <w:shd w:val="clear" w:color="auto" w:fill="auto"/>
            <w:noWrap/>
            <w:vAlign w:val="bottom"/>
          </w:tcPr>
          <w:p w14:paraId="7312A61F" w14:textId="1FF26C92"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134" w:type="dxa"/>
            <w:tcBorders>
              <w:top w:val="nil"/>
              <w:left w:val="single" w:sz="4" w:space="0" w:color="auto"/>
              <w:right w:val="single" w:sz="4" w:space="0" w:color="auto"/>
            </w:tcBorders>
            <w:shd w:val="clear" w:color="auto" w:fill="auto"/>
            <w:noWrap/>
            <w:vAlign w:val="bottom"/>
          </w:tcPr>
          <w:p w14:paraId="2D7BEA19" w14:textId="4DFE313D"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15.47</w:t>
            </w:r>
          </w:p>
        </w:tc>
        <w:tc>
          <w:tcPr>
            <w:tcW w:w="1422" w:type="dxa"/>
            <w:tcBorders>
              <w:top w:val="nil"/>
              <w:left w:val="single" w:sz="4" w:space="0" w:color="auto"/>
              <w:right w:val="single" w:sz="4" w:space="0" w:color="auto"/>
            </w:tcBorders>
            <w:shd w:val="clear" w:color="auto" w:fill="auto"/>
            <w:noWrap/>
            <w:vAlign w:val="bottom"/>
          </w:tcPr>
          <w:p w14:paraId="05D09E39" w14:textId="5A79B14F"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76" w:type="dxa"/>
            <w:tcBorders>
              <w:top w:val="nil"/>
              <w:left w:val="single" w:sz="4" w:space="0" w:color="auto"/>
              <w:right w:val="single" w:sz="4" w:space="0" w:color="auto"/>
            </w:tcBorders>
            <w:shd w:val="clear" w:color="auto" w:fill="auto"/>
            <w:noWrap/>
            <w:vAlign w:val="bottom"/>
          </w:tcPr>
          <w:p w14:paraId="2F529BB8" w14:textId="2067EF1B"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5.</w:t>
            </w:r>
            <w:r w:rsidR="00EA7EC8">
              <w:rPr>
                <w:rFonts w:ascii="Calibri" w:eastAsia="Times New Roman" w:hAnsi="Calibri" w:cs="Calibri"/>
                <w:color w:val="808080" w:themeColor="background1" w:themeShade="80"/>
              </w:rPr>
              <w:t>10</w:t>
            </w:r>
          </w:p>
        </w:tc>
        <w:tc>
          <w:tcPr>
            <w:tcW w:w="1417" w:type="dxa"/>
            <w:tcBorders>
              <w:top w:val="nil"/>
              <w:left w:val="nil"/>
              <w:right w:val="single" w:sz="4" w:space="0" w:color="auto"/>
            </w:tcBorders>
            <w:shd w:val="clear" w:color="auto" w:fill="auto"/>
            <w:noWrap/>
            <w:vAlign w:val="bottom"/>
          </w:tcPr>
          <w:p w14:paraId="0F2C9F5D" w14:textId="6CFED062"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20.5</w:t>
            </w:r>
            <w:r w:rsidR="00EA7EC8">
              <w:rPr>
                <w:rFonts w:ascii="Calibri" w:eastAsia="Times New Roman" w:hAnsi="Calibri" w:cs="Calibri"/>
                <w:color w:val="808080" w:themeColor="background1" w:themeShade="80"/>
              </w:rPr>
              <w:t>7</w:t>
            </w:r>
          </w:p>
        </w:tc>
      </w:tr>
      <w:tr w:rsidR="008750B9" w:rsidRPr="001F3475" w14:paraId="343FFCF0" w14:textId="77777777" w:rsidTr="0024767F">
        <w:trPr>
          <w:trHeight w:val="300"/>
          <w:tblHeader/>
          <w:jc w:val="right"/>
        </w:trPr>
        <w:tc>
          <w:tcPr>
            <w:tcW w:w="2978" w:type="dxa"/>
            <w:tcBorders>
              <w:top w:val="nil"/>
              <w:left w:val="single" w:sz="4" w:space="0" w:color="auto"/>
              <w:bottom w:val="nil"/>
              <w:right w:val="nil"/>
            </w:tcBorders>
            <w:shd w:val="clear" w:color="auto" w:fill="auto"/>
            <w:noWrap/>
            <w:vAlign w:val="bottom"/>
            <w:hideMark/>
          </w:tcPr>
          <w:p w14:paraId="4073C36F" w14:textId="35B9002F" w:rsidR="008750B9" w:rsidRPr="00CE5912" w:rsidRDefault="008750B9"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Montenegro</w:t>
            </w:r>
          </w:p>
        </w:tc>
        <w:tc>
          <w:tcPr>
            <w:tcW w:w="1134" w:type="dxa"/>
            <w:tcBorders>
              <w:top w:val="nil"/>
              <w:left w:val="single" w:sz="4" w:space="0" w:color="auto"/>
              <w:right w:val="single" w:sz="4" w:space="0" w:color="auto"/>
            </w:tcBorders>
            <w:shd w:val="clear" w:color="auto" w:fill="auto"/>
            <w:noWrap/>
            <w:vAlign w:val="bottom"/>
            <w:hideMark/>
          </w:tcPr>
          <w:p w14:paraId="341D424E" w14:textId="77777777" w:rsidR="008750B9" w:rsidRPr="00CE5912" w:rsidRDefault="008750B9" w:rsidP="001A5C9B">
            <w:pPr>
              <w:spacing w:after="0" w:line="240" w:lineRule="auto"/>
              <w:jc w:val="right"/>
              <w:rPr>
                <w:rFonts w:ascii="Calibri" w:eastAsia="Times New Roman" w:hAnsi="Calibri" w:cs="Calibri"/>
                <w:color w:val="808080" w:themeColor="background1" w:themeShade="80"/>
              </w:rPr>
            </w:pPr>
            <w:r w:rsidRPr="00CE5912">
              <w:rPr>
                <w:rFonts w:ascii="Calibri" w:eastAsia="Times New Roman" w:hAnsi="Calibri" w:cs="Calibri"/>
                <w:color w:val="808080" w:themeColor="background1" w:themeShade="80"/>
              </w:rPr>
              <w:t>-</w:t>
            </w:r>
          </w:p>
        </w:tc>
        <w:tc>
          <w:tcPr>
            <w:tcW w:w="1134" w:type="dxa"/>
            <w:tcBorders>
              <w:top w:val="nil"/>
              <w:left w:val="single" w:sz="4" w:space="0" w:color="auto"/>
              <w:right w:val="single" w:sz="4" w:space="0" w:color="auto"/>
            </w:tcBorders>
            <w:shd w:val="clear" w:color="auto" w:fill="auto"/>
            <w:noWrap/>
            <w:vAlign w:val="bottom"/>
          </w:tcPr>
          <w:p w14:paraId="61858107" w14:textId="2C938442"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422" w:type="dxa"/>
            <w:tcBorders>
              <w:top w:val="nil"/>
              <w:left w:val="single" w:sz="4" w:space="0" w:color="auto"/>
              <w:right w:val="single" w:sz="4" w:space="0" w:color="auto"/>
            </w:tcBorders>
            <w:shd w:val="clear" w:color="auto" w:fill="auto"/>
            <w:noWrap/>
            <w:vAlign w:val="bottom"/>
          </w:tcPr>
          <w:p w14:paraId="59B3C973" w14:textId="09940722"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76" w:type="dxa"/>
            <w:tcBorders>
              <w:top w:val="nil"/>
              <w:left w:val="single" w:sz="4" w:space="0" w:color="auto"/>
              <w:right w:val="single" w:sz="4" w:space="0" w:color="auto"/>
            </w:tcBorders>
            <w:shd w:val="clear" w:color="auto" w:fill="auto"/>
            <w:noWrap/>
            <w:vAlign w:val="bottom"/>
          </w:tcPr>
          <w:p w14:paraId="61442DCC" w14:textId="661F8184"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0.12</w:t>
            </w:r>
          </w:p>
        </w:tc>
        <w:tc>
          <w:tcPr>
            <w:tcW w:w="1417" w:type="dxa"/>
            <w:tcBorders>
              <w:top w:val="nil"/>
              <w:left w:val="nil"/>
              <w:right w:val="single" w:sz="4" w:space="0" w:color="auto"/>
            </w:tcBorders>
            <w:shd w:val="clear" w:color="auto" w:fill="auto"/>
            <w:noWrap/>
            <w:vAlign w:val="bottom"/>
          </w:tcPr>
          <w:p w14:paraId="0F9DCFF7" w14:textId="7022AFB5"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0.12</w:t>
            </w:r>
          </w:p>
        </w:tc>
      </w:tr>
      <w:tr w:rsidR="008750B9" w:rsidRPr="001F3475" w14:paraId="71EAB8C6" w14:textId="77777777" w:rsidTr="0024767F">
        <w:trPr>
          <w:trHeight w:val="300"/>
          <w:tblHeader/>
          <w:jc w:val="right"/>
        </w:trPr>
        <w:tc>
          <w:tcPr>
            <w:tcW w:w="2978" w:type="dxa"/>
            <w:tcBorders>
              <w:top w:val="nil"/>
              <w:left w:val="single" w:sz="4" w:space="0" w:color="auto"/>
              <w:bottom w:val="nil"/>
              <w:right w:val="nil"/>
            </w:tcBorders>
            <w:shd w:val="clear" w:color="auto" w:fill="auto"/>
            <w:noWrap/>
            <w:vAlign w:val="bottom"/>
            <w:hideMark/>
          </w:tcPr>
          <w:p w14:paraId="15D76499" w14:textId="01CC76C0" w:rsidR="008750B9" w:rsidRPr="00CE5912" w:rsidRDefault="008750B9"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United Kingdom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3AFA28" w14:textId="77777777" w:rsidR="008750B9" w:rsidRPr="00CE5912" w:rsidRDefault="008750B9" w:rsidP="001A5C9B">
            <w:pPr>
              <w:spacing w:after="0" w:line="240" w:lineRule="auto"/>
              <w:jc w:val="right"/>
              <w:rPr>
                <w:rFonts w:ascii="Calibri" w:eastAsia="Times New Roman" w:hAnsi="Calibri" w:cs="Calibri"/>
                <w:color w:val="808080" w:themeColor="background1" w:themeShade="80"/>
              </w:rPr>
            </w:pPr>
            <w:r w:rsidRPr="00CE5912">
              <w:rPr>
                <w:rFonts w:ascii="Calibri" w:eastAsia="Times New Roman" w:hAnsi="Calibri" w:cs="Calibri"/>
                <w:color w:val="808080" w:themeColor="background1" w:themeShade="8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89B8955" w14:textId="3245A561"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422" w:type="dxa"/>
            <w:tcBorders>
              <w:top w:val="nil"/>
              <w:left w:val="single" w:sz="4" w:space="0" w:color="auto"/>
              <w:bottom w:val="single" w:sz="4" w:space="0" w:color="auto"/>
              <w:right w:val="single" w:sz="4" w:space="0" w:color="auto"/>
            </w:tcBorders>
            <w:shd w:val="clear" w:color="auto" w:fill="auto"/>
            <w:noWrap/>
            <w:vAlign w:val="bottom"/>
          </w:tcPr>
          <w:p w14:paraId="51F02938" w14:textId="0EE25841"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056A21AE" w14:textId="71AC7627"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1.14</w:t>
            </w:r>
          </w:p>
        </w:tc>
        <w:tc>
          <w:tcPr>
            <w:tcW w:w="1417" w:type="dxa"/>
            <w:tcBorders>
              <w:top w:val="nil"/>
              <w:left w:val="nil"/>
              <w:bottom w:val="single" w:sz="4" w:space="0" w:color="auto"/>
              <w:right w:val="single" w:sz="4" w:space="0" w:color="auto"/>
            </w:tcBorders>
            <w:shd w:val="clear" w:color="auto" w:fill="auto"/>
            <w:noWrap/>
            <w:vAlign w:val="bottom"/>
          </w:tcPr>
          <w:p w14:paraId="539ABA52" w14:textId="76C39718" w:rsidR="008750B9" w:rsidRPr="00CE5912" w:rsidRDefault="008750B9"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1.14</w:t>
            </w:r>
          </w:p>
        </w:tc>
      </w:tr>
      <w:tr w:rsidR="008750B9" w:rsidRPr="001F3475" w14:paraId="0A502163" w14:textId="77777777" w:rsidTr="0024767F">
        <w:trPr>
          <w:trHeight w:val="315"/>
          <w:tblHeader/>
          <w:jc w:val="right"/>
        </w:trPr>
        <w:tc>
          <w:tcPr>
            <w:tcW w:w="2978"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4BF6DBA" w14:textId="3259A303" w:rsidR="008750B9" w:rsidRPr="00CE5912" w:rsidRDefault="008750B9" w:rsidP="001A5C9B">
            <w:pPr>
              <w:spacing w:after="0" w:line="240" w:lineRule="auto"/>
              <w:rPr>
                <w:rFonts w:ascii="Calibri" w:eastAsia="Times New Roman" w:hAnsi="Calibri" w:cs="Calibri"/>
                <w:b/>
                <w:bCs/>
                <w:color w:val="002060"/>
              </w:rPr>
            </w:pPr>
            <w:r w:rsidRPr="00CE5912">
              <w:rPr>
                <w:rFonts w:ascii="Calibri" w:eastAsia="Times New Roman" w:hAnsi="Calibri" w:cs="Calibri"/>
                <w:b/>
                <w:bCs/>
                <w:color w:val="002060"/>
              </w:rPr>
              <w:t xml:space="preserve">TOTAL </w:t>
            </w:r>
          </w:p>
        </w:tc>
        <w:tc>
          <w:tcPr>
            <w:tcW w:w="113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EE164B1" w14:textId="605109D0" w:rsidR="008750B9" w:rsidRPr="00CE5912" w:rsidRDefault="008750B9" w:rsidP="001A5C9B">
            <w:pPr>
              <w:spacing w:after="0" w:line="240" w:lineRule="auto"/>
              <w:jc w:val="right"/>
              <w:rPr>
                <w:rFonts w:ascii="Calibri" w:eastAsia="Times New Roman" w:hAnsi="Calibri" w:cs="Calibri"/>
                <w:b/>
                <w:bCs/>
                <w:color w:val="002060"/>
              </w:rPr>
            </w:pPr>
            <w:r>
              <w:rPr>
                <w:rFonts w:ascii="Calibri" w:eastAsia="Times New Roman" w:hAnsi="Calibri" w:cs="Calibri"/>
                <w:b/>
                <w:bCs/>
                <w:color w:val="002060"/>
              </w:rPr>
              <w:t>58.19</w:t>
            </w:r>
          </w:p>
        </w:tc>
        <w:tc>
          <w:tcPr>
            <w:tcW w:w="113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7E0B843" w14:textId="68510F00" w:rsidR="008750B9" w:rsidRPr="00CE5912" w:rsidRDefault="008750B9" w:rsidP="001A5C9B">
            <w:pPr>
              <w:spacing w:after="0" w:line="240" w:lineRule="auto"/>
              <w:jc w:val="right"/>
              <w:rPr>
                <w:rFonts w:ascii="Calibri" w:eastAsia="Times New Roman" w:hAnsi="Calibri" w:cs="Calibri"/>
                <w:b/>
                <w:bCs/>
                <w:color w:val="002060"/>
              </w:rPr>
            </w:pPr>
            <w:r>
              <w:rPr>
                <w:rFonts w:ascii="Calibri" w:eastAsia="Times New Roman" w:hAnsi="Calibri" w:cs="Calibri"/>
                <w:b/>
                <w:bCs/>
                <w:color w:val="002060"/>
              </w:rPr>
              <w:t>16.17</w:t>
            </w:r>
          </w:p>
        </w:tc>
        <w:tc>
          <w:tcPr>
            <w:tcW w:w="142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309B3A3" w14:textId="5C85B7CD" w:rsidR="008750B9" w:rsidRPr="00CE5912" w:rsidRDefault="008750B9" w:rsidP="001A5C9B">
            <w:pPr>
              <w:spacing w:after="0" w:line="240" w:lineRule="auto"/>
              <w:jc w:val="right"/>
              <w:rPr>
                <w:rFonts w:ascii="Calibri" w:eastAsia="Times New Roman" w:hAnsi="Calibri" w:cs="Calibri"/>
                <w:b/>
                <w:bCs/>
                <w:color w:val="002060"/>
              </w:rPr>
            </w:pPr>
            <w:r>
              <w:rPr>
                <w:rFonts w:ascii="Calibri" w:eastAsia="Times New Roman" w:hAnsi="Calibri" w:cs="Calibri"/>
                <w:b/>
                <w:bCs/>
                <w:color w:val="002060"/>
              </w:rPr>
              <w:t>2.54</w:t>
            </w:r>
          </w:p>
        </w:tc>
        <w:tc>
          <w:tcPr>
            <w:tcW w:w="1276"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63D5120" w14:textId="36A4035A" w:rsidR="008750B9" w:rsidRPr="00CE5912" w:rsidRDefault="00C336BF" w:rsidP="001A5C9B">
            <w:pPr>
              <w:spacing w:after="0" w:line="240" w:lineRule="auto"/>
              <w:jc w:val="right"/>
              <w:rPr>
                <w:rFonts w:ascii="Calibri" w:eastAsia="Times New Roman" w:hAnsi="Calibri" w:cs="Calibri"/>
                <w:b/>
                <w:bCs/>
                <w:color w:val="002060"/>
              </w:rPr>
            </w:pPr>
            <w:r>
              <w:rPr>
                <w:rFonts w:ascii="Calibri" w:eastAsia="Times New Roman" w:hAnsi="Calibri" w:cs="Calibri"/>
                <w:b/>
                <w:bCs/>
                <w:color w:val="002060"/>
              </w:rPr>
              <w:t>7.25</w:t>
            </w:r>
          </w:p>
        </w:tc>
        <w:tc>
          <w:tcPr>
            <w:tcW w:w="141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95E1B74" w14:textId="162C15AD" w:rsidR="008750B9" w:rsidRPr="00CE5912" w:rsidRDefault="00C336BF" w:rsidP="001A5C9B">
            <w:pPr>
              <w:spacing w:after="0" w:line="240" w:lineRule="auto"/>
              <w:jc w:val="right"/>
              <w:rPr>
                <w:rFonts w:ascii="Calibri" w:eastAsia="Times New Roman" w:hAnsi="Calibri" w:cs="Calibri"/>
                <w:b/>
                <w:bCs/>
                <w:color w:val="002060"/>
              </w:rPr>
            </w:pPr>
            <w:r>
              <w:rPr>
                <w:rFonts w:ascii="Calibri" w:eastAsia="Times New Roman" w:hAnsi="Calibri" w:cs="Calibri"/>
                <w:b/>
                <w:bCs/>
                <w:color w:val="002060"/>
              </w:rPr>
              <w:t>84.15</w:t>
            </w:r>
          </w:p>
        </w:tc>
      </w:tr>
    </w:tbl>
    <w:p w14:paraId="7612B38E" w14:textId="2D8548CA" w:rsidR="008750B9" w:rsidRPr="008750B9" w:rsidRDefault="008750B9" w:rsidP="008750B9">
      <w:pPr>
        <w:jc w:val="center"/>
        <w:rPr>
          <w:b/>
          <w:bCs/>
        </w:rPr>
      </w:pPr>
      <w:r w:rsidRPr="008750B9">
        <w:rPr>
          <w:b/>
          <w:bCs/>
        </w:rPr>
        <w:lastRenderedPageBreak/>
        <w:t>PAYMENTS BY PROJECT</w:t>
      </w:r>
    </w:p>
    <w:tbl>
      <w:tblPr>
        <w:tblW w:w="9361" w:type="dxa"/>
        <w:jc w:val="right"/>
        <w:tblLook w:val="04A0" w:firstRow="1" w:lastRow="0" w:firstColumn="1" w:lastColumn="0" w:noHBand="0" w:noVBand="1"/>
      </w:tblPr>
      <w:tblGrid>
        <w:gridCol w:w="2942"/>
        <w:gridCol w:w="1117"/>
        <w:gridCol w:w="1255"/>
        <w:gridCol w:w="1396"/>
        <w:gridCol w:w="1256"/>
        <w:gridCol w:w="1395"/>
      </w:tblGrid>
      <w:tr w:rsidR="00EA7EC8" w:rsidRPr="00CE5912" w14:paraId="1A712F1D" w14:textId="77777777" w:rsidTr="001A5C9B">
        <w:trPr>
          <w:trHeight w:val="503"/>
          <w:tblHeader/>
          <w:jc w:val="right"/>
        </w:trPr>
        <w:tc>
          <w:tcPr>
            <w:tcW w:w="294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100CB1E"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 xml:space="preserve">Payments by Project  </w:t>
            </w:r>
          </w:p>
        </w:tc>
        <w:tc>
          <w:tcPr>
            <w:tcW w:w="1117" w:type="dxa"/>
            <w:tcBorders>
              <w:top w:val="single" w:sz="4" w:space="0" w:color="auto"/>
              <w:left w:val="nil"/>
              <w:bottom w:val="single" w:sz="4" w:space="0" w:color="auto"/>
              <w:right w:val="single" w:sz="4" w:space="0" w:color="auto"/>
            </w:tcBorders>
            <w:shd w:val="clear" w:color="000000" w:fill="002060"/>
            <w:vAlign w:val="center"/>
            <w:hideMark/>
          </w:tcPr>
          <w:p w14:paraId="567D1A6F"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Income</w:t>
            </w:r>
            <w:r w:rsidRPr="00CE5912">
              <w:rPr>
                <w:rFonts w:ascii="Calibri" w:eastAsia="Times New Roman" w:hAnsi="Calibri" w:cs="Calibri"/>
                <w:b/>
                <w:bCs/>
                <w:color w:val="FFFFFF" w:themeColor="background1"/>
              </w:rPr>
              <w:br/>
              <w:t>taxes</w:t>
            </w:r>
          </w:p>
        </w:tc>
        <w:tc>
          <w:tcPr>
            <w:tcW w:w="1255" w:type="dxa"/>
            <w:tcBorders>
              <w:top w:val="single" w:sz="4" w:space="0" w:color="auto"/>
              <w:left w:val="nil"/>
              <w:bottom w:val="single" w:sz="4" w:space="0" w:color="auto"/>
              <w:right w:val="single" w:sz="4" w:space="0" w:color="auto"/>
            </w:tcBorders>
            <w:shd w:val="clear" w:color="000000" w:fill="002060"/>
            <w:vAlign w:val="center"/>
            <w:hideMark/>
          </w:tcPr>
          <w:p w14:paraId="186BFAAE"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Royalties</w:t>
            </w:r>
          </w:p>
        </w:tc>
        <w:tc>
          <w:tcPr>
            <w:tcW w:w="1396" w:type="dxa"/>
            <w:tcBorders>
              <w:top w:val="single" w:sz="4" w:space="0" w:color="auto"/>
              <w:left w:val="nil"/>
              <w:bottom w:val="single" w:sz="4" w:space="0" w:color="auto"/>
              <w:right w:val="single" w:sz="4" w:space="0" w:color="auto"/>
            </w:tcBorders>
            <w:shd w:val="clear" w:color="000000" w:fill="002060"/>
            <w:vAlign w:val="center"/>
            <w:hideMark/>
          </w:tcPr>
          <w:p w14:paraId="017C9D56"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Bonuses</w:t>
            </w:r>
          </w:p>
        </w:tc>
        <w:tc>
          <w:tcPr>
            <w:tcW w:w="1256" w:type="dxa"/>
            <w:tcBorders>
              <w:top w:val="single" w:sz="4" w:space="0" w:color="auto"/>
              <w:left w:val="nil"/>
              <w:bottom w:val="single" w:sz="4" w:space="0" w:color="auto"/>
              <w:right w:val="single" w:sz="4" w:space="0" w:color="auto"/>
            </w:tcBorders>
            <w:shd w:val="clear" w:color="000000" w:fill="002060"/>
            <w:vAlign w:val="center"/>
            <w:hideMark/>
          </w:tcPr>
          <w:p w14:paraId="24ACA198"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Fees</w:t>
            </w:r>
          </w:p>
        </w:tc>
        <w:tc>
          <w:tcPr>
            <w:tcW w:w="1395" w:type="dxa"/>
            <w:tcBorders>
              <w:top w:val="single" w:sz="4" w:space="0" w:color="auto"/>
              <w:left w:val="nil"/>
              <w:bottom w:val="single" w:sz="4" w:space="0" w:color="auto"/>
              <w:right w:val="single" w:sz="4" w:space="0" w:color="auto"/>
            </w:tcBorders>
            <w:shd w:val="clear" w:color="000000" w:fill="002060"/>
            <w:vAlign w:val="center"/>
            <w:hideMark/>
          </w:tcPr>
          <w:p w14:paraId="0DC00449"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Total</w:t>
            </w:r>
          </w:p>
        </w:tc>
      </w:tr>
      <w:tr w:rsidR="00EA7EC8" w:rsidRPr="00CE5912" w14:paraId="2960BF40" w14:textId="77777777" w:rsidTr="001A5C9B">
        <w:trPr>
          <w:trHeight w:val="295"/>
          <w:tblHeader/>
          <w:jc w:val="right"/>
        </w:trPr>
        <w:tc>
          <w:tcPr>
            <w:tcW w:w="294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3292B6A" w14:textId="77777777" w:rsidR="00EA7EC8" w:rsidRPr="00CE5912" w:rsidRDefault="00EA7EC8" w:rsidP="001A5C9B">
            <w:pPr>
              <w:spacing w:after="0" w:line="240" w:lineRule="auto"/>
              <w:jc w:val="center"/>
              <w:rPr>
                <w:rFonts w:ascii="Calibri" w:eastAsia="Times New Roman" w:hAnsi="Calibri" w:cs="Calibri"/>
                <w:b/>
                <w:bCs/>
                <w:color w:val="FFFFFF" w:themeColor="background1"/>
              </w:rPr>
            </w:pPr>
            <w:r w:rsidRPr="00CE5912">
              <w:rPr>
                <w:rFonts w:ascii="Calibri" w:eastAsia="Times New Roman" w:hAnsi="Calibri" w:cs="Calibri"/>
                <w:b/>
                <w:bCs/>
                <w:color w:val="FFFFFF" w:themeColor="background1"/>
              </w:rPr>
              <w:t> </w:t>
            </w:r>
          </w:p>
        </w:tc>
        <w:tc>
          <w:tcPr>
            <w:tcW w:w="1117" w:type="dxa"/>
            <w:tcBorders>
              <w:top w:val="single" w:sz="4" w:space="0" w:color="auto"/>
              <w:left w:val="nil"/>
              <w:bottom w:val="single" w:sz="4" w:space="0" w:color="auto"/>
              <w:right w:val="single" w:sz="4" w:space="0" w:color="auto"/>
            </w:tcBorders>
            <w:shd w:val="clear" w:color="auto" w:fill="002060"/>
            <w:noWrap/>
            <w:vAlign w:val="center"/>
            <w:hideMark/>
          </w:tcPr>
          <w:p w14:paraId="5D73425B" w14:textId="77777777" w:rsidR="00EA7EC8" w:rsidRPr="00CE5912" w:rsidRDefault="00EA7EC8"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255" w:type="dxa"/>
            <w:tcBorders>
              <w:top w:val="single" w:sz="4" w:space="0" w:color="auto"/>
              <w:left w:val="nil"/>
              <w:bottom w:val="single" w:sz="4" w:space="0" w:color="auto"/>
              <w:right w:val="single" w:sz="4" w:space="0" w:color="auto"/>
            </w:tcBorders>
            <w:shd w:val="clear" w:color="auto" w:fill="002060"/>
            <w:noWrap/>
            <w:vAlign w:val="center"/>
            <w:hideMark/>
          </w:tcPr>
          <w:p w14:paraId="29C59223" w14:textId="77777777" w:rsidR="00EA7EC8" w:rsidRPr="00CE5912" w:rsidRDefault="00EA7EC8"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396" w:type="dxa"/>
            <w:tcBorders>
              <w:top w:val="single" w:sz="4" w:space="0" w:color="auto"/>
              <w:left w:val="nil"/>
              <w:bottom w:val="single" w:sz="4" w:space="0" w:color="auto"/>
              <w:right w:val="single" w:sz="4" w:space="0" w:color="auto"/>
            </w:tcBorders>
            <w:shd w:val="clear" w:color="auto" w:fill="002060"/>
            <w:noWrap/>
            <w:vAlign w:val="center"/>
            <w:hideMark/>
          </w:tcPr>
          <w:p w14:paraId="1B841F2F" w14:textId="77777777" w:rsidR="00EA7EC8" w:rsidRPr="00CE5912" w:rsidRDefault="00EA7EC8"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256" w:type="dxa"/>
            <w:tcBorders>
              <w:top w:val="single" w:sz="4" w:space="0" w:color="auto"/>
              <w:left w:val="nil"/>
              <w:bottom w:val="single" w:sz="4" w:space="0" w:color="auto"/>
              <w:right w:val="single" w:sz="4" w:space="0" w:color="auto"/>
            </w:tcBorders>
            <w:shd w:val="clear" w:color="auto" w:fill="002060"/>
            <w:noWrap/>
            <w:vAlign w:val="center"/>
            <w:hideMark/>
          </w:tcPr>
          <w:p w14:paraId="36AD1914" w14:textId="77777777" w:rsidR="00EA7EC8" w:rsidRPr="00CE5912" w:rsidRDefault="00EA7EC8"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c>
          <w:tcPr>
            <w:tcW w:w="1395" w:type="dxa"/>
            <w:tcBorders>
              <w:top w:val="single" w:sz="4" w:space="0" w:color="auto"/>
              <w:left w:val="nil"/>
              <w:bottom w:val="single" w:sz="4" w:space="0" w:color="auto"/>
              <w:right w:val="single" w:sz="4" w:space="0" w:color="auto"/>
            </w:tcBorders>
            <w:shd w:val="clear" w:color="auto" w:fill="002060"/>
            <w:noWrap/>
            <w:vAlign w:val="center"/>
            <w:hideMark/>
          </w:tcPr>
          <w:p w14:paraId="29A7E74A" w14:textId="77777777" w:rsidR="00EA7EC8" w:rsidRPr="00CE5912" w:rsidRDefault="00EA7EC8" w:rsidP="001A5C9B">
            <w:pPr>
              <w:spacing w:after="0" w:line="240" w:lineRule="auto"/>
              <w:jc w:val="center"/>
              <w:rPr>
                <w:rFonts w:ascii="Arial" w:eastAsia="Times New Roman" w:hAnsi="Arial" w:cs="Arial"/>
                <w:b/>
                <w:bCs/>
                <w:color w:val="FFFFFF" w:themeColor="background1"/>
              </w:rPr>
            </w:pPr>
            <w:r w:rsidRPr="00CE5912">
              <w:rPr>
                <w:rFonts w:ascii="Arial" w:eastAsia="Times New Roman" w:hAnsi="Arial" w:cs="Arial"/>
                <w:b/>
                <w:bCs/>
                <w:color w:val="FFFFFF" w:themeColor="background1"/>
              </w:rPr>
              <w:t>$m</w:t>
            </w:r>
          </w:p>
        </w:tc>
      </w:tr>
      <w:tr w:rsidR="00EA7EC8" w:rsidRPr="008528A1" w14:paraId="3B8C732C"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7F95CB05" w14:textId="5CA23E03" w:rsidR="00EA7EC8" w:rsidRPr="00CE5912" w:rsidRDefault="001A3213"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 xml:space="preserve">Greece - </w:t>
            </w:r>
            <w:r w:rsidR="00EA7EC8" w:rsidRPr="00CE5912">
              <w:rPr>
                <w:rFonts w:ascii="Calibri" w:eastAsia="Times New Roman" w:hAnsi="Calibri" w:cs="Calibri"/>
                <w:color w:val="808080" w:themeColor="background1" w:themeShade="80"/>
              </w:rPr>
              <w:t xml:space="preserve">Prinos </w:t>
            </w:r>
            <w:r>
              <w:rPr>
                <w:rFonts w:ascii="Calibri" w:eastAsia="Times New Roman" w:hAnsi="Calibri" w:cs="Calibri"/>
                <w:color w:val="808080" w:themeColor="background1" w:themeShade="80"/>
              </w:rPr>
              <w:t>asset</w:t>
            </w:r>
          </w:p>
        </w:tc>
        <w:tc>
          <w:tcPr>
            <w:tcW w:w="1117" w:type="dxa"/>
            <w:tcBorders>
              <w:top w:val="nil"/>
              <w:left w:val="nil"/>
              <w:bottom w:val="single" w:sz="4" w:space="0" w:color="auto"/>
              <w:right w:val="single" w:sz="4" w:space="0" w:color="auto"/>
            </w:tcBorders>
            <w:shd w:val="clear" w:color="auto" w:fill="auto"/>
            <w:noWrap/>
            <w:vAlign w:val="center"/>
          </w:tcPr>
          <w:p w14:paraId="309A77A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55" w:type="dxa"/>
            <w:tcBorders>
              <w:top w:val="nil"/>
              <w:left w:val="nil"/>
              <w:bottom w:val="single" w:sz="4" w:space="0" w:color="auto"/>
              <w:right w:val="single" w:sz="4" w:space="0" w:color="auto"/>
            </w:tcBorders>
            <w:shd w:val="clear" w:color="auto" w:fill="auto"/>
            <w:noWrap/>
            <w:vAlign w:val="center"/>
          </w:tcPr>
          <w:p w14:paraId="30EE013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0.70</w:t>
            </w:r>
          </w:p>
        </w:tc>
        <w:tc>
          <w:tcPr>
            <w:tcW w:w="1396" w:type="dxa"/>
            <w:tcBorders>
              <w:top w:val="nil"/>
              <w:left w:val="nil"/>
              <w:bottom w:val="single" w:sz="4" w:space="0" w:color="auto"/>
              <w:right w:val="single" w:sz="4" w:space="0" w:color="auto"/>
            </w:tcBorders>
            <w:shd w:val="clear" w:color="auto" w:fill="auto"/>
            <w:noWrap/>
            <w:vAlign w:val="center"/>
          </w:tcPr>
          <w:p w14:paraId="35B24F6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256" w:type="dxa"/>
            <w:tcBorders>
              <w:top w:val="nil"/>
              <w:left w:val="nil"/>
              <w:bottom w:val="single" w:sz="4" w:space="0" w:color="auto"/>
              <w:right w:val="single" w:sz="4" w:space="0" w:color="auto"/>
            </w:tcBorders>
            <w:shd w:val="clear" w:color="auto" w:fill="auto"/>
            <w:noWrap/>
            <w:vAlign w:val="center"/>
          </w:tcPr>
          <w:p w14:paraId="149C54B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w:t>
            </w:r>
          </w:p>
        </w:tc>
        <w:tc>
          <w:tcPr>
            <w:tcW w:w="1395" w:type="dxa"/>
            <w:tcBorders>
              <w:top w:val="nil"/>
              <w:left w:val="nil"/>
              <w:bottom w:val="single" w:sz="4" w:space="0" w:color="auto"/>
              <w:right w:val="single" w:sz="4" w:space="0" w:color="auto"/>
            </w:tcBorders>
            <w:shd w:val="clear" w:color="auto" w:fill="auto"/>
            <w:noWrap/>
            <w:vAlign w:val="center"/>
          </w:tcPr>
          <w:p w14:paraId="4C6AE2D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0.70</w:t>
            </w:r>
          </w:p>
        </w:tc>
      </w:tr>
      <w:tr w:rsidR="00C336BF" w:rsidRPr="008528A1" w14:paraId="3FC28F8E" w14:textId="77777777" w:rsidTr="001A5C9B">
        <w:trPr>
          <w:trHeight w:val="295"/>
          <w:jc w:val="right"/>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14:paraId="72C19AAF" w14:textId="0317F450" w:rsidR="00C336BF" w:rsidRPr="00C20FD6" w:rsidRDefault="00C336BF" w:rsidP="001A5C9B">
            <w:pPr>
              <w:spacing w:after="0" w:line="240" w:lineRule="auto"/>
              <w:rPr>
                <w:rFonts w:ascii="Calibri" w:eastAsia="Times New Roman" w:hAnsi="Calibri" w:cs="Calibri"/>
                <w:color w:val="808080" w:themeColor="background1" w:themeShade="80"/>
              </w:rPr>
            </w:pPr>
            <w:r w:rsidRPr="00C20FD6">
              <w:rPr>
                <w:rFonts w:ascii="Calibri" w:eastAsia="Times New Roman" w:hAnsi="Calibri" w:cs="Calibri"/>
                <w:color w:val="808080" w:themeColor="background1" w:themeShade="80"/>
              </w:rPr>
              <w:t>Greece - Exploration</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08581899" w14:textId="01310E89" w:rsidR="00C336BF" w:rsidRPr="00C20FD6" w:rsidRDefault="00C336BF" w:rsidP="001A5C9B">
            <w:pPr>
              <w:spacing w:after="0" w:line="240" w:lineRule="auto"/>
              <w:jc w:val="right"/>
              <w:rPr>
                <w:rFonts w:ascii="Calibri" w:eastAsia="Times New Roman" w:hAnsi="Calibri" w:cs="Calibri"/>
                <w:color w:val="808080" w:themeColor="background1" w:themeShade="80"/>
              </w:rPr>
            </w:pPr>
            <w:r w:rsidRPr="00C20FD6">
              <w:rPr>
                <w:rFonts w:ascii="Calibri" w:eastAsia="Times New Roman" w:hAnsi="Calibri" w:cs="Calibri"/>
                <w:color w:val="808080" w:themeColor="background1" w:themeShade="80"/>
              </w:rPr>
              <w:t>-</w:t>
            </w: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36B46426" w14:textId="52075EF5" w:rsidR="00C336BF" w:rsidRPr="00C20FD6" w:rsidRDefault="00C336BF" w:rsidP="001A5C9B">
            <w:pPr>
              <w:spacing w:after="0" w:line="240" w:lineRule="auto"/>
              <w:jc w:val="right"/>
              <w:rPr>
                <w:rFonts w:ascii="Calibri" w:eastAsia="Times New Roman" w:hAnsi="Calibri" w:cs="Calibri"/>
                <w:color w:val="808080" w:themeColor="background1" w:themeShade="80"/>
              </w:rPr>
            </w:pPr>
            <w:r w:rsidRPr="00C20FD6">
              <w:rPr>
                <w:rFonts w:ascii="Calibri" w:eastAsia="Times New Roman" w:hAnsi="Calibri" w:cs="Calibri"/>
                <w:color w:val="808080" w:themeColor="background1" w:themeShade="80"/>
              </w:rPr>
              <w:t>-</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4172D2FB" w14:textId="7FD2B7E4" w:rsidR="00C336BF" w:rsidRPr="00C20FD6" w:rsidRDefault="00C336BF" w:rsidP="001A5C9B">
            <w:pPr>
              <w:spacing w:after="0" w:line="240" w:lineRule="auto"/>
              <w:jc w:val="right"/>
              <w:rPr>
                <w:rFonts w:ascii="Calibri" w:eastAsia="Times New Roman" w:hAnsi="Calibri" w:cs="Calibri"/>
                <w:color w:val="808080" w:themeColor="background1" w:themeShade="80"/>
              </w:rPr>
            </w:pPr>
            <w:r w:rsidRPr="00C20FD6">
              <w:rPr>
                <w:rFonts w:ascii="Calibri" w:eastAsia="Times New Roman" w:hAnsi="Calibri" w:cs="Calibri"/>
                <w:color w:val="808080" w:themeColor="background1" w:themeShade="80"/>
              </w:rPr>
              <w:t>-</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6D14C478" w14:textId="508B0AFB" w:rsidR="00C336BF" w:rsidRPr="00C20FD6" w:rsidRDefault="00C336BF" w:rsidP="001A5C9B">
            <w:pPr>
              <w:spacing w:after="0" w:line="240" w:lineRule="auto"/>
              <w:jc w:val="right"/>
              <w:rPr>
                <w:rFonts w:ascii="Calibri" w:eastAsia="Times New Roman" w:hAnsi="Calibri" w:cs="Calibri"/>
                <w:color w:val="808080" w:themeColor="background1" w:themeShade="80"/>
              </w:rPr>
            </w:pPr>
            <w:r w:rsidRPr="00C20FD6">
              <w:rPr>
                <w:rFonts w:ascii="Calibri" w:eastAsia="Times New Roman" w:hAnsi="Calibri" w:cs="Calibri"/>
                <w:color w:val="808080" w:themeColor="background1" w:themeShade="80"/>
              </w:rPr>
              <w:t>0.26</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50C20EE7" w14:textId="0D9A9D20" w:rsidR="00C336BF" w:rsidRPr="00C20FD6" w:rsidRDefault="00C336BF" w:rsidP="001A5C9B">
            <w:pPr>
              <w:spacing w:after="0" w:line="240" w:lineRule="auto"/>
              <w:jc w:val="right"/>
              <w:rPr>
                <w:rFonts w:ascii="Calibri" w:eastAsia="Times New Roman" w:hAnsi="Calibri" w:cs="Calibri"/>
                <w:color w:val="808080" w:themeColor="background1" w:themeShade="80"/>
              </w:rPr>
            </w:pPr>
            <w:r w:rsidRPr="00C20FD6">
              <w:rPr>
                <w:rFonts w:ascii="Calibri" w:eastAsia="Times New Roman" w:hAnsi="Calibri" w:cs="Calibri"/>
                <w:color w:val="808080" w:themeColor="background1" w:themeShade="80"/>
              </w:rPr>
              <w:t>0.26</w:t>
            </w:r>
          </w:p>
        </w:tc>
      </w:tr>
      <w:tr w:rsidR="00EA7EC8" w:rsidRPr="008528A1" w14:paraId="7B14B9E2" w14:textId="77777777" w:rsidTr="001A5C9B">
        <w:trPr>
          <w:trHeight w:val="295"/>
          <w:jc w:val="right"/>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B3382" w14:textId="77777777" w:rsidR="00EA7EC8" w:rsidRPr="00CE5912" w:rsidRDefault="00EA7EC8" w:rsidP="001A5C9B">
            <w:pPr>
              <w:spacing w:after="0" w:line="240" w:lineRule="auto"/>
              <w:rPr>
                <w:rFonts w:ascii="Calibri" w:eastAsia="Times New Roman" w:hAnsi="Calibri" w:cs="Calibri"/>
                <w:b/>
                <w:bCs/>
                <w:color w:val="002060"/>
              </w:rPr>
            </w:pPr>
            <w:r w:rsidRPr="00CE5912">
              <w:rPr>
                <w:rFonts w:ascii="Calibri" w:eastAsia="Times New Roman" w:hAnsi="Calibri" w:cs="Calibri"/>
                <w:b/>
                <w:bCs/>
                <w:color w:val="002060"/>
              </w:rPr>
              <w:t xml:space="preserve">GREEK GOVERNMENT REPORT </w:t>
            </w: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1263B182" w14:textId="77777777" w:rsidR="00EA7EC8" w:rsidRPr="00CE5912" w:rsidRDefault="00EA7EC8" w:rsidP="001A5C9B">
            <w:pPr>
              <w:spacing w:after="0" w:line="240" w:lineRule="auto"/>
              <w:jc w:val="right"/>
              <w:rPr>
                <w:rFonts w:ascii="Calibri" w:eastAsia="Times New Roman" w:hAnsi="Calibri" w:cs="Calibri"/>
                <w:b/>
                <w:color w:val="002060"/>
              </w:rPr>
            </w:pPr>
            <w:r>
              <w:rPr>
                <w:rFonts w:ascii="Calibri" w:eastAsia="Times New Roman" w:hAnsi="Calibri" w:cs="Calibri"/>
                <w:b/>
                <w:color w:val="002060"/>
              </w:rPr>
              <w:t>-</w:t>
            </w: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159D934F" w14:textId="77777777" w:rsidR="00EA7EC8" w:rsidRPr="00CE5912" w:rsidRDefault="00EA7EC8" w:rsidP="001A5C9B">
            <w:pPr>
              <w:spacing w:after="0" w:line="240" w:lineRule="auto"/>
              <w:jc w:val="right"/>
              <w:rPr>
                <w:rFonts w:ascii="Calibri" w:eastAsia="Times New Roman" w:hAnsi="Calibri" w:cs="Calibri"/>
                <w:b/>
                <w:color w:val="002060"/>
              </w:rPr>
            </w:pPr>
            <w:r>
              <w:rPr>
                <w:rFonts w:ascii="Calibri" w:eastAsia="Times New Roman" w:hAnsi="Calibri" w:cs="Calibri"/>
                <w:b/>
                <w:color w:val="002060"/>
              </w:rPr>
              <w:t>0.70</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5928F153" w14:textId="77777777" w:rsidR="00EA7EC8" w:rsidRPr="00CE5912" w:rsidRDefault="00EA7EC8" w:rsidP="001A5C9B">
            <w:pPr>
              <w:spacing w:after="0" w:line="240" w:lineRule="auto"/>
              <w:jc w:val="right"/>
              <w:rPr>
                <w:rFonts w:ascii="Calibri" w:eastAsia="Times New Roman" w:hAnsi="Calibri" w:cs="Calibri"/>
                <w:b/>
                <w:color w:val="002060"/>
              </w:rPr>
            </w:pPr>
            <w:r>
              <w:rPr>
                <w:rFonts w:ascii="Calibri" w:eastAsia="Times New Roman" w:hAnsi="Calibri" w:cs="Calibri"/>
                <w:b/>
                <w:color w:val="002060"/>
              </w:rPr>
              <w:t>-</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12BEDCC4" w14:textId="77777777" w:rsidR="00EA7EC8" w:rsidRPr="00CE5912" w:rsidRDefault="00EA7EC8" w:rsidP="001A5C9B">
            <w:pPr>
              <w:spacing w:after="0" w:line="240" w:lineRule="auto"/>
              <w:jc w:val="right"/>
              <w:rPr>
                <w:rFonts w:ascii="Calibri" w:eastAsia="Times New Roman" w:hAnsi="Calibri" w:cs="Calibri"/>
                <w:b/>
                <w:color w:val="002060"/>
              </w:rPr>
            </w:pPr>
            <w:r>
              <w:rPr>
                <w:rFonts w:ascii="Calibri" w:eastAsia="Times New Roman" w:hAnsi="Calibri" w:cs="Calibri"/>
                <w:b/>
                <w:color w:val="002060"/>
              </w:rPr>
              <w:t>-</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3F27F5FD" w14:textId="34485B2D" w:rsidR="00EA7EC8" w:rsidRPr="00CE5912" w:rsidRDefault="00EA7EC8" w:rsidP="001A5C9B">
            <w:pPr>
              <w:spacing w:after="0" w:line="240" w:lineRule="auto"/>
              <w:jc w:val="right"/>
              <w:rPr>
                <w:rFonts w:ascii="Calibri" w:eastAsia="Times New Roman" w:hAnsi="Calibri" w:cs="Calibri"/>
                <w:b/>
                <w:color w:val="002060"/>
              </w:rPr>
            </w:pPr>
            <w:r>
              <w:rPr>
                <w:rFonts w:ascii="Calibri" w:eastAsia="Times New Roman" w:hAnsi="Calibri" w:cs="Calibri"/>
                <w:b/>
                <w:color w:val="002060"/>
              </w:rPr>
              <w:t>0.</w:t>
            </w:r>
            <w:r w:rsidR="00C336BF">
              <w:rPr>
                <w:rFonts w:ascii="Calibri" w:eastAsia="Times New Roman" w:hAnsi="Calibri" w:cs="Calibri"/>
                <w:b/>
                <w:color w:val="002060"/>
              </w:rPr>
              <w:t>96</w:t>
            </w:r>
          </w:p>
        </w:tc>
      </w:tr>
      <w:tr w:rsidR="00EA7EC8" w:rsidRPr="008528A1" w14:paraId="3FE0E236" w14:textId="77777777" w:rsidTr="001A5C9B">
        <w:trPr>
          <w:trHeight w:val="295"/>
          <w:jc w:val="right"/>
        </w:trPr>
        <w:tc>
          <w:tcPr>
            <w:tcW w:w="2942" w:type="dxa"/>
            <w:tcBorders>
              <w:top w:val="nil"/>
              <w:left w:val="single" w:sz="4" w:space="0" w:color="auto"/>
              <w:bottom w:val="single" w:sz="4" w:space="0" w:color="auto"/>
              <w:right w:val="single" w:sz="4" w:space="0" w:color="auto"/>
            </w:tcBorders>
            <w:shd w:val="clear" w:color="auto" w:fill="auto"/>
            <w:vAlign w:val="center"/>
          </w:tcPr>
          <w:p w14:paraId="652BFE2C" w14:textId="77777777" w:rsidR="00EA7EC8" w:rsidRPr="00CE5912" w:rsidRDefault="00EA7EC8" w:rsidP="001A5C9B">
            <w:pPr>
              <w:spacing w:after="0" w:line="240" w:lineRule="auto"/>
              <w:jc w:val="center"/>
              <w:rPr>
                <w:rFonts w:ascii="Calibri" w:eastAsia="Times New Roman" w:hAnsi="Calibri" w:cs="Calibri"/>
                <w:color w:val="808080" w:themeColor="background1" w:themeShade="80"/>
              </w:rPr>
            </w:pPr>
          </w:p>
        </w:tc>
        <w:tc>
          <w:tcPr>
            <w:tcW w:w="1117" w:type="dxa"/>
            <w:tcBorders>
              <w:top w:val="nil"/>
              <w:left w:val="nil"/>
              <w:bottom w:val="single" w:sz="4" w:space="0" w:color="auto"/>
              <w:right w:val="single" w:sz="4" w:space="0" w:color="auto"/>
            </w:tcBorders>
            <w:shd w:val="clear" w:color="auto" w:fill="auto"/>
            <w:noWrap/>
            <w:vAlign w:val="center"/>
          </w:tcPr>
          <w:p w14:paraId="63C2CD8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5" w:type="dxa"/>
            <w:tcBorders>
              <w:top w:val="nil"/>
              <w:left w:val="nil"/>
              <w:bottom w:val="single" w:sz="4" w:space="0" w:color="auto"/>
              <w:right w:val="single" w:sz="4" w:space="0" w:color="auto"/>
            </w:tcBorders>
            <w:shd w:val="clear" w:color="auto" w:fill="auto"/>
            <w:noWrap/>
            <w:vAlign w:val="center"/>
          </w:tcPr>
          <w:p w14:paraId="435485D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6" w:type="dxa"/>
            <w:tcBorders>
              <w:top w:val="nil"/>
              <w:left w:val="nil"/>
              <w:bottom w:val="single" w:sz="4" w:space="0" w:color="auto"/>
              <w:right w:val="single" w:sz="4" w:space="0" w:color="auto"/>
            </w:tcBorders>
            <w:shd w:val="clear" w:color="auto" w:fill="auto"/>
            <w:noWrap/>
            <w:vAlign w:val="center"/>
          </w:tcPr>
          <w:p w14:paraId="1C9E9CD6"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6" w:type="dxa"/>
            <w:tcBorders>
              <w:top w:val="nil"/>
              <w:left w:val="nil"/>
              <w:bottom w:val="single" w:sz="4" w:space="0" w:color="auto"/>
              <w:right w:val="single" w:sz="4" w:space="0" w:color="auto"/>
            </w:tcBorders>
            <w:shd w:val="clear" w:color="auto" w:fill="auto"/>
            <w:noWrap/>
            <w:vAlign w:val="center"/>
          </w:tcPr>
          <w:p w14:paraId="0BF3858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5" w:type="dxa"/>
            <w:tcBorders>
              <w:top w:val="nil"/>
              <w:left w:val="nil"/>
              <w:bottom w:val="single" w:sz="4" w:space="0" w:color="auto"/>
              <w:right w:val="single" w:sz="4" w:space="0" w:color="auto"/>
            </w:tcBorders>
            <w:shd w:val="clear" w:color="auto" w:fill="auto"/>
            <w:noWrap/>
            <w:vAlign w:val="center"/>
          </w:tcPr>
          <w:p w14:paraId="18563FF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r>
      <w:tr w:rsidR="00EA7EC8" w:rsidRPr="008528A1" w14:paraId="444B5201"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315318A5"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Egypt - Abu Qir</w:t>
            </w:r>
          </w:p>
        </w:tc>
        <w:tc>
          <w:tcPr>
            <w:tcW w:w="1117" w:type="dxa"/>
            <w:tcBorders>
              <w:top w:val="nil"/>
              <w:left w:val="nil"/>
              <w:bottom w:val="single" w:sz="4" w:space="0" w:color="auto"/>
              <w:right w:val="single" w:sz="4" w:space="0" w:color="auto"/>
            </w:tcBorders>
            <w:shd w:val="clear" w:color="auto" w:fill="auto"/>
            <w:noWrap/>
          </w:tcPr>
          <w:p w14:paraId="5BE5426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58.19   </w:t>
            </w:r>
          </w:p>
        </w:tc>
        <w:tc>
          <w:tcPr>
            <w:tcW w:w="1255" w:type="dxa"/>
            <w:tcBorders>
              <w:top w:val="nil"/>
              <w:left w:val="nil"/>
              <w:bottom w:val="single" w:sz="4" w:space="0" w:color="auto"/>
              <w:right w:val="single" w:sz="4" w:space="0" w:color="auto"/>
            </w:tcBorders>
            <w:shd w:val="clear" w:color="auto" w:fill="auto"/>
            <w:noWrap/>
          </w:tcPr>
          <w:p w14:paraId="0531B97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5FA6009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0.15   </w:t>
            </w:r>
          </w:p>
        </w:tc>
        <w:tc>
          <w:tcPr>
            <w:tcW w:w="1256" w:type="dxa"/>
            <w:tcBorders>
              <w:top w:val="nil"/>
              <w:left w:val="nil"/>
              <w:bottom w:val="single" w:sz="4" w:space="0" w:color="auto"/>
              <w:right w:val="single" w:sz="4" w:space="0" w:color="auto"/>
            </w:tcBorders>
            <w:shd w:val="clear" w:color="auto" w:fill="auto"/>
            <w:noWrap/>
          </w:tcPr>
          <w:p w14:paraId="7E70CD2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0.34   </w:t>
            </w:r>
          </w:p>
        </w:tc>
        <w:tc>
          <w:tcPr>
            <w:tcW w:w="1395" w:type="dxa"/>
            <w:tcBorders>
              <w:top w:val="nil"/>
              <w:left w:val="nil"/>
              <w:bottom w:val="single" w:sz="4" w:space="0" w:color="auto"/>
              <w:right w:val="single" w:sz="4" w:space="0" w:color="auto"/>
            </w:tcBorders>
            <w:shd w:val="clear" w:color="auto" w:fill="auto"/>
            <w:noWrap/>
          </w:tcPr>
          <w:p w14:paraId="487B7BD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58.6</w:t>
            </w:r>
            <w:r>
              <w:rPr>
                <w:rFonts w:ascii="Calibri" w:eastAsia="Times New Roman" w:hAnsi="Calibri" w:cs="Calibri"/>
                <w:color w:val="808080" w:themeColor="background1" w:themeShade="80"/>
              </w:rPr>
              <w:t>8</w:t>
            </w:r>
            <w:r w:rsidRPr="00A76E03">
              <w:rPr>
                <w:rFonts w:ascii="Calibri" w:eastAsia="Times New Roman" w:hAnsi="Calibri" w:cs="Calibri"/>
                <w:color w:val="808080" w:themeColor="background1" w:themeShade="80"/>
              </w:rPr>
              <w:t xml:space="preserve">   </w:t>
            </w:r>
          </w:p>
        </w:tc>
      </w:tr>
      <w:tr w:rsidR="00EA7EC8" w:rsidRPr="008528A1" w14:paraId="67286A62" w14:textId="77777777" w:rsidTr="001A5C9B">
        <w:trPr>
          <w:trHeight w:hRule="exact" w:val="610"/>
          <w:jc w:val="right"/>
        </w:trPr>
        <w:tc>
          <w:tcPr>
            <w:tcW w:w="2942" w:type="dxa"/>
            <w:tcBorders>
              <w:top w:val="nil"/>
              <w:left w:val="single" w:sz="4" w:space="0" w:color="auto"/>
              <w:bottom w:val="single" w:sz="4" w:space="0" w:color="auto"/>
              <w:right w:val="single" w:sz="4" w:space="0" w:color="auto"/>
            </w:tcBorders>
            <w:shd w:val="clear" w:color="auto" w:fill="auto"/>
          </w:tcPr>
          <w:p w14:paraId="1895DB37"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DA6226">
              <w:rPr>
                <w:rFonts w:ascii="Calibri" w:eastAsia="Times New Roman" w:hAnsi="Calibri" w:cs="Calibri"/>
                <w:color w:val="808080" w:themeColor="background1" w:themeShade="80"/>
              </w:rPr>
              <w:t xml:space="preserve">Egypt - North El </w:t>
            </w:r>
            <w:proofErr w:type="spellStart"/>
            <w:r w:rsidRPr="00DA6226">
              <w:rPr>
                <w:rFonts w:ascii="Calibri" w:eastAsia="Times New Roman" w:hAnsi="Calibri" w:cs="Calibri"/>
                <w:color w:val="808080" w:themeColor="background1" w:themeShade="80"/>
              </w:rPr>
              <w:t>Amriya</w:t>
            </w:r>
            <w:proofErr w:type="spellEnd"/>
            <w:r w:rsidRPr="00DA6226">
              <w:rPr>
                <w:rFonts w:ascii="Calibri" w:eastAsia="Times New Roman" w:hAnsi="Calibri" w:cs="Calibri"/>
                <w:color w:val="808080" w:themeColor="background1" w:themeShade="80"/>
              </w:rPr>
              <w:t xml:space="preserve"> / North </w:t>
            </w:r>
            <w:proofErr w:type="spellStart"/>
            <w:r w:rsidRPr="00DA6226">
              <w:rPr>
                <w:rFonts w:ascii="Calibri" w:eastAsia="Times New Roman" w:hAnsi="Calibri" w:cs="Calibri"/>
                <w:color w:val="808080" w:themeColor="background1" w:themeShade="80"/>
              </w:rPr>
              <w:t>Idku</w:t>
            </w:r>
            <w:proofErr w:type="spellEnd"/>
            <w:r w:rsidRPr="00DA6226">
              <w:rPr>
                <w:rFonts w:ascii="Calibri" w:eastAsia="Times New Roman" w:hAnsi="Calibri" w:cs="Calibri"/>
                <w:color w:val="808080" w:themeColor="background1" w:themeShade="80"/>
              </w:rPr>
              <w:t xml:space="preserve"> </w:t>
            </w:r>
          </w:p>
        </w:tc>
        <w:tc>
          <w:tcPr>
            <w:tcW w:w="1117" w:type="dxa"/>
            <w:tcBorders>
              <w:top w:val="nil"/>
              <w:left w:val="nil"/>
              <w:bottom w:val="single" w:sz="4" w:space="0" w:color="auto"/>
              <w:right w:val="single" w:sz="4" w:space="0" w:color="auto"/>
            </w:tcBorders>
            <w:shd w:val="clear" w:color="auto" w:fill="auto"/>
            <w:noWrap/>
          </w:tcPr>
          <w:p w14:paraId="4807813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DA6226">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62F498E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DA6226">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5C99ECA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DA6226">
              <w:rPr>
                <w:rFonts w:ascii="Calibri" w:eastAsia="Times New Roman" w:hAnsi="Calibri" w:cs="Calibri"/>
                <w:color w:val="808080" w:themeColor="background1" w:themeShade="80"/>
              </w:rPr>
              <w:t xml:space="preserve"> 0.20   </w:t>
            </w:r>
          </w:p>
        </w:tc>
        <w:tc>
          <w:tcPr>
            <w:tcW w:w="1256" w:type="dxa"/>
            <w:tcBorders>
              <w:top w:val="nil"/>
              <w:left w:val="nil"/>
              <w:bottom w:val="single" w:sz="4" w:space="0" w:color="auto"/>
              <w:right w:val="single" w:sz="4" w:space="0" w:color="auto"/>
            </w:tcBorders>
            <w:shd w:val="clear" w:color="auto" w:fill="auto"/>
            <w:noWrap/>
          </w:tcPr>
          <w:p w14:paraId="181847E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DA6226">
              <w:rPr>
                <w:rFonts w:ascii="Calibri" w:eastAsia="Times New Roman" w:hAnsi="Calibri" w:cs="Calibri"/>
                <w:color w:val="808080" w:themeColor="background1" w:themeShade="80"/>
              </w:rPr>
              <w:t xml:space="preserve"> -     </w:t>
            </w:r>
          </w:p>
        </w:tc>
        <w:tc>
          <w:tcPr>
            <w:tcW w:w="1395" w:type="dxa"/>
            <w:tcBorders>
              <w:top w:val="nil"/>
              <w:left w:val="nil"/>
              <w:bottom w:val="single" w:sz="4" w:space="0" w:color="auto"/>
              <w:right w:val="single" w:sz="4" w:space="0" w:color="auto"/>
            </w:tcBorders>
            <w:shd w:val="clear" w:color="auto" w:fill="auto"/>
            <w:noWrap/>
          </w:tcPr>
          <w:p w14:paraId="768BAAE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DA6226">
              <w:rPr>
                <w:rFonts w:ascii="Calibri" w:eastAsia="Times New Roman" w:hAnsi="Calibri" w:cs="Calibri"/>
                <w:color w:val="808080" w:themeColor="background1" w:themeShade="80"/>
              </w:rPr>
              <w:t xml:space="preserve"> 0.20   </w:t>
            </w:r>
          </w:p>
        </w:tc>
      </w:tr>
      <w:tr w:rsidR="00EA7EC8" w:rsidRPr="008528A1" w14:paraId="7B197BB0"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14862538"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Egypt - </w:t>
            </w:r>
            <w:r>
              <w:rPr>
                <w:rFonts w:ascii="Calibri" w:eastAsia="Times New Roman" w:hAnsi="Calibri" w:cs="Calibri"/>
                <w:color w:val="808080" w:themeColor="background1" w:themeShade="80"/>
              </w:rPr>
              <w:t>Exploration</w:t>
            </w:r>
          </w:p>
        </w:tc>
        <w:tc>
          <w:tcPr>
            <w:tcW w:w="1117" w:type="dxa"/>
            <w:tcBorders>
              <w:top w:val="nil"/>
              <w:left w:val="nil"/>
              <w:bottom w:val="single" w:sz="4" w:space="0" w:color="auto"/>
              <w:right w:val="single" w:sz="4" w:space="0" w:color="auto"/>
            </w:tcBorders>
            <w:shd w:val="clear" w:color="auto" w:fill="auto"/>
            <w:noWrap/>
          </w:tcPr>
          <w:p w14:paraId="794E933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56733FF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1E6A82A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w:t>
            </w:r>
            <w:r>
              <w:rPr>
                <w:rFonts w:ascii="Calibri" w:eastAsia="Times New Roman" w:hAnsi="Calibri" w:cs="Calibri"/>
                <w:color w:val="808080" w:themeColor="background1" w:themeShade="80"/>
              </w:rPr>
              <w:t>2</w:t>
            </w:r>
            <w:r w:rsidRPr="00A76E03">
              <w:rPr>
                <w:rFonts w:ascii="Calibri" w:eastAsia="Times New Roman" w:hAnsi="Calibri" w:cs="Calibri"/>
                <w:color w:val="808080" w:themeColor="background1" w:themeShade="80"/>
              </w:rPr>
              <w:t>.</w:t>
            </w:r>
            <w:r>
              <w:rPr>
                <w:rFonts w:ascii="Calibri" w:eastAsia="Times New Roman" w:hAnsi="Calibri" w:cs="Calibri"/>
                <w:color w:val="808080" w:themeColor="background1" w:themeShade="80"/>
              </w:rPr>
              <w:t>19</w:t>
            </w:r>
            <w:r w:rsidRPr="00A76E03">
              <w:rPr>
                <w:rFonts w:ascii="Calibri" w:eastAsia="Times New Roman" w:hAnsi="Calibri" w:cs="Calibri"/>
                <w:color w:val="808080" w:themeColor="background1" w:themeShade="80"/>
              </w:rPr>
              <w:t xml:space="preserve">   </w:t>
            </w:r>
          </w:p>
        </w:tc>
        <w:tc>
          <w:tcPr>
            <w:tcW w:w="1256" w:type="dxa"/>
            <w:tcBorders>
              <w:top w:val="nil"/>
              <w:left w:val="nil"/>
              <w:bottom w:val="single" w:sz="4" w:space="0" w:color="auto"/>
              <w:right w:val="single" w:sz="4" w:space="0" w:color="auto"/>
            </w:tcBorders>
            <w:shd w:val="clear" w:color="auto" w:fill="auto"/>
            <w:noWrap/>
          </w:tcPr>
          <w:p w14:paraId="772263C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395" w:type="dxa"/>
            <w:tcBorders>
              <w:top w:val="nil"/>
              <w:left w:val="nil"/>
              <w:bottom w:val="single" w:sz="4" w:space="0" w:color="auto"/>
              <w:right w:val="single" w:sz="4" w:space="0" w:color="auto"/>
            </w:tcBorders>
            <w:shd w:val="clear" w:color="auto" w:fill="auto"/>
            <w:noWrap/>
          </w:tcPr>
          <w:p w14:paraId="7D59DA5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w:t>
            </w:r>
            <w:r>
              <w:rPr>
                <w:rFonts w:ascii="Calibri" w:eastAsia="Times New Roman" w:hAnsi="Calibri" w:cs="Calibri"/>
                <w:color w:val="808080" w:themeColor="background1" w:themeShade="80"/>
              </w:rPr>
              <w:t>2</w:t>
            </w:r>
            <w:r w:rsidRPr="00A76E03">
              <w:rPr>
                <w:rFonts w:ascii="Calibri" w:eastAsia="Times New Roman" w:hAnsi="Calibri" w:cs="Calibri"/>
                <w:color w:val="808080" w:themeColor="background1" w:themeShade="80"/>
              </w:rPr>
              <w:t>.</w:t>
            </w:r>
            <w:r>
              <w:rPr>
                <w:rFonts w:ascii="Calibri" w:eastAsia="Times New Roman" w:hAnsi="Calibri" w:cs="Calibri"/>
                <w:color w:val="808080" w:themeColor="background1" w:themeShade="80"/>
              </w:rPr>
              <w:t>19</w:t>
            </w:r>
            <w:r w:rsidRPr="00A76E03">
              <w:rPr>
                <w:rFonts w:ascii="Calibri" w:eastAsia="Times New Roman" w:hAnsi="Calibri" w:cs="Calibri"/>
                <w:color w:val="808080" w:themeColor="background1" w:themeShade="80"/>
              </w:rPr>
              <w:t xml:space="preserve">   </w:t>
            </w:r>
          </w:p>
        </w:tc>
      </w:tr>
      <w:tr w:rsidR="00EA7EC8" w:rsidRPr="008528A1" w14:paraId="14870A9D"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tcPr>
          <w:p w14:paraId="1BAB118A" w14:textId="77777777" w:rsidR="00EA7EC8" w:rsidRPr="00A76E03" w:rsidRDefault="00EA7EC8" w:rsidP="001A5C9B">
            <w:pPr>
              <w:spacing w:after="0" w:line="240" w:lineRule="auto"/>
              <w:rPr>
                <w:rFonts w:ascii="Calibri" w:eastAsia="Times New Roman" w:hAnsi="Calibri" w:cs="Calibri"/>
                <w:b/>
                <w:bCs/>
                <w:color w:val="002060"/>
              </w:rPr>
            </w:pPr>
            <w:r>
              <w:rPr>
                <w:rFonts w:ascii="Calibri" w:eastAsia="Times New Roman" w:hAnsi="Calibri" w:cs="Calibri"/>
                <w:b/>
                <w:bCs/>
                <w:color w:val="002060"/>
              </w:rPr>
              <w:t xml:space="preserve">EGYPTIAN </w:t>
            </w:r>
            <w:r w:rsidRPr="00CE5912">
              <w:rPr>
                <w:rFonts w:ascii="Calibri" w:eastAsia="Times New Roman" w:hAnsi="Calibri" w:cs="Calibri"/>
                <w:b/>
                <w:bCs/>
                <w:color w:val="002060"/>
              </w:rPr>
              <w:t>GOVERNMENT REPORT</w:t>
            </w:r>
          </w:p>
        </w:tc>
        <w:tc>
          <w:tcPr>
            <w:tcW w:w="1117" w:type="dxa"/>
            <w:tcBorders>
              <w:top w:val="nil"/>
              <w:left w:val="nil"/>
              <w:bottom w:val="single" w:sz="4" w:space="0" w:color="auto"/>
              <w:right w:val="single" w:sz="4" w:space="0" w:color="auto"/>
            </w:tcBorders>
            <w:shd w:val="clear" w:color="auto" w:fill="auto"/>
            <w:noWrap/>
          </w:tcPr>
          <w:p w14:paraId="0CCCA5B1" w14:textId="77777777" w:rsidR="00EA7EC8" w:rsidRPr="00A76E03" w:rsidRDefault="00EA7EC8" w:rsidP="001A5C9B">
            <w:pPr>
              <w:spacing w:after="0" w:line="240" w:lineRule="auto"/>
              <w:jc w:val="right"/>
              <w:rPr>
                <w:rFonts w:ascii="Calibri" w:eastAsia="Times New Roman" w:hAnsi="Calibri" w:cs="Calibri"/>
                <w:b/>
                <w:bCs/>
                <w:color w:val="002060"/>
              </w:rPr>
            </w:pPr>
            <w:r w:rsidRPr="00A76E03">
              <w:rPr>
                <w:rFonts w:ascii="Calibri" w:eastAsia="Times New Roman" w:hAnsi="Calibri" w:cs="Calibri"/>
                <w:b/>
                <w:bCs/>
                <w:color w:val="002060"/>
              </w:rPr>
              <w:t xml:space="preserve"> 58.19   </w:t>
            </w:r>
          </w:p>
        </w:tc>
        <w:tc>
          <w:tcPr>
            <w:tcW w:w="1255" w:type="dxa"/>
            <w:tcBorders>
              <w:top w:val="nil"/>
              <w:left w:val="nil"/>
              <w:bottom w:val="single" w:sz="4" w:space="0" w:color="auto"/>
              <w:right w:val="single" w:sz="4" w:space="0" w:color="auto"/>
            </w:tcBorders>
            <w:shd w:val="clear" w:color="auto" w:fill="auto"/>
            <w:noWrap/>
          </w:tcPr>
          <w:p w14:paraId="21FD2083" w14:textId="77777777" w:rsidR="00EA7EC8" w:rsidRPr="00A76E03" w:rsidRDefault="00EA7EC8" w:rsidP="001A5C9B">
            <w:pPr>
              <w:spacing w:after="0" w:line="240" w:lineRule="auto"/>
              <w:jc w:val="right"/>
              <w:rPr>
                <w:rFonts w:ascii="Calibri" w:eastAsia="Times New Roman" w:hAnsi="Calibri" w:cs="Calibri"/>
                <w:b/>
                <w:bCs/>
                <w:color w:val="002060"/>
              </w:rPr>
            </w:pPr>
            <w:r w:rsidRPr="00A76E03">
              <w:rPr>
                <w:rFonts w:ascii="Calibri" w:eastAsia="Times New Roman" w:hAnsi="Calibri" w:cs="Calibri"/>
                <w:b/>
                <w:bCs/>
                <w:color w:val="002060"/>
              </w:rPr>
              <w:t xml:space="preserve"> -     </w:t>
            </w:r>
          </w:p>
        </w:tc>
        <w:tc>
          <w:tcPr>
            <w:tcW w:w="1396" w:type="dxa"/>
            <w:tcBorders>
              <w:top w:val="nil"/>
              <w:left w:val="nil"/>
              <w:bottom w:val="single" w:sz="4" w:space="0" w:color="auto"/>
              <w:right w:val="single" w:sz="4" w:space="0" w:color="auto"/>
            </w:tcBorders>
            <w:shd w:val="clear" w:color="auto" w:fill="auto"/>
            <w:noWrap/>
          </w:tcPr>
          <w:p w14:paraId="06D517B0" w14:textId="77777777" w:rsidR="00EA7EC8" w:rsidRPr="00A76E03" w:rsidRDefault="00EA7EC8" w:rsidP="001A5C9B">
            <w:pPr>
              <w:spacing w:after="0" w:line="240" w:lineRule="auto"/>
              <w:jc w:val="right"/>
              <w:rPr>
                <w:rFonts w:ascii="Calibri" w:eastAsia="Times New Roman" w:hAnsi="Calibri" w:cs="Calibri"/>
                <w:b/>
                <w:bCs/>
                <w:color w:val="002060"/>
              </w:rPr>
            </w:pPr>
            <w:r w:rsidRPr="00A76E03">
              <w:rPr>
                <w:rFonts w:ascii="Calibri" w:eastAsia="Times New Roman" w:hAnsi="Calibri" w:cs="Calibri"/>
                <w:b/>
                <w:bCs/>
                <w:color w:val="002060"/>
              </w:rPr>
              <w:t xml:space="preserve"> 2.54   </w:t>
            </w:r>
          </w:p>
        </w:tc>
        <w:tc>
          <w:tcPr>
            <w:tcW w:w="1256" w:type="dxa"/>
            <w:tcBorders>
              <w:top w:val="nil"/>
              <w:left w:val="nil"/>
              <w:bottom w:val="single" w:sz="4" w:space="0" w:color="auto"/>
              <w:right w:val="single" w:sz="4" w:space="0" w:color="auto"/>
            </w:tcBorders>
            <w:shd w:val="clear" w:color="auto" w:fill="auto"/>
            <w:noWrap/>
          </w:tcPr>
          <w:p w14:paraId="37FA631A" w14:textId="77777777" w:rsidR="00EA7EC8" w:rsidRPr="00A76E03" w:rsidRDefault="00EA7EC8" w:rsidP="001A5C9B">
            <w:pPr>
              <w:spacing w:after="0" w:line="240" w:lineRule="auto"/>
              <w:jc w:val="right"/>
              <w:rPr>
                <w:rFonts w:ascii="Calibri" w:eastAsia="Times New Roman" w:hAnsi="Calibri" w:cs="Calibri"/>
                <w:b/>
                <w:bCs/>
                <w:color w:val="002060"/>
              </w:rPr>
            </w:pPr>
            <w:r w:rsidRPr="00A76E03">
              <w:rPr>
                <w:rFonts w:ascii="Calibri" w:eastAsia="Times New Roman" w:hAnsi="Calibri" w:cs="Calibri"/>
                <w:b/>
                <w:bCs/>
                <w:color w:val="002060"/>
              </w:rPr>
              <w:t xml:space="preserve"> 0.34   </w:t>
            </w:r>
          </w:p>
        </w:tc>
        <w:tc>
          <w:tcPr>
            <w:tcW w:w="1395" w:type="dxa"/>
            <w:tcBorders>
              <w:top w:val="nil"/>
              <w:left w:val="nil"/>
              <w:bottom w:val="single" w:sz="4" w:space="0" w:color="auto"/>
              <w:right w:val="single" w:sz="4" w:space="0" w:color="auto"/>
            </w:tcBorders>
            <w:shd w:val="clear" w:color="auto" w:fill="auto"/>
            <w:noWrap/>
          </w:tcPr>
          <w:p w14:paraId="1BB89DB6" w14:textId="77777777" w:rsidR="00EA7EC8" w:rsidRPr="00A76E03" w:rsidRDefault="00EA7EC8" w:rsidP="001A5C9B">
            <w:pPr>
              <w:spacing w:after="0" w:line="240" w:lineRule="auto"/>
              <w:jc w:val="right"/>
              <w:rPr>
                <w:rFonts w:ascii="Calibri" w:eastAsia="Times New Roman" w:hAnsi="Calibri" w:cs="Calibri"/>
                <w:b/>
                <w:bCs/>
                <w:color w:val="002060"/>
              </w:rPr>
            </w:pPr>
            <w:r w:rsidRPr="00A76E03">
              <w:rPr>
                <w:rFonts w:ascii="Calibri" w:eastAsia="Times New Roman" w:hAnsi="Calibri" w:cs="Calibri"/>
                <w:b/>
                <w:bCs/>
                <w:color w:val="002060"/>
              </w:rPr>
              <w:t xml:space="preserve"> 61.0</w:t>
            </w:r>
            <w:r>
              <w:rPr>
                <w:rFonts w:ascii="Calibri" w:eastAsia="Times New Roman" w:hAnsi="Calibri" w:cs="Calibri"/>
                <w:b/>
                <w:bCs/>
                <w:color w:val="002060"/>
              </w:rPr>
              <w:t>7</w:t>
            </w:r>
            <w:r w:rsidRPr="00A76E03">
              <w:rPr>
                <w:rFonts w:ascii="Calibri" w:eastAsia="Times New Roman" w:hAnsi="Calibri" w:cs="Calibri"/>
                <w:b/>
                <w:bCs/>
                <w:color w:val="002060"/>
              </w:rPr>
              <w:t xml:space="preserve">   </w:t>
            </w:r>
          </w:p>
        </w:tc>
      </w:tr>
      <w:tr w:rsidR="00EA7EC8" w:rsidRPr="008528A1" w14:paraId="365D92A6"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tcPr>
          <w:p w14:paraId="1BAEE50E" w14:textId="77777777" w:rsidR="00EA7EC8" w:rsidRPr="00CE5912" w:rsidRDefault="00EA7EC8" w:rsidP="001A5C9B">
            <w:pPr>
              <w:spacing w:after="0" w:line="240" w:lineRule="auto"/>
              <w:rPr>
                <w:rFonts w:ascii="Calibri" w:eastAsia="Times New Roman" w:hAnsi="Calibri" w:cs="Calibri"/>
                <w:color w:val="808080" w:themeColor="background1" w:themeShade="80"/>
              </w:rPr>
            </w:pPr>
          </w:p>
        </w:tc>
        <w:tc>
          <w:tcPr>
            <w:tcW w:w="1117" w:type="dxa"/>
            <w:tcBorders>
              <w:top w:val="nil"/>
              <w:left w:val="nil"/>
              <w:bottom w:val="single" w:sz="4" w:space="0" w:color="auto"/>
              <w:right w:val="single" w:sz="4" w:space="0" w:color="auto"/>
            </w:tcBorders>
            <w:shd w:val="clear" w:color="auto" w:fill="auto"/>
            <w:noWrap/>
            <w:vAlign w:val="center"/>
          </w:tcPr>
          <w:p w14:paraId="1F96108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5" w:type="dxa"/>
            <w:tcBorders>
              <w:top w:val="nil"/>
              <w:left w:val="nil"/>
              <w:bottom w:val="single" w:sz="4" w:space="0" w:color="auto"/>
              <w:right w:val="single" w:sz="4" w:space="0" w:color="auto"/>
            </w:tcBorders>
            <w:shd w:val="clear" w:color="auto" w:fill="auto"/>
            <w:noWrap/>
            <w:vAlign w:val="center"/>
          </w:tcPr>
          <w:p w14:paraId="5B048E4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6" w:type="dxa"/>
            <w:tcBorders>
              <w:top w:val="nil"/>
              <w:left w:val="nil"/>
              <w:bottom w:val="single" w:sz="4" w:space="0" w:color="auto"/>
              <w:right w:val="single" w:sz="4" w:space="0" w:color="auto"/>
            </w:tcBorders>
            <w:shd w:val="clear" w:color="auto" w:fill="auto"/>
            <w:noWrap/>
            <w:vAlign w:val="center"/>
          </w:tcPr>
          <w:p w14:paraId="58D29946"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6" w:type="dxa"/>
            <w:tcBorders>
              <w:top w:val="nil"/>
              <w:left w:val="nil"/>
              <w:bottom w:val="single" w:sz="4" w:space="0" w:color="auto"/>
              <w:right w:val="single" w:sz="4" w:space="0" w:color="auto"/>
            </w:tcBorders>
            <w:shd w:val="clear" w:color="auto" w:fill="auto"/>
            <w:noWrap/>
            <w:vAlign w:val="center"/>
          </w:tcPr>
          <w:p w14:paraId="224EF2B7" w14:textId="77777777" w:rsidR="00EA7EC8" w:rsidRPr="00CE5912" w:rsidRDefault="00EA7EC8" w:rsidP="001A5C9B">
            <w:pPr>
              <w:spacing w:after="0" w:line="240" w:lineRule="auto"/>
              <w:rPr>
                <w:rFonts w:ascii="Calibri" w:eastAsia="Times New Roman" w:hAnsi="Calibri" w:cs="Calibri"/>
                <w:color w:val="808080" w:themeColor="background1" w:themeShade="80"/>
              </w:rPr>
            </w:pPr>
          </w:p>
        </w:tc>
        <w:tc>
          <w:tcPr>
            <w:tcW w:w="1395" w:type="dxa"/>
            <w:tcBorders>
              <w:top w:val="nil"/>
              <w:left w:val="nil"/>
              <w:bottom w:val="single" w:sz="4" w:space="0" w:color="auto"/>
              <w:right w:val="single" w:sz="4" w:space="0" w:color="auto"/>
            </w:tcBorders>
            <w:shd w:val="clear" w:color="auto" w:fill="auto"/>
            <w:noWrap/>
            <w:vAlign w:val="center"/>
          </w:tcPr>
          <w:p w14:paraId="49C2199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r>
      <w:tr w:rsidR="00EA7EC8" w:rsidRPr="008528A1" w14:paraId="0E7E5B55"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3ECFB263"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A.C 13.AS</w:t>
            </w:r>
          </w:p>
        </w:tc>
        <w:tc>
          <w:tcPr>
            <w:tcW w:w="1117" w:type="dxa"/>
            <w:tcBorders>
              <w:top w:val="nil"/>
              <w:left w:val="nil"/>
              <w:bottom w:val="single" w:sz="4" w:space="0" w:color="auto"/>
              <w:right w:val="single" w:sz="4" w:space="0" w:color="auto"/>
            </w:tcBorders>
            <w:shd w:val="clear" w:color="auto" w:fill="auto"/>
            <w:noWrap/>
          </w:tcPr>
          <w:p w14:paraId="40FB4FC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042FD6D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0.31</w:t>
            </w:r>
          </w:p>
        </w:tc>
        <w:tc>
          <w:tcPr>
            <w:tcW w:w="1396" w:type="dxa"/>
            <w:tcBorders>
              <w:top w:val="nil"/>
              <w:left w:val="nil"/>
              <w:bottom w:val="single" w:sz="4" w:space="0" w:color="auto"/>
              <w:right w:val="single" w:sz="4" w:space="0" w:color="auto"/>
            </w:tcBorders>
            <w:shd w:val="clear" w:color="auto" w:fill="auto"/>
            <w:noWrap/>
          </w:tcPr>
          <w:p w14:paraId="3A51B84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6C16F17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0.16</w:t>
            </w:r>
          </w:p>
        </w:tc>
        <w:tc>
          <w:tcPr>
            <w:tcW w:w="1395" w:type="dxa"/>
            <w:tcBorders>
              <w:top w:val="nil"/>
              <w:left w:val="nil"/>
              <w:bottom w:val="single" w:sz="4" w:space="0" w:color="auto"/>
              <w:right w:val="single" w:sz="4" w:space="0" w:color="auto"/>
            </w:tcBorders>
            <w:shd w:val="clear" w:color="auto" w:fill="auto"/>
            <w:noWrap/>
          </w:tcPr>
          <w:p w14:paraId="4739C66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0.47</w:t>
            </w:r>
          </w:p>
        </w:tc>
      </w:tr>
      <w:tr w:rsidR="00EA7EC8" w:rsidRPr="008528A1" w14:paraId="4DF21A27"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2082788A"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A.C 14.AS</w:t>
            </w:r>
          </w:p>
        </w:tc>
        <w:tc>
          <w:tcPr>
            <w:tcW w:w="1117" w:type="dxa"/>
            <w:tcBorders>
              <w:top w:val="nil"/>
              <w:left w:val="nil"/>
              <w:bottom w:val="single" w:sz="4" w:space="0" w:color="auto"/>
              <w:right w:val="single" w:sz="4" w:space="0" w:color="auto"/>
            </w:tcBorders>
            <w:shd w:val="clear" w:color="auto" w:fill="auto"/>
            <w:noWrap/>
          </w:tcPr>
          <w:p w14:paraId="48570380"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4D2E1646"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7C194DE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71CF566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0.18</w:t>
            </w:r>
          </w:p>
        </w:tc>
        <w:tc>
          <w:tcPr>
            <w:tcW w:w="1395" w:type="dxa"/>
            <w:tcBorders>
              <w:top w:val="nil"/>
              <w:left w:val="nil"/>
              <w:bottom w:val="single" w:sz="4" w:space="0" w:color="auto"/>
              <w:right w:val="single" w:sz="4" w:space="0" w:color="auto"/>
            </w:tcBorders>
            <w:shd w:val="clear" w:color="auto" w:fill="auto"/>
            <w:noWrap/>
          </w:tcPr>
          <w:p w14:paraId="3A32E7C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0.18</w:t>
            </w:r>
          </w:p>
        </w:tc>
      </w:tr>
      <w:tr w:rsidR="00EA7EC8" w:rsidRPr="008528A1" w14:paraId="0C575D76"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5BE21CBD"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A.C 16.AG</w:t>
            </w:r>
          </w:p>
        </w:tc>
        <w:tc>
          <w:tcPr>
            <w:tcW w:w="1117" w:type="dxa"/>
            <w:tcBorders>
              <w:top w:val="nil"/>
              <w:left w:val="nil"/>
              <w:bottom w:val="single" w:sz="4" w:space="0" w:color="auto"/>
              <w:right w:val="single" w:sz="4" w:space="0" w:color="auto"/>
            </w:tcBorders>
            <w:shd w:val="clear" w:color="auto" w:fill="auto"/>
            <w:noWrap/>
          </w:tcPr>
          <w:p w14:paraId="0C755EF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0DC82D0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53751BF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4EBEE78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0.39</w:t>
            </w:r>
          </w:p>
        </w:tc>
        <w:tc>
          <w:tcPr>
            <w:tcW w:w="1395" w:type="dxa"/>
            <w:tcBorders>
              <w:top w:val="nil"/>
              <w:left w:val="nil"/>
              <w:bottom w:val="single" w:sz="4" w:space="0" w:color="auto"/>
              <w:right w:val="single" w:sz="4" w:space="0" w:color="auto"/>
            </w:tcBorders>
            <w:shd w:val="clear" w:color="auto" w:fill="auto"/>
            <w:noWrap/>
          </w:tcPr>
          <w:p w14:paraId="0CC568E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0.39</w:t>
            </w:r>
          </w:p>
        </w:tc>
      </w:tr>
      <w:tr w:rsidR="00EA7EC8" w:rsidRPr="008528A1" w14:paraId="6E2AE21C"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0EA93A08"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A.C Other</w:t>
            </w:r>
          </w:p>
        </w:tc>
        <w:tc>
          <w:tcPr>
            <w:tcW w:w="1117" w:type="dxa"/>
            <w:tcBorders>
              <w:top w:val="nil"/>
              <w:left w:val="nil"/>
              <w:bottom w:val="single" w:sz="4" w:space="0" w:color="auto"/>
              <w:right w:val="single" w:sz="4" w:space="0" w:color="auto"/>
            </w:tcBorders>
            <w:shd w:val="clear" w:color="auto" w:fill="auto"/>
            <w:noWrap/>
          </w:tcPr>
          <w:p w14:paraId="0D24074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5" w:type="dxa"/>
            <w:tcBorders>
              <w:top w:val="nil"/>
              <w:left w:val="nil"/>
              <w:bottom w:val="single" w:sz="4" w:space="0" w:color="auto"/>
              <w:right w:val="single" w:sz="4" w:space="0" w:color="auto"/>
            </w:tcBorders>
            <w:shd w:val="clear" w:color="auto" w:fill="auto"/>
            <w:noWrap/>
          </w:tcPr>
          <w:p w14:paraId="3A389F8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6" w:type="dxa"/>
            <w:tcBorders>
              <w:top w:val="nil"/>
              <w:left w:val="nil"/>
              <w:bottom w:val="single" w:sz="4" w:space="0" w:color="auto"/>
              <w:right w:val="single" w:sz="4" w:space="0" w:color="auto"/>
            </w:tcBorders>
            <w:shd w:val="clear" w:color="auto" w:fill="auto"/>
            <w:noWrap/>
          </w:tcPr>
          <w:p w14:paraId="294D3C10"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6" w:type="dxa"/>
            <w:tcBorders>
              <w:top w:val="nil"/>
              <w:left w:val="nil"/>
              <w:bottom w:val="single" w:sz="4" w:space="0" w:color="auto"/>
              <w:right w:val="single" w:sz="4" w:space="0" w:color="auto"/>
            </w:tcBorders>
            <w:shd w:val="clear" w:color="auto" w:fill="auto"/>
            <w:noWrap/>
          </w:tcPr>
          <w:p w14:paraId="1305FDD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0.21</w:t>
            </w:r>
          </w:p>
        </w:tc>
        <w:tc>
          <w:tcPr>
            <w:tcW w:w="1395" w:type="dxa"/>
            <w:tcBorders>
              <w:top w:val="nil"/>
              <w:left w:val="nil"/>
              <w:bottom w:val="single" w:sz="4" w:space="0" w:color="auto"/>
              <w:right w:val="single" w:sz="4" w:space="0" w:color="auto"/>
            </w:tcBorders>
            <w:shd w:val="clear" w:color="auto" w:fill="auto"/>
            <w:noWrap/>
          </w:tcPr>
          <w:p w14:paraId="67E8EF2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0.21</w:t>
            </w:r>
          </w:p>
        </w:tc>
      </w:tr>
      <w:tr w:rsidR="00EA7EC8" w:rsidRPr="008528A1" w14:paraId="3C100D1D"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7E31488D"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B.C 10.AS</w:t>
            </w:r>
          </w:p>
        </w:tc>
        <w:tc>
          <w:tcPr>
            <w:tcW w:w="1117" w:type="dxa"/>
            <w:tcBorders>
              <w:top w:val="nil"/>
              <w:left w:val="nil"/>
              <w:bottom w:val="single" w:sz="4" w:space="0" w:color="auto"/>
              <w:right w:val="single" w:sz="4" w:space="0" w:color="auto"/>
            </w:tcBorders>
            <w:shd w:val="clear" w:color="auto" w:fill="auto"/>
            <w:noWrap/>
          </w:tcPr>
          <w:p w14:paraId="43B9372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33854BE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0.47</w:t>
            </w:r>
          </w:p>
        </w:tc>
        <w:tc>
          <w:tcPr>
            <w:tcW w:w="1396" w:type="dxa"/>
            <w:tcBorders>
              <w:top w:val="nil"/>
              <w:left w:val="nil"/>
              <w:bottom w:val="single" w:sz="4" w:space="0" w:color="auto"/>
              <w:right w:val="single" w:sz="4" w:space="0" w:color="auto"/>
            </w:tcBorders>
            <w:shd w:val="clear" w:color="auto" w:fill="auto"/>
            <w:noWrap/>
          </w:tcPr>
          <w:p w14:paraId="1BBD9F0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5489CB2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0.26</w:t>
            </w:r>
          </w:p>
        </w:tc>
        <w:tc>
          <w:tcPr>
            <w:tcW w:w="1395" w:type="dxa"/>
            <w:tcBorders>
              <w:top w:val="nil"/>
              <w:left w:val="nil"/>
              <w:bottom w:val="single" w:sz="4" w:space="0" w:color="auto"/>
              <w:right w:val="single" w:sz="4" w:space="0" w:color="auto"/>
            </w:tcBorders>
            <w:shd w:val="clear" w:color="auto" w:fill="auto"/>
            <w:noWrap/>
          </w:tcPr>
          <w:p w14:paraId="454325D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0.73</w:t>
            </w:r>
          </w:p>
        </w:tc>
      </w:tr>
      <w:tr w:rsidR="00EA7EC8" w:rsidRPr="008528A1" w14:paraId="78882F75"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4ED3E11C"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B.C 13.AS</w:t>
            </w:r>
          </w:p>
        </w:tc>
        <w:tc>
          <w:tcPr>
            <w:tcW w:w="1117" w:type="dxa"/>
            <w:tcBorders>
              <w:top w:val="nil"/>
              <w:left w:val="nil"/>
              <w:bottom w:val="single" w:sz="4" w:space="0" w:color="auto"/>
              <w:right w:val="single" w:sz="4" w:space="0" w:color="auto"/>
            </w:tcBorders>
            <w:shd w:val="clear" w:color="auto" w:fill="auto"/>
            <w:noWrap/>
          </w:tcPr>
          <w:p w14:paraId="316FC54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27EF903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5.61</w:t>
            </w:r>
          </w:p>
        </w:tc>
        <w:tc>
          <w:tcPr>
            <w:tcW w:w="1396" w:type="dxa"/>
            <w:tcBorders>
              <w:top w:val="nil"/>
              <w:left w:val="nil"/>
              <w:bottom w:val="single" w:sz="4" w:space="0" w:color="auto"/>
              <w:right w:val="single" w:sz="4" w:space="0" w:color="auto"/>
            </w:tcBorders>
            <w:shd w:val="clear" w:color="auto" w:fill="auto"/>
            <w:noWrap/>
          </w:tcPr>
          <w:p w14:paraId="2C7CE8B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4EF7D68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0.47</w:t>
            </w:r>
          </w:p>
        </w:tc>
        <w:tc>
          <w:tcPr>
            <w:tcW w:w="1395" w:type="dxa"/>
            <w:tcBorders>
              <w:top w:val="nil"/>
              <w:left w:val="nil"/>
              <w:bottom w:val="single" w:sz="4" w:space="0" w:color="auto"/>
              <w:right w:val="single" w:sz="4" w:space="0" w:color="auto"/>
            </w:tcBorders>
            <w:shd w:val="clear" w:color="auto" w:fill="auto"/>
            <w:noWrap/>
          </w:tcPr>
          <w:p w14:paraId="14ED8EB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6.08</w:t>
            </w:r>
          </w:p>
        </w:tc>
      </w:tr>
      <w:tr w:rsidR="00EA7EC8" w:rsidRPr="008528A1" w14:paraId="1E4A7B71"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1B9191D1"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B.C 14.AS</w:t>
            </w:r>
          </w:p>
        </w:tc>
        <w:tc>
          <w:tcPr>
            <w:tcW w:w="1117" w:type="dxa"/>
            <w:tcBorders>
              <w:top w:val="nil"/>
              <w:left w:val="nil"/>
              <w:bottom w:val="single" w:sz="4" w:space="0" w:color="auto"/>
              <w:right w:val="single" w:sz="4" w:space="0" w:color="auto"/>
            </w:tcBorders>
            <w:shd w:val="clear" w:color="auto" w:fill="auto"/>
            <w:noWrap/>
          </w:tcPr>
          <w:p w14:paraId="3A93D19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53DBB54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1.82</w:t>
            </w:r>
          </w:p>
        </w:tc>
        <w:tc>
          <w:tcPr>
            <w:tcW w:w="1396" w:type="dxa"/>
            <w:tcBorders>
              <w:top w:val="nil"/>
              <w:left w:val="nil"/>
              <w:bottom w:val="single" w:sz="4" w:space="0" w:color="auto"/>
              <w:right w:val="single" w:sz="4" w:space="0" w:color="auto"/>
            </w:tcBorders>
            <w:shd w:val="clear" w:color="auto" w:fill="auto"/>
            <w:noWrap/>
          </w:tcPr>
          <w:p w14:paraId="2EC6BD4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195783F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0.27</w:t>
            </w:r>
          </w:p>
        </w:tc>
        <w:tc>
          <w:tcPr>
            <w:tcW w:w="1395" w:type="dxa"/>
            <w:tcBorders>
              <w:top w:val="nil"/>
              <w:left w:val="nil"/>
              <w:bottom w:val="single" w:sz="4" w:space="0" w:color="auto"/>
              <w:right w:val="single" w:sz="4" w:space="0" w:color="auto"/>
            </w:tcBorders>
            <w:shd w:val="clear" w:color="auto" w:fill="auto"/>
            <w:noWrap/>
          </w:tcPr>
          <w:p w14:paraId="4D6E5F4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2.09</w:t>
            </w:r>
          </w:p>
        </w:tc>
      </w:tr>
      <w:tr w:rsidR="00EA7EC8" w:rsidRPr="008528A1" w14:paraId="5D1D2971"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2A6E648F"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B.C 9.AS</w:t>
            </w:r>
          </w:p>
        </w:tc>
        <w:tc>
          <w:tcPr>
            <w:tcW w:w="1117" w:type="dxa"/>
            <w:tcBorders>
              <w:top w:val="nil"/>
              <w:left w:val="nil"/>
              <w:bottom w:val="single" w:sz="4" w:space="0" w:color="auto"/>
              <w:right w:val="single" w:sz="4" w:space="0" w:color="auto"/>
            </w:tcBorders>
            <w:shd w:val="clear" w:color="auto" w:fill="auto"/>
            <w:noWrap/>
          </w:tcPr>
          <w:p w14:paraId="681498D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79394B1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2602DEB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5727DEC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0.21</w:t>
            </w:r>
          </w:p>
        </w:tc>
        <w:tc>
          <w:tcPr>
            <w:tcW w:w="1395" w:type="dxa"/>
            <w:tcBorders>
              <w:top w:val="nil"/>
              <w:left w:val="nil"/>
              <w:bottom w:val="single" w:sz="4" w:space="0" w:color="auto"/>
              <w:right w:val="single" w:sz="4" w:space="0" w:color="auto"/>
            </w:tcBorders>
            <w:shd w:val="clear" w:color="auto" w:fill="auto"/>
            <w:noWrap/>
          </w:tcPr>
          <w:p w14:paraId="2F9AB4F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0.21</w:t>
            </w:r>
          </w:p>
        </w:tc>
      </w:tr>
      <w:tr w:rsidR="00EA7EC8" w:rsidRPr="008528A1" w14:paraId="45DB1B25"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42CBB95B"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 </w:t>
            </w:r>
            <w:proofErr w:type="gramStart"/>
            <w:r w:rsidRPr="008D1CD1">
              <w:rPr>
                <w:rFonts w:ascii="Calibri" w:eastAsia="Times New Roman" w:hAnsi="Calibri" w:cs="Calibri"/>
                <w:color w:val="808080" w:themeColor="background1" w:themeShade="80"/>
              </w:rPr>
              <w:t>B.C1.LF</w:t>
            </w:r>
            <w:proofErr w:type="gramEnd"/>
          </w:p>
        </w:tc>
        <w:tc>
          <w:tcPr>
            <w:tcW w:w="1117" w:type="dxa"/>
            <w:tcBorders>
              <w:top w:val="nil"/>
              <w:left w:val="nil"/>
              <w:bottom w:val="single" w:sz="4" w:space="0" w:color="auto"/>
              <w:right w:val="single" w:sz="4" w:space="0" w:color="auto"/>
            </w:tcBorders>
            <w:shd w:val="clear" w:color="auto" w:fill="auto"/>
            <w:noWrap/>
          </w:tcPr>
          <w:p w14:paraId="1C92A1B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4052B22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3F89B01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2034B94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0.12</w:t>
            </w:r>
          </w:p>
        </w:tc>
        <w:tc>
          <w:tcPr>
            <w:tcW w:w="1395" w:type="dxa"/>
            <w:tcBorders>
              <w:top w:val="nil"/>
              <w:left w:val="nil"/>
              <w:bottom w:val="single" w:sz="4" w:space="0" w:color="auto"/>
              <w:right w:val="single" w:sz="4" w:space="0" w:color="auto"/>
            </w:tcBorders>
            <w:shd w:val="clear" w:color="auto" w:fill="auto"/>
            <w:noWrap/>
          </w:tcPr>
          <w:p w14:paraId="21B55DC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0.12</w:t>
            </w:r>
          </w:p>
        </w:tc>
      </w:tr>
      <w:tr w:rsidR="00EA7EC8" w:rsidRPr="008528A1" w14:paraId="211034CD"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01AD2659"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 </w:t>
            </w:r>
            <w:proofErr w:type="gramStart"/>
            <w:r w:rsidRPr="008D1CD1">
              <w:rPr>
                <w:rFonts w:ascii="Calibri" w:eastAsia="Times New Roman" w:hAnsi="Calibri" w:cs="Calibri"/>
                <w:color w:val="808080" w:themeColor="background1" w:themeShade="80"/>
              </w:rPr>
              <w:t>B.C7.LF</w:t>
            </w:r>
            <w:proofErr w:type="gramEnd"/>
          </w:p>
        </w:tc>
        <w:tc>
          <w:tcPr>
            <w:tcW w:w="1117" w:type="dxa"/>
            <w:tcBorders>
              <w:top w:val="nil"/>
              <w:left w:val="nil"/>
              <w:bottom w:val="single" w:sz="4" w:space="0" w:color="auto"/>
              <w:right w:val="single" w:sz="4" w:space="0" w:color="auto"/>
            </w:tcBorders>
            <w:shd w:val="clear" w:color="auto" w:fill="auto"/>
            <w:noWrap/>
          </w:tcPr>
          <w:p w14:paraId="6AA4D7E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50FAD1B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1.17</w:t>
            </w:r>
          </w:p>
        </w:tc>
        <w:tc>
          <w:tcPr>
            <w:tcW w:w="1396" w:type="dxa"/>
            <w:tcBorders>
              <w:top w:val="nil"/>
              <w:left w:val="nil"/>
              <w:bottom w:val="single" w:sz="4" w:space="0" w:color="auto"/>
              <w:right w:val="single" w:sz="4" w:space="0" w:color="auto"/>
            </w:tcBorders>
            <w:shd w:val="clear" w:color="auto" w:fill="auto"/>
            <w:noWrap/>
          </w:tcPr>
          <w:p w14:paraId="414D524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4E5AF32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0.28</w:t>
            </w:r>
          </w:p>
        </w:tc>
        <w:tc>
          <w:tcPr>
            <w:tcW w:w="1395" w:type="dxa"/>
            <w:tcBorders>
              <w:top w:val="nil"/>
              <w:left w:val="nil"/>
              <w:bottom w:val="single" w:sz="4" w:space="0" w:color="auto"/>
              <w:right w:val="single" w:sz="4" w:space="0" w:color="auto"/>
            </w:tcBorders>
            <w:shd w:val="clear" w:color="auto" w:fill="auto"/>
            <w:noWrap/>
          </w:tcPr>
          <w:p w14:paraId="122E9B80"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1.45</w:t>
            </w:r>
          </w:p>
        </w:tc>
      </w:tr>
      <w:tr w:rsidR="00EA7EC8" w:rsidRPr="008528A1" w14:paraId="0A80D67F"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05C651E7"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 </w:t>
            </w:r>
            <w:proofErr w:type="gramStart"/>
            <w:r w:rsidRPr="008D1CD1">
              <w:rPr>
                <w:rFonts w:ascii="Calibri" w:eastAsia="Times New Roman" w:hAnsi="Calibri" w:cs="Calibri"/>
                <w:color w:val="808080" w:themeColor="background1" w:themeShade="80"/>
              </w:rPr>
              <w:t>B.C8.LF</w:t>
            </w:r>
            <w:proofErr w:type="gramEnd"/>
          </w:p>
        </w:tc>
        <w:tc>
          <w:tcPr>
            <w:tcW w:w="1117" w:type="dxa"/>
            <w:tcBorders>
              <w:top w:val="nil"/>
              <w:left w:val="nil"/>
              <w:bottom w:val="single" w:sz="4" w:space="0" w:color="auto"/>
              <w:right w:val="single" w:sz="4" w:space="0" w:color="auto"/>
            </w:tcBorders>
            <w:shd w:val="clear" w:color="auto" w:fill="auto"/>
            <w:noWrap/>
          </w:tcPr>
          <w:p w14:paraId="2440AB9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60037AD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1.95</w:t>
            </w:r>
          </w:p>
        </w:tc>
        <w:tc>
          <w:tcPr>
            <w:tcW w:w="1396" w:type="dxa"/>
            <w:tcBorders>
              <w:top w:val="nil"/>
              <w:left w:val="nil"/>
              <w:bottom w:val="single" w:sz="4" w:space="0" w:color="auto"/>
              <w:right w:val="single" w:sz="4" w:space="0" w:color="auto"/>
            </w:tcBorders>
            <w:shd w:val="clear" w:color="auto" w:fill="auto"/>
            <w:noWrap/>
          </w:tcPr>
          <w:p w14:paraId="008BC89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0D9C38A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0.53</w:t>
            </w:r>
          </w:p>
        </w:tc>
        <w:tc>
          <w:tcPr>
            <w:tcW w:w="1395" w:type="dxa"/>
            <w:tcBorders>
              <w:top w:val="nil"/>
              <w:left w:val="nil"/>
              <w:bottom w:val="single" w:sz="4" w:space="0" w:color="auto"/>
              <w:right w:val="single" w:sz="4" w:space="0" w:color="auto"/>
            </w:tcBorders>
            <w:shd w:val="clear" w:color="auto" w:fill="auto"/>
            <w:noWrap/>
          </w:tcPr>
          <w:p w14:paraId="3D37388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2.48</w:t>
            </w:r>
          </w:p>
        </w:tc>
      </w:tr>
      <w:tr w:rsidR="00EA7EC8" w:rsidRPr="008528A1" w14:paraId="3F6BD136"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0BB18588"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B.C Other</w:t>
            </w:r>
          </w:p>
        </w:tc>
        <w:tc>
          <w:tcPr>
            <w:tcW w:w="1117" w:type="dxa"/>
            <w:tcBorders>
              <w:top w:val="nil"/>
              <w:left w:val="nil"/>
              <w:bottom w:val="single" w:sz="4" w:space="0" w:color="auto"/>
              <w:right w:val="single" w:sz="4" w:space="0" w:color="auto"/>
            </w:tcBorders>
            <w:shd w:val="clear" w:color="auto" w:fill="auto"/>
            <w:noWrap/>
          </w:tcPr>
          <w:p w14:paraId="345C592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5" w:type="dxa"/>
            <w:tcBorders>
              <w:top w:val="nil"/>
              <w:left w:val="nil"/>
              <w:bottom w:val="single" w:sz="4" w:space="0" w:color="auto"/>
              <w:right w:val="single" w:sz="4" w:space="0" w:color="auto"/>
            </w:tcBorders>
            <w:shd w:val="clear" w:color="auto" w:fill="auto"/>
            <w:noWrap/>
          </w:tcPr>
          <w:p w14:paraId="55D4B6C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6" w:type="dxa"/>
            <w:tcBorders>
              <w:top w:val="nil"/>
              <w:left w:val="nil"/>
              <w:bottom w:val="single" w:sz="4" w:space="0" w:color="auto"/>
              <w:right w:val="single" w:sz="4" w:space="0" w:color="auto"/>
            </w:tcBorders>
            <w:shd w:val="clear" w:color="auto" w:fill="auto"/>
            <w:noWrap/>
          </w:tcPr>
          <w:p w14:paraId="5C7413E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6" w:type="dxa"/>
            <w:tcBorders>
              <w:top w:val="nil"/>
              <w:left w:val="nil"/>
              <w:bottom w:val="single" w:sz="4" w:space="0" w:color="auto"/>
              <w:right w:val="single" w:sz="4" w:space="0" w:color="auto"/>
            </w:tcBorders>
            <w:shd w:val="clear" w:color="auto" w:fill="auto"/>
            <w:noWrap/>
          </w:tcPr>
          <w:p w14:paraId="6C2C868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0.34</w:t>
            </w:r>
          </w:p>
        </w:tc>
        <w:tc>
          <w:tcPr>
            <w:tcW w:w="1395" w:type="dxa"/>
            <w:tcBorders>
              <w:top w:val="nil"/>
              <w:left w:val="nil"/>
              <w:bottom w:val="single" w:sz="4" w:space="0" w:color="auto"/>
              <w:right w:val="single" w:sz="4" w:space="0" w:color="auto"/>
            </w:tcBorders>
            <w:shd w:val="clear" w:color="auto" w:fill="auto"/>
            <w:noWrap/>
          </w:tcPr>
          <w:p w14:paraId="0332657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0.34</w:t>
            </w:r>
          </w:p>
        </w:tc>
      </w:tr>
      <w:tr w:rsidR="00EA7EC8" w:rsidRPr="008528A1" w14:paraId="2C7CD30C"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2645E0EF"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Italy - C.C</w:t>
            </w:r>
            <w:proofErr w:type="gramStart"/>
            <w:r w:rsidRPr="008D1CD1">
              <w:rPr>
                <w:rFonts w:ascii="Calibri" w:eastAsia="Times New Roman" w:hAnsi="Calibri" w:cs="Calibri"/>
                <w:color w:val="808080" w:themeColor="background1" w:themeShade="80"/>
              </w:rPr>
              <w:t>6.EO</w:t>
            </w:r>
            <w:proofErr w:type="gramEnd"/>
          </w:p>
        </w:tc>
        <w:tc>
          <w:tcPr>
            <w:tcW w:w="1117" w:type="dxa"/>
            <w:tcBorders>
              <w:top w:val="nil"/>
              <w:left w:val="nil"/>
              <w:bottom w:val="single" w:sz="4" w:space="0" w:color="auto"/>
              <w:right w:val="single" w:sz="4" w:space="0" w:color="auto"/>
            </w:tcBorders>
            <w:shd w:val="clear" w:color="auto" w:fill="auto"/>
            <w:noWrap/>
          </w:tcPr>
          <w:p w14:paraId="61D2F2E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74BDB66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1.74</w:t>
            </w:r>
          </w:p>
        </w:tc>
        <w:tc>
          <w:tcPr>
            <w:tcW w:w="1396" w:type="dxa"/>
            <w:tcBorders>
              <w:top w:val="nil"/>
              <w:left w:val="nil"/>
              <w:bottom w:val="single" w:sz="4" w:space="0" w:color="auto"/>
              <w:right w:val="single" w:sz="4" w:space="0" w:color="auto"/>
            </w:tcBorders>
            <w:shd w:val="clear" w:color="auto" w:fill="auto"/>
            <w:noWrap/>
          </w:tcPr>
          <w:p w14:paraId="2D0C4F0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4C3FF0A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0.35</w:t>
            </w:r>
          </w:p>
        </w:tc>
        <w:tc>
          <w:tcPr>
            <w:tcW w:w="1395" w:type="dxa"/>
            <w:tcBorders>
              <w:top w:val="nil"/>
              <w:left w:val="nil"/>
              <w:bottom w:val="single" w:sz="4" w:space="0" w:color="auto"/>
              <w:right w:val="single" w:sz="4" w:space="0" w:color="auto"/>
            </w:tcBorders>
            <w:shd w:val="clear" w:color="auto" w:fill="auto"/>
            <w:noWrap/>
          </w:tcPr>
          <w:p w14:paraId="4BFFB98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2.09</w:t>
            </w:r>
          </w:p>
        </w:tc>
      </w:tr>
      <w:tr w:rsidR="00EA7EC8" w:rsidRPr="008528A1" w14:paraId="45E6AAE7"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4BB941E2" w14:textId="6A9CB3D2"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w:t>
            </w:r>
            <w:r w:rsidR="001612A8" w:rsidRPr="008D1CD1">
              <w:rPr>
                <w:rFonts w:ascii="Calibri" w:eastAsia="Times New Roman" w:hAnsi="Calibri" w:cs="Calibri"/>
                <w:color w:val="808080" w:themeColor="background1" w:themeShade="80"/>
              </w:rPr>
              <w:t>-</w:t>
            </w:r>
            <w:r w:rsidRPr="008D1CD1">
              <w:rPr>
                <w:rFonts w:ascii="Calibri" w:eastAsia="Times New Roman" w:hAnsi="Calibri" w:cs="Calibri"/>
                <w:color w:val="808080" w:themeColor="background1" w:themeShade="80"/>
              </w:rPr>
              <w:t xml:space="preserve"> C</w:t>
            </w:r>
            <w:r>
              <w:rPr>
                <w:rFonts w:ascii="Calibri" w:eastAsia="Times New Roman" w:hAnsi="Calibri" w:cs="Calibri"/>
                <w:color w:val="808080" w:themeColor="background1" w:themeShade="80"/>
              </w:rPr>
              <w:t>andela</w:t>
            </w:r>
          </w:p>
        </w:tc>
        <w:tc>
          <w:tcPr>
            <w:tcW w:w="1117" w:type="dxa"/>
            <w:tcBorders>
              <w:top w:val="nil"/>
              <w:left w:val="nil"/>
              <w:bottom w:val="single" w:sz="4" w:space="0" w:color="auto"/>
              <w:right w:val="single" w:sz="4" w:space="0" w:color="auto"/>
            </w:tcBorders>
            <w:shd w:val="clear" w:color="auto" w:fill="auto"/>
            <w:noWrap/>
          </w:tcPr>
          <w:p w14:paraId="1D2162B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24D55B6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282146F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1FACD19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0.32</w:t>
            </w:r>
          </w:p>
        </w:tc>
        <w:tc>
          <w:tcPr>
            <w:tcW w:w="1395" w:type="dxa"/>
            <w:tcBorders>
              <w:top w:val="nil"/>
              <w:left w:val="nil"/>
              <w:bottom w:val="single" w:sz="4" w:space="0" w:color="auto"/>
              <w:right w:val="single" w:sz="4" w:space="0" w:color="auto"/>
            </w:tcBorders>
            <w:shd w:val="clear" w:color="auto" w:fill="auto"/>
            <w:noWrap/>
          </w:tcPr>
          <w:p w14:paraId="43F26A5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0.32</w:t>
            </w:r>
          </w:p>
        </w:tc>
      </w:tr>
      <w:tr w:rsidR="00EA7EC8" w:rsidRPr="008528A1" w14:paraId="77EAB957"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3D374034" w14:textId="04C2C7E9"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w:t>
            </w:r>
            <w:r w:rsidR="001612A8" w:rsidRPr="008D1CD1">
              <w:rPr>
                <w:rFonts w:ascii="Calibri" w:eastAsia="Times New Roman" w:hAnsi="Calibri" w:cs="Calibri"/>
                <w:color w:val="808080" w:themeColor="background1" w:themeShade="80"/>
              </w:rPr>
              <w:t>-</w:t>
            </w:r>
            <w:r w:rsidRPr="008D1CD1">
              <w:rPr>
                <w:rFonts w:ascii="Calibri" w:eastAsia="Times New Roman" w:hAnsi="Calibri" w:cs="Calibri"/>
                <w:color w:val="808080" w:themeColor="background1" w:themeShade="80"/>
              </w:rPr>
              <w:t xml:space="preserve"> C</w:t>
            </w:r>
            <w:r>
              <w:rPr>
                <w:rFonts w:ascii="Calibri" w:eastAsia="Times New Roman" w:hAnsi="Calibri" w:cs="Calibri"/>
                <w:color w:val="808080" w:themeColor="background1" w:themeShade="80"/>
              </w:rPr>
              <w:t xml:space="preserve">olle Di </w:t>
            </w:r>
            <w:proofErr w:type="spellStart"/>
            <w:r>
              <w:rPr>
                <w:rFonts w:ascii="Calibri" w:eastAsia="Times New Roman" w:hAnsi="Calibri" w:cs="Calibri"/>
                <w:color w:val="808080" w:themeColor="background1" w:themeShade="80"/>
              </w:rPr>
              <w:t>Lauro</w:t>
            </w:r>
            <w:proofErr w:type="spellEnd"/>
          </w:p>
        </w:tc>
        <w:tc>
          <w:tcPr>
            <w:tcW w:w="1117" w:type="dxa"/>
            <w:tcBorders>
              <w:top w:val="nil"/>
              <w:left w:val="nil"/>
              <w:bottom w:val="single" w:sz="4" w:space="0" w:color="auto"/>
              <w:right w:val="single" w:sz="4" w:space="0" w:color="auto"/>
            </w:tcBorders>
            <w:shd w:val="clear" w:color="auto" w:fill="auto"/>
            <w:noWrap/>
          </w:tcPr>
          <w:p w14:paraId="0BA6CE0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193AB2C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0.33</w:t>
            </w:r>
          </w:p>
        </w:tc>
        <w:tc>
          <w:tcPr>
            <w:tcW w:w="1396" w:type="dxa"/>
            <w:tcBorders>
              <w:top w:val="nil"/>
              <w:left w:val="nil"/>
              <w:bottom w:val="single" w:sz="4" w:space="0" w:color="auto"/>
              <w:right w:val="single" w:sz="4" w:space="0" w:color="auto"/>
            </w:tcBorders>
            <w:shd w:val="clear" w:color="auto" w:fill="auto"/>
            <w:noWrap/>
          </w:tcPr>
          <w:p w14:paraId="7BE9DDD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55EFDDD0"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0.05</w:t>
            </w:r>
          </w:p>
        </w:tc>
        <w:tc>
          <w:tcPr>
            <w:tcW w:w="1395" w:type="dxa"/>
            <w:tcBorders>
              <w:top w:val="nil"/>
              <w:left w:val="nil"/>
              <w:bottom w:val="single" w:sz="4" w:space="0" w:color="auto"/>
              <w:right w:val="single" w:sz="4" w:space="0" w:color="auto"/>
            </w:tcBorders>
            <w:shd w:val="clear" w:color="auto" w:fill="auto"/>
            <w:noWrap/>
          </w:tcPr>
          <w:p w14:paraId="6E1D5FA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0.38</w:t>
            </w:r>
          </w:p>
        </w:tc>
      </w:tr>
      <w:tr w:rsidR="00EA7EC8" w:rsidRPr="008528A1" w14:paraId="43CFE1DC"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02D5499A" w14:textId="4FCF0330"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 </w:t>
            </w:r>
            <w:proofErr w:type="spellStart"/>
            <w:r w:rsidRPr="008D1CD1">
              <w:rPr>
                <w:rFonts w:ascii="Calibri" w:eastAsia="Times New Roman" w:hAnsi="Calibri" w:cs="Calibri"/>
                <w:color w:val="808080" w:themeColor="background1" w:themeShade="80"/>
              </w:rPr>
              <w:t>C</w:t>
            </w:r>
            <w:r>
              <w:rPr>
                <w:rFonts w:ascii="Calibri" w:eastAsia="Times New Roman" w:hAnsi="Calibri" w:cs="Calibri"/>
                <w:color w:val="808080" w:themeColor="background1" w:themeShade="80"/>
              </w:rPr>
              <w:t>omiso</w:t>
            </w:r>
            <w:proofErr w:type="spellEnd"/>
            <w:r w:rsidRPr="008D1CD1">
              <w:rPr>
                <w:rFonts w:ascii="Calibri" w:eastAsia="Times New Roman" w:hAnsi="Calibri" w:cs="Calibri"/>
                <w:color w:val="808080" w:themeColor="background1" w:themeShade="80"/>
              </w:rPr>
              <w:t xml:space="preserve"> II</w:t>
            </w:r>
          </w:p>
        </w:tc>
        <w:tc>
          <w:tcPr>
            <w:tcW w:w="1117" w:type="dxa"/>
            <w:tcBorders>
              <w:top w:val="nil"/>
              <w:left w:val="nil"/>
              <w:bottom w:val="single" w:sz="4" w:space="0" w:color="auto"/>
              <w:right w:val="single" w:sz="4" w:space="0" w:color="auto"/>
            </w:tcBorders>
            <w:shd w:val="clear" w:color="auto" w:fill="auto"/>
            <w:noWrap/>
          </w:tcPr>
          <w:p w14:paraId="4B754A5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6DB1208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0.19</w:t>
            </w:r>
          </w:p>
        </w:tc>
        <w:tc>
          <w:tcPr>
            <w:tcW w:w="1396" w:type="dxa"/>
            <w:tcBorders>
              <w:top w:val="nil"/>
              <w:left w:val="nil"/>
              <w:bottom w:val="single" w:sz="4" w:space="0" w:color="auto"/>
              <w:right w:val="single" w:sz="4" w:space="0" w:color="auto"/>
            </w:tcBorders>
            <w:shd w:val="clear" w:color="auto" w:fill="auto"/>
            <w:noWrap/>
          </w:tcPr>
          <w:p w14:paraId="3F39CBB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2749CC5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0.01</w:t>
            </w:r>
          </w:p>
        </w:tc>
        <w:tc>
          <w:tcPr>
            <w:tcW w:w="1395" w:type="dxa"/>
            <w:tcBorders>
              <w:top w:val="nil"/>
              <w:left w:val="nil"/>
              <w:bottom w:val="single" w:sz="4" w:space="0" w:color="auto"/>
              <w:right w:val="single" w:sz="4" w:space="0" w:color="auto"/>
            </w:tcBorders>
            <w:shd w:val="clear" w:color="auto" w:fill="auto"/>
            <w:noWrap/>
          </w:tcPr>
          <w:p w14:paraId="553094F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0.20</w:t>
            </w:r>
          </w:p>
        </w:tc>
      </w:tr>
      <w:tr w:rsidR="00EA7EC8" w:rsidRPr="008528A1" w14:paraId="28A4764C"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191880C1" w14:textId="0CBCDDB1"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w:t>
            </w:r>
            <w:r w:rsidR="001612A8" w:rsidRPr="008D1CD1">
              <w:rPr>
                <w:rFonts w:ascii="Calibri" w:eastAsia="Times New Roman" w:hAnsi="Calibri" w:cs="Calibri"/>
                <w:color w:val="808080" w:themeColor="background1" w:themeShade="80"/>
              </w:rPr>
              <w:t>-</w:t>
            </w:r>
            <w:r w:rsidRPr="008D1CD1">
              <w:rPr>
                <w:rFonts w:ascii="Calibri" w:eastAsia="Times New Roman" w:hAnsi="Calibri" w:cs="Calibri"/>
                <w:color w:val="808080" w:themeColor="background1" w:themeShade="80"/>
              </w:rPr>
              <w:t xml:space="preserve"> </w:t>
            </w:r>
            <w:proofErr w:type="spellStart"/>
            <w:r w:rsidRPr="008D1CD1">
              <w:rPr>
                <w:rFonts w:ascii="Calibri" w:eastAsia="Times New Roman" w:hAnsi="Calibri" w:cs="Calibri"/>
                <w:color w:val="808080" w:themeColor="background1" w:themeShade="80"/>
              </w:rPr>
              <w:t>G</w:t>
            </w:r>
            <w:r>
              <w:rPr>
                <w:rFonts w:ascii="Calibri" w:eastAsia="Times New Roman" w:hAnsi="Calibri" w:cs="Calibri"/>
                <w:color w:val="808080" w:themeColor="background1" w:themeShade="80"/>
              </w:rPr>
              <w:t>araguso</w:t>
            </w:r>
            <w:proofErr w:type="spellEnd"/>
          </w:p>
        </w:tc>
        <w:tc>
          <w:tcPr>
            <w:tcW w:w="1117" w:type="dxa"/>
            <w:tcBorders>
              <w:top w:val="nil"/>
              <w:left w:val="nil"/>
              <w:bottom w:val="single" w:sz="4" w:space="0" w:color="auto"/>
              <w:right w:val="single" w:sz="4" w:space="0" w:color="auto"/>
            </w:tcBorders>
            <w:shd w:val="clear" w:color="auto" w:fill="auto"/>
            <w:noWrap/>
          </w:tcPr>
          <w:p w14:paraId="5C1018B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7090416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0.57</w:t>
            </w:r>
          </w:p>
        </w:tc>
        <w:tc>
          <w:tcPr>
            <w:tcW w:w="1396" w:type="dxa"/>
            <w:tcBorders>
              <w:top w:val="nil"/>
              <w:left w:val="nil"/>
              <w:bottom w:val="single" w:sz="4" w:space="0" w:color="auto"/>
              <w:right w:val="single" w:sz="4" w:space="0" w:color="auto"/>
            </w:tcBorders>
            <w:shd w:val="clear" w:color="auto" w:fill="auto"/>
            <w:noWrap/>
          </w:tcPr>
          <w:p w14:paraId="692AC77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2933FEF9" w14:textId="614913F5"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w:t>
            </w:r>
            <w:r w:rsidR="001612A8">
              <w:rPr>
                <w:rFonts w:ascii="Calibri" w:eastAsia="Times New Roman" w:hAnsi="Calibri" w:cs="Calibri"/>
                <w:color w:val="808080" w:themeColor="background1" w:themeShade="80"/>
              </w:rPr>
              <w:t>0</w:t>
            </w:r>
          </w:p>
        </w:tc>
        <w:tc>
          <w:tcPr>
            <w:tcW w:w="1395" w:type="dxa"/>
            <w:tcBorders>
              <w:top w:val="nil"/>
              <w:left w:val="nil"/>
              <w:bottom w:val="single" w:sz="4" w:space="0" w:color="auto"/>
              <w:right w:val="single" w:sz="4" w:space="0" w:color="auto"/>
            </w:tcBorders>
            <w:shd w:val="clear" w:color="auto" w:fill="auto"/>
            <w:noWrap/>
          </w:tcPr>
          <w:p w14:paraId="4AC953E6"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0.67</w:t>
            </w:r>
          </w:p>
        </w:tc>
      </w:tr>
      <w:tr w:rsidR="00EA7EC8" w:rsidRPr="008528A1" w14:paraId="1A640E97"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485B0FFC" w14:textId="1D783C49"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w:t>
            </w:r>
            <w:r w:rsidR="001612A8" w:rsidRPr="008D1CD1">
              <w:rPr>
                <w:rFonts w:ascii="Calibri" w:eastAsia="Times New Roman" w:hAnsi="Calibri" w:cs="Calibri"/>
                <w:color w:val="808080" w:themeColor="background1" w:themeShade="80"/>
              </w:rPr>
              <w:t>-</w:t>
            </w:r>
            <w:r w:rsidRPr="008D1CD1">
              <w:rPr>
                <w:rFonts w:ascii="Calibri" w:eastAsia="Times New Roman" w:hAnsi="Calibri" w:cs="Calibri"/>
                <w:color w:val="808080" w:themeColor="background1" w:themeShade="80"/>
              </w:rPr>
              <w:t xml:space="preserve"> </w:t>
            </w:r>
            <w:proofErr w:type="spellStart"/>
            <w:r w:rsidRPr="008D1CD1">
              <w:rPr>
                <w:rFonts w:ascii="Calibri" w:eastAsia="Times New Roman" w:hAnsi="Calibri" w:cs="Calibri"/>
                <w:color w:val="808080" w:themeColor="background1" w:themeShade="80"/>
              </w:rPr>
              <w:t>M</w:t>
            </w:r>
            <w:r>
              <w:rPr>
                <w:rFonts w:ascii="Calibri" w:eastAsia="Times New Roman" w:hAnsi="Calibri" w:cs="Calibri"/>
                <w:color w:val="808080" w:themeColor="background1" w:themeShade="80"/>
              </w:rPr>
              <w:t>ontignano</w:t>
            </w:r>
            <w:proofErr w:type="spellEnd"/>
          </w:p>
        </w:tc>
        <w:tc>
          <w:tcPr>
            <w:tcW w:w="1117" w:type="dxa"/>
            <w:tcBorders>
              <w:top w:val="nil"/>
              <w:left w:val="nil"/>
              <w:bottom w:val="single" w:sz="4" w:space="0" w:color="auto"/>
              <w:right w:val="single" w:sz="4" w:space="0" w:color="auto"/>
            </w:tcBorders>
            <w:shd w:val="clear" w:color="auto" w:fill="auto"/>
            <w:noWrap/>
          </w:tcPr>
          <w:p w14:paraId="6881103C"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3A58B7E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7893ADD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5480452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0.12</w:t>
            </w:r>
          </w:p>
        </w:tc>
        <w:tc>
          <w:tcPr>
            <w:tcW w:w="1395" w:type="dxa"/>
            <w:tcBorders>
              <w:top w:val="nil"/>
              <w:left w:val="nil"/>
              <w:bottom w:val="single" w:sz="4" w:space="0" w:color="auto"/>
              <w:right w:val="single" w:sz="4" w:space="0" w:color="auto"/>
            </w:tcBorders>
            <w:shd w:val="clear" w:color="auto" w:fill="auto"/>
            <w:noWrap/>
          </w:tcPr>
          <w:p w14:paraId="57E8D5E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0.12</w:t>
            </w:r>
          </w:p>
        </w:tc>
      </w:tr>
      <w:tr w:rsidR="00EA7EC8" w:rsidRPr="008528A1" w14:paraId="6221F05A"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0B906564" w14:textId="4A14B884"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Italy - </w:t>
            </w:r>
            <w:proofErr w:type="spellStart"/>
            <w:proofErr w:type="gramStart"/>
            <w:r w:rsidRPr="008D1CD1">
              <w:rPr>
                <w:rFonts w:ascii="Calibri" w:eastAsia="Times New Roman" w:hAnsi="Calibri" w:cs="Calibri"/>
                <w:color w:val="808080" w:themeColor="background1" w:themeShade="80"/>
              </w:rPr>
              <w:t>S.A</w:t>
            </w:r>
            <w:r>
              <w:rPr>
                <w:rFonts w:ascii="Calibri" w:eastAsia="Times New Roman" w:hAnsi="Calibri" w:cs="Calibri"/>
                <w:color w:val="808080" w:themeColor="background1" w:themeShade="80"/>
              </w:rPr>
              <w:t>nna</w:t>
            </w:r>
            <w:proofErr w:type="spellEnd"/>
            <w:proofErr w:type="gramEnd"/>
            <w:r w:rsidRPr="008D1CD1">
              <w:rPr>
                <w:rFonts w:ascii="Calibri" w:eastAsia="Times New Roman" w:hAnsi="Calibri" w:cs="Calibri"/>
                <w:color w:val="808080" w:themeColor="background1" w:themeShade="80"/>
              </w:rPr>
              <w:t xml:space="preserve"> (</w:t>
            </w:r>
            <w:proofErr w:type="spellStart"/>
            <w:r w:rsidRPr="008D1CD1">
              <w:rPr>
                <w:rFonts w:ascii="Calibri" w:eastAsia="Times New Roman" w:hAnsi="Calibri" w:cs="Calibri"/>
                <w:color w:val="808080" w:themeColor="background1" w:themeShade="80"/>
              </w:rPr>
              <w:t>T</w:t>
            </w:r>
            <w:r>
              <w:rPr>
                <w:rFonts w:ascii="Calibri" w:eastAsia="Times New Roman" w:hAnsi="Calibri" w:cs="Calibri"/>
                <w:color w:val="808080" w:themeColor="background1" w:themeShade="80"/>
              </w:rPr>
              <w:t>resauro</w:t>
            </w:r>
            <w:proofErr w:type="spellEnd"/>
            <w:r w:rsidRPr="008D1CD1">
              <w:rPr>
                <w:rFonts w:ascii="Calibri" w:eastAsia="Times New Roman" w:hAnsi="Calibri" w:cs="Calibri"/>
                <w:color w:val="808080" w:themeColor="background1" w:themeShade="80"/>
              </w:rPr>
              <w:t>)</w:t>
            </w:r>
          </w:p>
        </w:tc>
        <w:tc>
          <w:tcPr>
            <w:tcW w:w="1117" w:type="dxa"/>
            <w:tcBorders>
              <w:top w:val="nil"/>
              <w:left w:val="nil"/>
              <w:bottom w:val="single" w:sz="4" w:space="0" w:color="auto"/>
              <w:right w:val="single" w:sz="4" w:space="0" w:color="auto"/>
            </w:tcBorders>
            <w:shd w:val="clear" w:color="auto" w:fill="auto"/>
            <w:noWrap/>
          </w:tcPr>
          <w:p w14:paraId="3D8E5916"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18FC7DD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1.31</w:t>
            </w:r>
          </w:p>
        </w:tc>
        <w:tc>
          <w:tcPr>
            <w:tcW w:w="1396" w:type="dxa"/>
            <w:tcBorders>
              <w:top w:val="nil"/>
              <w:left w:val="nil"/>
              <w:bottom w:val="single" w:sz="4" w:space="0" w:color="auto"/>
              <w:right w:val="single" w:sz="4" w:space="0" w:color="auto"/>
            </w:tcBorders>
            <w:shd w:val="clear" w:color="auto" w:fill="auto"/>
            <w:noWrap/>
          </w:tcPr>
          <w:p w14:paraId="297409E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63ABCAB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0.01</w:t>
            </w:r>
          </w:p>
        </w:tc>
        <w:tc>
          <w:tcPr>
            <w:tcW w:w="1395" w:type="dxa"/>
            <w:tcBorders>
              <w:top w:val="nil"/>
              <w:left w:val="nil"/>
              <w:bottom w:val="single" w:sz="4" w:space="0" w:color="auto"/>
              <w:right w:val="single" w:sz="4" w:space="0" w:color="auto"/>
            </w:tcBorders>
            <w:shd w:val="clear" w:color="auto" w:fill="auto"/>
            <w:noWrap/>
          </w:tcPr>
          <w:p w14:paraId="508D91D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1.32</w:t>
            </w:r>
          </w:p>
        </w:tc>
      </w:tr>
      <w:tr w:rsidR="00EA7EC8" w:rsidRPr="008528A1" w14:paraId="5A278791"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tcPr>
          <w:p w14:paraId="4B0E8C74" w14:textId="24155420" w:rsidR="00EA7EC8" w:rsidRPr="00CE5912" w:rsidRDefault="00EA7EC8" w:rsidP="001A5C9B">
            <w:pPr>
              <w:spacing w:after="0" w:line="240" w:lineRule="auto"/>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lastRenderedPageBreak/>
              <w:t xml:space="preserve">Italy </w:t>
            </w:r>
            <w:r w:rsidR="001612A8" w:rsidRPr="008D1CD1">
              <w:rPr>
                <w:rFonts w:ascii="Calibri" w:eastAsia="Times New Roman" w:hAnsi="Calibri" w:cs="Calibri"/>
                <w:color w:val="808080" w:themeColor="background1" w:themeShade="80"/>
              </w:rPr>
              <w:t>-</w:t>
            </w:r>
            <w:r w:rsidRPr="008D1CD1">
              <w:rPr>
                <w:rFonts w:ascii="Calibri" w:eastAsia="Times New Roman" w:hAnsi="Calibri" w:cs="Calibri"/>
                <w:color w:val="808080" w:themeColor="background1" w:themeShade="80"/>
              </w:rPr>
              <w:t xml:space="preserve"> Other</w:t>
            </w:r>
          </w:p>
        </w:tc>
        <w:tc>
          <w:tcPr>
            <w:tcW w:w="1117" w:type="dxa"/>
            <w:tcBorders>
              <w:top w:val="nil"/>
              <w:left w:val="nil"/>
              <w:bottom w:val="single" w:sz="4" w:space="0" w:color="auto"/>
              <w:right w:val="single" w:sz="4" w:space="0" w:color="auto"/>
            </w:tcBorders>
            <w:shd w:val="clear" w:color="auto" w:fill="auto"/>
            <w:noWrap/>
          </w:tcPr>
          <w:p w14:paraId="082F1D3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128100C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7A08A44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3893B9B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0.72</w:t>
            </w:r>
          </w:p>
        </w:tc>
        <w:tc>
          <w:tcPr>
            <w:tcW w:w="1395" w:type="dxa"/>
            <w:tcBorders>
              <w:top w:val="nil"/>
              <w:left w:val="nil"/>
              <w:bottom w:val="single" w:sz="4" w:space="0" w:color="auto"/>
              <w:right w:val="single" w:sz="4" w:space="0" w:color="auto"/>
            </w:tcBorders>
            <w:shd w:val="clear" w:color="auto" w:fill="auto"/>
            <w:noWrap/>
          </w:tcPr>
          <w:p w14:paraId="1647C39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8D1CD1">
              <w:rPr>
                <w:rFonts w:ascii="Calibri" w:eastAsia="Times New Roman" w:hAnsi="Calibri" w:cs="Calibri"/>
                <w:color w:val="808080" w:themeColor="background1" w:themeShade="80"/>
              </w:rPr>
              <w:t>0.72</w:t>
            </w:r>
          </w:p>
        </w:tc>
      </w:tr>
      <w:tr w:rsidR="00EA7EC8" w:rsidRPr="008528A1" w14:paraId="0D667AB9" w14:textId="77777777" w:rsidTr="001A5C9B">
        <w:trPr>
          <w:trHeight w:hRule="exact" w:val="611"/>
          <w:jc w:val="right"/>
        </w:trPr>
        <w:tc>
          <w:tcPr>
            <w:tcW w:w="2942" w:type="dxa"/>
            <w:tcBorders>
              <w:top w:val="nil"/>
              <w:left w:val="single" w:sz="4" w:space="0" w:color="auto"/>
              <w:bottom w:val="single" w:sz="4" w:space="0" w:color="auto"/>
              <w:right w:val="single" w:sz="4" w:space="0" w:color="auto"/>
            </w:tcBorders>
            <w:shd w:val="clear" w:color="auto" w:fill="auto"/>
            <w:vAlign w:val="center"/>
          </w:tcPr>
          <w:p w14:paraId="3988AE5A" w14:textId="77777777" w:rsidR="00EA7EC8" w:rsidRPr="00CE5912" w:rsidRDefault="00EA7EC8"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b/>
                <w:bCs/>
                <w:color w:val="002060"/>
              </w:rPr>
              <w:t xml:space="preserve">ITALIAN </w:t>
            </w:r>
            <w:r w:rsidRPr="00CE5912">
              <w:rPr>
                <w:rFonts w:ascii="Calibri" w:eastAsia="Times New Roman" w:hAnsi="Calibri" w:cs="Calibri"/>
                <w:b/>
                <w:bCs/>
                <w:color w:val="002060"/>
              </w:rPr>
              <w:t xml:space="preserve">GOVERNMENT REPORT </w:t>
            </w:r>
          </w:p>
        </w:tc>
        <w:tc>
          <w:tcPr>
            <w:tcW w:w="1117" w:type="dxa"/>
            <w:tcBorders>
              <w:top w:val="nil"/>
              <w:left w:val="nil"/>
              <w:bottom w:val="single" w:sz="4" w:space="0" w:color="auto"/>
              <w:right w:val="single" w:sz="4" w:space="0" w:color="auto"/>
            </w:tcBorders>
            <w:shd w:val="clear" w:color="auto" w:fill="auto"/>
            <w:noWrap/>
          </w:tcPr>
          <w:p w14:paraId="4B958305" w14:textId="77777777" w:rsidR="00EA7EC8" w:rsidRPr="00A76E03"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     </w:t>
            </w:r>
          </w:p>
        </w:tc>
        <w:tc>
          <w:tcPr>
            <w:tcW w:w="1255" w:type="dxa"/>
            <w:tcBorders>
              <w:top w:val="nil"/>
              <w:left w:val="nil"/>
              <w:bottom w:val="single" w:sz="4" w:space="0" w:color="auto"/>
              <w:right w:val="single" w:sz="4" w:space="0" w:color="auto"/>
            </w:tcBorders>
            <w:shd w:val="clear" w:color="auto" w:fill="auto"/>
            <w:noWrap/>
          </w:tcPr>
          <w:p w14:paraId="41D025DE" w14:textId="77777777" w:rsidR="00EA7EC8" w:rsidRPr="00A76E03"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15.47   </w:t>
            </w:r>
          </w:p>
        </w:tc>
        <w:tc>
          <w:tcPr>
            <w:tcW w:w="1396" w:type="dxa"/>
            <w:tcBorders>
              <w:top w:val="nil"/>
              <w:left w:val="nil"/>
              <w:bottom w:val="single" w:sz="4" w:space="0" w:color="auto"/>
              <w:right w:val="single" w:sz="4" w:space="0" w:color="auto"/>
            </w:tcBorders>
            <w:shd w:val="clear" w:color="auto" w:fill="auto"/>
            <w:noWrap/>
          </w:tcPr>
          <w:p w14:paraId="69498153" w14:textId="77777777" w:rsidR="00EA7EC8" w:rsidRPr="00A76E03"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     </w:t>
            </w:r>
          </w:p>
        </w:tc>
        <w:tc>
          <w:tcPr>
            <w:tcW w:w="1256" w:type="dxa"/>
            <w:tcBorders>
              <w:top w:val="nil"/>
              <w:left w:val="nil"/>
              <w:bottom w:val="single" w:sz="4" w:space="0" w:color="auto"/>
              <w:right w:val="single" w:sz="4" w:space="0" w:color="auto"/>
            </w:tcBorders>
            <w:shd w:val="clear" w:color="auto" w:fill="auto"/>
            <w:noWrap/>
          </w:tcPr>
          <w:p w14:paraId="43F33886" w14:textId="77777777" w:rsidR="00EA7EC8" w:rsidRPr="00A76E03"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5.</w:t>
            </w:r>
            <w:r>
              <w:rPr>
                <w:rFonts w:ascii="Calibri" w:eastAsia="Times New Roman" w:hAnsi="Calibri" w:cs="Calibri"/>
                <w:b/>
                <w:color w:val="002060"/>
              </w:rPr>
              <w:t>10</w:t>
            </w:r>
            <w:r w:rsidRPr="00A76E03">
              <w:rPr>
                <w:rFonts w:ascii="Calibri" w:eastAsia="Times New Roman" w:hAnsi="Calibri" w:cs="Calibri"/>
                <w:b/>
                <w:color w:val="002060"/>
              </w:rPr>
              <w:t xml:space="preserve">   </w:t>
            </w:r>
          </w:p>
        </w:tc>
        <w:tc>
          <w:tcPr>
            <w:tcW w:w="1395" w:type="dxa"/>
            <w:tcBorders>
              <w:top w:val="nil"/>
              <w:left w:val="nil"/>
              <w:bottom w:val="single" w:sz="4" w:space="0" w:color="auto"/>
              <w:right w:val="single" w:sz="4" w:space="0" w:color="auto"/>
            </w:tcBorders>
            <w:shd w:val="clear" w:color="auto" w:fill="auto"/>
            <w:noWrap/>
          </w:tcPr>
          <w:p w14:paraId="64CC51AE" w14:textId="77777777" w:rsidR="00EA7EC8" w:rsidRPr="00A76E03"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20.5</w:t>
            </w:r>
            <w:r>
              <w:rPr>
                <w:rFonts w:ascii="Calibri" w:eastAsia="Times New Roman" w:hAnsi="Calibri" w:cs="Calibri"/>
                <w:b/>
                <w:color w:val="002060"/>
              </w:rPr>
              <w:t>7</w:t>
            </w:r>
            <w:r w:rsidRPr="00A76E03">
              <w:rPr>
                <w:rFonts w:ascii="Calibri" w:eastAsia="Times New Roman" w:hAnsi="Calibri" w:cs="Calibri"/>
                <w:b/>
                <w:color w:val="002060"/>
              </w:rPr>
              <w:t xml:space="preserve">   </w:t>
            </w:r>
          </w:p>
        </w:tc>
      </w:tr>
      <w:tr w:rsidR="00EA7EC8" w:rsidRPr="008528A1" w14:paraId="7EC4323A"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tcPr>
          <w:p w14:paraId="2F7EBE02" w14:textId="77777777" w:rsidR="00EA7EC8" w:rsidRPr="00CE5912" w:rsidRDefault="00EA7EC8" w:rsidP="001A5C9B">
            <w:pPr>
              <w:spacing w:after="0" w:line="240" w:lineRule="auto"/>
              <w:rPr>
                <w:rFonts w:ascii="Calibri" w:eastAsia="Times New Roman" w:hAnsi="Calibri" w:cs="Calibri"/>
                <w:color w:val="808080" w:themeColor="background1" w:themeShade="80"/>
              </w:rPr>
            </w:pPr>
          </w:p>
        </w:tc>
        <w:tc>
          <w:tcPr>
            <w:tcW w:w="1117" w:type="dxa"/>
            <w:tcBorders>
              <w:top w:val="nil"/>
              <w:left w:val="nil"/>
              <w:bottom w:val="single" w:sz="4" w:space="0" w:color="auto"/>
              <w:right w:val="single" w:sz="4" w:space="0" w:color="auto"/>
            </w:tcBorders>
            <w:shd w:val="clear" w:color="auto" w:fill="auto"/>
            <w:noWrap/>
            <w:vAlign w:val="center"/>
          </w:tcPr>
          <w:p w14:paraId="2C4C3269"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5" w:type="dxa"/>
            <w:tcBorders>
              <w:top w:val="nil"/>
              <w:left w:val="nil"/>
              <w:bottom w:val="single" w:sz="4" w:space="0" w:color="auto"/>
              <w:right w:val="single" w:sz="4" w:space="0" w:color="auto"/>
            </w:tcBorders>
            <w:shd w:val="clear" w:color="auto" w:fill="auto"/>
            <w:noWrap/>
            <w:vAlign w:val="center"/>
          </w:tcPr>
          <w:p w14:paraId="0236BE4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6" w:type="dxa"/>
            <w:tcBorders>
              <w:top w:val="nil"/>
              <w:left w:val="nil"/>
              <w:bottom w:val="single" w:sz="4" w:space="0" w:color="auto"/>
              <w:right w:val="single" w:sz="4" w:space="0" w:color="auto"/>
            </w:tcBorders>
            <w:shd w:val="clear" w:color="auto" w:fill="auto"/>
            <w:noWrap/>
            <w:vAlign w:val="center"/>
          </w:tcPr>
          <w:p w14:paraId="092DDB32"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6" w:type="dxa"/>
            <w:tcBorders>
              <w:top w:val="nil"/>
              <w:left w:val="nil"/>
              <w:bottom w:val="single" w:sz="4" w:space="0" w:color="auto"/>
              <w:right w:val="single" w:sz="4" w:space="0" w:color="auto"/>
            </w:tcBorders>
            <w:shd w:val="clear" w:color="auto" w:fill="auto"/>
            <w:noWrap/>
            <w:vAlign w:val="center"/>
          </w:tcPr>
          <w:p w14:paraId="3F3ED240" w14:textId="77777777" w:rsidR="00EA7EC8" w:rsidRPr="00CE5912" w:rsidRDefault="00EA7EC8" w:rsidP="001A5C9B">
            <w:pPr>
              <w:spacing w:after="0" w:line="240" w:lineRule="auto"/>
              <w:rPr>
                <w:rFonts w:ascii="Calibri" w:eastAsia="Times New Roman" w:hAnsi="Calibri" w:cs="Calibri"/>
                <w:color w:val="808080" w:themeColor="background1" w:themeShade="80"/>
              </w:rPr>
            </w:pPr>
          </w:p>
        </w:tc>
        <w:tc>
          <w:tcPr>
            <w:tcW w:w="1395" w:type="dxa"/>
            <w:tcBorders>
              <w:top w:val="nil"/>
              <w:left w:val="nil"/>
              <w:bottom w:val="single" w:sz="4" w:space="0" w:color="auto"/>
              <w:right w:val="single" w:sz="4" w:space="0" w:color="auto"/>
            </w:tcBorders>
            <w:shd w:val="clear" w:color="auto" w:fill="auto"/>
            <w:noWrap/>
            <w:vAlign w:val="center"/>
          </w:tcPr>
          <w:p w14:paraId="6814BDD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r>
      <w:tr w:rsidR="00EA7EC8" w:rsidRPr="008528A1" w14:paraId="3BF714A7"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47C7D9B3" w14:textId="669BAA27" w:rsidR="00EA7EC8" w:rsidRPr="00CE5912" w:rsidRDefault="00EA7EC8"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 xml:space="preserve">Israel </w:t>
            </w:r>
            <w:r w:rsidR="001A3213" w:rsidRPr="008D1CD1">
              <w:rPr>
                <w:rFonts w:ascii="Calibri" w:eastAsia="Times New Roman" w:hAnsi="Calibri" w:cs="Calibri"/>
                <w:color w:val="808080" w:themeColor="background1" w:themeShade="80"/>
              </w:rPr>
              <w:t>-</w:t>
            </w:r>
            <w:r>
              <w:rPr>
                <w:rFonts w:ascii="Calibri" w:eastAsia="Times New Roman" w:hAnsi="Calibri" w:cs="Calibri"/>
                <w:color w:val="808080" w:themeColor="background1" w:themeShade="80"/>
              </w:rPr>
              <w:t xml:space="preserve"> </w:t>
            </w:r>
            <w:proofErr w:type="spellStart"/>
            <w:r w:rsidRPr="00CE5912">
              <w:rPr>
                <w:rFonts w:ascii="Calibri" w:eastAsia="Times New Roman" w:hAnsi="Calibri" w:cs="Calibri"/>
                <w:color w:val="808080" w:themeColor="background1" w:themeShade="80"/>
              </w:rPr>
              <w:t>Karish</w:t>
            </w:r>
            <w:proofErr w:type="spellEnd"/>
            <w:r>
              <w:rPr>
                <w:rFonts w:ascii="Calibri" w:eastAsia="Times New Roman" w:hAnsi="Calibri" w:cs="Calibri"/>
                <w:color w:val="808080" w:themeColor="background1" w:themeShade="80"/>
              </w:rPr>
              <w:t>/</w:t>
            </w:r>
            <w:proofErr w:type="spellStart"/>
            <w:r>
              <w:rPr>
                <w:rFonts w:ascii="Calibri" w:eastAsia="Times New Roman" w:hAnsi="Calibri" w:cs="Calibri"/>
                <w:color w:val="808080" w:themeColor="background1" w:themeShade="80"/>
              </w:rPr>
              <w:t>Tanin</w:t>
            </w:r>
            <w:proofErr w:type="spellEnd"/>
            <w:r>
              <w:rPr>
                <w:rFonts w:ascii="Calibri" w:eastAsia="Times New Roman" w:hAnsi="Calibri" w:cs="Calibri"/>
                <w:color w:val="808080" w:themeColor="background1" w:themeShade="80"/>
              </w:rPr>
              <w:t xml:space="preserve"> leases</w:t>
            </w:r>
          </w:p>
        </w:tc>
        <w:tc>
          <w:tcPr>
            <w:tcW w:w="1117" w:type="dxa"/>
            <w:tcBorders>
              <w:top w:val="nil"/>
              <w:left w:val="nil"/>
              <w:bottom w:val="single" w:sz="4" w:space="0" w:color="auto"/>
              <w:right w:val="single" w:sz="4" w:space="0" w:color="auto"/>
            </w:tcBorders>
            <w:shd w:val="clear" w:color="auto" w:fill="auto"/>
            <w:noWrap/>
          </w:tcPr>
          <w:p w14:paraId="58F780F7"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2A1B74E0"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7A5F737D"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3ADE728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0.</w:t>
            </w:r>
            <w:r>
              <w:rPr>
                <w:rFonts w:ascii="Calibri" w:eastAsia="Times New Roman" w:hAnsi="Calibri" w:cs="Calibri"/>
                <w:color w:val="808080" w:themeColor="background1" w:themeShade="80"/>
              </w:rPr>
              <w:t>14</w:t>
            </w:r>
            <w:r w:rsidRPr="00A76E03">
              <w:rPr>
                <w:rFonts w:ascii="Calibri" w:eastAsia="Times New Roman" w:hAnsi="Calibri" w:cs="Calibri"/>
                <w:color w:val="808080" w:themeColor="background1" w:themeShade="80"/>
              </w:rPr>
              <w:t xml:space="preserve">   </w:t>
            </w:r>
          </w:p>
        </w:tc>
        <w:tc>
          <w:tcPr>
            <w:tcW w:w="1395" w:type="dxa"/>
            <w:tcBorders>
              <w:top w:val="nil"/>
              <w:left w:val="nil"/>
              <w:bottom w:val="single" w:sz="4" w:space="0" w:color="auto"/>
              <w:right w:val="single" w:sz="4" w:space="0" w:color="auto"/>
            </w:tcBorders>
            <w:shd w:val="clear" w:color="auto" w:fill="auto"/>
            <w:noWrap/>
          </w:tcPr>
          <w:p w14:paraId="02DB8E8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0.</w:t>
            </w:r>
            <w:r>
              <w:rPr>
                <w:rFonts w:ascii="Calibri" w:eastAsia="Times New Roman" w:hAnsi="Calibri" w:cs="Calibri"/>
                <w:color w:val="808080" w:themeColor="background1" w:themeShade="80"/>
              </w:rPr>
              <w:t>14</w:t>
            </w:r>
            <w:r w:rsidRPr="00A76E03">
              <w:rPr>
                <w:rFonts w:ascii="Calibri" w:eastAsia="Times New Roman" w:hAnsi="Calibri" w:cs="Calibri"/>
                <w:color w:val="808080" w:themeColor="background1" w:themeShade="80"/>
              </w:rPr>
              <w:t xml:space="preserve">   </w:t>
            </w:r>
          </w:p>
        </w:tc>
      </w:tr>
      <w:tr w:rsidR="00EA7EC8" w:rsidRPr="008528A1" w14:paraId="4D7275CE"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10E01514" w14:textId="0FA4215A" w:rsidR="00EA7EC8" w:rsidRPr="00CE5912" w:rsidRDefault="00EA7EC8"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 xml:space="preserve">Israel </w:t>
            </w:r>
            <w:r w:rsidR="001A3213" w:rsidRPr="008D1CD1">
              <w:rPr>
                <w:rFonts w:ascii="Calibri" w:eastAsia="Times New Roman" w:hAnsi="Calibri" w:cs="Calibri"/>
                <w:color w:val="808080" w:themeColor="background1" w:themeShade="80"/>
              </w:rPr>
              <w:t>-</w:t>
            </w:r>
            <w:r>
              <w:rPr>
                <w:rFonts w:ascii="Calibri" w:eastAsia="Times New Roman" w:hAnsi="Calibri" w:cs="Calibri"/>
                <w:color w:val="808080" w:themeColor="background1" w:themeShade="80"/>
              </w:rPr>
              <w:t xml:space="preserve"> Exploration assets</w:t>
            </w:r>
          </w:p>
        </w:tc>
        <w:tc>
          <w:tcPr>
            <w:tcW w:w="1117" w:type="dxa"/>
            <w:tcBorders>
              <w:top w:val="nil"/>
              <w:left w:val="nil"/>
              <w:bottom w:val="single" w:sz="4" w:space="0" w:color="auto"/>
              <w:right w:val="single" w:sz="4" w:space="0" w:color="auto"/>
            </w:tcBorders>
            <w:shd w:val="clear" w:color="auto" w:fill="auto"/>
            <w:noWrap/>
          </w:tcPr>
          <w:p w14:paraId="7F95528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1E8C73C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0D41F4F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365F0AC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0.</w:t>
            </w:r>
            <w:r>
              <w:rPr>
                <w:rFonts w:ascii="Calibri" w:eastAsia="Times New Roman" w:hAnsi="Calibri" w:cs="Calibri"/>
                <w:color w:val="808080" w:themeColor="background1" w:themeShade="80"/>
              </w:rPr>
              <w:t>15</w:t>
            </w:r>
            <w:r w:rsidRPr="00A76E03">
              <w:rPr>
                <w:rFonts w:ascii="Calibri" w:eastAsia="Times New Roman" w:hAnsi="Calibri" w:cs="Calibri"/>
                <w:color w:val="808080" w:themeColor="background1" w:themeShade="80"/>
              </w:rPr>
              <w:t xml:space="preserve">   </w:t>
            </w:r>
          </w:p>
        </w:tc>
        <w:tc>
          <w:tcPr>
            <w:tcW w:w="1395" w:type="dxa"/>
            <w:tcBorders>
              <w:top w:val="nil"/>
              <w:left w:val="nil"/>
              <w:bottom w:val="single" w:sz="4" w:space="0" w:color="auto"/>
              <w:right w:val="single" w:sz="4" w:space="0" w:color="auto"/>
            </w:tcBorders>
            <w:shd w:val="clear" w:color="auto" w:fill="auto"/>
            <w:noWrap/>
          </w:tcPr>
          <w:p w14:paraId="772E7CB0"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A76E03">
              <w:rPr>
                <w:rFonts w:ascii="Calibri" w:eastAsia="Times New Roman" w:hAnsi="Calibri" w:cs="Calibri"/>
                <w:color w:val="808080" w:themeColor="background1" w:themeShade="80"/>
              </w:rPr>
              <w:t xml:space="preserve"> 0.</w:t>
            </w:r>
            <w:r>
              <w:rPr>
                <w:rFonts w:ascii="Calibri" w:eastAsia="Times New Roman" w:hAnsi="Calibri" w:cs="Calibri"/>
                <w:color w:val="808080" w:themeColor="background1" w:themeShade="80"/>
              </w:rPr>
              <w:t>15</w:t>
            </w:r>
            <w:r w:rsidRPr="00A76E03">
              <w:rPr>
                <w:rFonts w:ascii="Calibri" w:eastAsia="Times New Roman" w:hAnsi="Calibri" w:cs="Calibri"/>
                <w:color w:val="808080" w:themeColor="background1" w:themeShade="80"/>
              </w:rPr>
              <w:t xml:space="preserve">   </w:t>
            </w:r>
          </w:p>
        </w:tc>
      </w:tr>
      <w:tr w:rsidR="00EA7EC8" w:rsidRPr="008528A1" w14:paraId="2C984B71" w14:textId="77777777" w:rsidTr="001A5C9B">
        <w:trPr>
          <w:trHeight w:val="295"/>
          <w:jc w:val="right"/>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4211" w14:textId="77777777" w:rsidR="00EA7EC8" w:rsidRPr="00CE5912" w:rsidRDefault="00EA7EC8" w:rsidP="001A5C9B">
            <w:pPr>
              <w:spacing w:after="0" w:line="240" w:lineRule="auto"/>
              <w:rPr>
                <w:rFonts w:ascii="Calibri" w:eastAsia="Times New Roman" w:hAnsi="Calibri" w:cs="Calibri"/>
                <w:b/>
                <w:bCs/>
                <w:color w:val="002060"/>
              </w:rPr>
            </w:pPr>
            <w:r w:rsidRPr="00CE5912">
              <w:rPr>
                <w:rFonts w:ascii="Calibri" w:eastAsia="Times New Roman" w:hAnsi="Calibri" w:cs="Calibri"/>
                <w:b/>
                <w:bCs/>
                <w:color w:val="002060"/>
              </w:rPr>
              <w:t xml:space="preserve">ISRAELI GOVERNMENT REPORT </w:t>
            </w:r>
          </w:p>
        </w:tc>
        <w:tc>
          <w:tcPr>
            <w:tcW w:w="1117" w:type="dxa"/>
            <w:tcBorders>
              <w:top w:val="single" w:sz="4" w:space="0" w:color="auto"/>
              <w:left w:val="nil"/>
              <w:bottom w:val="single" w:sz="4" w:space="0" w:color="auto"/>
              <w:right w:val="single" w:sz="4" w:space="0" w:color="auto"/>
            </w:tcBorders>
            <w:shd w:val="clear" w:color="auto" w:fill="auto"/>
            <w:noWrap/>
          </w:tcPr>
          <w:p w14:paraId="12D9650A" w14:textId="77777777" w:rsidR="00EA7EC8" w:rsidRPr="00CE5912"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     </w:t>
            </w:r>
          </w:p>
        </w:tc>
        <w:tc>
          <w:tcPr>
            <w:tcW w:w="1255" w:type="dxa"/>
            <w:tcBorders>
              <w:top w:val="single" w:sz="4" w:space="0" w:color="auto"/>
              <w:left w:val="nil"/>
              <w:bottom w:val="single" w:sz="4" w:space="0" w:color="auto"/>
              <w:right w:val="single" w:sz="4" w:space="0" w:color="auto"/>
            </w:tcBorders>
            <w:shd w:val="clear" w:color="auto" w:fill="auto"/>
            <w:noWrap/>
          </w:tcPr>
          <w:p w14:paraId="3905E276" w14:textId="77777777" w:rsidR="00EA7EC8" w:rsidRPr="00CE5912"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     </w:t>
            </w:r>
          </w:p>
        </w:tc>
        <w:tc>
          <w:tcPr>
            <w:tcW w:w="1396" w:type="dxa"/>
            <w:tcBorders>
              <w:top w:val="single" w:sz="4" w:space="0" w:color="auto"/>
              <w:left w:val="nil"/>
              <w:bottom w:val="single" w:sz="4" w:space="0" w:color="auto"/>
              <w:right w:val="single" w:sz="4" w:space="0" w:color="auto"/>
            </w:tcBorders>
            <w:shd w:val="clear" w:color="auto" w:fill="auto"/>
            <w:noWrap/>
          </w:tcPr>
          <w:p w14:paraId="31CD9AB1" w14:textId="77777777" w:rsidR="00EA7EC8" w:rsidRPr="00CE5912"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     </w:t>
            </w:r>
          </w:p>
        </w:tc>
        <w:tc>
          <w:tcPr>
            <w:tcW w:w="1256" w:type="dxa"/>
            <w:tcBorders>
              <w:top w:val="single" w:sz="4" w:space="0" w:color="auto"/>
              <w:left w:val="nil"/>
              <w:bottom w:val="single" w:sz="4" w:space="0" w:color="auto"/>
              <w:right w:val="single" w:sz="4" w:space="0" w:color="auto"/>
            </w:tcBorders>
            <w:shd w:val="clear" w:color="auto" w:fill="auto"/>
            <w:noWrap/>
          </w:tcPr>
          <w:p w14:paraId="37B43944" w14:textId="77777777" w:rsidR="00EA7EC8" w:rsidRPr="00CE5912"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0.29   </w:t>
            </w:r>
          </w:p>
        </w:tc>
        <w:tc>
          <w:tcPr>
            <w:tcW w:w="1395" w:type="dxa"/>
            <w:tcBorders>
              <w:top w:val="single" w:sz="4" w:space="0" w:color="auto"/>
              <w:left w:val="nil"/>
              <w:bottom w:val="single" w:sz="4" w:space="0" w:color="auto"/>
              <w:right w:val="single" w:sz="4" w:space="0" w:color="auto"/>
            </w:tcBorders>
            <w:shd w:val="clear" w:color="auto" w:fill="auto"/>
            <w:noWrap/>
          </w:tcPr>
          <w:p w14:paraId="1805ABB0" w14:textId="77777777" w:rsidR="00EA7EC8" w:rsidRPr="00CE5912" w:rsidRDefault="00EA7EC8" w:rsidP="001A5C9B">
            <w:pPr>
              <w:spacing w:after="0" w:line="240" w:lineRule="auto"/>
              <w:jc w:val="right"/>
              <w:rPr>
                <w:rFonts w:ascii="Calibri" w:eastAsia="Times New Roman" w:hAnsi="Calibri" w:cs="Calibri"/>
                <w:b/>
                <w:color w:val="002060"/>
              </w:rPr>
            </w:pPr>
            <w:r w:rsidRPr="00A76E03">
              <w:rPr>
                <w:rFonts w:ascii="Calibri" w:eastAsia="Times New Roman" w:hAnsi="Calibri" w:cs="Calibri"/>
                <w:b/>
                <w:color w:val="002060"/>
              </w:rPr>
              <w:t xml:space="preserve"> 0.29   </w:t>
            </w:r>
          </w:p>
        </w:tc>
      </w:tr>
      <w:tr w:rsidR="00EA7EC8" w:rsidRPr="008528A1" w14:paraId="05B50C50" w14:textId="77777777" w:rsidTr="001A5C9B">
        <w:trPr>
          <w:trHeight w:val="295"/>
          <w:jc w:val="right"/>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6992F2FC" w14:textId="77777777" w:rsidR="00EA7EC8" w:rsidRPr="00CE5912" w:rsidRDefault="00EA7EC8" w:rsidP="001A5C9B">
            <w:pPr>
              <w:spacing w:after="0" w:line="240" w:lineRule="auto"/>
              <w:rPr>
                <w:rFonts w:ascii="Calibri" w:eastAsia="Times New Roman" w:hAnsi="Calibri" w:cs="Calibri"/>
                <w:b/>
                <w:bCs/>
                <w:color w:val="808080" w:themeColor="background1" w:themeShade="80"/>
              </w:rPr>
            </w:pPr>
          </w:p>
        </w:tc>
        <w:tc>
          <w:tcPr>
            <w:tcW w:w="1117" w:type="dxa"/>
            <w:tcBorders>
              <w:top w:val="nil"/>
              <w:left w:val="nil"/>
              <w:bottom w:val="single" w:sz="4" w:space="0" w:color="auto"/>
              <w:right w:val="single" w:sz="4" w:space="0" w:color="auto"/>
            </w:tcBorders>
            <w:shd w:val="clear" w:color="auto" w:fill="auto"/>
            <w:noWrap/>
            <w:vAlign w:val="center"/>
          </w:tcPr>
          <w:p w14:paraId="45808B95"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5" w:type="dxa"/>
            <w:tcBorders>
              <w:top w:val="nil"/>
              <w:left w:val="nil"/>
              <w:bottom w:val="single" w:sz="4" w:space="0" w:color="auto"/>
              <w:right w:val="single" w:sz="4" w:space="0" w:color="auto"/>
            </w:tcBorders>
            <w:shd w:val="clear" w:color="auto" w:fill="auto"/>
            <w:noWrap/>
            <w:vAlign w:val="center"/>
          </w:tcPr>
          <w:p w14:paraId="6F77AB64"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6" w:type="dxa"/>
            <w:tcBorders>
              <w:top w:val="nil"/>
              <w:left w:val="nil"/>
              <w:bottom w:val="single" w:sz="4" w:space="0" w:color="auto"/>
              <w:right w:val="single" w:sz="4" w:space="0" w:color="auto"/>
            </w:tcBorders>
            <w:shd w:val="clear" w:color="auto" w:fill="auto"/>
            <w:noWrap/>
            <w:vAlign w:val="center"/>
          </w:tcPr>
          <w:p w14:paraId="5CF71A7B"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256" w:type="dxa"/>
            <w:tcBorders>
              <w:top w:val="nil"/>
              <w:left w:val="nil"/>
              <w:bottom w:val="single" w:sz="4" w:space="0" w:color="auto"/>
              <w:right w:val="single" w:sz="4" w:space="0" w:color="auto"/>
            </w:tcBorders>
            <w:shd w:val="clear" w:color="auto" w:fill="auto"/>
            <w:noWrap/>
            <w:vAlign w:val="center"/>
          </w:tcPr>
          <w:p w14:paraId="0EBFC3F8"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c>
          <w:tcPr>
            <w:tcW w:w="1395" w:type="dxa"/>
            <w:tcBorders>
              <w:top w:val="nil"/>
              <w:left w:val="nil"/>
              <w:bottom w:val="single" w:sz="4" w:space="0" w:color="auto"/>
              <w:right w:val="single" w:sz="4" w:space="0" w:color="auto"/>
            </w:tcBorders>
            <w:shd w:val="clear" w:color="auto" w:fill="auto"/>
            <w:noWrap/>
            <w:vAlign w:val="center"/>
          </w:tcPr>
          <w:p w14:paraId="6DCDA80E"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p>
        </w:tc>
      </w:tr>
      <w:tr w:rsidR="00EA7EC8" w:rsidRPr="008528A1" w14:paraId="18015C50" w14:textId="77777777" w:rsidTr="001A5C9B">
        <w:trPr>
          <w:trHeight w:hRule="exact" w:val="340"/>
          <w:jc w:val="right"/>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0DA609D8" w14:textId="69B28580" w:rsidR="00EA7EC8" w:rsidRPr="00CE5912" w:rsidRDefault="00EA7EC8" w:rsidP="001A5C9B">
            <w:pPr>
              <w:spacing w:after="0" w:line="240" w:lineRule="auto"/>
              <w:rPr>
                <w:rFonts w:ascii="Calibri" w:eastAsia="Times New Roman" w:hAnsi="Calibri" w:cs="Calibri"/>
                <w:color w:val="808080" w:themeColor="background1" w:themeShade="80"/>
              </w:rPr>
            </w:pPr>
            <w:r>
              <w:rPr>
                <w:rFonts w:ascii="Calibri" w:eastAsia="Times New Roman" w:hAnsi="Calibri" w:cs="Calibri"/>
                <w:color w:val="808080" w:themeColor="background1" w:themeShade="80"/>
              </w:rPr>
              <w:t xml:space="preserve">Montenegro </w:t>
            </w:r>
            <w:r w:rsidR="001A3213" w:rsidRPr="008D1CD1">
              <w:rPr>
                <w:rFonts w:ascii="Calibri" w:eastAsia="Times New Roman" w:hAnsi="Calibri" w:cs="Calibri"/>
                <w:color w:val="808080" w:themeColor="background1" w:themeShade="80"/>
              </w:rPr>
              <w:t>-</w:t>
            </w:r>
            <w:r>
              <w:rPr>
                <w:rFonts w:ascii="Calibri" w:eastAsia="Times New Roman" w:hAnsi="Calibri" w:cs="Calibri"/>
                <w:color w:val="808080" w:themeColor="background1" w:themeShade="80"/>
              </w:rPr>
              <w:t xml:space="preserve"> Exploration </w:t>
            </w:r>
          </w:p>
        </w:tc>
        <w:tc>
          <w:tcPr>
            <w:tcW w:w="1117" w:type="dxa"/>
            <w:tcBorders>
              <w:top w:val="nil"/>
              <w:left w:val="nil"/>
              <w:bottom w:val="single" w:sz="4" w:space="0" w:color="auto"/>
              <w:right w:val="single" w:sz="4" w:space="0" w:color="auto"/>
            </w:tcBorders>
            <w:shd w:val="clear" w:color="auto" w:fill="auto"/>
            <w:noWrap/>
          </w:tcPr>
          <w:p w14:paraId="35D46076"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5" w:type="dxa"/>
            <w:tcBorders>
              <w:top w:val="nil"/>
              <w:left w:val="nil"/>
              <w:bottom w:val="single" w:sz="4" w:space="0" w:color="auto"/>
              <w:right w:val="single" w:sz="4" w:space="0" w:color="auto"/>
            </w:tcBorders>
            <w:shd w:val="clear" w:color="auto" w:fill="auto"/>
            <w:noWrap/>
          </w:tcPr>
          <w:p w14:paraId="2F85632A"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396" w:type="dxa"/>
            <w:tcBorders>
              <w:top w:val="nil"/>
              <w:left w:val="nil"/>
              <w:bottom w:val="single" w:sz="4" w:space="0" w:color="auto"/>
              <w:right w:val="single" w:sz="4" w:space="0" w:color="auto"/>
            </w:tcBorders>
            <w:shd w:val="clear" w:color="auto" w:fill="auto"/>
            <w:noWrap/>
          </w:tcPr>
          <w:p w14:paraId="2B3A02FF"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6" w:type="dxa"/>
            <w:tcBorders>
              <w:top w:val="nil"/>
              <w:left w:val="nil"/>
              <w:bottom w:val="single" w:sz="4" w:space="0" w:color="auto"/>
              <w:right w:val="single" w:sz="4" w:space="0" w:color="auto"/>
            </w:tcBorders>
            <w:shd w:val="clear" w:color="auto" w:fill="auto"/>
            <w:noWrap/>
          </w:tcPr>
          <w:p w14:paraId="6B91C813"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0.1</w:t>
            </w:r>
            <w:r>
              <w:rPr>
                <w:rFonts w:ascii="Calibri" w:eastAsia="Times New Roman" w:hAnsi="Calibri" w:cs="Calibri"/>
                <w:color w:val="808080" w:themeColor="background1" w:themeShade="80"/>
              </w:rPr>
              <w:t>2</w:t>
            </w:r>
            <w:r w:rsidRPr="00F949EE">
              <w:rPr>
                <w:rFonts w:ascii="Calibri" w:eastAsia="Times New Roman" w:hAnsi="Calibri" w:cs="Calibri"/>
                <w:color w:val="808080" w:themeColor="background1" w:themeShade="80"/>
              </w:rPr>
              <w:t xml:space="preserve">   </w:t>
            </w:r>
          </w:p>
        </w:tc>
        <w:tc>
          <w:tcPr>
            <w:tcW w:w="1395" w:type="dxa"/>
            <w:tcBorders>
              <w:top w:val="nil"/>
              <w:left w:val="nil"/>
              <w:bottom w:val="single" w:sz="4" w:space="0" w:color="auto"/>
              <w:right w:val="single" w:sz="4" w:space="0" w:color="auto"/>
            </w:tcBorders>
            <w:shd w:val="clear" w:color="auto" w:fill="auto"/>
            <w:noWrap/>
          </w:tcPr>
          <w:p w14:paraId="52B58021" w14:textId="77777777" w:rsidR="00EA7EC8" w:rsidRPr="00CE5912"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0.1</w:t>
            </w:r>
            <w:r>
              <w:rPr>
                <w:rFonts w:ascii="Calibri" w:eastAsia="Times New Roman" w:hAnsi="Calibri" w:cs="Calibri"/>
                <w:color w:val="808080" w:themeColor="background1" w:themeShade="80"/>
              </w:rPr>
              <w:t>2</w:t>
            </w:r>
            <w:r w:rsidRPr="00F949EE">
              <w:rPr>
                <w:rFonts w:ascii="Calibri" w:eastAsia="Times New Roman" w:hAnsi="Calibri" w:cs="Calibri"/>
                <w:color w:val="808080" w:themeColor="background1" w:themeShade="80"/>
              </w:rPr>
              <w:t xml:space="preserve">   </w:t>
            </w:r>
          </w:p>
        </w:tc>
      </w:tr>
      <w:tr w:rsidR="00EA7EC8" w:rsidRPr="008528A1" w14:paraId="17EA6CE2" w14:textId="77777777" w:rsidTr="001A5C9B">
        <w:trPr>
          <w:trHeight w:val="295"/>
          <w:jc w:val="right"/>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073F393D" w14:textId="77777777" w:rsidR="00EA7EC8" w:rsidRPr="00CE5912" w:rsidRDefault="00EA7EC8" w:rsidP="001A5C9B">
            <w:pPr>
              <w:spacing w:after="0" w:line="240" w:lineRule="auto"/>
              <w:rPr>
                <w:rFonts w:ascii="Calibri" w:eastAsia="Times New Roman" w:hAnsi="Calibri" w:cs="Calibri"/>
                <w:b/>
                <w:bCs/>
                <w:color w:val="002060"/>
              </w:rPr>
            </w:pPr>
            <w:r w:rsidRPr="00CE5912">
              <w:rPr>
                <w:rFonts w:ascii="Calibri" w:eastAsia="Times New Roman" w:hAnsi="Calibri" w:cs="Calibri"/>
                <w:b/>
                <w:bCs/>
                <w:color w:val="002060"/>
              </w:rPr>
              <w:t xml:space="preserve">MONTENEGRIN GOVERNMENT REPORT </w:t>
            </w:r>
          </w:p>
        </w:tc>
        <w:tc>
          <w:tcPr>
            <w:tcW w:w="1117" w:type="dxa"/>
            <w:tcBorders>
              <w:top w:val="nil"/>
              <w:left w:val="nil"/>
              <w:bottom w:val="single" w:sz="4" w:space="0" w:color="auto"/>
              <w:right w:val="single" w:sz="4" w:space="0" w:color="auto"/>
            </w:tcBorders>
            <w:shd w:val="clear" w:color="auto" w:fill="auto"/>
            <w:noWrap/>
          </w:tcPr>
          <w:p w14:paraId="1F839A46"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     </w:t>
            </w:r>
          </w:p>
        </w:tc>
        <w:tc>
          <w:tcPr>
            <w:tcW w:w="1255" w:type="dxa"/>
            <w:tcBorders>
              <w:top w:val="nil"/>
              <w:left w:val="nil"/>
              <w:bottom w:val="single" w:sz="4" w:space="0" w:color="auto"/>
              <w:right w:val="single" w:sz="4" w:space="0" w:color="auto"/>
            </w:tcBorders>
            <w:shd w:val="clear" w:color="auto" w:fill="auto"/>
            <w:noWrap/>
          </w:tcPr>
          <w:p w14:paraId="16C2435A"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     </w:t>
            </w:r>
          </w:p>
        </w:tc>
        <w:tc>
          <w:tcPr>
            <w:tcW w:w="1396" w:type="dxa"/>
            <w:tcBorders>
              <w:top w:val="nil"/>
              <w:left w:val="nil"/>
              <w:bottom w:val="single" w:sz="4" w:space="0" w:color="auto"/>
              <w:right w:val="single" w:sz="4" w:space="0" w:color="auto"/>
            </w:tcBorders>
            <w:shd w:val="clear" w:color="auto" w:fill="auto"/>
            <w:noWrap/>
          </w:tcPr>
          <w:p w14:paraId="359E97F5"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     </w:t>
            </w:r>
          </w:p>
        </w:tc>
        <w:tc>
          <w:tcPr>
            <w:tcW w:w="1256" w:type="dxa"/>
            <w:tcBorders>
              <w:top w:val="nil"/>
              <w:left w:val="nil"/>
              <w:bottom w:val="single" w:sz="4" w:space="0" w:color="auto"/>
              <w:right w:val="single" w:sz="4" w:space="0" w:color="auto"/>
            </w:tcBorders>
            <w:shd w:val="clear" w:color="auto" w:fill="auto"/>
            <w:noWrap/>
          </w:tcPr>
          <w:p w14:paraId="203857B1"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0.12   </w:t>
            </w:r>
          </w:p>
        </w:tc>
        <w:tc>
          <w:tcPr>
            <w:tcW w:w="1395" w:type="dxa"/>
            <w:tcBorders>
              <w:top w:val="nil"/>
              <w:left w:val="nil"/>
              <w:bottom w:val="single" w:sz="4" w:space="0" w:color="auto"/>
              <w:right w:val="single" w:sz="4" w:space="0" w:color="auto"/>
            </w:tcBorders>
            <w:shd w:val="clear" w:color="auto" w:fill="auto"/>
            <w:noWrap/>
          </w:tcPr>
          <w:p w14:paraId="2C88D1EE"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0.12   </w:t>
            </w:r>
          </w:p>
        </w:tc>
      </w:tr>
      <w:tr w:rsidR="00EA7EC8" w:rsidRPr="00CE5912" w14:paraId="58084121" w14:textId="77777777" w:rsidTr="001A5C9B">
        <w:trPr>
          <w:trHeight w:val="315"/>
          <w:jc w:val="right"/>
        </w:trPr>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FD047" w14:textId="77777777" w:rsidR="00EA7EC8" w:rsidRPr="00CE5912" w:rsidRDefault="00EA7EC8" w:rsidP="001A5C9B">
            <w:pPr>
              <w:spacing w:after="0" w:line="240" w:lineRule="auto"/>
              <w:rPr>
                <w:rFonts w:ascii="Calibri" w:eastAsia="Times New Roman" w:hAnsi="Calibri" w:cs="Calibri"/>
                <w:b/>
                <w:bCs/>
                <w:color w:val="00206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5F3C8"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61E24"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F26C9"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FF9D0"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F5FBA" w14:textId="77777777" w:rsidR="00EA7EC8" w:rsidRPr="00CE5912" w:rsidRDefault="00EA7EC8" w:rsidP="001A5C9B">
            <w:pPr>
              <w:spacing w:after="0" w:line="240" w:lineRule="auto"/>
              <w:jc w:val="right"/>
              <w:rPr>
                <w:rFonts w:ascii="Calibri" w:eastAsia="Times New Roman" w:hAnsi="Calibri" w:cs="Calibri"/>
                <w:b/>
                <w:bCs/>
                <w:color w:val="002060"/>
              </w:rPr>
            </w:pPr>
          </w:p>
        </w:tc>
      </w:tr>
      <w:tr w:rsidR="00EA7EC8" w:rsidRPr="00CE5912" w14:paraId="1B9D172D" w14:textId="77777777" w:rsidTr="001A5C9B">
        <w:trPr>
          <w:trHeight w:val="315"/>
          <w:jc w:val="right"/>
        </w:trPr>
        <w:tc>
          <w:tcPr>
            <w:tcW w:w="2942" w:type="dxa"/>
            <w:tcBorders>
              <w:top w:val="single" w:sz="4" w:space="0" w:color="auto"/>
              <w:left w:val="single" w:sz="4" w:space="0" w:color="auto"/>
              <w:bottom w:val="single" w:sz="4" w:space="0" w:color="auto"/>
              <w:right w:val="single" w:sz="4" w:space="0" w:color="auto"/>
            </w:tcBorders>
            <w:shd w:val="clear" w:color="auto" w:fill="auto"/>
            <w:noWrap/>
          </w:tcPr>
          <w:p w14:paraId="4FB771AB" w14:textId="77777777" w:rsidR="00EA7EC8" w:rsidRPr="00CE5912" w:rsidRDefault="00EA7EC8" w:rsidP="001A5C9B">
            <w:pPr>
              <w:spacing w:after="0" w:line="240" w:lineRule="auto"/>
              <w:rPr>
                <w:rFonts w:ascii="Calibri" w:eastAsia="Times New Roman" w:hAnsi="Calibri" w:cs="Calibri"/>
                <w:b/>
                <w:bCs/>
                <w:color w:val="002060"/>
              </w:rPr>
            </w:pPr>
            <w:r w:rsidRPr="00F949EE">
              <w:rPr>
                <w:rFonts w:ascii="Calibri" w:eastAsia="Times New Roman" w:hAnsi="Calibri" w:cs="Calibri"/>
                <w:color w:val="808080" w:themeColor="background1" w:themeShade="80"/>
              </w:rPr>
              <w:t xml:space="preserve">UK - Tors </w:t>
            </w:r>
            <w:proofErr w:type="spellStart"/>
            <w:r w:rsidRPr="00F949EE">
              <w:rPr>
                <w:rFonts w:ascii="Calibri" w:eastAsia="Times New Roman" w:hAnsi="Calibri" w:cs="Calibri"/>
                <w:color w:val="808080" w:themeColor="background1" w:themeShade="80"/>
              </w:rPr>
              <w:t>Licence</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4B908F6D"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3DB2E6E"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396" w:type="dxa"/>
            <w:tcBorders>
              <w:top w:val="single" w:sz="4" w:space="0" w:color="auto"/>
              <w:left w:val="single" w:sz="4" w:space="0" w:color="auto"/>
              <w:bottom w:val="single" w:sz="4" w:space="0" w:color="auto"/>
              <w:right w:val="single" w:sz="4" w:space="0" w:color="auto"/>
            </w:tcBorders>
            <w:shd w:val="clear" w:color="auto" w:fill="auto"/>
            <w:noWrap/>
          </w:tcPr>
          <w:p w14:paraId="0A90DFAC"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2E17551"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0.73   </w:t>
            </w:r>
          </w:p>
        </w:tc>
        <w:tc>
          <w:tcPr>
            <w:tcW w:w="1395" w:type="dxa"/>
            <w:tcBorders>
              <w:top w:val="single" w:sz="4" w:space="0" w:color="auto"/>
              <w:left w:val="single" w:sz="4" w:space="0" w:color="auto"/>
              <w:bottom w:val="single" w:sz="4" w:space="0" w:color="auto"/>
              <w:right w:val="single" w:sz="4" w:space="0" w:color="auto"/>
            </w:tcBorders>
            <w:shd w:val="clear" w:color="auto" w:fill="auto"/>
            <w:noWrap/>
          </w:tcPr>
          <w:p w14:paraId="4E5E883B"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0.73   </w:t>
            </w:r>
          </w:p>
        </w:tc>
      </w:tr>
      <w:tr w:rsidR="00EA7EC8" w:rsidRPr="00CE5912" w14:paraId="4289DEAC" w14:textId="77777777" w:rsidTr="001A5C9B">
        <w:trPr>
          <w:trHeight w:val="315"/>
          <w:jc w:val="right"/>
        </w:trPr>
        <w:tc>
          <w:tcPr>
            <w:tcW w:w="2942" w:type="dxa"/>
            <w:tcBorders>
              <w:top w:val="single" w:sz="4" w:space="0" w:color="auto"/>
              <w:left w:val="single" w:sz="4" w:space="0" w:color="auto"/>
              <w:bottom w:val="single" w:sz="4" w:space="0" w:color="auto"/>
              <w:right w:val="single" w:sz="4" w:space="0" w:color="auto"/>
            </w:tcBorders>
            <w:shd w:val="clear" w:color="auto" w:fill="auto"/>
            <w:noWrap/>
          </w:tcPr>
          <w:p w14:paraId="748EE7B8" w14:textId="77777777" w:rsidR="00EA7EC8" w:rsidRPr="00F949EE" w:rsidRDefault="00EA7EC8" w:rsidP="001A5C9B">
            <w:pPr>
              <w:spacing w:after="0" w:line="240" w:lineRule="auto"/>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UK - Wenlock </w:t>
            </w:r>
            <w:proofErr w:type="spellStart"/>
            <w:r w:rsidRPr="00F949EE">
              <w:rPr>
                <w:rFonts w:ascii="Calibri" w:eastAsia="Times New Roman" w:hAnsi="Calibri" w:cs="Calibri"/>
                <w:color w:val="808080" w:themeColor="background1" w:themeShade="80"/>
              </w:rPr>
              <w:t>Licence</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295C7DE6"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C56A45D"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396" w:type="dxa"/>
            <w:tcBorders>
              <w:top w:val="single" w:sz="4" w:space="0" w:color="auto"/>
              <w:left w:val="single" w:sz="4" w:space="0" w:color="auto"/>
              <w:bottom w:val="single" w:sz="4" w:space="0" w:color="auto"/>
              <w:right w:val="single" w:sz="4" w:space="0" w:color="auto"/>
            </w:tcBorders>
            <w:shd w:val="clear" w:color="auto" w:fill="auto"/>
            <w:noWrap/>
          </w:tcPr>
          <w:p w14:paraId="02EC6C64"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4306DB52"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0.20   </w:t>
            </w:r>
          </w:p>
        </w:tc>
        <w:tc>
          <w:tcPr>
            <w:tcW w:w="1395" w:type="dxa"/>
            <w:tcBorders>
              <w:top w:val="single" w:sz="4" w:space="0" w:color="auto"/>
              <w:left w:val="single" w:sz="4" w:space="0" w:color="auto"/>
              <w:bottom w:val="single" w:sz="4" w:space="0" w:color="auto"/>
              <w:right w:val="single" w:sz="4" w:space="0" w:color="auto"/>
            </w:tcBorders>
            <w:shd w:val="clear" w:color="auto" w:fill="auto"/>
            <w:noWrap/>
          </w:tcPr>
          <w:p w14:paraId="7918ABF5"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0.20   </w:t>
            </w:r>
          </w:p>
        </w:tc>
      </w:tr>
      <w:tr w:rsidR="00EA7EC8" w:rsidRPr="00CE5912" w14:paraId="11C46F11" w14:textId="77777777" w:rsidTr="001A5C9B">
        <w:trPr>
          <w:trHeight w:val="315"/>
          <w:jc w:val="right"/>
        </w:trPr>
        <w:tc>
          <w:tcPr>
            <w:tcW w:w="2942" w:type="dxa"/>
            <w:tcBorders>
              <w:top w:val="single" w:sz="4" w:space="0" w:color="auto"/>
              <w:left w:val="single" w:sz="4" w:space="0" w:color="auto"/>
              <w:bottom w:val="single" w:sz="4" w:space="0" w:color="auto"/>
              <w:right w:val="single" w:sz="4" w:space="0" w:color="auto"/>
            </w:tcBorders>
            <w:shd w:val="clear" w:color="auto" w:fill="auto"/>
            <w:noWrap/>
          </w:tcPr>
          <w:p w14:paraId="3E305250" w14:textId="77E8C0AB" w:rsidR="00EA7EC8" w:rsidRPr="00F949EE" w:rsidRDefault="00EA7EC8" w:rsidP="001A5C9B">
            <w:pPr>
              <w:spacing w:after="0" w:line="240" w:lineRule="auto"/>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UK </w:t>
            </w:r>
            <w:r w:rsidR="001A3213" w:rsidRPr="008D1CD1">
              <w:rPr>
                <w:rFonts w:ascii="Calibri" w:eastAsia="Times New Roman" w:hAnsi="Calibri" w:cs="Calibri"/>
                <w:color w:val="808080" w:themeColor="background1" w:themeShade="80"/>
              </w:rPr>
              <w:t>-</w:t>
            </w:r>
            <w:r w:rsidRPr="00F949EE">
              <w:rPr>
                <w:rFonts w:ascii="Calibri" w:eastAsia="Times New Roman" w:hAnsi="Calibri" w:cs="Calibri"/>
                <w:color w:val="808080" w:themeColor="background1" w:themeShade="80"/>
              </w:rPr>
              <w:t xml:space="preserve"> </w:t>
            </w:r>
            <w:r w:rsidR="00D23F02">
              <w:rPr>
                <w:rFonts w:ascii="Calibri" w:eastAsia="Times New Roman" w:hAnsi="Calibri" w:cs="Calibri"/>
                <w:color w:val="808080" w:themeColor="background1" w:themeShade="80"/>
              </w:rPr>
              <w:t xml:space="preserve">Appraisal </w:t>
            </w:r>
            <w:r>
              <w:rPr>
                <w:rFonts w:ascii="Calibri" w:eastAsia="Times New Roman" w:hAnsi="Calibri" w:cs="Calibri"/>
                <w:color w:val="808080" w:themeColor="background1" w:themeShade="80"/>
              </w:rPr>
              <w:t>assets</w:t>
            </w:r>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5ED29B21"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5096398C"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396" w:type="dxa"/>
            <w:tcBorders>
              <w:top w:val="single" w:sz="4" w:space="0" w:color="auto"/>
              <w:left w:val="single" w:sz="4" w:space="0" w:color="auto"/>
              <w:bottom w:val="single" w:sz="4" w:space="0" w:color="auto"/>
              <w:right w:val="single" w:sz="4" w:space="0" w:color="auto"/>
            </w:tcBorders>
            <w:shd w:val="clear" w:color="auto" w:fill="auto"/>
            <w:noWrap/>
          </w:tcPr>
          <w:p w14:paraId="2E2A93AA"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     </w:t>
            </w:r>
          </w:p>
        </w:tc>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326FB880"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w:t>
            </w:r>
            <w:r>
              <w:rPr>
                <w:rFonts w:ascii="Calibri" w:eastAsia="Times New Roman" w:hAnsi="Calibri" w:cs="Calibri"/>
                <w:color w:val="808080" w:themeColor="background1" w:themeShade="80"/>
              </w:rPr>
              <w:t>21</w:t>
            </w:r>
            <w:r w:rsidRPr="00F949EE">
              <w:rPr>
                <w:rFonts w:ascii="Calibri" w:eastAsia="Times New Roman" w:hAnsi="Calibri" w:cs="Calibri"/>
                <w:color w:val="808080" w:themeColor="background1" w:themeShade="80"/>
              </w:rPr>
              <w:t xml:space="preserve">   </w:t>
            </w:r>
          </w:p>
        </w:tc>
        <w:tc>
          <w:tcPr>
            <w:tcW w:w="1395" w:type="dxa"/>
            <w:tcBorders>
              <w:top w:val="single" w:sz="4" w:space="0" w:color="auto"/>
              <w:left w:val="single" w:sz="4" w:space="0" w:color="auto"/>
              <w:bottom w:val="single" w:sz="4" w:space="0" w:color="auto"/>
              <w:right w:val="single" w:sz="4" w:space="0" w:color="auto"/>
            </w:tcBorders>
            <w:shd w:val="clear" w:color="auto" w:fill="auto"/>
            <w:noWrap/>
          </w:tcPr>
          <w:p w14:paraId="0305D4E1" w14:textId="77777777" w:rsidR="00EA7EC8" w:rsidRPr="00F949EE" w:rsidRDefault="00EA7EC8" w:rsidP="001A5C9B">
            <w:pPr>
              <w:spacing w:after="0" w:line="240" w:lineRule="auto"/>
              <w:jc w:val="right"/>
              <w:rPr>
                <w:rFonts w:ascii="Calibri" w:eastAsia="Times New Roman" w:hAnsi="Calibri" w:cs="Calibri"/>
                <w:color w:val="808080" w:themeColor="background1" w:themeShade="80"/>
              </w:rPr>
            </w:pPr>
            <w:r w:rsidRPr="00F949EE">
              <w:rPr>
                <w:rFonts w:ascii="Calibri" w:eastAsia="Times New Roman" w:hAnsi="Calibri" w:cs="Calibri"/>
                <w:color w:val="808080" w:themeColor="background1" w:themeShade="80"/>
              </w:rPr>
              <w:t xml:space="preserve"> 0.</w:t>
            </w:r>
            <w:r>
              <w:rPr>
                <w:rFonts w:ascii="Calibri" w:eastAsia="Times New Roman" w:hAnsi="Calibri" w:cs="Calibri"/>
                <w:color w:val="808080" w:themeColor="background1" w:themeShade="80"/>
              </w:rPr>
              <w:t>21</w:t>
            </w:r>
            <w:r w:rsidRPr="00F949EE">
              <w:rPr>
                <w:rFonts w:ascii="Calibri" w:eastAsia="Times New Roman" w:hAnsi="Calibri" w:cs="Calibri"/>
                <w:color w:val="808080" w:themeColor="background1" w:themeShade="80"/>
              </w:rPr>
              <w:t xml:space="preserve">   </w:t>
            </w:r>
          </w:p>
        </w:tc>
      </w:tr>
      <w:tr w:rsidR="00EA7EC8" w:rsidRPr="00CE5912" w14:paraId="17AE788E" w14:textId="77777777" w:rsidTr="001A5C9B">
        <w:trPr>
          <w:trHeight w:val="315"/>
          <w:jc w:val="right"/>
        </w:trPr>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5A2EA" w14:textId="77777777" w:rsidR="00EA7EC8" w:rsidRPr="00CE5912" w:rsidRDefault="00EA7EC8" w:rsidP="001A5C9B">
            <w:pPr>
              <w:spacing w:after="0" w:line="240" w:lineRule="auto"/>
              <w:rPr>
                <w:rFonts w:ascii="Calibri" w:eastAsia="Times New Roman" w:hAnsi="Calibri" w:cs="Calibri"/>
                <w:b/>
                <w:bCs/>
                <w:color w:val="002060"/>
              </w:rPr>
            </w:pPr>
            <w:r w:rsidRPr="00F949EE">
              <w:rPr>
                <w:rFonts w:ascii="Calibri" w:eastAsia="Times New Roman" w:hAnsi="Calibri" w:cs="Calibri"/>
                <w:b/>
                <w:bCs/>
                <w:color w:val="002060"/>
              </w:rPr>
              <w:t>UK GOVERNMENT REPORT</w:t>
            </w:r>
          </w:p>
        </w:tc>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7FA7BD47"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     </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1153790"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     </w:t>
            </w:r>
          </w:p>
        </w:tc>
        <w:tc>
          <w:tcPr>
            <w:tcW w:w="1396" w:type="dxa"/>
            <w:tcBorders>
              <w:top w:val="single" w:sz="4" w:space="0" w:color="auto"/>
              <w:left w:val="single" w:sz="4" w:space="0" w:color="auto"/>
              <w:bottom w:val="single" w:sz="4" w:space="0" w:color="auto"/>
              <w:right w:val="single" w:sz="4" w:space="0" w:color="auto"/>
            </w:tcBorders>
            <w:shd w:val="clear" w:color="auto" w:fill="auto"/>
            <w:noWrap/>
          </w:tcPr>
          <w:p w14:paraId="06018960"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     </w:t>
            </w:r>
          </w:p>
        </w:tc>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03FFD73C"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1.14   </w:t>
            </w:r>
          </w:p>
        </w:tc>
        <w:tc>
          <w:tcPr>
            <w:tcW w:w="1395" w:type="dxa"/>
            <w:tcBorders>
              <w:top w:val="single" w:sz="4" w:space="0" w:color="auto"/>
              <w:left w:val="single" w:sz="4" w:space="0" w:color="auto"/>
              <w:bottom w:val="single" w:sz="4" w:space="0" w:color="auto"/>
              <w:right w:val="single" w:sz="4" w:space="0" w:color="auto"/>
            </w:tcBorders>
            <w:shd w:val="clear" w:color="auto" w:fill="auto"/>
            <w:noWrap/>
          </w:tcPr>
          <w:p w14:paraId="08F0C47C"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1.14   </w:t>
            </w:r>
          </w:p>
        </w:tc>
      </w:tr>
      <w:tr w:rsidR="00EA7EC8" w:rsidRPr="00CE5912" w14:paraId="55BB41AD" w14:textId="77777777" w:rsidTr="001A5C9B">
        <w:trPr>
          <w:trHeight w:val="315"/>
          <w:jc w:val="right"/>
        </w:trPr>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39935" w14:textId="77777777" w:rsidR="00EA7EC8" w:rsidRPr="00CE5912" w:rsidRDefault="00EA7EC8" w:rsidP="001A5C9B">
            <w:pPr>
              <w:spacing w:after="0" w:line="240" w:lineRule="auto"/>
              <w:rPr>
                <w:rFonts w:ascii="Calibri" w:eastAsia="Times New Roman" w:hAnsi="Calibri" w:cs="Calibri"/>
                <w:b/>
                <w:bCs/>
                <w:color w:val="002060"/>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953E0"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3BF78"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54B9E"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2AAE4" w14:textId="77777777" w:rsidR="00EA7EC8" w:rsidRPr="00CE5912" w:rsidRDefault="00EA7EC8" w:rsidP="001A5C9B">
            <w:pPr>
              <w:spacing w:after="0" w:line="240" w:lineRule="auto"/>
              <w:jc w:val="right"/>
              <w:rPr>
                <w:rFonts w:ascii="Calibri" w:eastAsia="Times New Roman" w:hAnsi="Calibri" w:cs="Calibri"/>
                <w:b/>
                <w:bCs/>
                <w:color w:val="002060"/>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2B30A" w14:textId="77777777" w:rsidR="00EA7EC8" w:rsidRPr="00CE5912" w:rsidRDefault="00EA7EC8" w:rsidP="001A5C9B">
            <w:pPr>
              <w:spacing w:after="0" w:line="240" w:lineRule="auto"/>
              <w:jc w:val="right"/>
              <w:rPr>
                <w:rFonts w:ascii="Calibri" w:eastAsia="Times New Roman" w:hAnsi="Calibri" w:cs="Calibri"/>
                <w:b/>
                <w:bCs/>
                <w:color w:val="002060"/>
              </w:rPr>
            </w:pPr>
          </w:p>
        </w:tc>
      </w:tr>
      <w:tr w:rsidR="00EA7EC8" w:rsidRPr="00CE5912" w14:paraId="5069DA66" w14:textId="77777777" w:rsidTr="001A5C9B">
        <w:trPr>
          <w:trHeight w:val="315"/>
          <w:jc w:val="right"/>
        </w:trPr>
        <w:tc>
          <w:tcPr>
            <w:tcW w:w="2942" w:type="dxa"/>
            <w:tcBorders>
              <w:top w:val="single" w:sz="4" w:space="0" w:color="auto"/>
              <w:left w:val="single" w:sz="4" w:space="0" w:color="auto"/>
              <w:bottom w:val="double" w:sz="4" w:space="0" w:color="auto"/>
              <w:right w:val="single" w:sz="4" w:space="0" w:color="auto"/>
            </w:tcBorders>
            <w:shd w:val="clear" w:color="auto" w:fill="auto"/>
            <w:noWrap/>
            <w:vAlign w:val="bottom"/>
          </w:tcPr>
          <w:p w14:paraId="0BD368C9" w14:textId="45D02217" w:rsidR="00EA7EC8" w:rsidRPr="00CE5912" w:rsidRDefault="00EA7EC8" w:rsidP="001A5C9B">
            <w:pPr>
              <w:spacing w:after="0" w:line="240" w:lineRule="auto"/>
              <w:rPr>
                <w:rFonts w:ascii="Calibri" w:eastAsia="Times New Roman" w:hAnsi="Calibri" w:cs="Calibri"/>
                <w:b/>
                <w:bCs/>
                <w:color w:val="002060"/>
              </w:rPr>
            </w:pPr>
            <w:r w:rsidRPr="00CE5912">
              <w:rPr>
                <w:rFonts w:ascii="Calibri" w:eastAsia="Times New Roman" w:hAnsi="Calibri" w:cs="Calibri"/>
                <w:b/>
                <w:bCs/>
                <w:color w:val="002060"/>
              </w:rPr>
              <w:t xml:space="preserve">TOTAL </w:t>
            </w:r>
          </w:p>
        </w:tc>
        <w:tc>
          <w:tcPr>
            <w:tcW w:w="1117" w:type="dxa"/>
            <w:tcBorders>
              <w:top w:val="single" w:sz="4" w:space="0" w:color="auto"/>
              <w:left w:val="single" w:sz="4" w:space="0" w:color="auto"/>
              <w:bottom w:val="double" w:sz="4" w:space="0" w:color="auto"/>
              <w:right w:val="single" w:sz="4" w:space="0" w:color="auto"/>
            </w:tcBorders>
            <w:shd w:val="clear" w:color="auto" w:fill="auto"/>
            <w:noWrap/>
          </w:tcPr>
          <w:p w14:paraId="48679FD1"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58.19   </w:t>
            </w:r>
          </w:p>
        </w:tc>
        <w:tc>
          <w:tcPr>
            <w:tcW w:w="1255" w:type="dxa"/>
            <w:tcBorders>
              <w:top w:val="single" w:sz="4" w:space="0" w:color="auto"/>
              <w:left w:val="single" w:sz="4" w:space="0" w:color="auto"/>
              <w:bottom w:val="double" w:sz="4" w:space="0" w:color="auto"/>
              <w:right w:val="single" w:sz="4" w:space="0" w:color="auto"/>
            </w:tcBorders>
            <w:shd w:val="clear" w:color="auto" w:fill="auto"/>
            <w:noWrap/>
          </w:tcPr>
          <w:p w14:paraId="4A6AE2A0"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16.17   </w:t>
            </w:r>
          </w:p>
        </w:tc>
        <w:tc>
          <w:tcPr>
            <w:tcW w:w="1396" w:type="dxa"/>
            <w:tcBorders>
              <w:top w:val="single" w:sz="4" w:space="0" w:color="auto"/>
              <w:left w:val="single" w:sz="4" w:space="0" w:color="auto"/>
              <w:bottom w:val="double" w:sz="4" w:space="0" w:color="auto"/>
              <w:right w:val="single" w:sz="4" w:space="0" w:color="auto"/>
            </w:tcBorders>
            <w:shd w:val="clear" w:color="auto" w:fill="auto"/>
            <w:noWrap/>
          </w:tcPr>
          <w:p w14:paraId="0184FBD4" w14:textId="77777777"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2.54   </w:t>
            </w:r>
          </w:p>
        </w:tc>
        <w:tc>
          <w:tcPr>
            <w:tcW w:w="1256" w:type="dxa"/>
            <w:tcBorders>
              <w:top w:val="single" w:sz="4" w:space="0" w:color="auto"/>
              <w:left w:val="single" w:sz="4" w:space="0" w:color="auto"/>
              <w:bottom w:val="double" w:sz="4" w:space="0" w:color="auto"/>
              <w:right w:val="single" w:sz="4" w:space="0" w:color="auto"/>
            </w:tcBorders>
            <w:shd w:val="clear" w:color="auto" w:fill="auto"/>
            <w:noWrap/>
          </w:tcPr>
          <w:p w14:paraId="65BDB67A" w14:textId="339BD252"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w:t>
            </w:r>
            <w:r w:rsidR="00C336BF">
              <w:rPr>
                <w:rFonts w:ascii="Calibri" w:eastAsia="Times New Roman" w:hAnsi="Calibri" w:cs="Calibri"/>
                <w:b/>
                <w:color w:val="002060"/>
              </w:rPr>
              <w:t>7.25</w:t>
            </w:r>
            <w:r w:rsidRPr="00F949EE">
              <w:rPr>
                <w:rFonts w:ascii="Calibri" w:eastAsia="Times New Roman" w:hAnsi="Calibri" w:cs="Calibri"/>
                <w:b/>
                <w:color w:val="002060"/>
              </w:rPr>
              <w:t xml:space="preserve">   </w:t>
            </w:r>
          </w:p>
        </w:tc>
        <w:tc>
          <w:tcPr>
            <w:tcW w:w="1395" w:type="dxa"/>
            <w:tcBorders>
              <w:top w:val="single" w:sz="4" w:space="0" w:color="auto"/>
              <w:left w:val="single" w:sz="4" w:space="0" w:color="auto"/>
              <w:bottom w:val="double" w:sz="4" w:space="0" w:color="auto"/>
              <w:right w:val="single" w:sz="4" w:space="0" w:color="auto"/>
            </w:tcBorders>
            <w:shd w:val="clear" w:color="auto" w:fill="auto"/>
            <w:noWrap/>
          </w:tcPr>
          <w:p w14:paraId="3A0E4495" w14:textId="6C3C46C3" w:rsidR="00EA7EC8" w:rsidRPr="00F949EE" w:rsidRDefault="00EA7EC8" w:rsidP="001A5C9B">
            <w:pPr>
              <w:spacing w:after="0" w:line="240" w:lineRule="auto"/>
              <w:jc w:val="right"/>
              <w:rPr>
                <w:rFonts w:ascii="Calibri" w:eastAsia="Times New Roman" w:hAnsi="Calibri" w:cs="Calibri"/>
                <w:b/>
                <w:color w:val="002060"/>
              </w:rPr>
            </w:pPr>
            <w:r w:rsidRPr="00F949EE">
              <w:rPr>
                <w:rFonts w:ascii="Calibri" w:eastAsia="Times New Roman" w:hAnsi="Calibri" w:cs="Calibri"/>
                <w:b/>
                <w:color w:val="002060"/>
              </w:rPr>
              <w:t xml:space="preserve"> </w:t>
            </w:r>
            <w:r w:rsidR="00C336BF">
              <w:rPr>
                <w:rFonts w:ascii="Calibri" w:eastAsia="Times New Roman" w:hAnsi="Calibri" w:cs="Calibri"/>
                <w:b/>
                <w:color w:val="002060"/>
              </w:rPr>
              <w:t>84.15</w:t>
            </w:r>
            <w:r w:rsidRPr="00F949EE">
              <w:rPr>
                <w:rFonts w:ascii="Calibri" w:eastAsia="Times New Roman" w:hAnsi="Calibri" w:cs="Calibri"/>
                <w:b/>
                <w:color w:val="002060"/>
              </w:rPr>
              <w:t xml:space="preserve">   </w:t>
            </w:r>
          </w:p>
        </w:tc>
      </w:tr>
    </w:tbl>
    <w:p w14:paraId="06BB1CFD" w14:textId="213C1156" w:rsidR="008750B9" w:rsidRDefault="008750B9" w:rsidP="008750B9"/>
    <w:p w14:paraId="1871CB10" w14:textId="77777777" w:rsidR="00CC6789" w:rsidRDefault="00CC6789" w:rsidP="008750B9"/>
    <w:p w14:paraId="29771361" w14:textId="77777777" w:rsidR="00CC6789" w:rsidRPr="00AE2D93" w:rsidRDefault="00CC6789" w:rsidP="00CC6789">
      <w:pPr>
        <w:spacing w:after="0"/>
        <w:jc w:val="both"/>
        <w:rPr>
          <w:b/>
          <w:bCs/>
          <w:u w:val="single"/>
        </w:rPr>
      </w:pPr>
      <w:r w:rsidRPr="00AE2D93">
        <w:rPr>
          <w:b/>
          <w:bCs/>
          <w:u w:val="single"/>
        </w:rPr>
        <w:t>Enquiries</w:t>
      </w:r>
    </w:p>
    <w:p w14:paraId="582F450E" w14:textId="77777777" w:rsidR="00CC6789" w:rsidRDefault="00CC6789" w:rsidP="00CC6789">
      <w:pPr>
        <w:spacing w:after="0"/>
        <w:jc w:val="both"/>
        <w:rPr>
          <w:b/>
          <w:bCs/>
        </w:rPr>
      </w:pPr>
    </w:p>
    <w:p w14:paraId="28791B9B" w14:textId="77777777" w:rsidR="00CC6789" w:rsidRDefault="00CC6789" w:rsidP="00CC6789">
      <w:pPr>
        <w:spacing w:after="0"/>
        <w:jc w:val="both"/>
        <w:rPr>
          <w:b/>
          <w:bCs/>
        </w:rPr>
      </w:pPr>
      <w:r>
        <w:rPr>
          <w:b/>
          <w:bCs/>
        </w:rPr>
        <w:t>Investors, Analysts and Media</w:t>
      </w:r>
    </w:p>
    <w:p w14:paraId="4924C3E7" w14:textId="77777777" w:rsidR="00CC6789" w:rsidRPr="00AE2D93" w:rsidRDefault="00CC6789" w:rsidP="00CC6789">
      <w:pPr>
        <w:spacing w:after="0"/>
        <w:jc w:val="both"/>
      </w:pPr>
      <w:r>
        <w:t>Kate Sloan, Head of IR, ECM and Communications</w:t>
      </w:r>
      <w:r>
        <w:tab/>
        <w:t xml:space="preserve">             </w:t>
      </w:r>
      <w:r>
        <w:tab/>
      </w:r>
      <w:r>
        <w:tab/>
        <w:t>+44 (0) 7917 608 645</w:t>
      </w:r>
    </w:p>
    <w:p w14:paraId="227C5068" w14:textId="77777777" w:rsidR="00CC6789" w:rsidRDefault="00CC6789" w:rsidP="00CC6789">
      <w:pPr>
        <w:spacing w:after="0"/>
        <w:jc w:val="both"/>
        <w:rPr>
          <w:rFonts w:ascii="Calibri" w:eastAsia="Calibri" w:hAnsi="Calibri" w:cs="Times New Roman"/>
        </w:rPr>
      </w:pPr>
    </w:p>
    <w:p w14:paraId="1625774E" w14:textId="77777777" w:rsidR="00CC6789" w:rsidRPr="008B4956" w:rsidRDefault="00CC6789" w:rsidP="00CC6789">
      <w:pPr>
        <w:pStyle w:val="bg"/>
        <w:spacing w:before="0" w:beforeAutospacing="0" w:after="0" w:afterAutospacing="0"/>
        <w:jc w:val="both"/>
        <w:textAlignment w:val="baseline"/>
        <w:rPr>
          <w:rFonts w:ascii="Calibri" w:hAnsi="Calibri" w:cs="Calibri"/>
          <w:b/>
          <w:bCs/>
          <w:sz w:val="22"/>
          <w:szCs w:val="22"/>
        </w:rPr>
      </w:pPr>
      <w:r w:rsidRPr="008B4956">
        <w:rPr>
          <w:rFonts w:ascii="Calibri" w:hAnsi="Calibri" w:cs="Calibri"/>
          <w:b/>
          <w:bCs/>
          <w:sz w:val="22"/>
          <w:szCs w:val="22"/>
        </w:rPr>
        <w:t>About Energean plc</w:t>
      </w:r>
    </w:p>
    <w:p w14:paraId="365EB6CA" w14:textId="77777777" w:rsidR="00CC6789" w:rsidRPr="008B4956" w:rsidRDefault="00CC6789" w:rsidP="00CC6789">
      <w:pPr>
        <w:pStyle w:val="bg"/>
        <w:spacing w:before="0" w:beforeAutospacing="0" w:after="0" w:afterAutospacing="0"/>
        <w:jc w:val="both"/>
        <w:textAlignment w:val="baseline"/>
        <w:rPr>
          <w:rFonts w:ascii="Calibri" w:hAnsi="Calibri" w:cs="Calibri"/>
          <w:b/>
          <w:bCs/>
          <w:sz w:val="22"/>
          <w:szCs w:val="22"/>
        </w:rPr>
      </w:pPr>
    </w:p>
    <w:p w14:paraId="6A9739D9" w14:textId="77777777" w:rsidR="00CC6789" w:rsidRDefault="00CC6789" w:rsidP="00CC6789">
      <w:pPr>
        <w:pStyle w:val="fu"/>
        <w:spacing w:before="0" w:beforeAutospacing="0" w:after="0" w:afterAutospacing="0" w:line="276" w:lineRule="auto"/>
        <w:jc w:val="both"/>
        <w:textAlignment w:val="baseline"/>
        <w:rPr>
          <w:rFonts w:ascii="Calibri" w:eastAsia="Times New Roman" w:hAnsi="Calibri" w:cs="Calibri"/>
          <w:color w:val="000000"/>
          <w:sz w:val="22"/>
          <w:szCs w:val="22"/>
          <w:lang w:val="en-GB" w:eastAsia="en-GB" w:bidi="ar-SA"/>
        </w:rPr>
      </w:pPr>
      <w:r>
        <w:rPr>
          <w:rFonts w:ascii="Calibri" w:eastAsia="Times New Roman" w:hAnsi="Calibri" w:cs="Calibri"/>
          <w:color w:val="000000"/>
          <w:sz w:val="22"/>
          <w:szCs w:val="22"/>
          <w:lang w:val="en-GB" w:eastAsia="en-GB" w:bidi="ar-SA"/>
        </w:rPr>
        <w:t xml:space="preserve">Established in 2007, </w:t>
      </w:r>
      <w:r w:rsidRPr="008B4956">
        <w:rPr>
          <w:rFonts w:ascii="Calibri" w:eastAsia="Times New Roman" w:hAnsi="Calibri" w:cs="Calibri"/>
          <w:color w:val="000000"/>
          <w:sz w:val="22"/>
          <w:szCs w:val="22"/>
          <w:lang w:val="en-GB" w:eastAsia="en-GB" w:bidi="ar-SA"/>
        </w:rPr>
        <w:t>Energean is a London Premium Listed FTSE 250 and Tel Aviv 35 Listed E&amp;P company</w:t>
      </w:r>
      <w:r>
        <w:rPr>
          <w:rFonts w:ascii="Calibri" w:eastAsia="Times New Roman" w:hAnsi="Calibri" w:cs="Calibri"/>
          <w:color w:val="000000"/>
          <w:sz w:val="22"/>
          <w:szCs w:val="22"/>
          <w:lang w:val="en-GB" w:eastAsia="en-GB" w:bidi="ar-SA"/>
        </w:rPr>
        <w:t xml:space="preserve"> with operations in nine countries across the Mediterranean and UK North Sea. Since IPO, Energean has grown to become the leading independent, gas-focused E&amp;P company in the Eastern Mediterranean, with a strong production and development growth profile. The Company explores and invests in new ideas, </w:t>
      </w:r>
      <w:proofErr w:type="gramStart"/>
      <w:r>
        <w:rPr>
          <w:rFonts w:ascii="Calibri" w:eastAsia="Times New Roman" w:hAnsi="Calibri" w:cs="Calibri"/>
          <w:color w:val="000000"/>
          <w:sz w:val="22"/>
          <w:szCs w:val="22"/>
          <w:lang w:val="en-GB" w:eastAsia="en-GB" w:bidi="ar-SA"/>
        </w:rPr>
        <w:t>concepts</w:t>
      </w:r>
      <w:proofErr w:type="gramEnd"/>
      <w:r>
        <w:rPr>
          <w:rFonts w:ascii="Calibri" w:eastAsia="Times New Roman" w:hAnsi="Calibri" w:cs="Calibri"/>
          <w:color w:val="000000"/>
          <w:sz w:val="22"/>
          <w:szCs w:val="22"/>
          <w:lang w:val="en-GB" w:eastAsia="en-GB" w:bidi="ar-SA"/>
        </w:rPr>
        <w:t xml:space="preserve"> and solutions to produce and develop energy efficiently, at low cost and with a low carbon footprint.</w:t>
      </w:r>
    </w:p>
    <w:p w14:paraId="46932B33" w14:textId="77777777" w:rsidR="00CC6789" w:rsidRDefault="00CC6789" w:rsidP="00CC6789">
      <w:pPr>
        <w:pStyle w:val="fu"/>
        <w:spacing w:before="0" w:beforeAutospacing="0" w:after="0" w:afterAutospacing="0" w:line="276" w:lineRule="auto"/>
        <w:jc w:val="both"/>
        <w:textAlignment w:val="baseline"/>
        <w:rPr>
          <w:rFonts w:ascii="Calibri" w:eastAsia="Times New Roman" w:hAnsi="Calibri" w:cs="Calibri"/>
          <w:color w:val="000000"/>
          <w:sz w:val="22"/>
          <w:szCs w:val="22"/>
          <w:lang w:val="en-GB" w:eastAsia="en-GB" w:bidi="ar-SA"/>
        </w:rPr>
      </w:pPr>
    </w:p>
    <w:p w14:paraId="16ED168D" w14:textId="77777777" w:rsidR="00CC6789" w:rsidRDefault="00CC6789" w:rsidP="00CC6789">
      <w:pPr>
        <w:pStyle w:val="fu"/>
        <w:spacing w:before="0" w:beforeAutospacing="0" w:after="0" w:afterAutospacing="0" w:line="276" w:lineRule="auto"/>
        <w:jc w:val="both"/>
        <w:textAlignment w:val="baseline"/>
        <w:rPr>
          <w:rFonts w:ascii="Calibri" w:eastAsia="Times New Roman" w:hAnsi="Calibri" w:cs="Calibri"/>
          <w:color w:val="000000"/>
          <w:sz w:val="22"/>
          <w:szCs w:val="22"/>
          <w:lang w:val="en-GB" w:eastAsia="en-GB" w:bidi="ar-SA"/>
        </w:rPr>
      </w:pPr>
      <w:r>
        <w:rPr>
          <w:rFonts w:ascii="Calibri" w:eastAsia="Times New Roman" w:hAnsi="Calibri" w:cs="Calibri"/>
          <w:color w:val="000000"/>
          <w:sz w:val="22"/>
          <w:szCs w:val="22"/>
          <w:lang w:val="en-GB" w:eastAsia="en-GB" w:bidi="ar-SA"/>
        </w:rPr>
        <w:t>Energean’s p</w:t>
      </w:r>
      <w:r w:rsidRPr="00F249FA">
        <w:rPr>
          <w:rFonts w:ascii="Calibri" w:eastAsia="Times New Roman" w:hAnsi="Calibri" w:cs="Calibri"/>
          <w:color w:val="000000"/>
          <w:sz w:val="22"/>
          <w:szCs w:val="22"/>
          <w:lang w:val="en-GB" w:eastAsia="en-GB" w:bidi="ar-SA"/>
        </w:rPr>
        <w:t>roduction comes mainly from the Abu Qir field in Egypt and fields in Southern Europe. The company’s</w:t>
      </w:r>
      <w:r w:rsidRPr="00F249FA">
        <w:rPr>
          <w:rFonts w:ascii="Arial" w:eastAsia="Yu Mincho" w:hAnsi="Arial"/>
          <w:color w:val="0070C0"/>
          <w:sz w:val="22"/>
          <w:szCs w:val="22"/>
          <w:lang w:val="en-GB" w:eastAsia="en-GB" w:bidi="ar-SA"/>
        </w:rPr>
        <w:t xml:space="preserve"> </w:t>
      </w:r>
      <w:r>
        <w:rPr>
          <w:rFonts w:ascii="Calibri" w:eastAsia="Times New Roman" w:hAnsi="Calibri" w:cs="Calibri"/>
          <w:color w:val="000000"/>
          <w:sz w:val="22"/>
          <w:szCs w:val="22"/>
          <w:lang w:val="en-GB" w:eastAsia="en-GB" w:bidi="ar-SA"/>
        </w:rPr>
        <w:t xml:space="preserve">flagship project is the 3.5 </w:t>
      </w:r>
      <w:proofErr w:type="spellStart"/>
      <w:r>
        <w:rPr>
          <w:rFonts w:ascii="Calibri" w:eastAsia="Times New Roman" w:hAnsi="Calibri" w:cs="Calibri"/>
          <w:color w:val="000000"/>
          <w:sz w:val="22"/>
          <w:szCs w:val="22"/>
          <w:lang w:val="en-GB" w:eastAsia="en-GB" w:bidi="ar-SA"/>
        </w:rPr>
        <w:t>Tcf</w:t>
      </w:r>
      <w:proofErr w:type="spellEnd"/>
      <w:r>
        <w:rPr>
          <w:rFonts w:ascii="Calibri" w:eastAsia="Times New Roman" w:hAnsi="Calibri" w:cs="Calibri"/>
          <w:color w:val="000000"/>
          <w:sz w:val="22"/>
          <w:szCs w:val="22"/>
          <w:lang w:val="en-GB" w:eastAsia="en-GB" w:bidi="ar-SA"/>
        </w:rPr>
        <w:t xml:space="preserve"> </w:t>
      </w:r>
      <w:proofErr w:type="spellStart"/>
      <w:r>
        <w:rPr>
          <w:rFonts w:ascii="Calibri" w:eastAsia="Times New Roman" w:hAnsi="Calibri" w:cs="Calibri"/>
          <w:color w:val="000000"/>
          <w:sz w:val="22"/>
          <w:szCs w:val="22"/>
          <w:lang w:val="en-GB" w:eastAsia="en-GB" w:bidi="ar-SA"/>
        </w:rPr>
        <w:t>Karish</w:t>
      </w:r>
      <w:proofErr w:type="spellEnd"/>
      <w:r>
        <w:rPr>
          <w:rFonts w:ascii="Calibri" w:eastAsia="Times New Roman" w:hAnsi="Calibri" w:cs="Calibri"/>
          <w:color w:val="000000"/>
          <w:sz w:val="22"/>
          <w:szCs w:val="22"/>
          <w:lang w:val="en-GB" w:eastAsia="en-GB" w:bidi="ar-SA"/>
        </w:rPr>
        <w:t xml:space="preserve">, </w:t>
      </w:r>
      <w:proofErr w:type="spellStart"/>
      <w:r>
        <w:rPr>
          <w:rFonts w:ascii="Calibri" w:eastAsia="Times New Roman" w:hAnsi="Calibri" w:cs="Calibri"/>
          <w:color w:val="000000"/>
          <w:sz w:val="22"/>
          <w:szCs w:val="22"/>
          <w:lang w:val="en-GB" w:eastAsia="en-GB" w:bidi="ar-SA"/>
        </w:rPr>
        <w:t>Karish</w:t>
      </w:r>
      <w:proofErr w:type="spellEnd"/>
      <w:r>
        <w:rPr>
          <w:rFonts w:ascii="Calibri" w:eastAsia="Times New Roman" w:hAnsi="Calibri" w:cs="Calibri"/>
          <w:color w:val="000000"/>
          <w:sz w:val="22"/>
          <w:szCs w:val="22"/>
          <w:lang w:val="en-GB" w:eastAsia="en-GB" w:bidi="ar-SA"/>
        </w:rPr>
        <w:t xml:space="preserve"> North and </w:t>
      </w:r>
      <w:proofErr w:type="spellStart"/>
      <w:r>
        <w:rPr>
          <w:rFonts w:ascii="Calibri" w:eastAsia="Times New Roman" w:hAnsi="Calibri" w:cs="Calibri"/>
          <w:color w:val="000000"/>
          <w:sz w:val="22"/>
          <w:szCs w:val="22"/>
          <w:lang w:val="en-GB" w:eastAsia="en-GB" w:bidi="ar-SA"/>
        </w:rPr>
        <w:t>Tanin</w:t>
      </w:r>
      <w:proofErr w:type="spellEnd"/>
      <w:r>
        <w:rPr>
          <w:rFonts w:ascii="Calibri" w:eastAsia="Times New Roman" w:hAnsi="Calibri" w:cs="Calibri"/>
          <w:color w:val="000000"/>
          <w:sz w:val="22"/>
          <w:szCs w:val="22"/>
          <w:lang w:val="en-GB" w:eastAsia="en-GB" w:bidi="ar-SA"/>
        </w:rPr>
        <w:t xml:space="preserve"> development, offshore Israel, where it intends to use the newbuild fully-owned FPSO Energean Power, which will be the </w:t>
      </w:r>
      <w:r w:rsidRPr="00BE7233">
        <w:rPr>
          <w:rFonts w:ascii="Calibri" w:eastAsia="Times New Roman" w:hAnsi="Calibri" w:cs="Calibri"/>
          <w:color w:val="000000"/>
          <w:sz w:val="22"/>
          <w:szCs w:val="22"/>
          <w:lang w:val="en-GB" w:eastAsia="en-GB" w:bidi="ar-SA"/>
        </w:rPr>
        <w:t xml:space="preserve">only FPSO in </w:t>
      </w:r>
      <w:r w:rsidRPr="00BE7233">
        <w:rPr>
          <w:rFonts w:ascii="Calibri" w:eastAsia="Times New Roman" w:hAnsi="Calibri" w:cs="Calibri"/>
          <w:color w:val="000000"/>
          <w:sz w:val="22"/>
          <w:szCs w:val="22"/>
          <w:lang w:val="en-GB" w:eastAsia="en-GB" w:bidi="ar-SA"/>
        </w:rPr>
        <w:lastRenderedPageBreak/>
        <w:t>the Eastern Mediterranean</w:t>
      </w:r>
      <w:r>
        <w:rPr>
          <w:rFonts w:ascii="Calibri" w:eastAsia="Times New Roman" w:hAnsi="Calibri" w:cs="Calibri"/>
          <w:color w:val="000000"/>
          <w:sz w:val="22"/>
          <w:szCs w:val="22"/>
          <w:lang w:val="en-GB" w:eastAsia="en-GB" w:bidi="ar-SA"/>
        </w:rPr>
        <w:t>,</w:t>
      </w:r>
      <w:r w:rsidRPr="00BE7233">
        <w:rPr>
          <w:rFonts w:ascii="Calibri" w:eastAsia="Times New Roman" w:hAnsi="Calibri" w:cs="Calibri"/>
          <w:color w:val="000000"/>
          <w:sz w:val="22"/>
          <w:szCs w:val="22"/>
          <w:lang w:val="en-GB" w:eastAsia="en-GB" w:bidi="ar-SA"/>
        </w:rPr>
        <w:t xml:space="preserve"> to produce first gas</w:t>
      </w:r>
      <w:r>
        <w:rPr>
          <w:rFonts w:ascii="Calibri" w:eastAsia="Times New Roman" w:hAnsi="Calibri" w:cs="Calibri"/>
          <w:color w:val="000000"/>
          <w:sz w:val="22"/>
          <w:szCs w:val="22"/>
          <w:lang w:val="en-GB" w:eastAsia="en-GB" w:bidi="ar-SA"/>
        </w:rPr>
        <w:t>, commencing</w:t>
      </w:r>
      <w:r w:rsidRPr="00BE7233">
        <w:rPr>
          <w:rFonts w:ascii="Calibri" w:eastAsia="Times New Roman" w:hAnsi="Calibri" w:cs="Calibri"/>
          <w:color w:val="000000"/>
          <w:sz w:val="22"/>
          <w:szCs w:val="22"/>
          <w:lang w:val="en-GB" w:eastAsia="en-GB" w:bidi="ar-SA"/>
        </w:rPr>
        <w:t xml:space="preserve"> </w:t>
      </w:r>
      <w:r>
        <w:rPr>
          <w:rFonts w:ascii="Calibri" w:eastAsia="Times New Roman" w:hAnsi="Calibri" w:cs="Calibri"/>
          <w:color w:val="000000"/>
          <w:sz w:val="22"/>
          <w:szCs w:val="22"/>
          <w:lang w:val="en-GB" w:eastAsia="en-GB" w:bidi="ar-SA"/>
        </w:rPr>
        <w:t xml:space="preserve">mid-2022. Energean has signed contracts </w:t>
      </w:r>
      <w:r w:rsidRPr="00154024">
        <w:rPr>
          <w:rFonts w:ascii="Calibri" w:eastAsia="Times New Roman" w:hAnsi="Calibri" w:cs="Calibri"/>
          <w:color w:val="000000"/>
          <w:sz w:val="22"/>
          <w:szCs w:val="22"/>
          <w:lang w:val="en-GB" w:eastAsia="en-GB" w:bidi="ar-SA"/>
        </w:rPr>
        <w:t xml:space="preserve">for 7.4 </w:t>
      </w:r>
      <w:proofErr w:type="spellStart"/>
      <w:r w:rsidRPr="00154024">
        <w:rPr>
          <w:rFonts w:ascii="Calibri" w:eastAsia="Times New Roman" w:hAnsi="Calibri" w:cs="Calibri"/>
          <w:color w:val="000000"/>
          <w:sz w:val="22"/>
          <w:szCs w:val="22"/>
          <w:lang w:val="en-GB" w:eastAsia="en-GB" w:bidi="ar-SA"/>
        </w:rPr>
        <w:t>Bcm</w:t>
      </w:r>
      <w:proofErr w:type="spellEnd"/>
      <w:r w:rsidRPr="00BE7233">
        <w:rPr>
          <w:rFonts w:ascii="Calibri" w:eastAsia="Times New Roman" w:hAnsi="Calibri" w:cs="Calibri"/>
          <w:color w:val="000000"/>
          <w:sz w:val="22"/>
          <w:szCs w:val="22"/>
          <w:lang w:val="en-GB" w:eastAsia="en-GB" w:bidi="ar-SA"/>
        </w:rPr>
        <w:t>/</w:t>
      </w:r>
      <w:proofErr w:type="spellStart"/>
      <w:r w:rsidRPr="00BE7233">
        <w:rPr>
          <w:rFonts w:ascii="Calibri" w:eastAsia="Times New Roman" w:hAnsi="Calibri" w:cs="Calibri"/>
          <w:color w:val="000000"/>
          <w:sz w:val="22"/>
          <w:szCs w:val="22"/>
          <w:lang w:val="en-GB" w:eastAsia="en-GB" w:bidi="ar-SA"/>
        </w:rPr>
        <w:t>yr</w:t>
      </w:r>
      <w:proofErr w:type="spellEnd"/>
      <w:r w:rsidRPr="00BE7233">
        <w:rPr>
          <w:rFonts w:ascii="Calibri" w:eastAsia="Times New Roman" w:hAnsi="Calibri" w:cs="Calibri"/>
          <w:color w:val="000000"/>
          <w:sz w:val="22"/>
          <w:szCs w:val="22"/>
          <w:lang w:val="en-GB" w:eastAsia="en-GB" w:bidi="ar-SA"/>
        </w:rPr>
        <w:t xml:space="preserve"> of gas sales</w:t>
      </w:r>
      <w:r>
        <w:rPr>
          <w:rFonts w:ascii="Calibri" w:eastAsia="Times New Roman" w:hAnsi="Calibri" w:cs="Calibri"/>
          <w:color w:val="000000"/>
          <w:sz w:val="22"/>
          <w:szCs w:val="22"/>
          <w:lang w:val="en-GB" w:eastAsia="en-GB" w:bidi="ar-SA"/>
        </w:rPr>
        <w:t xml:space="preserve"> on plateau</w:t>
      </w:r>
      <w:r w:rsidRPr="00BE7233">
        <w:rPr>
          <w:rFonts w:ascii="Calibri" w:eastAsia="Times New Roman" w:hAnsi="Calibri" w:cs="Calibri"/>
          <w:color w:val="000000"/>
          <w:sz w:val="22"/>
          <w:szCs w:val="22"/>
          <w:lang w:val="en-GB" w:eastAsia="en-GB" w:bidi="ar-SA"/>
        </w:rPr>
        <w:t xml:space="preserve"> into the Israeli domestic market</w:t>
      </w:r>
      <w:r>
        <w:rPr>
          <w:rFonts w:ascii="Calibri" w:eastAsia="Times New Roman" w:hAnsi="Calibri" w:cs="Calibri"/>
          <w:color w:val="000000"/>
          <w:sz w:val="22"/>
          <w:szCs w:val="22"/>
          <w:lang w:val="en-GB" w:eastAsia="en-GB" w:bidi="ar-SA"/>
        </w:rPr>
        <w:t>, which have floor pricing, take-or-pay and/or exclusivity provisions that largely insulate the project’s revenues against global commodity price fluctuations and underpin Energean’s goal of paying a meaningful and sustainable dividend.</w:t>
      </w:r>
    </w:p>
    <w:p w14:paraId="2086DC97" w14:textId="77777777" w:rsidR="00CC6789" w:rsidRDefault="00CC6789" w:rsidP="00CC6789">
      <w:pPr>
        <w:pStyle w:val="fu"/>
        <w:spacing w:before="0" w:beforeAutospacing="0" w:after="0" w:afterAutospacing="0" w:line="276" w:lineRule="auto"/>
        <w:jc w:val="both"/>
        <w:textAlignment w:val="baseline"/>
        <w:rPr>
          <w:rFonts w:ascii="Calibri" w:eastAsia="Times New Roman" w:hAnsi="Calibri" w:cs="Calibri"/>
          <w:color w:val="000000"/>
          <w:sz w:val="22"/>
          <w:szCs w:val="22"/>
          <w:lang w:val="en-GB" w:eastAsia="en-GB" w:bidi="ar-SA"/>
        </w:rPr>
      </w:pPr>
    </w:p>
    <w:p w14:paraId="70C95DA0" w14:textId="77777777" w:rsidR="00CC6789" w:rsidRDefault="00CC6789" w:rsidP="00CC6789">
      <w:pPr>
        <w:pStyle w:val="fu"/>
        <w:spacing w:before="0" w:beforeAutospacing="0" w:after="0" w:afterAutospacing="0" w:line="276" w:lineRule="auto"/>
        <w:jc w:val="both"/>
        <w:textAlignment w:val="baseline"/>
        <w:rPr>
          <w:rFonts w:ascii="Calibri" w:eastAsia="Times New Roman" w:hAnsi="Calibri" w:cs="Calibri"/>
          <w:color w:val="000000"/>
          <w:sz w:val="22"/>
          <w:szCs w:val="22"/>
          <w:lang w:val="en-GB" w:eastAsia="en-GB" w:bidi="ar-SA"/>
        </w:rPr>
      </w:pPr>
      <w:r w:rsidRPr="00324A8B">
        <w:rPr>
          <w:rFonts w:ascii="Calibri" w:eastAsia="Times New Roman" w:hAnsi="Calibri" w:cs="Calibri"/>
          <w:color w:val="000000"/>
          <w:sz w:val="22"/>
          <w:szCs w:val="22"/>
          <w:lang w:val="en-GB" w:eastAsia="en-GB" w:bidi="ar-SA"/>
        </w:rPr>
        <w:t xml:space="preserve">With a strong track record of growing reserves and resources, </w:t>
      </w:r>
      <w:r>
        <w:rPr>
          <w:rFonts w:ascii="Calibri" w:eastAsia="Times New Roman" w:hAnsi="Calibri" w:cs="Calibri"/>
          <w:color w:val="000000"/>
          <w:sz w:val="22"/>
          <w:szCs w:val="22"/>
          <w:lang w:val="en-GB" w:eastAsia="en-GB" w:bidi="ar-SA"/>
        </w:rPr>
        <w:t>Energean is focused</w:t>
      </w:r>
      <w:r w:rsidRPr="00324A8B">
        <w:rPr>
          <w:rFonts w:ascii="Calibri" w:eastAsia="Times New Roman" w:hAnsi="Calibri" w:cs="Calibri"/>
          <w:color w:val="000000"/>
          <w:sz w:val="22"/>
          <w:szCs w:val="22"/>
          <w:lang w:val="en-GB" w:eastAsia="en-GB" w:bidi="ar-SA"/>
        </w:rPr>
        <w:t xml:space="preserve"> on maximising production from </w:t>
      </w:r>
      <w:r>
        <w:rPr>
          <w:rFonts w:ascii="Calibri" w:eastAsia="Times New Roman" w:hAnsi="Calibri" w:cs="Calibri"/>
          <w:color w:val="000000"/>
          <w:sz w:val="22"/>
          <w:szCs w:val="22"/>
          <w:lang w:val="en-GB" w:eastAsia="en-GB" w:bidi="ar-SA"/>
        </w:rPr>
        <w:t>its</w:t>
      </w:r>
      <w:r w:rsidRPr="00324A8B">
        <w:rPr>
          <w:rFonts w:ascii="Calibri" w:eastAsia="Times New Roman" w:hAnsi="Calibri" w:cs="Calibri"/>
          <w:color w:val="000000"/>
          <w:sz w:val="22"/>
          <w:szCs w:val="22"/>
          <w:lang w:val="en-GB" w:eastAsia="en-GB" w:bidi="ar-SA"/>
        </w:rPr>
        <w:t xml:space="preserve"> </w:t>
      </w:r>
      <w:r>
        <w:rPr>
          <w:rFonts w:ascii="Calibri" w:eastAsia="Times New Roman" w:hAnsi="Calibri" w:cs="Calibri"/>
          <w:color w:val="000000"/>
          <w:sz w:val="22"/>
          <w:szCs w:val="22"/>
          <w:lang w:val="en-GB" w:eastAsia="en-GB" w:bidi="ar-SA"/>
        </w:rPr>
        <w:t xml:space="preserve">large-scale gas-focused </w:t>
      </w:r>
      <w:r w:rsidRPr="00324A8B">
        <w:rPr>
          <w:rFonts w:ascii="Calibri" w:eastAsia="Times New Roman" w:hAnsi="Calibri" w:cs="Calibri"/>
          <w:color w:val="000000"/>
          <w:sz w:val="22"/>
          <w:szCs w:val="22"/>
          <w:lang w:val="en-GB" w:eastAsia="en-GB" w:bidi="ar-SA"/>
        </w:rPr>
        <w:t>portfolio to deliver material</w:t>
      </w:r>
      <w:r w:rsidRPr="00324A8B">
        <w:t xml:space="preserve"> </w:t>
      </w:r>
      <w:r w:rsidRPr="00324A8B">
        <w:rPr>
          <w:rFonts w:ascii="Calibri" w:eastAsia="Times New Roman" w:hAnsi="Calibri" w:cs="Calibri"/>
          <w:color w:val="000000"/>
          <w:sz w:val="22"/>
          <w:szCs w:val="22"/>
          <w:lang w:val="en-GB" w:eastAsia="en-GB" w:bidi="ar-SA"/>
        </w:rPr>
        <w:t xml:space="preserve">free cash flow and </w:t>
      </w:r>
      <w:r>
        <w:rPr>
          <w:rFonts w:ascii="Calibri" w:eastAsia="Times New Roman" w:hAnsi="Calibri" w:cs="Calibri"/>
          <w:color w:val="000000"/>
          <w:sz w:val="22"/>
          <w:szCs w:val="22"/>
          <w:lang w:val="en-GB" w:eastAsia="en-GB" w:bidi="ar-SA"/>
        </w:rPr>
        <w:t xml:space="preserve">maximise total </w:t>
      </w:r>
      <w:r w:rsidRPr="00324A8B">
        <w:rPr>
          <w:rFonts w:ascii="Calibri" w:eastAsia="Times New Roman" w:hAnsi="Calibri" w:cs="Calibri"/>
          <w:color w:val="000000"/>
          <w:sz w:val="22"/>
          <w:szCs w:val="22"/>
          <w:lang w:val="en-GB" w:eastAsia="en-GB" w:bidi="ar-SA"/>
        </w:rPr>
        <w:t>shareholder return in a sustainable</w:t>
      </w:r>
      <w:r>
        <w:rPr>
          <w:rFonts w:ascii="Calibri" w:eastAsia="Times New Roman" w:hAnsi="Calibri" w:cs="Calibri"/>
          <w:color w:val="000000"/>
          <w:sz w:val="22"/>
          <w:szCs w:val="22"/>
          <w:lang w:val="en-GB" w:eastAsia="en-GB" w:bidi="ar-SA"/>
        </w:rPr>
        <w:t xml:space="preserve"> way. ESG and health and safety are paramount to Energean; it aims to run safe and reliable operations, whilst targeting carbon-neutrality across its operations by 2050. These aspirations were significantly advanced with the completion of the Edison E&amp;P acquisition in December 2020, which is now being successfully integrated in Energean’s business.</w:t>
      </w:r>
    </w:p>
    <w:p w14:paraId="7819BBFB" w14:textId="77777777" w:rsidR="00CC6789" w:rsidRDefault="00CC6789" w:rsidP="00CC6789">
      <w:pPr>
        <w:spacing w:after="180" w:line="240" w:lineRule="auto"/>
      </w:pPr>
    </w:p>
    <w:p w14:paraId="0E4D8BF1" w14:textId="77777777" w:rsidR="00CC6789" w:rsidRDefault="005920EF" w:rsidP="00CC6789">
      <w:pPr>
        <w:spacing w:after="180" w:line="240" w:lineRule="auto"/>
      </w:pPr>
      <w:hyperlink r:id="rId7" w:history="1">
        <w:r w:rsidR="00CC6789" w:rsidRPr="008B4956">
          <w:rPr>
            <w:rStyle w:val="Hyperlink"/>
            <w:rFonts w:ascii="Calibri" w:hAnsi="Calibri" w:cs="Calibri"/>
          </w:rPr>
          <w:t>www.energean.com</w:t>
        </w:r>
      </w:hyperlink>
      <w:r w:rsidR="00CC6789" w:rsidRPr="00A3134E">
        <w:t xml:space="preserve"> </w:t>
      </w:r>
    </w:p>
    <w:p w14:paraId="4FFE447D" w14:textId="77777777" w:rsidR="00CC6789" w:rsidRDefault="00CC6789" w:rsidP="00CC6789">
      <w:pPr>
        <w:spacing w:after="0"/>
        <w:jc w:val="both"/>
      </w:pPr>
    </w:p>
    <w:p w14:paraId="76569702" w14:textId="77777777" w:rsidR="008750B9" w:rsidRDefault="008750B9" w:rsidP="008750B9"/>
    <w:p w14:paraId="48C1148E" w14:textId="77777777" w:rsidR="008750B9" w:rsidRDefault="008750B9" w:rsidP="002151F9"/>
    <w:sectPr w:rsidR="008750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6C62" w14:textId="77777777" w:rsidR="005920EF" w:rsidRDefault="005920EF" w:rsidP="008D3840">
      <w:pPr>
        <w:spacing w:after="0" w:line="240" w:lineRule="auto"/>
      </w:pPr>
      <w:r>
        <w:separator/>
      </w:r>
    </w:p>
  </w:endnote>
  <w:endnote w:type="continuationSeparator" w:id="0">
    <w:p w14:paraId="50316CAE" w14:textId="77777777" w:rsidR="005920EF" w:rsidRDefault="005920EF" w:rsidP="008D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3F40" w14:textId="77777777" w:rsidR="005920EF" w:rsidRDefault="005920EF" w:rsidP="008D3840">
      <w:pPr>
        <w:spacing w:after="0" w:line="240" w:lineRule="auto"/>
      </w:pPr>
      <w:r>
        <w:separator/>
      </w:r>
    </w:p>
  </w:footnote>
  <w:footnote w:type="continuationSeparator" w:id="0">
    <w:p w14:paraId="6F95CE2D" w14:textId="77777777" w:rsidR="005920EF" w:rsidRDefault="005920EF" w:rsidP="008D3840">
      <w:pPr>
        <w:spacing w:after="0" w:line="240" w:lineRule="auto"/>
      </w:pPr>
      <w:r>
        <w:continuationSeparator/>
      </w:r>
    </w:p>
  </w:footnote>
  <w:footnote w:id="1">
    <w:p w14:paraId="73AC83DA" w14:textId="23AA5F23" w:rsidR="001A5C9B" w:rsidRDefault="001A5C9B">
      <w:pPr>
        <w:pStyle w:val="FootnoteText"/>
      </w:pPr>
      <w:r>
        <w:rPr>
          <w:rStyle w:val="FootnoteReference"/>
        </w:rPr>
        <w:footnoteRef/>
      </w:r>
      <w:r>
        <w:t xml:space="preserve"> The transaction closed on 17 December 2020; for accounting purposes results are consolidated from this date. However, the economic reference date of the transaction was 1 January 2019, meaning that all results incurred subsequent to this date accrue to Energean.</w:t>
      </w:r>
    </w:p>
  </w:footnote>
  <w:footnote w:id="2">
    <w:p w14:paraId="129C4075" w14:textId="1431E038" w:rsidR="001A5C9B" w:rsidRDefault="001A5C9B" w:rsidP="00951682">
      <w:pPr>
        <w:pStyle w:val="FootnoteText"/>
        <w:jc w:val="both"/>
      </w:pPr>
      <w:bookmarkStart w:id="0" w:name="_Hlk73548024"/>
      <w:r>
        <w:rPr>
          <w:rStyle w:val="FootnoteReference"/>
        </w:rPr>
        <w:footnoteRef/>
      </w:r>
      <w:r>
        <w:t xml:space="preserve"> Our Egyptian assets are operated under PSAs, which set out the terms of the activities, including the applicable tax laws and regulations.</w:t>
      </w:r>
      <w:r w:rsidR="00A25325">
        <w:t xml:space="preserve"> Under the </w:t>
      </w:r>
      <w:r w:rsidR="00B76BE8">
        <w:t>Abu Qir PSA</w:t>
      </w:r>
      <w:r w:rsidR="00A25325">
        <w:t xml:space="preserve">, Energean is entitled to the net production </w:t>
      </w:r>
      <w:r w:rsidR="00B76BE8">
        <w:t>from</w:t>
      </w:r>
      <w:r w:rsidR="00A25325">
        <w:t xml:space="preserve"> the asset</w:t>
      </w:r>
      <w:r w:rsidR="00B76BE8">
        <w:t>, which forms the</w:t>
      </w:r>
      <w:r w:rsidR="00A25325">
        <w:t xml:space="preserve"> bas</w:t>
      </w:r>
      <w:r w:rsidR="00B76BE8">
        <w:t>is</w:t>
      </w:r>
      <w:r w:rsidR="00A25325">
        <w:t xml:space="preserve"> for </w:t>
      </w:r>
      <w:r w:rsidR="00B76BE8">
        <w:t>the calculation and reporting</w:t>
      </w:r>
      <w:r w:rsidR="009260BD">
        <w:t xml:space="preserve"> </w:t>
      </w:r>
      <w:r w:rsidR="00B76BE8">
        <w:t>of</w:t>
      </w:r>
      <w:r w:rsidR="00A25325">
        <w:t xml:space="preserve"> its payments to the Egyptian Government. </w:t>
      </w:r>
      <w:r w:rsidR="002A2E82">
        <w:t xml:space="preserve">Taxes include in-kind volumes due by Energean to the Egyptian Tax Authorities under the PSAs, which provide that the tax obligations of the company are settled by the Egyptian General Petroleum Corporation (EGPC) out of its share of profit oil. The monetary value of those payments is determined using the same method as per production entitlements. </w:t>
      </w:r>
      <w:r>
        <w:t>The corporate income taxes paid in 2020, were settled by EGPC on Energean’s behalf out of production entitlement</w:t>
      </w:r>
      <w:r w:rsidR="002A2E82">
        <w:t xml:space="preserve"> (payment in kind)</w:t>
      </w:r>
      <w:r>
        <w:t>, in accordance with the terms of our PSAs. The terms of our PSAs provide that corporate income taxes are paid in the year following that to which they relate. Accordingly, our 2020 payment relates to our 2019 taxable profits.</w:t>
      </w:r>
      <w:r w:rsidR="002A2E82">
        <w:t xml:space="preserve"> </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F9"/>
    <w:rsid w:val="00094ED7"/>
    <w:rsid w:val="000C1163"/>
    <w:rsid w:val="0013038B"/>
    <w:rsid w:val="001612A8"/>
    <w:rsid w:val="001A3213"/>
    <w:rsid w:val="001A5C9B"/>
    <w:rsid w:val="002151F9"/>
    <w:rsid w:val="0024767F"/>
    <w:rsid w:val="002A0CAA"/>
    <w:rsid w:val="002A2E82"/>
    <w:rsid w:val="00394EDA"/>
    <w:rsid w:val="003C6624"/>
    <w:rsid w:val="004160DC"/>
    <w:rsid w:val="005308FA"/>
    <w:rsid w:val="00547D71"/>
    <w:rsid w:val="005920EF"/>
    <w:rsid w:val="005B6DFE"/>
    <w:rsid w:val="00612C9B"/>
    <w:rsid w:val="007D18F6"/>
    <w:rsid w:val="00845D27"/>
    <w:rsid w:val="008750B9"/>
    <w:rsid w:val="008B4572"/>
    <w:rsid w:val="008D3840"/>
    <w:rsid w:val="009260BD"/>
    <w:rsid w:val="00951682"/>
    <w:rsid w:val="009D67D0"/>
    <w:rsid w:val="00A25325"/>
    <w:rsid w:val="00A40711"/>
    <w:rsid w:val="00A52173"/>
    <w:rsid w:val="00AA0F30"/>
    <w:rsid w:val="00B76BE8"/>
    <w:rsid w:val="00BD3F48"/>
    <w:rsid w:val="00C07FBB"/>
    <w:rsid w:val="00C11341"/>
    <w:rsid w:val="00C20FD6"/>
    <w:rsid w:val="00C336BF"/>
    <w:rsid w:val="00C602D0"/>
    <w:rsid w:val="00CC6789"/>
    <w:rsid w:val="00D23F02"/>
    <w:rsid w:val="00D9203B"/>
    <w:rsid w:val="00DE08B5"/>
    <w:rsid w:val="00DF39BF"/>
    <w:rsid w:val="00E336CA"/>
    <w:rsid w:val="00E61290"/>
    <w:rsid w:val="00EA7EC8"/>
    <w:rsid w:val="00F06AD7"/>
    <w:rsid w:val="00F9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A105"/>
  <w15:chartTrackingRefBased/>
  <w15:docId w15:val="{7ADBCBC0-4C14-44B7-855E-C57182CA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3840"/>
    <w:pPr>
      <w:spacing w:after="0" w:line="240" w:lineRule="auto"/>
    </w:pPr>
    <w:rPr>
      <w:sz w:val="20"/>
      <w:szCs w:val="20"/>
    </w:rPr>
  </w:style>
  <w:style w:type="character" w:customStyle="1" w:styleId="FootnoteTextChar">
    <w:name w:val="Footnote Text Char"/>
    <w:basedOn w:val="DefaultParagraphFont"/>
    <w:link w:val="FootnoteText"/>
    <w:uiPriority w:val="99"/>
    <w:rsid w:val="008D3840"/>
    <w:rPr>
      <w:sz w:val="20"/>
      <w:szCs w:val="20"/>
    </w:rPr>
  </w:style>
  <w:style w:type="character" w:styleId="FootnoteReference">
    <w:name w:val="footnote reference"/>
    <w:basedOn w:val="DefaultParagraphFont"/>
    <w:uiPriority w:val="99"/>
    <w:semiHidden/>
    <w:unhideWhenUsed/>
    <w:rsid w:val="008D3840"/>
    <w:rPr>
      <w:vertAlign w:val="superscript"/>
    </w:rPr>
  </w:style>
  <w:style w:type="character" w:styleId="CommentReference">
    <w:name w:val="annotation reference"/>
    <w:basedOn w:val="DefaultParagraphFont"/>
    <w:uiPriority w:val="99"/>
    <w:semiHidden/>
    <w:unhideWhenUsed/>
    <w:rsid w:val="008D3840"/>
    <w:rPr>
      <w:sz w:val="16"/>
      <w:szCs w:val="16"/>
    </w:rPr>
  </w:style>
  <w:style w:type="paragraph" w:styleId="CommentText">
    <w:name w:val="annotation text"/>
    <w:basedOn w:val="Normal"/>
    <w:link w:val="CommentTextChar"/>
    <w:uiPriority w:val="99"/>
    <w:semiHidden/>
    <w:unhideWhenUsed/>
    <w:rsid w:val="008D3840"/>
    <w:pPr>
      <w:spacing w:line="240" w:lineRule="auto"/>
    </w:pPr>
    <w:rPr>
      <w:sz w:val="20"/>
      <w:szCs w:val="20"/>
    </w:rPr>
  </w:style>
  <w:style w:type="character" w:customStyle="1" w:styleId="CommentTextChar">
    <w:name w:val="Comment Text Char"/>
    <w:basedOn w:val="DefaultParagraphFont"/>
    <w:link w:val="CommentText"/>
    <w:uiPriority w:val="99"/>
    <w:semiHidden/>
    <w:rsid w:val="008D3840"/>
    <w:rPr>
      <w:sz w:val="20"/>
      <w:szCs w:val="20"/>
    </w:rPr>
  </w:style>
  <w:style w:type="paragraph" w:styleId="CommentSubject">
    <w:name w:val="annotation subject"/>
    <w:basedOn w:val="CommentText"/>
    <w:next w:val="CommentText"/>
    <w:link w:val="CommentSubjectChar"/>
    <w:uiPriority w:val="99"/>
    <w:semiHidden/>
    <w:unhideWhenUsed/>
    <w:rsid w:val="008D3840"/>
    <w:rPr>
      <w:b/>
      <w:bCs/>
    </w:rPr>
  </w:style>
  <w:style w:type="character" w:customStyle="1" w:styleId="CommentSubjectChar">
    <w:name w:val="Comment Subject Char"/>
    <w:basedOn w:val="CommentTextChar"/>
    <w:link w:val="CommentSubject"/>
    <w:uiPriority w:val="99"/>
    <w:semiHidden/>
    <w:rsid w:val="008D3840"/>
    <w:rPr>
      <w:b/>
      <w:bCs/>
      <w:sz w:val="20"/>
      <w:szCs w:val="20"/>
    </w:rPr>
  </w:style>
  <w:style w:type="paragraph" w:styleId="BalloonText">
    <w:name w:val="Balloon Text"/>
    <w:basedOn w:val="Normal"/>
    <w:link w:val="BalloonTextChar"/>
    <w:uiPriority w:val="99"/>
    <w:semiHidden/>
    <w:unhideWhenUsed/>
    <w:rsid w:val="0084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27"/>
    <w:rPr>
      <w:rFonts w:ascii="Segoe UI" w:hAnsi="Segoe UI" w:cs="Segoe UI"/>
      <w:sz w:val="18"/>
      <w:szCs w:val="18"/>
    </w:rPr>
  </w:style>
  <w:style w:type="paragraph" w:styleId="Revision">
    <w:name w:val="Revision"/>
    <w:hidden/>
    <w:uiPriority w:val="99"/>
    <w:semiHidden/>
    <w:rsid w:val="00D23F02"/>
    <w:pPr>
      <w:spacing w:after="0" w:line="240" w:lineRule="auto"/>
    </w:pPr>
  </w:style>
  <w:style w:type="character" w:styleId="Hyperlink">
    <w:name w:val="Hyperlink"/>
    <w:basedOn w:val="DefaultParagraphFont"/>
    <w:uiPriority w:val="99"/>
    <w:unhideWhenUsed/>
    <w:rsid w:val="001A5C9B"/>
    <w:rPr>
      <w:color w:val="0563C1" w:themeColor="hyperlink"/>
      <w:u w:val="single"/>
    </w:rPr>
  </w:style>
  <w:style w:type="character" w:styleId="UnresolvedMention">
    <w:name w:val="Unresolved Mention"/>
    <w:basedOn w:val="DefaultParagraphFont"/>
    <w:uiPriority w:val="99"/>
    <w:semiHidden/>
    <w:unhideWhenUsed/>
    <w:rsid w:val="001A5C9B"/>
    <w:rPr>
      <w:color w:val="605E5C"/>
      <w:shd w:val="clear" w:color="auto" w:fill="E1DFDD"/>
    </w:rPr>
  </w:style>
  <w:style w:type="character" w:styleId="FollowedHyperlink">
    <w:name w:val="FollowedHyperlink"/>
    <w:basedOn w:val="DefaultParagraphFont"/>
    <w:uiPriority w:val="99"/>
    <w:semiHidden/>
    <w:unhideWhenUsed/>
    <w:rsid w:val="001A5C9B"/>
    <w:rPr>
      <w:color w:val="954F72" w:themeColor="followedHyperlink"/>
      <w:u w:val="single"/>
    </w:rPr>
  </w:style>
  <w:style w:type="paragraph" w:customStyle="1" w:styleId="bg">
    <w:name w:val="bg"/>
    <w:basedOn w:val="Normal"/>
    <w:rsid w:val="00CC678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u">
    <w:name w:val="fu"/>
    <w:basedOn w:val="Normal"/>
    <w:uiPriority w:val="99"/>
    <w:rsid w:val="00CC6789"/>
    <w:pPr>
      <w:spacing w:before="100" w:beforeAutospacing="1" w:after="100" w:afterAutospacing="1" w:line="240" w:lineRule="auto"/>
    </w:pPr>
    <w:rPr>
      <w:rFonts w:ascii="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9633">
      <w:bodyDiv w:val="1"/>
      <w:marLeft w:val="0"/>
      <w:marRight w:val="0"/>
      <w:marTop w:val="0"/>
      <w:marBottom w:val="0"/>
      <w:divBdr>
        <w:top w:val="none" w:sz="0" w:space="0" w:color="auto"/>
        <w:left w:val="none" w:sz="0" w:space="0" w:color="auto"/>
        <w:bottom w:val="none" w:sz="0" w:space="0" w:color="auto"/>
        <w:right w:val="none" w:sz="0" w:space="0" w:color="auto"/>
      </w:divBdr>
    </w:div>
    <w:div w:id="245847051">
      <w:bodyDiv w:val="1"/>
      <w:marLeft w:val="0"/>
      <w:marRight w:val="0"/>
      <w:marTop w:val="0"/>
      <w:marBottom w:val="0"/>
      <w:divBdr>
        <w:top w:val="none" w:sz="0" w:space="0" w:color="auto"/>
        <w:left w:val="none" w:sz="0" w:space="0" w:color="auto"/>
        <w:bottom w:val="none" w:sz="0" w:space="0" w:color="auto"/>
        <w:right w:val="none" w:sz="0" w:space="0" w:color="auto"/>
      </w:divBdr>
      <w:divsChild>
        <w:div w:id="72316768">
          <w:marLeft w:val="0"/>
          <w:marRight w:val="0"/>
          <w:marTop w:val="0"/>
          <w:marBottom w:val="0"/>
          <w:divBdr>
            <w:top w:val="none" w:sz="0" w:space="0" w:color="auto"/>
            <w:left w:val="none" w:sz="0" w:space="0" w:color="auto"/>
            <w:bottom w:val="none" w:sz="0" w:space="0" w:color="auto"/>
            <w:right w:val="none" w:sz="0" w:space="0" w:color="auto"/>
          </w:divBdr>
        </w:div>
        <w:div w:id="1504248992">
          <w:marLeft w:val="0"/>
          <w:marRight w:val="0"/>
          <w:marTop w:val="0"/>
          <w:marBottom w:val="0"/>
          <w:divBdr>
            <w:top w:val="none" w:sz="0" w:space="0" w:color="auto"/>
            <w:left w:val="none" w:sz="0" w:space="0" w:color="auto"/>
            <w:bottom w:val="none" w:sz="0" w:space="0" w:color="auto"/>
            <w:right w:val="none" w:sz="0" w:space="0" w:color="auto"/>
          </w:divBdr>
        </w:div>
        <w:div w:id="2117746212">
          <w:marLeft w:val="0"/>
          <w:marRight w:val="0"/>
          <w:marTop w:val="0"/>
          <w:marBottom w:val="0"/>
          <w:divBdr>
            <w:top w:val="none" w:sz="0" w:space="0" w:color="auto"/>
            <w:left w:val="none" w:sz="0" w:space="0" w:color="auto"/>
            <w:bottom w:val="none" w:sz="0" w:space="0" w:color="auto"/>
            <w:right w:val="none" w:sz="0" w:space="0" w:color="auto"/>
          </w:divBdr>
        </w:div>
      </w:divsChild>
    </w:div>
    <w:div w:id="1074864191">
      <w:bodyDiv w:val="1"/>
      <w:marLeft w:val="0"/>
      <w:marRight w:val="0"/>
      <w:marTop w:val="0"/>
      <w:marBottom w:val="0"/>
      <w:divBdr>
        <w:top w:val="none" w:sz="0" w:space="0" w:color="auto"/>
        <w:left w:val="none" w:sz="0" w:space="0" w:color="auto"/>
        <w:bottom w:val="none" w:sz="0" w:space="0" w:color="auto"/>
        <w:right w:val="none" w:sz="0" w:space="0" w:color="auto"/>
      </w:divBdr>
    </w:div>
    <w:div w:id="1145321357">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rgea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FABE-F432-4A58-BD17-6EEB822B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Konstantinidis</dc:creator>
  <cp:keywords/>
  <dc:description/>
  <cp:lastModifiedBy>Nick Dawkins</cp:lastModifiedBy>
  <cp:revision>2</cp:revision>
  <dcterms:created xsi:type="dcterms:W3CDTF">2021-06-17T07:23:00Z</dcterms:created>
  <dcterms:modified xsi:type="dcterms:W3CDTF">2021-06-17T07:23:00Z</dcterms:modified>
</cp:coreProperties>
</file>