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6A52D" w14:textId="77777777" w:rsidR="004F419C" w:rsidRPr="004F419C" w:rsidRDefault="004F419C" w:rsidP="004F419C">
      <w:pPr>
        <w:spacing w:after="100" w:line="240" w:lineRule="auto"/>
        <w:jc w:val="both"/>
        <w:rPr>
          <w:rFonts w:ascii="Calibri" w:eastAsia="Times New Roman" w:hAnsi="Calibri" w:cs="Calibri"/>
          <w:b/>
          <w:bCs/>
          <w:color w:val="000000"/>
        </w:rPr>
      </w:pPr>
      <w:r w:rsidRPr="004F419C">
        <w:rPr>
          <w:rFonts w:ascii="Arial" w:eastAsia="Times New Roman" w:hAnsi="Arial" w:cs="Arial"/>
          <w:b/>
          <w:bCs/>
          <w:color w:val="000000"/>
        </w:rPr>
        <w:t>THIS ANNOUNCEMENT CONTAINS INSIDE INFORMATION FOR THE PURPOSES OF ARTICLE 7 OF EU REGULATION 596/2014. UPON THE PUBLICATION OF THIS ANNOUNCEMENT VIA A REGULATORY NEWS SERVICE, THIS INSIDE INFORMATION IS NOW CONSIDERED TO BE IN THE PUBLIC DOMAIN.</w:t>
      </w:r>
    </w:p>
    <w:p w14:paraId="286B5D35" w14:textId="77777777" w:rsidR="004F419C" w:rsidRPr="004F419C" w:rsidRDefault="004F419C" w:rsidP="004F419C">
      <w:pPr>
        <w:spacing w:before="8" w:after="100" w:line="240" w:lineRule="auto"/>
        <w:jc w:val="both"/>
        <w:rPr>
          <w:rFonts w:ascii="Calibri" w:eastAsia="Times New Roman" w:hAnsi="Calibri" w:cs="Calibri"/>
          <w:b/>
          <w:bCs/>
          <w:color w:val="000000"/>
        </w:rPr>
      </w:pPr>
      <w:r w:rsidRPr="004F419C">
        <w:rPr>
          <w:rFonts w:ascii="Arial" w:eastAsia="Times New Roman" w:hAnsi="Arial" w:cs="Arial"/>
          <w:b/>
          <w:bCs/>
          <w:color w:val="000000"/>
        </w:rPr>
        <w:t>NOT FOR RELEASE, PUBLICATION OR DISTRIBUTION, IN WHOLE OR IN PART, DIRECTLY OR INDIRECTLY IN OR INTO THE UNITED STATES, AUSTRALIA, CANADA, JAPAN, THE REPUBLIC OF SOUTH AFRICA OR ANY OTHER JURISDICTION WHERE TO DO SO WOULD CONSTITUTE A VIOLATION OF THE RELEVANT LAWS OF SUCH JURISDICTION.</w:t>
      </w:r>
    </w:p>
    <w:p w14:paraId="39E37407" w14:textId="77777777" w:rsidR="004F419C" w:rsidRPr="004F419C" w:rsidRDefault="004F419C" w:rsidP="004F419C">
      <w:pPr>
        <w:spacing w:before="238" w:after="0" w:line="220" w:lineRule="atLeast"/>
        <w:jc w:val="both"/>
        <w:rPr>
          <w:rFonts w:ascii="Calibri" w:eastAsia="Times New Roman" w:hAnsi="Calibri" w:cs="Calibri"/>
          <w:color w:val="000000"/>
        </w:rPr>
      </w:pPr>
      <w:r w:rsidRPr="004F419C">
        <w:rPr>
          <w:rFonts w:ascii="Arial" w:eastAsia="Times New Roman" w:hAnsi="Arial" w:cs="Arial"/>
          <w:color w:val="000000"/>
        </w:rPr>
        <w:t>For immediate release</w:t>
      </w:r>
    </w:p>
    <w:p w14:paraId="65E6F13E" w14:textId="77777777" w:rsidR="004F419C" w:rsidRPr="004F419C" w:rsidRDefault="004F419C" w:rsidP="004F419C">
      <w:pPr>
        <w:spacing w:after="0" w:line="220" w:lineRule="atLeast"/>
        <w:jc w:val="both"/>
        <w:rPr>
          <w:rFonts w:ascii="Calibri" w:eastAsia="Times New Roman" w:hAnsi="Calibri" w:cs="Calibri"/>
          <w:color w:val="000000"/>
        </w:rPr>
      </w:pPr>
      <w:r w:rsidRPr="004F419C">
        <w:rPr>
          <w:rFonts w:ascii="Arial" w:eastAsia="Times New Roman" w:hAnsi="Arial" w:cs="Arial"/>
          <w:color w:val="000000"/>
        </w:rPr>
        <w:t>28 September 2020</w:t>
      </w:r>
    </w:p>
    <w:p w14:paraId="67C1BE9F" w14:textId="77777777" w:rsidR="004F419C" w:rsidRPr="004F419C" w:rsidRDefault="004F419C" w:rsidP="004F419C">
      <w:pPr>
        <w:spacing w:after="0" w:line="240" w:lineRule="auto"/>
        <w:rPr>
          <w:rFonts w:ascii="Calibri" w:eastAsia="Times New Roman" w:hAnsi="Calibri" w:cs="Calibri"/>
          <w:color w:val="000000"/>
        </w:rPr>
      </w:pPr>
      <w:r w:rsidRPr="004F419C">
        <w:rPr>
          <w:rFonts w:ascii="Arial" w:eastAsia="Times New Roman" w:hAnsi="Arial" w:cs="Arial"/>
          <w:color w:val="000000"/>
        </w:rPr>
        <w:t> </w:t>
      </w:r>
    </w:p>
    <w:p w14:paraId="0EBAD792" w14:textId="77777777" w:rsidR="004F419C" w:rsidRPr="004F419C" w:rsidRDefault="004F419C" w:rsidP="004F419C">
      <w:pPr>
        <w:spacing w:after="0" w:line="240" w:lineRule="auto"/>
        <w:ind w:left="2090" w:right="2090"/>
        <w:jc w:val="center"/>
        <w:rPr>
          <w:rFonts w:ascii="Calibri" w:eastAsia="Times New Roman" w:hAnsi="Calibri" w:cs="Calibri"/>
          <w:b/>
          <w:bCs/>
          <w:color w:val="000000"/>
        </w:rPr>
      </w:pPr>
      <w:r w:rsidRPr="004F419C">
        <w:rPr>
          <w:rFonts w:ascii="Arial" w:eastAsia="Times New Roman" w:hAnsi="Arial" w:cs="Arial"/>
          <w:b/>
          <w:bCs/>
          <w:color w:val="000000"/>
        </w:rPr>
        <w:t>Cobra Resources plc</w:t>
      </w:r>
    </w:p>
    <w:p w14:paraId="30ECAE8B" w14:textId="77777777" w:rsidR="004F419C" w:rsidRPr="004F419C" w:rsidRDefault="004F419C" w:rsidP="004F419C">
      <w:pPr>
        <w:spacing w:after="0" w:line="240" w:lineRule="auto"/>
        <w:ind w:left="2090" w:right="2090"/>
        <w:jc w:val="center"/>
        <w:rPr>
          <w:rFonts w:ascii="Calibri" w:eastAsia="Times New Roman" w:hAnsi="Calibri" w:cs="Calibri"/>
          <w:b/>
          <w:bCs/>
          <w:color w:val="000000"/>
        </w:rPr>
      </w:pPr>
      <w:r w:rsidRPr="004F419C">
        <w:rPr>
          <w:rFonts w:ascii="Arial" w:eastAsia="Times New Roman" w:hAnsi="Arial" w:cs="Arial"/>
          <w:b/>
          <w:bCs/>
          <w:color w:val="000000"/>
        </w:rPr>
        <w:t> </w:t>
      </w:r>
    </w:p>
    <w:p w14:paraId="02F0CE4F" w14:textId="77777777" w:rsidR="004F419C" w:rsidRPr="004F419C" w:rsidRDefault="004F419C" w:rsidP="004F419C">
      <w:pPr>
        <w:spacing w:after="0" w:line="240" w:lineRule="auto"/>
        <w:ind w:left="2090" w:right="2090"/>
        <w:jc w:val="center"/>
        <w:rPr>
          <w:rFonts w:ascii="Calibri" w:eastAsia="Times New Roman" w:hAnsi="Calibri" w:cs="Calibri"/>
          <w:b/>
          <w:bCs/>
          <w:color w:val="000000"/>
        </w:rPr>
      </w:pPr>
      <w:r w:rsidRPr="004F419C">
        <w:rPr>
          <w:rFonts w:ascii="Arial" w:eastAsia="Times New Roman" w:hAnsi="Arial" w:cs="Arial"/>
          <w:b/>
          <w:bCs/>
          <w:color w:val="000000"/>
        </w:rPr>
        <w:t>("Cobra" or the "Company")</w:t>
      </w:r>
    </w:p>
    <w:p w14:paraId="6B276EEF" w14:textId="77777777" w:rsidR="004F419C" w:rsidRPr="004F419C" w:rsidRDefault="004F419C" w:rsidP="004F419C">
      <w:pPr>
        <w:spacing w:after="0" w:line="240" w:lineRule="auto"/>
        <w:ind w:left="2090" w:right="2090"/>
        <w:jc w:val="center"/>
        <w:rPr>
          <w:rFonts w:ascii="Calibri" w:eastAsia="Times New Roman" w:hAnsi="Calibri" w:cs="Calibri"/>
          <w:b/>
          <w:bCs/>
          <w:color w:val="000000"/>
        </w:rPr>
      </w:pPr>
      <w:r w:rsidRPr="004F419C">
        <w:rPr>
          <w:rFonts w:ascii="Arial" w:eastAsia="Times New Roman" w:hAnsi="Arial" w:cs="Arial"/>
          <w:b/>
          <w:bCs/>
          <w:color w:val="000000"/>
        </w:rPr>
        <w:t> </w:t>
      </w:r>
    </w:p>
    <w:p w14:paraId="62D7B68B" w14:textId="77777777" w:rsidR="004F419C" w:rsidRPr="004F419C" w:rsidRDefault="004F419C" w:rsidP="004F419C">
      <w:pPr>
        <w:spacing w:line="240" w:lineRule="auto"/>
        <w:jc w:val="center"/>
        <w:rPr>
          <w:rFonts w:ascii="Calibri" w:eastAsia="Times New Roman" w:hAnsi="Calibri" w:cs="Calibri"/>
          <w:b/>
          <w:bCs/>
          <w:color w:val="000000"/>
        </w:rPr>
      </w:pPr>
      <w:r w:rsidRPr="004F419C">
        <w:rPr>
          <w:rFonts w:ascii="Arial" w:eastAsia="Times New Roman" w:hAnsi="Arial" w:cs="Arial"/>
          <w:b/>
          <w:bCs/>
          <w:color w:val="000000"/>
        </w:rPr>
        <w:t xml:space="preserve">Drilling Commences at </w:t>
      </w:r>
      <w:proofErr w:type="spellStart"/>
      <w:r w:rsidRPr="004F419C">
        <w:rPr>
          <w:rFonts w:ascii="Arial" w:eastAsia="Times New Roman" w:hAnsi="Arial" w:cs="Arial"/>
          <w:b/>
          <w:bCs/>
          <w:color w:val="000000"/>
        </w:rPr>
        <w:t>Wudinna</w:t>
      </w:r>
      <w:proofErr w:type="spellEnd"/>
    </w:p>
    <w:p w14:paraId="0882DCAC" w14:textId="77777777" w:rsidR="004F419C" w:rsidRPr="004F419C" w:rsidRDefault="004F419C" w:rsidP="004F419C">
      <w:pPr>
        <w:spacing w:line="240" w:lineRule="auto"/>
        <w:jc w:val="both"/>
        <w:rPr>
          <w:rFonts w:ascii="Calibri" w:eastAsia="Times New Roman" w:hAnsi="Calibri" w:cs="Calibri"/>
          <w:color w:val="000000"/>
        </w:rPr>
      </w:pPr>
      <w:r w:rsidRPr="004F419C">
        <w:rPr>
          <w:rFonts w:ascii="Arial" w:eastAsia="Times New Roman" w:hAnsi="Arial" w:cs="Arial"/>
          <w:b/>
          <w:bCs/>
          <w:color w:val="000000"/>
        </w:rPr>
        <w:t>Cobra </w:t>
      </w:r>
      <w:r w:rsidRPr="004F419C">
        <w:rPr>
          <w:rFonts w:ascii="Arial" w:eastAsia="Times New Roman" w:hAnsi="Arial" w:cs="Arial"/>
          <w:color w:val="000000"/>
        </w:rPr>
        <w:t xml:space="preserve">is an exploration and mining company focused on the evaluation of the </w:t>
      </w:r>
      <w:proofErr w:type="spellStart"/>
      <w:r w:rsidRPr="004F419C">
        <w:rPr>
          <w:rFonts w:ascii="Arial" w:eastAsia="Times New Roman" w:hAnsi="Arial" w:cs="Arial"/>
          <w:color w:val="000000"/>
        </w:rPr>
        <w:t>Wudinna</w:t>
      </w:r>
      <w:proofErr w:type="spellEnd"/>
      <w:r w:rsidRPr="004F419C">
        <w:rPr>
          <w:rFonts w:ascii="Arial" w:eastAsia="Times New Roman" w:hAnsi="Arial" w:cs="Arial"/>
          <w:color w:val="000000"/>
        </w:rPr>
        <w:t xml:space="preserve"> Gold Project. With 6 tenements covering 1,928km</w:t>
      </w:r>
      <w:r w:rsidRPr="004F419C">
        <w:rPr>
          <w:rFonts w:ascii="Arial" w:eastAsia="Times New Roman" w:hAnsi="Arial" w:cs="Arial"/>
          <w:color w:val="000000"/>
          <w:sz w:val="18"/>
          <w:szCs w:val="18"/>
          <w:vertAlign w:val="superscript"/>
        </w:rPr>
        <w:t>2</w:t>
      </w:r>
      <w:r w:rsidRPr="004F419C">
        <w:rPr>
          <w:rFonts w:ascii="Arial" w:eastAsia="Times New Roman" w:hAnsi="Arial" w:cs="Arial"/>
          <w:color w:val="000000"/>
        </w:rPr>
        <w:t xml:space="preserve">, </w:t>
      </w:r>
      <w:proofErr w:type="spellStart"/>
      <w:r w:rsidRPr="004F419C">
        <w:rPr>
          <w:rFonts w:ascii="Arial" w:eastAsia="Times New Roman" w:hAnsi="Arial" w:cs="Arial"/>
          <w:color w:val="000000"/>
        </w:rPr>
        <w:t>Wudinna</w:t>
      </w:r>
      <w:proofErr w:type="spellEnd"/>
      <w:r w:rsidRPr="004F419C">
        <w:rPr>
          <w:rFonts w:ascii="Arial" w:eastAsia="Times New Roman" w:hAnsi="Arial" w:cs="Arial"/>
          <w:color w:val="000000"/>
        </w:rPr>
        <w:t xml:space="preserve"> </w:t>
      </w:r>
      <w:proofErr w:type="gramStart"/>
      <w:r w:rsidRPr="004F419C">
        <w:rPr>
          <w:rFonts w:ascii="Arial" w:eastAsia="Times New Roman" w:hAnsi="Arial" w:cs="Arial"/>
          <w:color w:val="000000"/>
        </w:rPr>
        <w:t>is located in</w:t>
      </w:r>
      <w:proofErr w:type="gramEnd"/>
      <w:r w:rsidRPr="004F419C">
        <w:rPr>
          <w:rFonts w:ascii="Arial" w:eastAsia="Times New Roman" w:hAnsi="Arial" w:cs="Arial"/>
          <w:color w:val="000000"/>
        </w:rPr>
        <w:t xml:space="preserve"> the prime Central </w:t>
      </w:r>
      <w:proofErr w:type="spellStart"/>
      <w:r w:rsidRPr="004F419C">
        <w:rPr>
          <w:rFonts w:ascii="Arial" w:eastAsia="Times New Roman" w:hAnsi="Arial" w:cs="Arial"/>
          <w:color w:val="000000"/>
        </w:rPr>
        <w:t>Gawler</w:t>
      </w:r>
      <w:proofErr w:type="spellEnd"/>
      <w:r w:rsidRPr="004F419C">
        <w:rPr>
          <w:rFonts w:ascii="Arial" w:eastAsia="Times New Roman" w:hAnsi="Arial" w:cs="Arial"/>
          <w:color w:val="000000"/>
        </w:rPr>
        <w:t xml:space="preserve"> Craton Province ("CGC") of South Australia.</w:t>
      </w:r>
    </w:p>
    <w:p w14:paraId="1F5874B9" w14:textId="77777777" w:rsidR="004F419C" w:rsidRPr="004F419C" w:rsidRDefault="004F419C" w:rsidP="004F419C">
      <w:pPr>
        <w:spacing w:before="240" w:after="240" w:line="240" w:lineRule="auto"/>
        <w:jc w:val="both"/>
        <w:rPr>
          <w:rFonts w:ascii="Calibri" w:eastAsia="Times New Roman" w:hAnsi="Calibri" w:cs="Calibri"/>
          <w:b/>
          <w:bCs/>
          <w:color w:val="000000"/>
        </w:rPr>
      </w:pPr>
      <w:r w:rsidRPr="004F419C">
        <w:rPr>
          <w:rFonts w:ascii="Arial" w:eastAsia="Times New Roman" w:hAnsi="Arial" w:cs="Arial"/>
          <w:b/>
          <w:bCs/>
          <w:color w:val="000000"/>
        </w:rPr>
        <w:t>Key Highlights</w:t>
      </w:r>
    </w:p>
    <w:p w14:paraId="1F82A690" w14:textId="77777777" w:rsidR="004F419C" w:rsidRPr="004F419C" w:rsidRDefault="004F419C" w:rsidP="004F419C">
      <w:pPr>
        <w:spacing w:line="235" w:lineRule="atLeast"/>
        <w:ind w:left="142" w:hanging="426"/>
        <w:jc w:val="both"/>
        <w:rPr>
          <w:rFonts w:ascii="Calibri" w:eastAsia="Times New Roman" w:hAnsi="Calibri" w:cs="Calibri"/>
          <w:color w:val="000000"/>
        </w:rPr>
      </w:pPr>
      <w:bookmarkStart w:id="0" w:name="_GoBack"/>
      <w:r w:rsidRPr="004F419C">
        <w:rPr>
          <w:rFonts w:ascii="Arial" w:eastAsia="Times New Roman" w:hAnsi="Arial" w:cs="Arial"/>
          <w:color w:val="000000"/>
        </w:rPr>
        <w:t xml:space="preserve">•     </w:t>
      </w:r>
      <w:proofErr w:type="spellStart"/>
      <w:r w:rsidRPr="004F419C">
        <w:rPr>
          <w:rFonts w:ascii="Arial" w:eastAsia="Times New Roman" w:hAnsi="Arial" w:cs="Arial"/>
          <w:color w:val="000000"/>
        </w:rPr>
        <w:t>Hagstrom</w:t>
      </w:r>
      <w:proofErr w:type="spellEnd"/>
      <w:r w:rsidRPr="004F419C">
        <w:rPr>
          <w:rFonts w:ascii="Arial" w:eastAsia="Times New Roman" w:hAnsi="Arial" w:cs="Arial"/>
          <w:color w:val="000000"/>
        </w:rPr>
        <w:t xml:space="preserve"> Drilling arrived on site at </w:t>
      </w:r>
      <w:proofErr w:type="spellStart"/>
      <w:r w:rsidRPr="004F419C">
        <w:rPr>
          <w:rFonts w:ascii="Arial" w:eastAsia="Times New Roman" w:hAnsi="Arial" w:cs="Arial"/>
          <w:color w:val="000000"/>
        </w:rPr>
        <w:t>Wudinna</w:t>
      </w:r>
      <w:proofErr w:type="spellEnd"/>
      <w:r w:rsidRPr="004F419C">
        <w:rPr>
          <w:rFonts w:ascii="Arial" w:eastAsia="Times New Roman" w:hAnsi="Arial" w:cs="Arial"/>
          <w:color w:val="000000"/>
        </w:rPr>
        <w:t xml:space="preserve"> on the 23</w:t>
      </w:r>
      <w:r w:rsidRPr="004F419C">
        <w:rPr>
          <w:rFonts w:ascii="Arial" w:eastAsia="Times New Roman" w:hAnsi="Arial" w:cs="Arial"/>
          <w:color w:val="000000"/>
          <w:sz w:val="18"/>
          <w:szCs w:val="18"/>
          <w:vertAlign w:val="superscript"/>
        </w:rPr>
        <w:t>rd</w:t>
      </w:r>
      <w:r w:rsidRPr="004F419C">
        <w:rPr>
          <w:rFonts w:ascii="Arial" w:eastAsia="Times New Roman" w:hAnsi="Arial" w:cs="Arial"/>
          <w:color w:val="000000"/>
        </w:rPr>
        <w:t> September 2020</w:t>
      </w:r>
    </w:p>
    <w:p w14:paraId="723CB57B" w14:textId="77777777" w:rsidR="004F419C" w:rsidRPr="004F419C" w:rsidRDefault="004F419C" w:rsidP="004F419C">
      <w:pPr>
        <w:spacing w:line="235" w:lineRule="atLeast"/>
        <w:ind w:left="142" w:hanging="426"/>
        <w:jc w:val="both"/>
        <w:rPr>
          <w:rFonts w:ascii="Calibri" w:eastAsia="Times New Roman" w:hAnsi="Calibri" w:cs="Calibri"/>
          <w:color w:val="000000"/>
        </w:rPr>
      </w:pPr>
      <w:r w:rsidRPr="004F419C">
        <w:rPr>
          <w:rFonts w:ascii="Arial" w:eastAsia="Times New Roman" w:hAnsi="Arial" w:cs="Arial"/>
          <w:color w:val="000000"/>
        </w:rPr>
        <w:t>•     Drilling commenced on Saturday 26</w:t>
      </w:r>
      <w:r w:rsidRPr="004F419C">
        <w:rPr>
          <w:rFonts w:ascii="Arial" w:eastAsia="Times New Roman" w:hAnsi="Arial" w:cs="Arial"/>
          <w:color w:val="000000"/>
          <w:sz w:val="18"/>
          <w:szCs w:val="18"/>
          <w:vertAlign w:val="superscript"/>
        </w:rPr>
        <w:t>th</w:t>
      </w:r>
      <w:r w:rsidRPr="004F419C">
        <w:rPr>
          <w:rFonts w:ascii="Arial" w:eastAsia="Times New Roman" w:hAnsi="Arial" w:cs="Arial"/>
          <w:color w:val="000000"/>
        </w:rPr>
        <w:t> September, with a small delay due to rain.</w:t>
      </w:r>
    </w:p>
    <w:p w14:paraId="1E0B215A" w14:textId="77777777" w:rsidR="004F419C" w:rsidRPr="004F419C" w:rsidRDefault="004F419C" w:rsidP="004F419C">
      <w:pPr>
        <w:spacing w:line="235" w:lineRule="atLeast"/>
        <w:ind w:left="142" w:hanging="426"/>
        <w:jc w:val="both"/>
        <w:rPr>
          <w:rFonts w:ascii="Calibri" w:eastAsia="Times New Roman" w:hAnsi="Calibri" w:cs="Calibri"/>
          <w:color w:val="000000"/>
        </w:rPr>
      </w:pPr>
      <w:r w:rsidRPr="004F419C">
        <w:rPr>
          <w:rFonts w:ascii="Arial" w:eastAsia="Times New Roman" w:hAnsi="Arial" w:cs="Arial"/>
          <w:color w:val="000000"/>
        </w:rPr>
        <w:t>•     Results will be announced to the market once they have been received from the laboratory and QA/QC checks have been completed.</w:t>
      </w:r>
    </w:p>
    <w:bookmarkEnd w:id="0"/>
    <w:p w14:paraId="2C0B424D" w14:textId="77777777" w:rsidR="004F419C" w:rsidRPr="004F419C" w:rsidRDefault="004F419C" w:rsidP="004F419C">
      <w:pPr>
        <w:spacing w:after="120" w:line="240" w:lineRule="auto"/>
        <w:jc w:val="both"/>
        <w:rPr>
          <w:rFonts w:ascii="Calibri" w:eastAsia="Times New Roman" w:hAnsi="Calibri" w:cs="Calibri"/>
          <w:b/>
          <w:bCs/>
          <w:color w:val="000000"/>
        </w:rPr>
      </w:pPr>
      <w:r w:rsidRPr="004F419C">
        <w:rPr>
          <w:rFonts w:ascii="Arial" w:eastAsia="Times New Roman" w:hAnsi="Arial" w:cs="Arial"/>
          <w:b/>
          <w:bCs/>
          <w:color w:val="000000"/>
        </w:rPr>
        <w:t>In Detail:</w:t>
      </w:r>
    </w:p>
    <w:p w14:paraId="46FB5E30" w14:textId="77777777" w:rsidR="004F419C" w:rsidRPr="004F419C" w:rsidRDefault="004F419C" w:rsidP="004F419C">
      <w:pPr>
        <w:spacing w:line="235" w:lineRule="atLeast"/>
        <w:jc w:val="both"/>
        <w:rPr>
          <w:rFonts w:ascii="Calibri" w:eastAsia="Times New Roman" w:hAnsi="Calibri" w:cs="Calibri"/>
          <w:b/>
          <w:bCs/>
          <w:color w:val="000000"/>
        </w:rPr>
      </w:pPr>
      <w:r w:rsidRPr="004F419C">
        <w:rPr>
          <w:rFonts w:ascii="Arial" w:eastAsia="Times New Roman" w:hAnsi="Arial" w:cs="Arial"/>
          <w:b/>
          <w:bCs/>
          <w:color w:val="000000"/>
        </w:rPr>
        <w:t>Drilling Commences</w:t>
      </w:r>
    </w:p>
    <w:p w14:paraId="34592597" w14:textId="77777777" w:rsidR="004F419C" w:rsidRPr="004F419C" w:rsidRDefault="004F419C" w:rsidP="004F419C">
      <w:pPr>
        <w:spacing w:line="240" w:lineRule="auto"/>
        <w:jc w:val="both"/>
        <w:rPr>
          <w:rFonts w:ascii="Calibri" w:eastAsia="Times New Roman" w:hAnsi="Calibri" w:cs="Calibri"/>
          <w:color w:val="000000"/>
        </w:rPr>
      </w:pPr>
      <w:r w:rsidRPr="004F419C">
        <w:rPr>
          <w:rFonts w:ascii="Arial" w:eastAsia="Times New Roman" w:hAnsi="Arial" w:cs="Arial"/>
          <w:color w:val="000000"/>
        </w:rPr>
        <w:t>The previously announced the </w:t>
      </w:r>
      <w:r w:rsidRPr="004F419C">
        <w:rPr>
          <w:rFonts w:ascii="Arial" w:eastAsia="Times New Roman" w:hAnsi="Arial" w:cs="Arial"/>
          <w:b/>
          <w:bCs/>
          <w:color w:val="000000"/>
        </w:rPr>
        <w:t>Programme 1 </w:t>
      </w:r>
      <w:r w:rsidRPr="004F419C">
        <w:rPr>
          <w:rFonts w:ascii="Arial" w:eastAsia="Times New Roman" w:hAnsi="Arial" w:cs="Arial"/>
          <w:color w:val="000000"/>
        </w:rPr>
        <w:t>drilling programme has commenced at the greater Baggy Green area today on schedule. The first hole will be drilled at Baggy Green. This first programme will include 25 holes for a planned total of 3,750m.</w:t>
      </w:r>
    </w:p>
    <w:p w14:paraId="5B03D6A3" w14:textId="77777777" w:rsidR="004F419C" w:rsidRPr="004F419C" w:rsidRDefault="004F419C" w:rsidP="004F419C">
      <w:pPr>
        <w:spacing w:line="240" w:lineRule="auto"/>
        <w:jc w:val="both"/>
        <w:rPr>
          <w:rFonts w:ascii="Calibri" w:eastAsia="Times New Roman" w:hAnsi="Calibri" w:cs="Calibri"/>
          <w:color w:val="000000"/>
        </w:rPr>
      </w:pPr>
      <w:r w:rsidRPr="004F419C">
        <w:rPr>
          <w:rFonts w:ascii="Arial" w:eastAsia="Times New Roman" w:hAnsi="Arial" w:cs="Arial"/>
          <w:color w:val="000000"/>
        </w:rPr>
        <w:t>We plan to update the market on drilling progress with significant assay results to be announced once the assays have been validated. Assay labs are currently experiencing high demand with turn time expected to be between 3 to 5 weeks. We will update the market as those results become available.</w:t>
      </w:r>
    </w:p>
    <w:p w14:paraId="3D4E21AD" w14:textId="77777777" w:rsidR="004F419C" w:rsidRPr="004F419C" w:rsidRDefault="004F419C" w:rsidP="004F419C">
      <w:pPr>
        <w:spacing w:line="240" w:lineRule="auto"/>
        <w:jc w:val="both"/>
        <w:rPr>
          <w:rFonts w:ascii="Calibri" w:eastAsia="Times New Roman" w:hAnsi="Calibri" w:cs="Calibri"/>
          <w:color w:val="000000"/>
        </w:rPr>
      </w:pPr>
      <w:r w:rsidRPr="004F419C">
        <w:rPr>
          <w:rFonts w:ascii="Arial" w:eastAsia="Times New Roman" w:hAnsi="Arial" w:cs="Arial"/>
          <w:color w:val="000000"/>
        </w:rPr>
        <w:t> </w:t>
      </w:r>
    </w:p>
    <w:p w14:paraId="796ECA5A" w14:textId="77777777" w:rsidR="004F419C" w:rsidRPr="004F419C" w:rsidRDefault="004F419C" w:rsidP="004F419C">
      <w:pPr>
        <w:spacing w:line="235" w:lineRule="atLeast"/>
        <w:jc w:val="both"/>
        <w:rPr>
          <w:rFonts w:ascii="Calibri" w:eastAsia="Times New Roman" w:hAnsi="Calibri" w:cs="Calibri"/>
          <w:color w:val="000000"/>
        </w:rPr>
      </w:pPr>
      <w:r w:rsidRPr="004F419C">
        <w:rPr>
          <w:rFonts w:ascii="Arial" w:eastAsia="Times New Roman" w:hAnsi="Arial" w:cs="Arial"/>
          <w:b/>
          <w:bCs/>
          <w:color w:val="000000"/>
        </w:rPr>
        <w:t>Craig Moulton, Director of Cobra</w:t>
      </w:r>
      <w:r w:rsidRPr="004F419C">
        <w:rPr>
          <w:rFonts w:ascii="Arial" w:eastAsia="Times New Roman" w:hAnsi="Arial" w:cs="Arial"/>
          <w:color w:val="000000"/>
        </w:rPr>
        <w:t> </w:t>
      </w:r>
      <w:r w:rsidRPr="004F419C">
        <w:rPr>
          <w:rFonts w:ascii="Arial" w:eastAsia="Times New Roman" w:hAnsi="Arial" w:cs="Arial"/>
          <w:b/>
          <w:bCs/>
          <w:color w:val="000000"/>
        </w:rPr>
        <w:t>commented:</w:t>
      </w:r>
    </w:p>
    <w:p w14:paraId="2A55DD1A" w14:textId="77777777" w:rsidR="004F419C" w:rsidRPr="004F419C" w:rsidRDefault="004F419C" w:rsidP="004F419C">
      <w:pPr>
        <w:spacing w:line="235" w:lineRule="atLeast"/>
        <w:jc w:val="both"/>
        <w:rPr>
          <w:rFonts w:ascii="Calibri" w:eastAsia="Times New Roman" w:hAnsi="Calibri" w:cs="Calibri"/>
          <w:i/>
          <w:iCs/>
          <w:color w:val="000000"/>
        </w:rPr>
      </w:pPr>
      <w:r w:rsidRPr="004F419C">
        <w:rPr>
          <w:rFonts w:ascii="Arial" w:eastAsia="Times New Roman" w:hAnsi="Arial" w:cs="Arial"/>
          <w:i/>
          <w:iCs/>
          <w:color w:val="000000"/>
        </w:rPr>
        <w:t>"After a significant period of target definition across a number of areas I am pleased to advise shareholders we have commenced drill testing the resultant anomalies. We look forward to announcing significant results as soon as they are available"</w:t>
      </w:r>
    </w:p>
    <w:p w14:paraId="3B0FF268" w14:textId="77777777" w:rsidR="004F419C" w:rsidRPr="004F419C" w:rsidRDefault="004F419C" w:rsidP="004F419C">
      <w:pPr>
        <w:spacing w:line="235" w:lineRule="atLeast"/>
        <w:jc w:val="both"/>
        <w:rPr>
          <w:rFonts w:ascii="Calibri" w:eastAsia="Times New Roman" w:hAnsi="Calibri" w:cs="Calibri"/>
          <w:color w:val="000000"/>
        </w:rPr>
      </w:pPr>
      <w:r w:rsidRPr="004F419C">
        <w:rPr>
          <w:rFonts w:ascii="Arial" w:eastAsia="Times New Roman" w:hAnsi="Arial" w:cs="Arial"/>
          <w:color w:val="000000"/>
        </w:rPr>
        <w:t>The person who arranged for the release of this announcement was Craig Moulton, Managing Director of the Company</w:t>
      </w:r>
    </w:p>
    <w:p w14:paraId="6DD34FF4" w14:textId="77777777" w:rsidR="004F419C" w:rsidRPr="004F419C" w:rsidRDefault="004F419C" w:rsidP="004F419C">
      <w:pPr>
        <w:spacing w:after="0" w:line="240" w:lineRule="auto"/>
        <w:ind w:left="1639" w:right="1781"/>
        <w:jc w:val="center"/>
        <w:rPr>
          <w:rFonts w:ascii="Calibri" w:eastAsia="Times New Roman" w:hAnsi="Calibri" w:cs="Calibri"/>
          <w:b/>
          <w:bCs/>
          <w:color w:val="000000"/>
        </w:rPr>
      </w:pPr>
      <w:r w:rsidRPr="004F419C">
        <w:rPr>
          <w:rFonts w:ascii="Arial" w:eastAsia="Times New Roman" w:hAnsi="Arial" w:cs="Arial"/>
          <w:b/>
          <w:bCs/>
          <w:color w:val="222222"/>
        </w:rPr>
        <w:t>End</w:t>
      </w:r>
    </w:p>
    <w:p w14:paraId="5EAF2B1D" w14:textId="77777777" w:rsidR="004F419C" w:rsidRPr="004F419C" w:rsidRDefault="004F419C" w:rsidP="004F419C">
      <w:pPr>
        <w:spacing w:after="0" w:line="240" w:lineRule="auto"/>
        <w:ind w:right="1781"/>
        <w:jc w:val="both"/>
        <w:rPr>
          <w:rFonts w:ascii="Calibri" w:eastAsia="Times New Roman" w:hAnsi="Calibri" w:cs="Calibri"/>
          <w:color w:val="000000"/>
        </w:rPr>
      </w:pPr>
      <w:r w:rsidRPr="004F419C">
        <w:rPr>
          <w:rFonts w:ascii="Arial" w:eastAsia="Times New Roman" w:hAnsi="Arial" w:cs="Arial"/>
          <w:color w:val="000000"/>
        </w:rPr>
        <w:t>Enquiries:</w:t>
      </w:r>
    </w:p>
    <w:p w14:paraId="0115F1E6" w14:textId="77777777" w:rsidR="004F419C" w:rsidRPr="004F419C" w:rsidRDefault="004F419C" w:rsidP="004F419C">
      <w:pPr>
        <w:spacing w:before="8" w:line="240" w:lineRule="auto"/>
        <w:jc w:val="both"/>
        <w:rPr>
          <w:rFonts w:ascii="Calibri" w:eastAsia="Times New Roman" w:hAnsi="Calibri" w:cs="Calibri"/>
          <w:b/>
          <w:bCs/>
          <w:color w:val="000000"/>
        </w:rPr>
      </w:pPr>
      <w:r w:rsidRPr="004F419C">
        <w:rPr>
          <w:rFonts w:ascii="Arial" w:eastAsia="Times New Roman" w:hAnsi="Arial" w:cs="Arial"/>
          <w:b/>
          <w:bCs/>
          <w:color w:val="000000"/>
        </w:rPr>
        <w:t> </w:t>
      </w:r>
    </w:p>
    <w:tbl>
      <w:tblPr>
        <w:tblW w:w="0" w:type="auto"/>
        <w:tblInd w:w="-57" w:type="dxa"/>
        <w:tblCellMar>
          <w:left w:w="0" w:type="dxa"/>
          <w:right w:w="0" w:type="dxa"/>
        </w:tblCellMar>
        <w:tblLook w:val="04A0" w:firstRow="1" w:lastRow="0" w:firstColumn="1" w:lastColumn="0" w:noHBand="0" w:noVBand="1"/>
      </w:tblPr>
      <w:tblGrid>
        <w:gridCol w:w="3195"/>
        <w:gridCol w:w="2460"/>
        <w:gridCol w:w="3210"/>
      </w:tblGrid>
      <w:tr w:rsidR="004F419C" w:rsidRPr="004F419C" w14:paraId="69BC2CAD" w14:textId="77777777" w:rsidTr="004F419C">
        <w:trPr>
          <w:trHeight w:val="1"/>
        </w:trPr>
        <w:tc>
          <w:tcPr>
            <w:tcW w:w="3195" w:type="dxa"/>
            <w:tcBorders>
              <w:top w:val="single" w:sz="8" w:space="0" w:color="000000"/>
              <w:left w:val="single" w:sz="8" w:space="0" w:color="000000"/>
              <w:bottom w:val="single" w:sz="8" w:space="0" w:color="000000"/>
              <w:right w:val="single" w:sz="8" w:space="0" w:color="000000"/>
            </w:tcBorders>
            <w:tcMar>
              <w:top w:w="57" w:type="dxa"/>
              <w:left w:w="57" w:type="dxa"/>
              <w:bottom w:w="0" w:type="dxa"/>
              <w:right w:w="0" w:type="dxa"/>
            </w:tcMar>
            <w:hideMark/>
          </w:tcPr>
          <w:p w14:paraId="41EDA96B" w14:textId="77777777" w:rsidR="004F419C" w:rsidRPr="004F419C" w:rsidRDefault="004F419C" w:rsidP="004F419C">
            <w:pPr>
              <w:spacing w:before="8" w:after="100" w:line="240" w:lineRule="auto"/>
              <w:rPr>
                <w:rFonts w:ascii="Calibri" w:eastAsia="Times New Roman" w:hAnsi="Calibri" w:cs="Calibri"/>
              </w:rPr>
            </w:pPr>
            <w:r w:rsidRPr="004F419C">
              <w:rPr>
                <w:rFonts w:ascii="Arial" w:eastAsia="Times New Roman" w:hAnsi="Arial" w:cs="Arial"/>
                <w:color w:val="000000"/>
              </w:rPr>
              <w:lastRenderedPageBreak/>
              <w:t>Cobra Resources plc</w:t>
            </w:r>
          </w:p>
        </w:tc>
        <w:tc>
          <w:tcPr>
            <w:tcW w:w="2460" w:type="dxa"/>
            <w:tcBorders>
              <w:top w:val="single" w:sz="8" w:space="0" w:color="000000"/>
              <w:left w:val="nil"/>
              <w:bottom w:val="single" w:sz="8" w:space="0" w:color="000000"/>
              <w:right w:val="single" w:sz="8" w:space="0" w:color="000000"/>
            </w:tcBorders>
            <w:tcMar>
              <w:top w:w="57" w:type="dxa"/>
              <w:left w:w="57" w:type="dxa"/>
              <w:bottom w:w="0" w:type="dxa"/>
              <w:right w:w="0" w:type="dxa"/>
            </w:tcMar>
            <w:hideMark/>
          </w:tcPr>
          <w:p w14:paraId="558955CC" w14:textId="77777777" w:rsidR="004F419C" w:rsidRPr="004F419C" w:rsidRDefault="004F419C" w:rsidP="004F419C">
            <w:pPr>
              <w:spacing w:after="100" w:line="240" w:lineRule="auto"/>
              <w:ind w:right="341"/>
              <w:rPr>
                <w:rFonts w:ascii="Calibri" w:eastAsia="Times New Roman" w:hAnsi="Calibri" w:cs="Calibri"/>
              </w:rPr>
            </w:pPr>
            <w:r w:rsidRPr="004F419C">
              <w:rPr>
                <w:rFonts w:ascii="Arial" w:eastAsia="Times New Roman" w:hAnsi="Arial" w:cs="Arial"/>
              </w:rPr>
              <w:t>Craig Moulton</w:t>
            </w:r>
          </w:p>
          <w:p w14:paraId="10AD55F1" w14:textId="77777777" w:rsidR="004F419C" w:rsidRPr="004F419C" w:rsidRDefault="004F419C" w:rsidP="004F419C">
            <w:pPr>
              <w:spacing w:after="100" w:line="240" w:lineRule="auto"/>
              <w:ind w:right="341"/>
              <w:rPr>
                <w:rFonts w:ascii="Calibri" w:eastAsia="Times New Roman" w:hAnsi="Calibri" w:cs="Calibri"/>
              </w:rPr>
            </w:pPr>
            <w:r w:rsidRPr="004F419C">
              <w:rPr>
                <w:rFonts w:ascii="Arial" w:eastAsia="Times New Roman" w:hAnsi="Arial" w:cs="Arial"/>
              </w:rPr>
              <w:t xml:space="preserve">Daniel </w:t>
            </w:r>
            <w:proofErr w:type="spellStart"/>
            <w:r w:rsidRPr="004F419C">
              <w:rPr>
                <w:rFonts w:ascii="Arial" w:eastAsia="Times New Roman" w:hAnsi="Arial" w:cs="Arial"/>
              </w:rPr>
              <w:t>Maling</w:t>
            </w:r>
            <w:proofErr w:type="spellEnd"/>
            <w:r w:rsidRPr="004F419C">
              <w:rPr>
                <w:rFonts w:ascii="Arial" w:eastAsia="Times New Roman" w:hAnsi="Arial" w:cs="Arial"/>
              </w:rPr>
              <w:t xml:space="preserve"> (UK)</w:t>
            </w:r>
          </w:p>
        </w:tc>
        <w:tc>
          <w:tcPr>
            <w:tcW w:w="3210" w:type="dxa"/>
            <w:tcBorders>
              <w:top w:val="single" w:sz="8" w:space="0" w:color="000000"/>
              <w:left w:val="nil"/>
              <w:bottom w:val="single" w:sz="8" w:space="0" w:color="000000"/>
              <w:right w:val="single" w:sz="8" w:space="0" w:color="000000"/>
            </w:tcBorders>
            <w:tcMar>
              <w:top w:w="57" w:type="dxa"/>
              <w:left w:w="57" w:type="dxa"/>
              <w:bottom w:w="0" w:type="dxa"/>
              <w:right w:w="0" w:type="dxa"/>
            </w:tcMar>
            <w:hideMark/>
          </w:tcPr>
          <w:p w14:paraId="64C6C86E" w14:textId="77777777" w:rsidR="004F419C" w:rsidRPr="004F419C" w:rsidRDefault="004F419C" w:rsidP="004F419C">
            <w:pPr>
              <w:spacing w:after="100" w:line="240" w:lineRule="auto"/>
              <w:ind w:left="199" w:right="341"/>
              <w:jc w:val="both"/>
              <w:rPr>
                <w:rFonts w:ascii="Calibri" w:eastAsia="Times New Roman" w:hAnsi="Calibri" w:cs="Calibri"/>
              </w:rPr>
            </w:pPr>
            <w:r w:rsidRPr="004F419C">
              <w:rPr>
                <w:rFonts w:ascii="Arial" w:eastAsia="Times New Roman" w:hAnsi="Arial" w:cs="Arial"/>
              </w:rPr>
              <w:t>+61 (0) 893164938</w:t>
            </w:r>
          </w:p>
          <w:p w14:paraId="3904018C" w14:textId="77777777" w:rsidR="004F419C" w:rsidRPr="004F419C" w:rsidRDefault="004F419C" w:rsidP="004F419C">
            <w:pPr>
              <w:spacing w:after="100" w:line="240" w:lineRule="auto"/>
              <w:ind w:left="199" w:right="341"/>
              <w:jc w:val="both"/>
              <w:rPr>
                <w:rFonts w:ascii="Calibri" w:eastAsia="Times New Roman" w:hAnsi="Calibri" w:cs="Calibri"/>
              </w:rPr>
            </w:pPr>
            <w:r w:rsidRPr="004F419C">
              <w:rPr>
                <w:rFonts w:ascii="Arial" w:eastAsia="Times New Roman" w:hAnsi="Arial" w:cs="Arial"/>
              </w:rPr>
              <w:t>+44 (0) 758 003 2520</w:t>
            </w:r>
          </w:p>
        </w:tc>
      </w:tr>
      <w:tr w:rsidR="004F419C" w:rsidRPr="004F419C" w14:paraId="313400F4" w14:textId="77777777" w:rsidTr="004F419C">
        <w:trPr>
          <w:trHeight w:val="1"/>
        </w:trPr>
        <w:tc>
          <w:tcPr>
            <w:tcW w:w="3195" w:type="dxa"/>
            <w:tcBorders>
              <w:top w:val="nil"/>
              <w:left w:val="single" w:sz="8" w:space="0" w:color="000000"/>
              <w:bottom w:val="single" w:sz="8" w:space="0" w:color="000000"/>
              <w:right w:val="single" w:sz="8" w:space="0" w:color="000000"/>
            </w:tcBorders>
            <w:tcMar>
              <w:top w:w="57" w:type="dxa"/>
              <w:left w:w="57" w:type="dxa"/>
              <w:bottom w:w="0" w:type="dxa"/>
              <w:right w:w="0" w:type="dxa"/>
            </w:tcMar>
            <w:hideMark/>
          </w:tcPr>
          <w:p w14:paraId="730ADA5C" w14:textId="77777777" w:rsidR="004F419C" w:rsidRPr="004F419C" w:rsidRDefault="004F419C" w:rsidP="004F419C">
            <w:pPr>
              <w:spacing w:before="8" w:after="100" w:line="240" w:lineRule="auto"/>
              <w:rPr>
                <w:rFonts w:ascii="Calibri" w:eastAsia="Times New Roman" w:hAnsi="Calibri" w:cs="Calibri"/>
              </w:rPr>
            </w:pPr>
            <w:r w:rsidRPr="004F419C">
              <w:rPr>
                <w:rFonts w:ascii="Arial" w:eastAsia="Times New Roman" w:hAnsi="Arial" w:cs="Arial"/>
                <w:color w:val="000000"/>
              </w:rPr>
              <w:t>SI Capital Limited</w:t>
            </w:r>
          </w:p>
          <w:p w14:paraId="026802BF" w14:textId="77777777" w:rsidR="004F419C" w:rsidRPr="004F419C" w:rsidRDefault="004F419C" w:rsidP="004F419C">
            <w:pPr>
              <w:spacing w:before="8" w:after="100" w:line="240" w:lineRule="auto"/>
              <w:rPr>
                <w:rFonts w:ascii="Calibri" w:eastAsia="Times New Roman" w:hAnsi="Calibri" w:cs="Calibri"/>
              </w:rPr>
            </w:pPr>
            <w:r w:rsidRPr="004F419C">
              <w:rPr>
                <w:rFonts w:ascii="Arial" w:eastAsia="Times New Roman" w:hAnsi="Arial" w:cs="Arial"/>
                <w:color w:val="000000"/>
              </w:rPr>
              <w:t>(Joint Broker)</w:t>
            </w:r>
          </w:p>
        </w:tc>
        <w:tc>
          <w:tcPr>
            <w:tcW w:w="2460" w:type="dxa"/>
            <w:tcBorders>
              <w:top w:val="nil"/>
              <w:left w:val="nil"/>
              <w:bottom w:val="single" w:sz="8" w:space="0" w:color="000000"/>
              <w:right w:val="single" w:sz="8" w:space="0" w:color="000000"/>
            </w:tcBorders>
            <w:tcMar>
              <w:top w:w="57" w:type="dxa"/>
              <w:left w:w="57" w:type="dxa"/>
              <w:bottom w:w="0" w:type="dxa"/>
              <w:right w:w="0" w:type="dxa"/>
            </w:tcMar>
            <w:hideMark/>
          </w:tcPr>
          <w:p w14:paraId="6B3E0EA9" w14:textId="77777777" w:rsidR="004F419C" w:rsidRPr="004F419C" w:rsidRDefault="004F419C" w:rsidP="004F419C">
            <w:pPr>
              <w:spacing w:after="100" w:line="240" w:lineRule="auto"/>
              <w:ind w:right="341"/>
              <w:rPr>
                <w:rFonts w:ascii="Calibri" w:eastAsia="Times New Roman" w:hAnsi="Calibri" w:cs="Calibri"/>
              </w:rPr>
            </w:pPr>
            <w:r w:rsidRPr="004F419C">
              <w:rPr>
                <w:rFonts w:ascii="Arial" w:eastAsia="Times New Roman" w:hAnsi="Arial" w:cs="Arial"/>
                <w:color w:val="000000"/>
              </w:rPr>
              <w:t>Nick Emerson</w:t>
            </w:r>
          </w:p>
          <w:p w14:paraId="46C548DB" w14:textId="77777777" w:rsidR="004F419C" w:rsidRPr="004F419C" w:rsidRDefault="004F419C" w:rsidP="004F419C">
            <w:pPr>
              <w:spacing w:after="100" w:line="240" w:lineRule="auto"/>
              <w:ind w:right="341"/>
              <w:rPr>
                <w:rFonts w:ascii="Calibri" w:eastAsia="Times New Roman" w:hAnsi="Calibri" w:cs="Calibri"/>
              </w:rPr>
            </w:pPr>
            <w:r w:rsidRPr="004F419C">
              <w:rPr>
                <w:rFonts w:ascii="Arial" w:eastAsia="Times New Roman" w:hAnsi="Arial" w:cs="Arial"/>
                <w:color w:val="000000"/>
              </w:rPr>
              <w:t xml:space="preserve">Sam </w:t>
            </w:r>
            <w:proofErr w:type="spellStart"/>
            <w:r w:rsidRPr="004F419C">
              <w:rPr>
                <w:rFonts w:ascii="Arial" w:eastAsia="Times New Roman" w:hAnsi="Arial" w:cs="Arial"/>
                <w:color w:val="000000"/>
              </w:rPr>
              <w:t>Lomanto</w:t>
            </w:r>
            <w:proofErr w:type="spellEnd"/>
          </w:p>
        </w:tc>
        <w:tc>
          <w:tcPr>
            <w:tcW w:w="3210" w:type="dxa"/>
            <w:tcBorders>
              <w:top w:val="nil"/>
              <w:left w:val="nil"/>
              <w:bottom w:val="single" w:sz="8" w:space="0" w:color="000000"/>
              <w:right w:val="single" w:sz="8" w:space="0" w:color="000000"/>
            </w:tcBorders>
            <w:tcMar>
              <w:top w:w="57" w:type="dxa"/>
              <w:left w:w="57" w:type="dxa"/>
              <w:bottom w:w="0" w:type="dxa"/>
              <w:right w:w="0" w:type="dxa"/>
            </w:tcMar>
            <w:hideMark/>
          </w:tcPr>
          <w:p w14:paraId="1988D3DA" w14:textId="77777777" w:rsidR="004F419C" w:rsidRPr="004F419C" w:rsidRDefault="004F419C" w:rsidP="004F419C">
            <w:pPr>
              <w:spacing w:after="100" w:line="240" w:lineRule="auto"/>
              <w:ind w:left="199" w:right="341"/>
              <w:jc w:val="both"/>
              <w:rPr>
                <w:rFonts w:ascii="Calibri" w:eastAsia="Times New Roman" w:hAnsi="Calibri" w:cs="Calibri"/>
              </w:rPr>
            </w:pPr>
            <w:r w:rsidRPr="004F419C">
              <w:rPr>
                <w:rFonts w:ascii="Arial" w:eastAsia="Times New Roman" w:hAnsi="Arial" w:cs="Arial"/>
              </w:rPr>
              <w:t>+44 (0) 14 8341 3500</w:t>
            </w:r>
          </w:p>
        </w:tc>
      </w:tr>
      <w:tr w:rsidR="004F419C" w:rsidRPr="004F419C" w14:paraId="76C40C4F" w14:textId="77777777" w:rsidTr="004F419C">
        <w:trPr>
          <w:trHeight w:val="1"/>
        </w:trPr>
        <w:tc>
          <w:tcPr>
            <w:tcW w:w="3195" w:type="dxa"/>
            <w:tcBorders>
              <w:top w:val="nil"/>
              <w:left w:val="single" w:sz="8" w:space="0" w:color="000000"/>
              <w:bottom w:val="single" w:sz="8" w:space="0" w:color="000000"/>
              <w:right w:val="single" w:sz="8" w:space="0" w:color="000000"/>
            </w:tcBorders>
            <w:tcMar>
              <w:top w:w="57" w:type="dxa"/>
              <w:left w:w="57" w:type="dxa"/>
              <w:bottom w:w="0" w:type="dxa"/>
              <w:right w:w="0" w:type="dxa"/>
            </w:tcMar>
            <w:hideMark/>
          </w:tcPr>
          <w:p w14:paraId="3315514E" w14:textId="77777777" w:rsidR="004F419C" w:rsidRPr="004F419C" w:rsidRDefault="004F419C" w:rsidP="004F419C">
            <w:pPr>
              <w:spacing w:before="8" w:after="100" w:line="240" w:lineRule="auto"/>
              <w:jc w:val="both"/>
              <w:rPr>
                <w:rFonts w:ascii="Calibri" w:eastAsia="Times New Roman" w:hAnsi="Calibri" w:cs="Calibri"/>
              </w:rPr>
            </w:pPr>
            <w:r w:rsidRPr="004F419C">
              <w:rPr>
                <w:rFonts w:ascii="Arial" w:eastAsia="Times New Roman" w:hAnsi="Arial" w:cs="Arial"/>
                <w:color w:val="000000"/>
              </w:rPr>
              <w:t>Peterhouse Capital Limited</w:t>
            </w:r>
          </w:p>
          <w:p w14:paraId="53DCEDCF" w14:textId="77777777" w:rsidR="004F419C" w:rsidRPr="004F419C" w:rsidRDefault="004F419C" w:rsidP="004F419C">
            <w:pPr>
              <w:spacing w:before="8" w:after="100" w:line="240" w:lineRule="auto"/>
              <w:jc w:val="both"/>
              <w:rPr>
                <w:rFonts w:ascii="Calibri" w:eastAsia="Times New Roman" w:hAnsi="Calibri" w:cs="Calibri"/>
              </w:rPr>
            </w:pPr>
            <w:r w:rsidRPr="004F419C">
              <w:rPr>
                <w:rFonts w:ascii="Arial" w:eastAsia="Times New Roman" w:hAnsi="Arial" w:cs="Arial"/>
                <w:color w:val="000000"/>
              </w:rPr>
              <w:t>(Joint Broker)</w:t>
            </w:r>
          </w:p>
        </w:tc>
        <w:tc>
          <w:tcPr>
            <w:tcW w:w="2460" w:type="dxa"/>
            <w:tcBorders>
              <w:top w:val="nil"/>
              <w:left w:val="nil"/>
              <w:bottom w:val="single" w:sz="8" w:space="0" w:color="000000"/>
              <w:right w:val="single" w:sz="8" w:space="0" w:color="000000"/>
            </w:tcBorders>
            <w:tcMar>
              <w:top w:w="57" w:type="dxa"/>
              <w:left w:w="57" w:type="dxa"/>
              <w:bottom w:w="0" w:type="dxa"/>
              <w:right w:w="0" w:type="dxa"/>
            </w:tcMar>
            <w:hideMark/>
          </w:tcPr>
          <w:p w14:paraId="5D9BFB2F" w14:textId="77777777" w:rsidR="004F419C" w:rsidRPr="004F419C" w:rsidRDefault="004F419C" w:rsidP="004F419C">
            <w:pPr>
              <w:spacing w:before="8" w:after="100" w:line="240" w:lineRule="auto"/>
              <w:jc w:val="both"/>
              <w:rPr>
                <w:rFonts w:ascii="Calibri" w:eastAsia="Times New Roman" w:hAnsi="Calibri" w:cs="Calibri"/>
              </w:rPr>
            </w:pPr>
            <w:r w:rsidRPr="004F419C">
              <w:rPr>
                <w:rFonts w:ascii="Arial" w:eastAsia="Times New Roman" w:hAnsi="Arial" w:cs="Arial"/>
                <w:color w:val="000000"/>
              </w:rPr>
              <w:t>Duncan Vasey</w:t>
            </w:r>
          </w:p>
          <w:p w14:paraId="440023DF" w14:textId="77777777" w:rsidR="004F419C" w:rsidRPr="004F419C" w:rsidRDefault="004F419C" w:rsidP="004F419C">
            <w:pPr>
              <w:spacing w:before="8" w:after="100" w:line="240" w:lineRule="auto"/>
              <w:jc w:val="both"/>
              <w:rPr>
                <w:rFonts w:ascii="Calibri" w:eastAsia="Times New Roman" w:hAnsi="Calibri" w:cs="Calibri"/>
              </w:rPr>
            </w:pPr>
            <w:r w:rsidRPr="004F419C">
              <w:rPr>
                <w:rFonts w:ascii="Arial" w:eastAsia="Times New Roman" w:hAnsi="Arial" w:cs="Arial"/>
                <w:color w:val="000000"/>
              </w:rPr>
              <w:t>Lucy Williams</w:t>
            </w:r>
          </w:p>
        </w:tc>
        <w:tc>
          <w:tcPr>
            <w:tcW w:w="3210" w:type="dxa"/>
            <w:tcBorders>
              <w:top w:val="nil"/>
              <w:left w:val="nil"/>
              <w:bottom w:val="single" w:sz="8" w:space="0" w:color="000000"/>
              <w:right w:val="single" w:sz="8" w:space="0" w:color="000000"/>
            </w:tcBorders>
            <w:tcMar>
              <w:top w:w="57" w:type="dxa"/>
              <w:left w:w="57" w:type="dxa"/>
              <w:bottom w:w="0" w:type="dxa"/>
              <w:right w:w="0" w:type="dxa"/>
            </w:tcMar>
            <w:hideMark/>
          </w:tcPr>
          <w:p w14:paraId="546D0E22" w14:textId="77777777" w:rsidR="004F419C" w:rsidRPr="004F419C" w:rsidRDefault="004F419C" w:rsidP="004F419C">
            <w:pPr>
              <w:spacing w:before="8" w:after="100" w:line="240" w:lineRule="auto"/>
              <w:ind w:left="199"/>
              <w:jc w:val="both"/>
              <w:rPr>
                <w:rFonts w:ascii="Calibri" w:eastAsia="Times New Roman" w:hAnsi="Calibri" w:cs="Calibri"/>
              </w:rPr>
            </w:pPr>
            <w:r w:rsidRPr="004F419C">
              <w:rPr>
                <w:rFonts w:ascii="Arial" w:eastAsia="Times New Roman" w:hAnsi="Arial" w:cs="Arial"/>
                <w:color w:val="000000"/>
              </w:rPr>
              <w:t>+44 (0) 20 7469 0932</w:t>
            </w:r>
          </w:p>
        </w:tc>
      </w:tr>
    </w:tbl>
    <w:p w14:paraId="5A192A5C" w14:textId="77777777" w:rsidR="004F419C" w:rsidRPr="004F419C" w:rsidRDefault="004F419C" w:rsidP="004F419C">
      <w:pPr>
        <w:spacing w:before="8" w:after="100" w:line="240" w:lineRule="auto"/>
        <w:jc w:val="both"/>
        <w:rPr>
          <w:rFonts w:ascii="Calibri" w:eastAsia="Times New Roman" w:hAnsi="Calibri" w:cs="Calibri"/>
          <w:color w:val="000000"/>
        </w:rPr>
      </w:pPr>
      <w:r w:rsidRPr="004F419C">
        <w:rPr>
          <w:rFonts w:ascii="Arial" w:eastAsia="Times New Roman" w:hAnsi="Arial" w:cs="Arial"/>
          <w:color w:val="000000"/>
        </w:rPr>
        <w:t> </w:t>
      </w:r>
    </w:p>
    <w:p w14:paraId="127AE869" w14:textId="77777777" w:rsidR="004F419C" w:rsidRPr="004F419C" w:rsidRDefault="004F419C" w:rsidP="004F419C">
      <w:pPr>
        <w:spacing w:before="8" w:after="100" w:line="240" w:lineRule="auto"/>
        <w:jc w:val="both"/>
        <w:rPr>
          <w:rFonts w:ascii="Calibri" w:eastAsia="Times New Roman" w:hAnsi="Calibri" w:cs="Calibri"/>
          <w:color w:val="000000"/>
        </w:rPr>
      </w:pPr>
      <w:r w:rsidRPr="004F419C">
        <w:rPr>
          <w:rFonts w:ascii="Arial" w:eastAsia="Times New Roman" w:hAnsi="Arial" w:cs="Arial"/>
          <w:color w:val="000000"/>
        </w:rPr>
        <w:t>Notes:</w:t>
      </w:r>
    </w:p>
    <w:p w14:paraId="1032C795" w14:textId="77777777" w:rsidR="004F419C" w:rsidRPr="004F419C" w:rsidRDefault="004F419C" w:rsidP="004F419C">
      <w:pPr>
        <w:spacing w:line="240" w:lineRule="auto"/>
        <w:jc w:val="both"/>
        <w:rPr>
          <w:rFonts w:ascii="Calibri" w:eastAsia="Times New Roman" w:hAnsi="Calibri" w:cs="Calibri"/>
          <w:color w:val="000000"/>
        </w:rPr>
      </w:pPr>
      <w:r w:rsidRPr="004F419C">
        <w:rPr>
          <w:rFonts w:ascii="Arial" w:eastAsia="Times New Roman" w:hAnsi="Arial" w:cs="Arial"/>
          <w:color w:val="000000"/>
        </w:rPr>
        <w:t xml:space="preserve">Cobra's </w:t>
      </w:r>
      <w:proofErr w:type="spellStart"/>
      <w:r w:rsidRPr="004F419C">
        <w:rPr>
          <w:rFonts w:ascii="Arial" w:eastAsia="Times New Roman" w:hAnsi="Arial" w:cs="Arial"/>
          <w:color w:val="000000"/>
        </w:rPr>
        <w:t>Wudinna</w:t>
      </w:r>
      <w:proofErr w:type="spellEnd"/>
      <w:r w:rsidRPr="004F419C">
        <w:rPr>
          <w:rFonts w:ascii="Arial" w:eastAsia="Times New Roman" w:hAnsi="Arial" w:cs="Arial"/>
          <w:color w:val="000000"/>
        </w:rPr>
        <w:t xml:space="preserve"> Gold Project </w:t>
      </w:r>
      <w:proofErr w:type="gramStart"/>
      <w:r w:rsidRPr="004F419C">
        <w:rPr>
          <w:rFonts w:ascii="Arial" w:eastAsia="Times New Roman" w:hAnsi="Arial" w:cs="Arial"/>
          <w:color w:val="000000"/>
        </w:rPr>
        <w:t>is located in</w:t>
      </w:r>
      <w:proofErr w:type="gramEnd"/>
      <w:r w:rsidRPr="004F419C">
        <w:rPr>
          <w:rFonts w:ascii="Arial" w:eastAsia="Times New Roman" w:hAnsi="Arial" w:cs="Arial"/>
          <w:color w:val="000000"/>
        </w:rPr>
        <w:t xml:space="preserve"> the </w:t>
      </w:r>
      <w:proofErr w:type="spellStart"/>
      <w:r w:rsidRPr="004F419C">
        <w:rPr>
          <w:rFonts w:ascii="Arial" w:eastAsia="Times New Roman" w:hAnsi="Arial" w:cs="Arial"/>
          <w:color w:val="000000"/>
        </w:rPr>
        <w:t>Gawler</w:t>
      </w:r>
      <w:proofErr w:type="spellEnd"/>
      <w:r w:rsidRPr="004F419C">
        <w:rPr>
          <w:rFonts w:ascii="Arial" w:eastAsia="Times New Roman" w:hAnsi="Arial" w:cs="Arial"/>
          <w:color w:val="000000"/>
        </w:rPr>
        <w:t xml:space="preserve"> Craton is home to some of the largest IOCG discoveries in Australia including Olympic Dam, as well as Prominent Hill and </w:t>
      </w:r>
      <w:proofErr w:type="spellStart"/>
      <w:r w:rsidRPr="004F419C">
        <w:rPr>
          <w:rFonts w:ascii="Arial" w:eastAsia="Times New Roman" w:hAnsi="Arial" w:cs="Arial"/>
          <w:color w:val="000000"/>
        </w:rPr>
        <w:t>Carrapateena</w:t>
      </w:r>
      <w:proofErr w:type="spellEnd"/>
      <w:r w:rsidRPr="004F419C">
        <w:rPr>
          <w:rFonts w:ascii="Arial" w:eastAsia="Times New Roman" w:hAnsi="Arial" w:cs="Arial"/>
          <w:color w:val="000000"/>
        </w:rPr>
        <w:t xml:space="preserve">. Cobra's </w:t>
      </w:r>
      <w:proofErr w:type="spellStart"/>
      <w:r w:rsidRPr="004F419C">
        <w:rPr>
          <w:rFonts w:ascii="Arial" w:eastAsia="Times New Roman" w:hAnsi="Arial" w:cs="Arial"/>
          <w:color w:val="000000"/>
        </w:rPr>
        <w:t>Wudinna</w:t>
      </w:r>
      <w:proofErr w:type="spellEnd"/>
      <w:r w:rsidRPr="004F419C">
        <w:rPr>
          <w:rFonts w:ascii="Arial" w:eastAsia="Times New Roman" w:hAnsi="Arial" w:cs="Arial"/>
          <w:color w:val="000000"/>
        </w:rPr>
        <w:t xml:space="preserve"> tenements contain extensive orogenic gold mineralisation and are characterised by potentially open-</w:t>
      </w:r>
      <w:proofErr w:type="spellStart"/>
      <w:r w:rsidRPr="004F419C">
        <w:rPr>
          <w:rFonts w:ascii="Arial" w:eastAsia="Times New Roman" w:hAnsi="Arial" w:cs="Arial"/>
          <w:color w:val="000000"/>
        </w:rPr>
        <w:t>pitable</w:t>
      </w:r>
      <w:proofErr w:type="spellEnd"/>
      <w:r w:rsidRPr="004F419C">
        <w:rPr>
          <w:rFonts w:ascii="Arial" w:eastAsia="Times New Roman" w:hAnsi="Arial" w:cs="Arial"/>
          <w:color w:val="000000"/>
        </w:rPr>
        <w:t>, high grade gold intersections, with ready access to nearby infrastructure, as well as 4 potential IOCG targets.</w:t>
      </w:r>
    </w:p>
    <w:p w14:paraId="071F64E4" w14:textId="77777777" w:rsidR="004F419C" w:rsidRPr="004F419C" w:rsidRDefault="004F419C" w:rsidP="004F419C">
      <w:pPr>
        <w:spacing w:after="0" w:line="240" w:lineRule="auto"/>
        <w:rPr>
          <w:rFonts w:ascii="Arial" w:eastAsia="Times New Roman" w:hAnsi="Arial" w:cs="Arial"/>
          <w:color w:val="000000"/>
          <w:sz w:val="20"/>
          <w:szCs w:val="20"/>
        </w:rPr>
      </w:pPr>
      <w:r w:rsidRPr="004F419C">
        <w:rPr>
          <w:rFonts w:ascii="Arial" w:eastAsia="Times New Roman" w:hAnsi="Arial" w:cs="Arial"/>
          <w:color w:val="000000"/>
          <w:sz w:val="20"/>
          <w:szCs w:val="20"/>
        </w:rPr>
        <w:t>This information is provided by RNS, the news service of the London Stock Exchange. RNS is approved by the Financial Conduct Authority to act as a Primary Information Provider in the United Kingdom. Terms and conditions relating to the use and distribution of this information may apply. For further information, please contact </w:t>
      </w:r>
      <w:hyperlink r:id="rId4" w:history="1">
        <w:r w:rsidRPr="004F419C">
          <w:rPr>
            <w:rFonts w:ascii="Arial" w:eastAsia="Times New Roman" w:hAnsi="Arial" w:cs="Arial"/>
            <w:color w:val="0000FF"/>
            <w:sz w:val="20"/>
            <w:szCs w:val="20"/>
            <w:u w:val="single"/>
          </w:rPr>
          <w:t>rns@lseg.com</w:t>
        </w:r>
      </w:hyperlink>
      <w:r w:rsidRPr="004F419C">
        <w:rPr>
          <w:rFonts w:ascii="Arial" w:eastAsia="Times New Roman" w:hAnsi="Arial" w:cs="Arial"/>
          <w:color w:val="000000"/>
          <w:sz w:val="20"/>
          <w:szCs w:val="20"/>
        </w:rPr>
        <w:t> or visit </w:t>
      </w:r>
      <w:hyperlink r:id="rId5" w:history="1">
        <w:r w:rsidRPr="004F419C">
          <w:rPr>
            <w:rFonts w:ascii="Arial" w:eastAsia="Times New Roman" w:hAnsi="Arial" w:cs="Arial"/>
            <w:color w:val="0000FF"/>
            <w:sz w:val="20"/>
            <w:szCs w:val="20"/>
            <w:u w:val="single"/>
          </w:rPr>
          <w:t>www.rns.com</w:t>
        </w:r>
      </w:hyperlink>
      <w:r w:rsidRPr="004F419C">
        <w:rPr>
          <w:rFonts w:ascii="Arial" w:eastAsia="Times New Roman" w:hAnsi="Arial" w:cs="Arial"/>
          <w:color w:val="000000"/>
          <w:sz w:val="20"/>
          <w:szCs w:val="20"/>
        </w:rPr>
        <w:t>.</w:t>
      </w:r>
    </w:p>
    <w:p w14:paraId="466E32CE" w14:textId="77777777" w:rsidR="00437D6B" w:rsidRDefault="004F419C"/>
    <w:sectPr w:rsidR="00437D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9C"/>
    <w:rsid w:val="004F419C"/>
    <w:rsid w:val="006E1E24"/>
    <w:rsid w:val="00D609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F270"/>
  <w15:chartTrackingRefBased/>
  <w15:docId w15:val="{DA1CFEFC-4DFF-4996-9181-E0C91CE5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
    <w:name w:val="be"/>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
    <w:name w:val="bc"/>
    <w:basedOn w:val="DefaultParagraphFont"/>
    <w:rsid w:val="004F419C"/>
  </w:style>
  <w:style w:type="paragraph" w:customStyle="1" w:styleId="bf">
    <w:name w:val="bf"/>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
    <w:name w:val="ba"/>
    <w:basedOn w:val="DefaultParagraphFont"/>
    <w:rsid w:val="004F419C"/>
  </w:style>
  <w:style w:type="paragraph" w:customStyle="1" w:styleId="bg">
    <w:name w:val="bg"/>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h">
    <w:name w:val="bh"/>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
    <w:name w:val="bi"/>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j">
    <w:name w:val="bj"/>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k">
    <w:name w:val="bk"/>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
    <w:name w:val="bl"/>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
    <w:name w:val="bm"/>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n">
    <w:name w:val="bn"/>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
    <w:name w:val="ar"/>
    <w:basedOn w:val="DefaultParagraphFont"/>
    <w:rsid w:val="004F419C"/>
  </w:style>
  <w:style w:type="paragraph" w:customStyle="1" w:styleId="bo">
    <w:name w:val="bo"/>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p">
    <w:name w:val="bp"/>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
    <w:name w:val="bq"/>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
    <w:name w:val="br"/>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
    <w:name w:val="am"/>
    <w:basedOn w:val="DefaultParagraphFont"/>
    <w:rsid w:val="004F419C"/>
  </w:style>
  <w:style w:type="paragraph" w:customStyle="1" w:styleId="bs">
    <w:name w:val="bs"/>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
    <w:name w:val="bu"/>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j">
    <w:name w:val="aj"/>
    <w:basedOn w:val="DefaultParagraphFont"/>
    <w:rsid w:val="004F419C"/>
  </w:style>
  <w:style w:type="paragraph" w:customStyle="1" w:styleId="bv">
    <w:name w:val="bv"/>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w">
    <w:name w:val="bw"/>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x">
    <w:name w:val="bx"/>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
    <w:name w:val="y"/>
    <w:basedOn w:val="DefaultParagraphFont"/>
    <w:rsid w:val="004F419C"/>
  </w:style>
  <w:style w:type="paragraph" w:customStyle="1" w:styleId="by">
    <w:name w:val="by"/>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z">
    <w:name w:val="bz"/>
    <w:basedOn w:val="Normal"/>
    <w:rsid w:val="004F41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41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325875">
      <w:bodyDiv w:val="1"/>
      <w:marLeft w:val="0"/>
      <w:marRight w:val="0"/>
      <w:marTop w:val="0"/>
      <w:marBottom w:val="0"/>
      <w:divBdr>
        <w:top w:val="none" w:sz="0" w:space="0" w:color="auto"/>
        <w:left w:val="none" w:sz="0" w:space="0" w:color="auto"/>
        <w:bottom w:val="none" w:sz="0" w:space="0" w:color="auto"/>
        <w:right w:val="none" w:sz="0" w:space="0" w:color="auto"/>
      </w:divBdr>
      <w:divsChild>
        <w:div w:id="542130823">
          <w:marLeft w:val="1440"/>
          <w:marRight w:val="1440"/>
          <w:marTop w:val="1440"/>
          <w:marBottom w:val="1440"/>
          <w:divBdr>
            <w:top w:val="none" w:sz="0" w:space="0" w:color="auto"/>
            <w:left w:val="none" w:sz="0" w:space="0" w:color="auto"/>
            <w:bottom w:val="none" w:sz="0" w:space="0" w:color="auto"/>
            <w:right w:val="none" w:sz="0" w:space="0" w:color="auto"/>
          </w:divBdr>
        </w:div>
        <w:div w:id="1228227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ns.com/" TargetMode="External"/><Relationship Id="rId4" Type="http://schemas.openxmlformats.org/officeDocument/2006/relationships/hyperlink" Target="mailto:rns@lse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Yatawara, Hesheni</dc:creator>
  <cp:keywords/>
  <dc:description/>
  <cp:lastModifiedBy>Yatawara, Hesheni</cp:lastModifiedBy>
  <cp:revision>1</cp:revision>
  <dcterms:created xsi:type="dcterms:W3CDTF">2020-09-28T00:27:00Z</dcterms:created>
  <dcterms:modified xsi:type="dcterms:W3CDTF">2020-09-28T00:29:00Z</dcterms:modified>
</cp:coreProperties>
</file>