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E15C4" w14:textId="77777777" w:rsidR="00F51D8D" w:rsidRPr="00435861" w:rsidRDefault="00F51D8D" w:rsidP="00F51D8D">
      <w:pPr>
        <w:pStyle w:val="Normal-nospace"/>
        <w:jc w:val="center"/>
        <w:rPr>
          <w:b/>
          <w:sz w:val="19"/>
          <w:szCs w:val="19"/>
        </w:rPr>
      </w:pPr>
      <w:r w:rsidRPr="00435861">
        <w:rPr>
          <w:b/>
          <w:sz w:val="19"/>
          <w:szCs w:val="19"/>
        </w:rPr>
        <w:t xml:space="preserve">Notice of Resolutions </w:t>
      </w:r>
    </w:p>
    <w:p w14:paraId="5AB5F7CA" w14:textId="77777777" w:rsidR="00F51D8D" w:rsidRPr="00435861" w:rsidRDefault="00F51D8D" w:rsidP="00F51D8D">
      <w:pPr>
        <w:pStyle w:val="Normal-nospace"/>
        <w:jc w:val="center"/>
        <w:rPr>
          <w:b/>
          <w:sz w:val="19"/>
          <w:szCs w:val="19"/>
        </w:rPr>
      </w:pPr>
    </w:p>
    <w:p w14:paraId="11EFD654" w14:textId="77777777" w:rsidR="00F51D8D" w:rsidRPr="00435861" w:rsidRDefault="00F51D8D" w:rsidP="00F51D8D">
      <w:pPr>
        <w:pStyle w:val="Normal-nospace"/>
        <w:jc w:val="center"/>
        <w:rPr>
          <w:b/>
          <w:sz w:val="19"/>
          <w:szCs w:val="19"/>
        </w:rPr>
      </w:pPr>
      <w:r w:rsidRPr="00435861">
        <w:rPr>
          <w:b/>
          <w:sz w:val="19"/>
          <w:szCs w:val="19"/>
        </w:rPr>
        <w:t>of</w:t>
      </w:r>
    </w:p>
    <w:p w14:paraId="38FE151B" w14:textId="77777777" w:rsidR="00F51D8D" w:rsidRPr="00435861" w:rsidRDefault="00F51D8D" w:rsidP="00F51D8D">
      <w:pPr>
        <w:pStyle w:val="Normal-nospace"/>
        <w:jc w:val="center"/>
        <w:rPr>
          <w:b/>
          <w:sz w:val="19"/>
          <w:szCs w:val="19"/>
        </w:rPr>
      </w:pPr>
    </w:p>
    <w:p w14:paraId="4DD9E31D" w14:textId="08190EB6" w:rsidR="00F51D8D" w:rsidRPr="00435861" w:rsidRDefault="00F51D8D" w:rsidP="00DF7A96">
      <w:pPr>
        <w:spacing w:after="0"/>
        <w:jc w:val="center"/>
        <w:rPr>
          <w:rFonts w:ascii="Arial" w:hAnsi="Arial" w:cs="Arial"/>
          <w:b/>
          <w:bCs/>
          <w:sz w:val="19"/>
          <w:szCs w:val="19"/>
        </w:rPr>
      </w:pPr>
      <w:r w:rsidRPr="00435861">
        <w:rPr>
          <w:rFonts w:ascii="Arial" w:hAnsi="Arial" w:cs="Arial"/>
          <w:b/>
          <w:bCs/>
          <w:sz w:val="19"/>
          <w:szCs w:val="19"/>
        </w:rPr>
        <w:t>HOME REIT PLC</w:t>
      </w:r>
    </w:p>
    <w:p w14:paraId="2400E44C" w14:textId="3AEABB35" w:rsidR="00F51D8D" w:rsidRPr="00435861" w:rsidRDefault="00F51D8D" w:rsidP="00F51D8D">
      <w:pPr>
        <w:spacing w:after="0"/>
        <w:jc w:val="center"/>
        <w:rPr>
          <w:rFonts w:ascii="Arial" w:hAnsi="Arial" w:cs="Arial"/>
          <w:sz w:val="19"/>
          <w:szCs w:val="19"/>
        </w:rPr>
      </w:pPr>
      <w:r w:rsidRPr="00435861">
        <w:rPr>
          <w:rFonts w:ascii="Arial" w:hAnsi="Arial" w:cs="Arial"/>
          <w:sz w:val="19"/>
          <w:szCs w:val="19"/>
        </w:rPr>
        <w:t>(the ‘Company’)</w:t>
      </w:r>
    </w:p>
    <w:p w14:paraId="5A1CBAC4" w14:textId="1B35DB3B" w:rsidR="00F51D8D" w:rsidRPr="00435861" w:rsidRDefault="00F51D8D" w:rsidP="00F51D8D">
      <w:pPr>
        <w:spacing w:after="0"/>
        <w:jc w:val="center"/>
        <w:rPr>
          <w:rFonts w:ascii="Arial" w:hAnsi="Arial" w:cs="Arial"/>
          <w:sz w:val="19"/>
          <w:szCs w:val="19"/>
        </w:rPr>
      </w:pPr>
    </w:p>
    <w:p w14:paraId="7C281ABB" w14:textId="661E158C" w:rsidR="00F51D8D" w:rsidRPr="00435861" w:rsidRDefault="00F51D8D" w:rsidP="00F51D8D">
      <w:pPr>
        <w:spacing w:after="0"/>
        <w:jc w:val="center"/>
        <w:rPr>
          <w:rFonts w:ascii="Arial" w:hAnsi="Arial" w:cs="Arial"/>
          <w:b/>
          <w:bCs/>
          <w:sz w:val="19"/>
          <w:szCs w:val="19"/>
        </w:rPr>
      </w:pPr>
      <w:r w:rsidRPr="00435861">
        <w:rPr>
          <w:rFonts w:ascii="Arial" w:hAnsi="Arial" w:cs="Arial"/>
          <w:b/>
          <w:bCs/>
          <w:sz w:val="19"/>
          <w:szCs w:val="19"/>
        </w:rPr>
        <w:t>Passed 27 January 2022</w:t>
      </w:r>
    </w:p>
    <w:p w14:paraId="2B2D9578" w14:textId="0ECBEEDE" w:rsidR="00F51D8D" w:rsidRPr="00435861" w:rsidRDefault="00F51D8D" w:rsidP="00F51D8D">
      <w:pPr>
        <w:spacing w:after="0"/>
        <w:jc w:val="both"/>
        <w:rPr>
          <w:rFonts w:ascii="Arial" w:hAnsi="Arial" w:cs="Arial"/>
          <w:sz w:val="19"/>
          <w:szCs w:val="19"/>
        </w:rPr>
      </w:pPr>
    </w:p>
    <w:p w14:paraId="40977F0F" w14:textId="53986352" w:rsidR="00F51D8D" w:rsidRPr="00435861" w:rsidRDefault="00F51D8D" w:rsidP="00DF7A96">
      <w:pPr>
        <w:spacing w:after="0"/>
        <w:jc w:val="both"/>
        <w:rPr>
          <w:rFonts w:ascii="Arial" w:hAnsi="Arial" w:cs="Arial"/>
          <w:sz w:val="19"/>
          <w:szCs w:val="19"/>
        </w:rPr>
      </w:pPr>
      <w:r w:rsidRPr="00435861">
        <w:rPr>
          <w:rFonts w:ascii="Arial" w:hAnsi="Arial" w:cs="Arial"/>
          <w:sz w:val="19"/>
          <w:szCs w:val="19"/>
        </w:rPr>
        <w:t>At the Annual General Meeting of the Company duly convened and held on Thursday 27 January 2022 at the offices of Stephenson Harwood LLP, 1 Finsbury Circus, London, EC2M 7SH the following resolutions were duly passed:</w:t>
      </w:r>
    </w:p>
    <w:p w14:paraId="0EE0104E" w14:textId="77777777" w:rsidR="00F51D8D" w:rsidRPr="000E05DC" w:rsidRDefault="00F51D8D" w:rsidP="00F51D8D">
      <w:pPr>
        <w:spacing w:after="0"/>
        <w:jc w:val="center"/>
        <w:rPr>
          <w:rFonts w:ascii="Arial" w:hAnsi="Arial" w:cs="Arial"/>
          <w:b/>
          <w:bCs/>
          <w:sz w:val="20"/>
          <w:szCs w:val="20"/>
        </w:rPr>
      </w:pPr>
    </w:p>
    <w:p w14:paraId="12D94C6E" w14:textId="3555C3F2" w:rsidR="00DF7A96" w:rsidRPr="00435861" w:rsidRDefault="00F51D8D" w:rsidP="00DF7A96">
      <w:pPr>
        <w:spacing w:after="0"/>
        <w:jc w:val="center"/>
        <w:rPr>
          <w:rFonts w:ascii="Arial" w:hAnsi="Arial" w:cs="Arial"/>
          <w:b/>
          <w:bCs/>
          <w:sz w:val="19"/>
          <w:szCs w:val="19"/>
        </w:rPr>
      </w:pPr>
      <w:r w:rsidRPr="00435861">
        <w:rPr>
          <w:rFonts w:ascii="Arial" w:hAnsi="Arial" w:cs="Arial"/>
          <w:b/>
          <w:bCs/>
          <w:sz w:val="19"/>
          <w:szCs w:val="19"/>
        </w:rPr>
        <w:t>Special Resolutions</w:t>
      </w:r>
    </w:p>
    <w:p w14:paraId="1E1CE5B7" w14:textId="166055E9" w:rsidR="00F51D8D" w:rsidRDefault="00F51D8D" w:rsidP="00F51D8D">
      <w:pPr>
        <w:spacing w:after="0"/>
        <w:jc w:val="center"/>
        <w:rPr>
          <w:b/>
          <w:bCs/>
        </w:rPr>
      </w:pPr>
    </w:p>
    <w:p w14:paraId="08CC7742" w14:textId="3B34FC83" w:rsidR="00FE0E3E" w:rsidRDefault="00FE0E3E" w:rsidP="00FE0E3E">
      <w:pPr>
        <w:spacing w:after="0"/>
        <w:rPr>
          <w:rFonts w:ascii="Arial" w:hAnsi="Arial" w:cs="Arial"/>
          <w:b/>
          <w:bCs/>
          <w:sz w:val="19"/>
          <w:szCs w:val="19"/>
        </w:rPr>
      </w:pPr>
      <w:r w:rsidRPr="00FE0E3E">
        <w:rPr>
          <w:rFonts w:ascii="Arial" w:hAnsi="Arial" w:cs="Arial"/>
          <w:b/>
          <w:bCs/>
          <w:sz w:val="19"/>
          <w:szCs w:val="19"/>
        </w:rPr>
        <w:t>Resolution 11</w:t>
      </w:r>
    </w:p>
    <w:p w14:paraId="7AC812D1" w14:textId="77777777" w:rsidR="00FE0E3E" w:rsidRDefault="00FE0E3E" w:rsidP="00FE0E3E">
      <w:pPr>
        <w:spacing w:after="0"/>
        <w:rPr>
          <w:rFonts w:ascii="Arial" w:hAnsi="Arial" w:cs="Arial"/>
          <w:b/>
          <w:bCs/>
          <w:sz w:val="19"/>
          <w:szCs w:val="19"/>
        </w:rPr>
      </w:pPr>
    </w:p>
    <w:p w14:paraId="435E8D56" w14:textId="77777777" w:rsidR="00FE0E3E" w:rsidRPr="00435861" w:rsidRDefault="00FE0E3E" w:rsidP="00FE0E3E">
      <w:pPr>
        <w:jc w:val="both"/>
        <w:rPr>
          <w:rStyle w:val="fontstyle01"/>
          <w:rFonts w:ascii="Arial" w:hAnsi="Arial" w:cs="Arial"/>
          <w:sz w:val="19"/>
          <w:szCs w:val="19"/>
        </w:rPr>
      </w:pPr>
      <w:r w:rsidRPr="00435861">
        <w:rPr>
          <w:rStyle w:val="fontstyle01"/>
          <w:rFonts w:ascii="Arial" w:hAnsi="Arial" w:cs="Arial"/>
          <w:sz w:val="19"/>
          <w:szCs w:val="19"/>
        </w:rPr>
        <w:t xml:space="preserve">That the Company be and is hereby generally and unconditionally authorised in accordance with section 701 of the Act to make market purchases (within the meaning of section 693 of the Act) of its Ordinary Shares, provided that: </w:t>
      </w:r>
    </w:p>
    <w:p w14:paraId="1D60EEE4" w14:textId="77777777" w:rsidR="00FE0E3E" w:rsidRPr="00435861" w:rsidRDefault="00FE0E3E" w:rsidP="00FE0E3E">
      <w:pPr>
        <w:pStyle w:val="ListParagraph"/>
        <w:numPr>
          <w:ilvl w:val="0"/>
          <w:numId w:val="1"/>
        </w:numPr>
        <w:jc w:val="both"/>
        <w:rPr>
          <w:rStyle w:val="fontstyle01"/>
          <w:rFonts w:ascii="Arial" w:hAnsi="Arial" w:cs="Arial"/>
          <w:sz w:val="19"/>
          <w:szCs w:val="19"/>
        </w:rPr>
      </w:pPr>
      <w:r w:rsidRPr="00435861">
        <w:rPr>
          <w:rStyle w:val="fontstyle01"/>
          <w:rFonts w:ascii="Arial" w:hAnsi="Arial" w:cs="Arial"/>
          <w:sz w:val="19"/>
          <w:szCs w:val="19"/>
        </w:rPr>
        <w:t>the maximum number of Ordinary Shares hereby</w:t>
      </w:r>
      <w:r w:rsidRPr="00435861">
        <w:rPr>
          <w:rFonts w:ascii="Arial" w:hAnsi="Arial" w:cs="Arial"/>
          <w:color w:val="242021"/>
          <w:sz w:val="19"/>
          <w:szCs w:val="19"/>
        </w:rPr>
        <w:t xml:space="preserve"> </w:t>
      </w:r>
      <w:r w:rsidRPr="00435861">
        <w:rPr>
          <w:rStyle w:val="fontstyle01"/>
          <w:rFonts w:ascii="Arial" w:hAnsi="Arial" w:cs="Arial"/>
          <w:sz w:val="19"/>
          <w:szCs w:val="19"/>
        </w:rPr>
        <w:t>authorised to be purchased shall be 84,194,540</w:t>
      </w:r>
      <w:r w:rsidRPr="00435861">
        <w:rPr>
          <w:rFonts w:ascii="Arial" w:hAnsi="Arial" w:cs="Arial"/>
          <w:color w:val="242021"/>
          <w:sz w:val="19"/>
          <w:szCs w:val="19"/>
        </w:rPr>
        <w:t xml:space="preserve"> </w:t>
      </w:r>
      <w:r w:rsidRPr="00435861">
        <w:rPr>
          <w:rStyle w:val="fontstyle01"/>
          <w:rFonts w:ascii="Arial" w:hAnsi="Arial" w:cs="Arial"/>
          <w:sz w:val="19"/>
          <w:szCs w:val="19"/>
        </w:rPr>
        <w:t>(representing 14.99% of the Company’s issued</w:t>
      </w:r>
      <w:r w:rsidRPr="00435861">
        <w:rPr>
          <w:rFonts w:ascii="Arial" w:hAnsi="Arial" w:cs="Arial"/>
          <w:color w:val="242021"/>
          <w:sz w:val="19"/>
          <w:szCs w:val="19"/>
        </w:rPr>
        <w:t xml:space="preserve"> </w:t>
      </w:r>
      <w:r w:rsidRPr="00435861">
        <w:rPr>
          <w:rStyle w:val="fontstyle01"/>
          <w:rFonts w:ascii="Arial" w:hAnsi="Arial" w:cs="Arial"/>
          <w:sz w:val="19"/>
          <w:szCs w:val="19"/>
        </w:rPr>
        <w:t>Ordinary Share capital at the date of this notice of Annual General Meeting</w:t>
      </w:r>
      <w:proofErr w:type="gramStart"/>
      <w:r w:rsidRPr="00435861">
        <w:rPr>
          <w:rStyle w:val="fontstyle01"/>
          <w:rFonts w:ascii="Arial" w:hAnsi="Arial" w:cs="Arial"/>
          <w:sz w:val="19"/>
          <w:szCs w:val="19"/>
        </w:rPr>
        <w:t>);</w:t>
      </w:r>
      <w:proofErr w:type="gramEnd"/>
      <w:r w:rsidRPr="00435861">
        <w:rPr>
          <w:rStyle w:val="fontstyle01"/>
          <w:rFonts w:ascii="Arial" w:hAnsi="Arial" w:cs="Arial"/>
          <w:sz w:val="19"/>
          <w:szCs w:val="19"/>
        </w:rPr>
        <w:t xml:space="preserve"> </w:t>
      </w:r>
    </w:p>
    <w:p w14:paraId="2AB961B8" w14:textId="77777777" w:rsidR="00FE0E3E" w:rsidRPr="00435861" w:rsidRDefault="00FE0E3E" w:rsidP="00FE0E3E">
      <w:pPr>
        <w:pStyle w:val="ListParagraph"/>
        <w:jc w:val="both"/>
        <w:rPr>
          <w:rStyle w:val="fontstyle01"/>
          <w:rFonts w:ascii="Arial" w:hAnsi="Arial" w:cs="Arial"/>
          <w:sz w:val="19"/>
          <w:szCs w:val="19"/>
        </w:rPr>
      </w:pPr>
    </w:p>
    <w:p w14:paraId="24E68EDC" w14:textId="77777777" w:rsidR="00FE0E3E" w:rsidRPr="00435861" w:rsidRDefault="00FE0E3E" w:rsidP="00FE0E3E">
      <w:pPr>
        <w:pStyle w:val="ListParagraph"/>
        <w:numPr>
          <w:ilvl w:val="0"/>
          <w:numId w:val="1"/>
        </w:numPr>
        <w:jc w:val="both"/>
        <w:rPr>
          <w:rStyle w:val="fontstyle01"/>
          <w:rFonts w:ascii="Arial" w:hAnsi="Arial" w:cs="Arial"/>
          <w:sz w:val="19"/>
          <w:szCs w:val="19"/>
        </w:rPr>
      </w:pPr>
      <w:r w:rsidRPr="00435861">
        <w:rPr>
          <w:rStyle w:val="fontstyle01"/>
          <w:rFonts w:ascii="Arial" w:hAnsi="Arial" w:cs="Arial"/>
          <w:sz w:val="19"/>
          <w:szCs w:val="19"/>
        </w:rPr>
        <w:t>the minimum price (exclusive of any expenses)</w:t>
      </w:r>
      <w:r w:rsidRPr="00435861">
        <w:rPr>
          <w:rFonts w:ascii="Arial" w:hAnsi="Arial" w:cs="Arial"/>
          <w:color w:val="242021"/>
          <w:sz w:val="19"/>
          <w:szCs w:val="19"/>
        </w:rPr>
        <w:t xml:space="preserve"> </w:t>
      </w:r>
      <w:r w:rsidRPr="00435861">
        <w:rPr>
          <w:rStyle w:val="fontstyle01"/>
          <w:rFonts w:ascii="Arial" w:hAnsi="Arial" w:cs="Arial"/>
          <w:sz w:val="19"/>
          <w:szCs w:val="19"/>
        </w:rPr>
        <w:t xml:space="preserve">which may be paid for an Ordinary Share is </w:t>
      </w:r>
      <w:proofErr w:type="gramStart"/>
      <w:r w:rsidRPr="00435861">
        <w:rPr>
          <w:rStyle w:val="fontstyle01"/>
          <w:rFonts w:ascii="Arial" w:hAnsi="Arial" w:cs="Arial"/>
          <w:sz w:val="19"/>
          <w:szCs w:val="19"/>
        </w:rPr>
        <w:t>£0.01;</w:t>
      </w:r>
      <w:proofErr w:type="gramEnd"/>
      <w:r w:rsidRPr="00435861">
        <w:rPr>
          <w:rStyle w:val="fontstyle01"/>
          <w:rFonts w:ascii="Arial" w:hAnsi="Arial" w:cs="Arial"/>
          <w:sz w:val="19"/>
          <w:szCs w:val="19"/>
        </w:rPr>
        <w:t xml:space="preserve"> </w:t>
      </w:r>
    </w:p>
    <w:p w14:paraId="3C035E8C" w14:textId="77777777" w:rsidR="00FE0E3E" w:rsidRPr="00435861" w:rsidRDefault="00FE0E3E" w:rsidP="00FE0E3E">
      <w:pPr>
        <w:pStyle w:val="ListParagraph"/>
        <w:jc w:val="both"/>
        <w:rPr>
          <w:rStyle w:val="fontstyle01"/>
          <w:rFonts w:ascii="Arial" w:hAnsi="Arial" w:cs="Arial"/>
          <w:sz w:val="19"/>
          <w:szCs w:val="19"/>
        </w:rPr>
      </w:pPr>
    </w:p>
    <w:p w14:paraId="684EE56B" w14:textId="77777777" w:rsidR="00FE0E3E" w:rsidRPr="00435861" w:rsidRDefault="00FE0E3E" w:rsidP="00FE0E3E">
      <w:pPr>
        <w:pStyle w:val="ListParagraph"/>
        <w:numPr>
          <w:ilvl w:val="0"/>
          <w:numId w:val="1"/>
        </w:numPr>
        <w:jc w:val="both"/>
        <w:rPr>
          <w:rFonts w:ascii="Arial" w:hAnsi="Arial" w:cs="Arial"/>
          <w:sz w:val="19"/>
          <w:szCs w:val="19"/>
        </w:rPr>
      </w:pPr>
      <w:r w:rsidRPr="00435861">
        <w:rPr>
          <w:rStyle w:val="fontstyle01"/>
          <w:rFonts w:ascii="Arial" w:hAnsi="Arial" w:cs="Arial"/>
          <w:sz w:val="19"/>
          <w:szCs w:val="19"/>
        </w:rPr>
        <w:t>the maximum price (exclusive of expenses) which</w:t>
      </w:r>
      <w:r w:rsidRPr="00435861">
        <w:rPr>
          <w:rFonts w:ascii="Arial" w:hAnsi="Arial" w:cs="Arial"/>
          <w:color w:val="242021"/>
          <w:sz w:val="19"/>
          <w:szCs w:val="19"/>
        </w:rPr>
        <w:t xml:space="preserve"> </w:t>
      </w:r>
      <w:r w:rsidRPr="00435861">
        <w:rPr>
          <w:rStyle w:val="fontstyle01"/>
          <w:rFonts w:ascii="Arial" w:hAnsi="Arial" w:cs="Arial"/>
          <w:sz w:val="19"/>
          <w:szCs w:val="19"/>
        </w:rPr>
        <w:t>may be paid for each Ordinary Share must not be</w:t>
      </w:r>
      <w:r w:rsidRPr="00435861">
        <w:rPr>
          <w:rFonts w:ascii="Arial" w:hAnsi="Arial" w:cs="Arial"/>
          <w:color w:val="242021"/>
          <w:sz w:val="19"/>
          <w:szCs w:val="19"/>
        </w:rPr>
        <w:t xml:space="preserve"> </w:t>
      </w:r>
      <w:r w:rsidRPr="00435861">
        <w:rPr>
          <w:rStyle w:val="fontstyle01"/>
          <w:rFonts w:ascii="Arial" w:hAnsi="Arial" w:cs="Arial"/>
          <w:sz w:val="19"/>
          <w:szCs w:val="19"/>
        </w:rPr>
        <w:t>more than the higher of (</w:t>
      </w:r>
      <w:proofErr w:type="spellStart"/>
      <w:r w:rsidRPr="00435861">
        <w:rPr>
          <w:rStyle w:val="fontstyle01"/>
          <w:rFonts w:ascii="Arial" w:hAnsi="Arial" w:cs="Arial"/>
          <w:sz w:val="19"/>
          <w:szCs w:val="19"/>
        </w:rPr>
        <w:t>i</w:t>
      </w:r>
      <w:proofErr w:type="spellEnd"/>
      <w:r w:rsidRPr="00435861">
        <w:rPr>
          <w:rStyle w:val="fontstyle01"/>
          <w:rFonts w:ascii="Arial" w:hAnsi="Arial" w:cs="Arial"/>
          <w:sz w:val="19"/>
          <w:szCs w:val="19"/>
        </w:rPr>
        <w:t>) 105% of the average of</w:t>
      </w:r>
      <w:r w:rsidRPr="00435861">
        <w:rPr>
          <w:rFonts w:ascii="Arial" w:hAnsi="Arial" w:cs="Arial"/>
          <w:color w:val="242021"/>
          <w:sz w:val="19"/>
          <w:szCs w:val="19"/>
        </w:rPr>
        <w:t xml:space="preserve"> </w:t>
      </w:r>
      <w:r w:rsidRPr="00435861">
        <w:rPr>
          <w:rStyle w:val="fontstyle01"/>
          <w:rFonts w:ascii="Arial" w:hAnsi="Arial" w:cs="Arial"/>
          <w:sz w:val="19"/>
          <w:szCs w:val="19"/>
        </w:rPr>
        <w:t>the middle market quotations of Ordinary Shares</w:t>
      </w:r>
      <w:r w:rsidRPr="00435861">
        <w:rPr>
          <w:rFonts w:ascii="Arial" w:hAnsi="Arial" w:cs="Arial"/>
          <w:color w:val="242021"/>
          <w:sz w:val="19"/>
          <w:szCs w:val="19"/>
        </w:rPr>
        <w:t xml:space="preserve"> </w:t>
      </w:r>
      <w:r w:rsidRPr="00435861">
        <w:rPr>
          <w:rStyle w:val="fontstyle01"/>
          <w:rFonts w:ascii="Arial" w:hAnsi="Arial" w:cs="Arial"/>
          <w:sz w:val="19"/>
          <w:szCs w:val="19"/>
        </w:rPr>
        <w:t>for the five business days prior to the date of the</w:t>
      </w:r>
      <w:r w:rsidRPr="00435861">
        <w:rPr>
          <w:rFonts w:ascii="Arial" w:hAnsi="Arial" w:cs="Arial"/>
          <w:color w:val="242021"/>
          <w:sz w:val="19"/>
          <w:szCs w:val="19"/>
        </w:rPr>
        <w:t xml:space="preserve"> </w:t>
      </w:r>
      <w:r w:rsidRPr="00435861">
        <w:rPr>
          <w:rStyle w:val="fontstyle01"/>
          <w:rFonts w:ascii="Arial" w:hAnsi="Arial" w:cs="Arial"/>
          <w:sz w:val="19"/>
          <w:szCs w:val="19"/>
        </w:rPr>
        <w:t>market purchase and (ii) the higher of the price</w:t>
      </w:r>
      <w:r w:rsidRPr="00435861">
        <w:rPr>
          <w:rFonts w:ascii="Arial" w:hAnsi="Arial" w:cs="Arial"/>
          <w:color w:val="242021"/>
          <w:sz w:val="19"/>
          <w:szCs w:val="19"/>
        </w:rPr>
        <w:t xml:space="preserve"> </w:t>
      </w:r>
      <w:r w:rsidRPr="00435861">
        <w:rPr>
          <w:rStyle w:val="fontstyle01"/>
          <w:rFonts w:ascii="Arial" w:hAnsi="Arial" w:cs="Arial"/>
          <w:sz w:val="19"/>
          <w:szCs w:val="19"/>
        </w:rPr>
        <w:t>of the last independent trade and the highest</w:t>
      </w:r>
      <w:r w:rsidRPr="00435861">
        <w:rPr>
          <w:rFonts w:ascii="Arial" w:hAnsi="Arial" w:cs="Arial"/>
          <w:color w:val="242021"/>
          <w:sz w:val="19"/>
          <w:szCs w:val="19"/>
        </w:rPr>
        <w:t xml:space="preserve"> </w:t>
      </w:r>
      <w:r w:rsidRPr="00435861">
        <w:rPr>
          <w:rStyle w:val="fontstyle01"/>
          <w:rFonts w:ascii="Arial" w:hAnsi="Arial" w:cs="Arial"/>
          <w:sz w:val="19"/>
          <w:szCs w:val="19"/>
        </w:rPr>
        <w:t xml:space="preserve">current independent bid for the Ordinary </w:t>
      </w:r>
      <w:proofErr w:type="gramStart"/>
      <w:r w:rsidRPr="00435861">
        <w:rPr>
          <w:rStyle w:val="fontstyle01"/>
          <w:rFonts w:ascii="Arial" w:hAnsi="Arial" w:cs="Arial"/>
          <w:sz w:val="19"/>
          <w:szCs w:val="19"/>
        </w:rPr>
        <w:t>Shares;</w:t>
      </w:r>
      <w:proofErr w:type="gramEnd"/>
      <w:r w:rsidRPr="00435861">
        <w:rPr>
          <w:rFonts w:ascii="Arial" w:hAnsi="Arial" w:cs="Arial"/>
          <w:sz w:val="19"/>
          <w:szCs w:val="19"/>
        </w:rPr>
        <w:t xml:space="preserve"> </w:t>
      </w:r>
    </w:p>
    <w:p w14:paraId="35C41B6E" w14:textId="77777777" w:rsidR="00FE0E3E" w:rsidRPr="00435861" w:rsidRDefault="00FE0E3E" w:rsidP="00FE0E3E">
      <w:pPr>
        <w:pStyle w:val="ListParagraph"/>
        <w:jc w:val="both"/>
        <w:rPr>
          <w:rFonts w:ascii="Arial" w:hAnsi="Arial" w:cs="Arial"/>
          <w:sz w:val="19"/>
          <w:szCs w:val="19"/>
        </w:rPr>
      </w:pPr>
    </w:p>
    <w:p w14:paraId="3F5D1178" w14:textId="77777777" w:rsidR="00FE0E3E" w:rsidRPr="00435861" w:rsidRDefault="00FE0E3E" w:rsidP="00FE0E3E">
      <w:pPr>
        <w:pStyle w:val="ListParagraph"/>
        <w:numPr>
          <w:ilvl w:val="0"/>
          <w:numId w:val="1"/>
        </w:numPr>
        <w:jc w:val="both"/>
        <w:rPr>
          <w:rFonts w:ascii="Arial" w:hAnsi="Arial" w:cs="Arial"/>
          <w:sz w:val="19"/>
          <w:szCs w:val="19"/>
        </w:rPr>
      </w:pPr>
      <w:r w:rsidRPr="00435861">
        <w:rPr>
          <w:rStyle w:val="fontstyle01"/>
          <w:rFonts w:ascii="Arial" w:hAnsi="Arial" w:cs="Arial"/>
          <w:sz w:val="19"/>
          <w:szCs w:val="19"/>
        </w:rPr>
        <w:t>the authority hereby conferred shall expire at the</w:t>
      </w:r>
      <w:r w:rsidRPr="00435861">
        <w:rPr>
          <w:rFonts w:ascii="Arial" w:hAnsi="Arial" w:cs="Arial"/>
          <w:color w:val="242021"/>
          <w:sz w:val="19"/>
          <w:szCs w:val="19"/>
        </w:rPr>
        <w:t xml:space="preserve"> </w:t>
      </w:r>
      <w:r w:rsidRPr="00435861">
        <w:rPr>
          <w:rStyle w:val="fontstyle01"/>
          <w:rFonts w:ascii="Arial" w:hAnsi="Arial" w:cs="Arial"/>
          <w:sz w:val="19"/>
          <w:szCs w:val="19"/>
        </w:rPr>
        <w:t>conclusion of the next Annual General Meeting</w:t>
      </w:r>
      <w:r w:rsidRPr="00435861">
        <w:rPr>
          <w:rFonts w:ascii="Arial" w:hAnsi="Arial" w:cs="Arial"/>
          <w:color w:val="242021"/>
          <w:sz w:val="19"/>
          <w:szCs w:val="19"/>
        </w:rPr>
        <w:t xml:space="preserve"> </w:t>
      </w:r>
      <w:r w:rsidRPr="00435861">
        <w:rPr>
          <w:rStyle w:val="fontstyle01"/>
          <w:rFonts w:ascii="Arial" w:hAnsi="Arial" w:cs="Arial"/>
          <w:sz w:val="19"/>
          <w:szCs w:val="19"/>
        </w:rPr>
        <w:t>of the Company to be held after the date of the</w:t>
      </w:r>
      <w:r w:rsidRPr="00435861">
        <w:rPr>
          <w:rFonts w:ascii="Arial" w:hAnsi="Arial" w:cs="Arial"/>
          <w:color w:val="242021"/>
          <w:sz w:val="19"/>
          <w:szCs w:val="19"/>
        </w:rPr>
        <w:t xml:space="preserve"> </w:t>
      </w:r>
      <w:r w:rsidRPr="00435861">
        <w:rPr>
          <w:rStyle w:val="fontstyle01"/>
          <w:rFonts w:ascii="Arial" w:hAnsi="Arial" w:cs="Arial"/>
          <w:sz w:val="19"/>
          <w:szCs w:val="19"/>
        </w:rPr>
        <w:t>passing of this resolution or, if earlier, on the expiry</w:t>
      </w:r>
      <w:r w:rsidRPr="00435861">
        <w:rPr>
          <w:rFonts w:ascii="Arial" w:hAnsi="Arial" w:cs="Arial"/>
          <w:color w:val="242021"/>
          <w:sz w:val="19"/>
          <w:szCs w:val="19"/>
        </w:rPr>
        <w:t xml:space="preserve"> </w:t>
      </w:r>
      <w:r w:rsidRPr="00435861">
        <w:rPr>
          <w:rStyle w:val="fontstyle01"/>
          <w:rFonts w:ascii="Arial" w:hAnsi="Arial" w:cs="Arial"/>
          <w:sz w:val="19"/>
          <w:szCs w:val="19"/>
        </w:rPr>
        <w:t>of 15 months from the passing of this resolution,</w:t>
      </w:r>
      <w:r w:rsidRPr="00435861">
        <w:rPr>
          <w:rFonts w:ascii="Arial" w:hAnsi="Arial" w:cs="Arial"/>
          <w:color w:val="242021"/>
          <w:sz w:val="19"/>
          <w:szCs w:val="19"/>
        </w:rPr>
        <w:t xml:space="preserve"> </w:t>
      </w:r>
      <w:r w:rsidRPr="00435861">
        <w:rPr>
          <w:rStyle w:val="fontstyle01"/>
          <w:rFonts w:ascii="Arial" w:hAnsi="Arial" w:cs="Arial"/>
          <w:sz w:val="19"/>
          <w:szCs w:val="19"/>
        </w:rPr>
        <w:t>unless such authority is renewed to such time; and</w:t>
      </w:r>
      <w:r w:rsidRPr="00435861">
        <w:rPr>
          <w:rFonts w:ascii="Arial" w:hAnsi="Arial" w:cs="Arial"/>
          <w:sz w:val="19"/>
          <w:szCs w:val="19"/>
        </w:rPr>
        <w:t xml:space="preserve"> </w:t>
      </w:r>
    </w:p>
    <w:p w14:paraId="7073FF82" w14:textId="77777777" w:rsidR="00FE0E3E" w:rsidRPr="00435861" w:rsidRDefault="00FE0E3E" w:rsidP="00FE0E3E">
      <w:pPr>
        <w:pStyle w:val="ListParagraph"/>
        <w:jc w:val="both"/>
        <w:rPr>
          <w:rFonts w:ascii="Arial" w:hAnsi="Arial" w:cs="Arial"/>
          <w:sz w:val="19"/>
          <w:szCs w:val="19"/>
        </w:rPr>
      </w:pPr>
    </w:p>
    <w:p w14:paraId="2D1E130B" w14:textId="75CD475D" w:rsidR="00FE0E3E" w:rsidRPr="00FE0E3E" w:rsidRDefault="00FE0E3E" w:rsidP="00FE0E3E">
      <w:pPr>
        <w:pStyle w:val="ListParagraph"/>
        <w:numPr>
          <w:ilvl w:val="0"/>
          <w:numId w:val="1"/>
        </w:numPr>
        <w:jc w:val="both"/>
        <w:rPr>
          <w:rStyle w:val="fontstyle01"/>
          <w:rFonts w:ascii="Arial" w:hAnsi="Arial" w:cs="Arial"/>
          <w:color w:val="auto"/>
          <w:sz w:val="19"/>
          <w:szCs w:val="19"/>
        </w:rPr>
      </w:pPr>
      <w:r w:rsidRPr="00435861">
        <w:rPr>
          <w:rStyle w:val="fontstyle01"/>
          <w:rFonts w:ascii="Arial" w:hAnsi="Arial" w:cs="Arial"/>
          <w:sz w:val="19"/>
          <w:szCs w:val="19"/>
        </w:rPr>
        <w:t>the Company may make a contract to purchase</w:t>
      </w:r>
      <w:r w:rsidRPr="00435861">
        <w:rPr>
          <w:rFonts w:ascii="Arial" w:hAnsi="Arial" w:cs="Arial"/>
          <w:color w:val="242021"/>
          <w:sz w:val="19"/>
          <w:szCs w:val="19"/>
        </w:rPr>
        <w:t xml:space="preserve"> </w:t>
      </w:r>
      <w:r w:rsidRPr="00435861">
        <w:rPr>
          <w:rStyle w:val="fontstyle01"/>
          <w:rFonts w:ascii="Arial" w:hAnsi="Arial" w:cs="Arial"/>
          <w:sz w:val="19"/>
          <w:szCs w:val="19"/>
        </w:rPr>
        <w:t>Ordinary Shares under the authority, which will or</w:t>
      </w:r>
      <w:r w:rsidRPr="00435861">
        <w:rPr>
          <w:rFonts w:ascii="Arial" w:hAnsi="Arial" w:cs="Arial"/>
          <w:color w:val="242021"/>
          <w:sz w:val="19"/>
          <w:szCs w:val="19"/>
        </w:rPr>
        <w:t xml:space="preserve"> </w:t>
      </w:r>
      <w:r w:rsidRPr="00435861">
        <w:rPr>
          <w:rStyle w:val="fontstyle01"/>
          <w:rFonts w:ascii="Arial" w:hAnsi="Arial" w:cs="Arial"/>
          <w:sz w:val="19"/>
          <w:szCs w:val="19"/>
        </w:rPr>
        <w:t>may be executed wholly or partly after the expiration</w:t>
      </w:r>
      <w:r w:rsidRPr="00435861">
        <w:rPr>
          <w:rFonts w:ascii="Arial" w:hAnsi="Arial" w:cs="Arial"/>
          <w:color w:val="242021"/>
          <w:sz w:val="19"/>
          <w:szCs w:val="19"/>
        </w:rPr>
        <w:t xml:space="preserve"> </w:t>
      </w:r>
      <w:r w:rsidRPr="00435861">
        <w:rPr>
          <w:rStyle w:val="fontstyle01"/>
          <w:rFonts w:ascii="Arial" w:hAnsi="Arial" w:cs="Arial"/>
          <w:sz w:val="19"/>
          <w:szCs w:val="19"/>
        </w:rPr>
        <w:t>of such authority and may make a purchase of</w:t>
      </w:r>
      <w:r w:rsidRPr="00435861">
        <w:rPr>
          <w:rFonts w:ascii="Arial" w:hAnsi="Arial" w:cs="Arial"/>
          <w:color w:val="242021"/>
          <w:sz w:val="19"/>
          <w:szCs w:val="19"/>
        </w:rPr>
        <w:t xml:space="preserve"> </w:t>
      </w:r>
      <w:r w:rsidRPr="00435861">
        <w:rPr>
          <w:rStyle w:val="fontstyle01"/>
          <w:rFonts w:ascii="Arial" w:hAnsi="Arial" w:cs="Arial"/>
          <w:sz w:val="19"/>
          <w:szCs w:val="19"/>
        </w:rPr>
        <w:t>Ordinary Shares pursuant to any such contract.</w:t>
      </w:r>
    </w:p>
    <w:p w14:paraId="752A8EF7" w14:textId="77777777" w:rsidR="00FE0E3E" w:rsidRPr="00FE0E3E" w:rsidRDefault="00FE0E3E" w:rsidP="00FE0E3E">
      <w:pPr>
        <w:pStyle w:val="ListParagraph"/>
        <w:rPr>
          <w:rStyle w:val="fontstyle01"/>
          <w:rFonts w:ascii="Arial" w:hAnsi="Arial" w:cs="Arial"/>
          <w:color w:val="auto"/>
          <w:sz w:val="19"/>
          <w:szCs w:val="19"/>
        </w:rPr>
      </w:pPr>
    </w:p>
    <w:p w14:paraId="5F37A7BB" w14:textId="01B5A39B" w:rsidR="00FE0E3E" w:rsidRDefault="00FE0E3E" w:rsidP="00FE0E3E">
      <w:pPr>
        <w:jc w:val="both"/>
        <w:rPr>
          <w:rStyle w:val="fontstyle01"/>
          <w:rFonts w:ascii="Arial" w:hAnsi="Arial" w:cs="Arial"/>
          <w:color w:val="auto"/>
          <w:sz w:val="19"/>
          <w:szCs w:val="19"/>
        </w:rPr>
      </w:pPr>
      <w:r>
        <w:rPr>
          <w:rStyle w:val="fontstyle01"/>
          <w:rFonts w:ascii="Arial" w:hAnsi="Arial" w:cs="Arial"/>
          <w:b/>
          <w:bCs/>
          <w:color w:val="auto"/>
          <w:sz w:val="19"/>
          <w:szCs w:val="19"/>
        </w:rPr>
        <w:t>Resolution 12</w:t>
      </w:r>
    </w:p>
    <w:p w14:paraId="03464E42" w14:textId="77777777" w:rsidR="00FE0E3E" w:rsidRPr="00435861" w:rsidRDefault="00FE0E3E" w:rsidP="00FE0E3E">
      <w:pPr>
        <w:jc w:val="both"/>
        <w:rPr>
          <w:rStyle w:val="fontstyle01"/>
          <w:rFonts w:ascii="Arial" w:hAnsi="Arial" w:cs="Arial"/>
          <w:color w:val="auto"/>
          <w:sz w:val="19"/>
          <w:szCs w:val="19"/>
        </w:rPr>
      </w:pPr>
      <w:r w:rsidRPr="00435861">
        <w:rPr>
          <w:rStyle w:val="fontstyle01"/>
          <w:rFonts w:ascii="Arial" w:hAnsi="Arial" w:cs="Arial"/>
          <w:sz w:val="19"/>
          <w:szCs w:val="19"/>
        </w:rPr>
        <w:t>That a General Meeting of the Company other than</w:t>
      </w:r>
      <w:r w:rsidRPr="00435861">
        <w:rPr>
          <w:rFonts w:ascii="Arial" w:hAnsi="Arial" w:cs="Arial"/>
          <w:color w:val="242021"/>
          <w:sz w:val="19"/>
          <w:szCs w:val="19"/>
        </w:rPr>
        <w:t xml:space="preserve"> </w:t>
      </w:r>
      <w:r w:rsidRPr="00435861">
        <w:rPr>
          <w:rStyle w:val="fontstyle01"/>
          <w:rFonts w:ascii="Arial" w:hAnsi="Arial" w:cs="Arial"/>
          <w:sz w:val="19"/>
          <w:szCs w:val="19"/>
        </w:rPr>
        <w:t>an Annual General Meeting may be called on not less than 14 clear days’ notice, provided that this authority</w:t>
      </w:r>
      <w:r w:rsidRPr="00435861">
        <w:rPr>
          <w:rFonts w:ascii="Arial" w:hAnsi="Arial" w:cs="Arial"/>
          <w:color w:val="242021"/>
          <w:sz w:val="19"/>
          <w:szCs w:val="19"/>
        </w:rPr>
        <w:t xml:space="preserve"> </w:t>
      </w:r>
      <w:r w:rsidRPr="00435861">
        <w:rPr>
          <w:rStyle w:val="fontstyle01"/>
          <w:rFonts w:ascii="Arial" w:hAnsi="Arial" w:cs="Arial"/>
          <w:sz w:val="19"/>
          <w:szCs w:val="19"/>
        </w:rPr>
        <w:t>shall expire at the conclusion of the Company’s next</w:t>
      </w:r>
      <w:r w:rsidRPr="00435861">
        <w:rPr>
          <w:rFonts w:ascii="Arial" w:hAnsi="Arial" w:cs="Arial"/>
          <w:color w:val="242021"/>
          <w:sz w:val="19"/>
          <w:szCs w:val="19"/>
        </w:rPr>
        <w:t xml:space="preserve"> </w:t>
      </w:r>
      <w:r w:rsidRPr="00435861">
        <w:rPr>
          <w:rStyle w:val="fontstyle01"/>
          <w:rFonts w:ascii="Arial" w:hAnsi="Arial" w:cs="Arial"/>
          <w:sz w:val="19"/>
          <w:szCs w:val="19"/>
        </w:rPr>
        <w:t>Annual General Meeting after the date of the passing</w:t>
      </w:r>
      <w:r w:rsidRPr="00435861">
        <w:rPr>
          <w:rFonts w:ascii="Arial" w:hAnsi="Arial" w:cs="Arial"/>
          <w:color w:val="242021"/>
          <w:sz w:val="19"/>
          <w:szCs w:val="19"/>
        </w:rPr>
        <w:t xml:space="preserve"> </w:t>
      </w:r>
      <w:r w:rsidRPr="00435861">
        <w:rPr>
          <w:rStyle w:val="fontstyle01"/>
          <w:rFonts w:ascii="Arial" w:hAnsi="Arial" w:cs="Arial"/>
          <w:sz w:val="19"/>
          <w:szCs w:val="19"/>
        </w:rPr>
        <w:t>of this resolution.</w:t>
      </w:r>
    </w:p>
    <w:tbl>
      <w:tblPr>
        <w:tblW w:w="9542" w:type="dxa"/>
        <w:tblLook w:val="0000" w:firstRow="0" w:lastRow="0" w:firstColumn="0" w:lastColumn="0" w:noHBand="0" w:noVBand="0"/>
      </w:tblPr>
      <w:tblGrid>
        <w:gridCol w:w="426"/>
        <w:gridCol w:w="7982"/>
        <w:gridCol w:w="1134"/>
      </w:tblGrid>
      <w:tr w:rsidR="00F51D8D" w:rsidRPr="00435861" w14:paraId="3B1E4A05" w14:textId="77777777" w:rsidTr="00FE0E3E">
        <w:tc>
          <w:tcPr>
            <w:tcW w:w="426" w:type="dxa"/>
          </w:tcPr>
          <w:p w14:paraId="3DB16F4F" w14:textId="5D8AA823" w:rsidR="00F51D8D" w:rsidRPr="00435861" w:rsidRDefault="00F51D8D" w:rsidP="00F82222">
            <w:pPr>
              <w:pStyle w:val="Normal-nospace"/>
              <w:rPr>
                <w:sz w:val="19"/>
                <w:szCs w:val="19"/>
              </w:rPr>
            </w:pPr>
          </w:p>
        </w:tc>
        <w:tc>
          <w:tcPr>
            <w:tcW w:w="7982" w:type="dxa"/>
          </w:tcPr>
          <w:p w14:paraId="6C460959" w14:textId="77777777" w:rsidR="00FE0E3E" w:rsidRPr="00FE0E3E" w:rsidRDefault="00FE0E3E" w:rsidP="00FE0E3E">
            <w:pPr>
              <w:pStyle w:val="ListParagraph"/>
              <w:rPr>
                <w:rFonts w:ascii="Arial" w:hAnsi="Arial" w:cs="Arial"/>
                <w:sz w:val="19"/>
                <w:szCs w:val="19"/>
              </w:rPr>
            </w:pPr>
          </w:p>
          <w:p w14:paraId="5B07FF91" w14:textId="3B80F527" w:rsidR="00FE0E3E" w:rsidRPr="00FE0E3E" w:rsidRDefault="00FE0E3E" w:rsidP="00FE0E3E">
            <w:pPr>
              <w:pStyle w:val="ListParagraph"/>
              <w:ind w:left="-398"/>
              <w:rPr>
                <w:rFonts w:ascii="Arial" w:hAnsi="Arial" w:cs="Arial"/>
                <w:sz w:val="19"/>
                <w:szCs w:val="19"/>
              </w:rPr>
            </w:pPr>
          </w:p>
        </w:tc>
        <w:tc>
          <w:tcPr>
            <w:tcW w:w="1134" w:type="dxa"/>
          </w:tcPr>
          <w:p w14:paraId="5CE43DA8" w14:textId="77777777" w:rsidR="00F51D8D" w:rsidRPr="00435861" w:rsidRDefault="00F51D8D" w:rsidP="00F82222">
            <w:pPr>
              <w:pStyle w:val="Normal-nospace"/>
              <w:rPr>
                <w:sz w:val="19"/>
                <w:szCs w:val="19"/>
              </w:rPr>
            </w:pPr>
          </w:p>
        </w:tc>
      </w:tr>
      <w:tr w:rsidR="00F51D8D" w:rsidRPr="00435861" w14:paraId="65E1B89C" w14:textId="77777777" w:rsidTr="00FE0E3E">
        <w:trPr>
          <w:trHeight w:val="95"/>
        </w:trPr>
        <w:tc>
          <w:tcPr>
            <w:tcW w:w="426" w:type="dxa"/>
          </w:tcPr>
          <w:p w14:paraId="140A828D" w14:textId="77777777" w:rsidR="00F51D8D" w:rsidRPr="00435861" w:rsidRDefault="00F51D8D" w:rsidP="00F82222">
            <w:pPr>
              <w:pStyle w:val="Normal-nospace"/>
              <w:rPr>
                <w:sz w:val="19"/>
                <w:szCs w:val="19"/>
              </w:rPr>
            </w:pPr>
          </w:p>
        </w:tc>
        <w:tc>
          <w:tcPr>
            <w:tcW w:w="7982" w:type="dxa"/>
          </w:tcPr>
          <w:p w14:paraId="723F21CD" w14:textId="77777777" w:rsidR="00F51D8D" w:rsidRPr="00435861" w:rsidRDefault="00F51D8D" w:rsidP="00F82222">
            <w:pPr>
              <w:pStyle w:val="Normal-nospace"/>
              <w:rPr>
                <w:sz w:val="19"/>
                <w:szCs w:val="19"/>
              </w:rPr>
            </w:pPr>
          </w:p>
        </w:tc>
        <w:tc>
          <w:tcPr>
            <w:tcW w:w="1134" w:type="dxa"/>
          </w:tcPr>
          <w:p w14:paraId="7B00B9B8" w14:textId="77777777" w:rsidR="00F51D8D" w:rsidRPr="00435861" w:rsidRDefault="00F51D8D" w:rsidP="00F82222">
            <w:pPr>
              <w:pStyle w:val="Normal-nospace"/>
              <w:rPr>
                <w:sz w:val="19"/>
                <w:szCs w:val="19"/>
              </w:rPr>
            </w:pPr>
          </w:p>
        </w:tc>
      </w:tr>
    </w:tbl>
    <w:p w14:paraId="4DF5B660" w14:textId="77777777" w:rsidR="00F51D8D" w:rsidRPr="00F51D8D" w:rsidRDefault="00F51D8D" w:rsidP="00F51D8D">
      <w:pPr>
        <w:spacing w:after="0"/>
        <w:jc w:val="both"/>
      </w:pPr>
    </w:p>
    <w:p w14:paraId="5662EC0F" w14:textId="77777777" w:rsidR="004064B1" w:rsidRDefault="004064B1" w:rsidP="004064B1">
      <w:pPr>
        <w:spacing w:after="120" w:line="200" w:lineRule="atLeast"/>
        <w:rPr>
          <w:sz w:val="19"/>
          <w:szCs w:val="19"/>
        </w:rPr>
      </w:pPr>
    </w:p>
    <w:p w14:paraId="60062F2A" w14:textId="77777777" w:rsidR="00435861" w:rsidRDefault="00435861" w:rsidP="004064B1">
      <w:pPr>
        <w:spacing w:after="120" w:line="200" w:lineRule="atLeast"/>
        <w:rPr>
          <w:sz w:val="19"/>
          <w:szCs w:val="19"/>
        </w:rPr>
      </w:pPr>
    </w:p>
    <w:p w14:paraId="39DF9762" w14:textId="2D566774" w:rsidR="004064B1" w:rsidRPr="00435861" w:rsidRDefault="004064B1" w:rsidP="00021F32">
      <w:pPr>
        <w:spacing w:after="120" w:line="200" w:lineRule="atLeast"/>
        <w:jc w:val="both"/>
        <w:rPr>
          <w:rFonts w:ascii="Arial" w:hAnsi="Arial" w:cs="Arial"/>
          <w:sz w:val="19"/>
          <w:szCs w:val="19"/>
        </w:rPr>
      </w:pPr>
      <w:r w:rsidRPr="00435861">
        <w:rPr>
          <w:rFonts w:ascii="Arial" w:hAnsi="Arial" w:cs="Arial"/>
          <w:sz w:val="19"/>
          <w:szCs w:val="19"/>
        </w:rPr>
        <w:t xml:space="preserve"> </w:t>
      </w:r>
    </w:p>
    <w:sectPr w:rsidR="004064B1" w:rsidRPr="00435861" w:rsidSect="00DF7A96">
      <w:headerReference w:type="default" r:id="rId7"/>
      <w:pgSz w:w="11906" w:h="16838"/>
      <w:pgMar w:top="1440" w:right="181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3F0D" w14:textId="77777777" w:rsidR="00F51D8D" w:rsidRDefault="00F51D8D" w:rsidP="00F51D8D">
      <w:pPr>
        <w:spacing w:after="0" w:line="240" w:lineRule="auto"/>
      </w:pPr>
      <w:r>
        <w:separator/>
      </w:r>
    </w:p>
  </w:endnote>
  <w:endnote w:type="continuationSeparator" w:id="0">
    <w:p w14:paraId="41DA1A43" w14:textId="77777777" w:rsidR="00F51D8D" w:rsidRDefault="00F51D8D" w:rsidP="00F51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Effra-Regula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B6EA" w14:textId="77777777" w:rsidR="00F51D8D" w:rsidRDefault="00F51D8D" w:rsidP="00F51D8D">
      <w:pPr>
        <w:spacing w:after="0" w:line="240" w:lineRule="auto"/>
      </w:pPr>
      <w:r>
        <w:separator/>
      </w:r>
    </w:p>
  </w:footnote>
  <w:footnote w:type="continuationSeparator" w:id="0">
    <w:p w14:paraId="051140CD" w14:textId="77777777" w:rsidR="00F51D8D" w:rsidRDefault="00F51D8D" w:rsidP="00F51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EDF6" w14:textId="39D4A425" w:rsidR="00F51D8D" w:rsidRPr="00435861" w:rsidRDefault="00F51D8D">
    <w:pPr>
      <w:pStyle w:val="Header"/>
      <w:rPr>
        <w:sz w:val="19"/>
        <w:szCs w:val="19"/>
      </w:rPr>
    </w:pPr>
    <w:r w:rsidRPr="00435861">
      <w:rPr>
        <w:sz w:val="19"/>
        <w:szCs w:val="19"/>
      </w:rPr>
      <w:t>Company Number: 12822709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F4950"/>
    <w:multiLevelType w:val="hybridMultilevel"/>
    <w:tmpl w:val="A34C4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8D"/>
    <w:rsid w:val="00021F32"/>
    <w:rsid w:val="000E05DC"/>
    <w:rsid w:val="003876D7"/>
    <w:rsid w:val="004064B1"/>
    <w:rsid w:val="00435861"/>
    <w:rsid w:val="0048451A"/>
    <w:rsid w:val="00514F47"/>
    <w:rsid w:val="00AD136A"/>
    <w:rsid w:val="00CA0D6F"/>
    <w:rsid w:val="00DF7A96"/>
    <w:rsid w:val="00F51D8D"/>
    <w:rsid w:val="00FE0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5C35"/>
  <w15:chartTrackingRefBased/>
  <w15:docId w15:val="{6FF9614E-3720-4D09-8A26-147DB56E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 no space"/>
    <w:basedOn w:val="Normal"/>
    <w:qFormat/>
    <w:rsid w:val="00F51D8D"/>
    <w:pPr>
      <w:spacing w:after="0" w:line="264"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F51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D8D"/>
  </w:style>
  <w:style w:type="paragraph" w:styleId="Footer">
    <w:name w:val="footer"/>
    <w:basedOn w:val="Normal"/>
    <w:link w:val="FooterChar"/>
    <w:uiPriority w:val="99"/>
    <w:unhideWhenUsed/>
    <w:rsid w:val="00F51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D8D"/>
  </w:style>
  <w:style w:type="character" w:customStyle="1" w:styleId="fontstyle01">
    <w:name w:val="fontstyle01"/>
    <w:basedOn w:val="DefaultParagraphFont"/>
    <w:rsid w:val="00F51D8D"/>
    <w:rPr>
      <w:rFonts w:ascii="Effra-Regular" w:hAnsi="Effra-Regular" w:hint="default"/>
      <w:b w:val="0"/>
      <w:bCs w:val="0"/>
      <w:i w:val="0"/>
      <w:iCs w:val="0"/>
      <w:color w:val="242021"/>
      <w:sz w:val="20"/>
      <w:szCs w:val="20"/>
    </w:rPr>
  </w:style>
  <w:style w:type="paragraph" w:styleId="ListParagraph">
    <w:name w:val="List Paragraph"/>
    <w:basedOn w:val="Normal"/>
    <w:uiPriority w:val="34"/>
    <w:qFormat/>
    <w:rsid w:val="004845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Apex Group</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Throgmorton</dc:creator>
  <cp:keywords/>
  <dc:description/>
  <cp:lastModifiedBy>Andrew Humphries</cp:lastModifiedBy>
  <cp:revision>9</cp:revision>
  <dcterms:created xsi:type="dcterms:W3CDTF">2022-01-26T14:53:00Z</dcterms:created>
  <dcterms:modified xsi:type="dcterms:W3CDTF">2022-02-14T17:26:00Z</dcterms:modified>
</cp:coreProperties>
</file>