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648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Company No. </w:t>
      </w:r>
      <w:r w:rsidDel="00000000" w:rsidR="00000000" w:rsidRPr="00000000">
        <w:rPr>
          <w:rFonts w:ascii="Arial" w:cs="Arial" w:eastAsia="Arial" w:hAnsi="Arial"/>
          <w:b w:val="1"/>
          <w:sz w:val="22"/>
          <w:szCs w:val="22"/>
          <w:rtl w:val="0"/>
        </w:rPr>
        <w:t xml:space="preserve">13227665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72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DELIVEROO PLC</w:t>
      </w:r>
    </w:p>
    <w:p w:rsidR="00000000" w:rsidDel="00000000" w:rsidP="00000000" w:rsidRDefault="00000000" w:rsidRPr="00000000" w14:paraId="00000004">
      <w:pPr>
        <w:jc w:val="center"/>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 (THE ‘COMPANY’)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72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72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COMPANY LIMITED BY SHARES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72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RESOLUTIONS PASSED ON 20 MAY 2022</w:t>
      </w:r>
    </w:p>
    <w:p w:rsidR="00000000" w:rsidDel="00000000" w:rsidP="00000000" w:rsidRDefault="00000000" w:rsidRPr="00000000" w14:paraId="00000009">
      <w:pPr>
        <w:tabs>
          <w:tab w:val="left" w:pos="954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0"/>
        </w:tabs>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At an Annual General Meeting (‘AGM’) of the Company, duly convened and held at 10.00am on Friday, 20 May 2022 at </w:t>
      </w:r>
      <w:r w:rsidDel="00000000" w:rsidR="00000000" w:rsidRPr="00000000">
        <w:rPr>
          <w:rFonts w:ascii="Arial" w:cs="Arial" w:eastAsia="Arial" w:hAnsi="Arial"/>
          <w:sz w:val="22"/>
          <w:szCs w:val="22"/>
          <w:rtl w:val="0"/>
        </w:rPr>
        <w:t xml:space="preserve">Goldman Sachs offices, Plumtree Court, 2 Stonecutter Street, EC4A 4AH</w:t>
      </w:r>
      <w:r w:rsidDel="00000000" w:rsidR="00000000" w:rsidRPr="00000000">
        <w:rPr>
          <w:rFonts w:ascii="Arial" w:cs="Arial" w:eastAsia="Arial" w:hAnsi="Arial"/>
          <w:sz w:val="22"/>
          <w:szCs w:val="22"/>
          <w:rtl w:val="0"/>
        </w:rPr>
        <w:t xml:space="preserve">, the following resolutions were duly passed by means of a poll. Resolution 16 was passed as an ordinary resolution and resolutions 17-20 were passed as special resolutions of the Compan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w:t>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ORDINARY RESOLUTION</w:t>
      </w:r>
    </w:p>
    <w:p w:rsidR="00000000" w:rsidDel="00000000" w:rsidP="00000000" w:rsidRDefault="00000000" w:rsidRPr="00000000" w14:paraId="0000000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Directors Authority to Allot Shares</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 That the Directors be hereby generally and unconditionally authorised pursuant to section 551 of the Act to:</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allot shares in the Company and to grant rights to subscribe for or to convert any security into shares in the Company: </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 to an aggregate nominal amount of £3,092,874;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comprising equity securities (as defined in the Act) up to an aggregate nominal amount of £6,185,749 (including within such limit any shares issued or rights granted under paragraph (i) above) in connection with an offer by way of a rights issue to:</w:t>
      </w:r>
    </w:p>
    <w:p w:rsidR="00000000" w:rsidDel="00000000" w:rsidP="00000000" w:rsidRDefault="00000000" w:rsidRPr="00000000" w14:paraId="0000001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holders of Class A Ordinary Shares in the capital of the Company (“Class A Shares”) of £0.005 each and Class B Ordinary Shares of £0.005 each in the capital of the Company (“Class B Shares”) in proportion (as nearly as may be practicable) to their existing holdings (or where the holders(s) of Class B Shares have consented to a variation or abrogation of the rights attaching to the Class B Shares in accordance with the Articles of Association of the Company, to the holders of Class A Shares only in proportion (as nearly as practicable) to their existing holdings); and</w:t>
      </w:r>
    </w:p>
    <w:p w:rsidR="00000000" w:rsidDel="00000000" w:rsidP="00000000" w:rsidRDefault="00000000" w:rsidRPr="00000000" w14:paraId="000000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holders of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matter whatsoever,provided that this authority shall apply (unless previously renewed, varied or revoked by the Company in a general meeting) until the conclusion of the Company’s annual general meeting to be held in 2023 (or, if earlier, 19 August 2023); and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subject to the limits set out in paragraph 16(I) above, 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the authority had not expired.</w:t>
      </w:r>
    </w:p>
    <w:p w:rsidR="00000000" w:rsidDel="00000000" w:rsidP="00000000" w:rsidRDefault="00000000" w:rsidRPr="00000000" w14:paraId="0000001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SPECIAL RESOLUTIONS</w:t>
      </w:r>
    </w:p>
    <w:p w:rsidR="00000000" w:rsidDel="00000000" w:rsidP="00000000" w:rsidRDefault="00000000" w:rsidRPr="00000000" w14:paraId="0000001C">
      <w:pPr>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Disapplication of pre-emption rights </w:t>
      </w:r>
    </w:p>
    <w:p w:rsidR="00000000" w:rsidDel="00000000" w:rsidP="00000000" w:rsidRDefault="00000000" w:rsidRPr="00000000" w14:paraId="0000001E">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 That, subject to the passing of Resolution 16, the Directors be hereby generally empowered pursuant to sections 570 and 573 of the Act to allot equity securities (within the meaning of the Act) for cash under the authority given by that resolution and/or to sell shares held by the Company as treasury shares for cash as if section 561 of the Act did not apply to any such allotment or sale, provided that this power shall be limited to:</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allotment of equity securities and sale of treasury shares for cash in connection with an offer of, or invitation to apply for, equity securities (but in the case of the authority granted under Resolution 16(I)(ii) by way of a rights issue only) to:</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holders of Class A Shares and Class B Shares in proportion (as nearly as may be practicable) to their existing holdings (or where the holders(s) of Class B Shares have consented to a variation or abrogation of the rights attaching to the Class B Shares in accordance with the Articles of Association of the Company, to the holders of Class A Shares only in proportion (as nearly as practicable) to their existing holdings); and</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holders of other equity securities if this is required by the rights of those securities or, if the Directors consider it necessary, as permitted by the rights of those securities,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matter whatsoever;</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case of the authority granted under Resolution 16(I)(i), such authority shall be limited to the allotment (otherwise than under paragraph (i) above) of equity securities or sale of treasury shares for cash up to an aggregate nominal amount of £463,931; and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Such power shall apply until the conclusion of the Company’s annual general meeting to be held in 2023 (or, if earlier, 19 August 2023) but,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such power had not expired.</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Additional Directors’ authority to disapply pre-emption rights for acquisition and specified capital investments</w:t>
      </w:r>
    </w:p>
    <w:p w:rsidR="00000000" w:rsidDel="00000000" w:rsidP="00000000" w:rsidRDefault="00000000" w:rsidRPr="00000000" w14:paraId="0000002C">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18. That, subject to the passing of Resolution 16, and in addition to the power granted to them under Resolution 17, the Directors be hereby generally empowered pursuant to sections 570 and 573 of the Act to allot equity securities (within the meaning of the Act) for cash pursuant to the authority conferred by Resolution 16 and/or to sell shares held by the Company as treasury shares for cash as if section 561 of the Act did not apply to the allotment or sale, provided that this power shall:</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case of the authority granted under Resolution 16(I)(i):</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 limited to the allotment of equity securities for cash up to an aggregate nominal amount of £463,931; and</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 used only for the purposes of financing (or refinancing, if the power is used within six months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the notice of the AGM (the “PEG Principles”); and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apply until the conclusion of the Company’s annual general meeting to be held in 2023 (or, if earlier, 19 August 2023) but,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such power had not expired.</w:t>
      </w:r>
    </w:p>
    <w:p w:rsidR="00000000" w:rsidDel="00000000" w:rsidP="00000000" w:rsidRDefault="00000000" w:rsidRPr="00000000" w14:paraId="00000034">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Authority to purchase own shares </w:t>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19. That the Company be hereby generally and unconditionally authorised pursuant to section 701 of the Act to make market purchases (as defined in section 693(4) of the Act) of Class A Shares provided that:</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maximum number of Class A Shares which may be purchased is 185,572,481, being approximately 10% of the Company’s issued share capital as at 1 April 2022 (being the latest practicable date prior to the publication of the notice of AGM);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minimum price (excluding expenses) which may be paid for each such share is £0.005;</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maximum price (excluding expenses) which may be paid for each such share is the higher of:</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amount equal to 105% of the average of the middle market quotations for a Class A Share as derived from the London Stock Exchange Daily Official List for the five Business Days immediately preceding the day on which the relevant share is purchased; and</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amount equal to the higher of the price of the last independent trade and the highest current independent purchase bid on the trading venues where the purchase is carried out; and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authority hereby conferred shall apply until the conclusion of the Company’s annual general meeting to be held in 2023 (or, if earlier, 19 August 2023) (except in relation to the purchase of shares the contracts for which are concluded before such expiry and which are executed wholly or partly after such expiry), unless such authority is renewed prior to such time.</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General meetings </w:t>
      </w:r>
    </w:p>
    <w:p w:rsidR="00000000" w:rsidDel="00000000" w:rsidP="00000000" w:rsidRDefault="00000000" w:rsidRPr="00000000" w14:paraId="00000044">
      <w:pP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 That the Directors be hereby authorised to call a general meeting (other than an Annual General Meeting) on not less than 14 clear days’ notice.</w:t>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tl w:val="0"/>
        </w:rPr>
      </w:r>
    </w:p>
    <w:sectPr>
      <w:pgSz w:h="15840" w:w="12240" w:orient="portrait"/>
      <w:pgMar w:bottom="993" w:top="127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2452"/>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nhideWhenUsed w:val="1"/>
    <w:rsid w:val="003A2452"/>
    <w:pPr>
      <w:tabs>
        <w:tab w:val="left" w:pos="720"/>
        <w:tab w:val="left" w:pos="1440"/>
        <w:tab w:val="left" w:pos="2160"/>
        <w:tab w:val="left" w:pos="2880"/>
        <w:tab w:val="left" w:pos="3600"/>
        <w:tab w:val="left" w:pos="4320"/>
        <w:tab w:val="left" w:pos="5040"/>
      </w:tabs>
      <w:spacing w:after="200"/>
      <w:jc w:val="both"/>
    </w:pPr>
    <w:rPr>
      <w:szCs w:val="20"/>
      <w:lang w:val="en-GB"/>
    </w:rPr>
  </w:style>
  <w:style w:type="character" w:styleId="BodyTextChar" w:customStyle="1">
    <w:name w:val="Body Text Char"/>
    <w:basedOn w:val="DefaultParagraphFont"/>
    <w:link w:val="BodyText"/>
    <w:rsid w:val="003A2452"/>
    <w:rPr>
      <w:rFonts w:ascii="Times New Roman" w:cs="Times New Roman" w:eastAsia="Times New Roman" w:hAnsi="Times New Roman"/>
      <w:sz w:val="24"/>
      <w:szCs w:val="20"/>
      <w:lang w:val="en-GB"/>
    </w:rPr>
  </w:style>
  <w:style w:type="paragraph" w:styleId="MdRLevel1" w:customStyle="1">
    <w:name w:val="MdR Level 1"/>
    <w:basedOn w:val="Normal"/>
    <w:rsid w:val="003A2452"/>
    <w:pPr>
      <w:numPr>
        <w:numId w:val="1"/>
      </w:numPr>
      <w:spacing w:after="240" w:line="360" w:lineRule="auto"/>
      <w:jc w:val="both"/>
      <w:outlineLvl w:val="0"/>
    </w:pPr>
    <w:rPr>
      <w:lang w:val="en-GB"/>
    </w:rPr>
  </w:style>
  <w:style w:type="paragraph" w:styleId="MdRLevel2" w:customStyle="1">
    <w:name w:val="MdR Level 2"/>
    <w:basedOn w:val="Normal"/>
    <w:rsid w:val="003A2452"/>
    <w:pPr>
      <w:numPr>
        <w:ilvl w:val="1"/>
        <w:numId w:val="1"/>
      </w:numPr>
      <w:spacing w:after="240" w:line="360" w:lineRule="auto"/>
      <w:jc w:val="both"/>
      <w:outlineLvl w:val="1"/>
    </w:pPr>
    <w:rPr>
      <w:lang w:val="en-GB"/>
    </w:rPr>
  </w:style>
  <w:style w:type="paragraph" w:styleId="MdRLevel3" w:customStyle="1">
    <w:name w:val="MdR Level 3"/>
    <w:basedOn w:val="Normal"/>
    <w:rsid w:val="003A2452"/>
    <w:pPr>
      <w:numPr>
        <w:ilvl w:val="2"/>
        <w:numId w:val="1"/>
      </w:numPr>
      <w:spacing w:after="240" w:line="360" w:lineRule="auto"/>
      <w:jc w:val="both"/>
      <w:outlineLvl w:val="2"/>
    </w:pPr>
    <w:rPr>
      <w:lang w:val="en-GB"/>
    </w:rPr>
  </w:style>
  <w:style w:type="paragraph" w:styleId="MdRLevel4" w:customStyle="1">
    <w:name w:val="MdR Level 4"/>
    <w:basedOn w:val="Normal"/>
    <w:rsid w:val="003A2452"/>
    <w:pPr>
      <w:numPr>
        <w:ilvl w:val="3"/>
        <w:numId w:val="1"/>
      </w:numPr>
      <w:spacing w:after="240" w:line="360" w:lineRule="auto"/>
      <w:jc w:val="both"/>
      <w:outlineLvl w:val="3"/>
    </w:pPr>
    <w:rPr>
      <w:lang w:val="en-GB"/>
    </w:rPr>
  </w:style>
  <w:style w:type="paragraph" w:styleId="MdRLevel5" w:customStyle="1">
    <w:name w:val="MdR Level 5"/>
    <w:basedOn w:val="Normal"/>
    <w:rsid w:val="003A2452"/>
    <w:pPr>
      <w:numPr>
        <w:ilvl w:val="4"/>
        <w:numId w:val="1"/>
      </w:numPr>
      <w:spacing w:after="240" w:line="360" w:lineRule="auto"/>
      <w:jc w:val="both"/>
      <w:outlineLvl w:val="4"/>
    </w:pPr>
    <w:rPr>
      <w:lang w:val="en-GB"/>
    </w:rPr>
  </w:style>
  <w:style w:type="paragraph" w:styleId="ListParagraph">
    <w:name w:val="List Paragraph"/>
    <w:basedOn w:val="Normal"/>
    <w:uiPriority w:val="34"/>
    <w:qFormat w:val="1"/>
    <w:rsid w:val="003A2452"/>
    <w:pPr>
      <w:ind w:left="720"/>
      <w:contextualSpacing w:val="1"/>
    </w:pPr>
  </w:style>
  <w:style w:type="character" w:styleId="CommentReference">
    <w:name w:val="annotation reference"/>
    <w:basedOn w:val="DefaultParagraphFont"/>
    <w:uiPriority w:val="99"/>
    <w:semiHidden w:val="1"/>
    <w:unhideWhenUsed w:val="1"/>
    <w:rsid w:val="00EA22F8"/>
    <w:rPr>
      <w:sz w:val="16"/>
      <w:szCs w:val="16"/>
    </w:rPr>
  </w:style>
  <w:style w:type="paragraph" w:styleId="CommentText">
    <w:name w:val="annotation text"/>
    <w:basedOn w:val="Normal"/>
    <w:link w:val="CommentTextChar"/>
    <w:uiPriority w:val="99"/>
    <w:semiHidden w:val="1"/>
    <w:unhideWhenUsed w:val="1"/>
    <w:rsid w:val="00EA22F8"/>
    <w:rPr>
      <w:sz w:val="20"/>
      <w:szCs w:val="20"/>
    </w:rPr>
  </w:style>
  <w:style w:type="character" w:styleId="CommentTextChar" w:customStyle="1">
    <w:name w:val="Comment Text Char"/>
    <w:basedOn w:val="DefaultParagraphFont"/>
    <w:link w:val="CommentText"/>
    <w:uiPriority w:val="99"/>
    <w:semiHidden w:val="1"/>
    <w:rsid w:val="00EA22F8"/>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EA22F8"/>
    <w:rPr>
      <w:b w:val="1"/>
      <w:bCs w:val="1"/>
    </w:rPr>
  </w:style>
  <w:style w:type="character" w:styleId="CommentSubjectChar" w:customStyle="1">
    <w:name w:val="Comment Subject Char"/>
    <w:basedOn w:val="CommentTextChar"/>
    <w:link w:val="CommentSubject"/>
    <w:uiPriority w:val="99"/>
    <w:semiHidden w:val="1"/>
    <w:rsid w:val="00EA22F8"/>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EA22F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A22F8"/>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zPk+BVii1YF2GBmnm6UNb22ng==">AMUW2mV05j/KYGJJQXLlay5unS6x2lqPur3kIim+ldo+E2GuR0plTIEZb0Fj9fU1Bko+8L65I01gqBrH4Oldg1e700zXGMKsgNFewUuommRooEOA95A5sYM=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2022-03-21T10:32:00Z</dcterms:created>
  <dc:creator>Waite, Rebecca</dc:creator>
</cp:coreProperties>
</file>