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7CB2" w:rsidRDefault="00000000">
      <w:pPr>
        <w:ind w:left="6480"/>
        <w:rPr>
          <w:rFonts w:ascii="Arial" w:eastAsia="Arial" w:hAnsi="Arial" w:cs="Arial"/>
          <w:b/>
          <w:color w:val="000000"/>
          <w:sz w:val="22"/>
          <w:szCs w:val="22"/>
        </w:rPr>
      </w:pPr>
      <w:r>
        <w:rPr>
          <w:rFonts w:ascii="Arial" w:eastAsia="Arial" w:hAnsi="Arial" w:cs="Arial"/>
          <w:b/>
          <w:color w:val="000000"/>
          <w:sz w:val="22"/>
          <w:szCs w:val="22"/>
        </w:rPr>
        <w:t xml:space="preserve">Company No. </w:t>
      </w:r>
      <w:r>
        <w:rPr>
          <w:rFonts w:ascii="Arial" w:eastAsia="Arial" w:hAnsi="Arial" w:cs="Arial"/>
          <w:b/>
          <w:sz w:val="22"/>
          <w:szCs w:val="22"/>
        </w:rPr>
        <w:t>13227665</w:t>
      </w:r>
    </w:p>
    <w:p w14:paraId="00000002" w14:textId="77777777" w:rsidR="001C7CB2" w:rsidRDefault="001C7CB2">
      <w:pPr>
        <w:pBdr>
          <w:top w:val="nil"/>
          <w:left w:val="nil"/>
          <w:bottom w:val="nil"/>
          <w:right w:val="nil"/>
          <w:between w:val="nil"/>
        </w:pBdr>
        <w:tabs>
          <w:tab w:val="left" w:pos="720"/>
        </w:tabs>
        <w:ind w:left="360" w:hanging="720"/>
        <w:jc w:val="center"/>
        <w:rPr>
          <w:rFonts w:ascii="Arial" w:eastAsia="Arial" w:hAnsi="Arial" w:cs="Arial"/>
          <w:color w:val="000000"/>
          <w:sz w:val="22"/>
          <w:szCs w:val="22"/>
          <w:u w:val="single"/>
        </w:rPr>
      </w:pPr>
    </w:p>
    <w:p w14:paraId="00000003" w14:textId="77777777" w:rsidR="001C7CB2" w:rsidRDefault="00000000">
      <w:pPr>
        <w:jc w:val="center"/>
        <w:rPr>
          <w:rFonts w:ascii="Arial" w:eastAsia="Arial" w:hAnsi="Arial" w:cs="Arial"/>
          <w:b/>
          <w:smallCaps/>
          <w:sz w:val="22"/>
          <w:szCs w:val="22"/>
        </w:rPr>
      </w:pPr>
      <w:r>
        <w:rPr>
          <w:rFonts w:ascii="Arial" w:eastAsia="Arial" w:hAnsi="Arial" w:cs="Arial"/>
          <w:b/>
          <w:smallCaps/>
          <w:sz w:val="22"/>
          <w:szCs w:val="22"/>
        </w:rPr>
        <w:t>DELIVEROO PLC</w:t>
      </w:r>
    </w:p>
    <w:p w14:paraId="00000004" w14:textId="77777777" w:rsidR="001C7CB2" w:rsidRDefault="00000000">
      <w:pPr>
        <w:jc w:val="center"/>
        <w:rPr>
          <w:rFonts w:ascii="Arial" w:eastAsia="Arial" w:hAnsi="Arial" w:cs="Arial"/>
          <w:b/>
          <w:smallCaps/>
          <w:sz w:val="22"/>
          <w:szCs w:val="22"/>
        </w:rPr>
      </w:pPr>
      <w:r>
        <w:rPr>
          <w:rFonts w:ascii="Arial" w:eastAsia="Arial" w:hAnsi="Arial" w:cs="Arial"/>
          <w:b/>
          <w:smallCaps/>
          <w:sz w:val="22"/>
          <w:szCs w:val="22"/>
        </w:rPr>
        <w:t xml:space="preserve"> (THE ‘COMPANY’)</w:t>
      </w:r>
    </w:p>
    <w:p w14:paraId="00000005" w14:textId="77777777" w:rsidR="001C7CB2" w:rsidRDefault="001C7CB2">
      <w:pPr>
        <w:pBdr>
          <w:top w:val="nil"/>
          <w:left w:val="nil"/>
          <w:bottom w:val="nil"/>
          <w:right w:val="nil"/>
          <w:between w:val="nil"/>
        </w:pBdr>
        <w:tabs>
          <w:tab w:val="left" w:pos="720"/>
        </w:tabs>
        <w:ind w:left="720" w:hanging="720"/>
        <w:jc w:val="both"/>
        <w:rPr>
          <w:rFonts w:ascii="Arial" w:eastAsia="Arial" w:hAnsi="Arial" w:cs="Arial"/>
          <w:b/>
          <w:color w:val="000000"/>
          <w:sz w:val="22"/>
          <w:szCs w:val="22"/>
          <w:u w:val="single"/>
        </w:rPr>
      </w:pPr>
    </w:p>
    <w:p w14:paraId="00000006" w14:textId="77777777" w:rsidR="001C7CB2" w:rsidRDefault="00000000">
      <w:pPr>
        <w:pBdr>
          <w:top w:val="nil"/>
          <w:left w:val="nil"/>
          <w:bottom w:val="nil"/>
          <w:right w:val="nil"/>
          <w:between w:val="nil"/>
        </w:pBdr>
        <w:tabs>
          <w:tab w:val="left" w:pos="720"/>
        </w:tabs>
        <w:ind w:left="720" w:hanging="720"/>
        <w:jc w:val="center"/>
        <w:rPr>
          <w:rFonts w:ascii="Arial" w:eastAsia="Arial" w:hAnsi="Arial" w:cs="Arial"/>
          <w:b/>
          <w:color w:val="000000"/>
          <w:sz w:val="22"/>
          <w:szCs w:val="22"/>
        </w:rPr>
      </w:pPr>
      <w:r>
        <w:rPr>
          <w:rFonts w:ascii="Arial" w:eastAsia="Arial" w:hAnsi="Arial" w:cs="Arial"/>
          <w:b/>
          <w:color w:val="000000"/>
          <w:sz w:val="22"/>
          <w:szCs w:val="22"/>
        </w:rPr>
        <w:t>PUBLIC COMPANY LIMITED BY SHARES</w:t>
      </w:r>
    </w:p>
    <w:p w14:paraId="00000007" w14:textId="77777777" w:rsidR="001C7CB2" w:rsidRDefault="001C7CB2">
      <w:pPr>
        <w:pBdr>
          <w:top w:val="nil"/>
          <w:left w:val="nil"/>
          <w:bottom w:val="nil"/>
          <w:right w:val="nil"/>
          <w:between w:val="nil"/>
        </w:pBdr>
        <w:tabs>
          <w:tab w:val="left" w:pos="720"/>
        </w:tabs>
        <w:ind w:left="720" w:hanging="720"/>
        <w:jc w:val="center"/>
        <w:rPr>
          <w:rFonts w:ascii="Arial" w:eastAsia="Arial" w:hAnsi="Arial" w:cs="Arial"/>
          <w:b/>
          <w:color w:val="000000"/>
          <w:sz w:val="22"/>
          <w:szCs w:val="22"/>
        </w:rPr>
      </w:pPr>
    </w:p>
    <w:p w14:paraId="00000008" w14:textId="02192836" w:rsidR="001C7CB2" w:rsidRDefault="00000000">
      <w:pPr>
        <w:jc w:val="center"/>
        <w:rPr>
          <w:rFonts w:ascii="Arial" w:eastAsia="Arial" w:hAnsi="Arial" w:cs="Arial"/>
          <w:b/>
          <w:smallCaps/>
          <w:sz w:val="22"/>
          <w:szCs w:val="22"/>
        </w:rPr>
      </w:pPr>
      <w:r>
        <w:rPr>
          <w:rFonts w:ascii="Arial" w:eastAsia="Arial" w:hAnsi="Arial" w:cs="Arial"/>
          <w:b/>
          <w:smallCaps/>
          <w:sz w:val="22"/>
          <w:szCs w:val="22"/>
        </w:rPr>
        <w:t>RESOLUTIONS PASSED ON 2</w:t>
      </w:r>
      <w:r w:rsidR="007D3DBD">
        <w:rPr>
          <w:rFonts w:ascii="Arial" w:eastAsia="Arial" w:hAnsi="Arial" w:cs="Arial"/>
          <w:b/>
          <w:smallCaps/>
          <w:sz w:val="22"/>
          <w:szCs w:val="22"/>
        </w:rPr>
        <w:t>4</w:t>
      </w:r>
      <w:r>
        <w:rPr>
          <w:rFonts w:ascii="Arial" w:eastAsia="Arial" w:hAnsi="Arial" w:cs="Arial"/>
          <w:b/>
          <w:smallCaps/>
          <w:sz w:val="22"/>
          <w:szCs w:val="22"/>
        </w:rPr>
        <w:t xml:space="preserve"> MAY 202</w:t>
      </w:r>
      <w:r w:rsidR="007D3DBD">
        <w:rPr>
          <w:rFonts w:ascii="Arial" w:eastAsia="Arial" w:hAnsi="Arial" w:cs="Arial"/>
          <w:b/>
          <w:smallCaps/>
          <w:sz w:val="22"/>
          <w:szCs w:val="22"/>
        </w:rPr>
        <w:t>3</w:t>
      </w:r>
    </w:p>
    <w:p w14:paraId="00000009" w14:textId="77777777" w:rsidR="001C7CB2" w:rsidRDefault="001C7CB2">
      <w:pPr>
        <w:tabs>
          <w:tab w:val="left" w:pos="9540"/>
        </w:tabs>
        <w:jc w:val="both"/>
        <w:rPr>
          <w:rFonts w:ascii="Arial" w:eastAsia="Arial" w:hAnsi="Arial" w:cs="Arial"/>
          <w:sz w:val="22"/>
          <w:szCs w:val="22"/>
        </w:rPr>
      </w:pPr>
    </w:p>
    <w:p w14:paraId="0000000A" w14:textId="16C21D87" w:rsidR="001C7CB2"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0"/>
        </w:tabs>
        <w:spacing w:after="200"/>
        <w:jc w:val="both"/>
        <w:rPr>
          <w:rFonts w:ascii="Arial" w:eastAsia="Arial" w:hAnsi="Arial" w:cs="Arial"/>
          <w:color w:val="000000"/>
          <w:sz w:val="22"/>
          <w:szCs w:val="22"/>
        </w:rPr>
      </w:pPr>
      <w:r>
        <w:rPr>
          <w:rFonts w:ascii="Arial" w:eastAsia="Arial" w:hAnsi="Arial" w:cs="Arial"/>
          <w:sz w:val="22"/>
          <w:szCs w:val="22"/>
        </w:rPr>
        <w:t xml:space="preserve">At an Annual General Meeting (‘AGM’) of the Company, duly convened and held at </w:t>
      </w:r>
      <w:r w:rsidR="008A7A32">
        <w:rPr>
          <w:rFonts w:ascii="Arial" w:eastAsia="Arial" w:hAnsi="Arial" w:cs="Arial"/>
          <w:sz w:val="22"/>
          <w:szCs w:val="22"/>
        </w:rPr>
        <w:t>9.30am</w:t>
      </w:r>
      <w:r>
        <w:rPr>
          <w:rFonts w:ascii="Arial" w:eastAsia="Arial" w:hAnsi="Arial" w:cs="Arial"/>
          <w:sz w:val="22"/>
          <w:szCs w:val="22"/>
        </w:rPr>
        <w:t xml:space="preserve"> on </w:t>
      </w:r>
      <w:r w:rsidR="008A7A32">
        <w:rPr>
          <w:rFonts w:ascii="Arial" w:eastAsia="Arial" w:hAnsi="Arial" w:cs="Arial"/>
          <w:sz w:val="22"/>
          <w:szCs w:val="22"/>
        </w:rPr>
        <w:t>Wednesday, 24 May 2022</w:t>
      </w:r>
      <w:r>
        <w:rPr>
          <w:rFonts w:ascii="Arial" w:eastAsia="Arial" w:hAnsi="Arial" w:cs="Arial"/>
          <w:sz w:val="22"/>
          <w:szCs w:val="22"/>
        </w:rPr>
        <w:t xml:space="preserve"> at</w:t>
      </w:r>
      <w:r w:rsidR="008A7A32">
        <w:rPr>
          <w:rFonts w:ascii="Arial" w:eastAsia="Arial" w:hAnsi="Arial" w:cs="Arial"/>
          <w:sz w:val="22"/>
          <w:szCs w:val="22"/>
        </w:rPr>
        <w:t xml:space="preserve"> </w:t>
      </w:r>
      <w:r w:rsidR="008A7A32" w:rsidRPr="008A7A32">
        <w:rPr>
          <w:rFonts w:ascii="Arial" w:eastAsia="Arial" w:hAnsi="Arial" w:cs="Arial"/>
          <w:sz w:val="22"/>
          <w:szCs w:val="22"/>
        </w:rPr>
        <w:t>the offices of Freshfields Bruckhaus Deringer LLP,</w:t>
      </w:r>
      <w:r w:rsidR="008A7A32">
        <w:rPr>
          <w:rFonts w:ascii="Arial" w:eastAsia="Arial" w:hAnsi="Arial" w:cs="Arial"/>
          <w:sz w:val="22"/>
          <w:szCs w:val="22"/>
        </w:rPr>
        <w:t xml:space="preserve"> </w:t>
      </w:r>
      <w:r w:rsidR="008A7A32" w:rsidRPr="008A7A32">
        <w:rPr>
          <w:rFonts w:ascii="Arial" w:eastAsia="Arial" w:hAnsi="Arial" w:cs="Arial"/>
          <w:sz w:val="22"/>
          <w:szCs w:val="22"/>
        </w:rPr>
        <w:t>100 Bishopsgate, London EC2P 2SR</w:t>
      </w:r>
      <w:r>
        <w:rPr>
          <w:rFonts w:ascii="Arial" w:eastAsia="Arial" w:hAnsi="Arial" w:cs="Arial"/>
          <w:sz w:val="22"/>
          <w:szCs w:val="22"/>
        </w:rPr>
        <w:t>, the following resolutions were duly passed by means of a poll. Resolution 1</w:t>
      </w:r>
      <w:r w:rsidR="008A7A32">
        <w:rPr>
          <w:rFonts w:ascii="Arial" w:eastAsia="Arial" w:hAnsi="Arial" w:cs="Arial"/>
          <w:sz w:val="22"/>
          <w:szCs w:val="22"/>
        </w:rPr>
        <w:t>4</w:t>
      </w:r>
      <w:r>
        <w:rPr>
          <w:rFonts w:ascii="Arial" w:eastAsia="Arial" w:hAnsi="Arial" w:cs="Arial"/>
          <w:sz w:val="22"/>
          <w:szCs w:val="22"/>
        </w:rPr>
        <w:t xml:space="preserve"> was passed as an ordinary resolution and resolutions 1</w:t>
      </w:r>
      <w:r w:rsidR="008A7A32">
        <w:rPr>
          <w:rFonts w:ascii="Arial" w:eastAsia="Arial" w:hAnsi="Arial" w:cs="Arial"/>
          <w:sz w:val="22"/>
          <w:szCs w:val="22"/>
        </w:rPr>
        <w:t>5 -18</w:t>
      </w:r>
      <w:r>
        <w:rPr>
          <w:rFonts w:ascii="Arial" w:eastAsia="Arial" w:hAnsi="Arial" w:cs="Arial"/>
          <w:sz w:val="22"/>
          <w:szCs w:val="22"/>
        </w:rPr>
        <w:t xml:space="preserve"> were passed as special resolutions of the Compan</w:t>
      </w:r>
      <w:r>
        <w:rPr>
          <w:rFonts w:ascii="Arial" w:eastAsia="Arial" w:hAnsi="Arial" w:cs="Arial"/>
          <w:color w:val="000000"/>
          <w:sz w:val="22"/>
          <w:szCs w:val="22"/>
        </w:rPr>
        <w:t>y:</w:t>
      </w:r>
    </w:p>
    <w:p w14:paraId="0000000B" w14:textId="77777777" w:rsidR="001C7CB2" w:rsidRDefault="001C7CB2">
      <w:pPr>
        <w:jc w:val="center"/>
        <w:rPr>
          <w:rFonts w:ascii="Arial" w:eastAsia="Arial" w:hAnsi="Arial" w:cs="Arial"/>
          <w:sz w:val="22"/>
          <w:szCs w:val="22"/>
        </w:rPr>
      </w:pPr>
    </w:p>
    <w:p w14:paraId="0000000C" w14:textId="77777777" w:rsidR="001C7CB2" w:rsidRDefault="00000000">
      <w:pPr>
        <w:jc w:val="both"/>
        <w:rPr>
          <w:rFonts w:ascii="Arial" w:eastAsia="Arial" w:hAnsi="Arial" w:cs="Arial"/>
          <w:b/>
          <w:sz w:val="22"/>
          <w:szCs w:val="22"/>
        </w:rPr>
      </w:pPr>
      <w:r>
        <w:rPr>
          <w:rFonts w:ascii="Arial" w:eastAsia="Arial" w:hAnsi="Arial" w:cs="Arial"/>
          <w:b/>
          <w:sz w:val="22"/>
          <w:szCs w:val="22"/>
        </w:rPr>
        <w:t>ORDINARY RESOLUTION</w:t>
      </w:r>
    </w:p>
    <w:p w14:paraId="0000000D" w14:textId="77777777" w:rsidR="001C7CB2" w:rsidRDefault="001C7CB2">
      <w:pPr>
        <w:jc w:val="both"/>
        <w:rPr>
          <w:rFonts w:ascii="Arial" w:eastAsia="Arial" w:hAnsi="Arial" w:cs="Arial"/>
          <w:b/>
          <w:sz w:val="22"/>
          <w:szCs w:val="22"/>
        </w:rPr>
      </w:pPr>
    </w:p>
    <w:p w14:paraId="0000000E" w14:textId="77777777" w:rsidR="001C7CB2" w:rsidRDefault="00000000">
      <w:pPr>
        <w:jc w:val="both"/>
        <w:rPr>
          <w:rFonts w:ascii="Arial" w:eastAsia="Arial" w:hAnsi="Arial" w:cs="Arial"/>
          <w:sz w:val="22"/>
          <w:szCs w:val="22"/>
          <w:u w:val="single"/>
        </w:rPr>
      </w:pPr>
      <w:r>
        <w:rPr>
          <w:rFonts w:ascii="Arial" w:eastAsia="Arial" w:hAnsi="Arial" w:cs="Arial"/>
          <w:sz w:val="22"/>
          <w:szCs w:val="22"/>
          <w:u w:val="single"/>
        </w:rPr>
        <w:t>Directors Authority to Allot Shares</w:t>
      </w:r>
    </w:p>
    <w:p w14:paraId="0000000F" w14:textId="77777777" w:rsidR="001C7CB2" w:rsidRDefault="001C7CB2">
      <w:pPr>
        <w:jc w:val="both"/>
        <w:rPr>
          <w:rFonts w:ascii="Arial" w:eastAsia="Arial" w:hAnsi="Arial" w:cs="Arial"/>
          <w:sz w:val="22"/>
          <w:szCs w:val="22"/>
        </w:rPr>
      </w:pPr>
    </w:p>
    <w:p w14:paraId="00000010" w14:textId="467E821A" w:rsidR="001C7CB2" w:rsidRDefault="008A7A32">
      <w:pPr>
        <w:jc w:val="both"/>
        <w:rPr>
          <w:rFonts w:ascii="Arial" w:eastAsia="Arial" w:hAnsi="Arial" w:cs="Arial"/>
          <w:sz w:val="22"/>
          <w:szCs w:val="22"/>
        </w:rPr>
      </w:pPr>
      <w:r>
        <w:rPr>
          <w:rFonts w:ascii="Arial" w:eastAsia="Arial" w:hAnsi="Arial" w:cs="Arial"/>
          <w:sz w:val="22"/>
          <w:szCs w:val="22"/>
        </w:rPr>
        <w:t>14</w:t>
      </w:r>
      <w:r w:rsidR="00000000">
        <w:rPr>
          <w:rFonts w:ascii="Arial" w:eastAsia="Arial" w:hAnsi="Arial" w:cs="Arial"/>
          <w:sz w:val="22"/>
          <w:szCs w:val="22"/>
        </w:rPr>
        <w:t>. That the Directors be hereby generally and unconditionally authorised pursuant to section 551 of the Act to:</w:t>
      </w:r>
    </w:p>
    <w:p w14:paraId="00000011" w14:textId="77777777" w:rsidR="001C7CB2" w:rsidRDefault="001C7CB2">
      <w:pPr>
        <w:jc w:val="both"/>
        <w:rPr>
          <w:rFonts w:ascii="Arial" w:eastAsia="Arial" w:hAnsi="Arial" w:cs="Arial"/>
          <w:sz w:val="22"/>
          <w:szCs w:val="22"/>
        </w:rPr>
      </w:pPr>
    </w:p>
    <w:p w14:paraId="00000012" w14:textId="77777777" w:rsidR="001C7CB2" w:rsidRDefault="00000000" w:rsidP="008A7A32">
      <w:pPr>
        <w:numPr>
          <w:ilvl w:val="0"/>
          <w:numId w:val="7"/>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allot shares in the Company and to grant rights to subscribe for or to convert any security into shares in the Company: </w:t>
      </w:r>
    </w:p>
    <w:p w14:paraId="00000013" w14:textId="1F03FEFA" w:rsidR="001C7CB2" w:rsidRDefault="008A7A32">
      <w:pPr>
        <w:numPr>
          <w:ilvl w:val="1"/>
          <w:numId w:val="3"/>
        </w:numPr>
        <w:pBdr>
          <w:top w:val="nil"/>
          <w:left w:val="nil"/>
          <w:bottom w:val="nil"/>
          <w:right w:val="nil"/>
          <w:between w:val="nil"/>
        </w:pBdr>
        <w:jc w:val="both"/>
        <w:rPr>
          <w:rFonts w:ascii="Arial" w:eastAsia="Arial" w:hAnsi="Arial" w:cs="Arial"/>
          <w:sz w:val="22"/>
          <w:szCs w:val="22"/>
        </w:rPr>
      </w:pPr>
      <w:r w:rsidRPr="008A7A32">
        <w:rPr>
          <w:rFonts w:ascii="Arial" w:eastAsia="Arial" w:hAnsi="Arial" w:cs="Arial"/>
          <w:sz w:val="22"/>
          <w:szCs w:val="22"/>
        </w:rPr>
        <w:t>up to an aggregate nominal amount of £3,095,195</w:t>
      </w:r>
      <w:r w:rsidR="00000000">
        <w:rPr>
          <w:rFonts w:ascii="Arial" w:eastAsia="Arial" w:hAnsi="Arial" w:cs="Arial"/>
          <w:sz w:val="22"/>
          <w:szCs w:val="22"/>
        </w:rPr>
        <w:t>; and</w:t>
      </w:r>
    </w:p>
    <w:p w14:paraId="00000014" w14:textId="77777777" w:rsidR="001C7CB2" w:rsidRDefault="001C7CB2">
      <w:pPr>
        <w:pBdr>
          <w:top w:val="nil"/>
          <w:left w:val="nil"/>
          <w:bottom w:val="nil"/>
          <w:right w:val="nil"/>
          <w:between w:val="nil"/>
        </w:pBdr>
        <w:ind w:left="1440"/>
        <w:jc w:val="both"/>
        <w:rPr>
          <w:rFonts w:ascii="Arial" w:eastAsia="Arial" w:hAnsi="Arial" w:cs="Arial"/>
          <w:sz w:val="22"/>
          <w:szCs w:val="22"/>
        </w:rPr>
      </w:pPr>
    </w:p>
    <w:p w14:paraId="00000015" w14:textId="017E612A" w:rsidR="001C7CB2" w:rsidRDefault="008A7A32">
      <w:pPr>
        <w:numPr>
          <w:ilvl w:val="1"/>
          <w:numId w:val="3"/>
        </w:numPr>
        <w:pBdr>
          <w:top w:val="nil"/>
          <w:left w:val="nil"/>
          <w:bottom w:val="nil"/>
          <w:right w:val="nil"/>
          <w:between w:val="nil"/>
        </w:pBdr>
        <w:jc w:val="both"/>
        <w:rPr>
          <w:rFonts w:ascii="Arial" w:eastAsia="Arial" w:hAnsi="Arial" w:cs="Arial"/>
          <w:sz w:val="22"/>
          <w:szCs w:val="22"/>
        </w:rPr>
      </w:pPr>
      <w:r w:rsidRPr="008A7A32">
        <w:rPr>
          <w:rFonts w:ascii="Arial" w:eastAsia="Arial" w:hAnsi="Arial" w:cs="Arial"/>
          <w:sz w:val="22"/>
          <w:szCs w:val="22"/>
        </w:rPr>
        <w:t>comprising equity securities (as defined in the Act) up to an aggregate nominal amount of £6,190,390 (including within such limit any shares issued or rights granted under paragraph (</w:t>
      </w:r>
      <w:proofErr w:type="spellStart"/>
      <w:r w:rsidRPr="008A7A32">
        <w:rPr>
          <w:rFonts w:ascii="Arial" w:eastAsia="Arial" w:hAnsi="Arial" w:cs="Arial"/>
          <w:sz w:val="22"/>
          <w:szCs w:val="22"/>
        </w:rPr>
        <w:t>i</w:t>
      </w:r>
      <w:proofErr w:type="spellEnd"/>
      <w:r w:rsidRPr="008A7A32">
        <w:rPr>
          <w:rFonts w:ascii="Arial" w:eastAsia="Arial" w:hAnsi="Arial" w:cs="Arial"/>
          <w:sz w:val="22"/>
          <w:szCs w:val="22"/>
        </w:rPr>
        <w:t>) above) in connection with any pre-emptive offer to</w:t>
      </w:r>
      <w:r w:rsidR="00000000">
        <w:rPr>
          <w:rFonts w:ascii="Arial" w:eastAsia="Arial" w:hAnsi="Arial" w:cs="Arial"/>
          <w:sz w:val="22"/>
          <w:szCs w:val="22"/>
        </w:rPr>
        <w:t>:</w:t>
      </w:r>
      <w:r>
        <w:rPr>
          <w:rFonts w:ascii="Arial" w:eastAsia="Arial" w:hAnsi="Arial" w:cs="Arial"/>
          <w:sz w:val="22"/>
          <w:szCs w:val="22"/>
        </w:rPr>
        <w:br/>
      </w:r>
    </w:p>
    <w:p w14:paraId="78BC4F67" w14:textId="3474BBEC" w:rsidR="008A7A32" w:rsidRDefault="008A7A32" w:rsidP="00C84145">
      <w:pPr>
        <w:numPr>
          <w:ilvl w:val="2"/>
          <w:numId w:val="3"/>
        </w:numPr>
        <w:pBdr>
          <w:top w:val="nil"/>
          <w:left w:val="nil"/>
          <w:bottom w:val="nil"/>
          <w:right w:val="nil"/>
          <w:between w:val="nil"/>
        </w:pBdr>
        <w:jc w:val="both"/>
        <w:rPr>
          <w:rFonts w:ascii="Arial" w:eastAsia="Arial" w:hAnsi="Arial" w:cs="Arial"/>
          <w:sz w:val="22"/>
          <w:szCs w:val="22"/>
        </w:rPr>
      </w:pPr>
      <w:r w:rsidRPr="008A7A32">
        <w:rPr>
          <w:rFonts w:ascii="Arial" w:eastAsia="Arial" w:hAnsi="Arial" w:cs="Arial"/>
          <w:sz w:val="22"/>
          <w:szCs w:val="22"/>
        </w:rPr>
        <w:t>holders of Class A Ordinary Shares in the capital of the Company (“Class A Shares”) of £0.005 each and Class B Ordinary Shares of £0.005 each in the capital of the Company (“Class B Shares”) in proportion (as nearly as may be practicable) to their existing holdings (or where the holder(s) of Class B Shares have consented to a variation or abrogation of the rights attaching to the Class B Shares in accordance with the Articles of Association of the Company, to the holders of Class A Shares only in proportion (as nearly as practicable) to their existing holdings); and</w:t>
      </w:r>
      <w:r>
        <w:rPr>
          <w:rFonts w:ascii="Arial" w:eastAsia="Arial" w:hAnsi="Arial" w:cs="Arial"/>
          <w:sz w:val="22"/>
          <w:szCs w:val="22"/>
        </w:rPr>
        <w:br/>
      </w:r>
    </w:p>
    <w:p w14:paraId="00000018" w14:textId="680A9328" w:rsidR="001C7CB2" w:rsidRPr="008A7A32" w:rsidRDefault="008A7A32" w:rsidP="00C84145">
      <w:pPr>
        <w:numPr>
          <w:ilvl w:val="2"/>
          <w:numId w:val="3"/>
        </w:numPr>
        <w:pBdr>
          <w:top w:val="nil"/>
          <w:left w:val="nil"/>
          <w:bottom w:val="nil"/>
          <w:right w:val="nil"/>
          <w:between w:val="nil"/>
        </w:pBdr>
        <w:jc w:val="both"/>
        <w:rPr>
          <w:rFonts w:ascii="Arial" w:eastAsia="Arial" w:hAnsi="Arial" w:cs="Arial"/>
          <w:sz w:val="22"/>
          <w:szCs w:val="22"/>
        </w:rPr>
      </w:pPr>
      <w:r w:rsidRPr="008A7A32">
        <w:rPr>
          <w:rFonts w:ascii="Arial" w:eastAsia="Arial" w:hAnsi="Arial" w:cs="Arial"/>
          <w:sz w:val="22"/>
          <w:szCs w:val="22"/>
        </w:rPr>
        <w:t>holders of other equity securities if this is required by the rights of those securities or, if the Directors consider it necessary, as permitted by the rights of those securities,</w:t>
      </w:r>
      <w:r w:rsidRPr="008A7A32">
        <w:rPr>
          <w:rFonts w:ascii="Arial" w:eastAsia="Arial" w:hAnsi="Arial" w:cs="Arial"/>
          <w:sz w:val="22"/>
          <w:szCs w:val="22"/>
        </w:rPr>
        <w:t xml:space="preserve"> </w:t>
      </w:r>
      <w:r w:rsidRPr="008A7A32">
        <w:rPr>
          <w:rFonts w:ascii="Arial" w:eastAsia="Arial" w:hAnsi="Arial" w:cs="Arial"/>
          <w:sz w:val="22"/>
          <w:szCs w:val="22"/>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whatsoever,</w:t>
      </w:r>
      <w:r w:rsidRPr="008A7A32">
        <w:rPr>
          <w:rFonts w:ascii="Arial" w:eastAsia="Arial" w:hAnsi="Arial" w:cs="Arial"/>
          <w:sz w:val="22"/>
          <w:szCs w:val="22"/>
        </w:rPr>
        <w:t xml:space="preserve"> </w:t>
      </w:r>
      <w:r w:rsidRPr="008A7A32">
        <w:rPr>
          <w:rFonts w:ascii="Arial" w:eastAsia="Arial" w:hAnsi="Arial" w:cs="Arial"/>
          <w:sz w:val="22"/>
          <w:szCs w:val="22"/>
        </w:rPr>
        <w:t>provided that this authority shall apply (unless previously renewed, varied or revoked by the Company in a general meeting) until the conclusion of the Company’s Annual General Meeting to be held in 2024 (or, if earlier, at the close of business on 23 August 2024); and</w:t>
      </w:r>
    </w:p>
    <w:p w14:paraId="3BCC0115" w14:textId="77777777" w:rsidR="008A7A32" w:rsidRDefault="008A7A32" w:rsidP="008A7A32">
      <w:pPr>
        <w:pBdr>
          <w:top w:val="nil"/>
          <w:left w:val="nil"/>
          <w:bottom w:val="nil"/>
          <w:right w:val="nil"/>
          <w:between w:val="nil"/>
        </w:pBdr>
        <w:ind w:left="2160"/>
        <w:jc w:val="both"/>
        <w:rPr>
          <w:rFonts w:ascii="Arial" w:eastAsia="Arial" w:hAnsi="Arial" w:cs="Arial"/>
          <w:sz w:val="22"/>
          <w:szCs w:val="22"/>
        </w:rPr>
      </w:pPr>
    </w:p>
    <w:p w14:paraId="0000001A" w14:textId="7D5A2D2A" w:rsidR="001C7CB2" w:rsidRPr="008A7A32" w:rsidRDefault="008A7A32" w:rsidP="008A7A32">
      <w:pPr>
        <w:numPr>
          <w:ilvl w:val="0"/>
          <w:numId w:val="3"/>
        </w:numPr>
        <w:pBdr>
          <w:top w:val="nil"/>
          <w:left w:val="nil"/>
          <w:bottom w:val="nil"/>
          <w:right w:val="nil"/>
          <w:between w:val="nil"/>
        </w:pBdr>
        <w:jc w:val="both"/>
        <w:rPr>
          <w:rFonts w:ascii="Arial" w:eastAsia="Arial" w:hAnsi="Arial" w:cs="Arial"/>
          <w:b/>
          <w:sz w:val="22"/>
          <w:szCs w:val="22"/>
        </w:rPr>
      </w:pPr>
      <w:r w:rsidRPr="008A7A32">
        <w:rPr>
          <w:rFonts w:ascii="Arial" w:eastAsia="Arial" w:hAnsi="Arial" w:cs="Arial"/>
          <w:sz w:val="22"/>
          <w:szCs w:val="22"/>
        </w:rPr>
        <w:lastRenderedPageBreak/>
        <w:t>subject to the limits set out in paragraph 14(I) above, 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the authority had not expired.</w:t>
      </w:r>
    </w:p>
    <w:p w14:paraId="07839BB3" w14:textId="77777777" w:rsidR="008A7A32" w:rsidRDefault="008A7A32" w:rsidP="008A7A32">
      <w:pPr>
        <w:pBdr>
          <w:top w:val="nil"/>
          <w:left w:val="nil"/>
          <w:bottom w:val="nil"/>
          <w:right w:val="nil"/>
          <w:between w:val="nil"/>
        </w:pBdr>
        <w:ind w:left="720"/>
        <w:jc w:val="both"/>
        <w:rPr>
          <w:rFonts w:ascii="Arial" w:eastAsia="Arial" w:hAnsi="Arial" w:cs="Arial"/>
          <w:b/>
          <w:sz w:val="22"/>
          <w:szCs w:val="22"/>
        </w:rPr>
      </w:pPr>
    </w:p>
    <w:p w14:paraId="0000001B" w14:textId="77777777" w:rsidR="001C7CB2" w:rsidRDefault="00000000">
      <w:pPr>
        <w:jc w:val="both"/>
        <w:rPr>
          <w:rFonts w:ascii="Arial" w:eastAsia="Arial" w:hAnsi="Arial" w:cs="Arial"/>
          <w:b/>
          <w:sz w:val="22"/>
          <w:szCs w:val="22"/>
        </w:rPr>
      </w:pPr>
      <w:r>
        <w:rPr>
          <w:rFonts w:ascii="Arial" w:eastAsia="Arial" w:hAnsi="Arial" w:cs="Arial"/>
          <w:b/>
          <w:sz w:val="22"/>
          <w:szCs w:val="22"/>
        </w:rPr>
        <w:t>SPECIAL RESOLUTIONS</w:t>
      </w:r>
    </w:p>
    <w:p w14:paraId="0000001C" w14:textId="77777777" w:rsidR="001C7CB2" w:rsidRDefault="001C7CB2">
      <w:pPr>
        <w:jc w:val="both"/>
        <w:rPr>
          <w:rFonts w:ascii="Arial" w:eastAsia="Arial" w:hAnsi="Arial" w:cs="Arial"/>
          <w:b/>
          <w:sz w:val="22"/>
          <w:szCs w:val="22"/>
          <w:u w:val="single"/>
        </w:rPr>
      </w:pPr>
    </w:p>
    <w:p w14:paraId="0000001D" w14:textId="77777777" w:rsidR="001C7CB2" w:rsidRDefault="00000000">
      <w:pPr>
        <w:jc w:val="both"/>
        <w:rPr>
          <w:rFonts w:ascii="Arial" w:eastAsia="Arial" w:hAnsi="Arial" w:cs="Arial"/>
          <w:sz w:val="22"/>
          <w:szCs w:val="22"/>
          <w:u w:val="single"/>
        </w:rPr>
      </w:pPr>
      <w:r>
        <w:rPr>
          <w:rFonts w:ascii="Arial" w:eastAsia="Arial" w:hAnsi="Arial" w:cs="Arial"/>
          <w:sz w:val="22"/>
          <w:szCs w:val="22"/>
          <w:u w:val="single"/>
        </w:rPr>
        <w:t xml:space="preserve">Disapplication of pre-emption rights </w:t>
      </w:r>
    </w:p>
    <w:p w14:paraId="0000001E" w14:textId="77777777" w:rsidR="001C7CB2" w:rsidRDefault="001C7CB2">
      <w:pPr>
        <w:jc w:val="both"/>
        <w:rPr>
          <w:rFonts w:ascii="Arial" w:eastAsia="Arial" w:hAnsi="Arial" w:cs="Arial"/>
          <w:sz w:val="22"/>
          <w:szCs w:val="22"/>
          <w:u w:val="single"/>
        </w:rPr>
      </w:pPr>
    </w:p>
    <w:p w14:paraId="00000020" w14:textId="62408049" w:rsidR="001C7CB2" w:rsidRPr="008A7A32" w:rsidRDefault="00000000">
      <w:pPr>
        <w:jc w:val="both"/>
        <w:rPr>
          <w:rFonts w:ascii="Arial" w:eastAsia="Arial" w:hAnsi="Arial" w:cs="Arial"/>
          <w:sz w:val="22"/>
          <w:szCs w:val="22"/>
        </w:rPr>
      </w:pPr>
      <w:r>
        <w:rPr>
          <w:rFonts w:ascii="Arial" w:eastAsia="Arial" w:hAnsi="Arial" w:cs="Arial"/>
          <w:sz w:val="22"/>
          <w:szCs w:val="22"/>
        </w:rPr>
        <w:t>1</w:t>
      </w:r>
      <w:r w:rsidR="008A7A32">
        <w:rPr>
          <w:rFonts w:ascii="Arial" w:eastAsia="Arial" w:hAnsi="Arial" w:cs="Arial"/>
          <w:sz w:val="22"/>
          <w:szCs w:val="22"/>
        </w:rPr>
        <w:t>5</w:t>
      </w:r>
      <w:r>
        <w:rPr>
          <w:rFonts w:ascii="Arial" w:eastAsia="Arial" w:hAnsi="Arial" w:cs="Arial"/>
          <w:sz w:val="22"/>
          <w:szCs w:val="22"/>
        </w:rPr>
        <w:t xml:space="preserve">. </w:t>
      </w:r>
      <w:r w:rsidR="008A7A32" w:rsidRPr="008A7A32">
        <w:rPr>
          <w:rFonts w:ascii="Arial" w:eastAsia="Arial" w:hAnsi="Arial" w:cs="Arial"/>
          <w:sz w:val="22"/>
          <w:szCs w:val="22"/>
        </w:rPr>
        <w:t>That, subject to Resolution 14 being passed, the Board be authorised pursuant to Section 570 and Section 573 of the Act to allot equity securities (as defined in the Act) for cash under the authority given by that resolution and/or to sell Ordinary Shares held by the Company as treasury shares for cash as if Section 561 of the Act did not apply to any such allotment or sale, such authority to be limited to:</w:t>
      </w:r>
    </w:p>
    <w:p w14:paraId="0000002A" w14:textId="5AE80D31" w:rsidR="001C7CB2" w:rsidRPr="008A7A32" w:rsidRDefault="001C7CB2">
      <w:pPr>
        <w:jc w:val="both"/>
        <w:rPr>
          <w:rFonts w:ascii="Arial" w:eastAsia="Arial" w:hAnsi="Arial" w:cs="Arial"/>
          <w:sz w:val="22"/>
          <w:szCs w:val="22"/>
        </w:rPr>
      </w:pPr>
    </w:p>
    <w:p w14:paraId="282FAE59" w14:textId="77777777" w:rsidR="008A7A32" w:rsidRPr="008A7A32" w:rsidRDefault="008A7A32" w:rsidP="008A7A32">
      <w:pPr>
        <w:rPr>
          <w:sz w:val="22"/>
          <w:szCs w:val="22"/>
        </w:rPr>
      </w:pPr>
    </w:p>
    <w:p w14:paraId="484050E4" w14:textId="338997CC" w:rsidR="008A7A32" w:rsidRPr="008A7A32" w:rsidRDefault="008A7A32" w:rsidP="008A7A32">
      <w:pPr>
        <w:numPr>
          <w:ilvl w:val="0"/>
          <w:numId w:val="11"/>
        </w:numPr>
        <w:pBdr>
          <w:top w:val="nil"/>
          <w:left w:val="nil"/>
          <w:bottom w:val="nil"/>
          <w:right w:val="nil"/>
          <w:between w:val="nil"/>
        </w:pBdr>
        <w:jc w:val="both"/>
        <w:rPr>
          <w:sz w:val="22"/>
          <w:szCs w:val="22"/>
        </w:rPr>
      </w:pPr>
      <w:r w:rsidRPr="008A7A32">
        <w:rPr>
          <w:rFonts w:ascii="Arial" w:eastAsia="Arial" w:hAnsi="Arial" w:cs="Arial"/>
          <w:sz w:val="22"/>
          <w:szCs w:val="22"/>
        </w:rPr>
        <w:t>the</w:t>
      </w:r>
      <w:r w:rsidRPr="008A7A32">
        <w:rPr>
          <w:rFonts w:ascii="Arial" w:hAnsi="Arial" w:cs="Arial"/>
          <w:color w:val="000000"/>
          <w:sz w:val="22"/>
          <w:szCs w:val="22"/>
        </w:rPr>
        <w:t xml:space="preserve"> allotment of equity securities and sale of treasury shares for cash in connection with any pre-emptive offer of equity securities to:</w:t>
      </w:r>
    </w:p>
    <w:p w14:paraId="40914BAB" w14:textId="77777777" w:rsidR="008A7A32" w:rsidRPr="008A7A32" w:rsidRDefault="008A7A32" w:rsidP="008A7A32">
      <w:pPr>
        <w:pBdr>
          <w:top w:val="nil"/>
          <w:left w:val="nil"/>
          <w:bottom w:val="nil"/>
          <w:right w:val="nil"/>
          <w:between w:val="nil"/>
        </w:pBdr>
        <w:ind w:left="720"/>
        <w:jc w:val="both"/>
        <w:rPr>
          <w:sz w:val="22"/>
          <w:szCs w:val="22"/>
        </w:rPr>
      </w:pPr>
    </w:p>
    <w:p w14:paraId="666C1C62" w14:textId="4073C42D" w:rsidR="008A7A32" w:rsidRDefault="008A7A32" w:rsidP="008A7A32">
      <w:pPr>
        <w:numPr>
          <w:ilvl w:val="1"/>
          <w:numId w:val="3"/>
        </w:numPr>
        <w:pBdr>
          <w:top w:val="nil"/>
          <w:left w:val="nil"/>
          <w:bottom w:val="nil"/>
          <w:right w:val="nil"/>
          <w:between w:val="nil"/>
        </w:pBdr>
        <w:jc w:val="both"/>
        <w:rPr>
          <w:rFonts w:ascii="Arial" w:hAnsi="Arial" w:cs="Arial"/>
          <w:color w:val="000000"/>
          <w:sz w:val="22"/>
          <w:szCs w:val="22"/>
        </w:rPr>
      </w:pPr>
      <w:r w:rsidRPr="008A7A32">
        <w:rPr>
          <w:rFonts w:ascii="Arial" w:hAnsi="Arial" w:cs="Arial"/>
          <w:color w:val="000000"/>
          <w:sz w:val="22"/>
          <w:szCs w:val="22"/>
        </w:rPr>
        <w:t>holders of Class A Shares and Class B Shares in proportion (as nearly as may be practicable) to their existing holdings (or where the holder(s) of Class B Shares have consented to a variation or abrogation of the rights attaching to the Class B Shares in accordance with the Articles of Association of the Company, to the holders of Class A Shares only in proportion (as nearly as practicable) to their existing holdings); and</w:t>
      </w:r>
    </w:p>
    <w:p w14:paraId="3439C4EB" w14:textId="77777777" w:rsidR="008A7A32" w:rsidRPr="008A7A32" w:rsidRDefault="008A7A32" w:rsidP="008A7A32">
      <w:pPr>
        <w:pBdr>
          <w:top w:val="nil"/>
          <w:left w:val="nil"/>
          <w:bottom w:val="nil"/>
          <w:right w:val="nil"/>
          <w:between w:val="nil"/>
        </w:pBdr>
        <w:ind w:left="1440"/>
        <w:jc w:val="both"/>
        <w:rPr>
          <w:rFonts w:ascii="Arial" w:hAnsi="Arial" w:cs="Arial"/>
          <w:color w:val="000000"/>
          <w:sz w:val="22"/>
          <w:szCs w:val="22"/>
        </w:rPr>
      </w:pPr>
    </w:p>
    <w:p w14:paraId="5C89C879" w14:textId="02172F2C" w:rsidR="008A7A32" w:rsidRDefault="008A7A32" w:rsidP="008A7A32">
      <w:pPr>
        <w:numPr>
          <w:ilvl w:val="1"/>
          <w:numId w:val="3"/>
        </w:numPr>
        <w:pBdr>
          <w:top w:val="nil"/>
          <w:left w:val="nil"/>
          <w:bottom w:val="nil"/>
          <w:right w:val="nil"/>
          <w:between w:val="nil"/>
        </w:pBdr>
        <w:jc w:val="both"/>
        <w:rPr>
          <w:rFonts w:ascii="Arial" w:hAnsi="Arial" w:cs="Arial"/>
          <w:color w:val="000000"/>
          <w:sz w:val="22"/>
          <w:szCs w:val="22"/>
        </w:rPr>
      </w:pPr>
      <w:r w:rsidRPr="008A7A32">
        <w:rPr>
          <w:rFonts w:ascii="Arial" w:hAnsi="Arial" w:cs="Arial"/>
          <w:color w:val="000000"/>
          <w:sz w:val="22"/>
          <w:szCs w:val="22"/>
        </w:rPr>
        <w:t>holders of other equity securities if this is required by the rights of those securities or, if the Directors consider it necessary, as permitted by the rights of those securities,</w:t>
      </w:r>
    </w:p>
    <w:p w14:paraId="4E7954DE" w14:textId="77777777" w:rsidR="008A7A32" w:rsidRPr="008A7A32" w:rsidRDefault="008A7A32" w:rsidP="008A7A32">
      <w:pPr>
        <w:pBdr>
          <w:top w:val="nil"/>
          <w:left w:val="nil"/>
          <w:bottom w:val="nil"/>
          <w:right w:val="nil"/>
          <w:between w:val="nil"/>
        </w:pBdr>
        <w:jc w:val="both"/>
        <w:rPr>
          <w:rFonts w:ascii="Arial" w:hAnsi="Arial" w:cs="Arial"/>
          <w:color w:val="000000"/>
          <w:sz w:val="22"/>
          <w:szCs w:val="22"/>
        </w:rPr>
      </w:pPr>
    </w:p>
    <w:p w14:paraId="2CDCA0E0" w14:textId="3CC0BF5B" w:rsidR="008A7A32" w:rsidRDefault="008A7A32" w:rsidP="008A7A32">
      <w:pPr>
        <w:pStyle w:val="NormalWeb"/>
        <w:spacing w:before="0" w:beforeAutospacing="0" w:after="120" w:afterAutospacing="0"/>
        <w:ind w:left="340"/>
        <w:rPr>
          <w:rFonts w:ascii="Arial" w:hAnsi="Arial" w:cs="Arial"/>
          <w:color w:val="000000"/>
          <w:sz w:val="22"/>
          <w:szCs w:val="22"/>
        </w:rPr>
      </w:pPr>
      <w:r w:rsidRPr="008A7A32">
        <w:rPr>
          <w:rFonts w:ascii="Arial" w:hAnsi="Arial" w:cs="Arial"/>
          <w:color w:val="000000"/>
          <w:sz w:val="22"/>
          <w:szCs w:val="22"/>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whatsoever arising in connection with such offer; and</w:t>
      </w:r>
    </w:p>
    <w:p w14:paraId="4979E97D" w14:textId="77777777" w:rsidR="008A7A32" w:rsidRDefault="008A7A32" w:rsidP="008A7A32">
      <w:pPr>
        <w:pStyle w:val="NormalWeb"/>
        <w:spacing w:before="0" w:beforeAutospacing="0" w:after="0" w:afterAutospacing="0"/>
        <w:ind w:left="340"/>
        <w:rPr>
          <w:rFonts w:ascii="Arial" w:hAnsi="Arial" w:cs="Arial"/>
          <w:color w:val="000000"/>
          <w:sz w:val="22"/>
          <w:szCs w:val="22"/>
        </w:rPr>
      </w:pPr>
    </w:p>
    <w:p w14:paraId="27147FD4" w14:textId="42B8A82C" w:rsidR="008A7A32" w:rsidRPr="008A7A32" w:rsidRDefault="008A7A32" w:rsidP="008A7A32">
      <w:pPr>
        <w:numPr>
          <w:ilvl w:val="0"/>
          <w:numId w:val="11"/>
        </w:numPr>
        <w:pBdr>
          <w:top w:val="nil"/>
          <w:left w:val="nil"/>
          <w:bottom w:val="nil"/>
          <w:right w:val="nil"/>
          <w:between w:val="nil"/>
        </w:pBdr>
        <w:jc w:val="both"/>
        <w:rPr>
          <w:sz w:val="22"/>
          <w:szCs w:val="22"/>
        </w:rPr>
      </w:pPr>
      <w:r w:rsidRPr="008A7A32">
        <w:rPr>
          <w:rFonts w:ascii="Arial" w:hAnsi="Arial" w:cs="Arial"/>
          <w:color w:val="000000"/>
          <w:sz w:val="22"/>
          <w:szCs w:val="22"/>
        </w:rPr>
        <w:t>in the case of the authority granted under Resolution 14(I)(</w:t>
      </w:r>
      <w:proofErr w:type="spellStart"/>
      <w:r w:rsidRPr="008A7A32">
        <w:rPr>
          <w:rFonts w:ascii="Arial" w:hAnsi="Arial" w:cs="Arial"/>
          <w:color w:val="000000"/>
          <w:sz w:val="22"/>
          <w:szCs w:val="22"/>
        </w:rPr>
        <w:t>i</w:t>
      </w:r>
      <w:proofErr w:type="spellEnd"/>
      <w:r w:rsidRPr="008A7A32">
        <w:rPr>
          <w:rFonts w:ascii="Arial" w:hAnsi="Arial" w:cs="Arial"/>
          <w:color w:val="000000"/>
          <w:sz w:val="22"/>
          <w:szCs w:val="22"/>
        </w:rPr>
        <w:t>), the allotment of equity securities or sale of treasury shares (otherwise than under paragraph 15 (I) above and paragraph 15(iii) below) up to an aggregate nominal amount of £928,558; and</w:t>
      </w:r>
    </w:p>
    <w:p w14:paraId="4118715B" w14:textId="77777777" w:rsidR="008A7A32" w:rsidRPr="008A7A32" w:rsidRDefault="008A7A32" w:rsidP="008A7A32">
      <w:pPr>
        <w:pBdr>
          <w:top w:val="nil"/>
          <w:left w:val="nil"/>
          <w:bottom w:val="nil"/>
          <w:right w:val="nil"/>
          <w:between w:val="nil"/>
        </w:pBdr>
        <w:jc w:val="both"/>
        <w:rPr>
          <w:sz w:val="22"/>
          <w:szCs w:val="22"/>
        </w:rPr>
      </w:pPr>
    </w:p>
    <w:p w14:paraId="5878A24F" w14:textId="0C5064E8" w:rsidR="008A7A32" w:rsidRPr="008A7A32" w:rsidRDefault="008A7A32" w:rsidP="008A7A32">
      <w:pPr>
        <w:numPr>
          <w:ilvl w:val="0"/>
          <w:numId w:val="11"/>
        </w:numPr>
        <w:pBdr>
          <w:top w:val="nil"/>
          <w:left w:val="nil"/>
          <w:bottom w:val="nil"/>
          <w:right w:val="nil"/>
          <w:between w:val="nil"/>
        </w:pBdr>
        <w:jc w:val="both"/>
        <w:rPr>
          <w:sz w:val="22"/>
          <w:szCs w:val="22"/>
        </w:rPr>
      </w:pPr>
      <w:r w:rsidRPr="008A7A32">
        <w:rPr>
          <w:rFonts w:ascii="Arial" w:hAnsi="Arial" w:cs="Arial"/>
          <w:color w:val="000000"/>
          <w:sz w:val="22"/>
          <w:szCs w:val="22"/>
        </w:rPr>
        <w:t>when any allotment of equity securities or sale of treasury shares is or has been made pursuant to paragraph 15(ii) above, the allotment of additional equity securities or sale of treasury shares for cash (also pursuant to the authority given under Resolution 14(I)(</w:t>
      </w:r>
      <w:proofErr w:type="spellStart"/>
      <w:r w:rsidRPr="008A7A32">
        <w:rPr>
          <w:rFonts w:ascii="Arial" w:hAnsi="Arial" w:cs="Arial"/>
          <w:color w:val="000000"/>
          <w:sz w:val="22"/>
          <w:szCs w:val="22"/>
        </w:rPr>
        <w:t>i</w:t>
      </w:r>
      <w:proofErr w:type="spellEnd"/>
      <w:r w:rsidRPr="008A7A32">
        <w:rPr>
          <w:rFonts w:ascii="Arial" w:hAnsi="Arial" w:cs="Arial"/>
          <w:color w:val="000000"/>
          <w:sz w:val="22"/>
          <w:szCs w:val="22"/>
        </w:rPr>
        <w:t>)) up to an aggregate nominal amount equal to 20% of the nominal amount of that allotment under paragraph 15(ii) above, provided that any allotment pursuant to this paragraph 15(iii) is used only for the purposes of a follow-on offer which the Board of the Company determines to be of a kind contemplated by paragraph 3 of Section 2B of the Statement of Principles on Disapplying Pre-Emption Rights most recently published by the Pre-Emption Group prior to the date of this notice,</w:t>
      </w:r>
    </w:p>
    <w:p w14:paraId="2AD622B0" w14:textId="77777777" w:rsidR="008A7A32" w:rsidRDefault="008A7A32" w:rsidP="008A7A32">
      <w:pPr>
        <w:pStyle w:val="ListParagraph"/>
        <w:rPr>
          <w:sz w:val="22"/>
          <w:szCs w:val="22"/>
        </w:rPr>
      </w:pPr>
    </w:p>
    <w:p w14:paraId="26F796AE" w14:textId="77777777" w:rsidR="008A7A32" w:rsidRPr="008A7A32" w:rsidRDefault="008A7A32" w:rsidP="008A7A32">
      <w:pPr>
        <w:pStyle w:val="NormalWeb"/>
        <w:spacing w:before="0" w:beforeAutospacing="0" w:after="120" w:afterAutospacing="0"/>
        <w:ind w:left="340" w:hanging="340"/>
        <w:rPr>
          <w:sz w:val="22"/>
          <w:szCs w:val="22"/>
        </w:rPr>
      </w:pPr>
      <w:r w:rsidRPr="008A7A32">
        <w:rPr>
          <w:rFonts w:ascii="Arial" w:hAnsi="Arial" w:cs="Arial"/>
          <w:color w:val="000000"/>
          <w:sz w:val="22"/>
          <w:szCs w:val="22"/>
        </w:rPr>
        <w:t>    </w:t>
      </w:r>
      <w:r w:rsidRPr="008A7A32">
        <w:rPr>
          <w:rStyle w:val="apple-tab-span"/>
          <w:rFonts w:ascii="Arial" w:hAnsi="Arial" w:cs="Arial"/>
          <w:color w:val="000000"/>
          <w:sz w:val="22"/>
          <w:szCs w:val="22"/>
        </w:rPr>
        <w:tab/>
      </w:r>
      <w:r w:rsidRPr="008A7A32">
        <w:rPr>
          <w:rFonts w:ascii="Arial" w:hAnsi="Arial" w:cs="Arial"/>
          <w:color w:val="000000"/>
          <w:sz w:val="22"/>
          <w:szCs w:val="22"/>
        </w:rPr>
        <w:t xml:space="preserve">such authority to expire at the end of the next Annual General Meeting of the Company (or, if earlier, at the close of business on 23 August 2024) but, in each case, prior to its expiry the Company may make offers, and enter into agreements, which would, or might, require equity </w:t>
      </w:r>
      <w:r w:rsidRPr="008A7A32">
        <w:rPr>
          <w:rFonts w:ascii="Arial" w:hAnsi="Arial" w:cs="Arial"/>
          <w:color w:val="000000"/>
          <w:sz w:val="22"/>
          <w:szCs w:val="22"/>
        </w:rPr>
        <w:lastRenderedPageBreak/>
        <w:t>securities to be allotted (and treasury shares to be sold) after the authority expires and the Board may allot equity securities (and sell treasury shares) under any such offer or agreement as if the authority had not expired.</w:t>
      </w:r>
    </w:p>
    <w:p w14:paraId="134F03F8" w14:textId="77777777" w:rsidR="008A7A32" w:rsidRDefault="008A7A32">
      <w:pPr>
        <w:jc w:val="both"/>
        <w:rPr>
          <w:rFonts w:ascii="Arial" w:eastAsia="Arial" w:hAnsi="Arial" w:cs="Arial"/>
          <w:sz w:val="22"/>
          <w:szCs w:val="22"/>
        </w:rPr>
      </w:pPr>
    </w:p>
    <w:p w14:paraId="0000002B" w14:textId="77777777" w:rsidR="001C7CB2" w:rsidRDefault="00000000">
      <w:pPr>
        <w:jc w:val="both"/>
        <w:rPr>
          <w:rFonts w:ascii="Arial" w:eastAsia="Arial" w:hAnsi="Arial" w:cs="Arial"/>
          <w:sz w:val="22"/>
          <w:szCs w:val="22"/>
          <w:u w:val="single"/>
        </w:rPr>
      </w:pPr>
      <w:r>
        <w:rPr>
          <w:rFonts w:ascii="Arial" w:eastAsia="Arial" w:hAnsi="Arial" w:cs="Arial"/>
          <w:sz w:val="22"/>
          <w:szCs w:val="22"/>
          <w:u w:val="single"/>
        </w:rPr>
        <w:t>Additional Directors’ authority to disapply pre-emption rights for acquisition and specified capital investments</w:t>
      </w:r>
    </w:p>
    <w:p w14:paraId="0000002C" w14:textId="77777777" w:rsidR="001C7CB2" w:rsidRDefault="001C7CB2">
      <w:pPr>
        <w:jc w:val="both"/>
        <w:rPr>
          <w:rFonts w:ascii="Arial" w:eastAsia="Arial" w:hAnsi="Arial" w:cs="Arial"/>
          <w:sz w:val="22"/>
          <w:szCs w:val="22"/>
          <w:highlight w:val="yellow"/>
        </w:rPr>
      </w:pPr>
    </w:p>
    <w:p w14:paraId="0000002D" w14:textId="5EF4A8B3" w:rsidR="001C7CB2" w:rsidRDefault="00000000">
      <w:pPr>
        <w:jc w:val="both"/>
        <w:rPr>
          <w:rFonts w:ascii="Arial" w:eastAsia="Arial" w:hAnsi="Arial" w:cs="Arial"/>
          <w:sz w:val="22"/>
          <w:szCs w:val="22"/>
        </w:rPr>
      </w:pPr>
      <w:r>
        <w:rPr>
          <w:rFonts w:ascii="Arial" w:eastAsia="Arial" w:hAnsi="Arial" w:cs="Arial"/>
          <w:sz w:val="22"/>
          <w:szCs w:val="22"/>
        </w:rPr>
        <w:t>1</w:t>
      </w:r>
      <w:r w:rsidR="008A7A32">
        <w:rPr>
          <w:rFonts w:ascii="Arial" w:eastAsia="Arial" w:hAnsi="Arial" w:cs="Arial"/>
          <w:sz w:val="22"/>
          <w:szCs w:val="22"/>
        </w:rPr>
        <w:t>6</w:t>
      </w:r>
      <w:r>
        <w:rPr>
          <w:rFonts w:ascii="Arial" w:eastAsia="Arial" w:hAnsi="Arial" w:cs="Arial"/>
          <w:sz w:val="22"/>
          <w:szCs w:val="22"/>
        </w:rPr>
        <w:t xml:space="preserve">. </w:t>
      </w:r>
      <w:r w:rsidR="008A7A32">
        <w:rPr>
          <w:rFonts w:ascii="Arial" w:eastAsia="Arial" w:hAnsi="Arial" w:cs="Arial"/>
          <w:sz w:val="22"/>
          <w:szCs w:val="22"/>
        </w:rPr>
        <w:t>T</w:t>
      </w:r>
      <w:r w:rsidR="008A7A32" w:rsidRPr="008A7A32">
        <w:rPr>
          <w:rFonts w:ascii="Arial" w:eastAsia="Arial" w:hAnsi="Arial" w:cs="Arial"/>
          <w:sz w:val="22"/>
          <w:szCs w:val="22"/>
        </w:rPr>
        <w:t>hat, subject to Resolution 14 being passed, the Board be authorised in addition to any authority granted under resolution 15, pursuant to Section 570 and Section 573 of the Act to allot equity securities (as defined in the Act) for cash under the authority given by that resolution and/or to sell Ordinary Shares held by the Company as treasury shares for cash as if Section 561 of the Act did not apply to any such allotment or sale, and such authority shall:</w:t>
      </w:r>
    </w:p>
    <w:p w14:paraId="0000002E" w14:textId="77777777" w:rsidR="001C7CB2" w:rsidRDefault="001C7CB2">
      <w:pPr>
        <w:jc w:val="both"/>
        <w:rPr>
          <w:rFonts w:ascii="Arial" w:eastAsia="Arial" w:hAnsi="Arial" w:cs="Arial"/>
          <w:sz w:val="22"/>
          <w:szCs w:val="22"/>
        </w:rPr>
      </w:pPr>
    </w:p>
    <w:p w14:paraId="5F0E7A32" w14:textId="77777777" w:rsidR="008A7A32" w:rsidRPr="008A7A32" w:rsidRDefault="008A7A32" w:rsidP="008A7A32">
      <w:pPr>
        <w:numPr>
          <w:ilvl w:val="0"/>
          <w:numId w:val="12"/>
        </w:numPr>
        <w:pBdr>
          <w:top w:val="nil"/>
          <w:left w:val="nil"/>
          <w:bottom w:val="nil"/>
          <w:right w:val="nil"/>
          <w:between w:val="nil"/>
        </w:pBdr>
        <w:jc w:val="both"/>
        <w:rPr>
          <w:rFonts w:ascii="Arial" w:hAnsi="Arial" w:cs="Arial"/>
          <w:color w:val="000000"/>
          <w:sz w:val="22"/>
          <w:szCs w:val="22"/>
        </w:rPr>
      </w:pPr>
      <w:r w:rsidRPr="008A7A32">
        <w:rPr>
          <w:rFonts w:ascii="Arial" w:hAnsi="Arial" w:cs="Arial"/>
          <w:color w:val="000000"/>
          <w:sz w:val="22"/>
          <w:szCs w:val="22"/>
        </w:rPr>
        <w:t> in the case of the authority given under Resolution 14(I)(</w:t>
      </w:r>
      <w:proofErr w:type="spellStart"/>
      <w:r w:rsidRPr="008A7A32">
        <w:rPr>
          <w:rFonts w:ascii="Arial" w:hAnsi="Arial" w:cs="Arial"/>
          <w:color w:val="000000"/>
          <w:sz w:val="22"/>
          <w:szCs w:val="22"/>
        </w:rPr>
        <w:t>i</w:t>
      </w:r>
      <w:proofErr w:type="spellEnd"/>
      <w:r w:rsidRPr="008A7A32">
        <w:rPr>
          <w:rFonts w:ascii="Arial" w:hAnsi="Arial" w:cs="Arial"/>
          <w:color w:val="000000"/>
          <w:sz w:val="22"/>
          <w:szCs w:val="22"/>
        </w:rPr>
        <w:t>):</w:t>
      </w:r>
    </w:p>
    <w:p w14:paraId="4972B564" w14:textId="202B4AEB" w:rsidR="008A7A32" w:rsidRDefault="008A7A32" w:rsidP="008A7A32">
      <w:pPr>
        <w:numPr>
          <w:ilvl w:val="1"/>
          <w:numId w:val="13"/>
        </w:numPr>
        <w:pBdr>
          <w:top w:val="nil"/>
          <w:left w:val="nil"/>
          <w:bottom w:val="nil"/>
          <w:right w:val="nil"/>
          <w:between w:val="nil"/>
        </w:pBdr>
        <w:jc w:val="both"/>
        <w:rPr>
          <w:rFonts w:ascii="Arial" w:hAnsi="Arial" w:cs="Arial"/>
          <w:color w:val="000000"/>
          <w:sz w:val="22"/>
          <w:szCs w:val="22"/>
        </w:rPr>
      </w:pPr>
      <w:r w:rsidRPr="008A7A32">
        <w:rPr>
          <w:rFonts w:ascii="Arial" w:hAnsi="Arial" w:cs="Arial"/>
          <w:color w:val="000000"/>
          <w:sz w:val="22"/>
          <w:szCs w:val="22"/>
        </w:rPr>
        <w:t>be limited to the allotment of equity securities (otherwise than pursuant to paragraph 16(</w:t>
      </w:r>
      <w:proofErr w:type="spellStart"/>
      <w:r w:rsidRPr="008A7A32">
        <w:rPr>
          <w:rFonts w:ascii="Arial" w:hAnsi="Arial" w:cs="Arial"/>
          <w:color w:val="000000"/>
          <w:sz w:val="22"/>
          <w:szCs w:val="22"/>
        </w:rPr>
        <w:t>i</w:t>
      </w:r>
      <w:proofErr w:type="spellEnd"/>
      <w:r w:rsidRPr="008A7A32">
        <w:rPr>
          <w:rFonts w:ascii="Arial" w:hAnsi="Arial" w:cs="Arial"/>
          <w:color w:val="000000"/>
          <w:sz w:val="22"/>
          <w:szCs w:val="22"/>
        </w:rPr>
        <w:t>)(b) below) or sale of treasury shares up to an aggregate nominal amount of £928,558,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w:t>
      </w:r>
    </w:p>
    <w:p w14:paraId="7D2AFD17" w14:textId="77777777" w:rsidR="008A7A32" w:rsidRPr="008A7A32" w:rsidRDefault="008A7A32" w:rsidP="008A7A32">
      <w:pPr>
        <w:pBdr>
          <w:top w:val="nil"/>
          <w:left w:val="nil"/>
          <w:bottom w:val="nil"/>
          <w:right w:val="nil"/>
          <w:between w:val="nil"/>
        </w:pBdr>
        <w:ind w:left="1440"/>
        <w:jc w:val="both"/>
        <w:rPr>
          <w:rFonts w:ascii="Arial" w:hAnsi="Arial" w:cs="Arial"/>
          <w:color w:val="000000"/>
          <w:sz w:val="22"/>
          <w:szCs w:val="22"/>
        </w:rPr>
      </w:pPr>
    </w:p>
    <w:p w14:paraId="50A5A660" w14:textId="753C6273" w:rsidR="008A7A32" w:rsidRDefault="008A7A32" w:rsidP="008A7A32">
      <w:pPr>
        <w:numPr>
          <w:ilvl w:val="1"/>
          <w:numId w:val="13"/>
        </w:numPr>
        <w:pBdr>
          <w:top w:val="nil"/>
          <w:left w:val="nil"/>
          <w:bottom w:val="nil"/>
          <w:right w:val="nil"/>
          <w:between w:val="nil"/>
        </w:pBdr>
        <w:jc w:val="both"/>
        <w:rPr>
          <w:rFonts w:ascii="Arial" w:hAnsi="Arial" w:cs="Arial"/>
          <w:color w:val="000000"/>
          <w:sz w:val="22"/>
          <w:szCs w:val="22"/>
        </w:rPr>
      </w:pPr>
      <w:r w:rsidRPr="008A7A32">
        <w:rPr>
          <w:rFonts w:ascii="Arial" w:hAnsi="Arial" w:cs="Arial"/>
          <w:color w:val="000000"/>
          <w:sz w:val="22"/>
          <w:szCs w:val="22"/>
        </w:rPr>
        <w:t>when any allotment of equity securities or sale of treasury shares is or has been made pursuant to paragraph 16(</w:t>
      </w:r>
      <w:proofErr w:type="spellStart"/>
      <w:r w:rsidRPr="008A7A32">
        <w:rPr>
          <w:rFonts w:ascii="Arial" w:hAnsi="Arial" w:cs="Arial"/>
          <w:color w:val="000000"/>
          <w:sz w:val="22"/>
          <w:szCs w:val="22"/>
        </w:rPr>
        <w:t>i</w:t>
      </w:r>
      <w:proofErr w:type="spellEnd"/>
      <w:r w:rsidRPr="008A7A32">
        <w:rPr>
          <w:rFonts w:ascii="Arial" w:hAnsi="Arial" w:cs="Arial"/>
          <w:color w:val="000000"/>
          <w:sz w:val="22"/>
          <w:szCs w:val="22"/>
        </w:rPr>
        <w:t>)(a) above, be limited to the allotment of equity securities up to an aggregate nominal amount equal to 20% of the nominal amount of any allotment of equity securities from time to time under paragraph 16(</w:t>
      </w:r>
      <w:proofErr w:type="spellStart"/>
      <w:r w:rsidRPr="008A7A32">
        <w:rPr>
          <w:rFonts w:ascii="Arial" w:hAnsi="Arial" w:cs="Arial"/>
          <w:color w:val="000000"/>
          <w:sz w:val="22"/>
          <w:szCs w:val="22"/>
        </w:rPr>
        <w:t>i</w:t>
      </w:r>
      <w:proofErr w:type="spellEnd"/>
      <w:r w:rsidRPr="008A7A32">
        <w:rPr>
          <w:rFonts w:ascii="Arial" w:hAnsi="Arial" w:cs="Arial"/>
          <w:color w:val="000000"/>
          <w:sz w:val="22"/>
          <w:szCs w:val="22"/>
        </w:rPr>
        <w:t>)(a) above, such authority to be used only for the purposes of a follow-on offer which the Board of the Company determines to be of a kind contemplated by paragraph 3 of section 2B of the Statement of Principles on Disapplying Pre-Emption Rights most recently published by the Pre-Emption Group prior to the date of this notice; and</w:t>
      </w:r>
    </w:p>
    <w:p w14:paraId="2DD2F10A" w14:textId="77777777" w:rsidR="008A7A32" w:rsidRDefault="008A7A32" w:rsidP="008A7A32">
      <w:pPr>
        <w:pStyle w:val="ListParagraph"/>
        <w:rPr>
          <w:rFonts w:ascii="Arial" w:hAnsi="Arial" w:cs="Arial"/>
          <w:color w:val="000000"/>
          <w:sz w:val="22"/>
          <w:szCs w:val="22"/>
        </w:rPr>
      </w:pPr>
    </w:p>
    <w:p w14:paraId="7DECA409" w14:textId="77777777" w:rsidR="008A7A32" w:rsidRPr="008A7A32" w:rsidRDefault="008A7A32" w:rsidP="008A7A32">
      <w:pPr>
        <w:numPr>
          <w:ilvl w:val="0"/>
          <w:numId w:val="12"/>
        </w:numPr>
        <w:pBdr>
          <w:top w:val="nil"/>
          <w:left w:val="nil"/>
          <w:bottom w:val="nil"/>
          <w:right w:val="nil"/>
          <w:between w:val="nil"/>
        </w:pBdr>
        <w:jc w:val="both"/>
        <w:rPr>
          <w:rFonts w:ascii="Arial" w:hAnsi="Arial" w:cs="Arial"/>
          <w:color w:val="000000"/>
          <w:sz w:val="22"/>
          <w:szCs w:val="22"/>
        </w:rPr>
      </w:pPr>
      <w:r w:rsidRPr="008A7A32">
        <w:rPr>
          <w:rFonts w:ascii="Arial" w:hAnsi="Arial" w:cs="Arial"/>
          <w:color w:val="000000"/>
          <w:sz w:val="22"/>
          <w:szCs w:val="22"/>
        </w:rPr>
        <w:t>expire (unless previously renewed, varied or revoked by the Company in a general meeting) at the end of the next AGM of the Company (or, if earlier, at the close of business on 23 August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00000034" w14:textId="77777777" w:rsidR="001C7CB2" w:rsidRDefault="001C7CB2">
      <w:pPr>
        <w:jc w:val="both"/>
        <w:rPr>
          <w:rFonts w:ascii="Arial" w:eastAsia="Arial" w:hAnsi="Arial" w:cs="Arial"/>
          <w:sz w:val="22"/>
          <w:szCs w:val="22"/>
          <w:highlight w:val="yellow"/>
        </w:rPr>
      </w:pPr>
    </w:p>
    <w:p w14:paraId="00000035" w14:textId="77777777" w:rsidR="001C7CB2" w:rsidRDefault="00000000">
      <w:pPr>
        <w:jc w:val="both"/>
        <w:rPr>
          <w:rFonts w:ascii="Arial" w:eastAsia="Arial" w:hAnsi="Arial" w:cs="Arial"/>
          <w:sz w:val="22"/>
          <w:szCs w:val="22"/>
          <w:u w:val="single"/>
        </w:rPr>
      </w:pPr>
      <w:r>
        <w:rPr>
          <w:rFonts w:ascii="Arial" w:eastAsia="Arial" w:hAnsi="Arial" w:cs="Arial"/>
          <w:sz w:val="22"/>
          <w:szCs w:val="22"/>
          <w:u w:val="single"/>
        </w:rPr>
        <w:t xml:space="preserve">Authority to purchase own shares </w:t>
      </w:r>
    </w:p>
    <w:p w14:paraId="00000036" w14:textId="77777777" w:rsidR="001C7CB2" w:rsidRDefault="001C7CB2">
      <w:pPr>
        <w:jc w:val="both"/>
        <w:rPr>
          <w:rFonts w:ascii="Arial" w:eastAsia="Arial" w:hAnsi="Arial" w:cs="Arial"/>
          <w:sz w:val="22"/>
          <w:szCs w:val="22"/>
        </w:rPr>
      </w:pPr>
    </w:p>
    <w:p w14:paraId="78C598F3" w14:textId="77777777" w:rsidR="00654061" w:rsidRPr="00654061" w:rsidRDefault="00000000" w:rsidP="00654061">
      <w:pPr>
        <w:jc w:val="both"/>
        <w:rPr>
          <w:rFonts w:ascii="Arial" w:eastAsia="Arial" w:hAnsi="Arial" w:cs="Arial"/>
          <w:sz w:val="22"/>
          <w:szCs w:val="22"/>
        </w:rPr>
      </w:pPr>
      <w:r>
        <w:rPr>
          <w:rFonts w:ascii="Arial" w:eastAsia="Arial" w:hAnsi="Arial" w:cs="Arial"/>
          <w:sz w:val="22"/>
          <w:szCs w:val="22"/>
        </w:rPr>
        <w:t>1</w:t>
      </w:r>
      <w:r w:rsidR="00654061">
        <w:rPr>
          <w:rFonts w:ascii="Arial" w:eastAsia="Arial" w:hAnsi="Arial" w:cs="Arial"/>
          <w:sz w:val="22"/>
          <w:szCs w:val="22"/>
        </w:rPr>
        <w:t>7</w:t>
      </w:r>
      <w:r>
        <w:rPr>
          <w:rFonts w:ascii="Arial" w:eastAsia="Arial" w:hAnsi="Arial" w:cs="Arial"/>
          <w:sz w:val="22"/>
          <w:szCs w:val="22"/>
        </w:rPr>
        <w:t xml:space="preserve">. </w:t>
      </w:r>
      <w:r w:rsidR="00654061" w:rsidRPr="00654061">
        <w:rPr>
          <w:rFonts w:ascii="Arial" w:eastAsia="Arial" w:hAnsi="Arial" w:cs="Arial"/>
          <w:sz w:val="22"/>
          <w:szCs w:val="22"/>
        </w:rPr>
        <w:t>That the Company be hereby generally and unconditionally authorised pursuant to Section 701 of the Act to make market purchases (as defined in Section 693(4) of the Act) of Class A Shares provided that:</w:t>
      </w:r>
    </w:p>
    <w:p w14:paraId="00000037" w14:textId="4F89A58D" w:rsidR="001C7CB2" w:rsidRDefault="001C7CB2">
      <w:pPr>
        <w:jc w:val="both"/>
        <w:rPr>
          <w:rFonts w:ascii="Arial" w:eastAsia="Arial" w:hAnsi="Arial" w:cs="Arial"/>
          <w:sz w:val="22"/>
          <w:szCs w:val="22"/>
        </w:rPr>
      </w:pPr>
    </w:p>
    <w:p w14:paraId="00000038" w14:textId="77777777" w:rsidR="001C7CB2" w:rsidRDefault="001C7CB2">
      <w:pPr>
        <w:jc w:val="both"/>
        <w:rPr>
          <w:rFonts w:ascii="Arial" w:eastAsia="Arial" w:hAnsi="Arial" w:cs="Arial"/>
          <w:sz w:val="22"/>
          <w:szCs w:val="22"/>
        </w:rPr>
      </w:pPr>
    </w:p>
    <w:p w14:paraId="4E4F4E12" w14:textId="27E11DF1" w:rsidR="00654061" w:rsidRPr="00654061" w:rsidRDefault="00654061" w:rsidP="00654061">
      <w:pPr>
        <w:numPr>
          <w:ilvl w:val="0"/>
          <w:numId w:val="14"/>
        </w:numPr>
        <w:pBdr>
          <w:top w:val="nil"/>
          <w:left w:val="nil"/>
          <w:bottom w:val="nil"/>
          <w:right w:val="nil"/>
          <w:between w:val="nil"/>
        </w:pBdr>
        <w:jc w:val="both"/>
        <w:rPr>
          <w:rFonts w:ascii="Arial" w:hAnsi="Arial" w:cs="Arial"/>
          <w:color w:val="000000"/>
          <w:sz w:val="22"/>
          <w:szCs w:val="22"/>
        </w:rPr>
      </w:pPr>
      <w:r w:rsidRPr="00654061">
        <w:rPr>
          <w:rFonts w:ascii="Arial" w:hAnsi="Arial" w:cs="Arial"/>
          <w:color w:val="000000"/>
          <w:sz w:val="22"/>
          <w:szCs w:val="22"/>
        </w:rPr>
        <w:t>the maximum number of Class A Shares which may be purchased is</w:t>
      </w:r>
      <w:r>
        <w:rPr>
          <w:rFonts w:ascii="Arial" w:hAnsi="Arial" w:cs="Arial"/>
          <w:color w:val="000000"/>
          <w:sz w:val="22"/>
          <w:szCs w:val="22"/>
        </w:rPr>
        <w:t xml:space="preserve"> </w:t>
      </w:r>
      <w:r w:rsidRPr="00654061">
        <w:rPr>
          <w:rFonts w:ascii="Arial" w:hAnsi="Arial" w:cs="Arial"/>
          <w:color w:val="000000"/>
          <w:sz w:val="22"/>
          <w:szCs w:val="22"/>
        </w:rPr>
        <w:t>185,711,701,being approximately 10% of the Company’s issued share capital as at 31 March 2023 (being the latest practicable date prior to the publication of the notice of Annual General Meeting);</w:t>
      </w:r>
    </w:p>
    <w:p w14:paraId="5372D7F6" w14:textId="10C9CE75" w:rsidR="00654061" w:rsidRPr="00654061" w:rsidRDefault="00654061" w:rsidP="00654061">
      <w:pPr>
        <w:numPr>
          <w:ilvl w:val="0"/>
          <w:numId w:val="14"/>
        </w:numPr>
        <w:pBdr>
          <w:top w:val="nil"/>
          <w:left w:val="nil"/>
          <w:bottom w:val="nil"/>
          <w:right w:val="nil"/>
          <w:between w:val="nil"/>
        </w:pBdr>
        <w:jc w:val="both"/>
        <w:rPr>
          <w:rFonts w:ascii="Arial" w:hAnsi="Arial" w:cs="Arial"/>
          <w:color w:val="000000"/>
          <w:sz w:val="22"/>
          <w:szCs w:val="22"/>
        </w:rPr>
      </w:pPr>
      <w:r w:rsidRPr="00654061">
        <w:rPr>
          <w:rFonts w:ascii="Arial" w:hAnsi="Arial" w:cs="Arial"/>
          <w:color w:val="000000"/>
          <w:sz w:val="22"/>
          <w:szCs w:val="22"/>
        </w:rPr>
        <w:t>the minimum price (excluding expenses) which may be paid for each such share is £0.005;</w:t>
      </w:r>
    </w:p>
    <w:p w14:paraId="77D3E6E2" w14:textId="17CFF65F" w:rsidR="00654061" w:rsidRPr="00654061" w:rsidRDefault="00654061" w:rsidP="00654061">
      <w:pPr>
        <w:numPr>
          <w:ilvl w:val="0"/>
          <w:numId w:val="14"/>
        </w:numPr>
        <w:pBdr>
          <w:top w:val="nil"/>
          <w:left w:val="nil"/>
          <w:bottom w:val="nil"/>
          <w:right w:val="nil"/>
          <w:between w:val="nil"/>
        </w:pBdr>
        <w:jc w:val="both"/>
        <w:rPr>
          <w:rFonts w:ascii="Arial" w:hAnsi="Arial" w:cs="Arial"/>
          <w:color w:val="000000"/>
          <w:sz w:val="22"/>
          <w:szCs w:val="22"/>
        </w:rPr>
      </w:pPr>
      <w:r w:rsidRPr="00654061">
        <w:rPr>
          <w:rFonts w:ascii="Arial" w:hAnsi="Arial" w:cs="Arial"/>
          <w:color w:val="000000"/>
          <w:sz w:val="22"/>
          <w:szCs w:val="22"/>
        </w:rPr>
        <w:lastRenderedPageBreak/>
        <w:t>the maximum price (excluding expenses) which may be paid for each such share is the higher of:</w:t>
      </w:r>
    </w:p>
    <w:p w14:paraId="4537FABF" w14:textId="77777777" w:rsidR="00654061" w:rsidRDefault="00654061" w:rsidP="00654061">
      <w:pPr>
        <w:numPr>
          <w:ilvl w:val="1"/>
          <w:numId w:val="15"/>
        </w:numPr>
        <w:pBdr>
          <w:top w:val="nil"/>
          <w:left w:val="nil"/>
          <w:bottom w:val="nil"/>
          <w:right w:val="nil"/>
          <w:between w:val="nil"/>
        </w:pBdr>
        <w:jc w:val="both"/>
        <w:rPr>
          <w:rFonts w:ascii="Arial" w:hAnsi="Arial" w:cs="Arial"/>
          <w:color w:val="000000"/>
          <w:sz w:val="22"/>
          <w:szCs w:val="22"/>
        </w:rPr>
      </w:pPr>
      <w:r w:rsidRPr="00654061">
        <w:rPr>
          <w:rFonts w:ascii="Arial" w:hAnsi="Arial" w:cs="Arial"/>
          <w:color w:val="000000"/>
          <w:sz w:val="22"/>
          <w:szCs w:val="22"/>
        </w:rPr>
        <w:t>an amount equal to 105% of the average of the middle market quotations for a Class A Share as derived from the London Stock Exchange Daily Official List for the five Business Days immediately preceding the day on which the relevant share is purchased; and</w:t>
      </w:r>
    </w:p>
    <w:p w14:paraId="0FCAE377" w14:textId="7857B60E" w:rsidR="00654061" w:rsidRDefault="00654061" w:rsidP="00654061">
      <w:pPr>
        <w:numPr>
          <w:ilvl w:val="1"/>
          <w:numId w:val="15"/>
        </w:numPr>
        <w:pBdr>
          <w:top w:val="nil"/>
          <w:left w:val="nil"/>
          <w:bottom w:val="nil"/>
          <w:right w:val="nil"/>
          <w:between w:val="nil"/>
        </w:pBdr>
        <w:jc w:val="both"/>
        <w:rPr>
          <w:rFonts w:ascii="Arial" w:hAnsi="Arial" w:cs="Arial"/>
          <w:color w:val="000000"/>
          <w:sz w:val="22"/>
          <w:szCs w:val="22"/>
        </w:rPr>
      </w:pPr>
      <w:r w:rsidRPr="00654061">
        <w:rPr>
          <w:rFonts w:ascii="Arial" w:hAnsi="Arial" w:cs="Arial"/>
          <w:color w:val="000000"/>
          <w:sz w:val="22"/>
          <w:szCs w:val="22"/>
        </w:rPr>
        <w:t>an amount equal to the higher of the price of the last independent trade of such a share and the highest current independent purchase bid for such a share on the trading venues where the purchase is carried out; and</w:t>
      </w:r>
    </w:p>
    <w:p w14:paraId="57F01D10" w14:textId="77777777" w:rsidR="00654061" w:rsidRPr="00654061" w:rsidRDefault="00654061" w:rsidP="00654061">
      <w:pPr>
        <w:pBdr>
          <w:top w:val="nil"/>
          <w:left w:val="nil"/>
          <w:bottom w:val="nil"/>
          <w:right w:val="nil"/>
          <w:between w:val="nil"/>
        </w:pBdr>
        <w:ind w:left="1440"/>
        <w:jc w:val="both"/>
        <w:rPr>
          <w:rFonts w:ascii="Arial" w:hAnsi="Arial" w:cs="Arial"/>
          <w:color w:val="000000"/>
          <w:sz w:val="22"/>
          <w:szCs w:val="22"/>
        </w:rPr>
      </w:pPr>
    </w:p>
    <w:p w14:paraId="00000041" w14:textId="23935B03" w:rsidR="001C7CB2" w:rsidRPr="00654061" w:rsidRDefault="00654061" w:rsidP="00654061">
      <w:pPr>
        <w:numPr>
          <w:ilvl w:val="0"/>
          <w:numId w:val="14"/>
        </w:numPr>
        <w:pBdr>
          <w:top w:val="nil"/>
          <w:left w:val="nil"/>
          <w:bottom w:val="nil"/>
          <w:right w:val="nil"/>
          <w:between w:val="nil"/>
        </w:pBdr>
        <w:jc w:val="both"/>
        <w:rPr>
          <w:rFonts w:ascii="Arial" w:hAnsi="Arial" w:cs="Arial"/>
          <w:color w:val="000000"/>
          <w:sz w:val="22"/>
          <w:szCs w:val="22"/>
        </w:rPr>
      </w:pPr>
      <w:r w:rsidRPr="00654061">
        <w:rPr>
          <w:rFonts w:ascii="Arial" w:hAnsi="Arial" w:cs="Arial"/>
          <w:color w:val="000000"/>
          <w:sz w:val="22"/>
          <w:szCs w:val="22"/>
        </w:rPr>
        <w:t xml:space="preserve">the authority hereby conferred shall apply until the conclusion of the Company’s Annual General Meeting to be held in 2024 (or, if earlier, 23 August 2024) (except in relation to the purchase of shares the contracts for which are concluded before such expiry and which are executed wholly or partly after such expiry), unless such authority is renewed prior to such </w:t>
      </w:r>
      <w:r w:rsidRPr="00654061">
        <w:rPr>
          <w:rFonts w:ascii="Arial" w:hAnsi="Arial" w:cs="Arial"/>
          <w:color w:val="000000"/>
          <w:sz w:val="22"/>
          <w:szCs w:val="22"/>
        </w:rPr>
        <w:t>time. Wholly</w:t>
      </w:r>
      <w:r w:rsidR="00000000" w:rsidRPr="00654061">
        <w:rPr>
          <w:rFonts w:ascii="Arial" w:hAnsi="Arial" w:cs="Arial"/>
          <w:color w:val="000000"/>
          <w:sz w:val="22"/>
          <w:szCs w:val="22"/>
        </w:rPr>
        <w:t xml:space="preserve"> or partly after such expiry), unless such authority is renewed prior to such time.</w:t>
      </w:r>
    </w:p>
    <w:p w14:paraId="00000042" w14:textId="77777777" w:rsidR="001C7CB2" w:rsidRDefault="001C7CB2">
      <w:pPr>
        <w:jc w:val="both"/>
        <w:rPr>
          <w:rFonts w:ascii="Arial" w:eastAsia="Arial" w:hAnsi="Arial" w:cs="Arial"/>
          <w:sz w:val="22"/>
          <w:szCs w:val="22"/>
        </w:rPr>
      </w:pPr>
    </w:p>
    <w:p w14:paraId="00000043" w14:textId="77777777" w:rsidR="001C7CB2" w:rsidRDefault="00000000">
      <w:pPr>
        <w:jc w:val="both"/>
        <w:rPr>
          <w:rFonts w:ascii="Arial" w:eastAsia="Arial" w:hAnsi="Arial" w:cs="Arial"/>
          <w:sz w:val="22"/>
          <w:szCs w:val="22"/>
          <w:u w:val="single"/>
        </w:rPr>
      </w:pPr>
      <w:r>
        <w:rPr>
          <w:rFonts w:ascii="Arial" w:eastAsia="Arial" w:hAnsi="Arial" w:cs="Arial"/>
          <w:sz w:val="22"/>
          <w:szCs w:val="22"/>
          <w:u w:val="single"/>
        </w:rPr>
        <w:t xml:space="preserve">General meetings </w:t>
      </w:r>
    </w:p>
    <w:p w14:paraId="00000044" w14:textId="77777777" w:rsidR="001C7CB2" w:rsidRDefault="001C7CB2">
      <w:pPr>
        <w:jc w:val="both"/>
        <w:rPr>
          <w:rFonts w:ascii="Arial" w:eastAsia="Arial" w:hAnsi="Arial" w:cs="Arial"/>
          <w:sz w:val="22"/>
          <w:szCs w:val="22"/>
          <w:u w:val="single"/>
        </w:rPr>
      </w:pPr>
    </w:p>
    <w:p w14:paraId="00000045" w14:textId="22AE1B52" w:rsidR="001C7CB2" w:rsidRDefault="00654061">
      <w:pPr>
        <w:jc w:val="both"/>
        <w:rPr>
          <w:rFonts w:ascii="Arial" w:eastAsia="Arial" w:hAnsi="Arial" w:cs="Arial"/>
          <w:sz w:val="22"/>
          <w:szCs w:val="22"/>
        </w:rPr>
      </w:pPr>
      <w:r>
        <w:rPr>
          <w:rFonts w:ascii="Arial" w:eastAsia="Arial" w:hAnsi="Arial" w:cs="Arial"/>
          <w:sz w:val="22"/>
          <w:szCs w:val="22"/>
        </w:rPr>
        <w:t>18</w:t>
      </w:r>
      <w:r w:rsidR="00000000">
        <w:rPr>
          <w:rFonts w:ascii="Arial" w:eastAsia="Arial" w:hAnsi="Arial" w:cs="Arial"/>
          <w:sz w:val="22"/>
          <w:szCs w:val="22"/>
        </w:rPr>
        <w:t>. That the Directors be hereby authorised to call a general meeting (other than an Annual General Meeting) on not less than 14 clear days’ notice.</w:t>
      </w:r>
    </w:p>
    <w:p w14:paraId="00000046" w14:textId="77777777" w:rsidR="001C7CB2" w:rsidRDefault="001C7CB2">
      <w:pPr>
        <w:jc w:val="both"/>
        <w:rPr>
          <w:rFonts w:ascii="Arial" w:eastAsia="Arial" w:hAnsi="Arial" w:cs="Arial"/>
          <w:sz w:val="22"/>
          <w:szCs w:val="22"/>
        </w:rPr>
      </w:pPr>
    </w:p>
    <w:sectPr w:rsidR="001C7CB2">
      <w:pgSz w:w="12240" w:h="15840"/>
      <w:pgMar w:top="1276" w:right="1440" w:bottom="993"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58B"/>
    <w:multiLevelType w:val="multilevel"/>
    <w:tmpl w:val="886293A0"/>
    <w:lvl w:ilvl="0">
      <w:start w:val="1"/>
      <w:numFmt w:val="upperRoman"/>
      <w:lvlText w:val="%1."/>
      <w:lvlJc w:val="right"/>
      <w:pPr>
        <w:ind w:left="720" w:hanging="360"/>
      </w:pPr>
      <w:rPr>
        <w:b w:val="0"/>
        <w:bCs/>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2B250B"/>
    <w:multiLevelType w:val="multilevel"/>
    <w:tmpl w:val="886293A0"/>
    <w:lvl w:ilvl="0">
      <w:start w:val="1"/>
      <w:numFmt w:val="upperRoman"/>
      <w:lvlText w:val="%1."/>
      <w:lvlJc w:val="right"/>
      <w:pPr>
        <w:ind w:left="720" w:hanging="360"/>
      </w:pPr>
      <w:rPr>
        <w:b w:val="0"/>
        <w:bCs/>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DC688A"/>
    <w:multiLevelType w:val="multilevel"/>
    <w:tmpl w:val="886293A0"/>
    <w:lvl w:ilvl="0">
      <w:start w:val="1"/>
      <w:numFmt w:val="upperRoman"/>
      <w:lvlText w:val="%1."/>
      <w:lvlJc w:val="right"/>
      <w:pPr>
        <w:ind w:left="720" w:hanging="360"/>
      </w:pPr>
      <w:rPr>
        <w:b w:val="0"/>
        <w:bCs/>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810DD3"/>
    <w:multiLevelType w:val="multilevel"/>
    <w:tmpl w:val="886293A0"/>
    <w:lvl w:ilvl="0">
      <w:start w:val="1"/>
      <w:numFmt w:val="upperRoman"/>
      <w:lvlText w:val="%1."/>
      <w:lvlJc w:val="right"/>
      <w:pPr>
        <w:ind w:left="720" w:hanging="360"/>
      </w:pPr>
      <w:rPr>
        <w:b w:val="0"/>
        <w:bCs/>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990B64"/>
    <w:multiLevelType w:val="multilevel"/>
    <w:tmpl w:val="886293A0"/>
    <w:lvl w:ilvl="0">
      <w:start w:val="1"/>
      <w:numFmt w:val="upperRoman"/>
      <w:lvlText w:val="%1."/>
      <w:lvlJc w:val="right"/>
      <w:pPr>
        <w:ind w:left="720" w:hanging="360"/>
      </w:pPr>
      <w:rPr>
        <w:b w:val="0"/>
        <w:bCs/>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8F5E28"/>
    <w:multiLevelType w:val="multilevel"/>
    <w:tmpl w:val="886293A0"/>
    <w:lvl w:ilvl="0">
      <w:start w:val="1"/>
      <w:numFmt w:val="upperRoman"/>
      <w:lvlText w:val="%1."/>
      <w:lvlJc w:val="right"/>
      <w:pPr>
        <w:ind w:left="720" w:hanging="360"/>
      </w:pPr>
      <w:rPr>
        <w:b w:val="0"/>
        <w:bCs/>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A0D284D"/>
    <w:multiLevelType w:val="multilevel"/>
    <w:tmpl w:val="92E04130"/>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DF56B05"/>
    <w:multiLevelType w:val="multilevel"/>
    <w:tmpl w:val="D06E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F22C9C"/>
    <w:multiLevelType w:val="multilevel"/>
    <w:tmpl w:val="498E2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7963A9"/>
    <w:multiLevelType w:val="multilevel"/>
    <w:tmpl w:val="0EC4E6AA"/>
    <w:lvl w:ilvl="0">
      <w:start w:val="1"/>
      <w:numFmt w:val="lowerRoman"/>
      <w:pStyle w:val="MdRLevel1"/>
      <w:lvlText w:val="%1."/>
      <w:lvlJc w:val="right"/>
      <w:pPr>
        <w:ind w:left="720" w:hanging="360"/>
      </w:pPr>
      <w:rPr>
        <w:u w:val="none"/>
      </w:rPr>
    </w:lvl>
    <w:lvl w:ilvl="1">
      <w:start w:val="1"/>
      <w:numFmt w:val="lowerLetter"/>
      <w:pStyle w:val="MdRLevel2"/>
      <w:lvlText w:val="%2."/>
      <w:lvlJc w:val="left"/>
      <w:pPr>
        <w:ind w:left="1440" w:hanging="360"/>
      </w:pPr>
      <w:rPr>
        <w:u w:val="none"/>
      </w:rPr>
    </w:lvl>
    <w:lvl w:ilvl="2">
      <w:start w:val="1"/>
      <w:numFmt w:val="lowerLetter"/>
      <w:pStyle w:val="MdRLevel3"/>
      <w:lvlText w:val="%3."/>
      <w:lvlJc w:val="left"/>
      <w:pPr>
        <w:ind w:left="2160" w:hanging="360"/>
      </w:pPr>
      <w:rPr>
        <w:u w:val="none"/>
      </w:rPr>
    </w:lvl>
    <w:lvl w:ilvl="3">
      <w:start w:val="1"/>
      <w:numFmt w:val="lowerLetter"/>
      <w:pStyle w:val="MdRLevel4"/>
      <w:lvlText w:val="%4)"/>
      <w:lvlJc w:val="left"/>
      <w:pPr>
        <w:ind w:left="2880" w:hanging="360"/>
      </w:pPr>
      <w:rPr>
        <w:u w:val="none"/>
      </w:rPr>
    </w:lvl>
    <w:lvl w:ilvl="4">
      <w:start w:val="1"/>
      <w:numFmt w:val="decimal"/>
      <w:pStyle w:val="MdRLevel5"/>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8A16171"/>
    <w:multiLevelType w:val="multilevel"/>
    <w:tmpl w:val="F1D6275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506EBE"/>
    <w:multiLevelType w:val="multilevel"/>
    <w:tmpl w:val="886293A0"/>
    <w:lvl w:ilvl="0">
      <w:start w:val="1"/>
      <w:numFmt w:val="upperRoman"/>
      <w:lvlText w:val="%1."/>
      <w:lvlJc w:val="right"/>
      <w:pPr>
        <w:ind w:left="720" w:hanging="360"/>
      </w:pPr>
      <w:rPr>
        <w:b w:val="0"/>
        <w:bCs/>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C2E04"/>
    <w:multiLevelType w:val="multilevel"/>
    <w:tmpl w:val="F8D8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933DB5"/>
    <w:multiLevelType w:val="multilevel"/>
    <w:tmpl w:val="886293A0"/>
    <w:lvl w:ilvl="0">
      <w:start w:val="1"/>
      <w:numFmt w:val="upperRoman"/>
      <w:lvlText w:val="%1."/>
      <w:lvlJc w:val="right"/>
      <w:pPr>
        <w:ind w:left="720" w:hanging="360"/>
      </w:pPr>
      <w:rPr>
        <w:b w:val="0"/>
        <w:bCs/>
        <w:u w:val="none"/>
      </w:rPr>
    </w:lvl>
    <w:lvl w:ilvl="1">
      <w:start w:val="1"/>
      <w:numFmt w:val="lowerRoman"/>
      <w:lvlText w:val="%2."/>
      <w:lvlJc w:val="righ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3466336">
    <w:abstractNumId w:val="9"/>
  </w:num>
  <w:num w:numId="2" w16cid:durableId="1287157068">
    <w:abstractNumId w:val="6"/>
  </w:num>
  <w:num w:numId="3" w16cid:durableId="507719005">
    <w:abstractNumId w:val="5"/>
  </w:num>
  <w:num w:numId="4" w16cid:durableId="1093361617">
    <w:abstractNumId w:val="10"/>
  </w:num>
  <w:num w:numId="5" w16cid:durableId="2055422545">
    <w:abstractNumId w:val="7"/>
    <w:lvlOverride w:ilvl="0">
      <w:lvl w:ilvl="0">
        <w:numFmt w:val="upperLetter"/>
        <w:lvlText w:val="%1."/>
        <w:lvlJc w:val="left"/>
      </w:lvl>
    </w:lvlOverride>
  </w:num>
  <w:num w:numId="6" w16cid:durableId="2055422545">
    <w:abstractNumId w:val="7"/>
    <w:lvlOverride w:ilvl="0">
      <w:lvl w:ilvl="0">
        <w:numFmt w:val="upperLetter"/>
        <w:lvlText w:val="%1."/>
        <w:lvlJc w:val="left"/>
      </w:lvl>
    </w:lvlOverride>
  </w:num>
  <w:num w:numId="7" w16cid:durableId="164977736">
    <w:abstractNumId w:val="13"/>
  </w:num>
  <w:num w:numId="8" w16cid:durableId="929502979">
    <w:abstractNumId w:val="12"/>
    <w:lvlOverride w:ilvl="0">
      <w:lvl w:ilvl="0">
        <w:numFmt w:val="upperRoman"/>
        <w:lvlText w:val="%1."/>
        <w:lvlJc w:val="right"/>
      </w:lvl>
    </w:lvlOverride>
  </w:num>
  <w:num w:numId="9" w16cid:durableId="467404205">
    <w:abstractNumId w:val="8"/>
    <w:lvlOverride w:ilvl="0">
      <w:lvl w:ilvl="0">
        <w:numFmt w:val="upperRoman"/>
        <w:lvlText w:val="%1."/>
        <w:lvlJc w:val="right"/>
      </w:lvl>
    </w:lvlOverride>
  </w:num>
  <w:num w:numId="10" w16cid:durableId="809396044">
    <w:abstractNumId w:val="4"/>
  </w:num>
  <w:num w:numId="11" w16cid:durableId="1267806596">
    <w:abstractNumId w:val="11"/>
  </w:num>
  <w:num w:numId="12" w16cid:durableId="1108624448">
    <w:abstractNumId w:val="2"/>
  </w:num>
  <w:num w:numId="13" w16cid:durableId="2044012763">
    <w:abstractNumId w:val="3"/>
  </w:num>
  <w:num w:numId="14" w16cid:durableId="175384106">
    <w:abstractNumId w:val="0"/>
  </w:num>
  <w:num w:numId="15" w16cid:durableId="160661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B2"/>
    <w:rsid w:val="001C7CB2"/>
    <w:rsid w:val="00654061"/>
    <w:rsid w:val="007D3DBD"/>
    <w:rsid w:val="008A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B7F4"/>
  <w15:docId w15:val="{C5A9077B-6B3B-4D6E-AC6C-C91308FA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nhideWhenUsed/>
    <w:rsid w:val="003A2452"/>
    <w:pPr>
      <w:tabs>
        <w:tab w:val="left" w:pos="720"/>
        <w:tab w:val="left" w:pos="1440"/>
        <w:tab w:val="left" w:pos="2160"/>
        <w:tab w:val="left" w:pos="2880"/>
        <w:tab w:val="left" w:pos="3600"/>
        <w:tab w:val="left" w:pos="4320"/>
        <w:tab w:val="left" w:pos="5040"/>
      </w:tabs>
      <w:spacing w:after="200"/>
      <w:jc w:val="both"/>
    </w:pPr>
    <w:rPr>
      <w:szCs w:val="20"/>
    </w:rPr>
  </w:style>
  <w:style w:type="character" w:customStyle="1" w:styleId="BodyTextChar">
    <w:name w:val="Body Text Char"/>
    <w:basedOn w:val="DefaultParagraphFont"/>
    <w:link w:val="BodyText"/>
    <w:rsid w:val="003A2452"/>
    <w:rPr>
      <w:rFonts w:ascii="Times New Roman" w:eastAsia="Times New Roman" w:hAnsi="Times New Roman" w:cs="Times New Roman"/>
      <w:sz w:val="24"/>
      <w:szCs w:val="20"/>
      <w:lang w:val="en-GB"/>
    </w:rPr>
  </w:style>
  <w:style w:type="paragraph" w:customStyle="1" w:styleId="MdRLevel1">
    <w:name w:val="MdR Level 1"/>
    <w:basedOn w:val="Normal"/>
    <w:rsid w:val="003A2452"/>
    <w:pPr>
      <w:numPr>
        <w:numId w:val="1"/>
      </w:numPr>
      <w:spacing w:after="240" w:line="360" w:lineRule="auto"/>
      <w:jc w:val="both"/>
      <w:outlineLvl w:val="0"/>
    </w:pPr>
  </w:style>
  <w:style w:type="paragraph" w:customStyle="1" w:styleId="MdRLevel2">
    <w:name w:val="MdR Level 2"/>
    <w:basedOn w:val="Normal"/>
    <w:rsid w:val="003A2452"/>
    <w:pPr>
      <w:numPr>
        <w:ilvl w:val="1"/>
        <w:numId w:val="1"/>
      </w:numPr>
      <w:spacing w:after="240" w:line="360" w:lineRule="auto"/>
      <w:jc w:val="both"/>
      <w:outlineLvl w:val="1"/>
    </w:pPr>
  </w:style>
  <w:style w:type="paragraph" w:customStyle="1" w:styleId="MdRLevel3">
    <w:name w:val="MdR Level 3"/>
    <w:basedOn w:val="Normal"/>
    <w:rsid w:val="003A2452"/>
    <w:pPr>
      <w:numPr>
        <w:ilvl w:val="2"/>
        <w:numId w:val="1"/>
      </w:numPr>
      <w:spacing w:after="240" w:line="360" w:lineRule="auto"/>
      <w:jc w:val="both"/>
      <w:outlineLvl w:val="2"/>
    </w:pPr>
  </w:style>
  <w:style w:type="paragraph" w:customStyle="1" w:styleId="MdRLevel4">
    <w:name w:val="MdR Level 4"/>
    <w:basedOn w:val="Normal"/>
    <w:rsid w:val="003A2452"/>
    <w:pPr>
      <w:numPr>
        <w:ilvl w:val="3"/>
        <w:numId w:val="1"/>
      </w:numPr>
      <w:spacing w:after="240" w:line="360" w:lineRule="auto"/>
      <w:jc w:val="both"/>
      <w:outlineLvl w:val="3"/>
    </w:pPr>
  </w:style>
  <w:style w:type="paragraph" w:customStyle="1" w:styleId="MdRLevel5">
    <w:name w:val="MdR Level 5"/>
    <w:basedOn w:val="Normal"/>
    <w:rsid w:val="003A2452"/>
    <w:pPr>
      <w:numPr>
        <w:ilvl w:val="4"/>
        <w:numId w:val="1"/>
      </w:numPr>
      <w:spacing w:after="240" w:line="360" w:lineRule="auto"/>
      <w:jc w:val="both"/>
      <w:outlineLvl w:val="4"/>
    </w:pPr>
  </w:style>
  <w:style w:type="paragraph" w:styleId="ListParagraph">
    <w:name w:val="List Paragraph"/>
    <w:basedOn w:val="Normal"/>
    <w:uiPriority w:val="34"/>
    <w:qFormat/>
    <w:rsid w:val="003A2452"/>
    <w:pPr>
      <w:ind w:left="720"/>
      <w:contextualSpacing/>
    </w:pPr>
  </w:style>
  <w:style w:type="character" w:styleId="CommentReference">
    <w:name w:val="annotation reference"/>
    <w:basedOn w:val="DefaultParagraphFont"/>
    <w:uiPriority w:val="99"/>
    <w:semiHidden/>
    <w:unhideWhenUsed/>
    <w:rsid w:val="00EA22F8"/>
    <w:rPr>
      <w:sz w:val="16"/>
      <w:szCs w:val="16"/>
    </w:rPr>
  </w:style>
  <w:style w:type="paragraph" w:styleId="CommentText">
    <w:name w:val="annotation text"/>
    <w:basedOn w:val="Normal"/>
    <w:link w:val="CommentTextChar"/>
    <w:uiPriority w:val="99"/>
    <w:semiHidden/>
    <w:unhideWhenUsed/>
    <w:rsid w:val="00EA22F8"/>
    <w:rPr>
      <w:sz w:val="20"/>
      <w:szCs w:val="20"/>
    </w:rPr>
  </w:style>
  <w:style w:type="character" w:customStyle="1" w:styleId="CommentTextChar">
    <w:name w:val="Comment Text Char"/>
    <w:basedOn w:val="DefaultParagraphFont"/>
    <w:link w:val="CommentText"/>
    <w:uiPriority w:val="99"/>
    <w:semiHidden/>
    <w:rsid w:val="00EA22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2F8"/>
    <w:rPr>
      <w:b/>
      <w:bCs/>
    </w:rPr>
  </w:style>
  <w:style w:type="character" w:customStyle="1" w:styleId="CommentSubjectChar">
    <w:name w:val="Comment Subject Char"/>
    <w:basedOn w:val="CommentTextChar"/>
    <w:link w:val="CommentSubject"/>
    <w:uiPriority w:val="99"/>
    <w:semiHidden/>
    <w:rsid w:val="00EA22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2F8"/>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A7A32"/>
    <w:pPr>
      <w:spacing w:before="100" w:beforeAutospacing="1" w:after="100" w:afterAutospacing="1"/>
    </w:pPr>
  </w:style>
  <w:style w:type="character" w:customStyle="1" w:styleId="apple-tab-span">
    <w:name w:val="apple-tab-span"/>
    <w:basedOn w:val="DefaultParagraphFont"/>
    <w:rsid w:val="008A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5097">
      <w:bodyDiv w:val="1"/>
      <w:marLeft w:val="0"/>
      <w:marRight w:val="0"/>
      <w:marTop w:val="0"/>
      <w:marBottom w:val="0"/>
      <w:divBdr>
        <w:top w:val="none" w:sz="0" w:space="0" w:color="auto"/>
        <w:left w:val="none" w:sz="0" w:space="0" w:color="auto"/>
        <w:bottom w:val="none" w:sz="0" w:space="0" w:color="auto"/>
        <w:right w:val="none" w:sz="0" w:space="0" w:color="auto"/>
      </w:divBdr>
    </w:div>
    <w:div w:id="1334842408">
      <w:bodyDiv w:val="1"/>
      <w:marLeft w:val="0"/>
      <w:marRight w:val="0"/>
      <w:marTop w:val="0"/>
      <w:marBottom w:val="0"/>
      <w:divBdr>
        <w:top w:val="none" w:sz="0" w:space="0" w:color="auto"/>
        <w:left w:val="none" w:sz="0" w:space="0" w:color="auto"/>
        <w:bottom w:val="none" w:sz="0" w:space="0" w:color="auto"/>
        <w:right w:val="none" w:sz="0" w:space="0" w:color="auto"/>
      </w:divBdr>
    </w:div>
    <w:div w:id="1373967034">
      <w:bodyDiv w:val="1"/>
      <w:marLeft w:val="0"/>
      <w:marRight w:val="0"/>
      <w:marTop w:val="0"/>
      <w:marBottom w:val="0"/>
      <w:divBdr>
        <w:top w:val="none" w:sz="0" w:space="0" w:color="auto"/>
        <w:left w:val="none" w:sz="0" w:space="0" w:color="auto"/>
        <w:bottom w:val="none" w:sz="0" w:space="0" w:color="auto"/>
        <w:right w:val="none" w:sz="0" w:space="0" w:color="auto"/>
      </w:divBdr>
    </w:div>
    <w:div w:id="1923947848">
      <w:bodyDiv w:val="1"/>
      <w:marLeft w:val="0"/>
      <w:marRight w:val="0"/>
      <w:marTop w:val="0"/>
      <w:marBottom w:val="0"/>
      <w:divBdr>
        <w:top w:val="none" w:sz="0" w:space="0" w:color="auto"/>
        <w:left w:val="none" w:sz="0" w:space="0" w:color="auto"/>
        <w:bottom w:val="none" w:sz="0" w:space="0" w:color="auto"/>
        <w:right w:val="none" w:sz="0" w:space="0" w:color="auto"/>
      </w:divBdr>
    </w:div>
    <w:div w:id="1941182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zPk+BVii1YF2GBmnm6UNb22ng==">AMUW2mV05j/KYGJJQXLlay5unS6x2lqPur3kIim+ldo+E2GuR0plTIEZb0Fj9fU1Bko+8L65I01gqBrH4Oldg1e700zXGMKsgNFewUuommRooEOA95A5sYM=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Rebecca</dc:creator>
  <cp:lastModifiedBy>Rebecca Waite</cp:lastModifiedBy>
  <cp:revision>4</cp:revision>
  <dcterms:created xsi:type="dcterms:W3CDTF">2022-03-21T10:32:00Z</dcterms:created>
  <dcterms:modified xsi:type="dcterms:W3CDTF">2023-03-31T12:48:00Z</dcterms:modified>
</cp:coreProperties>
</file>