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A9E7" w14:textId="52ED2794" w:rsidR="00995330" w:rsidRPr="00E14EB3" w:rsidRDefault="00995330" w:rsidP="00995330">
      <w:pPr>
        <w:ind w:left="6480"/>
        <w:jc w:val="right"/>
        <w:rPr>
          <w:rFonts w:ascii="Arial" w:hAnsi="Arial" w:cs="Arial"/>
          <w:b/>
          <w:color w:val="000000"/>
          <w:sz w:val="20"/>
          <w:szCs w:val="20"/>
          <w:lang w:val="en-GB"/>
        </w:rPr>
      </w:pPr>
      <w:r w:rsidRPr="00E14EB3">
        <w:rPr>
          <w:rFonts w:ascii="Arial" w:hAnsi="Arial" w:cs="Arial"/>
          <w:b/>
          <w:color w:val="000000"/>
          <w:sz w:val="20"/>
          <w:szCs w:val="20"/>
          <w:lang w:val="en-GB"/>
        </w:rPr>
        <w:t xml:space="preserve">Company No. </w:t>
      </w:r>
      <w:r w:rsidR="00245FFE" w:rsidRPr="00E14EB3">
        <w:rPr>
          <w:rFonts w:ascii="Arial" w:hAnsi="Arial" w:cs="Arial"/>
          <w:b/>
          <w:color w:val="000000"/>
          <w:sz w:val="20"/>
          <w:szCs w:val="20"/>
          <w:lang w:val="en-GB"/>
        </w:rPr>
        <w:t>1</w:t>
      </w:r>
      <w:r w:rsidR="00DE7EDD">
        <w:rPr>
          <w:rFonts w:ascii="Arial" w:hAnsi="Arial" w:cs="Arial"/>
          <w:b/>
          <w:color w:val="000000"/>
          <w:sz w:val="20"/>
          <w:szCs w:val="20"/>
          <w:lang w:val="en-GB"/>
        </w:rPr>
        <w:t>3073661</w:t>
      </w:r>
    </w:p>
    <w:p w14:paraId="1233FA48"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6F155D44"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sz w:val="20"/>
          <w:szCs w:val="20"/>
          <w:u w:val="single"/>
        </w:rPr>
      </w:pPr>
    </w:p>
    <w:p w14:paraId="21A7F3FD"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sz w:val="20"/>
          <w:szCs w:val="20"/>
          <w:u w:val="single"/>
        </w:rPr>
      </w:pPr>
    </w:p>
    <w:p w14:paraId="4347F52C"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p>
    <w:p w14:paraId="3A955EAB"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u w:val="single"/>
        </w:rPr>
      </w:pPr>
      <w:r w:rsidRPr="00E14EB3">
        <w:rPr>
          <w:rFonts w:ascii="Arial" w:eastAsia="Arial Unicode MS" w:hAnsi="Arial" w:cs="Arial"/>
          <w:b/>
          <w:sz w:val="20"/>
          <w:szCs w:val="20"/>
          <w:u w:val="single"/>
        </w:rPr>
        <w:t>THE COMPANIES ACT 2006</w:t>
      </w:r>
    </w:p>
    <w:p w14:paraId="0F5D9D1E" w14:textId="77777777" w:rsidR="00995330" w:rsidRPr="00E14EB3" w:rsidRDefault="00995330" w:rsidP="00995330">
      <w:pPr>
        <w:pStyle w:val="MdRLevel1"/>
        <w:numPr>
          <w:ilvl w:val="0"/>
          <w:numId w:val="0"/>
        </w:numPr>
        <w:spacing w:after="0" w:line="240" w:lineRule="auto"/>
        <w:ind w:left="360"/>
        <w:jc w:val="center"/>
        <w:rPr>
          <w:rFonts w:ascii="Arial" w:eastAsia="Arial Unicode MS" w:hAnsi="Arial" w:cs="Arial"/>
          <w:b/>
          <w:sz w:val="20"/>
          <w:szCs w:val="20"/>
          <w:u w:val="single"/>
        </w:rPr>
      </w:pPr>
    </w:p>
    <w:p w14:paraId="156136F5" w14:textId="77777777" w:rsidR="00995330" w:rsidRPr="00E14EB3" w:rsidRDefault="00995330" w:rsidP="00995330">
      <w:pPr>
        <w:pStyle w:val="MdRLevel1"/>
        <w:numPr>
          <w:ilvl w:val="0"/>
          <w:numId w:val="0"/>
        </w:numPr>
        <w:spacing w:after="0" w:line="240" w:lineRule="auto"/>
        <w:jc w:val="center"/>
        <w:rPr>
          <w:rFonts w:ascii="Arial" w:eastAsia="Arial Unicode MS" w:hAnsi="Arial" w:cs="Arial"/>
          <w:b/>
          <w:sz w:val="20"/>
          <w:szCs w:val="20"/>
        </w:rPr>
      </w:pPr>
      <w:r w:rsidRPr="00E14EB3">
        <w:rPr>
          <w:rFonts w:ascii="Arial" w:eastAsia="Arial Unicode MS" w:hAnsi="Arial" w:cs="Arial"/>
          <w:b/>
          <w:sz w:val="20"/>
          <w:szCs w:val="20"/>
        </w:rPr>
        <w:t>PUBLIC COMPANY LIMITED BY SHARES</w:t>
      </w:r>
    </w:p>
    <w:p w14:paraId="4D860B2D" w14:textId="77777777" w:rsidR="00995330" w:rsidRPr="00E14EB3" w:rsidRDefault="00995330" w:rsidP="00995330">
      <w:pPr>
        <w:pStyle w:val="MdRLevel1"/>
        <w:numPr>
          <w:ilvl w:val="0"/>
          <w:numId w:val="0"/>
        </w:numPr>
        <w:spacing w:after="0" w:line="240" w:lineRule="auto"/>
        <w:ind w:left="720" w:hanging="720"/>
        <w:jc w:val="center"/>
        <w:rPr>
          <w:rFonts w:ascii="Arial" w:eastAsia="Arial Unicode MS" w:hAnsi="Arial" w:cs="Arial"/>
          <w:b/>
          <w:sz w:val="20"/>
          <w:szCs w:val="20"/>
        </w:rPr>
      </w:pPr>
    </w:p>
    <w:p w14:paraId="2A67A3B4" w14:textId="62012AA4" w:rsidR="00995330" w:rsidRPr="00E14EB3" w:rsidRDefault="00995330" w:rsidP="00995330">
      <w:pPr>
        <w:pStyle w:val="MdRLevel1"/>
        <w:numPr>
          <w:ilvl w:val="0"/>
          <w:numId w:val="0"/>
        </w:numPr>
        <w:spacing w:after="0" w:line="240" w:lineRule="auto"/>
        <w:ind w:left="720" w:hanging="720"/>
        <w:jc w:val="center"/>
        <w:rPr>
          <w:rFonts w:ascii="Arial" w:hAnsi="Arial" w:cs="Arial"/>
          <w:b/>
          <w:caps/>
          <w:sz w:val="20"/>
          <w:szCs w:val="20"/>
        </w:rPr>
      </w:pPr>
      <w:r w:rsidRPr="00E14EB3">
        <w:rPr>
          <w:rFonts w:ascii="Arial" w:eastAsia="Arial Unicode MS" w:hAnsi="Arial" w:cs="Arial"/>
          <w:b/>
          <w:caps/>
          <w:sz w:val="20"/>
          <w:szCs w:val="20"/>
        </w:rPr>
        <w:t xml:space="preserve">RESOLUTIONS OF </w:t>
      </w:r>
      <w:r w:rsidR="00801387">
        <w:rPr>
          <w:rFonts w:ascii="Arial" w:hAnsi="Arial" w:cs="Arial"/>
          <w:b/>
          <w:caps/>
          <w:sz w:val="20"/>
          <w:szCs w:val="20"/>
        </w:rPr>
        <w:t>ALPHAWAVE</w:t>
      </w:r>
      <w:r w:rsidR="00245FFE" w:rsidRPr="00E14EB3">
        <w:rPr>
          <w:rFonts w:ascii="Arial" w:hAnsi="Arial" w:cs="Arial"/>
          <w:b/>
          <w:caps/>
          <w:sz w:val="20"/>
          <w:szCs w:val="20"/>
        </w:rPr>
        <w:t xml:space="preserve"> </w:t>
      </w:r>
      <w:r w:rsidR="009D004F">
        <w:rPr>
          <w:rFonts w:ascii="Arial" w:hAnsi="Arial" w:cs="Arial"/>
          <w:b/>
          <w:caps/>
          <w:sz w:val="20"/>
          <w:szCs w:val="20"/>
        </w:rPr>
        <w:t xml:space="preserve">ip group </w:t>
      </w:r>
      <w:r w:rsidR="00245FFE" w:rsidRPr="00E14EB3">
        <w:rPr>
          <w:rFonts w:ascii="Arial" w:hAnsi="Arial" w:cs="Arial"/>
          <w:b/>
          <w:caps/>
          <w:sz w:val="20"/>
          <w:szCs w:val="20"/>
        </w:rPr>
        <w:t>PLC</w:t>
      </w:r>
    </w:p>
    <w:p w14:paraId="64FFE883" w14:textId="77777777" w:rsidR="00995330" w:rsidRDefault="00995330" w:rsidP="00995330">
      <w:pPr>
        <w:jc w:val="center"/>
        <w:rPr>
          <w:rFonts w:ascii="Arial" w:hAnsi="Arial" w:cs="Arial"/>
          <w:b/>
          <w:caps/>
          <w:sz w:val="20"/>
          <w:szCs w:val="20"/>
          <w:lang w:val="en-GB"/>
        </w:rPr>
      </w:pPr>
      <w:r w:rsidRPr="00E14EB3">
        <w:rPr>
          <w:rFonts w:ascii="Arial" w:hAnsi="Arial" w:cs="Arial"/>
          <w:b/>
          <w:caps/>
          <w:sz w:val="20"/>
          <w:szCs w:val="20"/>
          <w:lang w:val="en-GB"/>
        </w:rPr>
        <w:t>(“THE COMPANY”)</w:t>
      </w:r>
    </w:p>
    <w:p w14:paraId="463E7CD8" w14:textId="511CE141" w:rsidR="009D004F" w:rsidRPr="009D004F" w:rsidRDefault="009D004F" w:rsidP="00995330">
      <w:pPr>
        <w:jc w:val="center"/>
        <w:rPr>
          <w:rFonts w:ascii="Arial" w:hAnsi="Arial" w:cs="Arial"/>
          <w:bCs/>
          <w:caps/>
          <w:sz w:val="20"/>
          <w:szCs w:val="20"/>
          <w:lang w:val="en-GB"/>
        </w:rPr>
      </w:pPr>
      <w:r w:rsidRPr="009D004F">
        <w:rPr>
          <w:rFonts w:ascii="Arial" w:hAnsi="Arial" w:cs="Arial"/>
          <w:bCs/>
          <w:sz w:val="20"/>
          <w:szCs w:val="20"/>
          <w:lang w:val="en-GB"/>
        </w:rPr>
        <w:t>(</w:t>
      </w:r>
      <w:r>
        <w:rPr>
          <w:rFonts w:ascii="Arial" w:hAnsi="Arial" w:cs="Arial"/>
          <w:bCs/>
          <w:sz w:val="20"/>
          <w:szCs w:val="20"/>
          <w:lang w:val="en-GB"/>
        </w:rPr>
        <w:t>Registered in England &amp; Wales no 13073661)</w:t>
      </w:r>
    </w:p>
    <w:p w14:paraId="4887C54D" w14:textId="77777777" w:rsidR="00995330" w:rsidRPr="00E14EB3" w:rsidRDefault="00995330" w:rsidP="00995330">
      <w:pPr>
        <w:tabs>
          <w:tab w:val="left" w:pos="9540"/>
        </w:tabs>
        <w:jc w:val="center"/>
        <w:rPr>
          <w:rFonts w:ascii="Arial" w:hAnsi="Arial" w:cs="Arial"/>
          <w:b/>
          <w:caps/>
          <w:sz w:val="20"/>
          <w:szCs w:val="20"/>
          <w:lang w:val="en-GB"/>
        </w:rPr>
      </w:pPr>
    </w:p>
    <w:p w14:paraId="1BA90167" w14:textId="491297C3" w:rsidR="00995330" w:rsidRPr="00E14EB3" w:rsidRDefault="00995330" w:rsidP="00995330">
      <w:pPr>
        <w:tabs>
          <w:tab w:val="left" w:pos="9540"/>
        </w:tabs>
        <w:jc w:val="center"/>
        <w:rPr>
          <w:rFonts w:ascii="Arial" w:hAnsi="Arial" w:cs="Arial"/>
          <w:b/>
          <w:caps/>
          <w:sz w:val="20"/>
          <w:szCs w:val="20"/>
          <w:lang w:val="en-GB"/>
        </w:rPr>
      </w:pPr>
      <w:r w:rsidRPr="00E14EB3">
        <w:rPr>
          <w:rFonts w:ascii="Arial" w:hAnsi="Arial" w:cs="Arial"/>
          <w:b/>
          <w:caps/>
          <w:sz w:val="20"/>
          <w:szCs w:val="20"/>
          <w:lang w:val="en-GB"/>
        </w:rPr>
        <w:t xml:space="preserve">passed on </w:t>
      </w:r>
      <w:r w:rsidR="00801387">
        <w:rPr>
          <w:rFonts w:ascii="Arial" w:hAnsi="Arial" w:cs="Arial"/>
          <w:b/>
          <w:caps/>
          <w:sz w:val="20"/>
          <w:szCs w:val="20"/>
          <w:lang w:val="en-GB"/>
        </w:rPr>
        <w:t>17</w:t>
      </w:r>
      <w:r w:rsidR="0002785E">
        <w:rPr>
          <w:rFonts w:ascii="Arial" w:hAnsi="Arial" w:cs="Arial"/>
          <w:b/>
          <w:caps/>
          <w:sz w:val="20"/>
          <w:szCs w:val="20"/>
          <w:lang w:val="en-GB"/>
        </w:rPr>
        <w:t xml:space="preserve"> </w:t>
      </w:r>
      <w:r w:rsidR="007C741F">
        <w:rPr>
          <w:rFonts w:ascii="Arial" w:hAnsi="Arial" w:cs="Arial"/>
          <w:b/>
          <w:caps/>
          <w:sz w:val="20"/>
          <w:szCs w:val="20"/>
          <w:lang w:val="en-GB"/>
        </w:rPr>
        <w:t>June</w:t>
      </w:r>
      <w:r w:rsidR="007C741F" w:rsidRPr="00E14EB3">
        <w:rPr>
          <w:rFonts w:ascii="Arial" w:hAnsi="Arial" w:cs="Arial"/>
          <w:b/>
          <w:caps/>
          <w:sz w:val="20"/>
          <w:szCs w:val="20"/>
          <w:lang w:val="en-GB"/>
        </w:rPr>
        <w:t xml:space="preserve"> </w:t>
      </w:r>
      <w:r w:rsidRPr="00E14EB3">
        <w:rPr>
          <w:rFonts w:ascii="Arial" w:hAnsi="Arial" w:cs="Arial"/>
          <w:b/>
          <w:caps/>
          <w:sz w:val="20"/>
          <w:szCs w:val="20"/>
          <w:lang w:val="en-GB"/>
        </w:rPr>
        <w:t>20</w:t>
      </w:r>
      <w:r w:rsidR="009A36FB" w:rsidRPr="00E14EB3">
        <w:rPr>
          <w:rFonts w:ascii="Arial" w:hAnsi="Arial" w:cs="Arial"/>
          <w:b/>
          <w:caps/>
          <w:sz w:val="20"/>
          <w:szCs w:val="20"/>
          <w:lang w:val="en-GB"/>
        </w:rPr>
        <w:t>2</w:t>
      </w:r>
      <w:r w:rsidR="007C741F">
        <w:rPr>
          <w:rFonts w:ascii="Arial" w:hAnsi="Arial" w:cs="Arial"/>
          <w:b/>
          <w:caps/>
          <w:sz w:val="20"/>
          <w:szCs w:val="20"/>
          <w:lang w:val="en-GB"/>
        </w:rPr>
        <w:t>5</w:t>
      </w:r>
    </w:p>
    <w:p w14:paraId="3DA78B82" w14:textId="77777777" w:rsidR="00995330" w:rsidRPr="00E14EB3" w:rsidRDefault="00995330" w:rsidP="00995330">
      <w:pPr>
        <w:tabs>
          <w:tab w:val="left" w:pos="9540"/>
        </w:tabs>
        <w:jc w:val="center"/>
        <w:rPr>
          <w:rFonts w:ascii="Arial" w:hAnsi="Arial" w:cs="Arial"/>
          <w:b/>
          <w:caps/>
          <w:sz w:val="20"/>
          <w:szCs w:val="20"/>
          <w:lang w:val="en-GB"/>
        </w:rPr>
      </w:pPr>
    </w:p>
    <w:p w14:paraId="5F9FD1D1" w14:textId="77777777" w:rsidR="00995330" w:rsidRPr="00E14EB3" w:rsidRDefault="00995330" w:rsidP="00995330">
      <w:pPr>
        <w:tabs>
          <w:tab w:val="left" w:pos="9540"/>
        </w:tabs>
        <w:jc w:val="center"/>
        <w:rPr>
          <w:rFonts w:ascii="Arial" w:eastAsia="Arial Unicode MS" w:hAnsi="Arial" w:cs="Arial"/>
          <w:sz w:val="20"/>
          <w:szCs w:val="20"/>
        </w:rPr>
      </w:pPr>
    </w:p>
    <w:p w14:paraId="114125BB" w14:textId="33641600" w:rsidR="00995330" w:rsidRPr="00977005" w:rsidRDefault="00995330" w:rsidP="00977005">
      <w:pPr>
        <w:jc w:val="both"/>
        <w:rPr>
          <w:rFonts w:ascii="Arial" w:hAnsi="Arial" w:cs="Arial"/>
          <w:color w:val="000000"/>
          <w:sz w:val="20"/>
          <w:szCs w:val="20"/>
          <w:lang w:eastAsia="en-GB"/>
        </w:rPr>
      </w:pPr>
      <w:r w:rsidRPr="00E14EB3">
        <w:rPr>
          <w:rFonts w:ascii="Arial" w:eastAsia="Arial Unicode MS" w:hAnsi="Arial" w:cs="Arial"/>
          <w:sz w:val="20"/>
          <w:szCs w:val="20"/>
        </w:rPr>
        <w:t xml:space="preserve">At an Annual General Meeting of the Company, duly convened and held at </w:t>
      </w:r>
      <w:r w:rsidR="00977005" w:rsidRPr="00977005">
        <w:rPr>
          <w:rFonts w:ascii="Arial" w:hAnsi="Arial" w:cs="Arial"/>
          <w:color w:val="000000"/>
          <w:sz w:val="20"/>
          <w:szCs w:val="20"/>
          <w:lang w:eastAsia="en-GB"/>
        </w:rPr>
        <w:t>the</w:t>
      </w:r>
      <w:r w:rsidR="00977005">
        <w:rPr>
          <w:rFonts w:ascii="Arial" w:hAnsi="Arial" w:cs="Arial"/>
          <w:color w:val="000000"/>
          <w:sz w:val="20"/>
          <w:szCs w:val="20"/>
          <w:lang w:eastAsia="en-GB"/>
        </w:rPr>
        <w:t xml:space="preserve"> </w:t>
      </w:r>
      <w:r w:rsidR="00977005" w:rsidRPr="00977005">
        <w:rPr>
          <w:rFonts w:ascii="Arial" w:hAnsi="Arial" w:cs="Arial"/>
          <w:color w:val="000000"/>
          <w:sz w:val="20"/>
          <w:szCs w:val="20"/>
          <w:lang w:eastAsia="en-GB"/>
        </w:rPr>
        <w:t xml:space="preserve">offices of </w:t>
      </w:r>
      <w:r w:rsidR="00801387">
        <w:rPr>
          <w:rFonts w:ascii="Arial" w:hAnsi="Arial" w:cs="Arial"/>
          <w:color w:val="000000"/>
          <w:sz w:val="20"/>
          <w:szCs w:val="20"/>
          <w:lang w:eastAsia="en-GB"/>
        </w:rPr>
        <w:t>Linklaters LLP, One Silk St, London EC2Y 8HQ</w:t>
      </w:r>
      <w:r w:rsidR="008F3341" w:rsidRPr="00E14EB3">
        <w:rPr>
          <w:rFonts w:ascii="Arial" w:eastAsia="Arial Unicode MS" w:hAnsi="Arial" w:cs="Arial"/>
          <w:sz w:val="20"/>
          <w:szCs w:val="20"/>
        </w:rPr>
        <w:t xml:space="preserve"> </w:t>
      </w:r>
      <w:r w:rsidRPr="00E14EB3">
        <w:rPr>
          <w:rFonts w:ascii="Arial" w:eastAsia="Arial Unicode MS" w:hAnsi="Arial" w:cs="Arial"/>
          <w:sz w:val="20"/>
          <w:szCs w:val="20"/>
        </w:rPr>
        <w:t xml:space="preserve">on </w:t>
      </w:r>
      <w:r w:rsidR="007C741F">
        <w:rPr>
          <w:rFonts w:ascii="Arial" w:eastAsia="Arial Unicode MS" w:hAnsi="Arial" w:cs="Arial"/>
          <w:sz w:val="20"/>
          <w:szCs w:val="20"/>
        </w:rPr>
        <w:t xml:space="preserve">Tuesday </w:t>
      </w:r>
      <w:r w:rsidR="00801387">
        <w:rPr>
          <w:rFonts w:ascii="Arial" w:eastAsia="Arial Unicode MS" w:hAnsi="Arial" w:cs="Arial"/>
          <w:sz w:val="20"/>
          <w:szCs w:val="20"/>
        </w:rPr>
        <w:t>17</w:t>
      </w:r>
      <w:r w:rsidR="00801387" w:rsidRPr="00801387">
        <w:rPr>
          <w:rFonts w:ascii="Arial" w:eastAsia="Arial Unicode MS" w:hAnsi="Arial" w:cs="Arial"/>
          <w:sz w:val="20"/>
          <w:szCs w:val="20"/>
          <w:vertAlign w:val="superscript"/>
        </w:rPr>
        <w:t>TH</w:t>
      </w:r>
      <w:r w:rsidR="0002785E">
        <w:rPr>
          <w:rFonts w:ascii="Arial" w:eastAsia="Arial Unicode MS" w:hAnsi="Arial" w:cs="Arial"/>
          <w:sz w:val="20"/>
          <w:szCs w:val="20"/>
        </w:rPr>
        <w:t xml:space="preserve"> </w:t>
      </w:r>
      <w:r w:rsidR="007C741F">
        <w:rPr>
          <w:rFonts w:ascii="Arial" w:eastAsia="Arial Unicode MS" w:hAnsi="Arial" w:cs="Arial"/>
          <w:sz w:val="20"/>
          <w:szCs w:val="20"/>
        </w:rPr>
        <w:t xml:space="preserve">June </w:t>
      </w:r>
      <w:r w:rsidRPr="00E14EB3">
        <w:rPr>
          <w:rFonts w:ascii="Arial" w:eastAsia="Arial Unicode MS" w:hAnsi="Arial" w:cs="Arial"/>
          <w:sz w:val="20"/>
          <w:szCs w:val="20"/>
        </w:rPr>
        <w:t>20</w:t>
      </w:r>
      <w:r w:rsidR="009A36FB" w:rsidRPr="00E14EB3">
        <w:rPr>
          <w:rFonts w:ascii="Arial" w:eastAsia="Arial Unicode MS" w:hAnsi="Arial" w:cs="Arial"/>
          <w:sz w:val="20"/>
          <w:szCs w:val="20"/>
        </w:rPr>
        <w:t>2</w:t>
      </w:r>
      <w:r w:rsidR="007C741F">
        <w:rPr>
          <w:rFonts w:ascii="Arial" w:eastAsia="Arial Unicode MS" w:hAnsi="Arial" w:cs="Arial"/>
          <w:sz w:val="20"/>
          <w:szCs w:val="20"/>
        </w:rPr>
        <w:t>5</w:t>
      </w:r>
      <w:r w:rsidRPr="00E14EB3">
        <w:rPr>
          <w:rFonts w:ascii="Arial" w:eastAsia="Arial Unicode MS" w:hAnsi="Arial" w:cs="Arial"/>
          <w:sz w:val="20"/>
          <w:szCs w:val="20"/>
        </w:rPr>
        <w:t xml:space="preserve"> at </w:t>
      </w:r>
      <w:r w:rsidR="007C741F">
        <w:rPr>
          <w:rFonts w:ascii="Arial" w:eastAsia="Arial Unicode MS" w:hAnsi="Arial" w:cs="Arial"/>
          <w:sz w:val="20"/>
          <w:szCs w:val="20"/>
        </w:rPr>
        <w:t>10</w:t>
      </w:r>
      <w:r w:rsidRPr="00E14EB3">
        <w:rPr>
          <w:rFonts w:ascii="Arial" w:eastAsia="Arial Unicode MS" w:hAnsi="Arial" w:cs="Arial"/>
          <w:sz w:val="20"/>
          <w:szCs w:val="20"/>
        </w:rPr>
        <w:t>.00</w:t>
      </w:r>
      <w:r w:rsidR="007C741F">
        <w:rPr>
          <w:rFonts w:ascii="Arial" w:eastAsia="Arial Unicode MS" w:hAnsi="Arial" w:cs="Arial"/>
          <w:sz w:val="20"/>
          <w:szCs w:val="20"/>
        </w:rPr>
        <w:t>a</w:t>
      </w:r>
      <w:r w:rsidRPr="00E14EB3">
        <w:rPr>
          <w:rFonts w:ascii="Arial" w:eastAsia="Arial Unicode MS" w:hAnsi="Arial" w:cs="Arial"/>
          <w:sz w:val="20"/>
          <w:szCs w:val="20"/>
        </w:rPr>
        <w:t>m, the following resolutions were passed, with Resolution</w:t>
      </w:r>
      <w:r w:rsidR="001A2953">
        <w:rPr>
          <w:rFonts w:ascii="Arial" w:eastAsia="Arial Unicode MS" w:hAnsi="Arial" w:cs="Arial"/>
          <w:sz w:val="20"/>
          <w:szCs w:val="20"/>
        </w:rPr>
        <w:t>s</w:t>
      </w:r>
      <w:r w:rsidR="0002785E">
        <w:rPr>
          <w:rFonts w:ascii="Arial" w:eastAsia="Arial Unicode MS" w:hAnsi="Arial" w:cs="Arial"/>
          <w:sz w:val="20"/>
          <w:szCs w:val="20"/>
        </w:rPr>
        <w:t xml:space="preserve"> </w:t>
      </w:r>
      <w:r w:rsidR="00801387">
        <w:rPr>
          <w:rFonts w:ascii="Arial" w:eastAsia="Arial Unicode MS" w:hAnsi="Arial" w:cs="Arial"/>
          <w:sz w:val="20"/>
          <w:szCs w:val="20"/>
        </w:rPr>
        <w:t>13</w:t>
      </w:r>
      <w:r w:rsidR="007C2424">
        <w:rPr>
          <w:rFonts w:ascii="Arial" w:eastAsia="Arial Unicode MS" w:hAnsi="Arial" w:cs="Arial"/>
          <w:sz w:val="20"/>
          <w:szCs w:val="20"/>
        </w:rPr>
        <w:t xml:space="preserve">, 17 to 19 </w:t>
      </w:r>
      <w:r w:rsidR="00641152" w:rsidRPr="00E14EB3">
        <w:rPr>
          <w:rFonts w:ascii="Arial" w:eastAsia="Arial Unicode MS" w:hAnsi="Arial" w:cs="Arial"/>
          <w:sz w:val="20"/>
          <w:szCs w:val="20"/>
        </w:rPr>
        <w:t>as</w:t>
      </w:r>
      <w:r w:rsidR="00905675">
        <w:rPr>
          <w:rFonts w:ascii="Arial" w:eastAsia="Arial Unicode MS" w:hAnsi="Arial" w:cs="Arial"/>
          <w:sz w:val="20"/>
          <w:szCs w:val="20"/>
        </w:rPr>
        <w:t xml:space="preserve"> </w:t>
      </w:r>
      <w:r w:rsidR="0002785E">
        <w:rPr>
          <w:rFonts w:ascii="Arial" w:eastAsia="Arial Unicode MS" w:hAnsi="Arial" w:cs="Arial"/>
          <w:sz w:val="20"/>
          <w:szCs w:val="20"/>
        </w:rPr>
        <w:t xml:space="preserve">an </w:t>
      </w:r>
      <w:r w:rsidRPr="00E14EB3">
        <w:rPr>
          <w:rFonts w:ascii="Arial" w:eastAsia="Arial Unicode MS" w:hAnsi="Arial" w:cs="Arial"/>
          <w:sz w:val="20"/>
          <w:szCs w:val="20"/>
        </w:rPr>
        <w:t xml:space="preserve">Ordinary Resolution and Resolutions </w:t>
      </w:r>
      <w:r w:rsidR="00641152" w:rsidRPr="00E14EB3">
        <w:rPr>
          <w:rFonts w:ascii="Arial" w:eastAsia="Arial Unicode MS" w:hAnsi="Arial" w:cs="Arial"/>
          <w:sz w:val="20"/>
          <w:szCs w:val="20"/>
        </w:rPr>
        <w:t>1</w:t>
      </w:r>
      <w:r w:rsidR="00801387">
        <w:rPr>
          <w:rFonts w:ascii="Arial" w:eastAsia="Arial Unicode MS" w:hAnsi="Arial" w:cs="Arial"/>
          <w:sz w:val="20"/>
          <w:szCs w:val="20"/>
        </w:rPr>
        <w:t>4</w:t>
      </w:r>
      <w:r w:rsidR="00554013">
        <w:rPr>
          <w:rFonts w:ascii="Arial" w:eastAsia="Arial Unicode MS" w:hAnsi="Arial" w:cs="Arial"/>
          <w:sz w:val="20"/>
          <w:szCs w:val="20"/>
        </w:rPr>
        <w:t xml:space="preserve"> to</w:t>
      </w:r>
      <w:r w:rsidR="00094608">
        <w:rPr>
          <w:rFonts w:ascii="Arial" w:eastAsia="Arial Unicode MS" w:hAnsi="Arial" w:cs="Arial"/>
          <w:sz w:val="20"/>
          <w:szCs w:val="20"/>
        </w:rPr>
        <w:t xml:space="preserve"> </w:t>
      </w:r>
      <w:r w:rsidR="00C37F67" w:rsidRPr="00E14EB3">
        <w:rPr>
          <w:rFonts w:ascii="Arial" w:eastAsia="Arial Unicode MS" w:hAnsi="Arial" w:cs="Arial"/>
          <w:sz w:val="20"/>
          <w:szCs w:val="20"/>
        </w:rPr>
        <w:t>1</w:t>
      </w:r>
      <w:r w:rsidR="00801387">
        <w:rPr>
          <w:rFonts w:ascii="Arial" w:eastAsia="Arial Unicode MS" w:hAnsi="Arial" w:cs="Arial"/>
          <w:sz w:val="20"/>
          <w:szCs w:val="20"/>
        </w:rPr>
        <w:t>6</w:t>
      </w:r>
      <w:r w:rsidR="007C741F">
        <w:rPr>
          <w:rFonts w:ascii="Arial" w:eastAsia="Arial Unicode MS" w:hAnsi="Arial" w:cs="Arial"/>
          <w:sz w:val="20"/>
          <w:szCs w:val="20"/>
        </w:rPr>
        <w:t>,</w:t>
      </w:r>
      <w:r w:rsidR="00C37F67" w:rsidRPr="00E14EB3">
        <w:rPr>
          <w:rFonts w:ascii="Arial" w:eastAsia="Arial Unicode MS" w:hAnsi="Arial" w:cs="Arial"/>
          <w:sz w:val="20"/>
          <w:szCs w:val="20"/>
        </w:rPr>
        <w:t xml:space="preserve"> </w:t>
      </w:r>
      <w:r w:rsidR="00245FFE" w:rsidRPr="00E14EB3">
        <w:rPr>
          <w:rFonts w:ascii="Arial" w:eastAsia="Arial Unicode MS" w:hAnsi="Arial" w:cs="Arial"/>
          <w:sz w:val="20"/>
          <w:szCs w:val="20"/>
        </w:rPr>
        <w:t xml:space="preserve">and </w:t>
      </w:r>
      <w:r w:rsidR="00801387">
        <w:rPr>
          <w:rFonts w:ascii="Arial" w:eastAsia="Arial Unicode MS" w:hAnsi="Arial" w:cs="Arial"/>
          <w:sz w:val="20"/>
          <w:szCs w:val="20"/>
        </w:rPr>
        <w:t>20</w:t>
      </w:r>
      <w:r w:rsidR="00245FFE" w:rsidRPr="00E14EB3">
        <w:rPr>
          <w:rFonts w:ascii="Arial" w:eastAsia="Arial Unicode MS" w:hAnsi="Arial" w:cs="Arial"/>
          <w:sz w:val="20"/>
          <w:szCs w:val="20"/>
        </w:rPr>
        <w:t xml:space="preserve"> </w:t>
      </w:r>
      <w:r w:rsidRPr="00E14EB3">
        <w:rPr>
          <w:rFonts w:ascii="Arial" w:eastAsia="Arial Unicode MS" w:hAnsi="Arial" w:cs="Arial"/>
          <w:sz w:val="20"/>
          <w:szCs w:val="20"/>
        </w:rPr>
        <w:t>as Special Resolutions.</w:t>
      </w:r>
    </w:p>
    <w:p w14:paraId="0B513281" w14:textId="77777777" w:rsidR="00995330" w:rsidRPr="00E14EB3" w:rsidRDefault="00995330" w:rsidP="00995330">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450B41D9" w14:textId="77777777" w:rsidR="00341E4C" w:rsidRPr="0002785E" w:rsidRDefault="00341E4C" w:rsidP="0002785E">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5BEA0A81" w14:textId="77777777" w:rsidR="00341E4C" w:rsidRPr="00341E4C" w:rsidRDefault="00341E4C" w:rsidP="00341E4C">
      <w:pPr>
        <w:autoSpaceDE w:val="0"/>
        <w:autoSpaceDN w:val="0"/>
        <w:adjustRightInd w:val="0"/>
        <w:jc w:val="both"/>
        <w:rPr>
          <w:rFonts w:ascii="Arial" w:eastAsia="Arial" w:hAnsi="Arial" w:cs="Arial"/>
          <w:b/>
          <w:spacing w:val="4"/>
          <w:sz w:val="20"/>
          <w:szCs w:val="20"/>
          <w:lang w:val="en-GB"/>
        </w:rPr>
      </w:pPr>
      <w:r w:rsidRPr="00341E4C">
        <w:rPr>
          <w:rFonts w:ascii="Arial" w:eastAsia="Arial" w:hAnsi="Arial" w:cs="Arial"/>
          <w:b/>
          <w:spacing w:val="4"/>
          <w:sz w:val="20"/>
          <w:szCs w:val="20"/>
          <w:lang w:val="en-GB"/>
        </w:rPr>
        <w:t>ORDINARY RESOLUTION</w:t>
      </w:r>
    </w:p>
    <w:p w14:paraId="2B230946" w14:textId="46EE816D" w:rsidR="0002785E" w:rsidRPr="00801387" w:rsidRDefault="00801387" w:rsidP="00B848DF">
      <w:pPr>
        <w:numPr>
          <w:ilvl w:val="0"/>
          <w:numId w:val="2"/>
        </w:numPr>
        <w:spacing w:before="247" w:line="256" w:lineRule="exact"/>
        <w:jc w:val="both"/>
        <w:textAlignment w:val="baseline"/>
        <w:rPr>
          <w:rFonts w:ascii="Arial" w:hAnsi="Arial" w:cs="Arial"/>
          <w:color w:val="000000"/>
          <w:sz w:val="20"/>
          <w:szCs w:val="20"/>
          <w:lang w:val="en-GB"/>
        </w:rPr>
      </w:pPr>
      <w:r w:rsidRPr="00801387">
        <w:rPr>
          <w:rFonts w:ascii="Arial" w:hAnsi="Arial" w:cs="Arial"/>
          <w:color w:val="000000"/>
          <w:sz w:val="20"/>
          <w:szCs w:val="20"/>
          <w:lang w:val="en-GB"/>
        </w:rPr>
        <w:t>That the Directors be generally and unconditionally authorised pursuant to and in accordance with Section 551 of the Act to exercise all the powers of the Company to allot shares in the Company or grant rights to subscribe for or to convert any security into shares in the Company:</w:t>
      </w:r>
    </w:p>
    <w:p w14:paraId="7A278E1B" w14:textId="288A64B4" w:rsidR="0002785E" w:rsidRPr="0002785E" w:rsidRDefault="00801387" w:rsidP="00B848DF">
      <w:pPr>
        <w:numPr>
          <w:ilvl w:val="2"/>
          <w:numId w:val="7"/>
        </w:numPr>
        <w:spacing w:before="247" w:line="256" w:lineRule="exact"/>
        <w:jc w:val="both"/>
        <w:textAlignment w:val="baseline"/>
        <w:rPr>
          <w:rFonts w:ascii="Arial" w:hAnsi="Arial" w:cs="Arial"/>
          <w:color w:val="000000"/>
          <w:sz w:val="20"/>
          <w:szCs w:val="20"/>
          <w:lang w:val="en-GB"/>
        </w:rPr>
      </w:pPr>
      <w:r w:rsidRPr="00801387">
        <w:rPr>
          <w:rFonts w:ascii="Arial" w:hAnsi="Arial" w:cs="Arial"/>
          <w:color w:val="000000"/>
          <w:sz w:val="20"/>
          <w:szCs w:val="20"/>
          <w:lang w:val="en-GB"/>
        </w:rPr>
        <w:t>up to an aggregate nominal amount of £2,533,820; and</w:t>
      </w:r>
    </w:p>
    <w:p w14:paraId="2A9EB6AE" w14:textId="60BDDD26" w:rsidR="00801387" w:rsidRPr="00801387" w:rsidRDefault="00801387" w:rsidP="00B848DF">
      <w:pPr>
        <w:numPr>
          <w:ilvl w:val="2"/>
          <w:numId w:val="7"/>
        </w:numPr>
        <w:spacing w:before="247" w:line="256" w:lineRule="exact"/>
        <w:jc w:val="both"/>
        <w:textAlignment w:val="baseline"/>
        <w:rPr>
          <w:rFonts w:ascii="Arial" w:hAnsi="Arial" w:cs="Arial"/>
          <w:color w:val="000000"/>
          <w:sz w:val="20"/>
          <w:szCs w:val="20"/>
          <w:lang w:val="en-GB"/>
        </w:rPr>
      </w:pPr>
      <w:r w:rsidRPr="00801387">
        <w:rPr>
          <w:rFonts w:ascii="Arial" w:hAnsi="Arial" w:cs="Arial"/>
          <w:color w:val="000000"/>
          <w:sz w:val="20"/>
          <w:szCs w:val="20"/>
          <w:lang w:val="en-GB"/>
        </w:rPr>
        <w:t>comprising equity securities (as defined in Section 560(1) of the Act) up to a further nominal amount of</w:t>
      </w:r>
      <w:r>
        <w:rPr>
          <w:rFonts w:ascii="Arial" w:hAnsi="Arial" w:cs="Arial"/>
          <w:color w:val="000000"/>
          <w:sz w:val="20"/>
          <w:szCs w:val="20"/>
          <w:lang w:val="en-GB"/>
        </w:rPr>
        <w:t xml:space="preserve"> </w:t>
      </w:r>
      <w:r w:rsidR="005B2CD9">
        <w:rPr>
          <w:rFonts w:ascii="Arial" w:hAnsi="Arial" w:cs="Arial"/>
          <w:color w:val="000000"/>
          <w:sz w:val="20"/>
          <w:szCs w:val="20"/>
          <w:lang w:val="en-GB"/>
        </w:rPr>
        <w:t>£2,533,820 in connection with pre-emptive offer,</w:t>
      </w:r>
    </w:p>
    <w:p w14:paraId="25C2A240" w14:textId="32F99B64" w:rsidR="00611070" w:rsidRDefault="005B2CD9" w:rsidP="005B2CD9">
      <w:p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This authority shall at the end of the next AGM of the Company or, if earlier, 15 months from the date on which this</w:t>
      </w:r>
      <w:r>
        <w:rPr>
          <w:rFonts w:ascii="Arial" w:hAnsi="Arial" w:cs="Arial"/>
          <w:color w:val="000000"/>
          <w:sz w:val="20"/>
          <w:szCs w:val="20"/>
          <w:lang w:val="en-GB"/>
        </w:rPr>
        <w:t xml:space="preserve"> </w:t>
      </w:r>
      <w:r w:rsidRPr="005B2CD9">
        <w:rPr>
          <w:rFonts w:ascii="Arial" w:hAnsi="Arial" w:cs="Arial"/>
          <w:color w:val="000000"/>
          <w:sz w:val="20"/>
          <w:szCs w:val="20"/>
          <w:lang w:val="en-GB"/>
        </w:rPr>
        <w:t>Resolution was passed, but, in each case, so that the Company may, before such expiry, make offers and enter into</w:t>
      </w:r>
      <w:r>
        <w:rPr>
          <w:rFonts w:ascii="Arial" w:hAnsi="Arial" w:cs="Arial"/>
          <w:color w:val="000000"/>
          <w:sz w:val="20"/>
          <w:szCs w:val="20"/>
          <w:lang w:val="en-GB"/>
        </w:rPr>
        <w:t xml:space="preserve"> </w:t>
      </w:r>
      <w:r w:rsidRPr="005B2CD9">
        <w:rPr>
          <w:rFonts w:ascii="Arial" w:hAnsi="Arial" w:cs="Arial"/>
          <w:color w:val="000000"/>
          <w:sz w:val="20"/>
          <w:szCs w:val="20"/>
          <w:lang w:val="en-GB"/>
        </w:rPr>
        <w:t>agreements which would, or might, require shares to be allotted or rights to subscribe for or to convert any security</w:t>
      </w:r>
      <w:r>
        <w:rPr>
          <w:rFonts w:ascii="Arial" w:hAnsi="Arial" w:cs="Arial"/>
          <w:color w:val="000000"/>
          <w:sz w:val="20"/>
          <w:szCs w:val="20"/>
          <w:lang w:val="en-GB"/>
        </w:rPr>
        <w:t xml:space="preserve"> </w:t>
      </w:r>
      <w:r w:rsidRPr="005B2CD9">
        <w:rPr>
          <w:rFonts w:ascii="Arial" w:hAnsi="Arial" w:cs="Arial"/>
          <w:color w:val="000000"/>
          <w:sz w:val="20"/>
          <w:szCs w:val="20"/>
          <w:lang w:val="en-GB"/>
        </w:rPr>
        <w:t>into shares to be granted after the authority given by this resolution has expired.</w:t>
      </w:r>
    </w:p>
    <w:p w14:paraId="096A6991" w14:textId="77777777" w:rsidR="00FF5912" w:rsidRPr="007C741F" w:rsidRDefault="00FF5912" w:rsidP="005B2CD9">
      <w:pPr>
        <w:spacing w:before="247" w:line="256" w:lineRule="exact"/>
        <w:jc w:val="both"/>
        <w:textAlignment w:val="baseline"/>
        <w:rPr>
          <w:rFonts w:ascii="Arial" w:hAnsi="Arial"/>
          <w:b/>
          <w:color w:val="000000"/>
          <w:sz w:val="20"/>
          <w:lang w:val="en-GB"/>
        </w:rPr>
      </w:pPr>
    </w:p>
    <w:p w14:paraId="36D72FF7" w14:textId="77777777" w:rsidR="0002785E" w:rsidRDefault="0002785E" w:rsidP="0002785E">
      <w:pPr>
        <w:spacing w:before="247" w:line="256" w:lineRule="exact"/>
        <w:jc w:val="both"/>
        <w:textAlignment w:val="baseline"/>
        <w:rPr>
          <w:rFonts w:ascii="Arial" w:hAnsi="Arial" w:cs="Arial"/>
          <w:b/>
          <w:color w:val="000000"/>
          <w:sz w:val="20"/>
          <w:szCs w:val="20"/>
          <w:lang w:val="en-GB"/>
        </w:rPr>
      </w:pPr>
      <w:r>
        <w:rPr>
          <w:rFonts w:ascii="Arial" w:hAnsi="Arial" w:cs="Arial"/>
          <w:b/>
          <w:color w:val="000000"/>
          <w:sz w:val="20"/>
          <w:szCs w:val="20"/>
          <w:lang w:val="en-GB"/>
        </w:rPr>
        <w:t>SPECIAL RESOLUTION</w:t>
      </w:r>
    </w:p>
    <w:p w14:paraId="7857F1D7" w14:textId="36C85182" w:rsidR="0002785E" w:rsidRPr="005B2CD9" w:rsidRDefault="005B2CD9" w:rsidP="00B848DF">
      <w:pPr>
        <w:numPr>
          <w:ilvl w:val="0"/>
          <w:numId w:val="2"/>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That, subject to the passing of Resolution 13 above, the Directors be authorised to and are generally empowered pursuant to section 570 and 573 of the Act to allot equity securities (as defined in Section 560(1) of the Act) wholly for cash as if Section 561(1) of the Act did not apply to any such allotment, pursuant to the authority given by Resolution 13 above and/or where the allotment constitutes an allotment of equity securities by virtue of Section 560(3) of the Act, such authority to be limited to:</w:t>
      </w:r>
    </w:p>
    <w:p w14:paraId="60E5C083" w14:textId="5BFA513A" w:rsidR="0002785E" w:rsidRDefault="00C75CCF" w:rsidP="00B848DF">
      <w:pPr>
        <w:numPr>
          <w:ilvl w:val="2"/>
          <w:numId w:val="6"/>
        </w:numPr>
        <w:spacing w:before="247" w:line="256" w:lineRule="exact"/>
        <w:jc w:val="both"/>
        <w:textAlignment w:val="baseline"/>
        <w:rPr>
          <w:rFonts w:ascii="Arial" w:hAnsi="Arial" w:cs="Arial"/>
          <w:color w:val="000000"/>
          <w:sz w:val="20"/>
          <w:szCs w:val="20"/>
          <w:lang w:val="en-GB"/>
        </w:rPr>
      </w:pPr>
      <w:r w:rsidRPr="00C75CCF">
        <w:rPr>
          <w:rFonts w:ascii="Arial" w:hAnsi="Arial" w:cs="Arial"/>
          <w:color w:val="000000"/>
          <w:sz w:val="20"/>
          <w:szCs w:val="20"/>
          <w:lang w:val="en-GB"/>
        </w:rPr>
        <w:t xml:space="preserve">allotments </w:t>
      </w:r>
      <w:r w:rsidR="005B2CD9">
        <w:rPr>
          <w:rFonts w:ascii="Arial" w:hAnsi="Arial" w:cs="Arial"/>
          <w:color w:val="000000"/>
          <w:sz w:val="20"/>
          <w:szCs w:val="20"/>
          <w:lang w:val="en-GB"/>
        </w:rPr>
        <w:t xml:space="preserve">in connection with pre-emptive offer; and </w:t>
      </w:r>
    </w:p>
    <w:p w14:paraId="691741B8" w14:textId="56323DBB" w:rsidR="00C75CCF" w:rsidRDefault="005B2CD9" w:rsidP="00B848DF">
      <w:pPr>
        <w:numPr>
          <w:ilvl w:val="2"/>
          <w:numId w:val="6"/>
        </w:numPr>
        <w:spacing w:before="247" w:line="256" w:lineRule="exact"/>
        <w:jc w:val="both"/>
        <w:textAlignment w:val="baseline"/>
        <w:rPr>
          <w:rFonts w:ascii="Arial" w:hAnsi="Arial" w:cs="Arial"/>
          <w:color w:val="000000"/>
          <w:sz w:val="20"/>
          <w:szCs w:val="20"/>
          <w:lang w:val="en-GB"/>
        </w:rPr>
      </w:pPr>
      <w:r>
        <w:rPr>
          <w:rFonts w:ascii="Arial" w:hAnsi="Arial" w:cs="Arial"/>
          <w:color w:val="000000"/>
          <w:sz w:val="20"/>
          <w:szCs w:val="20"/>
          <w:lang w:val="en-GB"/>
        </w:rPr>
        <w:t xml:space="preserve">otherwise than in </w:t>
      </w:r>
      <w:proofErr w:type="spellStart"/>
      <w:r>
        <w:rPr>
          <w:rFonts w:ascii="Arial" w:hAnsi="Arial" w:cs="Arial"/>
          <w:color w:val="000000"/>
          <w:sz w:val="20"/>
          <w:szCs w:val="20"/>
          <w:lang w:val="en-GB"/>
        </w:rPr>
        <w:t>convection</w:t>
      </w:r>
      <w:proofErr w:type="spellEnd"/>
      <w:r>
        <w:rPr>
          <w:rFonts w:ascii="Arial" w:hAnsi="Arial" w:cs="Arial"/>
          <w:color w:val="000000"/>
          <w:sz w:val="20"/>
          <w:szCs w:val="20"/>
          <w:lang w:val="en-GB"/>
        </w:rPr>
        <w:t xml:space="preserve"> with a pre-emptive offer, allotments up to an aggregate nominal amount of £760,146; and </w:t>
      </w:r>
    </w:p>
    <w:p w14:paraId="3D00BA56" w14:textId="41BCEC23" w:rsidR="005B2CD9" w:rsidRPr="005B2CD9" w:rsidRDefault="005B2CD9" w:rsidP="00B848DF">
      <w:pPr>
        <w:numPr>
          <w:ilvl w:val="2"/>
          <w:numId w:val="6"/>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 xml:space="preserve">otherwise than under paragraphs (a) and (b) above, allotments up to an aggregate nominal amount equal to 20 per cent. of any allotment made from time to time under paragraph (b) above, such authority to be used only for the purposes of making a follow-on offer which the Directors determine to be of a </w:t>
      </w:r>
      <w:r w:rsidRPr="005B2CD9">
        <w:rPr>
          <w:rFonts w:ascii="Arial" w:hAnsi="Arial" w:cs="Arial"/>
          <w:color w:val="000000"/>
          <w:sz w:val="20"/>
          <w:szCs w:val="20"/>
          <w:lang w:val="en-GB"/>
        </w:rPr>
        <w:lastRenderedPageBreak/>
        <w:t>kind contemplated by paragraph 3 of Section 2B of the Statement of Principles on Disapplying Pre-Emption Rights most recently published by the</w:t>
      </w:r>
      <w:r>
        <w:rPr>
          <w:rFonts w:ascii="Arial" w:hAnsi="Arial" w:cs="Arial"/>
          <w:color w:val="000000"/>
          <w:sz w:val="20"/>
          <w:szCs w:val="20"/>
          <w:lang w:val="en-GB"/>
        </w:rPr>
        <w:t xml:space="preserve"> Pre-Emption Group prior to the date of this Notice of AGM</w:t>
      </w:r>
    </w:p>
    <w:p w14:paraId="3C4131C5" w14:textId="5924556C" w:rsidR="005B2CD9" w:rsidRDefault="005B2CD9" w:rsidP="005B2CD9">
      <w:p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This authority shall at the end of the next AGM of the Company or, if earlier, 15 months from the date on which this</w:t>
      </w:r>
      <w:r>
        <w:rPr>
          <w:rFonts w:ascii="Arial" w:hAnsi="Arial" w:cs="Arial"/>
          <w:color w:val="000000"/>
          <w:sz w:val="20"/>
          <w:szCs w:val="20"/>
          <w:lang w:val="en-GB"/>
        </w:rPr>
        <w:t xml:space="preserve"> </w:t>
      </w:r>
      <w:r w:rsidRPr="005B2CD9">
        <w:rPr>
          <w:rFonts w:ascii="Arial" w:hAnsi="Arial" w:cs="Arial"/>
          <w:color w:val="000000"/>
          <w:sz w:val="20"/>
          <w:szCs w:val="20"/>
          <w:lang w:val="en-GB"/>
        </w:rPr>
        <w:t>Resolution was passed, but in each case so that the Company may, before such expiry, make offers and enter into</w:t>
      </w:r>
      <w:r>
        <w:rPr>
          <w:rFonts w:ascii="Arial" w:hAnsi="Arial" w:cs="Arial"/>
          <w:color w:val="000000"/>
          <w:sz w:val="20"/>
          <w:szCs w:val="20"/>
          <w:lang w:val="en-GB"/>
        </w:rPr>
        <w:t xml:space="preserve"> </w:t>
      </w:r>
      <w:r w:rsidRPr="005B2CD9">
        <w:rPr>
          <w:rFonts w:ascii="Arial" w:hAnsi="Arial" w:cs="Arial"/>
          <w:color w:val="000000"/>
          <w:sz w:val="20"/>
          <w:szCs w:val="20"/>
          <w:lang w:val="en-GB"/>
        </w:rPr>
        <w:t>agreements which would, or might, require equity securities to be allotted and treasury shares to be sold after the</w:t>
      </w:r>
      <w:r>
        <w:rPr>
          <w:rFonts w:ascii="Arial" w:hAnsi="Arial" w:cs="Arial"/>
          <w:color w:val="000000"/>
          <w:sz w:val="20"/>
          <w:szCs w:val="20"/>
          <w:lang w:val="en-GB"/>
        </w:rPr>
        <w:t xml:space="preserve"> </w:t>
      </w:r>
      <w:r w:rsidRPr="005B2CD9">
        <w:rPr>
          <w:rFonts w:ascii="Arial" w:hAnsi="Arial" w:cs="Arial"/>
          <w:color w:val="000000"/>
          <w:sz w:val="20"/>
          <w:szCs w:val="20"/>
          <w:lang w:val="en-GB"/>
        </w:rPr>
        <w:t>authority given by this resolution has expired, and the Directors may allot equity securities and sell treasury shares</w:t>
      </w:r>
      <w:r>
        <w:rPr>
          <w:rFonts w:ascii="Arial" w:hAnsi="Arial" w:cs="Arial"/>
          <w:color w:val="000000"/>
          <w:sz w:val="20"/>
          <w:szCs w:val="20"/>
          <w:lang w:val="en-GB"/>
        </w:rPr>
        <w:t xml:space="preserve"> </w:t>
      </w:r>
      <w:r w:rsidRPr="005B2CD9">
        <w:rPr>
          <w:rFonts w:ascii="Arial" w:hAnsi="Arial" w:cs="Arial"/>
          <w:color w:val="000000"/>
          <w:sz w:val="20"/>
          <w:szCs w:val="20"/>
          <w:lang w:val="en-GB"/>
        </w:rPr>
        <w:t>under any such offer or agreement as if the authority had not expired.</w:t>
      </w:r>
    </w:p>
    <w:p w14:paraId="01452DBA" w14:textId="77777777" w:rsidR="001B0DEC" w:rsidRDefault="001B0DEC" w:rsidP="005B2CD9">
      <w:pPr>
        <w:spacing w:before="247" w:line="256" w:lineRule="exact"/>
        <w:jc w:val="both"/>
        <w:textAlignment w:val="baseline"/>
        <w:rPr>
          <w:rFonts w:ascii="Arial" w:hAnsi="Arial" w:cs="Arial"/>
          <w:color w:val="000000"/>
          <w:sz w:val="20"/>
          <w:szCs w:val="20"/>
          <w:lang w:val="en-GB"/>
        </w:rPr>
      </w:pPr>
    </w:p>
    <w:p w14:paraId="39641F7E" w14:textId="77777777" w:rsidR="0033204A" w:rsidRPr="00655E61" w:rsidRDefault="0033204A" w:rsidP="0033204A">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24B6E80F" w14:textId="077D365F" w:rsidR="001B0DEC" w:rsidRDefault="008778F5" w:rsidP="00B848DF">
      <w:pPr>
        <w:pStyle w:val="ListParagraph"/>
        <w:numPr>
          <w:ilvl w:val="0"/>
          <w:numId w:val="8"/>
        </w:numPr>
        <w:spacing w:before="247" w:line="256" w:lineRule="exact"/>
        <w:jc w:val="both"/>
        <w:textAlignment w:val="baseline"/>
        <w:rPr>
          <w:rFonts w:ascii="Arial" w:hAnsi="Arial" w:cs="Arial"/>
          <w:color w:val="000000"/>
          <w:sz w:val="20"/>
          <w:szCs w:val="20"/>
          <w:lang w:val="en-GB"/>
        </w:rPr>
      </w:pPr>
      <w:r w:rsidRPr="008778F5">
        <w:rPr>
          <w:rFonts w:ascii="Arial" w:hAnsi="Arial" w:cs="Arial"/>
          <w:color w:val="000000"/>
          <w:sz w:val="20"/>
          <w:szCs w:val="20"/>
          <w:lang w:val="en-GB"/>
        </w:rPr>
        <w:t>That, subject to the passing of Resolution 13 above and in addition to any authority granted under Resolution 14 above, the Directors be and are generally empowered pursuant to sections 570 and 573 of the Act authorised to allot equity securities (as defined in Section 560(1) of the Act) wholly for cash pursuant to the authority granted by Resolution 13 above and/or where the allotment constitutes an allotment of equity securities by virtue of Section 560(3) of the Act as if Section 561(1) of the Act did not apply to any such allotment, such authority to be limited to:</w:t>
      </w:r>
    </w:p>
    <w:p w14:paraId="36EEC2C6" w14:textId="77777777" w:rsidR="00C82FBF" w:rsidRPr="008778F5" w:rsidRDefault="00C82FBF" w:rsidP="00C82FBF">
      <w:pPr>
        <w:pStyle w:val="ListParagraph"/>
        <w:spacing w:before="247" w:line="256" w:lineRule="exact"/>
        <w:jc w:val="both"/>
        <w:textAlignment w:val="baseline"/>
        <w:rPr>
          <w:rFonts w:ascii="Arial" w:hAnsi="Arial" w:cs="Arial"/>
          <w:color w:val="000000"/>
          <w:sz w:val="20"/>
          <w:szCs w:val="20"/>
          <w:lang w:val="en-GB"/>
        </w:rPr>
      </w:pPr>
    </w:p>
    <w:p w14:paraId="1E79903C" w14:textId="5FE45FD8" w:rsidR="001B0DEC" w:rsidRDefault="00C82FBF" w:rsidP="00B848DF">
      <w:pPr>
        <w:pStyle w:val="ListParagraph"/>
        <w:numPr>
          <w:ilvl w:val="0"/>
          <w:numId w:val="9"/>
        </w:numPr>
        <w:spacing w:before="247" w:line="256" w:lineRule="exact"/>
        <w:jc w:val="both"/>
        <w:textAlignment w:val="baseline"/>
        <w:rPr>
          <w:rFonts w:ascii="Arial" w:hAnsi="Arial" w:cs="Arial"/>
          <w:color w:val="000000"/>
          <w:sz w:val="20"/>
          <w:szCs w:val="20"/>
          <w:lang w:val="en-GB"/>
        </w:rPr>
      </w:pPr>
      <w:r w:rsidRPr="00C82FBF">
        <w:rPr>
          <w:rFonts w:ascii="Arial" w:hAnsi="Arial" w:cs="Arial"/>
          <w:color w:val="000000"/>
          <w:sz w:val="20"/>
          <w:szCs w:val="20"/>
          <w:lang w:val="en-GB"/>
        </w:rPr>
        <w:t>allotments up to an aggregate nominal amount of £760,146, such authority to be used only for the purposes of financing (or refinancing, if the authority is to be used within twelve months of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of AGM; and</w:t>
      </w:r>
    </w:p>
    <w:p w14:paraId="7FFB2E9F" w14:textId="77777777" w:rsidR="00C82FBF" w:rsidRDefault="00C82FBF" w:rsidP="00C82FBF">
      <w:pPr>
        <w:pStyle w:val="ListParagraph"/>
        <w:spacing w:before="247" w:line="256" w:lineRule="exact"/>
        <w:jc w:val="both"/>
        <w:textAlignment w:val="baseline"/>
        <w:rPr>
          <w:rFonts w:ascii="Arial" w:hAnsi="Arial" w:cs="Arial"/>
          <w:color w:val="000000"/>
          <w:sz w:val="20"/>
          <w:szCs w:val="20"/>
          <w:lang w:val="en-GB"/>
        </w:rPr>
      </w:pPr>
    </w:p>
    <w:p w14:paraId="2B58DEA8" w14:textId="41845902" w:rsidR="00C82FBF" w:rsidRPr="00C82FBF" w:rsidRDefault="00C82FBF" w:rsidP="00B848DF">
      <w:pPr>
        <w:pStyle w:val="ListParagraph"/>
        <w:numPr>
          <w:ilvl w:val="0"/>
          <w:numId w:val="9"/>
        </w:numPr>
        <w:spacing w:before="247" w:line="256" w:lineRule="exact"/>
        <w:jc w:val="both"/>
        <w:textAlignment w:val="baseline"/>
        <w:rPr>
          <w:rFonts w:ascii="Arial" w:hAnsi="Arial" w:cs="Arial"/>
          <w:color w:val="000000"/>
          <w:sz w:val="20"/>
          <w:szCs w:val="20"/>
          <w:lang w:val="en-GB"/>
        </w:rPr>
      </w:pPr>
      <w:r w:rsidRPr="00C82FBF">
        <w:rPr>
          <w:rFonts w:ascii="Arial" w:hAnsi="Arial" w:cs="Arial"/>
          <w:color w:val="000000"/>
          <w:sz w:val="20"/>
          <w:szCs w:val="20"/>
          <w:lang w:val="en-GB"/>
        </w:rPr>
        <w:t>otherwise than under paragraph (a) above, allotments up to an aggregate nominal amount equal to 20 per cent. of any allotment made from time to time under paragraph (a)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of AGM,</w:t>
      </w:r>
    </w:p>
    <w:p w14:paraId="49848F22" w14:textId="46FACB1C" w:rsidR="001B0DEC" w:rsidRDefault="00B04A4C" w:rsidP="00B04A4C">
      <w:pPr>
        <w:spacing w:before="247" w:line="256" w:lineRule="exact"/>
        <w:jc w:val="both"/>
        <w:textAlignment w:val="baseline"/>
        <w:rPr>
          <w:rFonts w:ascii="Arial" w:hAnsi="Arial" w:cs="Arial"/>
          <w:color w:val="000000"/>
          <w:sz w:val="20"/>
          <w:szCs w:val="20"/>
          <w:lang w:val="en-GB"/>
        </w:rPr>
      </w:pPr>
      <w:r w:rsidRPr="00B04A4C">
        <w:rPr>
          <w:rFonts w:ascii="Arial" w:hAnsi="Arial" w:cs="Arial"/>
          <w:color w:val="000000"/>
          <w:sz w:val="20"/>
          <w:szCs w:val="20"/>
          <w:lang w:val="en-GB"/>
        </w:rPr>
        <w:t>This authority shall at the end of the next AGM of the Company or, if earlier, 15 months from the date on which this</w:t>
      </w:r>
      <w:r>
        <w:rPr>
          <w:rFonts w:ascii="Arial" w:hAnsi="Arial" w:cs="Arial"/>
          <w:color w:val="000000"/>
          <w:sz w:val="20"/>
          <w:szCs w:val="20"/>
          <w:lang w:val="en-GB"/>
        </w:rPr>
        <w:t xml:space="preserve"> </w:t>
      </w:r>
      <w:r w:rsidRPr="00B04A4C">
        <w:rPr>
          <w:rFonts w:ascii="Arial" w:hAnsi="Arial" w:cs="Arial"/>
          <w:color w:val="000000"/>
          <w:sz w:val="20"/>
          <w:szCs w:val="20"/>
          <w:lang w:val="en-GB"/>
        </w:rPr>
        <w:t>Resolution was passed, but in each case so that the Company may, before such expiry, make offers and enter into</w:t>
      </w:r>
      <w:r>
        <w:rPr>
          <w:rFonts w:ascii="Arial" w:hAnsi="Arial" w:cs="Arial"/>
          <w:color w:val="000000"/>
          <w:sz w:val="20"/>
          <w:szCs w:val="20"/>
          <w:lang w:val="en-GB"/>
        </w:rPr>
        <w:t xml:space="preserve"> </w:t>
      </w:r>
      <w:r w:rsidRPr="00B04A4C">
        <w:rPr>
          <w:rFonts w:ascii="Arial" w:hAnsi="Arial" w:cs="Arial"/>
          <w:color w:val="000000"/>
          <w:sz w:val="20"/>
          <w:szCs w:val="20"/>
          <w:lang w:val="en-GB"/>
        </w:rPr>
        <w:t>agreements which would, or might, require equity securities to be allotted and treasury shares to be sold after the</w:t>
      </w:r>
      <w:r>
        <w:rPr>
          <w:rFonts w:ascii="Arial" w:hAnsi="Arial" w:cs="Arial"/>
          <w:color w:val="000000"/>
          <w:sz w:val="20"/>
          <w:szCs w:val="20"/>
          <w:lang w:val="en-GB"/>
        </w:rPr>
        <w:t xml:space="preserve"> </w:t>
      </w:r>
      <w:r w:rsidRPr="00B04A4C">
        <w:rPr>
          <w:rFonts w:ascii="Arial" w:hAnsi="Arial" w:cs="Arial"/>
          <w:color w:val="000000"/>
          <w:sz w:val="20"/>
          <w:szCs w:val="20"/>
          <w:lang w:val="en-GB"/>
        </w:rPr>
        <w:t>authority given by this resolution has expired, and the Directors may allot equity securities and sell treasury shares</w:t>
      </w:r>
      <w:r>
        <w:rPr>
          <w:rFonts w:ascii="Arial" w:hAnsi="Arial" w:cs="Arial"/>
          <w:color w:val="000000"/>
          <w:sz w:val="20"/>
          <w:szCs w:val="20"/>
          <w:lang w:val="en-GB"/>
        </w:rPr>
        <w:t xml:space="preserve"> </w:t>
      </w:r>
      <w:r w:rsidRPr="00B04A4C">
        <w:rPr>
          <w:rFonts w:ascii="Arial" w:hAnsi="Arial" w:cs="Arial"/>
          <w:color w:val="000000"/>
          <w:sz w:val="20"/>
          <w:szCs w:val="20"/>
          <w:lang w:val="en-GB"/>
        </w:rPr>
        <w:t>under any such offer or agreement as if the authority had not expired.</w:t>
      </w:r>
    </w:p>
    <w:p w14:paraId="6341F978" w14:textId="7B4A7642" w:rsidR="00B04A4C" w:rsidRPr="0002785E" w:rsidRDefault="00B04A4C" w:rsidP="00B04A4C">
      <w:pPr>
        <w:spacing w:before="247" w:line="256" w:lineRule="exact"/>
        <w:jc w:val="both"/>
        <w:textAlignment w:val="baseline"/>
        <w:rPr>
          <w:rFonts w:ascii="Arial" w:hAnsi="Arial" w:cs="Arial"/>
          <w:color w:val="000000"/>
          <w:sz w:val="20"/>
          <w:szCs w:val="20"/>
          <w:lang w:val="en-GB"/>
        </w:rPr>
      </w:pPr>
      <w:r w:rsidRPr="00B04A4C">
        <w:rPr>
          <w:rFonts w:ascii="Arial" w:hAnsi="Arial" w:cs="Arial"/>
          <w:color w:val="000000"/>
          <w:sz w:val="20"/>
          <w:szCs w:val="20"/>
          <w:lang w:val="en-GB"/>
        </w:rPr>
        <w:t>For the purposes of this resolution, references to an allotment of equity securities shall include a sale of treasury</w:t>
      </w:r>
      <w:r>
        <w:rPr>
          <w:rFonts w:ascii="Arial" w:hAnsi="Arial" w:cs="Arial"/>
          <w:color w:val="000000"/>
          <w:sz w:val="20"/>
          <w:szCs w:val="20"/>
          <w:lang w:val="en-GB"/>
        </w:rPr>
        <w:t xml:space="preserve"> </w:t>
      </w:r>
      <w:r w:rsidRPr="00B04A4C">
        <w:rPr>
          <w:rFonts w:ascii="Arial" w:hAnsi="Arial" w:cs="Arial"/>
          <w:color w:val="000000"/>
          <w:sz w:val="20"/>
          <w:szCs w:val="20"/>
          <w:lang w:val="en-GB"/>
        </w:rPr>
        <w:t>shares.</w:t>
      </w:r>
    </w:p>
    <w:p w14:paraId="2C18C153" w14:textId="2826DDDA" w:rsidR="00C75CCF" w:rsidRPr="0002785E" w:rsidRDefault="00C75CCF" w:rsidP="00655E61">
      <w:pPr>
        <w:spacing w:before="247" w:line="256" w:lineRule="exact"/>
        <w:ind w:left="720"/>
        <w:jc w:val="both"/>
        <w:textAlignment w:val="baseline"/>
        <w:rPr>
          <w:rFonts w:ascii="Arial" w:hAnsi="Arial" w:cs="Arial"/>
          <w:color w:val="000000"/>
          <w:sz w:val="20"/>
          <w:szCs w:val="20"/>
          <w:lang w:val="en-GB"/>
        </w:rPr>
      </w:pPr>
    </w:p>
    <w:p w14:paraId="1197E884" w14:textId="77777777"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BBFC861" w14:textId="5858C8D0" w:rsidR="0002785E" w:rsidRPr="005B2CD9" w:rsidRDefault="005B2CD9" w:rsidP="00B848DF">
      <w:pPr>
        <w:numPr>
          <w:ilvl w:val="0"/>
          <w:numId w:val="3"/>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That, subject to the passing of Resolution 17, the Company be and is hereby unconditionally and generally authorised for the purposes of Section 701 of the Act to make market purchases (as defined in section 693(4) of the Act) of ordinary shares of £0.01 each in the capital of the Company provided that:</w:t>
      </w:r>
    </w:p>
    <w:p w14:paraId="5776DC19" w14:textId="19FA6BEC" w:rsidR="0002785E" w:rsidRPr="0002785E" w:rsidRDefault="005B2CD9" w:rsidP="00B848DF">
      <w:pPr>
        <w:numPr>
          <w:ilvl w:val="0"/>
          <w:numId w:val="5"/>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the maximum number of ordinary shares which may be purchased is 76,014,627;</w:t>
      </w:r>
    </w:p>
    <w:p w14:paraId="05E68107" w14:textId="099E3F1C" w:rsidR="0002785E" w:rsidRPr="0002785E" w:rsidRDefault="005B2CD9" w:rsidP="00B848DF">
      <w:pPr>
        <w:numPr>
          <w:ilvl w:val="0"/>
          <w:numId w:val="5"/>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lastRenderedPageBreak/>
        <w:t>the minimum price which may be paid for each ordinary share is £0.01; and</w:t>
      </w:r>
    </w:p>
    <w:p w14:paraId="76F0AA21" w14:textId="01B29A5F" w:rsidR="0002785E" w:rsidRPr="005B2CD9" w:rsidRDefault="005B2CD9" w:rsidP="00B848DF">
      <w:pPr>
        <w:numPr>
          <w:ilvl w:val="0"/>
          <w:numId w:val="5"/>
        </w:num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the maximum price, exclusive of expenses, which may be paid for any such ordinary share is an amount equal to the higher of: (</w:t>
      </w:r>
      <w:proofErr w:type="spellStart"/>
      <w:r w:rsidRPr="005B2CD9">
        <w:rPr>
          <w:rFonts w:ascii="Arial" w:hAnsi="Arial" w:cs="Arial"/>
          <w:color w:val="000000"/>
          <w:sz w:val="20"/>
          <w:szCs w:val="20"/>
          <w:lang w:val="en-GB"/>
        </w:rPr>
        <w:t>i</w:t>
      </w:r>
      <w:proofErr w:type="spellEnd"/>
      <w:r w:rsidRPr="005B2CD9">
        <w:rPr>
          <w:rFonts w:ascii="Arial" w:hAnsi="Arial" w:cs="Arial"/>
          <w:color w:val="000000"/>
          <w:sz w:val="20"/>
          <w:szCs w:val="20"/>
          <w:lang w:val="en-GB"/>
        </w:rPr>
        <w:t>) 105 per cent. of the average of the closing price for an ordinary share of the Company as derived from the London Stock Exchange Daily Official List for the five business days immediately preceding the day on which such share is contracted to be purchased; and (ii) the higher of the price of the last independent trade and the highest current independent bid for an ordinary share of the Company as stipulated by Regulatory Technical Standards as referred to in Article 5(6) of the Market Abuse Regulation (as it forms part of UK law),</w:t>
      </w:r>
    </w:p>
    <w:p w14:paraId="0AE55A05" w14:textId="716215D5" w:rsidR="005B2CD9" w:rsidRDefault="005B2CD9" w:rsidP="005B2CD9">
      <w:pPr>
        <w:spacing w:before="247" w:line="256" w:lineRule="exact"/>
        <w:jc w:val="both"/>
        <w:textAlignment w:val="baseline"/>
        <w:rPr>
          <w:rFonts w:ascii="Arial" w:hAnsi="Arial" w:cs="Arial"/>
          <w:color w:val="000000"/>
          <w:sz w:val="20"/>
          <w:szCs w:val="20"/>
          <w:lang w:val="en-GB"/>
        </w:rPr>
      </w:pPr>
      <w:r w:rsidRPr="005B2CD9">
        <w:rPr>
          <w:rFonts w:ascii="Arial" w:hAnsi="Arial" w:cs="Arial"/>
          <w:color w:val="000000"/>
          <w:sz w:val="20"/>
          <w:szCs w:val="20"/>
          <w:lang w:val="en-GB"/>
        </w:rPr>
        <w:t>such authority to expire at the end of the next annual general meeting of the Company, or on 30 June 2026, whichever</w:t>
      </w:r>
      <w:r>
        <w:rPr>
          <w:rFonts w:ascii="Arial" w:hAnsi="Arial" w:cs="Arial"/>
          <w:color w:val="000000"/>
          <w:sz w:val="20"/>
          <w:szCs w:val="20"/>
          <w:lang w:val="en-GB"/>
        </w:rPr>
        <w:t xml:space="preserve"> </w:t>
      </w:r>
      <w:r w:rsidRPr="005B2CD9">
        <w:rPr>
          <w:rFonts w:ascii="Arial" w:hAnsi="Arial" w:cs="Arial"/>
          <w:color w:val="000000"/>
          <w:sz w:val="20"/>
          <w:szCs w:val="20"/>
          <w:lang w:val="en-GB"/>
        </w:rPr>
        <w:t>is earlier, but so that the Company may, before such expiry, contract to purchase ordinary shares under this authority</w:t>
      </w:r>
      <w:r w:rsidR="005C1653">
        <w:rPr>
          <w:rFonts w:ascii="Arial" w:hAnsi="Arial" w:cs="Arial"/>
          <w:color w:val="000000"/>
          <w:sz w:val="20"/>
          <w:szCs w:val="20"/>
          <w:lang w:val="en-GB"/>
        </w:rPr>
        <w:t xml:space="preserve"> </w:t>
      </w:r>
      <w:r w:rsidRPr="005B2CD9">
        <w:rPr>
          <w:rFonts w:ascii="Arial" w:hAnsi="Arial" w:cs="Arial"/>
          <w:color w:val="000000"/>
          <w:sz w:val="20"/>
          <w:szCs w:val="20"/>
          <w:lang w:val="en-GB"/>
        </w:rPr>
        <w:t>and make a purchase of ordinary shares in pursuance of any such contract as if the authority had not expired.</w:t>
      </w:r>
    </w:p>
    <w:p w14:paraId="02DC8F69" w14:textId="1882C70A" w:rsidR="00104B42" w:rsidRDefault="00BB3289" w:rsidP="005B2CD9">
      <w:pPr>
        <w:spacing w:before="247" w:line="256" w:lineRule="exact"/>
        <w:jc w:val="both"/>
        <w:textAlignment w:val="baseline"/>
        <w:rPr>
          <w:rFonts w:ascii="Arial" w:eastAsia="Arial" w:hAnsi="Arial" w:cs="Arial"/>
          <w:b/>
          <w:spacing w:val="4"/>
          <w:sz w:val="20"/>
          <w:szCs w:val="20"/>
          <w:lang w:val="en-GB"/>
        </w:rPr>
      </w:pPr>
      <w:r w:rsidRPr="00341E4C">
        <w:rPr>
          <w:rFonts w:ascii="Arial" w:eastAsia="Arial" w:hAnsi="Arial" w:cs="Arial"/>
          <w:b/>
          <w:spacing w:val="4"/>
          <w:sz w:val="20"/>
          <w:szCs w:val="20"/>
          <w:lang w:val="en-GB"/>
        </w:rPr>
        <w:t>ORDINARY RESOLUTION</w:t>
      </w:r>
    </w:p>
    <w:p w14:paraId="23EF817C" w14:textId="22986A1A" w:rsidR="00BB3289" w:rsidRPr="004873E3" w:rsidRDefault="00D009E3" w:rsidP="00B848DF">
      <w:pPr>
        <w:pStyle w:val="ListParagraph"/>
        <w:numPr>
          <w:ilvl w:val="0"/>
          <w:numId w:val="10"/>
        </w:numPr>
        <w:spacing w:before="247" w:line="256" w:lineRule="exact"/>
        <w:jc w:val="both"/>
        <w:textAlignment w:val="baseline"/>
        <w:rPr>
          <w:rFonts w:ascii="Arial" w:hAnsi="Arial" w:cs="Arial"/>
          <w:color w:val="000000"/>
          <w:sz w:val="20"/>
          <w:szCs w:val="20"/>
          <w:lang w:val="en-GB"/>
        </w:rPr>
      </w:pPr>
      <w:r w:rsidRPr="004873E3">
        <w:rPr>
          <w:rFonts w:ascii="Arial" w:hAnsi="Arial" w:cs="Arial"/>
          <w:color w:val="000000"/>
          <w:sz w:val="20"/>
          <w:szCs w:val="20"/>
          <w:lang w:val="en-GB"/>
        </w:rPr>
        <w:t xml:space="preserve">That the waiver granted by the Panel of the obligation that would otherwise arise on any member of the Founder Concert Party, both individually and collectively, to make a general offer to the other Shareholders pursuant to Rule 9 of the City Code as a result of an increase in the percentage of Shares carrying voting rights held by them following a buyback of Shares conducted in accordance with the terms of the Buyback Authority, that could potentially increase the aggregate interest in Shares carrying voting rights held by the members of the Founder Concert Party from 35.11 per cent. of the voting share capital of the Company, up to a maximum of approximately 39.01 per cent. of the Shares (carrying equivalent voting rights) (assuming no prior increase in the aggregate interest in Shares held by the members of the Founder Concert Party resulting from the vesting of the 2025 LTIP Award to Tony </w:t>
      </w:r>
      <w:proofErr w:type="spellStart"/>
      <w:r w:rsidRPr="004873E3">
        <w:rPr>
          <w:rFonts w:ascii="Arial" w:hAnsi="Arial" w:cs="Arial"/>
          <w:color w:val="000000"/>
          <w:sz w:val="20"/>
          <w:szCs w:val="20"/>
          <w:lang w:val="en-GB"/>
        </w:rPr>
        <w:t>Pialis</w:t>
      </w:r>
      <w:proofErr w:type="spellEnd"/>
      <w:r w:rsidRPr="004873E3">
        <w:rPr>
          <w:rFonts w:ascii="Arial" w:hAnsi="Arial" w:cs="Arial"/>
          <w:color w:val="000000"/>
          <w:sz w:val="20"/>
          <w:szCs w:val="20"/>
          <w:lang w:val="en-GB"/>
        </w:rPr>
        <w:t>, pursuant to the waiver granted by Resolution 18) be and is hereby approved.</w:t>
      </w:r>
    </w:p>
    <w:p w14:paraId="0FDCE877" w14:textId="77777777" w:rsidR="00BB3289" w:rsidRDefault="00BB3289" w:rsidP="005B2CD9">
      <w:pPr>
        <w:spacing w:before="247" w:line="256" w:lineRule="exact"/>
        <w:jc w:val="both"/>
        <w:textAlignment w:val="baseline"/>
        <w:rPr>
          <w:rFonts w:ascii="Arial" w:hAnsi="Arial" w:cs="Arial"/>
          <w:color w:val="000000"/>
          <w:sz w:val="20"/>
          <w:szCs w:val="20"/>
          <w:lang w:val="en-GB"/>
        </w:rPr>
      </w:pPr>
    </w:p>
    <w:p w14:paraId="6A8F8EFC" w14:textId="206D3782" w:rsidR="004873E3" w:rsidRDefault="004873E3" w:rsidP="005B2CD9">
      <w:pPr>
        <w:spacing w:before="247" w:line="256" w:lineRule="exact"/>
        <w:jc w:val="both"/>
        <w:textAlignment w:val="baseline"/>
        <w:rPr>
          <w:rFonts w:ascii="Arial" w:eastAsia="Arial" w:hAnsi="Arial" w:cs="Arial"/>
          <w:b/>
          <w:spacing w:val="4"/>
          <w:sz w:val="20"/>
          <w:szCs w:val="20"/>
          <w:lang w:val="en-GB"/>
        </w:rPr>
      </w:pPr>
      <w:r w:rsidRPr="00341E4C">
        <w:rPr>
          <w:rFonts w:ascii="Arial" w:eastAsia="Arial" w:hAnsi="Arial" w:cs="Arial"/>
          <w:b/>
          <w:spacing w:val="4"/>
          <w:sz w:val="20"/>
          <w:szCs w:val="20"/>
          <w:lang w:val="en-GB"/>
        </w:rPr>
        <w:t>ORDINARY RESOLUTION</w:t>
      </w:r>
    </w:p>
    <w:p w14:paraId="617FBC97" w14:textId="7696FD64" w:rsidR="004873E3" w:rsidRPr="00CA5C9B" w:rsidRDefault="001443A0" w:rsidP="00B848DF">
      <w:pPr>
        <w:pStyle w:val="ListParagraph"/>
        <w:numPr>
          <w:ilvl w:val="0"/>
          <w:numId w:val="11"/>
        </w:numPr>
        <w:spacing w:before="247" w:line="256" w:lineRule="exact"/>
        <w:jc w:val="both"/>
        <w:textAlignment w:val="baseline"/>
        <w:rPr>
          <w:rFonts w:ascii="Arial" w:eastAsia="Arial" w:hAnsi="Arial" w:cs="Arial"/>
          <w:bCs/>
          <w:spacing w:val="4"/>
          <w:sz w:val="20"/>
          <w:szCs w:val="20"/>
          <w:lang w:val="en-GB"/>
        </w:rPr>
      </w:pPr>
      <w:r w:rsidRPr="00CA5C9B">
        <w:rPr>
          <w:rFonts w:ascii="Arial" w:eastAsia="Arial" w:hAnsi="Arial" w:cs="Arial"/>
          <w:bCs/>
          <w:spacing w:val="4"/>
          <w:sz w:val="20"/>
          <w:szCs w:val="20"/>
          <w:lang w:val="en-GB"/>
        </w:rPr>
        <w:t xml:space="preserve">That the waiver granted by the Panel of the obligation that would otherwise arise on any member of the Founder Concert Party, both individually and collectively, to make a general offer to the other Shareholders pursuant to Rule 9 of the City Code as a result of the vesting of the 2025 LTIP Award to Tony </w:t>
      </w:r>
      <w:proofErr w:type="spellStart"/>
      <w:r w:rsidRPr="00CA5C9B">
        <w:rPr>
          <w:rFonts w:ascii="Arial" w:eastAsia="Arial" w:hAnsi="Arial" w:cs="Arial"/>
          <w:bCs/>
          <w:spacing w:val="4"/>
          <w:sz w:val="20"/>
          <w:szCs w:val="20"/>
          <w:lang w:val="en-GB"/>
        </w:rPr>
        <w:t>Pialis</w:t>
      </w:r>
      <w:proofErr w:type="spellEnd"/>
      <w:r w:rsidRPr="00CA5C9B">
        <w:rPr>
          <w:rFonts w:ascii="Arial" w:eastAsia="Arial" w:hAnsi="Arial" w:cs="Arial"/>
          <w:bCs/>
          <w:spacing w:val="4"/>
          <w:sz w:val="20"/>
          <w:szCs w:val="20"/>
          <w:lang w:val="en-GB"/>
        </w:rPr>
        <w:t xml:space="preserve"> under the terms of the LTIP, that could potentially increase the aggregate interest in Shares carrying voting rights held by the members of the Founder Concert Party from 35.11 per cent. of the voting share capital of the Company, up to a maximum of approximately 35.50 per cent. of the Shares (carrying equivalent voting rights) (assuming no prior increase in the aggregate interest in Shares held by the members of the Founder Concert Party resulting from a buyback of Shares conducted in</w:t>
      </w:r>
      <w:r w:rsidR="00CA5C9B" w:rsidRPr="00CA5C9B">
        <w:rPr>
          <w:rFonts w:ascii="Arial" w:eastAsia="Arial" w:hAnsi="Arial" w:cs="Arial"/>
          <w:bCs/>
          <w:spacing w:val="4"/>
          <w:sz w:val="20"/>
          <w:szCs w:val="20"/>
          <w:lang w:val="en-GB"/>
        </w:rPr>
        <w:t xml:space="preserve"> </w:t>
      </w:r>
      <w:r w:rsidRPr="00CA5C9B">
        <w:rPr>
          <w:rFonts w:ascii="Arial" w:eastAsia="Arial" w:hAnsi="Arial" w:cs="Arial"/>
          <w:bCs/>
          <w:spacing w:val="4"/>
          <w:sz w:val="20"/>
          <w:szCs w:val="20"/>
          <w:lang w:val="en-GB"/>
        </w:rPr>
        <w:t>accordance with the terms of the Buyback Authority, pursuant to the waiver granted by Resolution 17) be and is</w:t>
      </w:r>
      <w:r w:rsidR="00CA5C9B" w:rsidRPr="00CA5C9B">
        <w:rPr>
          <w:rFonts w:ascii="Arial" w:eastAsia="Arial" w:hAnsi="Arial" w:cs="Arial"/>
          <w:bCs/>
          <w:spacing w:val="4"/>
          <w:sz w:val="20"/>
          <w:szCs w:val="20"/>
          <w:lang w:val="en-GB"/>
        </w:rPr>
        <w:t xml:space="preserve"> </w:t>
      </w:r>
      <w:r w:rsidRPr="00CA5C9B">
        <w:rPr>
          <w:rFonts w:ascii="Arial" w:eastAsia="Arial" w:hAnsi="Arial" w:cs="Arial"/>
          <w:bCs/>
          <w:spacing w:val="4"/>
          <w:sz w:val="20"/>
          <w:szCs w:val="20"/>
          <w:lang w:val="en-GB"/>
        </w:rPr>
        <w:t>hereby approved.</w:t>
      </w:r>
    </w:p>
    <w:p w14:paraId="0A414D14" w14:textId="77777777" w:rsidR="0084502C" w:rsidRDefault="0084502C" w:rsidP="005B2CD9">
      <w:pPr>
        <w:spacing w:before="247" w:line="256" w:lineRule="exact"/>
        <w:jc w:val="both"/>
        <w:textAlignment w:val="baseline"/>
        <w:rPr>
          <w:rFonts w:ascii="Arial" w:eastAsia="Arial" w:hAnsi="Arial" w:cs="Arial"/>
          <w:b/>
          <w:spacing w:val="4"/>
          <w:sz w:val="20"/>
          <w:szCs w:val="20"/>
          <w:lang w:val="en-GB"/>
        </w:rPr>
      </w:pPr>
    </w:p>
    <w:p w14:paraId="2E703C7D" w14:textId="75BDB7CE" w:rsidR="004873E3" w:rsidRDefault="004873E3" w:rsidP="005B2CD9">
      <w:pPr>
        <w:spacing w:before="247" w:line="256" w:lineRule="exact"/>
        <w:jc w:val="both"/>
        <w:textAlignment w:val="baseline"/>
        <w:rPr>
          <w:rFonts w:ascii="Arial" w:hAnsi="Arial" w:cs="Arial"/>
          <w:color w:val="000000"/>
          <w:sz w:val="20"/>
          <w:szCs w:val="20"/>
          <w:lang w:val="en-GB"/>
        </w:rPr>
      </w:pPr>
      <w:r w:rsidRPr="00341E4C">
        <w:rPr>
          <w:rFonts w:ascii="Arial" w:eastAsia="Arial" w:hAnsi="Arial" w:cs="Arial"/>
          <w:b/>
          <w:spacing w:val="4"/>
          <w:sz w:val="20"/>
          <w:szCs w:val="20"/>
          <w:lang w:val="en-GB"/>
        </w:rPr>
        <w:t>ORDINARY RESOLUTION</w:t>
      </w:r>
    </w:p>
    <w:p w14:paraId="4CEE6FB7" w14:textId="79DCDF1B" w:rsidR="002428E9" w:rsidRPr="0084502C" w:rsidRDefault="0084502C" w:rsidP="00B848DF">
      <w:pPr>
        <w:pStyle w:val="ListParagraph"/>
        <w:numPr>
          <w:ilvl w:val="0"/>
          <w:numId w:val="12"/>
        </w:numPr>
        <w:spacing w:before="247" w:line="256" w:lineRule="exact"/>
        <w:jc w:val="both"/>
        <w:textAlignment w:val="baseline"/>
        <w:rPr>
          <w:rFonts w:ascii="Arial" w:hAnsi="Arial" w:cs="Arial"/>
          <w:color w:val="000000"/>
          <w:sz w:val="20"/>
          <w:szCs w:val="20"/>
          <w:lang w:val="en-GB"/>
        </w:rPr>
      </w:pPr>
      <w:r w:rsidRPr="0084502C">
        <w:rPr>
          <w:rFonts w:ascii="Arial" w:hAnsi="Arial" w:cs="Arial"/>
          <w:color w:val="000000"/>
          <w:sz w:val="20"/>
          <w:szCs w:val="20"/>
          <w:lang w:val="en-GB"/>
        </w:rPr>
        <w:t>The amendment to the rules of the Alphawave IP Group PLC Long Term Incentive Plan (the “LTIP”) described in the Explanatory Notes to this resolution be approved.</w:t>
      </w:r>
    </w:p>
    <w:p w14:paraId="604E26CA" w14:textId="77777777" w:rsidR="00104B42" w:rsidRDefault="00104B42" w:rsidP="005B2CD9">
      <w:pPr>
        <w:spacing w:before="247" w:line="256" w:lineRule="exact"/>
        <w:jc w:val="both"/>
        <w:textAlignment w:val="baseline"/>
        <w:rPr>
          <w:rFonts w:ascii="Arial" w:hAnsi="Arial" w:cs="Arial"/>
          <w:color w:val="000000"/>
          <w:sz w:val="20"/>
          <w:szCs w:val="20"/>
          <w:lang w:val="en-GB"/>
        </w:rPr>
      </w:pPr>
    </w:p>
    <w:p w14:paraId="0C21FA18" w14:textId="77777777" w:rsidR="00104B42" w:rsidRDefault="00104B42" w:rsidP="005B2CD9">
      <w:pPr>
        <w:spacing w:before="247" w:line="256" w:lineRule="exact"/>
        <w:jc w:val="both"/>
        <w:textAlignment w:val="baseline"/>
        <w:rPr>
          <w:rFonts w:ascii="Arial" w:hAnsi="Arial" w:cs="Arial"/>
          <w:color w:val="000000"/>
          <w:sz w:val="20"/>
          <w:szCs w:val="20"/>
          <w:lang w:val="en-GB"/>
        </w:rPr>
      </w:pPr>
    </w:p>
    <w:p w14:paraId="7F61807E" w14:textId="77777777" w:rsidR="00104B42" w:rsidRDefault="00104B42" w:rsidP="005B2CD9">
      <w:pPr>
        <w:spacing w:before="247" w:line="256" w:lineRule="exact"/>
        <w:jc w:val="both"/>
        <w:textAlignment w:val="baseline"/>
        <w:rPr>
          <w:rFonts w:ascii="Arial" w:hAnsi="Arial" w:cs="Arial"/>
          <w:color w:val="000000"/>
          <w:sz w:val="20"/>
          <w:szCs w:val="20"/>
          <w:lang w:val="en-GB"/>
        </w:rPr>
      </w:pPr>
    </w:p>
    <w:p w14:paraId="31BE942F" w14:textId="77777777" w:rsidR="00104B42" w:rsidRDefault="00104B42" w:rsidP="005B2CD9">
      <w:pPr>
        <w:spacing w:before="247" w:line="256" w:lineRule="exact"/>
        <w:jc w:val="both"/>
        <w:textAlignment w:val="baseline"/>
        <w:rPr>
          <w:rFonts w:ascii="Arial" w:hAnsi="Arial" w:cs="Arial"/>
          <w:color w:val="000000"/>
          <w:sz w:val="20"/>
          <w:szCs w:val="20"/>
          <w:lang w:val="en-GB"/>
        </w:rPr>
      </w:pPr>
    </w:p>
    <w:p w14:paraId="2D070B77" w14:textId="5D7FCCEC" w:rsidR="00655E61" w:rsidRPr="00655E61" w:rsidRDefault="00655E61" w:rsidP="00655E61">
      <w:pPr>
        <w:spacing w:before="247" w:line="256" w:lineRule="exact"/>
        <w:jc w:val="both"/>
        <w:textAlignment w:val="baseline"/>
        <w:rPr>
          <w:rFonts w:ascii="Arial" w:hAnsi="Arial" w:cs="Arial"/>
          <w:b/>
          <w:bCs/>
          <w:color w:val="000000"/>
          <w:sz w:val="20"/>
          <w:szCs w:val="20"/>
          <w:lang w:val="en-GB"/>
        </w:rPr>
      </w:pPr>
      <w:r w:rsidRPr="00655E61">
        <w:rPr>
          <w:rFonts w:ascii="Arial" w:hAnsi="Arial" w:cs="Arial"/>
          <w:b/>
          <w:bCs/>
          <w:color w:val="000000"/>
          <w:sz w:val="20"/>
          <w:szCs w:val="20"/>
          <w:lang w:val="en-GB"/>
        </w:rPr>
        <w:t>SPECIAL RESOLUTION</w:t>
      </w:r>
    </w:p>
    <w:p w14:paraId="024FA023" w14:textId="6CFC5E4E" w:rsidR="00245FFE" w:rsidRDefault="00EB3C43" w:rsidP="00B848DF">
      <w:pPr>
        <w:numPr>
          <w:ilvl w:val="0"/>
          <w:numId w:val="4"/>
        </w:numPr>
        <w:spacing w:before="247" w:line="256" w:lineRule="exact"/>
        <w:jc w:val="both"/>
        <w:textAlignment w:val="baseline"/>
        <w:rPr>
          <w:rFonts w:ascii="Arial" w:hAnsi="Arial" w:cs="Arial"/>
          <w:color w:val="000000"/>
          <w:sz w:val="20"/>
          <w:szCs w:val="20"/>
          <w:lang w:val="en-GB"/>
        </w:rPr>
      </w:pPr>
      <w:r w:rsidRPr="00EB3C43">
        <w:rPr>
          <w:rFonts w:ascii="Arial" w:hAnsi="Arial" w:cs="Arial"/>
          <w:color w:val="000000"/>
          <w:sz w:val="20"/>
          <w:szCs w:val="20"/>
          <w:lang w:val="en-GB"/>
        </w:rPr>
        <w:t>THAT a general meeting, other than an AGM, may be called on not less than 14 clear days’ notice.</w:t>
      </w:r>
    </w:p>
    <w:p w14:paraId="4B37C2C1" w14:textId="7A459854" w:rsidR="005C1653" w:rsidRDefault="005C1653" w:rsidP="005C1653">
      <w:pPr>
        <w:spacing w:before="247" w:line="256" w:lineRule="exact"/>
        <w:jc w:val="both"/>
        <w:textAlignment w:val="baseline"/>
        <w:rPr>
          <w:rFonts w:ascii="Arial" w:hAnsi="Arial" w:cs="Arial"/>
          <w:color w:val="000000"/>
          <w:sz w:val="20"/>
          <w:szCs w:val="20"/>
          <w:lang w:val="en-GB"/>
        </w:rPr>
      </w:pPr>
      <w:r w:rsidRPr="005C1653">
        <w:rPr>
          <w:rFonts w:ascii="Arial" w:hAnsi="Arial" w:cs="Arial"/>
          <w:color w:val="000000"/>
          <w:sz w:val="20"/>
          <w:szCs w:val="20"/>
          <w:lang w:val="en-GB"/>
        </w:rPr>
        <w:t>By order of the Board</w:t>
      </w:r>
    </w:p>
    <w:p w14:paraId="272F0C5E" w14:textId="32F0A749" w:rsidR="00B848DF" w:rsidRDefault="00B848DF" w:rsidP="005C1653">
      <w:pPr>
        <w:spacing w:before="247" w:line="256" w:lineRule="exact"/>
        <w:jc w:val="both"/>
        <w:textAlignment w:val="baseline"/>
        <w:rPr>
          <w:rFonts w:ascii="Arial" w:hAnsi="Arial" w:cs="Arial"/>
          <w:color w:val="000000"/>
          <w:sz w:val="20"/>
          <w:szCs w:val="20"/>
          <w:lang w:val="en-GB"/>
        </w:rPr>
      </w:pPr>
    </w:p>
    <w:p w14:paraId="5172E90E" w14:textId="46E70E0C" w:rsidR="00B848DF" w:rsidRDefault="00B848DF" w:rsidP="005C1653">
      <w:pPr>
        <w:spacing w:before="247" w:line="256" w:lineRule="exact"/>
        <w:jc w:val="both"/>
        <w:textAlignment w:val="baseline"/>
        <w:rPr>
          <w:rFonts w:ascii="Arial" w:hAnsi="Arial" w:cs="Arial"/>
          <w:color w:val="000000"/>
          <w:sz w:val="20"/>
          <w:szCs w:val="20"/>
          <w:lang w:val="en-GB"/>
        </w:rPr>
      </w:pPr>
      <w:r>
        <w:rPr>
          <w:noProof/>
        </w:rPr>
        <w:drawing>
          <wp:anchor distT="0" distB="0" distL="114300" distR="114300" simplePos="0" relativeHeight="251658240" behindDoc="0" locked="0" layoutInCell="1" allowOverlap="1" wp14:anchorId="2912B861" wp14:editId="14ED53F5">
            <wp:simplePos x="0" y="0"/>
            <wp:positionH relativeFrom="column">
              <wp:posOffset>635</wp:posOffset>
            </wp:positionH>
            <wp:positionV relativeFrom="paragraph">
              <wp:posOffset>-132715</wp:posOffset>
            </wp:positionV>
            <wp:extent cx="1451409" cy="419100"/>
            <wp:effectExtent l="0" t="0" r="0" b="0"/>
            <wp:wrapSquare wrapText="bothSides"/>
            <wp:docPr id="98203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30235" name=""/>
                    <pic:cNvPicPr/>
                  </pic:nvPicPr>
                  <pic:blipFill>
                    <a:blip r:embed="rId6">
                      <a:extLst>
                        <a:ext uri="{28A0092B-C50C-407E-A947-70E740481C1C}">
                          <a14:useLocalDpi xmlns:a14="http://schemas.microsoft.com/office/drawing/2010/main" val="0"/>
                        </a:ext>
                      </a:extLst>
                    </a:blip>
                    <a:stretch>
                      <a:fillRect/>
                    </a:stretch>
                  </pic:blipFill>
                  <pic:spPr>
                    <a:xfrm>
                      <a:off x="0" y="0"/>
                      <a:ext cx="1451409" cy="419100"/>
                    </a:xfrm>
                    <a:prstGeom prst="rect">
                      <a:avLst/>
                    </a:prstGeom>
                  </pic:spPr>
                </pic:pic>
              </a:graphicData>
            </a:graphic>
            <wp14:sizeRelH relativeFrom="page">
              <wp14:pctWidth>0</wp14:pctWidth>
            </wp14:sizeRelH>
            <wp14:sizeRelV relativeFrom="page">
              <wp14:pctHeight>0</wp14:pctHeight>
            </wp14:sizeRelV>
          </wp:anchor>
        </w:drawing>
      </w:r>
    </w:p>
    <w:p w14:paraId="4669808C" w14:textId="0C8F0946" w:rsidR="00B848DF" w:rsidRPr="008348BB" w:rsidRDefault="00B848DF" w:rsidP="005C1653">
      <w:pPr>
        <w:spacing w:before="247" w:line="256" w:lineRule="exact"/>
        <w:jc w:val="both"/>
        <w:textAlignment w:val="baseline"/>
        <w:rPr>
          <w:rFonts w:ascii="Arial" w:hAnsi="Arial" w:cs="Arial"/>
          <w:color w:val="000000"/>
          <w:sz w:val="20"/>
          <w:szCs w:val="20"/>
          <w:lang w:val="en-GB"/>
        </w:rPr>
      </w:pPr>
      <w:r>
        <w:rPr>
          <w:rFonts w:ascii="Arial" w:hAnsi="Arial" w:cs="Arial"/>
          <w:color w:val="000000"/>
          <w:sz w:val="20"/>
          <w:szCs w:val="20"/>
          <w:lang w:val="en-GB"/>
        </w:rPr>
        <w:t xml:space="preserve">Michael Conway, </w:t>
      </w:r>
      <w:r w:rsidRPr="00B848DF">
        <w:rPr>
          <w:rFonts w:ascii="Arial" w:hAnsi="Arial" w:cs="Arial"/>
          <w:color w:val="000000"/>
          <w:sz w:val="20"/>
          <w:szCs w:val="20"/>
          <w:lang w:val="en-GB"/>
        </w:rPr>
        <w:t xml:space="preserve">For and on Behalf of </w:t>
      </w:r>
      <w:r>
        <w:rPr>
          <w:rFonts w:ascii="Arial" w:hAnsi="Arial" w:cs="Arial"/>
          <w:color w:val="000000"/>
          <w:sz w:val="20"/>
          <w:szCs w:val="20"/>
          <w:lang w:val="en-GB"/>
        </w:rPr>
        <w:t>MUFG Corporate Governance L</w:t>
      </w:r>
      <w:r w:rsidRPr="00B848DF">
        <w:rPr>
          <w:rFonts w:ascii="Arial" w:hAnsi="Arial" w:cs="Arial"/>
          <w:color w:val="000000"/>
          <w:sz w:val="20"/>
          <w:szCs w:val="20"/>
          <w:lang w:val="en-GB"/>
        </w:rPr>
        <w:t>imited</w:t>
      </w:r>
      <w:r>
        <w:rPr>
          <w:rFonts w:ascii="Arial" w:hAnsi="Arial" w:cs="Arial"/>
          <w:color w:val="000000"/>
          <w:sz w:val="20"/>
          <w:szCs w:val="20"/>
          <w:lang w:val="en-GB"/>
        </w:rPr>
        <w:t>,</w:t>
      </w:r>
      <w:r w:rsidRPr="00B848DF">
        <w:rPr>
          <w:rFonts w:ascii="Arial" w:hAnsi="Arial" w:cs="Arial"/>
          <w:color w:val="000000"/>
          <w:sz w:val="20"/>
          <w:szCs w:val="20"/>
          <w:lang w:val="en-GB"/>
        </w:rPr>
        <w:t xml:space="preserve"> Company Secretary</w:t>
      </w:r>
    </w:p>
    <w:sectPr w:rsidR="00B848DF" w:rsidRPr="008348BB" w:rsidSect="0003670C">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B0"/>
    <w:multiLevelType w:val="hybridMultilevel"/>
    <w:tmpl w:val="B668559E"/>
    <w:lvl w:ilvl="0" w:tplc="08090017">
      <w:start w:val="1"/>
      <w:numFmt w:val="lowerLetter"/>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lowerLetter"/>
      <w:lvlText w:val="%3)"/>
      <w:lvlJc w:val="left"/>
      <w:pPr>
        <w:ind w:left="2340"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F2322"/>
    <w:multiLevelType w:val="hybridMultilevel"/>
    <w:tmpl w:val="B3A663CA"/>
    <w:lvl w:ilvl="0" w:tplc="DE366FA2">
      <w:start w:val="1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A776A"/>
    <w:multiLevelType w:val="hybridMultilevel"/>
    <w:tmpl w:val="009E10F2"/>
    <w:lvl w:ilvl="0" w:tplc="C6B6B23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0558A"/>
    <w:multiLevelType w:val="hybridMultilevel"/>
    <w:tmpl w:val="3BDA7B24"/>
    <w:lvl w:ilvl="0" w:tplc="FFFFFFFF">
      <w:start w:val="13"/>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08090017">
      <w:start w:val="1"/>
      <w:numFmt w:val="lowerLetter"/>
      <w:lvlText w:val="%3)"/>
      <w:lvlJc w:val="left"/>
      <w:pPr>
        <w:ind w:left="720"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8D1DA3"/>
    <w:multiLevelType w:val="hybridMultilevel"/>
    <w:tmpl w:val="0A363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536C74"/>
    <w:multiLevelType w:val="hybridMultilevel"/>
    <w:tmpl w:val="08644BC2"/>
    <w:lvl w:ilvl="0" w:tplc="B25C082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55500"/>
    <w:multiLevelType w:val="hybridMultilevel"/>
    <w:tmpl w:val="4558B24C"/>
    <w:lvl w:ilvl="0" w:tplc="3AF08D1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D3C66"/>
    <w:multiLevelType w:val="hybridMultilevel"/>
    <w:tmpl w:val="A88EBA14"/>
    <w:lvl w:ilvl="0" w:tplc="BC46832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9" w15:restartNumberingAfterBreak="0">
    <w:nsid w:val="5D14205D"/>
    <w:multiLevelType w:val="hybridMultilevel"/>
    <w:tmpl w:val="DDC2EFD8"/>
    <w:lvl w:ilvl="0" w:tplc="D696CB86">
      <w:start w:val="13"/>
      <w:numFmt w:val="decimal"/>
      <w:lvlText w:val="%1."/>
      <w:lvlJc w:val="left"/>
      <w:pPr>
        <w:ind w:left="720" w:hanging="360"/>
      </w:pPr>
      <w:rPr>
        <w:rFonts w:hint="default"/>
      </w:rPr>
    </w:lvl>
    <w:lvl w:ilvl="1" w:tplc="478C32C2">
      <w:start w:val="1"/>
      <w:numFmt w:val="lowerRoman"/>
      <w:lvlText w:val="(%2)"/>
      <w:lvlJc w:val="left"/>
      <w:pPr>
        <w:ind w:left="1800" w:hanging="720"/>
      </w:pPr>
      <w:rPr>
        <w:rFonts w:hint="default"/>
      </w:rPr>
    </w:lvl>
    <w:lvl w:ilvl="2" w:tplc="83FE0866">
      <w:start w:val="1"/>
      <w:numFmt w:val="lowerLetter"/>
      <w:lvlText w:val="(%3)"/>
      <w:lvlJc w:val="left"/>
      <w:pPr>
        <w:ind w:left="2340" w:hanging="360"/>
      </w:pPr>
      <w:rPr>
        <w:rFonts w:hint="default"/>
      </w:rPr>
    </w:lvl>
    <w:lvl w:ilvl="3" w:tplc="A18A985E">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523CD5"/>
    <w:multiLevelType w:val="hybridMultilevel"/>
    <w:tmpl w:val="CD76CB40"/>
    <w:lvl w:ilvl="0" w:tplc="0EE02AA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CB327A"/>
    <w:multiLevelType w:val="hybridMultilevel"/>
    <w:tmpl w:val="0C742340"/>
    <w:lvl w:ilvl="0" w:tplc="FFFFFFFF">
      <w:start w:val="13"/>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08090017">
      <w:start w:val="1"/>
      <w:numFmt w:val="lowerLetter"/>
      <w:lvlText w:val="%3)"/>
      <w:lvlJc w:val="left"/>
      <w:pPr>
        <w:ind w:left="720"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0628953">
    <w:abstractNumId w:val="8"/>
  </w:num>
  <w:num w:numId="2" w16cid:durableId="933634785">
    <w:abstractNumId w:val="9"/>
  </w:num>
  <w:num w:numId="3" w16cid:durableId="1477643724">
    <w:abstractNumId w:val="10"/>
  </w:num>
  <w:num w:numId="4" w16cid:durableId="2028093005">
    <w:abstractNumId w:val="7"/>
  </w:num>
  <w:num w:numId="5" w16cid:durableId="875970352">
    <w:abstractNumId w:val="0"/>
  </w:num>
  <w:num w:numId="6" w16cid:durableId="1004673348">
    <w:abstractNumId w:val="11"/>
  </w:num>
  <w:num w:numId="7" w16cid:durableId="1268655159">
    <w:abstractNumId w:val="3"/>
  </w:num>
  <w:num w:numId="8" w16cid:durableId="1874689904">
    <w:abstractNumId w:val="6"/>
  </w:num>
  <w:num w:numId="9" w16cid:durableId="1440948177">
    <w:abstractNumId w:val="4"/>
  </w:num>
  <w:num w:numId="10" w16cid:durableId="678704065">
    <w:abstractNumId w:val="5"/>
  </w:num>
  <w:num w:numId="11" w16cid:durableId="150022604">
    <w:abstractNumId w:val="1"/>
  </w:num>
  <w:num w:numId="12" w16cid:durableId="174950087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30"/>
    <w:rsid w:val="0000187B"/>
    <w:rsid w:val="000150C1"/>
    <w:rsid w:val="0002785E"/>
    <w:rsid w:val="0003670C"/>
    <w:rsid w:val="00092BB0"/>
    <w:rsid w:val="00094608"/>
    <w:rsid w:val="000A4A75"/>
    <w:rsid w:val="000E4699"/>
    <w:rsid w:val="00104B42"/>
    <w:rsid w:val="00110B46"/>
    <w:rsid w:val="001443A0"/>
    <w:rsid w:val="001A2953"/>
    <w:rsid w:val="001B0DEC"/>
    <w:rsid w:val="001C1FDE"/>
    <w:rsid w:val="001E643F"/>
    <w:rsid w:val="002230D1"/>
    <w:rsid w:val="00235BDA"/>
    <w:rsid w:val="00237584"/>
    <w:rsid w:val="002428E9"/>
    <w:rsid w:val="002457B2"/>
    <w:rsid w:val="00245FFE"/>
    <w:rsid w:val="00295942"/>
    <w:rsid w:val="002C3241"/>
    <w:rsid w:val="002D390A"/>
    <w:rsid w:val="002E3875"/>
    <w:rsid w:val="00314383"/>
    <w:rsid w:val="0033204A"/>
    <w:rsid w:val="00341E4C"/>
    <w:rsid w:val="00345E6C"/>
    <w:rsid w:val="0035294A"/>
    <w:rsid w:val="00384EF2"/>
    <w:rsid w:val="003D5046"/>
    <w:rsid w:val="00400A9D"/>
    <w:rsid w:val="00406691"/>
    <w:rsid w:val="00453619"/>
    <w:rsid w:val="00457F3D"/>
    <w:rsid w:val="00462B79"/>
    <w:rsid w:val="00463064"/>
    <w:rsid w:val="004872C1"/>
    <w:rsid w:val="004873E3"/>
    <w:rsid w:val="004C6392"/>
    <w:rsid w:val="00506350"/>
    <w:rsid w:val="00554013"/>
    <w:rsid w:val="00582995"/>
    <w:rsid w:val="005A6DB1"/>
    <w:rsid w:val="005B2CD9"/>
    <w:rsid w:val="005C1653"/>
    <w:rsid w:val="005C470A"/>
    <w:rsid w:val="00611070"/>
    <w:rsid w:val="00641152"/>
    <w:rsid w:val="0064408F"/>
    <w:rsid w:val="006530DA"/>
    <w:rsid w:val="00655E61"/>
    <w:rsid w:val="0067659A"/>
    <w:rsid w:val="006B4553"/>
    <w:rsid w:val="007C2424"/>
    <w:rsid w:val="007C5729"/>
    <w:rsid w:val="007C741F"/>
    <w:rsid w:val="00801387"/>
    <w:rsid w:val="00803E03"/>
    <w:rsid w:val="008278F2"/>
    <w:rsid w:val="008348BB"/>
    <w:rsid w:val="0084502C"/>
    <w:rsid w:val="00854368"/>
    <w:rsid w:val="0085759E"/>
    <w:rsid w:val="008778F5"/>
    <w:rsid w:val="008A3CDB"/>
    <w:rsid w:val="008C71CD"/>
    <w:rsid w:val="008F3341"/>
    <w:rsid w:val="00905675"/>
    <w:rsid w:val="0094066F"/>
    <w:rsid w:val="00943A3A"/>
    <w:rsid w:val="00947B24"/>
    <w:rsid w:val="009546DC"/>
    <w:rsid w:val="00977005"/>
    <w:rsid w:val="00995330"/>
    <w:rsid w:val="009A36FB"/>
    <w:rsid w:val="009D004F"/>
    <w:rsid w:val="009D0A70"/>
    <w:rsid w:val="00A20DB5"/>
    <w:rsid w:val="00A23144"/>
    <w:rsid w:val="00A63A48"/>
    <w:rsid w:val="00A837A2"/>
    <w:rsid w:val="00B04A4C"/>
    <w:rsid w:val="00B70C78"/>
    <w:rsid w:val="00B7679F"/>
    <w:rsid w:val="00B848DF"/>
    <w:rsid w:val="00B9235B"/>
    <w:rsid w:val="00BA1BED"/>
    <w:rsid w:val="00BB1742"/>
    <w:rsid w:val="00BB3289"/>
    <w:rsid w:val="00BE476E"/>
    <w:rsid w:val="00BE7FBB"/>
    <w:rsid w:val="00BF2D70"/>
    <w:rsid w:val="00BF38BB"/>
    <w:rsid w:val="00BF7EB3"/>
    <w:rsid w:val="00C05503"/>
    <w:rsid w:val="00C37F67"/>
    <w:rsid w:val="00C46A62"/>
    <w:rsid w:val="00C54A03"/>
    <w:rsid w:val="00C75CCF"/>
    <w:rsid w:val="00C82FBF"/>
    <w:rsid w:val="00C95F6C"/>
    <w:rsid w:val="00CA5C9B"/>
    <w:rsid w:val="00CF4AEA"/>
    <w:rsid w:val="00D009E3"/>
    <w:rsid w:val="00D07186"/>
    <w:rsid w:val="00D62CDB"/>
    <w:rsid w:val="00D71FEE"/>
    <w:rsid w:val="00D73EE1"/>
    <w:rsid w:val="00D8468F"/>
    <w:rsid w:val="00DB07A6"/>
    <w:rsid w:val="00DC403F"/>
    <w:rsid w:val="00DC7B3B"/>
    <w:rsid w:val="00DE2CB8"/>
    <w:rsid w:val="00DE7EDD"/>
    <w:rsid w:val="00E14E0B"/>
    <w:rsid w:val="00E14EB3"/>
    <w:rsid w:val="00E27D63"/>
    <w:rsid w:val="00E70FCF"/>
    <w:rsid w:val="00E75138"/>
    <w:rsid w:val="00EB3C43"/>
    <w:rsid w:val="00EC018B"/>
    <w:rsid w:val="00F01FF7"/>
    <w:rsid w:val="00F6044E"/>
    <w:rsid w:val="00F765A8"/>
    <w:rsid w:val="00F979C7"/>
    <w:rsid w:val="00FB0FEE"/>
    <w:rsid w:val="00FC127B"/>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70E45"/>
  <w15:docId w15:val="{12EA4EE1-AB16-4655-AC28-6ED72B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4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RLevel1">
    <w:name w:val="MdR Level 1"/>
    <w:basedOn w:val="Normal"/>
    <w:rsid w:val="00995330"/>
    <w:pPr>
      <w:numPr>
        <w:numId w:val="1"/>
      </w:numPr>
      <w:spacing w:after="240" w:line="360" w:lineRule="auto"/>
      <w:jc w:val="both"/>
      <w:outlineLvl w:val="0"/>
    </w:pPr>
    <w:rPr>
      <w:lang w:val="en-GB"/>
    </w:rPr>
  </w:style>
  <w:style w:type="paragraph" w:customStyle="1" w:styleId="MdRLevel2">
    <w:name w:val="MdR Level 2"/>
    <w:basedOn w:val="Normal"/>
    <w:rsid w:val="00995330"/>
    <w:pPr>
      <w:numPr>
        <w:ilvl w:val="1"/>
        <w:numId w:val="1"/>
      </w:numPr>
      <w:spacing w:after="240" w:line="360" w:lineRule="auto"/>
      <w:jc w:val="both"/>
      <w:outlineLvl w:val="1"/>
    </w:pPr>
    <w:rPr>
      <w:lang w:val="en-GB"/>
    </w:rPr>
  </w:style>
  <w:style w:type="paragraph" w:customStyle="1" w:styleId="MdRLevel3">
    <w:name w:val="MdR Level 3"/>
    <w:basedOn w:val="Normal"/>
    <w:rsid w:val="00995330"/>
    <w:pPr>
      <w:numPr>
        <w:ilvl w:val="2"/>
        <w:numId w:val="1"/>
      </w:numPr>
      <w:spacing w:after="240" w:line="360" w:lineRule="auto"/>
      <w:jc w:val="both"/>
      <w:outlineLvl w:val="2"/>
    </w:pPr>
    <w:rPr>
      <w:lang w:val="en-GB"/>
    </w:rPr>
  </w:style>
  <w:style w:type="paragraph" w:customStyle="1" w:styleId="MdRLevel4">
    <w:name w:val="MdR Level 4"/>
    <w:basedOn w:val="Normal"/>
    <w:rsid w:val="00995330"/>
    <w:pPr>
      <w:numPr>
        <w:ilvl w:val="3"/>
        <w:numId w:val="1"/>
      </w:numPr>
      <w:spacing w:after="240" w:line="360" w:lineRule="auto"/>
      <w:jc w:val="both"/>
      <w:outlineLvl w:val="3"/>
    </w:pPr>
    <w:rPr>
      <w:lang w:val="en-GB"/>
    </w:rPr>
  </w:style>
  <w:style w:type="paragraph" w:customStyle="1" w:styleId="MdRLevel5">
    <w:name w:val="MdR Level 5"/>
    <w:basedOn w:val="Normal"/>
    <w:rsid w:val="00995330"/>
    <w:pPr>
      <w:numPr>
        <w:ilvl w:val="4"/>
        <w:numId w:val="1"/>
      </w:numPr>
      <w:spacing w:after="240" w:line="360" w:lineRule="auto"/>
      <w:jc w:val="both"/>
      <w:outlineLvl w:val="4"/>
    </w:pPr>
    <w:rPr>
      <w:lang w:val="en-GB"/>
    </w:rPr>
  </w:style>
  <w:style w:type="paragraph" w:styleId="ListParagraph">
    <w:name w:val="List Paragraph"/>
    <w:basedOn w:val="Normal"/>
    <w:uiPriority w:val="34"/>
    <w:qFormat/>
    <w:rsid w:val="0064408F"/>
    <w:pPr>
      <w:ind w:left="720"/>
      <w:contextualSpacing/>
    </w:pPr>
  </w:style>
  <w:style w:type="paragraph" w:styleId="BalloonText">
    <w:name w:val="Balloon Text"/>
    <w:basedOn w:val="Normal"/>
    <w:link w:val="BalloonTextChar"/>
    <w:uiPriority w:val="99"/>
    <w:semiHidden/>
    <w:unhideWhenUsed/>
    <w:rsid w:val="003D5046"/>
    <w:rPr>
      <w:rFonts w:ascii="Segoe UI" w:hAnsi="Segoe UI" w:cs="Segoe UI"/>
      <w:sz w:val="18"/>
      <w:szCs w:val="18"/>
    </w:rPr>
  </w:style>
  <w:style w:type="character" w:customStyle="1" w:styleId="BalloonTextChar">
    <w:name w:val="Balloon Text Char"/>
    <w:link w:val="BalloonText"/>
    <w:uiPriority w:val="99"/>
    <w:semiHidden/>
    <w:rsid w:val="003D5046"/>
    <w:rPr>
      <w:rFonts w:ascii="Segoe UI" w:eastAsia="Times New Roman" w:hAnsi="Segoe UI" w:cs="Segoe UI"/>
      <w:sz w:val="18"/>
      <w:szCs w:val="18"/>
      <w:lang w:val="en-US" w:eastAsia="en-US"/>
    </w:rPr>
  </w:style>
  <w:style w:type="character" w:styleId="Hyperlink">
    <w:name w:val="Hyperlink"/>
    <w:uiPriority w:val="99"/>
    <w:semiHidden/>
    <w:unhideWhenUsed/>
    <w:rsid w:val="008F3341"/>
    <w:rPr>
      <w:color w:val="0563C1"/>
      <w:u w:val="single"/>
    </w:rPr>
  </w:style>
  <w:style w:type="character" w:styleId="CommentReference">
    <w:name w:val="annotation reference"/>
    <w:uiPriority w:val="99"/>
    <w:semiHidden/>
    <w:unhideWhenUsed/>
    <w:rsid w:val="00B9235B"/>
    <w:rPr>
      <w:sz w:val="16"/>
      <w:szCs w:val="16"/>
    </w:rPr>
  </w:style>
  <w:style w:type="paragraph" w:styleId="CommentText">
    <w:name w:val="annotation text"/>
    <w:basedOn w:val="Normal"/>
    <w:link w:val="CommentTextChar"/>
    <w:uiPriority w:val="99"/>
    <w:semiHidden/>
    <w:unhideWhenUsed/>
    <w:rsid w:val="00B9235B"/>
    <w:rPr>
      <w:sz w:val="20"/>
      <w:szCs w:val="20"/>
    </w:rPr>
  </w:style>
  <w:style w:type="character" w:customStyle="1" w:styleId="CommentTextChar">
    <w:name w:val="Comment Text Char"/>
    <w:link w:val="CommentText"/>
    <w:uiPriority w:val="99"/>
    <w:semiHidden/>
    <w:rsid w:val="00B9235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9235B"/>
    <w:rPr>
      <w:b/>
      <w:bCs/>
    </w:rPr>
  </w:style>
  <w:style w:type="character" w:customStyle="1" w:styleId="CommentSubjectChar">
    <w:name w:val="Comment Subject Char"/>
    <w:link w:val="CommentSubject"/>
    <w:uiPriority w:val="99"/>
    <w:semiHidden/>
    <w:rsid w:val="00B9235B"/>
    <w:rPr>
      <w:rFonts w:ascii="Times New Roman" w:eastAsia="Times New Roman" w:hAnsi="Times New Roman"/>
      <w:b/>
      <w:bCs/>
      <w:lang w:val="en-US" w:eastAsia="en-US"/>
    </w:rPr>
  </w:style>
  <w:style w:type="paragraph" w:styleId="Revision">
    <w:name w:val="Revision"/>
    <w:hidden/>
    <w:uiPriority w:val="99"/>
    <w:semiHidden/>
    <w:rsid w:val="0002785E"/>
    <w:rPr>
      <w:rFonts w:ascii="Times New Roman" w:eastAsia="Times New Roman" w:hAnsi="Times New Roman"/>
      <w:sz w:val="24"/>
      <w:szCs w:val="24"/>
      <w:lang w:val="en-US" w:eastAsia="en-US"/>
    </w:rPr>
  </w:style>
  <w:style w:type="paragraph" w:styleId="NoSpacing">
    <w:name w:val="No Spacing"/>
    <w:uiPriority w:val="1"/>
    <w:qFormat/>
    <w:rsid w:val="00655E61"/>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246D-2743-439B-BE1A-D470619318E9}">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Panisales</dc:creator>
  <cp:keywords/>
  <cp:lastModifiedBy>Emma West</cp:lastModifiedBy>
  <cp:revision>2</cp:revision>
  <dcterms:created xsi:type="dcterms:W3CDTF">2025-06-18T10:07:00Z</dcterms:created>
  <dcterms:modified xsi:type="dcterms:W3CDTF">2025-06-18T10:07:00Z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8a931806-071c-4550-8c52-0df118d34311</vt:lpwstr>
  </property>
</Properties>
</file>