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A0237" w14:textId="2ED7CFC4" w:rsidR="001E16C6" w:rsidRPr="006F2137" w:rsidRDefault="00021659" w:rsidP="006F2137">
      <w:pPr>
        <w:pStyle w:val="bl"/>
        <w:spacing w:before="120" w:beforeAutospacing="0" w:after="120" w:afterAutospacing="0" w:line="276" w:lineRule="auto"/>
        <w:rPr>
          <w:rStyle w:val="bm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11 October</w:t>
      </w:r>
      <w:r w:rsidR="00741244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C456F4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4</w:t>
      </w:r>
    </w:p>
    <w:p w14:paraId="33AD5E50" w14:textId="4970CEFB" w:rsidR="006E3915" w:rsidRPr="006F2137" w:rsidRDefault="00741244" w:rsidP="006F2137">
      <w:pPr>
        <w:pStyle w:val="bl"/>
        <w:spacing w:before="120" w:beforeAutospacing="0" w:after="120" w:afterAutospacing="0" w:line="276" w:lineRule="auto"/>
        <w:jc w:val="center"/>
        <w:rPr>
          <w:rFonts w:ascii="Arial" w:hAnsi="Arial" w:cs="Arial"/>
          <w:color w:val="212721"/>
          <w:sz w:val="20"/>
          <w:szCs w:val="20"/>
        </w:rPr>
      </w:pPr>
      <w:r>
        <w:rPr>
          <w:rStyle w:val="bm"/>
          <w:rFonts w:ascii="Arial" w:hAnsi="Arial" w:cs="Arial"/>
          <w:b/>
          <w:bCs/>
          <w:color w:val="000000"/>
          <w:sz w:val="20"/>
          <w:szCs w:val="20"/>
        </w:rPr>
        <w:t xml:space="preserve">Ithaca Energy </w:t>
      </w:r>
      <w:r w:rsidR="006F2137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plc</w:t>
      </w:r>
    </w:p>
    <w:p w14:paraId="1D07F051" w14:textId="79CDF451" w:rsidR="006E3915" w:rsidRPr="006F2137" w:rsidRDefault="006E3915" w:rsidP="006F2137">
      <w:pPr>
        <w:pStyle w:val="bl"/>
        <w:spacing w:before="120" w:beforeAutospacing="0" w:after="12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6F2137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("</w:t>
      </w:r>
      <w:r w:rsidR="00741244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Ithaca</w:t>
      </w:r>
      <w:r w:rsidRPr="006F2137">
        <w:rPr>
          <w:rStyle w:val="bm"/>
          <w:rFonts w:ascii="Arial" w:hAnsi="Arial" w:cs="Arial"/>
          <w:b/>
          <w:bCs/>
          <w:color w:val="000000"/>
          <w:sz w:val="20"/>
          <w:szCs w:val="20"/>
        </w:rPr>
        <w:t>" or "the Company") </w:t>
      </w:r>
    </w:p>
    <w:p w14:paraId="549B1151" w14:textId="77777777" w:rsidR="006E3915" w:rsidRPr="006F2137" w:rsidRDefault="006E3915" w:rsidP="006F2137">
      <w:pPr>
        <w:pStyle w:val="yiv7914470696msonormal"/>
        <w:spacing w:before="120" w:beforeAutospacing="0" w:after="12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F2137">
        <w:rPr>
          <w:rFonts w:ascii="Arial" w:hAnsi="Arial" w:cs="Arial"/>
          <w:b/>
          <w:sz w:val="20"/>
          <w:szCs w:val="20"/>
        </w:rPr>
        <w:t>Director / PDMR Shareholdings</w:t>
      </w:r>
    </w:p>
    <w:p w14:paraId="5BF42B9D" w14:textId="00DA175F" w:rsidR="006E3915" w:rsidRPr="006F2137" w:rsidRDefault="00741244" w:rsidP="006F2137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Ithaca Energy</w:t>
      </w:r>
      <w:r w:rsidR="006F2137" w:rsidRPr="006F2137">
        <w:rPr>
          <w:rFonts w:ascii="Arial" w:eastAsia="Times New Roman" w:hAnsi="Arial" w:cs="Arial"/>
          <w:sz w:val="20"/>
          <w:szCs w:val="20"/>
        </w:rPr>
        <w:t xml:space="preserve"> plc (</w:t>
      </w:r>
      <w:r>
        <w:rPr>
          <w:rFonts w:ascii="Arial" w:eastAsia="Times New Roman" w:hAnsi="Arial" w:cs="Arial"/>
          <w:b/>
          <w:bCs/>
          <w:sz w:val="20"/>
          <w:szCs w:val="20"/>
        </w:rPr>
        <w:t>ITH</w:t>
      </w:r>
      <w:r w:rsidRPr="00741244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E3915" w:rsidRPr="006F2137">
        <w:rPr>
          <w:rFonts w:ascii="Arial" w:eastAsia="Times New Roman" w:hAnsi="Arial" w:cs="Arial"/>
          <w:sz w:val="20"/>
          <w:szCs w:val="20"/>
        </w:rPr>
        <w:t xml:space="preserve">makes the following announcement in respect of certain </w:t>
      </w:r>
      <w:r w:rsidR="0065669C" w:rsidRPr="006F2137">
        <w:rPr>
          <w:rFonts w:ascii="Arial" w:eastAsia="Times New Roman" w:hAnsi="Arial" w:cs="Arial"/>
          <w:sz w:val="20"/>
          <w:szCs w:val="20"/>
        </w:rPr>
        <w:t xml:space="preserve">disclosable </w:t>
      </w:r>
      <w:r w:rsidR="006E3915" w:rsidRPr="006F2137">
        <w:rPr>
          <w:rFonts w:ascii="Arial" w:eastAsia="Times New Roman" w:hAnsi="Arial" w:cs="Arial"/>
          <w:sz w:val="20"/>
          <w:szCs w:val="20"/>
        </w:rPr>
        <w:t xml:space="preserve">transactions carried out by </w:t>
      </w:r>
      <w:r w:rsidR="006F2137">
        <w:rPr>
          <w:rFonts w:ascii="Arial" w:eastAsia="Times New Roman" w:hAnsi="Arial" w:cs="Arial"/>
          <w:sz w:val="20"/>
          <w:szCs w:val="20"/>
        </w:rPr>
        <w:t>certain</w:t>
      </w:r>
      <w:r w:rsidR="006C0556" w:rsidRPr="006F2137">
        <w:rPr>
          <w:rFonts w:ascii="Arial" w:eastAsia="Times New Roman" w:hAnsi="Arial" w:cs="Arial"/>
          <w:sz w:val="20"/>
          <w:szCs w:val="20"/>
        </w:rPr>
        <w:t xml:space="preserve"> of its </w:t>
      </w:r>
      <w:r w:rsidR="006E3915" w:rsidRPr="006F2137">
        <w:rPr>
          <w:rFonts w:ascii="Arial" w:eastAsia="Times New Roman" w:hAnsi="Arial" w:cs="Arial"/>
          <w:sz w:val="20"/>
          <w:szCs w:val="20"/>
        </w:rPr>
        <w:t xml:space="preserve">directors </w:t>
      </w:r>
      <w:r w:rsidR="006F2137">
        <w:rPr>
          <w:rFonts w:ascii="Arial" w:eastAsia="Times New Roman" w:hAnsi="Arial" w:cs="Arial"/>
          <w:sz w:val="20"/>
          <w:szCs w:val="20"/>
        </w:rPr>
        <w:t>and persons discharging managerial responsibilities ("</w:t>
      </w:r>
      <w:r w:rsidR="006F2137" w:rsidRPr="006F2137">
        <w:rPr>
          <w:rFonts w:ascii="Arial" w:eastAsia="Times New Roman" w:hAnsi="Arial" w:cs="Arial"/>
          <w:b/>
          <w:bCs/>
          <w:sz w:val="20"/>
          <w:szCs w:val="20"/>
        </w:rPr>
        <w:t>PDMRs</w:t>
      </w:r>
      <w:r w:rsidR="006F2137">
        <w:rPr>
          <w:rFonts w:ascii="Arial" w:eastAsia="Times New Roman" w:hAnsi="Arial" w:cs="Arial"/>
          <w:sz w:val="20"/>
          <w:szCs w:val="20"/>
        </w:rPr>
        <w:t xml:space="preserve">") </w:t>
      </w:r>
      <w:r w:rsidR="006C0556" w:rsidRPr="006F2137">
        <w:rPr>
          <w:rFonts w:ascii="Arial" w:eastAsia="Times New Roman" w:hAnsi="Arial" w:cs="Arial"/>
          <w:sz w:val="20"/>
          <w:szCs w:val="20"/>
        </w:rPr>
        <w:t xml:space="preserve">on </w:t>
      </w:r>
      <w:r w:rsidR="00021659">
        <w:rPr>
          <w:rFonts w:ascii="Arial" w:eastAsia="Times New Roman" w:hAnsi="Arial" w:cs="Arial"/>
          <w:sz w:val="20"/>
          <w:szCs w:val="20"/>
        </w:rPr>
        <w:t>11 October</w:t>
      </w:r>
      <w:r w:rsidR="004929B7">
        <w:rPr>
          <w:rFonts w:ascii="Arial" w:eastAsia="Times New Roman" w:hAnsi="Arial" w:cs="Arial"/>
          <w:sz w:val="20"/>
          <w:szCs w:val="20"/>
        </w:rPr>
        <w:t xml:space="preserve"> 202</w:t>
      </w:r>
      <w:r w:rsidR="00C456F4">
        <w:rPr>
          <w:rFonts w:ascii="Arial" w:eastAsia="Times New Roman" w:hAnsi="Arial" w:cs="Arial"/>
          <w:sz w:val="20"/>
          <w:szCs w:val="20"/>
        </w:rPr>
        <w:t>4</w:t>
      </w:r>
      <w:r w:rsidR="006E3915" w:rsidRPr="006F2137">
        <w:rPr>
          <w:rFonts w:ascii="Arial" w:eastAsia="Times New Roman" w:hAnsi="Arial" w:cs="Arial"/>
          <w:sz w:val="20"/>
          <w:szCs w:val="20"/>
        </w:rPr>
        <w:t>.</w:t>
      </w:r>
    </w:p>
    <w:p w14:paraId="6766D30D" w14:textId="7CD1A7FF" w:rsidR="00741244" w:rsidRPr="006F2137" w:rsidRDefault="00741244" w:rsidP="00741244">
      <w:pPr>
        <w:pStyle w:val="s9"/>
        <w:spacing w:before="240" w:beforeAutospacing="0" w:after="240" w:afterAutospacing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2137">
        <w:rPr>
          <w:rFonts w:ascii="Arial" w:eastAsia="Times New Roman" w:hAnsi="Arial" w:cs="Arial"/>
          <w:b/>
          <w:sz w:val="20"/>
          <w:szCs w:val="20"/>
        </w:rPr>
        <w:t xml:space="preserve">Grant of </w:t>
      </w:r>
      <w:r>
        <w:rPr>
          <w:rFonts w:ascii="Arial" w:eastAsia="Times New Roman" w:hAnsi="Arial" w:cs="Arial"/>
          <w:b/>
          <w:sz w:val="20"/>
          <w:szCs w:val="20"/>
        </w:rPr>
        <w:t>performance share awards to PDMRs</w:t>
      </w:r>
    </w:p>
    <w:p w14:paraId="584F6962" w14:textId="5595B150" w:rsidR="00741244" w:rsidRDefault="00741244" w:rsidP="00741244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2137">
        <w:rPr>
          <w:rFonts w:ascii="Arial" w:eastAsia="Times New Roman" w:hAnsi="Arial" w:cs="Arial"/>
          <w:sz w:val="20"/>
          <w:szCs w:val="20"/>
        </w:rPr>
        <w:t xml:space="preserve">On </w:t>
      </w:r>
      <w:r w:rsidR="00021659">
        <w:rPr>
          <w:rFonts w:ascii="Arial" w:eastAsia="Times New Roman" w:hAnsi="Arial" w:cs="Arial"/>
          <w:sz w:val="20"/>
          <w:szCs w:val="20"/>
        </w:rPr>
        <w:t>11 October</w:t>
      </w:r>
      <w:r w:rsidR="004929B7">
        <w:rPr>
          <w:rFonts w:ascii="Arial" w:eastAsia="Times New Roman" w:hAnsi="Arial" w:cs="Arial"/>
          <w:sz w:val="20"/>
          <w:szCs w:val="20"/>
        </w:rPr>
        <w:t xml:space="preserve"> 202</w:t>
      </w:r>
      <w:r w:rsidR="00C456F4">
        <w:rPr>
          <w:rFonts w:ascii="Arial" w:eastAsia="Times New Roman" w:hAnsi="Arial" w:cs="Arial"/>
          <w:sz w:val="20"/>
          <w:szCs w:val="20"/>
        </w:rPr>
        <w:t>4</w:t>
      </w:r>
      <w:r w:rsidRPr="006F2137">
        <w:rPr>
          <w:rFonts w:ascii="Arial" w:eastAsia="Times New Roman" w:hAnsi="Arial" w:cs="Arial"/>
          <w:sz w:val="20"/>
          <w:szCs w:val="20"/>
        </w:rPr>
        <w:t>, the Company grant</w:t>
      </w:r>
      <w:r>
        <w:rPr>
          <w:rFonts w:ascii="Arial" w:eastAsia="Times New Roman" w:hAnsi="Arial" w:cs="Arial"/>
          <w:sz w:val="20"/>
          <w:szCs w:val="20"/>
        </w:rPr>
        <w:t>ed</w:t>
      </w:r>
      <w:r w:rsidRPr="006F213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performance share </w:t>
      </w:r>
      <w:r w:rsidRPr="006F2137">
        <w:rPr>
          <w:rFonts w:ascii="Arial" w:eastAsia="Times New Roman" w:hAnsi="Arial" w:cs="Arial"/>
          <w:sz w:val="20"/>
          <w:szCs w:val="20"/>
        </w:rPr>
        <w:t>awards</w:t>
      </w:r>
      <w:r>
        <w:rPr>
          <w:rFonts w:ascii="Arial" w:eastAsia="Times New Roman" w:hAnsi="Arial" w:cs="Arial"/>
          <w:sz w:val="20"/>
          <w:szCs w:val="20"/>
        </w:rPr>
        <w:t xml:space="preserve"> ("</w:t>
      </w:r>
      <w:r>
        <w:rPr>
          <w:rFonts w:ascii="Arial" w:eastAsia="Times New Roman" w:hAnsi="Arial" w:cs="Arial"/>
          <w:b/>
          <w:bCs/>
          <w:sz w:val="20"/>
          <w:szCs w:val="20"/>
        </w:rPr>
        <w:t>Performance</w:t>
      </w:r>
      <w:r w:rsidRPr="00741244">
        <w:rPr>
          <w:rFonts w:ascii="Arial" w:eastAsia="Times New Roman" w:hAnsi="Arial" w:cs="Arial"/>
          <w:b/>
          <w:bCs/>
          <w:sz w:val="20"/>
          <w:szCs w:val="20"/>
        </w:rPr>
        <w:t xml:space="preserve"> Share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F2137">
        <w:rPr>
          <w:rFonts w:ascii="Arial" w:eastAsia="Times New Roman" w:hAnsi="Arial" w:cs="Arial"/>
          <w:b/>
          <w:bCs/>
          <w:sz w:val="20"/>
          <w:szCs w:val="20"/>
        </w:rPr>
        <w:t>Awards</w:t>
      </w:r>
      <w:r>
        <w:rPr>
          <w:rFonts w:ascii="Arial" w:eastAsia="Times New Roman" w:hAnsi="Arial" w:cs="Arial"/>
          <w:sz w:val="20"/>
          <w:szCs w:val="20"/>
        </w:rPr>
        <w:t>")</w:t>
      </w:r>
      <w:r w:rsidRPr="006F2137">
        <w:rPr>
          <w:rFonts w:ascii="Arial" w:eastAsia="Times New Roman" w:hAnsi="Arial" w:cs="Arial"/>
          <w:sz w:val="20"/>
          <w:szCs w:val="20"/>
        </w:rPr>
        <w:t xml:space="preserve"> under the </w:t>
      </w:r>
      <w:r w:rsidR="004929B7" w:rsidRPr="004929B7">
        <w:rPr>
          <w:rFonts w:ascii="Arial" w:eastAsia="Times New Roman" w:hAnsi="Arial" w:cs="Arial"/>
          <w:b/>
          <w:bCs/>
          <w:sz w:val="20"/>
          <w:szCs w:val="20"/>
        </w:rPr>
        <w:t xml:space="preserve">Ithaca Energy Long-Term Incentive Plan </w:t>
      </w:r>
      <w:r w:rsidRPr="006F2137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6F2137">
        <w:rPr>
          <w:rFonts w:ascii="Arial" w:eastAsia="Times New Roman" w:hAnsi="Arial" w:cs="Arial"/>
          <w:sz w:val="20"/>
          <w:szCs w:val="20"/>
        </w:rPr>
        <w:t>PDMRs</w:t>
      </w:r>
      <w:r>
        <w:rPr>
          <w:rFonts w:ascii="Arial" w:eastAsia="Times New Roman" w:hAnsi="Arial" w:cs="Arial"/>
          <w:sz w:val="20"/>
          <w:szCs w:val="20"/>
        </w:rPr>
        <w:t xml:space="preserve"> listed below</w:t>
      </w:r>
      <w:r w:rsidRPr="006F2137">
        <w:rPr>
          <w:rFonts w:ascii="Arial" w:eastAsia="Times New Roman" w:hAnsi="Arial" w:cs="Arial"/>
          <w:sz w:val="20"/>
          <w:szCs w:val="20"/>
        </w:rPr>
        <w:t>:</w:t>
      </w:r>
    </w:p>
    <w:p w14:paraId="3DD560A6" w14:textId="77777777" w:rsidR="004929B7" w:rsidRDefault="004929B7" w:rsidP="00741244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7"/>
      </w:tblGrid>
      <w:tr w:rsidR="00741244" w:rsidRPr="006F2137" w14:paraId="3ED67D78" w14:textId="77777777" w:rsidTr="009D3871">
        <w:trPr>
          <w:jc w:val="center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AF43" w14:textId="77777777" w:rsidR="00741244" w:rsidRPr="006F2137" w:rsidRDefault="00741244" w:rsidP="009D3871">
            <w:pPr>
              <w:adjustRightInd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2137">
              <w:rPr>
                <w:rFonts w:eastAsia="Times New Roman"/>
                <w:b/>
                <w:bCs/>
                <w:color w:val="000000"/>
              </w:rPr>
              <w:t>PDMR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954D" w14:textId="77777777" w:rsidR="00741244" w:rsidRPr="006F2137" w:rsidRDefault="00741244" w:rsidP="009D3871">
            <w:pPr>
              <w:adjustRightInd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2137">
              <w:rPr>
                <w:rFonts w:eastAsia="Times New Roman"/>
                <w:b/>
                <w:bCs/>
                <w:color w:val="000000"/>
              </w:rPr>
              <w:t xml:space="preserve">No. of </w:t>
            </w:r>
            <w:r>
              <w:rPr>
                <w:rFonts w:eastAsia="Times New Roman"/>
                <w:b/>
                <w:bCs/>
                <w:color w:val="000000"/>
              </w:rPr>
              <w:t>shares under Restricted Share</w:t>
            </w:r>
            <w:r w:rsidRPr="006F2137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A</w:t>
            </w:r>
            <w:r w:rsidRPr="006F2137">
              <w:rPr>
                <w:rFonts w:eastAsia="Times New Roman"/>
                <w:b/>
                <w:bCs/>
                <w:color w:val="000000"/>
              </w:rPr>
              <w:t>ward</w:t>
            </w:r>
          </w:p>
        </w:tc>
      </w:tr>
      <w:tr w:rsidR="00741244" w:rsidRPr="006F2137" w14:paraId="1C599FCB" w14:textId="77777777" w:rsidTr="009D3871">
        <w:trPr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3DE9" w14:textId="6378A5DC" w:rsidR="00741244" w:rsidRPr="006F2137" w:rsidRDefault="00021659" w:rsidP="009D3871">
            <w:pPr>
              <w:adjustRightInd/>
              <w:spacing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Luciano Vasques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DAE6" w14:textId="13F4A68E" w:rsidR="00741244" w:rsidRPr="00021659" w:rsidRDefault="00021659" w:rsidP="00021659">
            <w:pPr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819,970</w:t>
            </w:r>
          </w:p>
        </w:tc>
      </w:tr>
    </w:tbl>
    <w:p w14:paraId="47A2B9E7" w14:textId="77777777" w:rsidR="004929B7" w:rsidRDefault="004929B7" w:rsidP="00741244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53FA80" w14:textId="59ED2CE3" w:rsidR="00741244" w:rsidRDefault="00741244" w:rsidP="00741244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Each Performance Share Awards are granted in the form of a nil-cost option and which will become exercisable on </w:t>
      </w:r>
      <w:r w:rsidR="00021659">
        <w:rPr>
          <w:rFonts w:ascii="Arial" w:eastAsia="Times New Roman" w:hAnsi="Arial" w:cs="Arial"/>
          <w:sz w:val="20"/>
          <w:szCs w:val="20"/>
        </w:rPr>
        <w:t xml:space="preserve">11 October </w:t>
      </w:r>
      <w:r w:rsidR="004929B7">
        <w:rPr>
          <w:rFonts w:ascii="Arial" w:eastAsia="Times New Roman" w:hAnsi="Arial" w:cs="Arial"/>
          <w:sz w:val="20"/>
          <w:szCs w:val="20"/>
        </w:rPr>
        <w:t xml:space="preserve">2027 </w:t>
      </w:r>
      <w:r>
        <w:rPr>
          <w:rFonts w:ascii="Arial" w:eastAsia="Times New Roman" w:hAnsi="Arial" w:cs="Arial"/>
          <w:sz w:val="20"/>
          <w:szCs w:val="20"/>
        </w:rPr>
        <w:t xml:space="preserve">(or, if later, the date on which the Remuneration Committee determines that the applicable performance conditions (described below) are met). </w:t>
      </w:r>
    </w:p>
    <w:p w14:paraId="43FA55D8" w14:textId="3BC7E6EB" w:rsidR="00741244" w:rsidRDefault="00741244" w:rsidP="004929B7">
      <w:pPr>
        <w:pStyle w:val="s9"/>
        <w:spacing w:before="120" w:beforeAutospacing="0" w:after="120" w:afterAutospacing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Performance Share Awards are subject to a relative TSR performance condition</w:t>
      </w:r>
      <w:r w:rsidR="004929B7">
        <w:rPr>
          <w:rFonts w:ascii="Arial" w:eastAsia="Times New Roman" w:hAnsi="Arial" w:cs="Arial"/>
          <w:sz w:val="20"/>
          <w:szCs w:val="20"/>
        </w:rPr>
        <w:t>.</w:t>
      </w:r>
    </w:p>
    <w:p w14:paraId="5CA81644" w14:textId="01E08188" w:rsidR="003323E5" w:rsidRPr="006F2137" w:rsidRDefault="003323E5" w:rsidP="006F2137">
      <w:pPr>
        <w:pStyle w:val="s9"/>
        <w:spacing w:before="120" w:beforeAutospacing="0" w:after="120" w:afterAutospacing="0" w:line="276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6F2137">
        <w:rPr>
          <w:rFonts w:ascii="Arial" w:eastAsia="Times New Roman" w:hAnsi="Arial" w:cs="Arial"/>
          <w:i/>
          <w:iCs/>
          <w:sz w:val="20"/>
          <w:szCs w:val="20"/>
        </w:rPr>
        <w:t>This announcement is made in accordance with Article 19 of the EU Market Abuse Regulation 596/2014.</w:t>
      </w:r>
    </w:p>
    <w:p w14:paraId="66EFABFC" w14:textId="77777777" w:rsidR="00670D07" w:rsidRPr="006F2137" w:rsidRDefault="00670D07" w:rsidP="006F2137">
      <w:pPr>
        <w:spacing w:before="120" w:after="120" w:line="276" w:lineRule="auto"/>
        <w:rPr>
          <w:rFonts w:eastAsia="Times New Roman"/>
          <w:b/>
          <w:bCs/>
          <w:color w:val="000000"/>
          <w:u w:val="single"/>
        </w:rPr>
      </w:pPr>
    </w:p>
    <w:p w14:paraId="501C73D2" w14:textId="77777777" w:rsidR="006F2137" w:rsidRPr="006F2137" w:rsidRDefault="006F2137" w:rsidP="006F2137">
      <w:pPr>
        <w:adjustRightInd/>
        <w:spacing w:after="240"/>
        <w:jc w:val="left"/>
        <w:rPr>
          <w:rFonts w:ascii="Times New Roman" w:eastAsia="Times New Roman" w:hAnsi="Times New Roman" w:cs="Times New Roman"/>
          <w:b/>
          <w:bCs/>
          <w:color w:val="16202C"/>
          <w:sz w:val="24"/>
          <w:szCs w:val="24"/>
        </w:rPr>
      </w:pPr>
      <w:r w:rsidRPr="006F2137">
        <w:rPr>
          <w:rFonts w:eastAsia="Times New Roman"/>
          <w:b/>
          <w:bCs/>
          <w:color w:val="16202C"/>
        </w:rPr>
        <w:t>For further information, please contact: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5"/>
        <w:gridCol w:w="3070"/>
      </w:tblGrid>
      <w:tr w:rsidR="006F2137" w:rsidRPr="006F2137" w14:paraId="02FA6694" w14:textId="77777777" w:rsidTr="00741244">
        <w:tc>
          <w:tcPr>
            <w:tcW w:w="566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82197B" w14:textId="2ABEAE23" w:rsidR="006F2137" w:rsidRDefault="00741244" w:rsidP="006F2137">
            <w:pPr>
              <w:adjustRightInd/>
              <w:spacing w:after="12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41244">
              <w:rPr>
                <w:rFonts w:eastAsia="Times New Roman"/>
                <w:b/>
                <w:bCs/>
                <w:color w:val="000000"/>
              </w:rPr>
              <w:t>Company</w:t>
            </w:r>
            <w:r>
              <w:rPr>
                <w:rFonts w:eastAsia="Times New Roman"/>
                <w:b/>
                <w:bCs/>
                <w:color w:val="000000"/>
              </w:rPr>
              <w:t>:</w:t>
            </w:r>
          </w:p>
          <w:p w14:paraId="7A97C40A" w14:textId="77777777" w:rsidR="00741244" w:rsidRPr="00741244" w:rsidRDefault="00741244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eastAsia="Times New Roman"/>
                <w:color w:val="000000"/>
              </w:rPr>
            </w:pPr>
            <w:r w:rsidRPr="00741244">
              <w:rPr>
                <w:rFonts w:eastAsia="Times New Roman"/>
                <w:color w:val="000000"/>
              </w:rPr>
              <w:t>Kathryn Reid - Head of Corporate Affairs &amp; Communications</w:t>
            </w:r>
          </w:p>
          <w:p w14:paraId="2B48BDCD" w14:textId="77777777" w:rsidR="00741244" w:rsidRPr="00741244" w:rsidRDefault="00741244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eastAsia="Times New Roman"/>
                <w:color w:val="000000"/>
              </w:rPr>
            </w:pPr>
          </w:p>
          <w:p w14:paraId="2F0974D2" w14:textId="310B9C90" w:rsidR="00741244" w:rsidRPr="00741244" w:rsidRDefault="00741244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ascii="Times New Roman" w:eastAsia="Times New Roman" w:hAnsi="Times New Roman" w:cs="Times New Roman"/>
                <w:b/>
                <w:bCs/>
                <w:color w:val="16202C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C429A" w14:textId="77777777" w:rsidR="00741244" w:rsidRDefault="00741244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eastAsia="Times New Roman"/>
                <w:color w:val="000000"/>
              </w:rPr>
            </w:pPr>
          </w:p>
          <w:p w14:paraId="261933BF" w14:textId="77777777" w:rsidR="00741244" w:rsidRDefault="00741244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eastAsia="Times New Roman"/>
                <w:color w:val="000000"/>
              </w:rPr>
            </w:pPr>
          </w:p>
          <w:p w14:paraId="3A6FE43F" w14:textId="65F2EEA5" w:rsidR="00741244" w:rsidRPr="00741244" w:rsidRDefault="00021659" w:rsidP="0074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jc w:val="left"/>
              <w:rPr>
                <w:rFonts w:eastAsia="Times New Roman"/>
                <w:color w:val="000000"/>
              </w:rPr>
            </w:pPr>
            <w:hyperlink r:id="rId12" w:history="1">
              <w:r w:rsidR="00741244" w:rsidRPr="00741244">
                <w:rPr>
                  <w:rStyle w:val="Hyperlink"/>
                  <w:rFonts w:eastAsia="Times New Roman"/>
                </w:rPr>
                <w:t>kathryn.reid@ithacaenergy.com</w:t>
              </w:r>
            </w:hyperlink>
            <w:r w:rsidR="00741244">
              <w:rPr>
                <w:rFonts w:eastAsia="Times New Roman"/>
                <w:color w:val="000000"/>
              </w:rPr>
              <w:t xml:space="preserve"> </w:t>
            </w:r>
          </w:p>
          <w:p w14:paraId="18D37349" w14:textId="6F9AAFFC" w:rsidR="006F2137" w:rsidRPr="006F2137" w:rsidRDefault="006F2137" w:rsidP="006F2137">
            <w:pPr>
              <w:adjustRightInd/>
              <w:spacing w:after="120"/>
              <w:jc w:val="left"/>
              <w:rPr>
                <w:rFonts w:ascii="Times New Roman" w:eastAsia="Times New Roman" w:hAnsi="Times New Roman" w:cs="Times New Roman"/>
                <w:b/>
                <w:bCs/>
                <w:color w:val="16202C"/>
                <w:sz w:val="24"/>
                <w:szCs w:val="24"/>
              </w:rPr>
            </w:pPr>
          </w:p>
        </w:tc>
      </w:tr>
      <w:tr w:rsidR="006F2137" w:rsidRPr="006F2137" w14:paraId="5C451124" w14:textId="77777777" w:rsidTr="00741244">
        <w:tc>
          <w:tcPr>
            <w:tcW w:w="56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BA9F7" w14:textId="77777777" w:rsidR="00741244" w:rsidRPr="00741244" w:rsidRDefault="00741244" w:rsidP="00741244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  <w:r w:rsidRPr="00741244">
              <w:rPr>
                <w:rFonts w:ascii="Arial" w:hAnsi="Arial" w:cs="Arial"/>
                <w:b/>
                <w:bCs/>
                <w:color w:val="000000"/>
              </w:rPr>
              <w:t>FTI Consulting - PR Advisers to Ithaca Energy</w:t>
            </w:r>
          </w:p>
          <w:p w14:paraId="2344639D" w14:textId="77777777" w:rsidR="00741244" w:rsidRP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3F50C1DF" w14:textId="77777777" w:rsidR="00741244" w:rsidRP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741244">
              <w:rPr>
                <w:rFonts w:ascii="Arial" w:hAnsi="Arial" w:cs="Arial"/>
                <w:color w:val="000000"/>
              </w:rPr>
              <w:t>Ben Brewerton / Nick Hennis</w:t>
            </w:r>
          </w:p>
          <w:p w14:paraId="182A679F" w14:textId="77777777" w:rsidR="00741244" w:rsidRP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0CF5D809" w14:textId="5CC0EBBB" w:rsidR="006F2137" w:rsidRPr="00741244" w:rsidRDefault="006F2137" w:rsidP="00741244">
            <w:pPr>
              <w:pStyle w:val="HTMLPreformatted"/>
              <w:rPr>
                <w:rFonts w:ascii="Arial" w:hAnsi="Arial" w:cs="Arial"/>
                <w:color w:val="16202C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69CEE" w14:textId="77777777" w:rsid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612C852D" w14:textId="77777777" w:rsid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4273FF3E" w14:textId="77777777" w:rsid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741244">
              <w:rPr>
                <w:rFonts w:ascii="Arial" w:hAnsi="Arial" w:cs="Arial"/>
                <w:color w:val="000000"/>
              </w:rPr>
              <w:t xml:space="preserve">+44 (0)203 727 1000 </w:t>
            </w:r>
          </w:p>
          <w:p w14:paraId="4D13499D" w14:textId="77777777" w:rsid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58CBB344" w14:textId="2EC08163" w:rsidR="00741244" w:rsidRPr="00741244" w:rsidRDefault="00021659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  <w:hyperlink r:id="rId13" w:history="1">
              <w:r w:rsidR="00741244" w:rsidRPr="006A0C60">
                <w:rPr>
                  <w:rStyle w:val="Hyperlink"/>
                  <w:rFonts w:ascii="Arial" w:hAnsi="Arial" w:cs="Arial"/>
                </w:rPr>
                <w:t>ithaca@fticonsulting.com</w:t>
              </w:r>
            </w:hyperlink>
            <w:r w:rsidR="00741244" w:rsidRPr="00741244">
              <w:rPr>
                <w:rFonts w:ascii="Arial" w:hAnsi="Arial" w:cs="Arial"/>
                <w:color w:val="000000"/>
              </w:rPr>
              <w:t xml:space="preserve"> </w:t>
            </w:r>
          </w:p>
          <w:p w14:paraId="1ED12631" w14:textId="19A9143E" w:rsidR="00741244" w:rsidRPr="00741244" w:rsidRDefault="00741244" w:rsidP="00741244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  <w:p w14:paraId="4E6D9049" w14:textId="33BFB649" w:rsidR="006F2137" w:rsidRPr="00741244" w:rsidRDefault="006F2137" w:rsidP="006F2137">
            <w:pPr>
              <w:adjustRightInd/>
              <w:spacing w:after="120"/>
              <w:jc w:val="left"/>
              <w:rPr>
                <w:rFonts w:eastAsia="Times New Roman"/>
                <w:b/>
                <w:bCs/>
                <w:color w:val="16202C"/>
                <w:sz w:val="24"/>
                <w:szCs w:val="24"/>
              </w:rPr>
            </w:pPr>
          </w:p>
        </w:tc>
      </w:tr>
      <w:tr w:rsidR="006F2137" w:rsidRPr="006F2137" w14:paraId="0616C6B0" w14:textId="77777777" w:rsidTr="00741244">
        <w:tc>
          <w:tcPr>
            <w:tcW w:w="56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B4A8E" w14:textId="1FDB8631" w:rsidR="006F2137" w:rsidRPr="006F2137" w:rsidRDefault="006F2137" w:rsidP="006F2137">
            <w:pPr>
              <w:adjustRightInd/>
              <w:spacing w:after="120"/>
              <w:jc w:val="left"/>
              <w:rPr>
                <w:rFonts w:ascii="Times New Roman" w:eastAsia="Times New Roman" w:hAnsi="Times New Roman" w:cs="Times New Roman"/>
                <w:color w:val="16202C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25D6C" w14:textId="70203D45" w:rsidR="006F2137" w:rsidRPr="006F2137" w:rsidRDefault="006F2137" w:rsidP="006F2137">
            <w:pPr>
              <w:adjustRightInd/>
              <w:spacing w:after="120"/>
              <w:jc w:val="left"/>
              <w:rPr>
                <w:rFonts w:ascii="Times New Roman" w:eastAsia="Times New Roman" w:hAnsi="Times New Roman" w:cs="Times New Roman"/>
                <w:b/>
                <w:bCs/>
                <w:color w:val="16202C"/>
                <w:sz w:val="24"/>
                <w:szCs w:val="24"/>
              </w:rPr>
            </w:pPr>
          </w:p>
        </w:tc>
      </w:tr>
    </w:tbl>
    <w:p w14:paraId="08C15A82" w14:textId="77777777" w:rsidR="006F2137" w:rsidRDefault="006F2137" w:rsidP="006F2137">
      <w:pPr>
        <w:spacing w:before="120" w:after="120" w:line="276" w:lineRule="auto"/>
        <w:rPr>
          <w:rFonts w:eastAsia="Times New Roman"/>
          <w:b/>
          <w:bCs/>
          <w:color w:val="000000"/>
          <w:u w:val="single"/>
        </w:rPr>
      </w:pPr>
    </w:p>
    <w:p w14:paraId="09FC1B0A" w14:textId="77777777" w:rsidR="006F2137" w:rsidRPr="006F2137" w:rsidRDefault="006F2137" w:rsidP="006F2137">
      <w:pPr>
        <w:spacing w:before="120" w:after="120" w:line="276" w:lineRule="auto"/>
        <w:rPr>
          <w:rFonts w:eastAsia="Times New Roman"/>
          <w:b/>
          <w:bCs/>
          <w:color w:val="212721"/>
          <w:u w:val="single"/>
        </w:rPr>
      </w:pPr>
    </w:p>
    <w:p w14:paraId="0DD9D7F4" w14:textId="77777777" w:rsidR="003323E5" w:rsidRPr="006F2137" w:rsidRDefault="003323E5" w:rsidP="006F2137">
      <w:pPr>
        <w:pStyle w:val="s9"/>
        <w:spacing w:before="120" w:beforeAutospacing="0" w:after="120" w:afterAutospacing="0" w:line="276" w:lineRule="auto"/>
        <w:rPr>
          <w:rFonts w:ascii="Arial" w:eastAsia="Times New Roman" w:hAnsi="Arial" w:cs="Arial"/>
          <w:sz w:val="20"/>
          <w:szCs w:val="20"/>
        </w:rPr>
      </w:pPr>
    </w:p>
    <w:p w14:paraId="162E73A4" w14:textId="494C8CB2" w:rsidR="006F2137" w:rsidRPr="00C456F4" w:rsidRDefault="003323E5" w:rsidP="00C456F4">
      <w:pPr>
        <w:adjustRightInd/>
        <w:spacing w:before="120" w:after="120" w:line="276" w:lineRule="auto"/>
        <w:jc w:val="left"/>
        <w:rPr>
          <w:rFonts w:eastAsia="Times New Roman"/>
        </w:rPr>
      </w:pPr>
      <w:r w:rsidRPr="006F2137">
        <w:rPr>
          <w:rFonts w:eastAsia="Times New Roman"/>
        </w:rPr>
        <w:br w:type="page"/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765"/>
        <w:gridCol w:w="5741"/>
      </w:tblGrid>
      <w:tr w:rsidR="003323E5" w:rsidRPr="006F2137" w14:paraId="5B4F8304" w14:textId="77777777" w:rsidTr="000A71D2"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5A64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lastRenderedPageBreak/>
              <w:t>1.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9F8B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Details of the person discharging managerial responsibilities/ person closely associated</w:t>
            </w:r>
          </w:p>
        </w:tc>
      </w:tr>
      <w:tr w:rsidR="003323E5" w:rsidRPr="006F2137" w14:paraId="59DCB78A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2365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a)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A599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Name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FAFE" w14:textId="71E05916" w:rsidR="003323E5" w:rsidRPr="006F2137" w:rsidRDefault="00021659" w:rsidP="00021659">
            <w:pPr>
              <w:spacing w:before="120" w:after="120" w:line="276" w:lineRule="auto"/>
              <w:rPr>
                <w:rFonts w:eastAsia="Times New Roman"/>
              </w:rPr>
            </w:pPr>
            <w:r w:rsidRPr="00021659">
              <w:rPr>
                <w:rFonts w:eastAsia="Times New Roman"/>
              </w:rPr>
              <w:t xml:space="preserve"> Luciano Vasques</w:t>
            </w:r>
          </w:p>
        </w:tc>
      </w:tr>
      <w:tr w:rsidR="003323E5" w:rsidRPr="006F2137" w14:paraId="292B73CD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1E1A" w14:textId="3815C060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7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6D4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Reason for the notification</w:t>
            </w:r>
          </w:p>
        </w:tc>
      </w:tr>
      <w:tr w:rsidR="003323E5" w:rsidRPr="006F2137" w14:paraId="559B18A9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3BF2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a)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566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Position/status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C1AF" w14:textId="4101D048" w:rsidR="003323E5" w:rsidRPr="006F2137" w:rsidRDefault="004929B7" w:rsidP="006F2137">
            <w:pPr>
              <w:spacing w:before="120" w:after="12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CEO</w:t>
            </w:r>
          </w:p>
        </w:tc>
      </w:tr>
      <w:tr w:rsidR="003323E5" w:rsidRPr="006F2137" w14:paraId="4100C5CC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ED2D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b)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AD66" w14:textId="71AE732E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Initial notification/ Amendment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B43" w14:textId="6B2E7E41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Initial Notificatio</w:t>
            </w:r>
            <w:r w:rsidR="006F2137">
              <w:rPr>
                <w:rFonts w:eastAsia="Times New Roman"/>
              </w:rPr>
              <w:t>n</w:t>
            </w:r>
          </w:p>
        </w:tc>
      </w:tr>
      <w:tr w:rsidR="003323E5" w:rsidRPr="006F2137" w14:paraId="23958312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F1B5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7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B5A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Details of the issuer, emission allowance market participant, auction platform, auctioneer or auction monitor</w:t>
            </w:r>
          </w:p>
        </w:tc>
      </w:tr>
      <w:tr w:rsidR="003323E5" w:rsidRPr="006F2137" w14:paraId="6210BECE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05E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a)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731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Name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492C" w14:textId="3DA56CF1" w:rsidR="003323E5" w:rsidRPr="006F2137" w:rsidRDefault="00741244" w:rsidP="006F2137">
            <w:pPr>
              <w:spacing w:before="120" w:after="12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Ithaca Energy</w:t>
            </w:r>
            <w:r w:rsidR="006F2137">
              <w:rPr>
                <w:rFonts w:eastAsia="Times New Roman"/>
              </w:rPr>
              <w:t xml:space="preserve"> plc</w:t>
            </w:r>
          </w:p>
          <w:p w14:paraId="7C86FFD0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</w:tr>
      <w:tr w:rsidR="003323E5" w:rsidRPr="006F2137" w14:paraId="1C275420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C292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b)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3DCC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LEI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6787" w14:textId="55AECD64" w:rsidR="003323E5" w:rsidRPr="006F2137" w:rsidRDefault="00741244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741244">
              <w:rPr>
                <w:rFonts w:eastAsia="Times New Roman"/>
              </w:rPr>
              <w:t xml:space="preserve">21380057TNFLXPXBIP34 </w:t>
            </w:r>
          </w:p>
        </w:tc>
      </w:tr>
      <w:tr w:rsidR="003323E5" w:rsidRPr="006F2137" w14:paraId="380A5499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1E4D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7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3F2C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  <w:b/>
                <w:bCs/>
              </w:rPr>
            </w:pPr>
            <w:r w:rsidRPr="006F2137">
              <w:rPr>
                <w:rFonts w:eastAsia="Times New Roman"/>
                <w:b/>
                <w:bCs/>
              </w:rPr>
              <w:t>Details of the transaction(s): section to be repeated for (</w:t>
            </w:r>
            <w:proofErr w:type="spellStart"/>
            <w:r w:rsidRPr="006F2137">
              <w:rPr>
                <w:rFonts w:eastAsia="Times New Roman"/>
                <w:b/>
                <w:bCs/>
              </w:rPr>
              <w:t>i</w:t>
            </w:r>
            <w:proofErr w:type="spellEnd"/>
            <w:r w:rsidRPr="006F2137">
              <w:rPr>
                <w:rFonts w:eastAsia="Times New Roman"/>
                <w:b/>
                <w:bCs/>
              </w:rPr>
              <w:t>) each type of instrument; (ii) each type of transaction; (iii) each date; (iv) each place where transactions have been conducted</w:t>
            </w:r>
          </w:p>
        </w:tc>
      </w:tr>
      <w:tr w:rsidR="003323E5" w:rsidRPr="006F2137" w14:paraId="362CF98B" w14:textId="77777777" w:rsidTr="000A71D2">
        <w:trPr>
          <w:trHeight w:val="885"/>
        </w:trPr>
        <w:tc>
          <w:tcPr>
            <w:tcW w:w="1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54B5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a)</w:t>
            </w:r>
          </w:p>
        </w:tc>
        <w:tc>
          <w:tcPr>
            <w:tcW w:w="177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AFD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Description of the financial instrument, type of instrument</w:t>
            </w:r>
          </w:p>
          <w:p w14:paraId="44A9CB43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6389" w14:textId="2DD4E90C" w:rsidR="006F2137" w:rsidRPr="006F2137" w:rsidRDefault="006F2137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 xml:space="preserve">Ordinary </w:t>
            </w:r>
            <w:r w:rsidR="00741244">
              <w:rPr>
                <w:rFonts w:eastAsia="Times New Roman"/>
              </w:rPr>
              <w:t>1</w:t>
            </w:r>
            <w:r w:rsidRPr="006F2137">
              <w:rPr>
                <w:rFonts w:eastAsia="Times New Roman"/>
              </w:rPr>
              <w:t>p shares</w:t>
            </w:r>
          </w:p>
          <w:p w14:paraId="3B7E5E4E" w14:textId="77777777" w:rsidR="006F2137" w:rsidRPr="006F2137" w:rsidRDefault="006F2137" w:rsidP="006F2137">
            <w:pPr>
              <w:spacing w:before="120" w:after="120" w:line="276" w:lineRule="auto"/>
              <w:rPr>
                <w:rFonts w:eastAsia="Times New Roman"/>
              </w:rPr>
            </w:pPr>
          </w:p>
          <w:p w14:paraId="54BA20CB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 </w:t>
            </w:r>
          </w:p>
          <w:p w14:paraId="0388E7B0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</w:tr>
      <w:tr w:rsidR="003323E5" w:rsidRPr="006F2137" w14:paraId="38D5FA54" w14:textId="77777777" w:rsidTr="000A71D2">
        <w:trPr>
          <w:trHeight w:val="885"/>
        </w:trPr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2295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  <w:tc>
          <w:tcPr>
            <w:tcW w:w="177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AD34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Identification code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A67D" w14:textId="177577D9" w:rsidR="003323E5" w:rsidRPr="006F2137" w:rsidRDefault="006F2137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 xml:space="preserve">ISIN: </w:t>
            </w:r>
            <w:r w:rsidR="00741244" w:rsidRPr="00741244">
              <w:rPr>
                <w:rFonts w:eastAsia="Times New Roman"/>
              </w:rPr>
              <w:t>GB00BPJHV584</w:t>
            </w:r>
          </w:p>
        </w:tc>
      </w:tr>
      <w:tr w:rsidR="003323E5" w:rsidRPr="006F2137" w14:paraId="5ECAD670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3818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b)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A072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Nature of the transaction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2A4D" w14:textId="5404A034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color w:val="000000"/>
              </w:rPr>
              <w:t>Grant of a</w:t>
            </w:r>
            <w:r w:rsidR="00C4394F">
              <w:rPr>
                <w:color w:val="000000"/>
              </w:rPr>
              <w:t>n</w:t>
            </w:r>
            <w:r w:rsidRPr="006F2137">
              <w:rPr>
                <w:color w:val="000000"/>
              </w:rPr>
              <w:t xml:space="preserve"> </w:t>
            </w:r>
            <w:r w:rsidR="00C4394F">
              <w:rPr>
                <w:color w:val="000000"/>
              </w:rPr>
              <w:t xml:space="preserve">award </w:t>
            </w:r>
            <w:r w:rsidRPr="006F2137">
              <w:rPr>
                <w:color w:val="000000"/>
              </w:rPr>
              <w:t xml:space="preserve">over </w:t>
            </w:r>
            <w:r w:rsidRPr="006F2137">
              <w:rPr>
                <w:rFonts w:eastAsia="Times New Roman"/>
              </w:rPr>
              <w:t xml:space="preserve">ordinary shares </w:t>
            </w:r>
            <w:r w:rsidR="006F2137">
              <w:rPr>
                <w:rFonts w:eastAsia="Times New Roman"/>
              </w:rPr>
              <w:t xml:space="preserve">pursuant to the </w:t>
            </w:r>
            <w:r w:rsidR="00741244">
              <w:rPr>
                <w:rFonts w:eastAsia="Times New Roman"/>
              </w:rPr>
              <w:t>Ithaca Energy</w:t>
            </w:r>
            <w:r w:rsidR="006F2137">
              <w:rPr>
                <w:rFonts w:eastAsia="Times New Roman"/>
              </w:rPr>
              <w:t xml:space="preserve"> Long Term Incentive Plan</w:t>
            </w:r>
          </w:p>
          <w:p w14:paraId="16E4B39A" w14:textId="77777777" w:rsidR="003323E5" w:rsidRPr="006F2137" w:rsidRDefault="003323E5" w:rsidP="006F2137">
            <w:pPr>
              <w:spacing w:before="120" w:after="120" w:line="276" w:lineRule="auto"/>
              <w:ind w:left="284" w:hanging="284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  </w:t>
            </w:r>
          </w:p>
        </w:tc>
      </w:tr>
      <w:tr w:rsidR="003323E5" w:rsidRPr="006F2137" w14:paraId="7635FA1C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6912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c)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9DF9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Price(s) and volume(s)</w:t>
            </w:r>
          </w:p>
          <w:p w14:paraId="35512968" w14:textId="77777777" w:rsidR="00834A70" w:rsidRPr="006F2137" w:rsidRDefault="00834A70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2595"/>
            </w:tblGrid>
            <w:tr w:rsidR="00834A70" w:rsidRPr="006F2137" w14:paraId="75214151" w14:textId="77777777" w:rsidTr="00834A70">
              <w:tc>
                <w:tcPr>
                  <w:tcW w:w="25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AE4D5B" w14:textId="77777777" w:rsidR="00834A70" w:rsidRPr="006F2137" w:rsidRDefault="00834A70" w:rsidP="006F2137">
                  <w:pPr>
                    <w:spacing w:before="120" w:after="120" w:line="276" w:lineRule="auto"/>
                    <w:rPr>
                      <w:rFonts w:eastAsia="Times New Roman"/>
                    </w:rPr>
                  </w:pPr>
                  <w:r w:rsidRPr="006F2137">
                    <w:rPr>
                      <w:rFonts w:eastAsia="Times New Roman"/>
                    </w:rPr>
                    <w:t>Price(s)</w:t>
                  </w:r>
                </w:p>
              </w:tc>
              <w:tc>
                <w:tcPr>
                  <w:tcW w:w="25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A55FB" w14:textId="77777777" w:rsidR="00834A70" w:rsidRPr="006F2137" w:rsidRDefault="00834A70" w:rsidP="006F2137">
                  <w:pPr>
                    <w:spacing w:before="120" w:after="120" w:line="276" w:lineRule="auto"/>
                    <w:rPr>
                      <w:rFonts w:eastAsia="Times New Roman"/>
                    </w:rPr>
                  </w:pPr>
                  <w:r w:rsidRPr="006F2137">
                    <w:rPr>
                      <w:rFonts w:eastAsia="Times New Roman"/>
                    </w:rPr>
                    <w:t>Volume(s)</w:t>
                  </w:r>
                </w:p>
              </w:tc>
            </w:tr>
            <w:tr w:rsidR="00834A70" w:rsidRPr="006F2137" w14:paraId="1A3A9627" w14:textId="77777777" w:rsidTr="00834A70">
              <w:tc>
                <w:tcPr>
                  <w:tcW w:w="25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D3B70A" w14:textId="77777777" w:rsidR="00834A70" w:rsidRPr="006F2137" w:rsidRDefault="00834A70" w:rsidP="006F2137">
                  <w:pPr>
                    <w:spacing w:before="120" w:after="120" w:line="276" w:lineRule="auto"/>
                    <w:rPr>
                      <w:rFonts w:eastAsia="Times New Roman"/>
                    </w:rPr>
                  </w:pPr>
                  <w:r w:rsidRPr="006F2137">
                    <w:rPr>
                      <w:rFonts w:eastAsia="Times New Roman"/>
                    </w:rPr>
                    <w:t>Nil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21C2CA" w14:textId="12B364AC" w:rsidR="00834A70" w:rsidRPr="006F2137" w:rsidRDefault="00021659" w:rsidP="006F2137">
                  <w:pPr>
                    <w:spacing w:before="120" w:after="120" w:line="276" w:lineRule="auto"/>
                    <w:rPr>
                      <w:rFonts w:eastAsia="Times New Roman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819,970</w:t>
                  </w:r>
                </w:p>
              </w:tc>
            </w:tr>
          </w:tbl>
          <w:p w14:paraId="549F16AE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</w:p>
        </w:tc>
      </w:tr>
      <w:tr w:rsidR="003323E5" w:rsidRPr="006F2137" w14:paraId="2AD0BD1F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E967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d)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F470" w14:textId="683232F1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Aggregated information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80ED" w14:textId="2B72A50A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 Not applicable – single transaction</w:t>
            </w:r>
          </w:p>
        </w:tc>
      </w:tr>
      <w:tr w:rsidR="003323E5" w:rsidRPr="006F2137" w14:paraId="3B659073" w14:textId="77777777" w:rsidTr="000A71D2">
        <w:trPr>
          <w:trHeight w:val="573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0A82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e)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E934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Date of the transaction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50C5" w14:textId="6F1C895E" w:rsidR="003323E5" w:rsidRPr="006F2137" w:rsidRDefault="00021659" w:rsidP="006F2137">
            <w:pPr>
              <w:spacing w:before="120" w:after="12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 October</w:t>
            </w:r>
            <w:r w:rsidR="004929B7" w:rsidRPr="007C701A">
              <w:rPr>
                <w:rFonts w:eastAsia="Times New Roman"/>
              </w:rPr>
              <w:t xml:space="preserve"> 2024</w:t>
            </w:r>
          </w:p>
        </w:tc>
      </w:tr>
      <w:tr w:rsidR="003323E5" w:rsidRPr="006F2137" w14:paraId="3A0A1C68" w14:textId="77777777" w:rsidTr="000A71D2"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616C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f)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374F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Place of the transaction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D20E" w14:textId="77777777" w:rsidR="003323E5" w:rsidRPr="006F2137" w:rsidRDefault="003323E5" w:rsidP="006F2137">
            <w:pPr>
              <w:spacing w:before="120" w:after="120" w:line="276" w:lineRule="auto"/>
              <w:rPr>
                <w:rFonts w:eastAsia="Times New Roman"/>
              </w:rPr>
            </w:pPr>
            <w:r w:rsidRPr="006F2137">
              <w:rPr>
                <w:rFonts w:eastAsia="Times New Roman"/>
              </w:rPr>
              <w:t>Outside a trading venue</w:t>
            </w:r>
          </w:p>
        </w:tc>
      </w:tr>
    </w:tbl>
    <w:p w14:paraId="065681DC" w14:textId="77777777" w:rsidR="008944D2" w:rsidRPr="006F2137" w:rsidRDefault="008944D2" w:rsidP="006F2137">
      <w:pPr>
        <w:pStyle w:val="Body"/>
        <w:spacing w:before="120" w:after="120" w:line="276" w:lineRule="auto"/>
      </w:pPr>
    </w:p>
    <w:p w14:paraId="3FC07631" w14:textId="1AE284BF" w:rsidR="003323E5" w:rsidRPr="006F2137" w:rsidRDefault="003323E5" w:rsidP="006F2137">
      <w:pPr>
        <w:adjustRightInd/>
        <w:spacing w:before="120" w:after="120" w:line="276" w:lineRule="auto"/>
        <w:jc w:val="left"/>
      </w:pPr>
    </w:p>
    <w:sectPr w:rsidR="003323E5" w:rsidRPr="006F2137" w:rsidSect="008845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701" w:bottom="1418" w:left="1701" w:header="709" w:footer="709" w:gutter="0"/>
      <w:pgNumType w:start="1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787A" w14:textId="77777777" w:rsidR="006C0556" w:rsidRPr="004D3114" w:rsidRDefault="006C0556" w:rsidP="004D3114">
      <w:r w:rsidRPr="004D3114">
        <w:separator/>
      </w:r>
    </w:p>
  </w:endnote>
  <w:endnote w:type="continuationSeparator" w:id="0">
    <w:p w14:paraId="454DACD6" w14:textId="77777777" w:rsidR="006C0556" w:rsidRPr="004D3114" w:rsidRDefault="006C0556" w:rsidP="004D3114">
      <w:r w:rsidRPr="004D3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25B5" w14:textId="77777777" w:rsidR="006F2137" w:rsidRDefault="006F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Footer"/>
  <w:bookmarkEnd w:id="1"/>
  <w:p w14:paraId="55BFB6BA" w14:textId="4DDF6675" w:rsidR="006C0556" w:rsidRPr="004D3114" w:rsidRDefault="006C0556" w:rsidP="00CF1A66">
    <w:pPr>
      <w:pStyle w:val="Footer"/>
      <w:tabs>
        <w:tab w:val="clear" w:pos="4320"/>
        <w:tab w:val="clear" w:pos="8640"/>
        <w:tab w:val="center" w:pos="4253"/>
        <w:tab w:val="right" w:pos="8505"/>
      </w:tabs>
    </w:pPr>
    <w:r>
      <w:fldChar w:fldCharType="begin"/>
    </w:r>
    <w:r>
      <w:instrText xml:space="preserve"> DOCPROPERTY "Reference" \* MERGEFORMAT </w:instrText>
    </w:r>
    <w:r>
      <w:fldChar w:fldCharType="separate"/>
    </w:r>
    <w:r w:rsidR="004C60DE" w:rsidRPr="004C60DE">
      <w:rPr>
        <w:bCs/>
      </w:rPr>
      <w:t>136398970.1</w:t>
    </w:r>
    <w:r w:rsidR="004C60DE">
      <w:t>\683471</w:t>
    </w:r>
    <w:r>
      <w:rPr>
        <w:bCs/>
      </w:rPr>
      <w:fldChar w:fldCharType="end"/>
    </w:r>
    <w:r w:rsidRPr="004D3114">
      <w:tab/>
    </w:r>
    <w:r>
      <w:fldChar w:fldCharType="begin"/>
    </w:r>
    <w:r>
      <w:instrText xml:space="preserve">  PAGE \* MERGEFORMAT </w:instrText>
    </w:r>
    <w:r>
      <w:fldChar w:fldCharType="separate"/>
    </w:r>
    <w:r w:rsidR="00B04CB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E6CF" w14:textId="77777777" w:rsidR="006C0556" w:rsidRDefault="006C0556">
    <w:pPr>
      <w:pStyle w:val="Footer"/>
    </w:pPr>
    <w:bookmarkStart w:id="3" w:name="FooterDiffFirstPage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5F232" w14:textId="77777777" w:rsidR="006C0556" w:rsidRPr="004D3114" w:rsidRDefault="006C0556" w:rsidP="004D3114">
      <w:r w:rsidRPr="004D3114">
        <w:separator/>
      </w:r>
    </w:p>
  </w:footnote>
  <w:footnote w:type="continuationSeparator" w:id="0">
    <w:p w14:paraId="54D1BE22" w14:textId="77777777" w:rsidR="006C0556" w:rsidRPr="004D3114" w:rsidRDefault="006C0556" w:rsidP="004D3114">
      <w:r w:rsidRPr="004D31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8B4F3" w14:textId="77777777" w:rsidR="006F2137" w:rsidRDefault="006F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AB10" w14:textId="77777777" w:rsidR="006C0556" w:rsidRDefault="006C0556">
    <w:pPr>
      <w:pStyle w:val="Header"/>
    </w:pPr>
    <w:bookmarkStart w:id="0" w:name="Header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4B433" w14:textId="77777777" w:rsidR="006C0556" w:rsidRDefault="006C0556">
    <w:pPr>
      <w:pStyle w:val="Header"/>
    </w:pPr>
    <w:bookmarkStart w:id="2" w:name="HeaderDiffFirstPage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F2C60F4"/>
    <w:multiLevelType w:val="multilevel"/>
    <w:tmpl w:val="2263C1A1"/>
    <w:lvl w:ilvl="0">
      <w:start w:val="1"/>
      <w:numFmt w:val="decimal"/>
      <w:pStyle w:val="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rt"/>
      <w:suff w:val="nothing"/>
      <w:lvlText w:val="Part %3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539637A"/>
    <w:multiLevelType w:val="hybridMultilevel"/>
    <w:tmpl w:val="FB847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51DAA"/>
    <w:multiLevelType w:val="hybridMultilevel"/>
    <w:tmpl w:val="7300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196428">
    <w:abstractNumId w:val="2"/>
  </w:num>
  <w:num w:numId="2" w16cid:durableId="1141729420">
    <w:abstractNumId w:val="2"/>
  </w:num>
  <w:num w:numId="3" w16cid:durableId="1107233043">
    <w:abstractNumId w:val="2"/>
  </w:num>
  <w:num w:numId="4" w16cid:durableId="355153536">
    <w:abstractNumId w:val="2"/>
  </w:num>
  <w:num w:numId="5" w16cid:durableId="8022782">
    <w:abstractNumId w:val="2"/>
  </w:num>
  <w:num w:numId="6" w16cid:durableId="173611982">
    <w:abstractNumId w:val="2"/>
  </w:num>
  <w:num w:numId="7" w16cid:durableId="2028209255">
    <w:abstractNumId w:val="1"/>
  </w:num>
  <w:num w:numId="8" w16cid:durableId="915823137">
    <w:abstractNumId w:val="1"/>
  </w:num>
  <w:num w:numId="9" w16cid:durableId="2899587">
    <w:abstractNumId w:val="1"/>
  </w:num>
  <w:num w:numId="10" w16cid:durableId="1441147049">
    <w:abstractNumId w:val="1"/>
  </w:num>
  <w:num w:numId="11" w16cid:durableId="963585524">
    <w:abstractNumId w:val="4"/>
  </w:num>
  <w:num w:numId="12" w16cid:durableId="618344586">
    <w:abstractNumId w:val="0"/>
  </w:num>
  <w:num w:numId="13" w16cid:durableId="1182621170">
    <w:abstractNumId w:val="4"/>
  </w:num>
  <w:num w:numId="14" w16cid:durableId="56319841">
    <w:abstractNumId w:val="4"/>
  </w:num>
  <w:num w:numId="15" w16cid:durableId="1158309010">
    <w:abstractNumId w:val="3"/>
  </w:num>
  <w:num w:numId="16" w16cid:durableId="674305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442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6464260">
    <w:abstractNumId w:val="6"/>
  </w:num>
  <w:num w:numId="19" w16cid:durableId="10879244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78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llet _NumBodies" w:val="0"/>
    <w:docVar w:name="Level _NumBodies" w:val="6"/>
    <w:docVar w:name="PIM_Brand" w:val="9"/>
  </w:docVars>
  <w:rsids>
    <w:rsidRoot w:val="001F3E6E"/>
    <w:rsid w:val="00006847"/>
    <w:rsid w:val="00021659"/>
    <w:rsid w:val="00035843"/>
    <w:rsid w:val="00035E23"/>
    <w:rsid w:val="000422F7"/>
    <w:rsid w:val="00074DE9"/>
    <w:rsid w:val="00075377"/>
    <w:rsid w:val="00087B28"/>
    <w:rsid w:val="00097C6A"/>
    <w:rsid w:val="000A71D2"/>
    <w:rsid w:val="000D3D3E"/>
    <w:rsid w:val="0012272A"/>
    <w:rsid w:val="00137218"/>
    <w:rsid w:val="00171A7D"/>
    <w:rsid w:val="001767E4"/>
    <w:rsid w:val="001A0248"/>
    <w:rsid w:val="001E16C6"/>
    <w:rsid w:val="001E50C7"/>
    <w:rsid w:val="001F3E6E"/>
    <w:rsid w:val="00200910"/>
    <w:rsid w:val="002015EA"/>
    <w:rsid w:val="00226DFF"/>
    <w:rsid w:val="00257E14"/>
    <w:rsid w:val="002729EA"/>
    <w:rsid w:val="00272F0D"/>
    <w:rsid w:val="00284771"/>
    <w:rsid w:val="002B6116"/>
    <w:rsid w:val="002B6B1C"/>
    <w:rsid w:val="002D3B82"/>
    <w:rsid w:val="003068E5"/>
    <w:rsid w:val="00315D8A"/>
    <w:rsid w:val="00316ABF"/>
    <w:rsid w:val="003323E5"/>
    <w:rsid w:val="00350014"/>
    <w:rsid w:val="00355FFB"/>
    <w:rsid w:val="00382243"/>
    <w:rsid w:val="003A4CF2"/>
    <w:rsid w:val="003A6DDA"/>
    <w:rsid w:val="003C17C4"/>
    <w:rsid w:val="003D6E62"/>
    <w:rsid w:val="00431171"/>
    <w:rsid w:val="00440D5E"/>
    <w:rsid w:val="004576CE"/>
    <w:rsid w:val="00466E3F"/>
    <w:rsid w:val="004929B7"/>
    <w:rsid w:val="004A0939"/>
    <w:rsid w:val="004A2D46"/>
    <w:rsid w:val="004C04CB"/>
    <w:rsid w:val="004C60DE"/>
    <w:rsid w:val="004D3114"/>
    <w:rsid w:val="004D51BB"/>
    <w:rsid w:val="00527BEB"/>
    <w:rsid w:val="005331C2"/>
    <w:rsid w:val="0054649C"/>
    <w:rsid w:val="00566434"/>
    <w:rsid w:val="005A56F2"/>
    <w:rsid w:val="005B6D74"/>
    <w:rsid w:val="005E1CED"/>
    <w:rsid w:val="00603C56"/>
    <w:rsid w:val="00615536"/>
    <w:rsid w:val="00646C87"/>
    <w:rsid w:val="00647226"/>
    <w:rsid w:val="006475A0"/>
    <w:rsid w:val="0065669C"/>
    <w:rsid w:val="00670D07"/>
    <w:rsid w:val="006A266D"/>
    <w:rsid w:val="006A2BBC"/>
    <w:rsid w:val="006B58F4"/>
    <w:rsid w:val="006C0556"/>
    <w:rsid w:val="006D61B3"/>
    <w:rsid w:val="006E3915"/>
    <w:rsid w:val="006F2137"/>
    <w:rsid w:val="00723C90"/>
    <w:rsid w:val="00741244"/>
    <w:rsid w:val="00752448"/>
    <w:rsid w:val="00785D4A"/>
    <w:rsid w:val="007C701A"/>
    <w:rsid w:val="007D06AF"/>
    <w:rsid w:val="007F0895"/>
    <w:rsid w:val="008074C1"/>
    <w:rsid w:val="00814204"/>
    <w:rsid w:val="00834675"/>
    <w:rsid w:val="00834A70"/>
    <w:rsid w:val="00842524"/>
    <w:rsid w:val="0086642A"/>
    <w:rsid w:val="0087473F"/>
    <w:rsid w:val="00881E0F"/>
    <w:rsid w:val="00884507"/>
    <w:rsid w:val="008944D2"/>
    <w:rsid w:val="0089657F"/>
    <w:rsid w:val="008B08FE"/>
    <w:rsid w:val="008C2177"/>
    <w:rsid w:val="009031ED"/>
    <w:rsid w:val="00905DEE"/>
    <w:rsid w:val="00910FC4"/>
    <w:rsid w:val="009154B2"/>
    <w:rsid w:val="00916FC1"/>
    <w:rsid w:val="009218E0"/>
    <w:rsid w:val="00927659"/>
    <w:rsid w:val="00930CAC"/>
    <w:rsid w:val="009647E1"/>
    <w:rsid w:val="00994C1E"/>
    <w:rsid w:val="009B6341"/>
    <w:rsid w:val="009F7F7C"/>
    <w:rsid w:val="00A31865"/>
    <w:rsid w:val="00A5430D"/>
    <w:rsid w:val="00A71E59"/>
    <w:rsid w:val="00A86740"/>
    <w:rsid w:val="00AA768B"/>
    <w:rsid w:val="00AD4D97"/>
    <w:rsid w:val="00B04CBF"/>
    <w:rsid w:val="00B42373"/>
    <w:rsid w:val="00B67430"/>
    <w:rsid w:val="00BA2697"/>
    <w:rsid w:val="00BA2A75"/>
    <w:rsid w:val="00BC3745"/>
    <w:rsid w:val="00BC5F75"/>
    <w:rsid w:val="00BD4C2C"/>
    <w:rsid w:val="00C104A6"/>
    <w:rsid w:val="00C16FD3"/>
    <w:rsid w:val="00C37151"/>
    <w:rsid w:val="00C43164"/>
    <w:rsid w:val="00C4394F"/>
    <w:rsid w:val="00C456F4"/>
    <w:rsid w:val="00C46E47"/>
    <w:rsid w:val="00C642C2"/>
    <w:rsid w:val="00CC0144"/>
    <w:rsid w:val="00CC34FB"/>
    <w:rsid w:val="00CF1A66"/>
    <w:rsid w:val="00CF63A4"/>
    <w:rsid w:val="00D27FC1"/>
    <w:rsid w:val="00D32D61"/>
    <w:rsid w:val="00D57777"/>
    <w:rsid w:val="00D71979"/>
    <w:rsid w:val="00D772F9"/>
    <w:rsid w:val="00D80931"/>
    <w:rsid w:val="00D85B57"/>
    <w:rsid w:val="00D93A3F"/>
    <w:rsid w:val="00DA5A2E"/>
    <w:rsid w:val="00DF3FBE"/>
    <w:rsid w:val="00E06D93"/>
    <w:rsid w:val="00E231B2"/>
    <w:rsid w:val="00E30176"/>
    <w:rsid w:val="00E31897"/>
    <w:rsid w:val="00E336E0"/>
    <w:rsid w:val="00E446B9"/>
    <w:rsid w:val="00E45120"/>
    <w:rsid w:val="00E516F9"/>
    <w:rsid w:val="00EC3E0A"/>
    <w:rsid w:val="00EC4920"/>
    <w:rsid w:val="00EC634A"/>
    <w:rsid w:val="00EE2386"/>
    <w:rsid w:val="00EF7296"/>
    <w:rsid w:val="00F53936"/>
    <w:rsid w:val="00FA07A8"/>
    <w:rsid w:val="00FA0EED"/>
    <w:rsid w:val="00FF0433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52BCD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60"/>
    <w:pPr>
      <w:adjustRightInd w:val="0"/>
      <w:jc w:val="both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0C60"/>
    <w:pPr>
      <w:tabs>
        <w:tab w:val="center" w:pos="4320"/>
        <w:tab w:val="right" w:pos="8640"/>
      </w:tabs>
      <w:adjustRightInd/>
    </w:pPr>
    <w:rPr>
      <w:rFonts w:eastAsia="Times New Roman"/>
      <w:sz w:val="16"/>
    </w:rPr>
  </w:style>
  <w:style w:type="character" w:customStyle="1" w:styleId="FooterChar">
    <w:name w:val="Footer Char"/>
    <w:basedOn w:val="DefaultParagraphFont"/>
    <w:link w:val="Footer"/>
    <w:rsid w:val="00DF0C60"/>
    <w:rPr>
      <w:rFonts w:ascii="Arial" w:hAnsi="Arial" w:cs="Arial"/>
      <w:sz w:val="16"/>
    </w:rPr>
  </w:style>
  <w:style w:type="paragraph" w:styleId="Header">
    <w:name w:val="header"/>
    <w:basedOn w:val="Normal"/>
    <w:link w:val="HeaderChar"/>
    <w:rsid w:val="00DF0C60"/>
    <w:pPr>
      <w:tabs>
        <w:tab w:val="center" w:pos="4320"/>
        <w:tab w:val="right" w:pos="8640"/>
      </w:tabs>
      <w:adjustRightInd/>
    </w:pPr>
    <w:rPr>
      <w:rFonts w:eastAsia="Times New Roman"/>
      <w:sz w:val="16"/>
    </w:rPr>
  </w:style>
  <w:style w:type="character" w:customStyle="1" w:styleId="HeaderChar">
    <w:name w:val="Header Char"/>
    <w:basedOn w:val="DefaultParagraphFont"/>
    <w:link w:val="Header"/>
    <w:rsid w:val="00DF0C60"/>
    <w:rPr>
      <w:rFonts w:ascii="Arial" w:hAnsi="Arial" w:cs="Arial"/>
      <w:sz w:val="16"/>
    </w:rPr>
  </w:style>
  <w:style w:type="character" w:styleId="PageNumber">
    <w:name w:val="page number"/>
    <w:basedOn w:val="DefaultParagraphFont"/>
    <w:uiPriority w:val="99"/>
    <w:semiHidden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semiHidden/>
    <w:rsid w:val="00DF0C60"/>
    <w:pPr>
      <w:adjustRightInd/>
    </w:pPr>
    <w:rPr>
      <w:rFonts w:eastAsia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DF0C60"/>
    <w:rPr>
      <w:rFonts w:ascii="Arial" w:hAnsi="Arial" w:cs="Arial"/>
      <w:sz w:val="16"/>
    </w:rPr>
  </w:style>
  <w:style w:type="character" w:styleId="FootnoteReference">
    <w:name w:val="footnote reference"/>
    <w:basedOn w:val="DefaultParagraphFont"/>
    <w:semiHidden/>
    <w:rsid w:val="00DF0C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111F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0C60"/>
    <w:pPr>
      <w:spacing w:after="240"/>
    </w:pPr>
  </w:style>
  <w:style w:type="paragraph" w:customStyle="1" w:styleId="Body1">
    <w:name w:val="Body 1"/>
    <w:basedOn w:val="Body"/>
    <w:uiPriority w:val="99"/>
    <w:rsid w:val="00DF0C60"/>
    <w:pPr>
      <w:ind w:left="851"/>
    </w:pPr>
  </w:style>
  <w:style w:type="paragraph" w:customStyle="1" w:styleId="Level1">
    <w:name w:val="Level 1"/>
    <w:basedOn w:val="Body1"/>
    <w:uiPriority w:val="99"/>
    <w:rsid w:val="00DF0C60"/>
    <w:pPr>
      <w:numPr>
        <w:numId w:val="6"/>
      </w:numPr>
      <w:outlineLvl w:val="0"/>
    </w:pPr>
  </w:style>
  <w:style w:type="character" w:customStyle="1" w:styleId="Level1asHeadingtext">
    <w:name w:val="Level 1 as Heading (text)"/>
    <w:basedOn w:val="DefaultParagraphFont"/>
    <w:uiPriority w:val="99"/>
    <w:rsid w:val="00DF0C60"/>
    <w:rPr>
      <w:b/>
      <w:bCs/>
      <w:caps/>
    </w:rPr>
  </w:style>
  <w:style w:type="paragraph" w:customStyle="1" w:styleId="Body2">
    <w:name w:val="Body 2"/>
    <w:basedOn w:val="Body"/>
    <w:uiPriority w:val="99"/>
    <w:rsid w:val="00DF0C60"/>
    <w:pPr>
      <w:ind w:left="851"/>
    </w:pPr>
  </w:style>
  <w:style w:type="paragraph" w:customStyle="1" w:styleId="Level2">
    <w:name w:val="Level 2"/>
    <w:basedOn w:val="Body2"/>
    <w:uiPriority w:val="99"/>
    <w:rsid w:val="00DF0C60"/>
    <w:pPr>
      <w:numPr>
        <w:ilvl w:val="1"/>
        <w:numId w:val="6"/>
      </w:numPr>
      <w:outlineLvl w:val="1"/>
    </w:pPr>
  </w:style>
  <w:style w:type="character" w:customStyle="1" w:styleId="Level2asHeadingtext">
    <w:name w:val="Level 2 as Heading (text)"/>
    <w:basedOn w:val="DefaultParagraphFont"/>
    <w:uiPriority w:val="99"/>
    <w:rsid w:val="00DF0C60"/>
    <w:rPr>
      <w:b/>
      <w:bCs/>
    </w:rPr>
  </w:style>
  <w:style w:type="paragraph" w:customStyle="1" w:styleId="Body3">
    <w:name w:val="Body 3"/>
    <w:basedOn w:val="Body"/>
    <w:uiPriority w:val="99"/>
    <w:rsid w:val="00DF0C60"/>
    <w:pPr>
      <w:ind w:left="1702"/>
    </w:pPr>
  </w:style>
  <w:style w:type="paragraph" w:customStyle="1" w:styleId="Level3">
    <w:name w:val="Level 3"/>
    <w:basedOn w:val="Body3"/>
    <w:uiPriority w:val="99"/>
    <w:rsid w:val="00DF0C60"/>
    <w:pPr>
      <w:numPr>
        <w:ilvl w:val="2"/>
        <w:numId w:val="6"/>
      </w:numPr>
      <w:outlineLvl w:val="2"/>
    </w:pPr>
  </w:style>
  <w:style w:type="character" w:customStyle="1" w:styleId="Level3asHeadingtext">
    <w:name w:val="Level 3 as Heading (text)"/>
    <w:basedOn w:val="DefaultParagraphFont"/>
    <w:uiPriority w:val="99"/>
    <w:rsid w:val="00DF0C60"/>
    <w:rPr>
      <w:b/>
      <w:bCs/>
    </w:rPr>
  </w:style>
  <w:style w:type="paragraph" w:customStyle="1" w:styleId="Body4">
    <w:name w:val="Body 4"/>
    <w:basedOn w:val="Body"/>
    <w:uiPriority w:val="99"/>
    <w:rsid w:val="00DF0C60"/>
    <w:pPr>
      <w:ind w:left="2553"/>
    </w:pPr>
  </w:style>
  <w:style w:type="paragraph" w:customStyle="1" w:styleId="Level4">
    <w:name w:val="Level 4"/>
    <w:basedOn w:val="Body4"/>
    <w:uiPriority w:val="99"/>
    <w:rsid w:val="00DF0C60"/>
    <w:pPr>
      <w:numPr>
        <w:ilvl w:val="3"/>
        <w:numId w:val="6"/>
      </w:numPr>
      <w:outlineLvl w:val="3"/>
    </w:pPr>
  </w:style>
  <w:style w:type="paragraph" w:customStyle="1" w:styleId="Body5">
    <w:name w:val="Body 5"/>
    <w:basedOn w:val="Body"/>
    <w:uiPriority w:val="99"/>
    <w:rsid w:val="00DF0C60"/>
    <w:pPr>
      <w:ind w:left="3404"/>
    </w:pPr>
  </w:style>
  <w:style w:type="paragraph" w:customStyle="1" w:styleId="Level5">
    <w:name w:val="Level 5"/>
    <w:basedOn w:val="Body5"/>
    <w:uiPriority w:val="99"/>
    <w:rsid w:val="00DF0C60"/>
    <w:pPr>
      <w:numPr>
        <w:ilvl w:val="4"/>
        <w:numId w:val="6"/>
      </w:numPr>
      <w:outlineLvl w:val="4"/>
    </w:pPr>
  </w:style>
  <w:style w:type="paragraph" w:customStyle="1" w:styleId="Body6">
    <w:name w:val="Body 6"/>
    <w:basedOn w:val="Body"/>
    <w:uiPriority w:val="99"/>
    <w:rsid w:val="00DF0C60"/>
    <w:pPr>
      <w:ind w:left="4255"/>
    </w:pPr>
  </w:style>
  <w:style w:type="paragraph" w:customStyle="1" w:styleId="Level6">
    <w:name w:val="Level 6"/>
    <w:basedOn w:val="Body6"/>
    <w:uiPriority w:val="99"/>
    <w:rsid w:val="00DF0C60"/>
    <w:pPr>
      <w:numPr>
        <w:ilvl w:val="5"/>
        <w:numId w:val="6"/>
      </w:numPr>
      <w:outlineLvl w:val="5"/>
    </w:pPr>
  </w:style>
  <w:style w:type="paragraph" w:customStyle="1" w:styleId="Bullet1">
    <w:name w:val="Bullet 1"/>
    <w:basedOn w:val="Body"/>
    <w:uiPriority w:val="99"/>
    <w:rsid w:val="00DF0C60"/>
    <w:pPr>
      <w:numPr>
        <w:numId w:val="10"/>
      </w:numPr>
      <w:outlineLvl w:val="0"/>
    </w:pPr>
  </w:style>
  <w:style w:type="paragraph" w:customStyle="1" w:styleId="Bullet2">
    <w:name w:val="Bullet 2"/>
    <w:basedOn w:val="Body"/>
    <w:uiPriority w:val="99"/>
    <w:rsid w:val="00DF0C60"/>
    <w:pPr>
      <w:numPr>
        <w:ilvl w:val="1"/>
        <w:numId w:val="10"/>
      </w:numPr>
      <w:outlineLvl w:val="1"/>
    </w:pPr>
  </w:style>
  <w:style w:type="paragraph" w:customStyle="1" w:styleId="Bullet3">
    <w:name w:val="Bullet 3"/>
    <w:basedOn w:val="Body"/>
    <w:uiPriority w:val="99"/>
    <w:rsid w:val="00DF0C60"/>
    <w:pPr>
      <w:numPr>
        <w:ilvl w:val="2"/>
        <w:numId w:val="10"/>
      </w:numPr>
      <w:outlineLvl w:val="2"/>
    </w:pPr>
  </w:style>
  <w:style w:type="paragraph" w:customStyle="1" w:styleId="Bullet4">
    <w:name w:val="Bullet 4"/>
    <w:basedOn w:val="Body"/>
    <w:uiPriority w:val="99"/>
    <w:rsid w:val="00DF0C60"/>
    <w:pPr>
      <w:numPr>
        <w:ilvl w:val="3"/>
        <w:numId w:val="10"/>
      </w:numPr>
      <w:outlineLvl w:val="3"/>
    </w:pPr>
  </w:style>
  <w:style w:type="paragraph" w:customStyle="1" w:styleId="Appendix">
    <w:name w:val="Appendix #"/>
    <w:basedOn w:val="Body"/>
    <w:next w:val="SubHeading"/>
    <w:uiPriority w:val="99"/>
    <w:rsid w:val="00DF0C60"/>
    <w:pPr>
      <w:keepNext/>
      <w:keepLines/>
      <w:numPr>
        <w:ilvl w:val="1"/>
        <w:numId w:val="14"/>
      </w:numPr>
      <w:jc w:val="center"/>
    </w:pPr>
    <w:rPr>
      <w:b/>
      <w:bCs/>
    </w:rPr>
  </w:style>
  <w:style w:type="paragraph" w:customStyle="1" w:styleId="MainHeading">
    <w:name w:val="Main Heading"/>
    <w:basedOn w:val="Body"/>
    <w:uiPriority w:val="99"/>
    <w:rsid w:val="00DF0C60"/>
    <w:pPr>
      <w:keepNext/>
      <w:keepLines/>
      <w:numPr>
        <w:numId w:val="12"/>
      </w:numPr>
      <w:jc w:val="center"/>
      <w:outlineLvl w:val="0"/>
    </w:pPr>
    <w:rPr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DF0C60"/>
    <w:pPr>
      <w:keepNext/>
      <w:keepLines/>
      <w:numPr>
        <w:ilvl w:val="2"/>
        <w:numId w:val="14"/>
      </w:numPr>
      <w:jc w:val="center"/>
    </w:pPr>
  </w:style>
  <w:style w:type="paragraph" w:customStyle="1" w:styleId="Schedule">
    <w:name w:val="Schedule #"/>
    <w:basedOn w:val="Body"/>
    <w:next w:val="SubHeading"/>
    <w:uiPriority w:val="99"/>
    <w:rsid w:val="00DF0C60"/>
    <w:pPr>
      <w:keepNext/>
      <w:keepLines/>
      <w:numPr>
        <w:numId w:val="14"/>
      </w:numPr>
      <w:jc w:val="center"/>
    </w:pPr>
    <w:rPr>
      <w:b/>
      <w:bCs/>
    </w:rPr>
  </w:style>
  <w:style w:type="paragraph" w:customStyle="1" w:styleId="SubHeading">
    <w:name w:val="Sub Heading"/>
    <w:basedOn w:val="Body"/>
    <w:next w:val="Body"/>
    <w:uiPriority w:val="99"/>
    <w:rsid w:val="00DF0C60"/>
    <w:pPr>
      <w:keepNext/>
      <w:keepLines/>
      <w:numPr>
        <w:numId w:val="15"/>
      </w:numPr>
      <w:jc w:val="center"/>
    </w:pPr>
    <w:rPr>
      <w:b/>
      <w:bCs/>
      <w:caps/>
    </w:rPr>
  </w:style>
  <w:style w:type="paragraph" w:styleId="EndnoteText">
    <w:name w:val="endnote text"/>
    <w:basedOn w:val="Normal"/>
    <w:link w:val="EndnoteTextChar"/>
    <w:semiHidden/>
    <w:rsid w:val="00DF0C60"/>
    <w:pPr>
      <w:adjustRightInd/>
    </w:pPr>
    <w:rPr>
      <w:rFonts w:eastAsia="Times New Roman"/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DF0C60"/>
    <w:rPr>
      <w:rFonts w:ascii="Arial" w:hAnsi="Arial" w:cs="Arial"/>
      <w:sz w:val="16"/>
    </w:rPr>
  </w:style>
  <w:style w:type="character" w:styleId="EndnoteReference">
    <w:name w:val="endnote reference"/>
    <w:basedOn w:val="DefaultParagraphFont"/>
    <w:semiHidden/>
    <w:rsid w:val="00DF0C60"/>
    <w:rPr>
      <w:vertAlign w:val="superscript"/>
    </w:rPr>
  </w:style>
  <w:style w:type="paragraph" w:styleId="TOC1">
    <w:name w:val="toc 1"/>
    <w:basedOn w:val="Normal"/>
    <w:next w:val="Normal"/>
    <w:uiPriority w:val="39"/>
    <w:rsid w:val="00DF0C60"/>
    <w:pPr>
      <w:tabs>
        <w:tab w:val="right" w:pos="8500"/>
      </w:tabs>
      <w:adjustRightInd/>
      <w:spacing w:after="240"/>
      <w:ind w:left="851" w:right="567" w:hanging="851"/>
    </w:pPr>
    <w:rPr>
      <w:rFonts w:eastAsia="Times New Roman"/>
      <w:caps/>
    </w:rPr>
  </w:style>
  <w:style w:type="paragraph" w:styleId="TOC2">
    <w:name w:val="toc 2"/>
    <w:basedOn w:val="TOC1"/>
    <w:next w:val="Normal"/>
    <w:rsid w:val="00DF0C60"/>
    <w:pPr>
      <w:ind w:left="1702"/>
    </w:pPr>
  </w:style>
  <w:style w:type="paragraph" w:styleId="TOC3">
    <w:name w:val="toc 3"/>
    <w:basedOn w:val="TOC1"/>
    <w:next w:val="Normal"/>
    <w:rsid w:val="00DF0C60"/>
    <w:pPr>
      <w:ind w:left="2552"/>
    </w:pPr>
  </w:style>
  <w:style w:type="paragraph" w:styleId="TOC4">
    <w:name w:val="toc 4"/>
    <w:basedOn w:val="TOC1"/>
    <w:next w:val="Normal"/>
    <w:uiPriority w:val="39"/>
    <w:rsid w:val="00DF0C60"/>
    <w:pPr>
      <w:ind w:left="0" w:firstLine="0"/>
    </w:pPr>
  </w:style>
  <w:style w:type="paragraph" w:styleId="TOC5">
    <w:name w:val="toc 5"/>
    <w:basedOn w:val="TOC1"/>
    <w:next w:val="Normal"/>
    <w:rsid w:val="00DF0C60"/>
    <w:pPr>
      <w:ind w:firstLine="0"/>
    </w:pPr>
  </w:style>
  <w:style w:type="paragraph" w:styleId="TOC6">
    <w:name w:val="toc 6"/>
    <w:basedOn w:val="TOC1"/>
    <w:next w:val="Normal"/>
    <w:rsid w:val="00DF0C60"/>
    <w:pPr>
      <w:ind w:left="1701" w:firstLine="0"/>
    </w:pPr>
  </w:style>
  <w:style w:type="paragraph" w:customStyle="1" w:styleId="yiv7914470696msonormal">
    <w:name w:val="yiv7914470696msonormal"/>
    <w:basedOn w:val="Normal"/>
    <w:uiPriority w:val="99"/>
    <w:rsid w:val="006E3915"/>
    <w:pPr>
      <w:adjustRightInd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l">
    <w:name w:val="bl"/>
    <w:basedOn w:val="Normal"/>
    <w:rsid w:val="006E391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m">
    <w:name w:val="bm"/>
    <w:basedOn w:val="DefaultParagraphFont"/>
    <w:rsid w:val="006E3915"/>
  </w:style>
  <w:style w:type="paragraph" w:customStyle="1" w:styleId="s9">
    <w:name w:val="s9"/>
    <w:basedOn w:val="Normal"/>
    <w:rsid w:val="006E3915"/>
    <w:pPr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15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915"/>
    <w:pPr>
      <w:adjustRightInd/>
      <w:spacing w:after="16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915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E39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51"/>
    <w:pPr>
      <w:adjustRightInd w:val="0"/>
      <w:spacing w:after="0"/>
      <w:jc w:val="both"/>
    </w:pPr>
    <w:rPr>
      <w:rFonts w:ascii="Arial" w:eastAsia="Arial" w:hAnsi="Arial" w:cs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51"/>
    <w:rPr>
      <w:rFonts w:ascii="Arial" w:eastAsia="Arial" w:hAnsi="Arial" w:cs="Arial"/>
      <w:b/>
      <w:bCs/>
      <w:lang w:eastAsia="en-US"/>
    </w:rPr>
  </w:style>
  <w:style w:type="paragraph" w:customStyle="1" w:styleId="cl">
    <w:name w:val="cl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p">
    <w:name w:val="bp"/>
    <w:basedOn w:val="DefaultParagraphFont"/>
    <w:rsid w:val="00A31865"/>
  </w:style>
  <w:style w:type="paragraph" w:customStyle="1" w:styleId="cf">
    <w:name w:val="cf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">
    <w:name w:val="cd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j">
    <w:name w:val="cj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">
    <w:name w:val="cm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">
    <w:name w:val="ck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">
    <w:name w:val="cc"/>
    <w:basedOn w:val="Normal"/>
    <w:rsid w:val="00A31865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">
    <w:name w:val="dd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6F2137"/>
  </w:style>
  <w:style w:type="paragraph" w:customStyle="1" w:styleId="de">
    <w:name w:val="de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v">
    <w:name w:val="dv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6F2137"/>
  </w:style>
  <w:style w:type="paragraph" w:customStyle="1" w:styleId="dw">
    <w:name w:val="dw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">
    <w:name w:val="as"/>
    <w:basedOn w:val="DefaultParagraphFont"/>
    <w:rsid w:val="006F2137"/>
  </w:style>
  <w:style w:type="paragraph" w:customStyle="1" w:styleId="cw">
    <w:name w:val="cw"/>
    <w:basedOn w:val="Normal"/>
    <w:rsid w:val="006F2137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1244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74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haca@fticonsulting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athryn.reid@ithacaenergy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Blank%20A4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 A C T I V E ! 1 3 6 3 9 8 9 7 0 . 1 < / d o c u m e n t i d >  
     < s e n d e r i d > J S 8 1 < / s e n d e r i d >  
     < s e n d e r e m a i l > J a m e s . S u l l i v a n - T a i l y o u r @ p i n s e n t m a s o n s . c o m < / s e n d e r e m a i l >  
     < l a s t m o d i f i e d > 2 0 2 2 - 1 1 - 1 8 T 0 9 : 4 6 : 0 0 . 0 0 0 0 0 0 0 + 0 0 : 0 0 < / l a s t m o d i f i e d >  
     < d a t a b a s e > A C T I V E 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4DFA9D84D934ABA5CA9D9AF4CDC89" ma:contentTypeVersion="10" ma:contentTypeDescription="Create a new document." ma:contentTypeScope="" ma:versionID="3bd6c14d3dba08402a3b5f2a21337ef2">
  <xsd:schema xmlns:xsd="http://www.w3.org/2001/XMLSchema" xmlns:xs="http://www.w3.org/2001/XMLSchema" xmlns:p="http://schemas.microsoft.com/office/2006/metadata/properties" xmlns:ns2="ca27f8c3-16d8-4391-8356-02d48a5afad6" targetNamespace="http://schemas.microsoft.com/office/2006/metadata/properties" ma:root="true" ma:fieldsID="4e8d0dd8dc739cf6fbce3ebfcaf83ad3" ns2:_="">
    <xsd:import namespace="ca27f8c3-16d8-4391-8356-02d48a5af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7f8c3-16d8-4391-8356-02d48a5af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4004-C87F-451C-9EB4-01CD83364C0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BB6AD28-FC1C-412C-B7D4-1C17D6F537F4}">
  <ds:schemaRefs>
    <ds:schemaRef ds:uri="http://purl.org/dc/elements/1.1/"/>
    <ds:schemaRef ds:uri="http://schemas.microsoft.com/office/2006/metadata/properties"/>
    <ds:schemaRef ds:uri="ca27f8c3-16d8-4391-8356-02d48a5afad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C0D329-7D62-4BF7-B574-759746B91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59B4A-BCE4-4935-9C33-B46376D9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7f8c3-16d8-4391-8356-02d48a5af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E3533-34AB-4E9C-8DBA-5EF250F3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A4 Document.dotx</Template>
  <TotalTime>0</TotalTime>
  <Pages>2</Pages>
  <Words>344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2024-10-11T10:15:00Z</dcterms:created>
  <dcterms:modified xsi:type="dcterms:W3CDTF">2024-10-11T10:25:00Z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136398970.1\683471</vt:lpwstr>
  </property>
  <property fmtid="{D5CDD505-2E9C-101B-9397-08002B2CF9AE}" pid="3" name="DocClass">
    <vt:lpwstr/>
  </property>
  <property fmtid="{D5CDD505-2E9C-101B-9397-08002B2CF9AE}" pid="4" name="ActionID">
    <vt:lpwstr>Blank</vt:lpwstr>
  </property>
  <property fmtid="{D5CDD505-2E9C-101B-9397-08002B2CF9AE}" pid="5" name="PrintMode">
    <vt:lpwstr>White</vt:lpwstr>
  </property>
  <property fmtid="{D5CDD505-2E9C-101B-9397-08002B2CF9AE}" pid="6" name="ContentTypeId">
    <vt:lpwstr>0x010100B1A4DFA9D84D934ABA5CA9D9AF4CDC89</vt:lpwstr>
  </property>
  <property fmtid="{D5CDD505-2E9C-101B-9397-08002B2CF9AE}" pid="7" name="SD_TIM_Ran">
    <vt:lpwstr>True</vt:lpwstr>
  </property>
  <property fmtid="{D5CDD505-2E9C-101B-9397-08002B2CF9AE}" pid="8" name="Reference_src">
    <vt:lpwstr>{IMan.Number}.{IMan.Version}\{IMan.imProfileCustom1}</vt:lpwstr>
  </property>
</Properties>
</file>