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CD16" w14:textId="65E78CE7" w:rsidR="00BE1716" w:rsidRDefault="00BE1716" w:rsidP="00BE1716">
      <w:pPr>
        <w:pStyle w:val="Schedule"/>
        <w:numPr>
          <w:ilvl w:val="0"/>
          <w:numId w:val="0"/>
        </w:numPr>
      </w:pPr>
      <w:r>
        <w:br/>
      </w:r>
      <w:r>
        <w:br/>
      </w:r>
      <w:r w:rsidRPr="00C35783">
        <w:rPr>
          <w:color w:val="000000"/>
        </w:rPr>
        <w:t xml:space="preserve">NOTIFICATION </w:t>
      </w:r>
    </w:p>
    <w:p w14:paraId="7713A80B" w14:textId="77777777" w:rsidR="00BE1716" w:rsidRPr="00471582" w:rsidRDefault="00BE1716" w:rsidP="00BE1716">
      <w:pPr>
        <w:spacing w:before="241" w:after="218" w:line="230" w:lineRule="exact"/>
        <w:ind w:left="72" w:right="72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ITHACA ENERGY PLC</w:t>
      </w:r>
      <w:r w:rsidRPr="00471582">
        <w:rPr>
          <w:b/>
          <w:bCs/>
          <w:color w:val="000000"/>
        </w:rPr>
        <w:t xml:space="preserve"> (the "Company")</w:t>
      </w:r>
    </w:p>
    <w:p w14:paraId="4822B325" w14:textId="77777777" w:rsidR="00BE1716" w:rsidRPr="00471582" w:rsidRDefault="00BE1716" w:rsidP="00BE1716">
      <w:pPr>
        <w:spacing w:before="241" w:after="218" w:line="230" w:lineRule="exact"/>
        <w:ind w:left="72" w:right="72"/>
        <w:jc w:val="center"/>
        <w:textAlignment w:val="baseline"/>
        <w:rPr>
          <w:b/>
          <w:bCs/>
          <w:color w:val="000000"/>
        </w:rPr>
      </w:pPr>
      <w:r w:rsidRPr="00471582">
        <w:rPr>
          <w:b/>
          <w:bCs/>
          <w:color w:val="000000"/>
        </w:rPr>
        <w:t>Transaction notification</w:t>
      </w:r>
    </w:p>
    <w:p w14:paraId="233ACFB0" w14:textId="38627713" w:rsidR="00845859" w:rsidRPr="00845859" w:rsidRDefault="00845859" w:rsidP="00845859">
      <w:pPr>
        <w:pStyle w:val="Body"/>
      </w:pPr>
      <w:r w:rsidRPr="00845859">
        <w:t xml:space="preserve">The Company was notified on </w:t>
      </w:r>
      <w:r w:rsidR="00F6390F">
        <w:t>22</w:t>
      </w:r>
      <w:r w:rsidRPr="00845859">
        <w:t xml:space="preserve"> October 2024 that </w:t>
      </w:r>
      <w:r w:rsidR="00FD1C28">
        <w:t>Eni UK Limited</w:t>
      </w:r>
      <w:r w:rsidRPr="00845859">
        <w:t xml:space="preserve"> had </w:t>
      </w:r>
      <w:r w:rsidR="00FD1C28">
        <w:t>sold</w:t>
      </w:r>
      <w:r w:rsidRPr="00845859">
        <w:t xml:space="preserve"> 24,681,658 ordinary shares in the capital of the Company at 102 pence per share pursuant to the </w:t>
      </w:r>
      <w:r w:rsidR="00F6390F">
        <w:t>terms of the c</w:t>
      </w:r>
      <w:r w:rsidRPr="00845859">
        <w:t xml:space="preserve">all </w:t>
      </w:r>
      <w:r w:rsidR="00F6390F">
        <w:t>o</w:t>
      </w:r>
      <w:r w:rsidRPr="00845859">
        <w:t xml:space="preserve">ption </w:t>
      </w:r>
      <w:r w:rsidR="000C4E19">
        <w:t>agreement</w:t>
      </w:r>
      <w:r w:rsidRPr="00845859">
        <w:t xml:space="preserve"> </w:t>
      </w:r>
      <w:proofErr w:type="gramStart"/>
      <w:r w:rsidRPr="00845859">
        <w:t>entered into</w:t>
      </w:r>
      <w:proofErr w:type="gramEnd"/>
      <w:r w:rsidRPr="00845859">
        <w:t xml:space="preserve"> </w:t>
      </w:r>
      <w:r w:rsidR="00F6390F">
        <w:t xml:space="preserve">between Eni UK Limited and </w:t>
      </w:r>
      <w:r w:rsidR="000C4E19">
        <w:t xml:space="preserve">DKL </w:t>
      </w:r>
      <w:r w:rsidR="00FD1C28">
        <w:t>Energy</w:t>
      </w:r>
      <w:r w:rsidRPr="00845859">
        <w:t> Limited in connection with the previously announced Business Combination.</w:t>
      </w:r>
    </w:p>
    <w:p w14:paraId="223E6B0E" w14:textId="05A415FE" w:rsidR="00845859" w:rsidRPr="00845859" w:rsidRDefault="00FD1C28" w:rsidP="00845859">
      <w:pPr>
        <w:pStyle w:val="Body"/>
      </w:pPr>
      <w:r>
        <w:t>Eni UK</w:t>
      </w:r>
      <w:r w:rsidR="00845859" w:rsidRPr="00845859">
        <w:t xml:space="preserve"> Limited is an indirect wholly owned subsidiary of </w:t>
      </w:r>
      <w:r>
        <w:t>Eni S.</w:t>
      </w:r>
      <w:r w:rsidR="000C4E19">
        <w:t>p</w:t>
      </w:r>
      <w:r>
        <w:t>.A</w:t>
      </w:r>
      <w:r w:rsidR="00845859" w:rsidRPr="00845859">
        <w:t xml:space="preserve">. </w:t>
      </w:r>
      <w:r>
        <w:t>Eni S.</w:t>
      </w:r>
      <w:r w:rsidR="000C4E19">
        <w:t>p</w:t>
      </w:r>
      <w:r>
        <w:t>.A.</w:t>
      </w:r>
      <w:r w:rsidR="00845859" w:rsidRPr="00845859">
        <w:t xml:space="preserve"> is a person closely associated with </w:t>
      </w:r>
      <w:r>
        <w:t>two</w:t>
      </w:r>
      <w:r w:rsidR="00845859" w:rsidRPr="00845859">
        <w:t xml:space="preserve"> PDMRs, Mr </w:t>
      </w:r>
      <w:r>
        <w:t>Francesco</w:t>
      </w:r>
      <w:r w:rsidR="00845859" w:rsidRPr="00845859">
        <w:t xml:space="preserve"> </w:t>
      </w:r>
      <w:proofErr w:type="spellStart"/>
      <w:r>
        <w:t>Gattei</w:t>
      </w:r>
      <w:proofErr w:type="spellEnd"/>
      <w:r w:rsidR="00845859" w:rsidRPr="00845859">
        <w:t xml:space="preserve"> and Mr </w:t>
      </w:r>
      <w:r>
        <w:t>Guido Brusco</w:t>
      </w:r>
      <w:r w:rsidR="00845859" w:rsidRPr="00845859">
        <w:t>, each Non-Executive Directors of the Company.</w:t>
      </w:r>
    </w:p>
    <w:p w14:paraId="763F63BC" w14:textId="594AB0AD" w:rsidR="00BE1716" w:rsidRDefault="00845859" w:rsidP="00BE1716">
      <w:pPr>
        <w:pStyle w:val="Body"/>
      </w:pPr>
      <w:r w:rsidRPr="00845859">
        <w:t>The relevant notifications set out below are provided in accordance with the requirements of Article 19 of the Market Abuse Regulation.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939"/>
      </w:tblGrid>
      <w:tr w:rsidR="00BE1716" w14:paraId="595EE1F7" w14:textId="77777777" w:rsidTr="00A9079F">
        <w:tc>
          <w:tcPr>
            <w:tcW w:w="704" w:type="dxa"/>
          </w:tcPr>
          <w:p w14:paraId="78E22691" w14:textId="77777777" w:rsidR="00BE1716" w:rsidRDefault="00BE1716" w:rsidP="00BE1716">
            <w:pPr>
              <w:pStyle w:val="SCHLevel1"/>
              <w:keepNext/>
              <w:numPr>
                <w:ilvl w:val="2"/>
                <w:numId w:val="5"/>
              </w:numPr>
              <w:spacing w:before="120" w:after="120"/>
            </w:pPr>
          </w:p>
        </w:tc>
        <w:tc>
          <w:tcPr>
            <w:tcW w:w="8924" w:type="dxa"/>
            <w:gridSpan w:val="2"/>
          </w:tcPr>
          <w:p w14:paraId="16EE91DF" w14:textId="77777777" w:rsidR="00BE1716" w:rsidRDefault="00BE1716" w:rsidP="00A9079F">
            <w:pPr>
              <w:pStyle w:val="Body"/>
              <w:spacing w:before="120" w:after="120"/>
            </w:pPr>
            <w:r w:rsidRPr="001B0BB8">
              <w:rPr>
                <w:b/>
                <w:bCs/>
              </w:rPr>
              <w:t xml:space="preserve">Details of PDMR / </w:t>
            </w:r>
            <w:r>
              <w:rPr>
                <w:b/>
                <w:bCs/>
              </w:rPr>
              <w:t>PCA</w:t>
            </w:r>
          </w:p>
        </w:tc>
      </w:tr>
      <w:tr w:rsidR="00BE1716" w14:paraId="65341D72" w14:textId="77777777" w:rsidTr="00A9079F">
        <w:tc>
          <w:tcPr>
            <w:tcW w:w="704" w:type="dxa"/>
          </w:tcPr>
          <w:p w14:paraId="280FA549" w14:textId="77777777" w:rsidR="00BE1716" w:rsidRDefault="00BE1716" w:rsidP="00A9079F">
            <w:pPr>
              <w:pStyle w:val="Body"/>
              <w:spacing w:before="120" w:after="120"/>
            </w:pPr>
            <w:r>
              <w:t>(a)</w:t>
            </w:r>
          </w:p>
        </w:tc>
        <w:tc>
          <w:tcPr>
            <w:tcW w:w="1985" w:type="dxa"/>
          </w:tcPr>
          <w:p w14:paraId="7B44B237" w14:textId="77777777" w:rsidR="00BE1716" w:rsidRDefault="00BE1716" w:rsidP="00A9079F">
            <w:pPr>
              <w:pStyle w:val="Body"/>
              <w:spacing w:before="120" w:after="120"/>
            </w:pPr>
            <w:r>
              <w:t>Name</w:t>
            </w:r>
          </w:p>
        </w:tc>
        <w:tc>
          <w:tcPr>
            <w:tcW w:w="6939" w:type="dxa"/>
          </w:tcPr>
          <w:p w14:paraId="1575D9E0" w14:textId="09E91CDD" w:rsidR="00BE1716" w:rsidRDefault="00EE1D8F" w:rsidP="00A9079F">
            <w:pPr>
              <w:pStyle w:val="Body"/>
              <w:spacing w:before="120" w:after="120"/>
            </w:pPr>
            <w:r>
              <w:t xml:space="preserve">Eni UK Limited </w:t>
            </w:r>
          </w:p>
        </w:tc>
      </w:tr>
      <w:tr w:rsidR="00BE1716" w14:paraId="0CAC8164" w14:textId="77777777" w:rsidTr="00A9079F">
        <w:tc>
          <w:tcPr>
            <w:tcW w:w="704" w:type="dxa"/>
          </w:tcPr>
          <w:p w14:paraId="1B5A8BA9" w14:textId="77777777" w:rsidR="00BE1716" w:rsidRDefault="00BE1716" w:rsidP="00A9079F">
            <w:pPr>
              <w:pStyle w:val="Body"/>
              <w:spacing w:before="120" w:after="120"/>
            </w:pPr>
            <w:r>
              <w:t>(b)</w:t>
            </w:r>
          </w:p>
        </w:tc>
        <w:tc>
          <w:tcPr>
            <w:tcW w:w="1985" w:type="dxa"/>
          </w:tcPr>
          <w:p w14:paraId="7BACA5C9" w14:textId="77777777" w:rsidR="00BE1716" w:rsidRDefault="00BE1716" w:rsidP="00A9079F">
            <w:pPr>
              <w:pStyle w:val="Body"/>
              <w:spacing w:before="120" w:after="120"/>
            </w:pPr>
            <w:r w:rsidRPr="001B0BB8">
              <w:t>Position / status</w:t>
            </w:r>
          </w:p>
        </w:tc>
        <w:tc>
          <w:tcPr>
            <w:tcW w:w="6939" w:type="dxa"/>
          </w:tcPr>
          <w:p w14:paraId="29611698" w14:textId="7CF160FC" w:rsidR="00A20319" w:rsidRDefault="000C4E19" w:rsidP="00A9079F">
            <w:pPr>
              <w:pStyle w:val="Body"/>
              <w:spacing w:before="120" w:after="120"/>
            </w:pPr>
            <w:r>
              <w:t xml:space="preserve">PCA of </w:t>
            </w:r>
            <w:r w:rsidR="00BE1716">
              <w:t>PDMR</w:t>
            </w:r>
            <w:r>
              <w:t>s</w:t>
            </w:r>
            <w:r w:rsidR="00BE1716">
              <w:t xml:space="preserve"> </w:t>
            </w:r>
            <w:r w:rsidR="00845859">
              <w:t xml:space="preserve">Francesco </w:t>
            </w:r>
            <w:proofErr w:type="spellStart"/>
            <w:r w:rsidR="00845859">
              <w:t>Gattei</w:t>
            </w:r>
            <w:proofErr w:type="spellEnd"/>
            <w:r>
              <w:t xml:space="preserve"> and </w:t>
            </w:r>
            <w:r w:rsidR="00845859">
              <w:t>Guido Brusco</w:t>
            </w:r>
          </w:p>
        </w:tc>
      </w:tr>
      <w:tr w:rsidR="00BE1716" w14:paraId="7DD40CD1" w14:textId="77777777" w:rsidTr="00A9079F">
        <w:tc>
          <w:tcPr>
            <w:tcW w:w="704" w:type="dxa"/>
          </w:tcPr>
          <w:p w14:paraId="50EC8755" w14:textId="77777777" w:rsidR="00BE1716" w:rsidRDefault="00BE1716" w:rsidP="00A9079F">
            <w:pPr>
              <w:pStyle w:val="Body"/>
              <w:spacing w:before="120" w:after="120"/>
            </w:pPr>
            <w:r>
              <w:t>(c)</w:t>
            </w:r>
          </w:p>
        </w:tc>
        <w:tc>
          <w:tcPr>
            <w:tcW w:w="1985" w:type="dxa"/>
          </w:tcPr>
          <w:p w14:paraId="1D10B5F3" w14:textId="77777777" w:rsidR="00BE1716" w:rsidRPr="001B0BB8" w:rsidRDefault="00BE1716" w:rsidP="00A9079F">
            <w:pPr>
              <w:pStyle w:val="Body"/>
              <w:spacing w:before="120" w:after="120"/>
            </w:pPr>
            <w:r w:rsidRPr="00041BC6">
              <w:t>Initial notification / amendment</w:t>
            </w:r>
          </w:p>
        </w:tc>
        <w:tc>
          <w:tcPr>
            <w:tcW w:w="6939" w:type="dxa"/>
          </w:tcPr>
          <w:p w14:paraId="2520FE99" w14:textId="77777777" w:rsidR="00BE1716" w:rsidRDefault="00BE1716" w:rsidP="00A9079F">
            <w:pPr>
              <w:pStyle w:val="Body"/>
              <w:spacing w:before="120" w:after="120"/>
            </w:pPr>
            <w:r>
              <w:t>Initial notification</w:t>
            </w:r>
          </w:p>
        </w:tc>
      </w:tr>
      <w:tr w:rsidR="00BE1716" w14:paraId="7B751CD3" w14:textId="77777777" w:rsidTr="00A9079F">
        <w:tc>
          <w:tcPr>
            <w:tcW w:w="704" w:type="dxa"/>
          </w:tcPr>
          <w:p w14:paraId="4AFCBAF1" w14:textId="77777777" w:rsidR="00BE1716" w:rsidRDefault="00BE1716" w:rsidP="00BE1716">
            <w:pPr>
              <w:pStyle w:val="SCHLevel1"/>
              <w:keepNext/>
              <w:numPr>
                <w:ilvl w:val="2"/>
                <w:numId w:val="5"/>
              </w:numPr>
              <w:spacing w:before="120" w:after="120"/>
            </w:pPr>
          </w:p>
        </w:tc>
        <w:tc>
          <w:tcPr>
            <w:tcW w:w="8924" w:type="dxa"/>
            <w:gridSpan w:val="2"/>
          </w:tcPr>
          <w:p w14:paraId="5C9C83B2" w14:textId="77777777" w:rsidR="00BE1716" w:rsidRDefault="00BE1716" w:rsidP="00A9079F">
            <w:pPr>
              <w:pStyle w:val="Body"/>
              <w:spacing w:before="120" w:after="120"/>
            </w:pPr>
            <w:r w:rsidRPr="00041BC6">
              <w:rPr>
                <w:b/>
                <w:bCs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BE1716" w14:paraId="450F2395" w14:textId="77777777" w:rsidTr="00A9079F">
        <w:tc>
          <w:tcPr>
            <w:tcW w:w="704" w:type="dxa"/>
          </w:tcPr>
          <w:p w14:paraId="56DFD0B3" w14:textId="77777777" w:rsidR="00BE1716" w:rsidRDefault="00BE1716" w:rsidP="00A9079F">
            <w:pPr>
              <w:pStyle w:val="Body"/>
              <w:spacing w:before="120" w:after="120"/>
            </w:pPr>
            <w:r>
              <w:t>(a)</w:t>
            </w:r>
          </w:p>
        </w:tc>
        <w:tc>
          <w:tcPr>
            <w:tcW w:w="1985" w:type="dxa"/>
          </w:tcPr>
          <w:p w14:paraId="63563B37" w14:textId="77777777" w:rsidR="00BE1716" w:rsidRPr="00041BC6" w:rsidRDefault="00BE1716" w:rsidP="00A9079F">
            <w:pPr>
              <w:pStyle w:val="Body"/>
              <w:spacing w:before="120" w:after="120"/>
            </w:pPr>
            <w:r w:rsidRPr="00041BC6">
              <w:t>Description of the financial instrument</w:t>
            </w:r>
          </w:p>
        </w:tc>
        <w:tc>
          <w:tcPr>
            <w:tcW w:w="6939" w:type="dxa"/>
          </w:tcPr>
          <w:p w14:paraId="7E2AA529" w14:textId="3F7E777D" w:rsidR="00BE1716" w:rsidRPr="00041BC6" w:rsidRDefault="00BE1716" w:rsidP="00A9079F">
            <w:pPr>
              <w:pStyle w:val="Body"/>
              <w:spacing w:before="120" w:after="120"/>
            </w:pPr>
            <w:r>
              <w:t>Ordinary Shares</w:t>
            </w:r>
          </w:p>
        </w:tc>
      </w:tr>
      <w:tr w:rsidR="00BE1716" w14:paraId="6792E678" w14:textId="77777777" w:rsidTr="00A9079F">
        <w:tc>
          <w:tcPr>
            <w:tcW w:w="704" w:type="dxa"/>
          </w:tcPr>
          <w:p w14:paraId="70D4F78C" w14:textId="77777777" w:rsidR="00BE1716" w:rsidRDefault="00BE1716" w:rsidP="00A9079F">
            <w:pPr>
              <w:pStyle w:val="Body"/>
              <w:spacing w:before="120" w:after="120"/>
            </w:pPr>
            <w:r>
              <w:t>(b)</w:t>
            </w:r>
          </w:p>
        </w:tc>
        <w:tc>
          <w:tcPr>
            <w:tcW w:w="1985" w:type="dxa"/>
          </w:tcPr>
          <w:p w14:paraId="3529AFB2" w14:textId="77777777" w:rsidR="00BE1716" w:rsidRPr="00041BC6" w:rsidRDefault="00BE1716" w:rsidP="00A9079F">
            <w:pPr>
              <w:pStyle w:val="Body"/>
              <w:spacing w:before="120" w:after="120"/>
            </w:pPr>
            <w:r w:rsidRPr="00041BC6">
              <w:t>Nature of the transaction</w:t>
            </w:r>
          </w:p>
        </w:tc>
        <w:tc>
          <w:tcPr>
            <w:tcW w:w="6939" w:type="dxa"/>
          </w:tcPr>
          <w:p w14:paraId="1B4600A1" w14:textId="5322A878" w:rsidR="00BE1716" w:rsidRPr="00041BC6" w:rsidRDefault="00EE1D8F" w:rsidP="00A9079F">
            <w:pPr>
              <w:pStyle w:val="Body"/>
              <w:spacing w:before="120" w:after="120"/>
            </w:pPr>
            <w:r>
              <w:t>Sale</w:t>
            </w:r>
            <w:r w:rsidR="00A20319">
              <w:t xml:space="preserve"> </w:t>
            </w:r>
            <w:r w:rsidR="001B432B">
              <w:t xml:space="preserve">of shares </w:t>
            </w:r>
            <w:r>
              <w:t xml:space="preserve">on </w:t>
            </w:r>
            <w:r w:rsidR="00A20319">
              <w:t>exercise of call option</w:t>
            </w:r>
            <w:r w:rsidR="00845859">
              <w:t xml:space="preserve"> by </w:t>
            </w:r>
            <w:r w:rsidR="000C4E19">
              <w:t xml:space="preserve">DKL </w:t>
            </w:r>
            <w:r w:rsidR="00845859">
              <w:t>Energy Limited</w:t>
            </w:r>
          </w:p>
        </w:tc>
      </w:tr>
      <w:tr w:rsidR="00BE1716" w14:paraId="46C3BFDE" w14:textId="77777777" w:rsidTr="00A9079F">
        <w:tc>
          <w:tcPr>
            <w:tcW w:w="704" w:type="dxa"/>
          </w:tcPr>
          <w:p w14:paraId="09A07C76" w14:textId="77777777" w:rsidR="00BE1716" w:rsidRDefault="00BE1716" w:rsidP="00A9079F">
            <w:pPr>
              <w:pStyle w:val="Body"/>
              <w:spacing w:before="120" w:after="120"/>
            </w:pPr>
            <w:r>
              <w:t>(c)</w:t>
            </w:r>
          </w:p>
        </w:tc>
        <w:tc>
          <w:tcPr>
            <w:tcW w:w="1985" w:type="dxa"/>
          </w:tcPr>
          <w:p w14:paraId="6CD37FCC" w14:textId="77777777" w:rsidR="00BE1716" w:rsidRPr="00041BC6" w:rsidRDefault="00BE1716" w:rsidP="00A9079F">
            <w:pPr>
              <w:pStyle w:val="Body"/>
              <w:spacing w:before="120" w:after="120"/>
            </w:pPr>
            <w:r>
              <w:t>Price(s) and volume(s)</w:t>
            </w:r>
          </w:p>
        </w:tc>
        <w:tc>
          <w:tcPr>
            <w:tcW w:w="6939" w:type="dxa"/>
          </w:tcPr>
          <w:p w14:paraId="08DAB983" w14:textId="77777777" w:rsidR="00BE1716" w:rsidRDefault="00BE1716" w:rsidP="00A9079F">
            <w:pPr>
              <w:pStyle w:val="Body"/>
              <w:spacing w:before="120"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56"/>
              <w:gridCol w:w="3357"/>
            </w:tblGrid>
            <w:tr w:rsidR="00BE1716" w14:paraId="38013B69" w14:textId="77777777" w:rsidTr="00A9079F">
              <w:tc>
                <w:tcPr>
                  <w:tcW w:w="3356" w:type="dxa"/>
                </w:tcPr>
                <w:p w14:paraId="4A0B8891" w14:textId="77777777" w:rsidR="00BE1716" w:rsidRDefault="00BE1716" w:rsidP="00A9079F">
                  <w:pPr>
                    <w:pStyle w:val="Body"/>
                    <w:spacing w:before="120" w:after="120"/>
                  </w:pPr>
                  <w:r>
                    <w:t>Price(s)</w:t>
                  </w:r>
                </w:p>
              </w:tc>
              <w:tc>
                <w:tcPr>
                  <w:tcW w:w="3357" w:type="dxa"/>
                </w:tcPr>
                <w:p w14:paraId="3783026F" w14:textId="77777777" w:rsidR="00BE1716" w:rsidRDefault="00BE1716" w:rsidP="00A9079F">
                  <w:pPr>
                    <w:pStyle w:val="Body"/>
                    <w:spacing w:before="120" w:after="120"/>
                  </w:pPr>
                  <w:r>
                    <w:t>Volume(s)</w:t>
                  </w:r>
                </w:p>
              </w:tc>
            </w:tr>
            <w:tr w:rsidR="00BE1716" w14:paraId="6400089D" w14:textId="77777777" w:rsidTr="00A9079F">
              <w:tc>
                <w:tcPr>
                  <w:tcW w:w="3356" w:type="dxa"/>
                </w:tcPr>
                <w:p w14:paraId="2250F1E1" w14:textId="267D2F30" w:rsidR="00BE1716" w:rsidRDefault="00A20319" w:rsidP="00A9079F">
                  <w:pPr>
                    <w:pStyle w:val="Body"/>
                    <w:spacing w:before="120" w:after="120"/>
                  </w:pPr>
                  <w:r>
                    <w:rPr>
                      <w:rFonts w:cs="Arial"/>
                    </w:rPr>
                    <w:t>£</w:t>
                  </w:r>
                  <w:r>
                    <w:t>1.0</w:t>
                  </w:r>
                  <w:r w:rsidR="00754E0F">
                    <w:t xml:space="preserve">2 </w:t>
                  </w:r>
                  <w:r w:rsidR="00015108">
                    <w:t>per share</w:t>
                  </w:r>
                </w:p>
              </w:tc>
              <w:tc>
                <w:tcPr>
                  <w:tcW w:w="3357" w:type="dxa"/>
                </w:tcPr>
                <w:p w14:paraId="165C0A33" w14:textId="5CAADEC2" w:rsidR="00BE1716" w:rsidRDefault="00A20319" w:rsidP="00A9079F">
                  <w:pPr>
                    <w:pStyle w:val="Body"/>
                    <w:spacing w:before="120" w:after="120"/>
                  </w:pPr>
                  <w:r>
                    <w:t>24,681,658</w:t>
                  </w:r>
                </w:p>
              </w:tc>
            </w:tr>
            <w:tr w:rsidR="00BE1716" w14:paraId="6371FD28" w14:textId="77777777" w:rsidTr="00A9079F">
              <w:tc>
                <w:tcPr>
                  <w:tcW w:w="3356" w:type="dxa"/>
                </w:tcPr>
                <w:p w14:paraId="705750D0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  <w:tc>
                <w:tcPr>
                  <w:tcW w:w="3357" w:type="dxa"/>
                </w:tcPr>
                <w:p w14:paraId="60C43D56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</w:tr>
            <w:tr w:rsidR="00BE1716" w14:paraId="5A46A076" w14:textId="77777777" w:rsidTr="00A9079F">
              <w:tc>
                <w:tcPr>
                  <w:tcW w:w="3356" w:type="dxa"/>
                </w:tcPr>
                <w:p w14:paraId="2709DD78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  <w:tc>
                <w:tcPr>
                  <w:tcW w:w="3357" w:type="dxa"/>
                </w:tcPr>
                <w:p w14:paraId="40821AB0" w14:textId="77777777" w:rsidR="00BE1716" w:rsidRDefault="00BE1716" w:rsidP="00A9079F">
                  <w:pPr>
                    <w:pStyle w:val="Body"/>
                    <w:spacing w:before="120" w:after="120"/>
                  </w:pPr>
                </w:p>
              </w:tc>
            </w:tr>
          </w:tbl>
          <w:p w14:paraId="6286B67E" w14:textId="01C64E87" w:rsidR="00BE1716" w:rsidRDefault="00BE1716" w:rsidP="00BE1716">
            <w:pPr>
              <w:pStyle w:val="Body"/>
              <w:spacing w:before="120" w:after="120"/>
            </w:pPr>
          </w:p>
          <w:p w14:paraId="6513E1A1" w14:textId="3EE24FA8" w:rsidR="00BE1716" w:rsidRDefault="00BE1716" w:rsidP="00A9079F">
            <w:pPr>
              <w:pStyle w:val="Body"/>
              <w:spacing w:before="120" w:after="120"/>
            </w:pPr>
          </w:p>
        </w:tc>
      </w:tr>
      <w:tr w:rsidR="00BE1716" w14:paraId="0CFFAE7F" w14:textId="77777777" w:rsidTr="00A9079F">
        <w:tc>
          <w:tcPr>
            <w:tcW w:w="704" w:type="dxa"/>
          </w:tcPr>
          <w:p w14:paraId="5EA49471" w14:textId="77777777" w:rsidR="00BE1716" w:rsidRDefault="00BE1716" w:rsidP="00A9079F">
            <w:pPr>
              <w:pStyle w:val="Body"/>
              <w:spacing w:before="120" w:after="120"/>
            </w:pPr>
            <w:r>
              <w:t>(d)</w:t>
            </w:r>
          </w:p>
        </w:tc>
        <w:tc>
          <w:tcPr>
            <w:tcW w:w="1985" w:type="dxa"/>
          </w:tcPr>
          <w:p w14:paraId="6ADFA95C" w14:textId="77777777" w:rsidR="00BE1716" w:rsidRDefault="00BE1716" w:rsidP="00A9079F">
            <w:pPr>
              <w:pStyle w:val="Body"/>
              <w:spacing w:before="120" w:after="120"/>
            </w:pPr>
            <w:r>
              <w:t>Aggregated information</w:t>
            </w:r>
          </w:p>
        </w:tc>
        <w:tc>
          <w:tcPr>
            <w:tcW w:w="6939" w:type="dxa"/>
          </w:tcPr>
          <w:p w14:paraId="75DBAE17" w14:textId="37767B8B" w:rsidR="00BE1716" w:rsidRDefault="00015108" w:rsidP="00A9079F">
            <w:pPr>
              <w:pStyle w:val="Body"/>
              <w:spacing w:before="120" w:after="120"/>
            </w:pPr>
            <w:r>
              <w:t xml:space="preserve">24,681,658 at </w:t>
            </w:r>
            <w:r w:rsidRPr="00015108">
              <w:t>£1.0</w:t>
            </w:r>
            <w:r w:rsidR="00754E0F">
              <w:t>2</w:t>
            </w:r>
            <w:r w:rsidRPr="00015108">
              <w:t xml:space="preserve"> per share</w:t>
            </w:r>
          </w:p>
          <w:p w14:paraId="2171275C" w14:textId="60297086" w:rsidR="00754E0F" w:rsidRDefault="00754E0F" w:rsidP="00A9079F">
            <w:pPr>
              <w:pStyle w:val="Body"/>
              <w:spacing w:before="120" w:after="120"/>
            </w:pPr>
          </w:p>
        </w:tc>
      </w:tr>
      <w:tr w:rsidR="00BE1716" w14:paraId="4B451E76" w14:textId="77777777" w:rsidTr="00A9079F">
        <w:tc>
          <w:tcPr>
            <w:tcW w:w="704" w:type="dxa"/>
          </w:tcPr>
          <w:p w14:paraId="47D5E8D8" w14:textId="77777777" w:rsidR="00BE1716" w:rsidRDefault="00BE1716" w:rsidP="00BE1716">
            <w:pPr>
              <w:pStyle w:val="Body"/>
              <w:spacing w:before="120" w:after="120"/>
            </w:pPr>
          </w:p>
        </w:tc>
        <w:tc>
          <w:tcPr>
            <w:tcW w:w="1985" w:type="dxa"/>
          </w:tcPr>
          <w:p w14:paraId="745294D6" w14:textId="77777777" w:rsidR="00BE1716" w:rsidRDefault="00BE1716" w:rsidP="00BE1716">
            <w:pPr>
              <w:pStyle w:val="Body"/>
              <w:tabs>
                <w:tab w:val="left" w:pos="322"/>
              </w:tabs>
              <w:spacing w:before="120" w:after="120"/>
              <w:ind w:left="322" w:hanging="322"/>
            </w:pPr>
            <w:r>
              <w:t>-</w:t>
            </w:r>
            <w:r>
              <w:tab/>
              <w:t>Aggregated volume</w:t>
            </w:r>
          </w:p>
          <w:p w14:paraId="1F24C4F0" w14:textId="77777777" w:rsidR="00BE1716" w:rsidRDefault="00BE1716" w:rsidP="00BE1716">
            <w:pPr>
              <w:pStyle w:val="Body"/>
              <w:tabs>
                <w:tab w:val="left" w:pos="322"/>
              </w:tabs>
              <w:spacing w:before="120" w:after="120"/>
              <w:ind w:left="322" w:hanging="322"/>
            </w:pPr>
            <w:r>
              <w:t>-</w:t>
            </w:r>
            <w:r>
              <w:tab/>
              <w:t>Price</w:t>
            </w:r>
          </w:p>
        </w:tc>
        <w:tc>
          <w:tcPr>
            <w:tcW w:w="6939" w:type="dxa"/>
          </w:tcPr>
          <w:p w14:paraId="03D60806" w14:textId="77777777" w:rsidR="00BE1716" w:rsidRDefault="00A20319" w:rsidP="00BE1716">
            <w:pPr>
              <w:pStyle w:val="Body"/>
              <w:spacing w:before="120" w:after="120"/>
            </w:pPr>
            <w:r>
              <w:t>24,681,658</w:t>
            </w:r>
          </w:p>
          <w:p w14:paraId="7F250BDD" w14:textId="73A5E66C" w:rsidR="00A20319" w:rsidRPr="00F94257" w:rsidRDefault="00A20319" w:rsidP="00A20319">
            <w:pPr>
              <w:pStyle w:val="Body"/>
              <w:spacing w:before="240" w:after="0" w:line="360" w:lineRule="auto"/>
            </w:pPr>
            <w:r>
              <w:rPr>
                <w:rFonts w:cs="Arial"/>
              </w:rPr>
              <w:t>£</w:t>
            </w:r>
            <w:r w:rsidR="00754E0F">
              <w:t>25,175,291.2 (payment was net of reimbursement for sale expenses</w:t>
            </w:r>
            <w:r w:rsidR="00CB7A8F">
              <w:t>)</w:t>
            </w:r>
          </w:p>
        </w:tc>
      </w:tr>
      <w:tr w:rsidR="00BE1716" w14:paraId="5EE99C8C" w14:textId="77777777" w:rsidTr="009639A6">
        <w:tc>
          <w:tcPr>
            <w:tcW w:w="704" w:type="dxa"/>
          </w:tcPr>
          <w:p w14:paraId="35AE7467" w14:textId="77777777" w:rsidR="00BE1716" w:rsidRDefault="00BE1716" w:rsidP="00BE1716">
            <w:pPr>
              <w:pStyle w:val="Body"/>
              <w:spacing w:before="120" w:after="120"/>
            </w:pPr>
            <w:r>
              <w:lastRenderedPageBreak/>
              <w:t>(e)</w:t>
            </w:r>
          </w:p>
        </w:tc>
        <w:tc>
          <w:tcPr>
            <w:tcW w:w="1985" w:type="dxa"/>
          </w:tcPr>
          <w:p w14:paraId="00B45D9A" w14:textId="77777777" w:rsidR="00BE1716" w:rsidRDefault="00BE1716" w:rsidP="00BE1716">
            <w:pPr>
              <w:pStyle w:val="Body"/>
              <w:spacing w:before="120" w:after="120"/>
            </w:pPr>
            <w:r w:rsidRPr="00D07EA7">
              <w:t>Date of the transaction</w:t>
            </w:r>
          </w:p>
        </w:tc>
        <w:tc>
          <w:tcPr>
            <w:tcW w:w="6939" w:type="dxa"/>
            <w:shd w:val="clear" w:color="auto" w:fill="auto"/>
          </w:tcPr>
          <w:p w14:paraId="227789AE" w14:textId="3E85AD7A" w:rsidR="00BE1716" w:rsidRPr="009639A6" w:rsidRDefault="00A20319" w:rsidP="00BE1716">
            <w:pPr>
              <w:pStyle w:val="Body"/>
              <w:spacing w:before="120" w:after="120"/>
              <w:rPr>
                <w:color w:val="FFFFFF" w:themeColor="background1"/>
              </w:rPr>
            </w:pPr>
            <w:r>
              <w:t>18</w:t>
            </w:r>
            <w:r w:rsidR="000C4E19">
              <w:t xml:space="preserve"> October </w:t>
            </w:r>
            <w:r>
              <w:t>2024</w:t>
            </w:r>
            <w:r>
              <w:rPr>
                <w:color w:val="FFFFFF" w:themeColor="background1"/>
              </w:rPr>
              <w:t>.</w:t>
            </w:r>
          </w:p>
        </w:tc>
      </w:tr>
      <w:tr w:rsidR="00BE1716" w14:paraId="26F5BF7B" w14:textId="77777777" w:rsidTr="00A9079F">
        <w:tc>
          <w:tcPr>
            <w:tcW w:w="704" w:type="dxa"/>
          </w:tcPr>
          <w:p w14:paraId="43277F03" w14:textId="77777777" w:rsidR="00BE1716" w:rsidRDefault="00BE1716" w:rsidP="00BE1716">
            <w:pPr>
              <w:pStyle w:val="Body"/>
              <w:spacing w:before="120" w:after="120"/>
            </w:pPr>
            <w:r>
              <w:t>(f)</w:t>
            </w:r>
          </w:p>
        </w:tc>
        <w:tc>
          <w:tcPr>
            <w:tcW w:w="1985" w:type="dxa"/>
          </w:tcPr>
          <w:p w14:paraId="5D4077A5" w14:textId="77777777" w:rsidR="00BE1716" w:rsidRPr="00D07EA7" w:rsidRDefault="00BE1716" w:rsidP="00BE1716">
            <w:pPr>
              <w:pStyle w:val="Body"/>
              <w:spacing w:before="120" w:after="120"/>
            </w:pPr>
            <w:r>
              <w:t>Place of the transaction</w:t>
            </w:r>
          </w:p>
        </w:tc>
        <w:tc>
          <w:tcPr>
            <w:tcW w:w="6939" w:type="dxa"/>
          </w:tcPr>
          <w:p w14:paraId="0D3AE1D1" w14:textId="3FA57A70" w:rsidR="00BE1716" w:rsidRPr="00D07EA7" w:rsidRDefault="00BE1716" w:rsidP="00BE1716">
            <w:pPr>
              <w:pStyle w:val="Body"/>
              <w:spacing w:before="120" w:after="120"/>
            </w:pPr>
            <w:r>
              <w:t>Outside of trading venue</w:t>
            </w:r>
          </w:p>
        </w:tc>
      </w:tr>
    </w:tbl>
    <w:p w14:paraId="3CBFA022" w14:textId="77777777" w:rsidR="00BE1716" w:rsidRPr="00D07EA7" w:rsidRDefault="00BE1716" w:rsidP="00BE1716">
      <w:pPr>
        <w:pStyle w:val="Body"/>
      </w:pPr>
    </w:p>
    <w:p w14:paraId="6A7CB6B2" w14:textId="77777777" w:rsidR="00BE1716" w:rsidRDefault="00BE1716"/>
    <w:sectPr w:rsidR="00BE1716" w:rsidSect="008D7AD8">
      <w:headerReference w:type="default" r:id="rId8"/>
      <w:pgSz w:w="11906" w:h="16838" w:code="9"/>
      <w:pgMar w:top="1418" w:right="1134" w:bottom="1134" w:left="1134" w:header="709" w:footer="709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CAHUAbABsAGUAdAAgADEA" wne:acdName="acd0" wne:fciIndexBasedOn="0065"/>
    <wne:acd wne:argValue="AgBCAHUAbABsAGUAdAAgADIA" wne:acdName="acd1" wne:fciIndexBasedOn="0065"/>
    <wne:acd wne:argValue="AgBCAHUAbABsAGUAdAAgADMA" wne:acdName="acd2" wne:fciIndexBasedOn="0065"/>
    <wne:acd wne:argValue="AgBCAHUAbABsAGUAdAAgADQ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E3DCB" w14:textId="77777777" w:rsidR="00A53507" w:rsidRDefault="00A53507" w:rsidP="00BE1716">
      <w:r>
        <w:separator/>
      </w:r>
    </w:p>
  </w:endnote>
  <w:endnote w:type="continuationSeparator" w:id="0">
    <w:p w14:paraId="464700D0" w14:textId="77777777" w:rsidR="00A53507" w:rsidRDefault="00A53507" w:rsidP="00BE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B055A" w14:textId="77777777" w:rsidR="00A53507" w:rsidRDefault="00A53507" w:rsidP="00BE1716">
      <w:r>
        <w:separator/>
      </w:r>
    </w:p>
  </w:footnote>
  <w:footnote w:type="continuationSeparator" w:id="0">
    <w:p w14:paraId="38F7F334" w14:textId="77777777" w:rsidR="00A53507" w:rsidRDefault="00A53507" w:rsidP="00BE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1903" w14:textId="77777777" w:rsidR="00802EA3" w:rsidRDefault="00BE1716" w:rsidP="00042FEA">
    <w:pPr>
      <w:pStyle w:val="Header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7B206E5A" wp14:editId="263670BA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282683362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83362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1A21"/>
    <w:multiLevelType w:val="multilevel"/>
    <w:tmpl w:val="737606F8"/>
    <w:name w:val="Schedule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" w15:restartNumberingAfterBreak="0">
    <w:nsid w:val="4FED6A65"/>
    <w:multiLevelType w:val="multilevel"/>
    <w:tmpl w:val="24320B28"/>
    <w:name w:val="Bullet"/>
    <w:numStyleLink w:val="Bullets"/>
  </w:abstractNum>
  <w:abstractNum w:abstractNumId="2" w15:restartNumberingAfterBreak="0">
    <w:nsid w:val="57506364"/>
    <w:multiLevelType w:val="multilevel"/>
    <w:tmpl w:val="24320B28"/>
    <w:name w:val="Bullet_1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4601485">
    <w:abstractNumId w:val="2"/>
  </w:num>
  <w:num w:numId="2" w16cid:durableId="393896226">
    <w:abstractNumId w:val="0"/>
  </w:num>
  <w:num w:numId="3" w16cid:durableId="304430447">
    <w:abstractNumId w:val="1"/>
  </w:num>
  <w:num w:numId="4" w16cid:durableId="1388142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24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16"/>
    <w:rsid w:val="00015108"/>
    <w:rsid w:val="00083454"/>
    <w:rsid w:val="000C4E19"/>
    <w:rsid w:val="000D1976"/>
    <w:rsid w:val="000E4275"/>
    <w:rsid w:val="00107F7B"/>
    <w:rsid w:val="00147C5B"/>
    <w:rsid w:val="00180710"/>
    <w:rsid w:val="001B432B"/>
    <w:rsid w:val="0023402A"/>
    <w:rsid w:val="002D17C0"/>
    <w:rsid w:val="0031548D"/>
    <w:rsid w:val="003F4169"/>
    <w:rsid w:val="00444F66"/>
    <w:rsid w:val="004868E8"/>
    <w:rsid w:val="00732AFB"/>
    <w:rsid w:val="00754E0F"/>
    <w:rsid w:val="00802EA3"/>
    <w:rsid w:val="00845859"/>
    <w:rsid w:val="008D7AD8"/>
    <w:rsid w:val="00930825"/>
    <w:rsid w:val="009639A6"/>
    <w:rsid w:val="00995E42"/>
    <w:rsid w:val="00A20319"/>
    <w:rsid w:val="00A53507"/>
    <w:rsid w:val="00A62F9F"/>
    <w:rsid w:val="00AB7B03"/>
    <w:rsid w:val="00B45DD8"/>
    <w:rsid w:val="00BE1716"/>
    <w:rsid w:val="00BE7358"/>
    <w:rsid w:val="00CB7A8F"/>
    <w:rsid w:val="00EE1D8F"/>
    <w:rsid w:val="00F6390F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3F4E"/>
  <w15:chartTrackingRefBased/>
  <w15:docId w15:val="{C593DD76-E22A-497F-939C-3C1B332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16"/>
    <w:pPr>
      <w:spacing w:after="0" w:line="240" w:lineRule="auto"/>
      <w:jc w:val="both"/>
    </w:pPr>
    <w:rPr>
      <w:rFonts w:ascii="Arial" w:hAnsi="Arial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BE1716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E1716"/>
    <w:rPr>
      <w:rFonts w:ascii="Arial" w:hAnsi="Arial"/>
      <w:sz w:val="16"/>
      <w:szCs w:val="20"/>
      <w:lang w:val="en-GB" w:eastAsia="en-GB" w:bidi="ar-SA"/>
    </w:rPr>
  </w:style>
  <w:style w:type="paragraph" w:styleId="Header">
    <w:name w:val="header"/>
    <w:basedOn w:val="Normal"/>
    <w:link w:val="HeaderChar"/>
    <w:uiPriority w:val="4"/>
    <w:semiHidden/>
    <w:rsid w:val="00BE1716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BE1716"/>
    <w:rPr>
      <w:rFonts w:ascii="Arial" w:hAnsi="Arial"/>
      <w:sz w:val="16"/>
      <w:szCs w:val="20"/>
      <w:lang w:val="en-GB" w:eastAsia="en-GB" w:bidi="ar-SA"/>
    </w:rPr>
  </w:style>
  <w:style w:type="paragraph" w:customStyle="1" w:styleId="Body">
    <w:name w:val="Body"/>
    <w:basedOn w:val="Normal"/>
    <w:link w:val="BodyChar"/>
    <w:qFormat/>
    <w:rsid w:val="00BE1716"/>
    <w:pPr>
      <w:spacing w:after="240"/>
    </w:pPr>
  </w:style>
  <w:style w:type="paragraph" w:customStyle="1" w:styleId="Bullet1">
    <w:name w:val="Bullet 1"/>
    <w:basedOn w:val="Body"/>
    <w:uiPriority w:val="4"/>
    <w:qFormat/>
    <w:rsid w:val="00BE1716"/>
    <w:pPr>
      <w:numPr>
        <w:numId w:val="3"/>
      </w:numPr>
      <w:tabs>
        <w:tab w:val="num" w:pos="360"/>
      </w:tabs>
      <w:ind w:left="851" w:hanging="851"/>
    </w:pPr>
  </w:style>
  <w:style w:type="paragraph" w:customStyle="1" w:styleId="Bullet2">
    <w:name w:val="Bullet 2"/>
    <w:basedOn w:val="Body"/>
    <w:uiPriority w:val="4"/>
    <w:qFormat/>
    <w:rsid w:val="00BE1716"/>
    <w:pPr>
      <w:numPr>
        <w:ilvl w:val="1"/>
        <w:numId w:val="3"/>
      </w:numPr>
      <w:tabs>
        <w:tab w:val="num" w:pos="360"/>
      </w:tabs>
      <w:ind w:left="1702" w:firstLine="0"/>
    </w:pPr>
  </w:style>
  <w:style w:type="paragraph" w:customStyle="1" w:styleId="Bullet3">
    <w:name w:val="Bullet 3"/>
    <w:basedOn w:val="Body"/>
    <w:uiPriority w:val="4"/>
    <w:qFormat/>
    <w:rsid w:val="00BE1716"/>
    <w:pPr>
      <w:numPr>
        <w:ilvl w:val="2"/>
        <w:numId w:val="3"/>
      </w:numPr>
      <w:tabs>
        <w:tab w:val="num" w:pos="360"/>
      </w:tabs>
      <w:ind w:left="2552" w:hanging="851"/>
    </w:pPr>
  </w:style>
  <w:style w:type="paragraph" w:customStyle="1" w:styleId="Bullet4">
    <w:name w:val="Bullet 4"/>
    <w:basedOn w:val="Body"/>
    <w:uiPriority w:val="4"/>
    <w:qFormat/>
    <w:rsid w:val="00BE1716"/>
    <w:pPr>
      <w:numPr>
        <w:ilvl w:val="3"/>
        <w:numId w:val="3"/>
      </w:numPr>
      <w:tabs>
        <w:tab w:val="num" w:pos="360"/>
      </w:tabs>
      <w:ind w:left="3403" w:firstLine="0"/>
    </w:pPr>
  </w:style>
  <w:style w:type="paragraph" w:customStyle="1" w:styleId="SchedulePart">
    <w:name w:val="Schedule Part #"/>
    <w:basedOn w:val="Body"/>
    <w:next w:val="Body"/>
    <w:uiPriority w:val="5"/>
    <w:qFormat/>
    <w:rsid w:val="00BE1716"/>
    <w:pPr>
      <w:keepNext/>
      <w:numPr>
        <w:ilvl w:val="1"/>
        <w:numId w:val="2"/>
      </w:numPr>
      <w:tabs>
        <w:tab w:val="num" w:pos="360"/>
      </w:tabs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BE1716"/>
    <w:pPr>
      <w:keepNext/>
      <w:pageBreakBefore/>
      <w:numPr>
        <w:numId w:val="2"/>
      </w:numPr>
      <w:tabs>
        <w:tab w:val="num" w:pos="360"/>
      </w:tabs>
      <w:jc w:val="center"/>
      <w:outlineLvl w:val="7"/>
    </w:pPr>
    <w:rPr>
      <w:b/>
      <w:caps/>
    </w:rPr>
  </w:style>
  <w:style w:type="table" w:styleId="TableGrid">
    <w:name w:val="Table Grid"/>
    <w:basedOn w:val="TableNormal"/>
    <w:rsid w:val="00BE171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Caps">
    <w:name w:val="Body bold Caps"/>
    <w:basedOn w:val="DefaultParagraphFont"/>
    <w:uiPriority w:val="5"/>
    <w:semiHidden/>
    <w:qFormat/>
    <w:rsid w:val="00BE1716"/>
    <w:rPr>
      <w:rFonts w:ascii="Arial" w:hAnsi="Arial"/>
      <w:b/>
      <w:bCs/>
      <w:caps/>
      <w:smallCaps w:val="0"/>
      <w:sz w:val="20"/>
      <w:lang w:val="en-GB"/>
    </w:rPr>
  </w:style>
  <w:style w:type="numbering" w:customStyle="1" w:styleId="Bullets">
    <w:name w:val="Bullets"/>
    <w:basedOn w:val="NoList"/>
    <w:rsid w:val="00BE1716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BE1716"/>
    <w:rPr>
      <w:rFonts w:ascii="Arial" w:hAnsi="Arial"/>
      <w:sz w:val="20"/>
      <w:szCs w:val="20"/>
      <w:lang w:val="en-GB" w:eastAsia="en-GB" w:bidi="ar-SA"/>
    </w:rPr>
  </w:style>
  <w:style w:type="paragraph" w:customStyle="1" w:styleId="SCHLevel1">
    <w:name w:val="SCH Level 1"/>
    <w:basedOn w:val="BodyText"/>
    <w:uiPriority w:val="99"/>
    <w:qFormat/>
    <w:rsid w:val="00BE1716"/>
    <w:pPr>
      <w:numPr>
        <w:ilvl w:val="2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2">
    <w:name w:val="SCH Level 2"/>
    <w:basedOn w:val="BodyText"/>
    <w:uiPriority w:val="99"/>
    <w:qFormat/>
    <w:rsid w:val="00BE1716"/>
    <w:pPr>
      <w:numPr>
        <w:ilvl w:val="3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3">
    <w:name w:val="SCH Level 3"/>
    <w:basedOn w:val="BodyText"/>
    <w:uiPriority w:val="99"/>
    <w:qFormat/>
    <w:rsid w:val="00BE1716"/>
    <w:pPr>
      <w:numPr>
        <w:ilvl w:val="4"/>
        <w:numId w:val="2"/>
      </w:numPr>
      <w:tabs>
        <w:tab w:val="clear" w:pos="2268"/>
        <w:tab w:val="num" w:pos="360"/>
      </w:tabs>
      <w:spacing w:after="240"/>
      <w:ind w:left="0" w:firstLine="0"/>
    </w:pPr>
  </w:style>
  <w:style w:type="paragraph" w:customStyle="1" w:styleId="SCHLevel4">
    <w:name w:val="SCH Level 4"/>
    <w:basedOn w:val="BodyText"/>
    <w:uiPriority w:val="99"/>
    <w:qFormat/>
    <w:rsid w:val="00BE1716"/>
    <w:pPr>
      <w:numPr>
        <w:ilvl w:val="5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5">
    <w:name w:val="SCH Level 5"/>
    <w:basedOn w:val="BodyText"/>
    <w:uiPriority w:val="99"/>
    <w:qFormat/>
    <w:rsid w:val="00BE1716"/>
    <w:pPr>
      <w:numPr>
        <w:ilvl w:val="6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6">
    <w:name w:val="SCH Level 6"/>
    <w:basedOn w:val="BodyText"/>
    <w:uiPriority w:val="99"/>
    <w:qFormat/>
    <w:rsid w:val="00BE1716"/>
    <w:pPr>
      <w:numPr>
        <w:ilvl w:val="7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7">
    <w:name w:val="SCH Level 7"/>
    <w:basedOn w:val="BodyText"/>
    <w:uiPriority w:val="99"/>
    <w:qFormat/>
    <w:rsid w:val="00BE1716"/>
    <w:pPr>
      <w:numPr>
        <w:ilvl w:val="8"/>
        <w:numId w:val="2"/>
      </w:numPr>
      <w:tabs>
        <w:tab w:val="clear" w:pos="4253"/>
        <w:tab w:val="num" w:pos="360"/>
      </w:tabs>
      <w:spacing w:after="240"/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BE1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716"/>
    <w:rPr>
      <w:rFonts w:ascii="Arial" w:hAnsi="Arial"/>
      <w:sz w:val="20"/>
      <w:szCs w:val="20"/>
      <w:lang w:val="en-GB" w:eastAsia="en-GB" w:bidi="ar-SA"/>
    </w:rPr>
  </w:style>
  <w:style w:type="paragraph" w:styleId="Revision">
    <w:name w:val="Revision"/>
    <w:hidden/>
    <w:uiPriority w:val="99"/>
    <w:semiHidden/>
    <w:rsid w:val="00F6390F"/>
    <w:pPr>
      <w:spacing w:after="0" w:line="240" w:lineRule="auto"/>
    </w:pPr>
    <w:rPr>
      <w:rFonts w:ascii="Arial" w:hAnsi="Arial"/>
      <w:sz w:val="20"/>
      <w:szCs w:val="2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1377</Characters>
  <Application>Microsoft Office Word</Application>
  <DocSecurity>0</DocSecurity>
  <Lines>22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 Cohen</dc:creator>
  <cp:keywords/>
  <dc:description/>
  <cp:lastModifiedBy>Junaid, Shayan (Corporate Transactions-LON)</cp:lastModifiedBy>
  <cp:revision>2</cp:revision>
  <dcterms:created xsi:type="dcterms:W3CDTF">2024-10-22T16:58:00Z</dcterms:created>
  <dcterms:modified xsi:type="dcterms:W3CDTF">2024-10-22T16:58:00Z</dcterms:modified>
</cp:coreProperties>
</file>