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CD16" w14:textId="2851CCD4" w:rsidR="00BE1716" w:rsidRDefault="00716BB8" w:rsidP="00716BB8">
      <w:pPr>
        <w:pStyle w:val="Schedule"/>
        <w:numPr>
          <w:ilvl w:val="0"/>
          <w:numId w:val="0"/>
        </w:numPr>
      </w:pPr>
      <w:r>
        <w:rPr>
          <w:color w:val="000000"/>
        </w:rPr>
        <w:t>N</w:t>
      </w:r>
      <w:r w:rsidR="00BE1716" w:rsidRPr="00C35783">
        <w:rPr>
          <w:color w:val="000000"/>
        </w:rPr>
        <w:t>OTIFICATION</w:t>
      </w:r>
    </w:p>
    <w:p w14:paraId="7713A80B" w14:textId="77777777" w:rsidR="00BE1716" w:rsidRPr="00471582" w:rsidRDefault="00BE1716" w:rsidP="00BE1716">
      <w:pPr>
        <w:spacing w:before="241" w:after="218" w:line="230" w:lineRule="exact"/>
        <w:ind w:left="72" w:right="72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ITHACA ENERGY PLC</w:t>
      </w:r>
      <w:r w:rsidRPr="00471582">
        <w:rPr>
          <w:b/>
          <w:bCs/>
          <w:color w:val="000000"/>
        </w:rPr>
        <w:t xml:space="preserve"> (the "Company")</w:t>
      </w:r>
    </w:p>
    <w:p w14:paraId="4822B325" w14:textId="77777777" w:rsidR="00BE1716" w:rsidRPr="00471582" w:rsidRDefault="00BE1716" w:rsidP="00BE1716">
      <w:pPr>
        <w:spacing w:before="241" w:after="218" w:line="230" w:lineRule="exact"/>
        <w:ind w:left="72" w:right="72"/>
        <w:jc w:val="center"/>
        <w:textAlignment w:val="baseline"/>
        <w:rPr>
          <w:b/>
          <w:bCs/>
          <w:color w:val="000000"/>
        </w:rPr>
      </w:pPr>
      <w:r w:rsidRPr="00471582">
        <w:rPr>
          <w:b/>
          <w:bCs/>
          <w:color w:val="000000"/>
        </w:rPr>
        <w:t>Transaction notification</w:t>
      </w:r>
    </w:p>
    <w:p w14:paraId="1EBE1786" w14:textId="36172334" w:rsidR="00193E62" w:rsidRDefault="00193E62" w:rsidP="00A07056">
      <w:pPr>
        <w:pStyle w:val="Body"/>
      </w:pPr>
      <w:r>
        <w:t>Further to the announcement made on 23 April 2024</w:t>
      </w:r>
      <w:r w:rsidR="00A07056">
        <w:t xml:space="preserve"> and as set out in the Prospectus published by Ithaca Energy plc (the “</w:t>
      </w:r>
      <w:r w:rsidR="00A07056" w:rsidRPr="00A07056">
        <w:rPr>
          <w:b/>
          <w:bCs/>
        </w:rPr>
        <w:t>Company</w:t>
      </w:r>
      <w:r w:rsidR="00A07056">
        <w:t>” or “</w:t>
      </w:r>
      <w:r w:rsidR="00A07056" w:rsidRPr="00A07056">
        <w:rPr>
          <w:b/>
          <w:bCs/>
        </w:rPr>
        <w:t>Ithaca Energy</w:t>
      </w:r>
      <w:r w:rsidR="00A07056">
        <w:t xml:space="preserve">”) on 22 August 2024 in connection with the transformational combination of Ithaca Energy and substantially all of Eni </w:t>
      </w:r>
      <w:proofErr w:type="spellStart"/>
      <w:r w:rsidR="00A07056">
        <w:t>S.p.A.’s</w:t>
      </w:r>
      <w:proofErr w:type="spellEnd"/>
      <w:r w:rsidR="00A07056">
        <w:t xml:space="preserve"> (“</w:t>
      </w:r>
      <w:r w:rsidR="00A07056" w:rsidRPr="00B515CA">
        <w:rPr>
          <w:b/>
          <w:bCs/>
        </w:rPr>
        <w:t>En</w:t>
      </w:r>
      <w:r w:rsidR="00A07056" w:rsidRPr="003132D5">
        <w:rPr>
          <w:b/>
          <w:bCs/>
        </w:rPr>
        <w:t>i</w:t>
      </w:r>
      <w:r w:rsidR="00A07056">
        <w:t>”) UK upstream oil and gas assets (the “</w:t>
      </w:r>
      <w:r w:rsidR="00A07056" w:rsidRPr="00A07056">
        <w:rPr>
          <w:b/>
          <w:bCs/>
        </w:rPr>
        <w:t>Business Combination</w:t>
      </w:r>
      <w:r w:rsidR="00A07056">
        <w:t>”)</w:t>
      </w:r>
      <w:r w:rsidRPr="00193E62">
        <w:t>, Delek</w:t>
      </w:r>
      <w:r w:rsidR="00B610DB">
        <w:t xml:space="preserve"> Group Limited</w:t>
      </w:r>
      <w:r w:rsidRPr="00193E62">
        <w:t xml:space="preserve"> ha</w:t>
      </w:r>
      <w:r w:rsidR="00A07056">
        <w:t>d</w:t>
      </w:r>
      <w:r w:rsidRPr="00193E62">
        <w:t xml:space="preserve"> undertaken to use reasonable endeavours to sell down such number of ordinary shares of the enlarged issued share capital of the Company</w:t>
      </w:r>
      <w:r w:rsidR="00A07056">
        <w:t>,</w:t>
      </w:r>
      <w:r w:rsidRPr="00193E62">
        <w:t xml:space="preserve"> </w:t>
      </w:r>
      <w:r w:rsidR="00A07056" w:rsidRPr="00193E62">
        <w:t xml:space="preserve">in order to ensure that the number of ordinary shares in public hands </w:t>
      </w:r>
      <w:r w:rsidR="00A07056">
        <w:t xml:space="preserve">in accordance with the provisions of the UK Listing Rules </w:t>
      </w:r>
      <w:r w:rsidR="00A07056" w:rsidRPr="00193E62">
        <w:t xml:space="preserve">remains at or above 10 per cent. </w:t>
      </w:r>
      <w:r w:rsidRPr="00193E62">
        <w:t>(the “</w:t>
      </w:r>
      <w:r w:rsidRPr="00A07056">
        <w:rPr>
          <w:b/>
          <w:bCs/>
        </w:rPr>
        <w:t>Delek Sell Down</w:t>
      </w:r>
      <w:r w:rsidRPr="00193E62">
        <w:t xml:space="preserve">”), prior to </w:t>
      </w:r>
      <w:r w:rsidR="00B610DB">
        <w:t>c</w:t>
      </w:r>
      <w:r w:rsidRPr="00193E62">
        <w:t>ompletion</w:t>
      </w:r>
      <w:r w:rsidR="00B610DB">
        <w:t xml:space="preserve"> of the Business Combination. </w:t>
      </w:r>
    </w:p>
    <w:p w14:paraId="1C241880" w14:textId="16D00CA3" w:rsidR="00B610DB" w:rsidRPr="005B5370" w:rsidRDefault="00A07056" w:rsidP="00B610DB">
      <w:pPr>
        <w:pStyle w:val="Body"/>
        <w:spacing w:before="120" w:after="120"/>
      </w:pPr>
      <w:r w:rsidRPr="005B5370">
        <w:t xml:space="preserve">The Company was notified, on </w:t>
      </w:r>
      <w:r w:rsidR="00716BB8">
        <w:t>30</w:t>
      </w:r>
      <w:r w:rsidRPr="005B5370">
        <w:t xml:space="preserve"> September 2024</w:t>
      </w:r>
      <w:r w:rsidR="007E14C1" w:rsidRPr="005B5370">
        <w:t>,</w:t>
      </w:r>
      <w:r w:rsidRPr="005B5370">
        <w:t> that</w:t>
      </w:r>
      <w:r w:rsidR="00B610DB" w:rsidRPr="005B5370">
        <w:t xml:space="preserve"> DKL Energy Limited</w:t>
      </w:r>
      <w:r w:rsidR="00726F17" w:rsidRPr="005B5370">
        <w:t xml:space="preserve"> has</w:t>
      </w:r>
      <w:r w:rsidR="005B5370" w:rsidRPr="005B5370">
        <w:t xml:space="preserve"> committed to sell </w:t>
      </w:r>
      <w:r w:rsidR="005B4E69" w:rsidRPr="005B5370">
        <w:t>59,356,256</w:t>
      </w:r>
      <w:r w:rsidR="00726F17" w:rsidRPr="005B5370">
        <w:t xml:space="preserve"> </w:t>
      </w:r>
      <w:r w:rsidR="00B515CA" w:rsidRPr="005B5370">
        <w:t xml:space="preserve">ordinary </w:t>
      </w:r>
      <w:r w:rsidR="00726F17" w:rsidRPr="005B5370">
        <w:t xml:space="preserve">shares </w:t>
      </w:r>
      <w:r w:rsidR="00B515CA" w:rsidRPr="005B5370">
        <w:t xml:space="preserve">in the capital of the Company </w:t>
      </w:r>
      <w:r w:rsidR="00726F17" w:rsidRPr="005B5370">
        <w:t xml:space="preserve">at a </w:t>
      </w:r>
      <w:r w:rsidR="005B5370" w:rsidRPr="005B5370">
        <w:t>102</w:t>
      </w:r>
      <w:r w:rsidR="00726F17" w:rsidRPr="005B5370">
        <w:t xml:space="preserve"> pence per share pursuant to the Delek Sell Down</w:t>
      </w:r>
      <w:r w:rsidR="005B5370" w:rsidRPr="005B5370">
        <w:t xml:space="preserve">, </w:t>
      </w:r>
      <w:r w:rsidR="00726F17" w:rsidRPr="005B5370">
        <w:t xml:space="preserve">to certain existing and new investors. </w:t>
      </w:r>
    </w:p>
    <w:p w14:paraId="381A5DFF" w14:textId="585C0EAB" w:rsidR="00B610DB" w:rsidRPr="00B610DB" w:rsidRDefault="00726F17" w:rsidP="00B610DB">
      <w:pPr>
        <w:pStyle w:val="Body"/>
        <w:spacing w:before="120" w:after="120"/>
        <w:rPr>
          <w:lang w:val="en-US"/>
        </w:rPr>
      </w:pPr>
      <w:r w:rsidRPr="005B5370">
        <w:t xml:space="preserve">DKL Energy </w:t>
      </w:r>
      <w:r w:rsidR="00B515CA" w:rsidRPr="005B5370">
        <w:t>L</w:t>
      </w:r>
      <w:r w:rsidRPr="005B5370">
        <w:t>imited is an indirect wholly owned subsidiary of Delek Group Limited. Delek Group Limited</w:t>
      </w:r>
      <w:r w:rsidR="00B610DB" w:rsidRPr="005B5370">
        <w:t xml:space="preserve"> is a person closely associated with two PDMRs, Mr Idan Wallace and Mr Itshak Tshuva, both Non-Executive Directors of the Company.</w:t>
      </w:r>
    </w:p>
    <w:p w14:paraId="7C5F60AC" w14:textId="1336CA0A" w:rsidR="00A07056" w:rsidRDefault="00B610DB" w:rsidP="00A07056">
      <w:pPr>
        <w:pStyle w:val="Body"/>
      </w:pPr>
      <w:r w:rsidRPr="00B610DB">
        <w:t>The relevant notifications set out below are provided in accordance with the requirements of Article 19 of the Market Abuse Regulation.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939"/>
      </w:tblGrid>
      <w:tr w:rsidR="00BE1716" w14:paraId="595EE1F7" w14:textId="77777777" w:rsidTr="00A9079F">
        <w:tc>
          <w:tcPr>
            <w:tcW w:w="704" w:type="dxa"/>
          </w:tcPr>
          <w:p w14:paraId="78E22691" w14:textId="77777777" w:rsidR="00BE1716" w:rsidRDefault="00BE1716" w:rsidP="00BE1716">
            <w:pPr>
              <w:pStyle w:val="SCHLevel1"/>
              <w:keepNext/>
              <w:numPr>
                <w:ilvl w:val="2"/>
                <w:numId w:val="5"/>
              </w:numPr>
              <w:spacing w:before="120" w:after="120"/>
            </w:pPr>
          </w:p>
        </w:tc>
        <w:tc>
          <w:tcPr>
            <w:tcW w:w="8924" w:type="dxa"/>
            <w:gridSpan w:val="2"/>
          </w:tcPr>
          <w:p w14:paraId="16EE91DF" w14:textId="77777777" w:rsidR="00BE1716" w:rsidRDefault="00BE1716" w:rsidP="00A9079F">
            <w:pPr>
              <w:pStyle w:val="Body"/>
              <w:spacing w:before="120" w:after="120"/>
            </w:pPr>
            <w:r w:rsidRPr="001B0BB8">
              <w:rPr>
                <w:b/>
                <w:bCs/>
              </w:rPr>
              <w:t xml:space="preserve">Details of PDMR / </w:t>
            </w:r>
            <w:r>
              <w:rPr>
                <w:b/>
                <w:bCs/>
              </w:rPr>
              <w:t>PCA</w:t>
            </w:r>
          </w:p>
        </w:tc>
      </w:tr>
      <w:tr w:rsidR="00BE1716" w14:paraId="65341D72" w14:textId="77777777" w:rsidTr="00A9079F">
        <w:tc>
          <w:tcPr>
            <w:tcW w:w="704" w:type="dxa"/>
          </w:tcPr>
          <w:p w14:paraId="280FA549" w14:textId="77777777" w:rsidR="00BE1716" w:rsidRDefault="00BE1716" w:rsidP="00A9079F">
            <w:pPr>
              <w:pStyle w:val="Body"/>
              <w:spacing w:before="120" w:after="120"/>
            </w:pPr>
            <w:r>
              <w:t>(a)</w:t>
            </w:r>
          </w:p>
        </w:tc>
        <w:tc>
          <w:tcPr>
            <w:tcW w:w="1985" w:type="dxa"/>
          </w:tcPr>
          <w:p w14:paraId="7B44B237" w14:textId="77777777" w:rsidR="00BE1716" w:rsidRDefault="00BE1716" w:rsidP="00A9079F">
            <w:pPr>
              <w:pStyle w:val="Body"/>
              <w:spacing w:before="120" w:after="120"/>
            </w:pPr>
            <w:r>
              <w:t>Name</w:t>
            </w:r>
          </w:p>
        </w:tc>
        <w:tc>
          <w:tcPr>
            <w:tcW w:w="6939" w:type="dxa"/>
          </w:tcPr>
          <w:p w14:paraId="1575D9E0" w14:textId="77777777" w:rsidR="00BE1716" w:rsidRDefault="00BE1716" w:rsidP="00A9079F">
            <w:pPr>
              <w:pStyle w:val="Body"/>
              <w:spacing w:before="120" w:after="120"/>
            </w:pPr>
            <w:r>
              <w:t xml:space="preserve">DKL Energy </w:t>
            </w:r>
            <w:r>
              <w:rPr>
                <w:rFonts w:hint="cs"/>
              </w:rPr>
              <w:t>L</w:t>
            </w:r>
            <w:proofErr w:type="spellStart"/>
            <w:r>
              <w:rPr>
                <w:lang w:val="en-US"/>
              </w:rPr>
              <w:t>imited</w:t>
            </w:r>
            <w:proofErr w:type="spellEnd"/>
          </w:p>
        </w:tc>
      </w:tr>
      <w:tr w:rsidR="00BE1716" w14:paraId="0CAC8164" w14:textId="77777777" w:rsidTr="00A9079F">
        <w:tc>
          <w:tcPr>
            <w:tcW w:w="704" w:type="dxa"/>
          </w:tcPr>
          <w:p w14:paraId="1B5A8BA9" w14:textId="77777777" w:rsidR="00BE1716" w:rsidRDefault="00BE1716" w:rsidP="00A9079F">
            <w:pPr>
              <w:pStyle w:val="Body"/>
              <w:spacing w:before="120" w:after="120"/>
            </w:pPr>
            <w:r>
              <w:t>(b)</w:t>
            </w:r>
          </w:p>
        </w:tc>
        <w:tc>
          <w:tcPr>
            <w:tcW w:w="1985" w:type="dxa"/>
          </w:tcPr>
          <w:p w14:paraId="7BACA5C9" w14:textId="77777777" w:rsidR="00BE1716" w:rsidRDefault="00BE1716" w:rsidP="00A9079F">
            <w:pPr>
              <w:pStyle w:val="Body"/>
              <w:spacing w:before="120" w:after="120"/>
            </w:pPr>
            <w:r w:rsidRPr="001B0BB8">
              <w:t>Position / status</w:t>
            </w:r>
          </w:p>
        </w:tc>
        <w:tc>
          <w:tcPr>
            <w:tcW w:w="6939" w:type="dxa"/>
          </w:tcPr>
          <w:p w14:paraId="49627D72" w14:textId="77777777" w:rsidR="00BE1716" w:rsidRDefault="00BE1716" w:rsidP="00A9079F">
            <w:pPr>
              <w:pStyle w:val="Body"/>
              <w:spacing w:before="120" w:after="120"/>
              <w:rPr>
                <w:lang w:val="en-US"/>
              </w:rPr>
            </w:pPr>
            <w:r>
              <w:t xml:space="preserve">DKL Energy </w:t>
            </w:r>
            <w:r>
              <w:rPr>
                <w:rFonts w:hint="cs"/>
              </w:rPr>
              <w:t>L</w:t>
            </w:r>
            <w:proofErr w:type="spellStart"/>
            <w:r>
              <w:rPr>
                <w:lang w:val="en-US"/>
              </w:rPr>
              <w:t>imited</w:t>
            </w:r>
            <w:proofErr w:type="spellEnd"/>
          </w:p>
          <w:p w14:paraId="18EE18FC" w14:textId="30AE5DD4" w:rsidR="00BE1716" w:rsidRDefault="00BE1716" w:rsidP="00A9079F">
            <w:pPr>
              <w:pStyle w:val="Body"/>
              <w:spacing w:before="120" w:after="120"/>
            </w:pPr>
            <w:r>
              <w:t>PDMR Idan Wallace</w:t>
            </w:r>
          </w:p>
          <w:p w14:paraId="29611698" w14:textId="3FE1799B" w:rsidR="001B432B" w:rsidRDefault="001B432B" w:rsidP="00A9079F">
            <w:pPr>
              <w:pStyle w:val="Body"/>
              <w:spacing w:before="120" w:after="120"/>
            </w:pPr>
            <w:r>
              <w:t xml:space="preserve">PDMR Itshak Tshuva </w:t>
            </w:r>
          </w:p>
        </w:tc>
      </w:tr>
      <w:tr w:rsidR="00BE1716" w14:paraId="7DD40CD1" w14:textId="77777777" w:rsidTr="00A9079F">
        <w:tc>
          <w:tcPr>
            <w:tcW w:w="704" w:type="dxa"/>
          </w:tcPr>
          <w:p w14:paraId="50EC8755" w14:textId="77777777" w:rsidR="00BE1716" w:rsidRDefault="00BE1716" w:rsidP="00A9079F">
            <w:pPr>
              <w:pStyle w:val="Body"/>
              <w:spacing w:before="120" w:after="120"/>
            </w:pPr>
            <w:r>
              <w:t>(c)</w:t>
            </w:r>
          </w:p>
        </w:tc>
        <w:tc>
          <w:tcPr>
            <w:tcW w:w="1985" w:type="dxa"/>
          </w:tcPr>
          <w:p w14:paraId="1D10B5F3" w14:textId="77777777" w:rsidR="00BE1716" w:rsidRPr="001B0BB8" w:rsidRDefault="00BE1716" w:rsidP="00A9079F">
            <w:pPr>
              <w:pStyle w:val="Body"/>
              <w:spacing w:before="120" w:after="120"/>
            </w:pPr>
            <w:r w:rsidRPr="00041BC6">
              <w:t>Initial notification / amendment</w:t>
            </w:r>
          </w:p>
        </w:tc>
        <w:tc>
          <w:tcPr>
            <w:tcW w:w="6939" w:type="dxa"/>
          </w:tcPr>
          <w:p w14:paraId="2520FE99" w14:textId="77777777" w:rsidR="00BE1716" w:rsidRDefault="00BE1716" w:rsidP="00A9079F">
            <w:pPr>
              <w:pStyle w:val="Body"/>
              <w:spacing w:before="120" w:after="120"/>
            </w:pPr>
            <w:r>
              <w:t>Initial notification</w:t>
            </w:r>
          </w:p>
        </w:tc>
      </w:tr>
      <w:tr w:rsidR="00BE1716" w14:paraId="7B751CD3" w14:textId="77777777" w:rsidTr="00A9079F">
        <w:tc>
          <w:tcPr>
            <w:tcW w:w="704" w:type="dxa"/>
          </w:tcPr>
          <w:p w14:paraId="4AFCBAF1" w14:textId="77777777" w:rsidR="00BE1716" w:rsidRDefault="00BE1716" w:rsidP="00BE1716">
            <w:pPr>
              <w:pStyle w:val="SCHLevel1"/>
              <w:keepNext/>
              <w:numPr>
                <w:ilvl w:val="2"/>
                <w:numId w:val="5"/>
              </w:numPr>
              <w:spacing w:before="120" w:after="120"/>
            </w:pPr>
          </w:p>
        </w:tc>
        <w:tc>
          <w:tcPr>
            <w:tcW w:w="8924" w:type="dxa"/>
            <w:gridSpan w:val="2"/>
          </w:tcPr>
          <w:p w14:paraId="5C9C83B2" w14:textId="77777777" w:rsidR="00BE1716" w:rsidRDefault="00BE1716" w:rsidP="00A9079F">
            <w:pPr>
              <w:pStyle w:val="Body"/>
              <w:spacing w:before="120" w:after="120"/>
            </w:pPr>
            <w:r w:rsidRPr="00041BC6">
              <w:rPr>
                <w:b/>
                <w:bCs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BE1716" w14:paraId="450F2395" w14:textId="77777777" w:rsidTr="00A9079F">
        <w:tc>
          <w:tcPr>
            <w:tcW w:w="704" w:type="dxa"/>
          </w:tcPr>
          <w:p w14:paraId="56DFD0B3" w14:textId="77777777" w:rsidR="00BE1716" w:rsidRDefault="00BE1716" w:rsidP="00A9079F">
            <w:pPr>
              <w:pStyle w:val="Body"/>
              <w:spacing w:before="120" w:after="120"/>
            </w:pPr>
            <w:r>
              <w:t>(a)</w:t>
            </w:r>
          </w:p>
        </w:tc>
        <w:tc>
          <w:tcPr>
            <w:tcW w:w="1985" w:type="dxa"/>
          </w:tcPr>
          <w:p w14:paraId="63563B37" w14:textId="77777777" w:rsidR="00BE1716" w:rsidRPr="00041BC6" w:rsidRDefault="00BE1716" w:rsidP="00A9079F">
            <w:pPr>
              <w:pStyle w:val="Body"/>
              <w:spacing w:before="120" w:after="120"/>
            </w:pPr>
            <w:r w:rsidRPr="00041BC6">
              <w:t>Description of the financial instrument</w:t>
            </w:r>
          </w:p>
        </w:tc>
        <w:tc>
          <w:tcPr>
            <w:tcW w:w="6939" w:type="dxa"/>
          </w:tcPr>
          <w:p w14:paraId="7E2AA529" w14:textId="3F7E777D" w:rsidR="00BE1716" w:rsidRPr="00041BC6" w:rsidRDefault="00BE1716" w:rsidP="00A9079F">
            <w:pPr>
              <w:pStyle w:val="Body"/>
              <w:spacing w:before="120" w:after="120"/>
            </w:pPr>
            <w:r>
              <w:t>Ordinary Shares</w:t>
            </w:r>
          </w:p>
        </w:tc>
      </w:tr>
      <w:tr w:rsidR="00BE1716" w14:paraId="6792E678" w14:textId="77777777" w:rsidTr="00A9079F">
        <w:tc>
          <w:tcPr>
            <w:tcW w:w="704" w:type="dxa"/>
          </w:tcPr>
          <w:p w14:paraId="70D4F78C" w14:textId="77777777" w:rsidR="00BE1716" w:rsidRDefault="00BE1716" w:rsidP="00A9079F">
            <w:pPr>
              <w:pStyle w:val="Body"/>
              <w:spacing w:before="120" w:after="120"/>
            </w:pPr>
            <w:r>
              <w:t>(b)</w:t>
            </w:r>
          </w:p>
        </w:tc>
        <w:tc>
          <w:tcPr>
            <w:tcW w:w="1985" w:type="dxa"/>
          </w:tcPr>
          <w:p w14:paraId="3529AFB2" w14:textId="77777777" w:rsidR="00BE1716" w:rsidRPr="00041BC6" w:rsidRDefault="00BE1716" w:rsidP="00A9079F">
            <w:pPr>
              <w:pStyle w:val="Body"/>
              <w:spacing w:before="120" w:after="120"/>
            </w:pPr>
            <w:r w:rsidRPr="00041BC6">
              <w:t>Nature of the transaction</w:t>
            </w:r>
          </w:p>
        </w:tc>
        <w:tc>
          <w:tcPr>
            <w:tcW w:w="6939" w:type="dxa"/>
          </w:tcPr>
          <w:p w14:paraId="1B4600A1" w14:textId="44064AB2" w:rsidR="00BE1716" w:rsidRPr="00041BC6" w:rsidRDefault="00716BB8" w:rsidP="00A9079F">
            <w:pPr>
              <w:pStyle w:val="Body"/>
              <w:spacing w:before="120" w:after="120"/>
            </w:pPr>
            <w:r>
              <w:t>Sale</w:t>
            </w:r>
            <w:r w:rsidR="00726F17">
              <w:t xml:space="preserve"> </w:t>
            </w:r>
            <w:r w:rsidR="001B432B">
              <w:t xml:space="preserve">of </w:t>
            </w:r>
            <w:r w:rsidR="00B610DB">
              <w:t xml:space="preserve">Ordinary Shares </w:t>
            </w:r>
          </w:p>
        </w:tc>
      </w:tr>
      <w:tr w:rsidR="00BE1716" w14:paraId="46C3BFDE" w14:textId="77777777" w:rsidTr="00A9079F">
        <w:tc>
          <w:tcPr>
            <w:tcW w:w="704" w:type="dxa"/>
          </w:tcPr>
          <w:p w14:paraId="09A07C76" w14:textId="6C13DAF1" w:rsidR="00BE1716" w:rsidRDefault="00BE1716" w:rsidP="00A9079F">
            <w:pPr>
              <w:pStyle w:val="Body"/>
              <w:spacing w:before="120" w:after="120"/>
            </w:pPr>
          </w:p>
        </w:tc>
        <w:tc>
          <w:tcPr>
            <w:tcW w:w="1985" w:type="dxa"/>
          </w:tcPr>
          <w:p w14:paraId="6CD37FCC" w14:textId="77777777" w:rsidR="00BE1716" w:rsidRPr="00041BC6" w:rsidRDefault="00BE1716" w:rsidP="00A9079F">
            <w:pPr>
              <w:pStyle w:val="Body"/>
              <w:spacing w:before="120" w:after="120"/>
            </w:pPr>
            <w:r>
              <w:t>Price(s) and volume(s)</w:t>
            </w:r>
          </w:p>
        </w:tc>
        <w:tc>
          <w:tcPr>
            <w:tcW w:w="6939" w:type="dxa"/>
          </w:tcPr>
          <w:p w14:paraId="08DAB983" w14:textId="77777777" w:rsidR="00BE1716" w:rsidRPr="00193E62" w:rsidRDefault="00BE1716" w:rsidP="00A9079F">
            <w:pPr>
              <w:pStyle w:val="Body"/>
              <w:spacing w:before="120" w:after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56"/>
              <w:gridCol w:w="3357"/>
            </w:tblGrid>
            <w:tr w:rsidR="00193E62" w:rsidRPr="00193E62" w14:paraId="38013B69" w14:textId="77777777" w:rsidTr="00A9079F">
              <w:tc>
                <w:tcPr>
                  <w:tcW w:w="3356" w:type="dxa"/>
                </w:tcPr>
                <w:p w14:paraId="4A0B8891" w14:textId="77777777" w:rsidR="00BE1716" w:rsidRPr="00193E62" w:rsidRDefault="00BE1716" w:rsidP="00A9079F">
                  <w:pPr>
                    <w:pStyle w:val="Body"/>
                    <w:spacing w:before="120" w:after="120"/>
                  </w:pPr>
                  <w:r w:rsidRPr="00193E62">
                    <w:t>Price(s)</w:t>
                  </w:r>
                </w:p>
              </w:tc>
              <w:tc>
                <w:tcPr>
                  <w:tcW w:w="3357" w:type="dxa"/>
                </w:tcPr>
                <w:p w14:paraId="3783026F" w14:textId="77777777" w:rsidR="00BE1716" w:rsidRPr="00193E62" w:rsidRDefault="00BE1716" w:rsidP="00A9079F">
                  <w:pPr>
                    <w:pStyle w:val="Body"/>
                    <w:spacing w:before="120" w:after="120"/>
                  </w:pPr>
                  <w:r w:rsidRPr="00193E62">
                    <w:t>Volume(s)</w:t>
                  </w:r>
                </w:p>
              </w:tc>
            </w:tr>
            <w:tr w:rsidR="00193E62" w:rsidRPr="00193E62" w14:paraId="6400089D" w14:textId="77777777" w:rsidTr="00A9079F">
              <w:tc>
                <w:tcPr>
                  <w:tcW w:w="3356" w:type="dxa"/>
                </w:tcPr>
                <w:p w14:paraId="2250F1E1" w14:textId="79F0E55F" w:rsidR="00BE1716" w:rsidRPr="005B5370" w:rsidRDefault="005B5370" w:rsidP="00A9079F">
                  <w:pPr>
                    <w:pStyle w:val="Body"/>
                    <w:spacing w:before="120" w:after="120"/>
                  </w:pPr>
                  <w:r w:rsidRPr="005B5370">
                    <w:t>102 pence per share</w:t>
                  </w:r>
                </w:p>
              </w:tc>
              <w:tc>
                <w:tcPr>
                  <w:tcW w:w="3357" w:type="dxa"/>
                </w:tcPr>
                <w:p w14:paraId="165C0A33" w14:textId="55BAF2B3" w:rsidR="00BE1716" w:rsidRPr="005B5370" w:rsidRDefault="005B4E69" w:rsidP="00A9079F">
                  <w:pPr>
                    <w:pStyle w:val="Body"/>
                    <w:spacing w:before="120" w:after="120"/>
                  </w:pPr>
                  <w:r w:rsidRPr="005B5370">
                    <w:t>59,356,256</w:t>
                  </w:r>
                </w:p>
              </w:tc>
            </w:tr>
          </w:tbl>
          <w:p w14:paraId="6286B67E" w14:textId="01C64E87" w:rsidR="00BE1716" w:rsidRPr="00193E62" w:rsidRDefault="00BE1716" w:rsidP="00BE1716">
            <w:pPr>
              <w:pStyle w:val="Body"/>
              <w:spacing w:before="120" w:after="120"/>
            </w:pPr>
          </w:p>
          <w:p w14:paraId="6513E1A1" w14:textId="3EE24FA8" w:rsidR="00BE1716" w:rsidRPr="00193E62" w:rsidRDefault="00BE1716" w:rsidP="00A9079F">
            <w:pPr>
              <w:pStyle w:val="Body"/>
              <w:spacing w:before="120" w:after="120"/>
            </w:pPr>
          </w:p>
        </w:tc>
      </w:tr>
      <w:tr w:rsidR="00BE1716" w14:paraId="0CFFAE7F" w14:textId="77777777" w:rsidTr="00A9079F">
        <w:tc>
          <w:tcPr>
            <w:tcW w:w="704" w:type="dxa"/>
          </w:tcPr>
          <w:p w14:paraId="5EA49471" w14:textId="77777777" w:rsidR="00BE1716" w:rsidRDefault="00BE1716" w:rsidP="00A9079F">
            <w:pPr>
              <w:pStyle w:val="Body"/>
              <w:spacing w:before="120" w:after="120"/>
            </w:pPr>
            <w:r>
              <w:t>(d)</w:t>
            </w:r>
          </w:p>
        </w:tc>
        <w:tc>
          <w:tcPr>
            <w:tcW w:w="1985" w:type="dxa"/>
          </w:tcPr>
          <w:p w14:paraId="6ADFA95C" w14:textId="77777777" w:rsidR="00BE1716" w:rsidRDefault="00BE1716" w:rsidP="00A9079F">
            <w:pPr>
              <w:pStyle w:val="Body"/>
              <w:spacing w:before="120" w:after="120"/>
            </w:pPr>
            <w:r>
              <w:t>Aggregated information</w:t>
            </w:r>
          </w:p>
        </w:tc>
        <w:tc>
          <w:tcPr>
            <w:tcW w:w="6939" w:type="dxa"/>
          </w:tcPr>
          <w:p w14:paraId="2171275C" w14:textId="497BC329" w:rsidR="00BE1716" w:rsidRPr="00193E62" w:rsidRDefault="005B5370" w:rsidP="00A9079F">
            <w:pPr>
              <w:pStyle w:val="Body"/>
              <w:spacing w:before="120" w:after="120"/>
            </w:pPr>
            <w:r w:rsidRPr="005B5370">
              <w:t>59,356,256</w:t>
            </w:r>
            <w:r>
              <w:t xml:space="preserve"> at 102 pence per share</w:t>
            </w:r>
          </w:p>
        </w:tc>
      </w:tr>
      <w:tr w:rsidR="00BE1716" w14:paraId="4B451E76" w14:textId="77777777" w:rsidTr="00A9079F">
        <w:tc>
          <w:tcPr>
            <w:tcW w:w="704" w:type="dxa"/>
          </w:tcPr>
          <w:p w14:paraId="47D5E8D8" w14:textId="77777777" w:rsidR="00BE1716" w:rsidRDefault="00BE1716" w:rsidP="00BE1716">
            <w:pPr>
              <w:pStyle w:val="Body"/>
              <w:spacing w:before="120" w:after="120"/>
            </w:pPr>
          </w:p>
        </w:tc>
        <w:tc>
          <w:tcPr>
            <w:tcW w:w="1985" w:type="dxa"/>
          </w:tcPr>
          <w:p w14:paraId="745294D6" w14:textId="77777777" w:rsidR="00BE1716" w:rsidRDefault="00BE1716" w:rsidP="00BE1716">
            <w:pPr>
              <w:pStyle w:val="Body"/>
              <w:tabs>
                <w:tab w:val="left" w:pos="322"/>
              </w:tabs>
              <w:spacing w:before="120" w:after="120"/>
              <w:ind w:left="322" w:hanging="322"/>
            </w:pPr>
            <w:r>
              <w:t>-</w:t>
            </w:r>
            <w:r>
              <w:tab/>
              <w:t>Aggregated volume</w:t>
            </w:r>
          </w:p>
          <w:p w14:paraId="1F24C4F0" w14:textId="77777777" w:rsidR="00BE1716" w:rsidRDefault="00BE1716" w:rsidP="00BE1716">
            <w:pPr>
              <w:pStyle w:val="Body"/>
              <w:tabs>
                <w:tab w:val="left" w:pos="322"/>
              </w:tabs>
              <w:spacing w:before="120" w:after="120"/>
              <w:ind w:left="322" w:hanging="322"/>
            </w:pPr>
            <w:r>
              <w:t>-</w:t>
            </w:r>
            <w:r>
              <w:tab/>
              <w:t>Price</w:t>
            </w:r>
          </w:p>
        </w:tc>
        <w:tc>
          <w:tcPr>
            <w:tcW w:w="6939" w:type="dxa"/>
          </w:tcPr>
          <w:p w14:paraId="7F250BDD" w14:textId="3CD69482" w:rsidR="00BE1716" w:rsidRPr="00193E62" w:rsidRDefault="00BE1716" w:rsidP="00BE1716">
            <w:pPr>
              <w:pStyle w:val="Body"/>
              <w:spacing w:before="120" w:after="120"/>
            </w:pPr>
          </w:p>
        </w:tc>
      </w:tr>
      <w:tr w:rsidR="00BE1716" w14:paraId="5EE99C8C" w14:textId="77777777" w:rsidTr="009639A6">
        <w:tc>
          <w:tcPr>
            <w:tcW w:w="704" w:type="dxa"/>
          </w:tcPr>
          <w:p w14:paraId="35AE7467" w14:textId="77777777" w:rsidR="00BE1716" w:rsidRDefault="00BE1716" w:rsidP="00BE1716">
            <w:pPr>
              <w:pStyle w:val="Body"/>
              <w:spacing w:before="120" w:after="120"/>
            </w:pPr>
            <w:r>
              <w:t>(e)</w:t>
            </w:r>
          </w:p>
        </w:tc>
        <w:tc>
          <w:tcPr>
            <w:tcW w:w="1985" w:type="dxa"/>
          </w:tcPr>
          <w:p w14:paraId="00B45D9A" w14:textId="77777777" w:rsidR="00BE1716" w:rsidRDefault="00BE1716" w:rsidP="00BE1716">
            <w:pPr>
              <w:pStyle w:val="Body"/>
              <w:spacing w:before="120" w:after="120"/>
            </w:pPr>
            <w:r w:rsidRPr="00D07EA7">
              <w:t>Date of the transaction</w:t>
            </w:r>
          </w:p>
        </w:tc>
        <w:tc>
          <w:tcPr>
            <w:tcW w:w="6939" w:type="dxa"/>
            <w:shd w:val="clear" w:color="auto" w:fill="auto"/>
          </w:tcPr>
          <w:p w14:paraId="227789AE" w14:textId="55FAAC73" w:rsidR="00BE1716" w:rsidRPr="00193E62" w:rsidRDefault="00716BB8" w:rsidP="00BE1716">
            <w:pPr>
              <w:pStyle w:val="Body"/>
              <w:spacing w:before="120" w:after="120"/>
            </w:pPr>
            <w:r>
              <w:t>01.10.2024</w:t>
            </w:r>
          </w:p>
        </w:tc>
      </w:tr>
      <w:tr w:rsidR="00BE1716" w14:paraId="26F5BF7B" w14:textId="77777777" w:rsidTr="00A9079F">
        <w:tc>
          <w:tcPr>
            <w:tcW w:w="704" w:type="dxa"/>
          </w:tcPr>
          <w:p w14:paraId="43277F03" w14:textId="77777777" w:rsidR="00BE1716" w:rsidRDefault="00BE1716" w:rsidP="00BE1716">
            <w:pPr>
              <w:pStyle w:val="Body"/>
              <w:spacing w:before="120" w:after="120"/>
            </w:pPr>
            <w:r>
              <w:t>(f)</w:t>
            </w:r>
          </w:p>
        </w:tc>
        <w:tc>
          <w:tcPr>
            <w:tcW w:w="1985" w:type="dxa"/>
          </w:tcPr>
          <w:p w14:paraId="5D4077A5" w14:textId="77777777" w:rsidR="00BE1716" w:rsidRPr="00D07EA7" w:rsidRDefault="00BE1716" w:rsidP="00BE1716">
            <w:pPr>
              <w:pStyle w:val="Body"/>
              <w:spacing w:before="120" w:after="120"/>
            </w:pPr>
            <w:r>
              <w:t>Place of the transaction</w:t>
            </w:r>
          </w:p>
        </w:tc>
        <w:tc>
          <w:tcPr>
            <w:tcW w:w="6939" w:type="dxa"/>
          </w:tcPr>
          <w:p w14:paraId="0D3AE1D1" w14:textId="3FA57A70" w:rsidR="00BE1716" w:rsidRPr="00D07EA7" w:rsidRDefault="00BE1716" w:rsidP="00BE1716">
            <w:pPr>
              <w:pStyle w:val="Body"/>
              <w:spacing w:before="120" w:after="120"/>
            </w:pPr>
            <w:r>
              <w:t>Outside of trading venue</w:t>
            </w:r>
          </w:p>
        </w:tc>
      </w:tr>
    </w:tbl>
    <w:p w14:paraId="3CBFA022" w14:textId="77777777" w:rsidR="00BE1716" w:rsidRPr="00D07EA7" w:rsidRDefault="00BE1716" w:rsidP="00BE1716">
      <w:pPr>
        <w:pStyle w:val="Body"/>
      </w:pPr>
    </w:p>
    <w:p w14:paraId="6A7CB6B2" w14:textId="77777777" w:rsidR="00BE1716" w:rsidRDefault="00BE1716"/>
    <w:sectPr w:rsidR="00BE1716" w:rsidSect="008D7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790B" w14:textId="77777777" w:rsidR="00083454" w:rsidRDefault="00083454" w:rsidP="00BE1716">
      <w:r>
        <w:separator/>
      </w:r>
    </w:p>
  </w:endnote>
  <w:endnote w:type="continuationSeparator" w:id="0">
    <w:p w14:paraId="61726BF0" w14:textId="77777777" w:rsidR="00083454" w:rsidRDefault="00083454" w:rsidP="00BE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F789" w14:textId="77777777" w:rsidR="009837FF" w:rsidRDefault="00983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0A5F" w14:textId="77777777" w:rsidR="009837FF" w:rsidRDefault="00983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B320" w14:textId="77777777" w:rsidR="009837FF" w:rsidRDefault="0098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EBA1" w14:textId="77777777" w:rsidR="00083454" w:rsidRDefault="00083454" w:rsidP="00BE1716">
      <w:r>
        <w:separator/>
      </w:r>
    </w:p>
  </w:footnote>
  <w:footnote w:type="continuationSeparator" w:id="0">
    <w:p w14:paraId="4FDA93BF" w14:textId="77777777" w:rsidR="00083454" w:rsidRDefault="00083454" w:rsidP="00BE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7883" w14:textId="77777777" w:rsidR="009837FF" w:rsidRDefault="00983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1903" w14:textId="77777777" w:rsidR="00802EA3" w:rsidRDefault="00BE1716" w:rsidP="00042FEA">
    <w:pPr>
      <w:pStyle w:val="Header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7B206E5A" wp14:editId="263670BA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282683362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683362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87CB" w14:textId="77777777" w:rsidR="009837FF" w:rsidRDefault="00983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A21"/>
    <w:multiLevelType w:val="multilevel"/>
    <w:tmpl w:val="737606F8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" w15:restartNumberingAfterBreak="0">
    <w:nsid w:val="4FED6A65"/>
    <w:multiLevelType w:val="multilevel"/>
    <w:tmpl w:val="24320B28"/>
    <w:numStyleLink w:val="Bullets"/>
  </w:abstractNum>
  <w:abstractNum w:abstractNumId="2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4601485">
    <w:abstractNumId w:val="2"/>
  </w:num>
  <w:num w:numId="2" w16cid:durableId="393896226">
    <w:abstractNumId w:val="0"/>
  </w:num>
  <w:num w:numId="3" w16cid:durableId="304430447">
    <w:abstractNumId w:val="1"/>
  </w:num>
  <w:num w:numId="4" w16cid:durableId="1388142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24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16"/>
    <w:rsid w:val="00083454"/>
    <w:rsid w:val="00107F7B"/>
    <w:rsid w:val="00193E62"/>
    <w:rsid w:val="001B432B"/>
    <w:rsid w:val="00222C37"/>
    <w:rsid w:val="0023402A"/>
    <w:rsid w:val="003132D5"/>
    <w:rsid w:val="0031548D"/>
    <w:rsid w:val="003C063F"/>
    <w:rsid w:val="003D337D"/>
    <w:rsid w:val="003F4169"/>
    <w:rsid w:val="003F4957"/>
    <w:rsid w:val="00444F66"/>
    <w:rsid w:val="00530900"/>
    <w:rsid w:val="005616A2"/>
    <w:rsid w:val="00581EE4"/>
    <w:rsid w:val="005B4166"/>
    <w:rsid w:val="005B4E69"/>
    <w:rsid w:val="005B5370"/>
    <w:rsid w:val="00716BB8"/>
    <w:rsid w:val="00726F17"/>
    <w:rsid w:val="007D7A3C"/>
    <w:rsid w:val="007E14C1"/>
    <w:rsid w:val="00802EA3"/>
    <w:rsid w:val="008D7AD8"/>
    <w:rsid w:val="008F3ABC"/>
    <w:rsid w:val="00943D39"/>
    <w:rsid w:val="009639A6"/>
    <w:rsid w:val="009837FF"/>
    <w:rsid w:val="00995E42"/>
    <w:rsid w:val="00A07056"/>
    <w:rsid w:val="00A62F9F"/>
    <w:rsid w:val="00AB7B03"/>
    <w:rsid w:val="00B45DD8"/>
    <w:rsid w:val="00B515CA"/>
    <w:rsid w:val="00B610DB"/>
    <w:rsid w:val="00BB327C"/>
    <w:rsid w:val="00BE1716"/>
    <w:rsid w:val="00DC2360"/>
    <w:rsid w:val="00E21657"/>
    <w:rsid w:val="00FC42D9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CD3F4E"/>
  <w15:chartTrackingRefBased/>
  <w15:docId w15:val="{C593DD76-E22A-497F-939C-3C1B332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16"/>
    <w:pPr>
      <w:spacing w:after="0" w:line="240" w:lineRule="auto"/>
      <w:jc w:val="both"/>
    </w:pPr>
    <w:rPr>
      <w:rFonts w:ascii="Arial" w:hAnsi="Arial"/>
      <w:sz w:val="20"/>
      <w:szCs w:val="20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BE1716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E1716"/>
    <w:rPr>
      <w:rFonts w:ascii="Arial" w:hAnsi="Arial"/>
      <w:sz w:val="16"/>
      <w:szCs w:val="20"/>
      <w:lang w:val="en-GB" w:eastAsia="en-GB" w:bidi="ar-SA"/>
    </w:rPr>
  </w:style>
  <w:style w:type="paragraph" w:styleId="Header">
    <w:name w:val="header"/>
    <w:basedOn w:val="Normal"/>
    <w:link w:val="HeaderChar"/>
    <w:uiPriority w:val="4"/>
    <w:semiHidden/>
    <w:rsid w:val="00BE1716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BE1716"/>
    <w:rPr>
      <w:rFonts w:ascii="Arial" w:hAnsi="Arial"/>
      <w:sz w:val="16"/>
      <w:szCs w:val="20"/>
      <w:lang w:val="en-GB" w:eastAsia="en-GB" w:bidi="ar-SA"/>
    </w:rPr>
  </w:style>
  <w:style w:type="paragraph" w:customStyle="1" w:styleId="Body">
    <w:name w:val="Body"/>
    <w:basedOn w:val="Normal"/>
    <w:link w:val="BodyChar"/>
    <w:qFormat/>
    <w:rsid w:val="00BE1716"/>
    <w:pPr>
      <w:spacing w:after="240"/>
    </w:pPr>
  </w:style>
  <w:style w:type="paragraph" w:customStyle="1" w:styleId="Bullet1">
    <w:name w:val="Bullet 1"/>
    <w:basedOn w:val="Body"/>
    <w:uiPriority w:val="4"/>
    <w:qFormat/>
    <w:rsid w:val="00BE1716"/>
    <w:pPr>
      <w:numPr>
        <w:numId w:val="3"/>
      </w:numPr>
      <w:tabs>
        <w:tab w:val="num" w:pos="360"/>
      </w:tabs>
      <w:ind w:left="851" w:hanging="851"/>
    </w:pPr>
  </w:style>
  <w:style w:type="paragraph" w:customStyle="1" w:styleId="Bullet2">
    <w:name w:val="Bullet 2"/>
    <w:basedOn w:val="Body"/>
    <w:uiPriority w:val="4"/>
    <w:qFormat/>
    <w:rsid w:val="00BE1716"/>
    <w:pPr>
      <w:numPr>
        <w:ilvl w:val="1"/>
        <w:numId w:val="3"/>
      </w:numPr>
      <w:tabs>
        <w:tab w:val="num" w:pos="360"/>
      </w:tabs>
      <w:ind w:left="1702" w:firstLine="0"/>
    </w:pPr>
  </w:style>
  <w:style w:type="paragraph" w:customStyle="1" w:styleId="Bullet3">
    <w:name w:val="Bullet 3"/>
    <w:basedOn w:val="Body"/>
    <w:uiPriority w:val="4"/>
    <w:qFormat/>
    <w:rsid w:val="00BE1716"/>
    <w:pPr>
      <w:numPr>
        <w:ilvl w:val="2"/>
        <w:numId w:val="3"/>
      </w:numPr>
      <w:tabs>
        <w:tab w:val="num" w:pos="360"/>
      </w:tabs>
      <w:ind w:left="2552" w:hanging="851"/>
    </w:pPr>
  </w:style>
  <w:style w:type="paragraph" w:customStyle="1" w:styleId="Bullet4">
    <w:name w:val="Bullet 4"/>
    <w:basedOn w:val="Body"/>
    <w:uiPriority w:val="4"/>
    <w:qFormat/>
    <w:rsid w:val="00BE1716"/>
    <w:pPr>
      <w:numPr>
        <w:ilvl w:val="3"/>
        <w:numId w:val="3"/>
      </w:numPr>
      <w:tabs>
        <w:tab w:val="num" w:pos="360"/>
      </w:tabs>
      <w:ind w:left="3403" w:firstLine="0"/>
    </w:pPr>
  </w:style>
  <w:style w:type="paragraph" w:customStyle="1" w:styleId="SchedulePart">
    <w:name w:val="Schedule Part #"/>
    <w:basedOn w:val="Body"/>
    <w:next w:val="Body"/>
    <w:uiPriority w:val="5"/>
    <w:qFormat/>
    <w:rsid w:val="00BE1716"/>
    <w:pPr>
      <w:keepNext/>
      <w:numPr>
        <w:ilvl w:val="1"/>
        <w:numId w:val="2"/>
      </w:numPr>
      <w:tabs>
        <w:tab w:val="num" w:pos="360"/>
      </w:tabs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BE1716"/>
    <w:pPr>
      <w:keepNext/>
      <w:pageBreakBefore/>
      <w:numPr>
        <w:numId w:val="2"/>
      </w:numPr>
      <w:tabs>
        <w:tab w:val="num" w:pos="360"/>
      </w:tabs>
      <w:jc w:val="center"/>
      <w:outlineLvl w:val="7"/>
    </w:pPr>
    <w:rPr>
      <w:b/>
      <w:caps/>
    </w:rPr>
  </w:style>
  <w:style w:type="table" w:styleId="TableGrid">
    <w:name w:val="Table Grid"/>
    <w:basedOn w:val="TableNormal"/>
    <w:rsid w:val="00BE171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Caps">
    <w:name w:val="Body bold Caps"/>
    <w:basedOn w:val="DefaultParagraphFont"/>
    <w:uiPriority w:val="5"/>
    <w:semiHidden/>
    <w:qFormat/>
    <w:rsid w:val="00BE1716"/>
    <w:rPr>
      <w:rFonts w:ascii="Arial" w:hAnsi="Arial"/>
      <w:b/>
      <w:bCs/>
      <w:caps/>
      <w:smallCaps w:val="0"/>
      <w:sz w:val="20"/>
      <w:lang w:val="en-GB"/>
    </w:rPr>
  </w:style>
  <w:style w:type="numbering" w:customStyle="1" w:styleId="Bullets">
    <w:name w:val="Bullets"/>
    <w:basedOn w:val="NoList"/>
    <w:rsid w:val="00BE1716"/>
    <w:pPr>
      <w:numPr>
        <w:numId w:val="1"/>
      </w:numPr>
    </w:pPr>
  </w:style>
  <w:style w:type="character" w:customStyle="1" w:styleId="BodyChar">
    <w:name w:val="Body Char"/>
    <w:basedOn w:val="DefaultParagraphFont"/>
    <w:link w:val="Body"/>
    <w:rsid w:val="00BE1716"/>
    <w:rPr>
      <w:rFonts w:ascii="Arial" w:hAnsi="Arial"/>
      <w:sz w:val="20"/>
      <w:szCs w:val="20"/>
      <w:lang w:val="en-GB" w:eastAsia="en-GB" w:bidi="ar-SA"/>
    </w:rPr>
  </w:style>
  <w:style w:type="paragraph" w:customStyle="1" w:styleId="SCHLevel1">
    <w:name w:val="SCH Level 1"/>
    <w:basedOn w:val="BodyText"/>
    <w:uiPriority w:val="99"/>
    <w:qFormat/>
    <w:rsid w:val="00BE1716"/>
    <w:pPr>
      <w:numPr>
        <w:ilvl w:val="2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2">
    <w:name w:val="SCH Level 2"/>
    <w:basedOn w:val="BodyText"/>
    <w:uiPriority w:val="99"/>
    <w:qFormat/>
    <w:rsid w:val="00BE1716"/>
    <w:pPr>
      <w:numPr>
        <w:ilvl w:val="3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3">
    <w:name w:val="SCH Level 3"/>
    <w:basedOn w:val="BodyText"/>
    <w:uiPriority w:val="99"/>
    <w:qFormat/>
    <w:rsid w:val="00BE1716"/>
    <w:pPr>
      <w:numPr>
        <w:ilvl w:val="4"/>
        <w:numId w:val="2"/>
      </w:numPr>
      <w:tabs>
        <w:tab w:val="clear" w:pos="2268"/>
        <w:tab w:val="num" w:pos="360"/>
      </w:tabs>
      <w:spacing w:after="240"/>
      <w:ind w:left="0" w:firstLine="0"/>
    </w:pPr>
  </w:style>
  <w:style w:type="paragraph" w:customStyle="1" w:styleId="SCHLevel4">
    <w:name w:val="SCH Level 4"/>
    <w:basedOn w:val="BodyText"/>
    <w:uiPriority w:val="99"/>
    <w:qFormat/>
    <w:rsid w:val="00BE1716"/>
    <w:pPr>
      <w:numPr>
        <w:ilvl w:val="5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5">
    <w:name w:val="SCH Level 5"/>
    <w:basedOn w:val="BodyText"/>
    <w:uiPriority w:val="99"/>
    <w:qFormat/>
    <w:rsid w:val="00BE1716"/>
    <w:pPr>
      <w:numPr>
        <w:ilvl w:val="6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6">
    <w:name w:val="SCH Level 6"/>
    <w:basedOn w:val="BodyText"/>
    <w:uiPriority w:val="99"/>
    <w:qFormat/>
    <w:rsid w:val="00BE1716"/>
    <w:pPr>
      <w:numPr>
        <w:ilvl w:val="7"/>
        <w:numId w:val="2"/>
      </w:numPr>
      <w:tabs>
        <w:tab w:val="num" w:pos="360"/>
      </w:tabs>
      <w:spacing w:after="240"/>
      <w:ind w:left="0" w:firstLine="0"/>
    </w:pPr>
  </w:style>
  <w:style w:type="paragraph" w:customStyle="1" w:styleId="SCHLevel7">
    <w:name w:val="SCH Level 7"/>
    <w:basedOn w:val="BodyText"/>
    <w:uiPriority w:val="99"/>
    <w:qFormat/>
    <w:rsid w:val="00BE1716"/>
    <w:pPr>
      <w:numPr>
        <w:ilvl w:val="8"/>
        <w:numId w:val="2"/>
      </w:numPr>
      <w:tabs>
        <w:tab w:val="clear" w:pos="4253"/>
        <w:tab w:val="num" w:pos="360"/>
      </w:tabs>
      <w:spacing w:after="240"/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BE17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716"/>
    <w:rPr>
      <w:rFonts w:ascii="Arial" w:hAnsi="Arial"/>
      <w:sz w:val="20"/>
      <w:szCs w:val="20"/>
      <w:lang w:val="en-GB" w:eastAsia="en-GB" w:bidi="ar-SA"/>
    </w:rPr>
  </w:style>
  <w:style w:type="paragraph" w:styleId="Revision">
    <w:name w:val="Revision"/>
    <w:hidden/>
    <w:uiPriority w:val="99"/>
    <w:semiHidden/>
    <w:rsid w:val="00B515CA"/>
    <w:pPr>
      <w:spacing w:after="0" w:line="240" w:lineRule="auto"/>
    </w:pPr>
    <w:rPr>
      <w:rFonts w:ascii="Arial" w:hAnsi="Arial"/>
      <w:sz w:val="20"/>
      <w:szCs w:val="2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 A C T I V E ! 1 5 1 3 7 2 7 3 1 . 3 < / d o c u m e n t i d >  
     < s e n d e r i d > A M 1 0 6 < / s e n d e r i d >  
     < s e n d e r e m a i l > A m y . M o o r e @ p i n s e n t m a s o n s . c o m < / s e n d e r e m a i l >  
     < l a s t m o d i f i e d > 2 0 2 4 - 0 9 - 3 0 T 1 8 : 2 9 : 0 0 . 0 0 0 0 0 0 0 + 0 1 : 0 0 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558E227E-EEFF-46A7-8720-229F42E2AE6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 Cohen</dc:creator>
  <cp:keywords/>
  <dc:description/>
  <cp:lastModifiedBy>Jane Tames - Contractor</cp:lastModifiedBy>
  <cp:revision>2</cp:revision>
  <dcterms:created xsi:type="dcterms:W3CDTF">2024-10-02T15:49:00Z</dcterms:created>
  <dcterms:modified xsi:type="dcterms:W3CDTF">2024-10-02T15:49:00Z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Reference">
    <vt:lpwstr>151372731.5\683471</vt:lpwstr>
  </property>
  <property fmtid="{D5CDD505-2E9C-101B-9397-08002B2CF9AE}" pid="4" name="iManageFooter">
    <vt:lpwstr>#151372731v4&lt;ACTIVE&gt; - DKLE - transaction notification - PM Comments</vt:lpwstr>
  </property>
  <property fmtid="{D5CDD505-2E9C-101B-9397-08002B2CF9AE}" pid="5" name="Reference_src">
    <vt:lpwstr>{IMan.Number}.{IMan.Version}\{IMan.imProfileCustom1}</vt:lpwstr>
  </property>
</Properties>
</file>