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04374" w14:textId="10F2D69A" w:rsidR="001F291C" w:rsidRPr="001F291C" w:rsidRDefault="001F291C" w:rsidP="001F291C">
      <w:pPr>
        <w:spacing w:line="240" w:lineRule="auto"/>
        <w:jc w:val="both"/>
        <w:rPr>
          <w:rFonts w:ascii="Arial" w:hAnsi="Arial" w:cs="Arial"/>
          <w:b/>
          <w:sz w:val="20"/>
          <w:szCs w:val="20"/>
        </w:rPr>
      </w:pPr>
      <w:r w:rsidRPr="001F291C">
        <w:rPr>
          <w:rFonts w:ascii="Arial" w:hAnsi="Arial" w:cs="Arial"/>
          <w:b/>
          <w:sz w:val="20"/>
          <w:szCs w:val="20"/>
        </w:rPr>
        <w:t>NOT FOR RELEASE, PUBLICATION OR DISTRIBUTION IN WHOLE OR IN PART IN OR INTO THE UNITED STATES, AUSTRALIA, CANADA, JAPAN OR SOUTH AFRICA OR ANY OTHER JURISDICTION IN WHICH SUCH PUBLICATION, RELEASE OR DISTRIBUTION WOULD BE UNLAWFUL.</w:t>
      </w:r>
    </w:p>
    <w:p w14:paraId="54C47CC1" w14:textId="77777777" w:rsidR="001F291C" w:rsidRDefault="001F291C" w:rsidP="001F291C">
      <w:pPr>
        <w:spacing w:line="240" w:lineRule="auto"/>
        <w:jc w:val="both"/>
        <w:rPr>
          <w:rFonts w:ascii="Arial" w:hAnsi="Arial" w:cs="Arial"/>
          <w:b/>
          <w:sz w:val="20"/>
          <w:szCs w:val="20"/>
        </w:rPr>
      </w:pPr>
      <w:r w:rsidRPr="001F291C">
        <w:rPr>
          <w:rFonts w:ascii="Arial" w:hAnsi="Arial" w:cs="Arial"/>
          <w:b/>
          <w:sz w:val="20"/>
          <w:szCs w:val="20"/>
        </w:rPr>
        <w:t>FURTHER, THIS ANNOUNCEMENT IS FOR INFORMATION PURPOSES ONLY AND IS NOT AN OFFER OF SECURITIES IN ANY JURISDICTION.</w:t>
      </w:r>
    </w:p>
    <w:p w14:paraId="0229F2DE" w14:textId="2F39AC31" w:rsidR="00EB1DC0" w:rsidRPr="009C36C3" w:rsidRDefault="00B973C0" w:rsidP="009C36C3">
      <w:pPr>
        <w:rPr>
          <w:rFonts w:ascii="Arial" w:hAnsi="Arial" w:cs="Arial"/>
          <w:sz w:val="20"/>
          <w:szCs w:val="20"/>
        </w:rPr>
      </w:pPr>
      <w:r>
        <w:rPr>
          <w:rFonts w:ascii="Arial" w:hAnsi="Arial" w:cs="Arial"/>
          <w:sz w:val="20"/>
          <w:szCs w:val="20"/>
        </w:rPr>
        <w:t>4</w:t>
      </w:r>
      <w:r w:rsidR="00666D2E" w:rsidRPr="009C36C3">
        <w:rPr>
          <w:rFonts w:ascii="Arial" w:hAnsi="Arial" w:cs="Arial"/>
          <w:sz w:val="20"/>
          <w:szCs w:val="20"/>
        </w:rPr>
        <w:t xml:space="preserve"> </w:t>
      </w:r>
      <w:r>
        <w:rPr>
          <w:rFonts w:ascii="Arial" w:hAnsi="Arial" w:cs="Arial"/>
          <w:sz w:val="20"/>
          <w:szCs w:val="20"/>
        </w:rPr>
        <w:t>December</w:t>
      </w:r>
      <w:r w:rsidR="00666D2E" w:rsidRPr="009C36C3">
        <w:rPr>
          <w:rFonts w:ascii="Arial" w:hAnsi="Arial" w:cs="Arial"/>
          <w:sz w:val="20"/>
          <w:szCs w:val="20"/>
        </w:rPr>
        <w:t xml:space="preserve"> 2020</w:t>
      </w:r>
    </w:p>
    <w:p w14:paraId="1E56E26D" w14:textId="77777777" w:rsidR="00EC45EE" w:rsidRPr="009C36C3" w:rsidRDefault="00666D2E" w:rsidP="00EC45EE">
      <w:pPr>
        <w:spacing w:after="0" w:line="240" w:lineRule="auto"/>
        <w:jc w:val="center"/>
        <w:rPr>
          <w:rFonts w:ascii="Arial" w:hAnsi="Arial" w:cs="Arial"/>
          <w:b/>
          <w:sz w:val="28"/>
          <w:szCs w:val="28"/>
        </w:rPr>
      </w:pPr>
      <w:r w:rsidRPr="009C36C3">
        <w:rPr>
          <w:rFonts w:ascii="Arial" w:hAnsi="Arial" w:cs="Arial"/>
          <w:b/>
          <w:sz w:val="28"/>
          <w:szCs w:val="28"/>
        </w:rPr>
        <w:t>Aston Martin Lagonda Global Holdi</w:t>
      </w:r>
      <w:r w:rsidR="00EC45EE" w:rsidRPr="009C36C3">
        <w:rPr>
          <w:rFonts w:ascii="Arial" w:hAnsi="Arial" w:cs="Arial"/>
          <w:b/>
          <w:sz w:val="28"/>
          <w:szCs w:val="28"/>
        </w:rPr>
        <w:t xml:space="preserve">ngs plc </w:t>
      </w:r>
    </w:p>
    <w:p w14:paraId="063936C9" w14:textId="77777777" w:rsidR="008332EE" w:rsidRPr="009C36C3" w:rsidRDefault="00EC45EE" w:rsidP="00EC45EE">
      <w:pPr>
        <w:spacing w:line="240" w:lineRule="auto"/>
        <w:jc w:val="center"/>
        <w:rPr>
          <w:rFonts w:ascii="Arial" w:hAnsi="Arial" w:cs="Arial"/>
          <w:b/>
          <w:sz w:val="20"/>
          <w:szCs w:val="20"/>
        </w:rPr>
      </w:pPr>
      <w:r w:rsidRPr="009C36C3">
        <w:rPr>
          <w:rFonts w:ascii="Arial" w:hAnsi="Arial" w:cs="Arial"/>
          <w:b/>
          <w:sz w:val="20"/>
          <w:szCs w:val="20"/>
        </w:rPr>
        <w:t xml:space="preserve">("Aston Martin Lagonda", </w:t>
      </w:r>
      <w:r w:rsidR="00666D2E" w:rsidRPr="009C36C3">
        <w:rPr>
          <w:rFonts w:ascii="Arial" w:hAnsi="Arial" w:cs="Arial"/>
          <w:b/>
          <w:sz w:val="20"/>
          <w:szCs w:val="20"/>
        </w:rPr>
        <w:t>the "</w:t>
      </w:r>
      <w:r w:rsidR="008332EE" w:rsidRPr="009C36C3">
        <w:rPr>
          <w:rFonts w:ascii="Arial" w:hAnsi="Arial" w:cs="Arial"/>
          <w:b/>
          <w:sz w:val="20"/>
          <w:szCs w:val="20"/>
        </w:rPr>
        <w:t>Company</w:t>
      </w:r>
      <w:r w:rsidR="00666D2E" w:rsidRPr="009C36C3">
        <w:rPr>
          <w:rFonts w:ascii="Arial" w:hAnsi="Arial" w:cs="Arial"/>
          <w:b/>
          <w:sz w:val="20"/>
          <w:szCs w:val="20"/>
        </w:rPr>
        <w:t>"</w:t>
      </w:r>
      <w:r w:rsidRPr="009C36C3">
        <w:rPr>
          <w:rFonts w:ascii="Arial" w:hAnsi="Arial" w:cs="Arial"/>
          <w:b/>
          <w:sz w:val="20"/>
          <w:szCs w:val="20"/>
        </w:rPr>
        <w:t xml:space="preserve"> or the "Group"</w:t>
      </w:r>
      <w:r w:rsidR="008332EE" w:rsidRPr="009C36C3">
        <w:rPr>
          <w:rFonts w:ascii="Arial" w:hAnsi="Arial" w:cs="Arial"/>
          <w:b/>
          <w:sz w:val="20"/>
          <w:szCs w:val="20"/>
        </w:rPr>
        <w:t>)</w:t>
      </w:r>
    </w:p>
    <w:p w14:paraId="5BF77690" w14:textId="6075F816" w:rsidR="008332EE" w:rsidRPr="009C36C3" w:rsidRDefault="008A37AF" w:rsidP="008332EE">
      <w:pPr>
        <w:jc w:val="center"/>
        <w:rPr>
          <w:rFonts w:ascii="Arial" w:hAnsi="Arial" w:cs="Arial"/>
          <w:b/>
          <w:sz w:val="20"/>
          <w:szCs w:val="20"/>
        </w:rPr>
      </w:pPr>
      <w:r>
        <w:rPr>
          <w:rFonts w:ascii="Arial" w:hAnsi="Arial" w:cs="Arial"/>
          <w:b/>
          <w:sz w:val="20"/>
          <w:szCs w:val="20"/>
        </w:rPr>
        <w:t>Results of the General Meeting</w:t>
      </w:r>
    </w:p>
    <w:p w14:paraId="13B86FA7" w14:textId="5B4CC55D" w:rsidR="008A37AF" w:rsidRDefault="00863245" w:rsidP="002D1A6B">
      <w:pPr>
        <w:jc w:val="both"/>
        <w:rPr>
          <w:rFonts w:ascii="Arial" w:hAnsi="Arial" w:cs="Arial"/>
          <w:sz w:val="20"/>
          <w:szCs w:val="20"/>
        </w:rPr>
      </w:pPr>
      <w:r w:rsidRPr="009C36C3">
        <w:rPr>
          <w:rFonts w:ascii="Arial" w:hAnsi="Arial" w:cs="Arial"/>
          <w:sz w:val="20"/>
          <w:szCs w:val="20"/>
        </w:rPr>
        <w:t>Further to the announcement o</w:t>
      </w:r>
      <w:r w:rsidR="00A233AF" w:rsidRPr="009C36C3">
        <w:rPr>
          <w:rFonts w:ascii="Arial" w:hAnsi="Arial" w:cs="Arial"/>
          <w:sz w:val="20"/>
          <w:szCs w:val="20"/>
        </w:rPr>
        <w:t xml:space="preserve">n </w:t>
      </w:r>
      <w:r w:rsidR="00E37001">
        <w:rPr>
          <w:rFonts w:ascii="Arial" w:hAnsi="Arial" w:cs="Arial"/>
          <w:sz w:val="20"/>
          <w:szCs w:val="20"/>
        </w:rPr>
        <w:t>18 November 2020</w:t>
      </w:r>
      <w:r w:rsidR="000D2794">
        <w:rPr>
          <w:rFonts w:ascii="Arial" w:hAnsi="Arial" w:cs="Arial"/>
          <w:sz w:val="20"/>
          <w:szCs w:val="20"/>
        </w:rPr>
        <w:t>,</w:t>
      </w:r>
      <w:r w:rsidR="00A233AF" w:rsidRPr="009C36C3">
        <w:rPr>
          <w:rFonts w:ascii="Arial" w:hAnsi="Arial" w:cs="Arial"/>
          <w:sz w:val="20"/>
          <w:szCs w:val="20"/>
        </w:rPr>
        <w:t xml:space="preserve"> </w:t>
      </w:r>
      <w:r w:rsidRPr="009C36C3">
        <w:rPr>
          <w:rFonts w:ascii="Arial" w:hAnsi="Arial" w:cs="Arial"/>
          <w:sz w:val="20"/>
          <w:szCs w:val="20"/>
        </w:rPr>
        <w:t>the Company</w:t>
      </w:r>
      <w:r w:rsidR="00E21A80" w:rsidRPr="009C36C3">
        <w:rPr>
          <w:rFonts w:ascii="Arial" w:hAnsi="Arial" w:cs="Arial"/>
          <w:sz w:val="20"/>
          <w:szCs w:val="20"/>
        </w:rPr>
        <w:t xml:space="preserve"> </w:t>
      </w:r>
      <w:r w:rsidR="00DF68C1" w:rsidRPr="009C36C3">
        <w:rPr>
          <w:rFonts w:ascii="Arial" w:hAnsi="Arial" w:cs="Arial"/>
          <w:sz w:val="20"/>
          <w:szCs w:val="20"/>
        </w:rPr>
        <w:t xml:space="preserve">announces </w:t>
      </w:r>
      <w:r w:rsidR="008A37AF">
        <w:rPr>
          <w:rFonts w:ascii="Arial" w:hAnsi="Arial" w:cs="Arial"/>
          <w:sz w:val="20"/>
          <w:szCs w:val="20"/>
        </w:rPr>
        <w:t>that, at the General Meeting held earlier today, the resolutions set out in the Notice of General Meeting (the “</w:t>
      </w:r>
      <w:r w:rsidR="008A37AF">
        <w:rPr>
          <w:rFonts w:ascii="Arial" w:hAnsi="Arial" w:cs="Arial"/>
          <w:b/>
          <w:sz w:val="20"/>
          <w:szCs w:val="20"/>
        </w:rPr>
        <w:t>Resolutions</w:t>
      </w:r>
      <w:r w:rsidR="008A37AF">
        <w:rPr>
          <w:rFonts w:ascii="Arial" w:hAnsi="Arial" w:cs="Arial"/>
          <w:sz w:val="20"/>
          <w:szCs w:val="20"/>
        </w:rPr>
        <w:t>”) contained in the combined</w:t>
      </w:r>
      <w:r w:rsidR="00B97DD9">
        <w:rPr>
          <w:rFonts w:ascii="Arial" w:hAnsi="Arial" w:cs="Arial"/>
          <w:sz w:val="20"/>
          <w:szCs w:val="20"/>
        </w:rPr>
        <w:t xml:space="preserve"> </w:t>
      </w:r>
      <w:r w:rsidR="008A37AF">
        <w:rPr>
          <w:rFonts w:ascii="Arial" w:hAnsi="Arial" w:cs="Arial"/>
          <w:sz w:val="20"/>
          <w:szCs w:val="20"/>
        </w:rPr>
        <w:t xml:space="preserve">prospectus and circular published by the Company on </w:t>
      </w:r>
      <w:r w:rsidR="00A35164">
        <w:rPr>
          <w:rFonts w:ascii="Arial" w:hAnsi="Arial" w:cs="Arial"/>
          <w:sz w:val="20"/>
          <w:szCs w:val="20"/>
        </w:rPr>
        <w:t>18 November</w:t>
      </w:r>
      <w:r w:rsidR="00B97DD9">
        <w:rPr>
          <w:rFonts w:ascii="Arial" w:hAnsi="Arial" w:cs="Arial"/>
          <w:sz w:val="20"/>
          <w:szCs w:val="20"/>
        </w:rPr>
        <w:t xml:space="preserve"> </w:t>
      </w:r>
      <w:r w:rsidR="008A37AF">
        <w:rPr>
          <w:rFonts w:ascii="Arial" w:hAnsi="Arial" w:cs="Arial"/>
          <w:sz w:val="20"/>
          <w:szCs w:val="20"/>
        </w:rPr>
        <w:t>2020 (the “</w:t>
      </w:r>
      <w:r w:rsidR="008A37AF" w:rsidRPr="008A37AF">
        <w:rPr>
          <w:rFonts w:ascii="Arial" w:hAnsi="Arial" w:cs="Arial"/>
          <w:b/>
          <w:sz w:val="20"/>
          <w:szCs w:val="20"/>
        </w:rPr>
        <w:t>Prospectus</w:t>
      </w:r>
      <w:r w:rsidR="008A37AF">
        <w:rPr>
          <w:rFonts w:ascii="Arial" w:hAnsi="Arial" w:cs="Arial"/>
          <w:sz w:val="20"/>
          <w:szCs w:val="20"/>
        </w:rPr>
        <w:t xml:space="preserve">”) were duly passed without amendment on a </w:t>
      </w:r>
      <w:r w:rsidR="001A3855">
        <w:rPr>
          <w:rFonts w:ascii="Arial" w:hAnsi="Arial" w:cs="Arial"/>
          <w:sz w:val="20"/>
          <w:szCs w:val="20"/>
        </w:rPr>
        <w:t xml:space="preserve">poll </w:t>
      </w:r>
      <w:r w:rsidR="008A37AF">
        <w:rPr>
          <w:rFonts w:ascii="Arial" w:hAnsi="Arial" w:cs="Arial"/>
          <w:sz w:val="20"/>
          <w:szCs w:val="20"/>
        </w:rPr>
        <w:t>by the requisite majorities of shareholders of the Company.</w:t>
      </w:r>
    </w:p>
    <w:p w14:paraId="47F902E6" w14:textId="73FC10A0" w:rsidR="001A3855" w:rsidRDefault="001A3855" w:rsidP="002D1A6B">
      <w:pPr>
        <w:jc w:val="both"/>
        <w:rPr>
          <w:rFonts w:ascii="Arial" w:hAnsi="Arial" w:cs="Arial"/>
          <w:sz w:val="20"/>
          <w:szCs w:val="20"/>
        </w:rPr>
      </w:pPr>
      <w:r>
        <w:rPr>
          <w:rFonts w:ascii="Arial" w:hAnsi="Arial" w:cs="Arial"/>
          <w:sz w:val="20"/>
          <w:szCs w:val="20"/>
        </w:rPr>
        <w:t xml:space="preserve">Resolutions </w:t>
      </w:r>
      <w:r w:rsidR="00067458">
        <w:rPr>
          <w:rFonts w:ascii="Arial" w:hAnsi="Arial" w:cs="Arial"/>
          <w:sz w:val="20"/>
          <w:szCs w:val="20"/>
        </w:rPr>
        <w:t>3, 6, 9, 10</w:t>
      </w:r>
      <w:r>
        <w:rPr>
          <w:rFonts w:ascii="Arial" w:hAnsi="Arial" w:cs="Arial"/>
          <w:sz w:val="20"/>
          <w:szCs w:val="20"/>
        </w:rPr>
        <w:t xml:space="preserve"> and </w:t>
      </w:r>
      <w:r w:rsidR="00067458">
        <w:rPr>
          <w:rFonts w:ascii="Arial" w:hAnsi="Arial" w:cs="Arial"/>
          <w:sz w:val="20"/>
          <w:szCs w:val="20"/>
        </w:rPr>
        <w:t>11</w:t>
      </w:r>
      <w:r>
        <w:rPr>
          <w:rFonts w:ascii="Arial" w:hAnsi="Arial" w:cs="Arial"/>
          <w:sz w:val="20"/>
          <w:szCs w:val="20"/>
        </w:rPr>
        <w:t xml:space="preserve"> were passed as special resolutions and the full text of the </w:t>
      </w:r>
      <w:r w:rsidR="002908F6">
        <w:rPr>
          <w:rFonts w:ascii="Arial" w:hAnsi="Arial" w:cs="Arial"/>
          <w:sz w:val="20"/>
          <w:szCs w:val="20"/>
        </w:rPr>
        <w:t>R</w:t>
      </w:r>
      <w:r>
        <w:rPr>
          <w:rFonts w:ascii="Arial" w:hAnsi="Arial" w:cs="Arial"/>
          <w:sz w:val="20"/>
          <w:szCs w:val="20"/>
        </w:rPr>
        <w:t>esolutions is set out in the Notice of General Meeting.</w:t>
      </w:r>
    </w:p>
    <w:p w14:paraId="620569D7" w14:textId="5B5AB1CD" w:rsidR="008A37AF" w:rsidRDefault="008A37AF" w:rsidP="002D1A6B">
      <w:pPr>
        <w:jc w:val="both"/>
        <w:rPr>
          <w:rFonts w:ascii="Arial" w:hAnsi="Arial" w:cs="Arial"/>
          <w:sz w:val="20"/>
          <w:szCs w:val="20"/>
        </w:rPr>
      </w:pPr>
      <w:r>
        <w:rPr>
          <w:rFonts w:ascii="Arial" w:hAnsi="Arial" w:cs="Arial"/>
          <w:sz w:val="20"/>
          <w:szCs w:val="20"/>
        </w:rPr>
        <w:t xml:space="preserve">Details of the total votes received in relation to the Resolutions </w:t>
      </w:r>
      <w:r w:rsidR="001376A1">
        <w:rPr>
          <w:rFonts w:ascii="Arial" w:hAnsi="Arial" w:cs="Arial"/>
          <w:sz w:val="20"/>
          <w:szCs w:val="20"/>
        </w:rPr>
        <w:t xml:space="preserve">(representing </w:t>
      </w:r>
      <w:r w:rsidR="00555BDA">
        <w:rPr>
          <w:rFonts w:ascii="Arial" w:hAnsi="Arial" w:cs="Arial"/>
          <w:sz w:val="20"/>
          <w:szCs w:val="20"/>
        </w:rPr>
        <w:t>52.44</w:t>
      </w:r>
      <w:r w:rsidR="001A3855">
        <w:rPr>
          <w:rFonts w:ascii="Arial" w:hAnsi="Arial" w:cs="Arial"/>
          <w:sz w:val="20"/>
          <w:szCs w:val="20"/>
        </w:rPr>
        <w:t xml:space="preserve">% of the issued share capital of </w:t>
      </w:r>
      <w:r w:rsidR="00C6485F">
        <w:rPr>
          <w:rFonts w:ascii="Arial" w:hAnsi="Arial" w:cs="Arial"/>
          <w:sz w:val="20"/>
          <w:szCs w:val="20"/>
        </w:rPr>
        <w:t>1,824,014,450</w:t>
      </w:r>
      <w:r w:rsidR="00067458">
        <w:rPr>
          <w:rFonts w:ascii="Arial" w:hAnsi="Arial" w:cs="Arial"/>
          <w:sz w:val="20"/>
          <w:szCs w:val="20"/>
        </w:rPr>
        <w:t xml:space="preserve"> </w:t>
      </w:r>
      <w:r w:rsidR="001A3855">
        <w:rPr>
          <w:rFonts w:ascii="Arial" w:hAnsi="Arial" w:cs="Arial"/>
          <w:sz w:val="20"/>
          <w:szCs w:val="20"/>
        </w:rPr>
        <w:t xml:space="preserve">ordinary shares) </w:t>
      </w:r>
      <w:r>
        <w:rPr>
          <w:rFonts w:ascii="Arial" w:hAnsi="Arial" w:cs="Arial"/>
          <w:sz w:val="20"/>
          <w:szCs w:val="20"/>
        </w:rPr>
        <w:t>are as follows: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95"/>
        <w:gridCol w:w="2372"/>
        <w:gridCol w:w="1106"/>
        <w:gridCol w:w="885"/>
        <w:gridCol w:w="1093"/>
        <w:gridCol w:w="776"/>
        <w:gridCol w:w="1267"/>
        <w:gridCol w:w="1106"/>
        <w:gridCol w:w="6"/>
      </w:tblGrid>
      <w:tr w:rsidR="006F165C" w14:paraId="4DF9A8D1" w14:textId="77777777" w:rsidTr="004820FF">
        <w:trPr>
          <w:trHeight w:val="300"/>
        </w:trPr>
        <w:tc>
          <w:tcPr>
            <w:tcW w:w="2851"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DB8534" w14:textId="77777777" w:rsidR="006F165C" w:rsidRDefault="006F165C">
            <w:pPr>
              <w:spacing w:after="0" w:line="240" w:lineRule="auto"/>
              <w:rPr>
                <w:rFonts w:ascii="Arial" w:eastAsia="Times New Roman" w:hAnsi="Arial" w:cs="Arial"/>
                <w:b/>
                <w:bCs/>
                <w:sz w:val="20"/>
                <w:szCs w:val="20"/>
                <w:lang w:eastAsia="en-GB"/>
              </w:rPr>
            </w:pPr>
            <w:r>
              <w:rPr>
                <w:rFonts w:ascii="Arial" w:eastAsia="Times New Roman" w:hAnsi="Arial" w:cs="Arial"/>
                <w:b/>
                <w:bCs/>
                <w:color w:val="000000"/>
                <w:sz w:val="16"/>
                <w:szCs w:val="16"/>
                <w:lang w:eastAsia="en-GB"/>
              </w:rPr>
              <w:t>   RESOLUTION</w:t>
            </w:r>
          </w:p>
        </w:tc>
        <w:tc>
          <w:tcPr>
            <w:tcW w:w="6155"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91D087" w14:textId="77777777" w:rsidR="006F165C" w:rsidRDefault="006F165C">
            <w:pPr>
              <w:spacing w:after="0" w:line="240" w:lineRule="auto"/>
              <w:jc w:val="center"/>
              <w:rPr>
                <w:rFonts w:ascii="Arial" w:eastAsia="Times New Roman" w:hAnsi="Arial" w:cs="Arial"/>
                <w:b/>
                <w:bCs/>
                <w:sz w:val="20"/>
                <w:szCs w:val="20"/>
                <w:lang w:eastAsia="en-GB"/>
              </w:rPr>
            </w:pPr>
            <w:r>
              <w:rPr>
                <w:rFonts w:ascii="Arial" w:eastAsia="Times New Roman" w:hAnsi="Arial" w:cs="Arial"/>
                <w:b/>
                <w:bCs/>
                <w:color w:val="000000"/>
                <w:sz w:val="16"/>
                <w:szCs w:val="16"/>
                <w:lang w:eastAsia="en-GB"/>
              </w:rPr>
              <w:t>VOTES</w:t>
            </w:r>
          </w:p>
        </w:tc>
      </w:tr>
      <w:tr w:rsidR="006F165C" w14:paraId="28403684" w14:textId="77777777" w:rsidTr="004820FF">
        <w:trPr>
          <w:gridAfter w:val="1"/>
          <w:wAfter w:w="6" w:type="dxa"/>
          <w:trHeight w:val="300"/>
        </w:trPr>
        <w:tc>
          <w:tcPr>
            <w:tcW w:w="2851" w:type="dxa"/>
            <w:gridSpan w:val="2"/>
            <w:vMerge/>
            <w:tcBorders>
              <w:top w:val="single" w:sz="8" w:space="0" w:color="auto"/>
              <w:left w:val="single" w:sz="8" w:space="0" w:color="auto"/>
              <w:bottom w:val="single" w:sz="8" w:space="0" w:color="auto"/>
              <w:right w:val="single" w:sz="8" w:space="0" w:color="auto"/>
            </w:tcBorders>
            <w:vAlign w:val="center"/>
            <w:hideMark/>
          </w:tcPr>
          <w:p w14:paraId="7DCE2CFB" w14:textId="77777777" w:rsidR="006F165C" w:rsidRDefault="006F165C">
            <w:pPr>
              <w:spacing w:after="0"/>
              <w:rPr>
                <w:rFonts w:ascii="Arial" w:eastAsia="Times New Roman" w:hAnsi="Arial" w:cs="Arial"/>
                <w:b/>
                <w:bCs/>
                <w:sz w:val="20"/>
                <w:szCs w:val="20"/>
                <w:lang w:eastAsia="en-GB"/>
              </w:rPr>
            </w:pPr>
          </w:p>
        </w:tc>
        <w:tc>
          <w:tcPr>
            <w:tcW w:w="200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A0939D" w14:textId="69A8D1F9" w:rsidR="006F165C" w:rsidRDefault="006F165C">
            <w:pPr>
              <w:spacing w:after="0" w:line="240" w:lineRule="auto"/>
              <w:jc w:val="center"/>
              <w:rPr>
                <w:rFonts w:ascii="Arial" w:eastAsia="Times New Roman" w:hAnsi="Arial" w:cs="Arial"/>
                <w:b/>
                <w:bCs/>
                <w:sz w:val="20"/>
                <w:szCs w:val="20"/>
                <w:lang w:eastAsia="en-GB"/>
              </w:rPr>
            </w:pPr>
            <w:r>
              <w:rPr>
                <w:rFonts w:ascii="Arial" w:eastAsia="Times New Roman" w:hAnsi="Arial" w:cs="Arial"/>
                <w:b/>
                <w:bCs/>
                <w:color w:val="000000"/>
                <w:sz w:val="16"/>
                <w:szCs w:val="16"/>
                <w:lang w:eastAsia="en-GB"/>
              </w:rPr>
              <w:t>FOR</w:t>
            </w:r>
            <w:r w:rsidR="001A3855">
              <w:rPr>
                <w:rFonts w:ascii="Arial" w:eastAsia="Times New Roman" w:hAnsi="Arial" w:cs="Arial"/>
                <w:b/>
                <w:bCs/>
                <w:color w:val="000000"/>
                <w:sz w:val="16"/>
                <w:szCs w:val="16"/>
                <w:lang w:eastAsia="en-GB"/>
              </w:rPr>
              <w:t>*</w:t>
            </w:r>
          </w:p>
        </w:tc>
        <w:tc>
          <w:tcPr>
            <w:tcW w:w="18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4BE6BE" w14:textId="765245AC" w:rsidR="006F165C" w:rsidRDefault="006F165C">
            <w:pPr>
              <w:spacing w:after="0" w:line="240" w:lineRule="auto"/>
              <w:jc w:val="center"/>
              <w:rPr>
                <w:rFonts w:ascii="Arial" w:eastAsia="Times New Roman" w:hAnsi="Arial" w:cs="Arial"/>
                <w:b/>
                <w:bCs/>
                <w:sz w:val="20"/>
                <w:szCs w:val="20"/>
                <w:lang w:eastAsia="en-GB"/>
              </w:rPr>
            </w:pPr>
            <w:r>
              <w:rPr>
                <w:rFonts w:ascii="Arial" w:eastAsia="Times New Roman" w:hAnsi="Arial" w:cs="Arial"/>
                <w:b/>
                <w:bCs/>
                <w:color w:val="000000"/>
                <w:sz w:val="16"/>
                <w:szCs w:val="16"/>
                <w:lang w:eastAsia="en-GB"/>
              </w:rPr>
              <w:t>AGAINST</w:t>
            </w:r>
            <w:r w:rsidR="001A3855">
              <w:rPr>
                <w:rFonts w:ascii="Arial" w:eastAsia="Times New Roman" w:hAnsi="Arial" w:cs="Arial"/>
                <w:b/>
                <w:bCs/>
                <w:color w:val="000000"/>
                <w:sz w:val="16"/>
                <w:szCs w:val="16"/>
                <w:lang w:eastAsia="en-GB"/>
              </w:rPr>
              <w:t>**</w:t>
            </w:r>
          </w:p>
        </w:tc>
        <w:tc>
          <w:tcPr>
            <w:tcW w:w="1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DFF8C5" w14:textId="0B1AC3E0" w:rsidR="006F165C" w:rsidRDefault="006F165C">
            <w:pPr>
              <w:spacing w:after="0" w:line="240" w:lineRule="auto"/>
              <w:rPr>
                <w:rFonts w:ascii="Arial" w:eastAsia="Times New Roman" w:hAnsi="Arial" w:cs="Arial"/>
                <w:b/>
                <w:bCs/>
                <w:sz w:val="20"/>
                <w:szCs w:val="20"/>
                <w:lang w:eastAsia="en-GB"/>
              </w:rPr>
            </w:pPr>
            <w:r>
              <w:rPr>
                <w:rFonts w:ascii="Arial" w:eastAsia="Times New Roman" w:hAnsi="Arial" w:cs="Arial"/>
                <w:b/>
                <w:bCs/>
                <w:color w:val="000000"/>
                <w:sz w:val="16"/>
                <w:szCs w:val="16"/>
                <w:lang w:eastAsia="en-GB"/>
              </w:rPr>
              <w:t>WITHHELD</w:t>
            </w:r>
            <w:r w:rsidR="001A3855">
              <w:rPr>
                <w:rFonts w:ascii="Arial" w:eastAsia="Times New Roman" w:hAnsi="Arial" w:cs="Arial"/>
                <w:b/>
                <w:bCs/>
                <w:color w:val="000000"/>
                <w:sz w:val="16"/>
                <w:szCs w:val="16"/>
                <w:lang w:eastAsia="en-GB"/>
              </w:rPr>
              <w:t>***</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5746B4" w14:textId="77777777" w:rsidR="006F165C" w:rsidRDefault="006F165C">
            <w:pPr>
              <w:spacing w:after="0" w:line="240" w:lineRule="auto"/>
              <w:jc w:val="center"/>
              <w:rPr>
                <w:rFonts w:ascii="Arial" w:eastAsia="Times New Roman" w:hAnsi="Arial" w:cs="Arial"/>
                <w:b/>
                <w:bCs/>
                <w:sz w:val="20"/>
                <w:szCs w:val="20"/>
                <w:lang w:eastAsia="en-GB"/>
              </w:rPr>
            </w:pPr>
            <w:r>
              <w:rPr>
                <w:rFonts w:ascii="Arial" w:eastAsia="Times New Roman" w:hAnsi="Arial" w:cs="Arial"/>
                <w:b/>
                <w:bCs/>
                <w:color w:val="000000"/>
                <w:sz w:val="16"/>
                <w:szCs w:val="16"/>
                <w:lang w:eastAsia="en-GB"/>
              </w:rPr>
              <w:t>TOTAL</w:t>
            </w:r>
          </w:p>
        </w:tc>
      </w:tr>
      <w:tr w:rsidR="006F165C" w14:paraId="6A8D31DF" w14:textId="77777777" w:rsidTr="004820FF">
        <w:trPr>
          <w:gridAfter w:val="1"/>
          <w:wAfter w:w="6" w:type="dxa"/>
          <w:trHeight w:val="300"/>
        </w:trPr>
        <w:tc>
          <w:tcPr>
            <w:tcW w:w="2851" w:type="dxa"/>
            <w:gridSpan w:val="2"/>
            <w:vMerge/>
            <w:tcBorders>
              <w:top w:val="single" w:sz="8" w:space="0" w:color="auto"/>
              <w:left w:val="single" w:sz="8" w:space="0" w:color="auto"/>
              <w:bottom w:val="single" w:sz="8" w:space="0" w:color="auto"/>
              <w:right w:val="single" w:sz="8" w:space="0" w:color="auto"/>
            </w:tcBorders>
            <w:vAlign w:val="center"/>
            <w:hideMark/>
          </w:tcPr>
          <w:p w14:paraId="42783899" w14:textId="77777777" w:rsidR="006F165C" w:rsidRDefault="006F165C">
            <w:pPr>
              <w:spacing w:after="0"/>
              <w:rPr>
                <w:rFonts w:ascii="Arial" w:eastAsia="Times New Roman" w:hAnsi="Arial" w:cs="Arial"/>
                <w:b/>
                <w:bCs/>
                <w:sz w:val="20"/>
                <w:szCs w:val="20"/>
                <w:lang w:eastAsia="en-GB"/>
              </w:rPr>
            </w:pP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02CD6" w14:textId="77777777" w:rsidR="006F165C" w:rsidRDefault="006F165C" w:rsidP="00C66D7C">
            <w:pPr>
              <w:spacing w:after="0" w:line="240" w:lineRule="auto"/>
              <w:jc w:val="right"/>
              <w:rPr>
                <w:rFonts w:ascii="Arial" w:eastAsia="Times New Roman" w:hAnsi="Arial" w:cs="Arial"/>
                <w:b/>
                <w:bCs/>
                <w:sz w:val="20"/>
                <w:szCs w:val="20"/>
                <w:lang w:eastAsia="en-GB"/>
              </w:rPr>
            </w:pPr>
            <w:r>
              <w:rPr>
                <w:rFonts w:ascii="Arial" w:eastAsia="Times New Roman" w:hAnsi="Arial" w:cs="Arial"/>
                <w:b/>
                <w:bCs/>
                <w:color w:val="000000"/>
                <w:sz w:val="16"/>
                <w:szCs w:val="16"/>
                <w:lang w:eastAsia="en-GB"/>
              </w:rPr>
              <w:t>Votes</w:t>
            </w:r>
          </w:p>
        </w:tc>
        <w:tc>
          <w:tcPr>
            <w:tcW w:w="8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64CCC3" w14:textId="77777777" w:rsidR="006F165C" w:rsidRDefault="006F165C">
            <w:pPr>
              <w:spacing w:after="0" w:line="240" w:lineRule="auto"/>
              <w:rPr>
                <w:rFonts w:ascii="Arial" w:eastAsia="Times New Roman" w:hAnsi="Arial" w:cs="Arial"/>
                <w:b/>
                <w:bCs/>
                <w:sz w:val="20"/>
                <w:szCs w:val="20"/>
                <w:lang w:eastAsia="en-GB"/>
              </w:rPr>
            </w:pPr>
            <w:r>
              <w:rPr>
                <w:rFonts w:ascii="Arial" w:eastAsia="Times New Roman" w:hAnsi="Arial" w:cs="Arial"/>
                <w:b/>
                <w:bCs/>
                <w:color w:val="000000"/>
                <w:sz w:val="16"/>
                <w:szCs w:val="16"/>
                <w:lang w:eastAsia="en-GB"/>
              </w:rPr>
              <w:t>%</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FFF19" w14:textId="77777777" w:rsidR="006F165C" w:rsidRDefault="006F165C">
            <w:pPr>
              <w:spacing w:after="0" w:line="240" w:lineRule="auto"/>
              <w:jc w:val="right"/>
              <w:rPr>
                <w:rFonts w:ascii="Arial" w:eastAsia="Times New Roman" w:hAnsi="Arial" w:cs="Arial"/>
                <w:b/>
                <w:bCs/>
                <w:sz w:val="20"/>
                <w:szCs w:val="20"/>
                <w:lang w:eastAsia="en-GB"/>
              </w:rPr>
            </w:pPr>
            <w:r>
              <w:rPr>
                <w:rFonts w:ascii="Arial" w:eastAsia="Times New Roman" w:hAnsi="Arial" w:cs="Arial"/>
                <w:b/>
                <w:bCs/>
                <w:color w:val="000000"/>
                <w:sz w:val="16"/>
                <w:szCs w:val="16"/>
                <w:lang w:eastAsia="en-GB"/>
              </w:rPr>
              <w:t>Votes</w:t>
            </w:r>
          </w:p>
        </w:tc>
        <w:tc>
          <w:tcPr>
            <w:tcW w:w="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BA4D02" w14:textId="77777777" w:rsidR="006F165C" w:rsidRDefault="006F165C">
            <w:pPr>
              <w:spacing w:after="0" w:line="240" w:lineRule="auto"/>
              <w:rPr>
                <w:rFonts w:ascii="Arial" w:eastAsia="Times New Roman" w:hAnsi="Arial" w:cs="Arial"/>
                <w:b/>
                <w:bCs/>
                <w:sz w:val="20"/>
                <w:szCs w:val="20"/>
                <w:lang w:eastAsia="en-GB"/>
              </w:rPr>
            </w:pPr>
            <w:r>
              <w:rPr>
                <w:rFonts w:ascii="Arial" w:eastAsia="Times New Roman" w:hAnsi="Arial" w:cs="Arial"/>
                <w:b/>
                <w:bCs/>
                <w:color w:val="000000"/>
                <w:sz w:val="16"/>
                <w:szCs w:val="16"/>
                <w:lang w:eastAsia="en-GB"/>
              </w:rPr>
              <w:t>%</w:t>
            </w:r>
          </w:p>
        </w:tc>
        <w:tc>
          <w:tcPr>
            <w:tcW w:w="1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2917EB" w14:textId="77777777" w:rsidR="006F165C" w:rsidRDefault="006F165C">
            <w:pPr>
              <w:spacing w:after="0" w:line="240" w:lineRule="auto"/>
              <w:jc w:val="right"/>
              <w:rPr>
                <w:rFonts w:ascii="Arial" w:eastAsia="Times New Roman" w:hAnsi="Arial" w:cs="Arial"/>
                <w:b/>
                <w:bCs/>
                <w:sz w:val="20"/>
                <w:szCs w:val="20"/>
                <w:lang w:eastAsia="en-GB"/>
              </w:rPr>
            </w:pPr>
            <w:r>
              <w:rPr>
                <w:rFonts w:ascii="Arial" w:eastAsia="Times New Roman" w:hAnsi="Arial" w:cs="Arial"/>
                <w:b/>
                <w:bCs/>
                <w:color w:val="000000"/>
                <w:sz w:val="16"/>
                <w:szCs w:val="16"/>
                <w:lang w:eastAsia="en-GB"/>
              </w:rPr>
              <w:t>Votes</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879C8B" w14:textId="77777777" w:rsidR="006F165C" w:rsidRDefault="006F165C">
            <w:pPr>
              <w:rPr>
                <w:rFonts w:ascii="Arial" w:eastAsia="Times New Roman" w:hAnsi="Arial" w:cs="Arial"/>
                <w:b/>
                <w:bCs/>
                <w:sz w:val="20"/>
                <w:szCs w:val="20"/>
                <w:lang w:eastAsia="en-GB"/>
              </w:rPr>
            </w:pPr>
          </w:p>
        </w:tc>
      </w:tr>
      <w:tr w:rsidR="004820FF" w14:paraId="47552FF2" w14:textId="77777777" w:rsidTr="004820FF">
        <w:trPr>
          <w:gridAfter w:val="1"/>
          <w:wAfter w:w="6" w:type="dxa"/>
          <w:trHeight w:val="567"/>
        </w:trPr>
        <w:tc>
          <w:tcPr>
            <w:tcW w:w="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BF2CC0" w14:textId="77777777" w:rsidR="004820FF" w:rsidRDefault="004820FF" w:rsidP="004820FF">
            <w:pPr>
              <w:spacing w:after="0" w:line="240" w:lineRule="auto"/>
              <w:jc w:val="center"/>
              <w:rPr>
                <w:rFonts w:ascii="Arial" w:eastAsia="Times New Roman" w:hAnsi="Arial" w:cs="Arial"/>
                <w:sz w:val="20"/>
                <w:szCs w:val="20"/>
                <w:lang w:eastAsia="en-GB"/>
              </w:rPr>
            </w:pPr>
            <w:r>
              <w:rPr>
                <w:rFonts w:ascii="Arial" w:eastAsia="Times New Roman" w:hAnsi="Arial" w:cs="Arial"/>
                <w:color w:val="000000"/>
                <w:sz w:val="16"/>
                <w:szCs w:val="16"/>
                <w:lang w:eastAsia="en-GB"/>
              </w:rPr>
              <w:t>1</w:t>
            </w:r>
          </w:p>
        </w:tc>
        <w:tc>
          <w:tcPr>
            <w:tcW w:w="2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249B70" w14:textId="4B5AC97F" w:rsidR="004820FF" w:rsidRPr="00C66D7C" w:rsidRDefault="004820FF" w:rsidP="004820FF">
            <w:pPr>
              <w:spacing w:after="0" w:line="280" w:lineRule="atLeast"/>
              <w:rPr>
                <w:rFonts w:ascii="Optima" w:eastAsia="Times New Roman" w:hAnsi="Optima" w:cs="Optima"/>
                <w:color w:val="000000"/>
                <w:sz w:val="12"/>
                <w:szCs w:val="24"/>
                <w:lang w:val="x-none"/>
              </w:rPr>
            </w:pPr>
            <w:r w:rsidRPr="00C66D7C">
              <w:rPr>
                <w:rFonts w:ascii="Arial" w:eastAsia="Times New Roman" w:hAnsi="Arial" w:cs="Arial"/>
                <w:color w:val="000000"/>
                <w:sz w:val="16"/>
                <w:szCs w:val="16"/>
                <w:lang w:eastAsia="en-GB"/>
              </w:rPr>
              <w:t>To authorise the Directors to</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implement the Strategic Cooperation</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and allot the Consideration Shares</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16C01C9" w14:textId="2A1CB386" w:rsidR="004820FF" w:rsidRPr="00F46B60" w:rsidRDefault="004820FF" w:rsidP="004820FF">
            <w:pPr>
              <w:spacing w:after="0" w:line="280" w:lineRule="atLeast"/>
              <w:jc w:val="center"/>
              <w:rPr>
                <w:rFonts w:ascii="Arial" w:eastAsia="Times New Roman" w:hAnsi="Arial" w:cs="Arial"/>
                <w:sz w:val="16"/>
                <w:szCs w:val="20"/>
                <w:lang w:eastAsia="en-GB"/>
              </w:rPr>
            </w:pPr>
            <w:r w:rsidRPr="00F46B60">
              <w:rPr>
                <w:rFonts w:ascii="Arial" w:hAnsi="Arial" w:cs="Arial"/>
                <w:sz w:val="16"/>
                <w:szCs w:val="20"/>
              </w:rPr>
              <w:t>951,988,221</w:t>
            </w:r>
          </w:p>
        </w:tc>
        <w:tc>
          <w:tcPr>
            <w:tcW w:w="895" w:type="dxa"/>
            <w:tcBorders>
              <w:top w:val="single" w:sz="4" w:space="0" w:color="auto"/>
              <w:left w:val="nil"/>
              <w:bottom w:val="single" w:sz="4" w:space="0" w:color="auto"/>
              <w:right w:val="nil"/>
            </w:tcBorders>
            <w:shd w:val="clear" w:color="auto" w:fill="auto"/>
            <w:tcMar>
              <w:top w:w="0" w:type="dxa"/>
              <w:left w:w="108" w:type="dxa"/>
              <w:bottom w:w="0" w:type="dxa"/>
              <w:right w:w="108" w:type="dxa"/>
            </w:tcMar>
            <w:vAlign w:val="bottom"/>
          </w:tcPr>
          <w:p w14:paraId="078D5DA8" w14:textId="539BBE0D"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99.63%</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54E9D25" w14:textId="0AAAA859"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3,519,421</w:t>
            </w:r>
          </w:p>
        </w:tc>
        <w:tc>
          <w:tcPr>
            <w:tcW w:w="784" w:type="dxa"/>
            <w:tcBorders>
              <w:top w:val="single" w:sz="4" w:space="0" w:color="auto"/>
              <w:left w:val="nil"/>
              <w:bottom w:val="single" w:sz="4" w:space="0" w:color="auto"/>
              <w:right w:val="nil"/>
            </w:tcBorders>
            <w:shd w:val="clear" w:color="auto" w:fill="auto"/>
            <w:tcMar>
              <w:top w:w="0" w:type="dxa"/>
              <w:left w:w="108" w:type="dxa"/>
              <w:bottom w:w="0" w:type="dxa"/>
              <w:right w:w="108" w:type="dxa"/>
            </w:tcMar>
            <w:vAlign w:val="bottom"/>
          </w:tcPr>
          <w:p w14:paraId="43EF673D" w14:textId="5E959AAA"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0.37%</w:t>
            </w:r>
          </w:p>
        </w:tc>
        <w:tc>
          <w:tcPr>
            <w:tcW w:w="1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2585DFC" w14:textId="5F7AF5BC"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1,042,353</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31A69AF" w14:textId="0DD9B80D"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955,507,642</w:t>
            </w:r>
          </w:p>
        </w:tc>
      </w:tr>
      <w:tr w:rsidR="004820FF" w14:paraId="218EDEEB" w14:textId="77777777" w:rsidTr="00D045EB">
        <w:trPr>
          <w:gridAfter w:val="1"/>
          <w:wAfter w:w="6" w:type="dxa"/>
          <w:trHeight w:val="419"/>
        </w:trPr>
        <w:tc>
          <w:tcPr>
            <w:tcW w:w="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1D3ACC" w14:textId="77777777" w:rsidR="004820FF" w:rsidRDefault="004820FF" w:rsidP="004820FF">
            <w:pPr>
              <w:spacing w:after="0" w:line="240" w:lineRule="auto"/>
              <w:jc w:val="center"/>
              <w:rPr>
                <w:rFonts w:ascii="Arial" w:eastAsia="Times New Roman" w:hAnsi="Arial" w:cs="Arial"/>
                <w:sz w:val="20"/>
                <w:szCs w:val="20"/>
                <w:lang w:eastAsia="en-GB"/>
              </w:rPr>
            </w:pPr>
            <w:r>
              <w:rPr>
                <w:rFonts w:ascii="Arial" w:eastAsia="Times New Roman" w:hAnsi="Arial" w:cs="Arial"/>
                <w:color w:val="000000"/>
                <w:sz w:val="16"/>
                <w:szCs w:val="16"/>
                <w:lang w:eastAsia="en-GB"/>
              </w:rPr>
              <w:t>2</w:t>
            </w:r>
          </w:p>
        </w:tc>
        <w:tc>
          <w:tcPr>
            <w:tcW w:w="2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655C75" w14:textId="74F0ED0B" w:rsidR="004820FF" w:rsidRPr="00C66D7C" w:rsidRDefault="004820FF" w:rsidP="004820FF">
            <w:pPr>
              <w:spacing w:after="0" w:line="280" w:lineRule="atLeast"/>
              <w:rPr>
                <w:rFonts w:ascii="Arial" w:eastAsia="Times New Roman" w:hAnsi="Arial" w:cs="Arial"/>
                <w:color w:val="000000"/>
                <w:sz w:val="16"/>
                <w:szCs w:val="16"/>
                <w:lang w:eastAsia="en-GB"/>
              </w:rPr>
            </w:pPr>
            <w:r w:rsidRPr="00C66D7C">
              <w:rPr>
                <w:rFonts w:ascii="Arial" w:eastAsia="Times New Roman" w:hAnsi="Arial" w:cs="Arial"/>
                <w:color w:val="000000"/>
                <w:sz w:val="16"/>
                <w:szCs w:val="16"/>
                <w:lang w:eastAsia="en-GB"/>
              </w:rPr>
              <w:t>To authorise the Directors to allot the</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Placing Shares</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198BEC2" w14:textId="2A1FED21" w:rsidR="004820FF" w:rsidRPr="00F46B60" w:rsidRDefault="004820FF" w:rsidP="004820FF">
            <w:pPr>
              <w:spacing w:after="0" w:line="280" w:lineRule="atLeast"/>
              <w:jc w:val="center"/>
              <w:rPr>
                <w:rFonts w:ascii="Arial" w:eastAsia="Times New Roman" w:hAnsi="Arial" w:cs="Arial"/>
                <w:sz w:val="16"/>
                <w:szCs w:val="20"/>
                <w:lang w:eastAsia="en-GB"/>
              </w:rPr>
            </w:pPr>
            <w:r w:rsidRPr="00F46B60">
              <w:rPr>
                <w:rFonts w:ascii="Arial" w:hAnsi="Arial" w:cs="Arial"/>
                <w:sz w:val="16"/>
                <w:szCs w:val="20"/>
              </w:rPr>
              <w:t>951,997,229</w:t>
            </w:r>
          </w:p>
        </w:tc>
        <w:tc>
          <w:tcPr>
            <w:tcW w:w="895"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6BDAF28A" w14:textId="18D6EE23"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99.63%</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9977EB6" w14:textId="50092690"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3,541,413</w:t>
            </w:r>
          </w:p>
        </w:tc>
        <w:tc>
          <w:tcPr>
            <w:tcW w:w="784"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53E4D938" w14:textId="2C5B62D2"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0.37%</w:t>
            </w:r>
          </w:p>
        </w:tc>
        <w:tc>
          <w:tcPr>
            <w:tcW w:w="126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D6E0FAA" w14:textId="0B3225EF"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1,011,353</w:t>
            </w:r>
          </w:p>
        </w:tc>
        <w:tc>
          <w:tcPr>
            <w:tcW w:w="99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25BA9D3" w14:textId="7476963F"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955,538,642</w:t>
            </w:r>
          </w:p>
        </w:tc>
      </w:tr>
      <w:tr w:rsidR="004820FF" w14:paraId="249E2AB0" w14:textId="77777777" w:rsidTr="00D045EB">
        <w:trPr>
          <w:gridAfter w:val="1"/>
          <w:wAfter w:w="6" w:type="dxa"/>
          <w:trHeight w:val="419"/>
        </w:trPr>
        <w:tc>
          <w:tcPr>
            <w:tcW w:w="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0A99FE" w14:textId="77777777" w:rsidR="004820FF" w:rsidRDefault="004820FF" w:rsidP="004820FF">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3</w:t>
            </w:r>
          </w:p>
        </w:tc>
        <w:tc>
          <w:tcPr>
            <w:tcW w:w="2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256BB" w14:textId="44C0BAB4" w:rsidR="004820FF" w:rsidRPr="00C66D7C" w:rsidRDefault="004820FF" w:rsidP="004820FF">
            <w:pPr>
              <w:spacing w:after="0" w:line="280" w:lineRule="atLeast"/>
              <w:rPr>
                <w:rFonts w:ascii="Arial" w:eastAsia="Times New Roman" w:hAnsi="Arial" w:cs="Arial"/>
                <w:color w:val="000000"/>
                <w:sz w:val="16"/>
                <w:szCs w:val="16"/>
                <w:lang w:eastAsia="en-GB"/>
              </w:rPr>
            </w:pPr>
            <w:r w:rsidRPr="00C66D7C">
              <w:rPr>
                <w:rFonts w:ascii="Arial" w:eastAsia="Times New Roman" w:hAnsi="Arial" w:cs="Arial"/>
                <w:color w:val="000000"/>
                <w:sz w:val="16"/>
                <w:szCs w:val="16"/>
                <w:lang w:eastAsia="en-GB"/>
              </w:rPr>
              <w:t>To authorise the Directors to disapply</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pre-emption rights in connection</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with the Placing</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085F2EA" w14:textId="25D8CF7A" w:rsidR="004820FF" w:rsidRPr="00F46B60" w:rsidRDefault="004820FF" w:rsidP="004820FF">
            <w:pPr>
              <w:spacing w:after="0" w:line="280" w:lineRule="atLeast"/>
              <w:jc w:val="center"/>
              <w:rPr>
                <w:rFonts w:ascii="Arial" w:eastAsia="Times New Roman" w:hAnsi="Arial" w:cs="Arial"/>
                <w:sz w:val="16"/>
                <w:szCs w:val="20"/>
                <w:lang w:eastAsia="en-GB"/>
              </w:rPr>
            </w:pPr>
            <w:r w:rsidRPr="00F46B60">
              <w:rPr>
                <w:rFonts w:ascii="Arial" w:hAnsi="Arial" w:cs="Arial"/>
                <w:sz w:val="16"/>
                <w:szCs w:val="20"/>
              </w:rPr>
              <w:t>951,956,534</w:t>
            </w:r>
          </w:p>
        </w:tc>
        <w:tc>
          <w:tcPr>
            <w:tcW w:w="895"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3DC4DC14" w14:textId="087A8065"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99.63%</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3BBDFD" w14:textId="0A19400D"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3,563,951</w:t>
            </w:r>
          </w:p>
        </w:tc>
        <w:tc>
          <w:tcPr>
            <w:tcW w:w="784"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42F45AC4" w14:textId="48EADDD1"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0.37%</w:t>
            </w:r>
          </w:p>
        </w:tc>
        <w:tc>
          <w:tcPr>
            <w:tcW w:w="126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34AF276" w14:textId="1DE6063C"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1,029,510</w:t>
            </w:r>
          </w:p>
        </w:tc>
        <w:tc>
          <w:tcPr>
            <w:tcW w:w="99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D4469DD" w14:textId="046EF2B1"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955,520,485</w:t>
            </w:r>
          </w:p>
        </w:tc>
      </w:tr>
      <w:tr w:rsidR="004820FF" w14:paraId="79F44022" w14:textId="77777777" w:rsidTr="00D045EB">
        <w:trPr>
          <w:gridAfter w:val="1"/>
          <w:wAfter w:w="6" w:type="dxa"/>
          <w:trHeight w:val="419"/>
        </w:trPr>
        <w:tc>
          <w:tcPr>
            <w:tcW w:w="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1D6A04" w14:textId="2A4D5017" w:rsidR="004820FF" w:rsidRDefault="004820FF" w:rsidP="004820FF">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4</w:t>
            </w:r>
          </w:p>
        </w:tc>
        <w:tc>
          <w:tcPr>
            <w:tcW w:w="2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78DF1D" w14:textId="292275D2" w:rsidR="004820FF" w:rsidRPr="00C66D7C" w:rsidRDefault="004820FF" w:rsidP="004820FF">
            <w:pPr>
              <w:spacing w:after="0" w:line="280" w:lineRule="atLeast"/>
              <w:rPr>
                <w:rFonts w:ascii="Arial" w:eastAsia="Times New Roman" w:hAnsi="Arial" w:cs="Arial"/>
                <w:color w:val="000000"/>
                <w:sz w:val="16"/>
                <w:szCs w:val="16"/>
                <w:lang w:eastAsia="en-GB"/>
              </w:rPr>
            </w:pPr>
            <w:r w:rsidRPr="00C66D7C">
              <w:rPr>
                <w:rFonts w:ascii="Arial" w:eastAsia="Times New Roman" w:hAnsi="Arial" w:cs="Arial"/>
                <w:color w:val="000000"/>
                <w:sz w:val="16"/>
                <w:szCs w:val="16"/>
                <w:lang w:eastAsia="en-GB"/>
              </w:rPr>
              <w:t xml:space="preserve">To approve the related party </w:t>
            </w:r>
            <w:r>
              <w:rPr>
                <w:rFonts w:ascii="Arial" w:eastAsia="Times New Roman" w:hAnsi="Arial" w:cs="Arial"/>
                <w:color w:val="000000"/>
                <w:sz w:val="16"/>
                <w:szCs w:val="16"/>
                <w:lang w:eastAsia="en-GB"/>
              </w:rPr>
              <w:t>t</w:t>
            </w:r>
            <w:r w:rsidRPr="00C66D7C">
              <w:rPr>
                <w:rFonts w:ascii="Arial" w:eastAsia="Times New Roman" w:hAnsi="Arial" w:cs="Arial"/>
                <w:color w:val="000000"/>
                <w:sz w:val="16"/>
                <w:szCs w:val="16"/>
                <w:lang w:eastAsia="en-GB"/>
              </w:rPr>
              <w:t>ransaction</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in connection with the Placing</w:t>
            </w:r>
            <w:r>
              <w:rPr>
                <w:rFonts w:ascii="Arial" w:eastAsia="Times New Roman" w:hAnsi="Arial" w:cs="Arial"/>
                <w:color w:val="000000"/>
                <w:sz w:val="16"/>
                <w:szCs w:val="16"/>
                <w:lang w:eastAsia="en-GB"/>
              </w:rPr>
              <w:t>****</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C143633" w14:textId="099C2F8D" w:rsidR="004820FF" w:rsidRPr="00F46B60" w:rsidRDefault="004820FF" w:rsidP="004820FF">
            <w:pPr>
              <w:spacing w:after="0" w:line="280" w:lineRule="atLeast"/>
              <w:jc w:val="center"/>
              <w:rPr>
                <w:rFonts w:ascii="Arial" w:eastAsia="Times New Roman" w:hAnsi="Arial" w:cs="Arial"/>
                <w:sz w:val="16"/>
                <w:szCs w:val="20"/>
                <w:lang w:eastAsia="en-GB"/>
              </w:rPr>
            </w:pPr>
            <w:r w:rsidRPr="00F46B60">
              <w:rPr>
                <w:rFonts w:ascii="Arial" w:hAnsi="Arial" w:cs="Arial"/>
                <w:sz w:val="16"/>
                <w:szCs w:val="20"/>
              </w:rPr>
              <w:t>495,960,049</w:t>
            </w:r>
          </w:p>
        </w:tc>
        <w:tc>
          <w:tcPr>
            <w:tcW w:w="895"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6E70141F" w14:textId="5E9C67B3"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99.29%</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CC0E20B" w14:textId="05BAEF1E"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3,535,216</w:t>
            </w:r>
          </w:p>
        </w:tc>
        <w:tc>
          <w:tcPr>
            <w:tcW w:w="784"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6EACB8B4" w14:textId="754C785C"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0.71%</w:t>
            </w:r>
          </w:p>
        </w:tc>
        <w:tc>
          <w:tcPr>
            <w:tcW w:w="126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336C321" w14:textId="1C89FF6B"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1,055,455</w:t>
            </w:r>
          </w:p>
        </w:tc>
        <w:tc>
          <w:tcPr>
            <w:tcW w:w="99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6E8BF01" w14:textId="2F6110E5" w:rsidR="004820FF" w:rsidRPr="004820FF" w:rsidRDefault="004820FF" w:rsidP="004820FF">
            <w:pPr>
              <w:spacing w:after="0" w:line="280" w:lineRule="atLeast"/>
              <w:jc w:val="center"/>
              <w:rPr>
                <w:rFonts w:ascii="Arial" w:eastAsia="Times New Roman" w:hAnsi="Arial" w:cs="Arial"/>
                <w:sz w:val="16"/>
                <w:szCs w:val="20"/>
                <w:lang w:eastAsia="en-GB"/>
              </w:rPr>
            </w:pPr>
            <w:r w:rsidRPr="004820FF">
              <w:rPr>
                <w:rFonts w:ascii="Arial" w:hAnsi="Arial" w:cs="Arial"/>
                <w:sz w:val="16"/>
                <w:szCs w:val="20"/>
              </w:rPr>
              <w:t>499,495,265</w:t>
            </w:r>
          </w:p>
        </w:tc>
      </w:tr>
      <w:tr w:rsidR="004820FF" w14:paraId="3161EE53" w14:textId="77777777" w:rsidTr="00D045EB">
        <w:trPr>
          <w:gridAfter w:val="1"/>
          <w:wAfter w:w="6" w:type="dxa"/>
          <w:trHeight w:val="419"/>
        </w:trPr>
        <w:tc>
          <w:tcPr>
            <w:tcW w:w="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639F6F" w14:textId="7DFAE6A5" w:rsidR="004820FF" w:rsidRDefault="004820FF" w:rsidP="004820FF">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5</w:t>
            </w:r>
          </w:p>
        </w:tc>
        <w:tc>
          <w:tcPr>
            <w:tcW w:w="2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E85FFB" w14:textId="3FCE8AC5" w:rsidR="004820FF" w:rsidRPr="00C66D7C" w:rsidRDefault="004820FF" w:rsidP="004820FF">
            <w:pPr>
              <w:spacing w:after="0" w:line="280" w:lineRule="atLeast"/>
              <w:rPr>
                <w:rFonts w:ascii="Arial" w:eastAsia="Times New Roman" w:hAnsi="Arial" w:cs="Arial"/>
                <w:color w:val="000000"/>
                <w:sz w:val="16"/>
                <w:szCs w:val="16"/>
                <w:lang w:eastAsia="en-GB"/>
              </w:rPr>
            </w:pPr>
            <w:r w:rsidRPr="00C66D7C">
              <w:rPr>
                <w:rFonts w:ascii="Arial" w:eastAsia="Times New Roman" w:hAnsi="Arial" w:cs="Arial"/>
                <w:color w:val="000000"/>
                <w:sz w:val="16"/>
                <w:szCs w:val="16"/>
                <w:lang w:eastAsia="en-GB"/>
              </w:rPr>
              <w:t xml:space="preserve">To authorise the Directors to allot </w:t>
            </w:r>
            <w:r>
              <w:rPr>
                <w:rFonts w:ascii="Arial" w:eastAsia="Times New Roman" w:hAnsi="Arial" w:cs="Arial"/>
                <w:color w:val="000000"/>
                <w:sz w:val="16"/>
                <w:szCs w:val="16"/>
                <w:lang w:eastAsia="en-GB"/>
              </w:rPr>
              <w:t xml:space="preserve">shares </w:t>
            </w:r>
            <w:r w:rsidRPr="00C66D7C">
              <w:rPr>
                <w:rFonts w:ascii="Arial" w:eastAsia="Times New Roman" w:hAnsi="Arial" w:cs="Arial"/>
                <w:color w:val="000000"/>
                <w:sz w:val="16"/>
                <w:szCs w:val="16"/>
                <w:lang w:eastAsia="en-GB"/>
              </w:rPr>
              <w:t>in connection with the Warrants Issue</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FB7075D" w14:textId="47D8D87D" w:rsidR="004820FF" w:rsidRPr="00F46B60" w:rsidRDefault="004820FF" w:rsidP="004820FF">
            <w:pPr>
              <w:spacing w:after="0" w:line="280" w:lineRule="atLeast"/>
              <w:jc w:val="center"/>
              <w:rPr>
                <w:rFonts w:ascii="Arial" w:hAnsi="Arial" w:cs="Arial"/>
                <w:sz w:val="16"/>
                <w:szCs w:val="20"/>
              </w:rPr>
            </w:pPr>
            <w:r w:rsidRPr="00F46B60">
              <w:rPr>
                <w:rFonts w:ascii="Arial" w:hAnsi="Arial" w:cs="Arial"/>
                <w:sz w:val="16"/>
                <w:szCs w:val="20"/>
              </w:rPr>
              <w:t>951,993,574</w:t>
            </w:r>
          </w:p>
        </w:tc>
        <w:tc>
          <w:tcPr>
            <w:tcW w:w="895"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4BA232D5" w14:textId="31432308"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99.63%</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884EA20" w14:textId="6F7414CF"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3,514,199</w:t>
            </w:r>
          </w:p>
        </w:tc>
        <w:tc>
          <w:tcPr>
            <w:tcW w:w="784"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0E1691D0" w14:textId="11B24EAC"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0.37%</w:t>
            </w:r>
          </w:p>
        </w:tc>
        <w:tc>
          <w:tcPr>
            <w:tcW w:w="126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2E49748" w14:textId="75187A9E"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1,042,222</w:t>
            </w:r>
          </w:p>
        </w:tc>
        <w:tc>
          <w:tcPr>
            <w:tcW w:w="99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68C59E7" w14:textId="39D1FB8E"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955,507,773</w:t>
            </w:r>
          </w:p>
        </w:tc>
      </w:tr>
      <w:tr w:rsidR="004820FF" w14:paraId="690DF570" w14:textId="77777777" w:rsidTr="00D045EB">
        <w:trPr>
          <w:gridAfter w:val="1"/>
          <w:wAfter w:w="6" w:type="dxa"/>
          <w:trHeight w:val="419"/>
        </w:trPr>
        <w:tc>
          <w:tcPr>
            <w:tcW w:w="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EE5463" w14:textId="1D6F393C" w:rsidR="004820FF" w:rsidRDefault="004820FF" w:rsidP="004820FF">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6</w:t>
            </w:r>
          </w:p>
        </w:tc>
        <w:tc>
          <w:tcPr>
            <w:tcW w:w="2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282F28" w14:textId="77EA11BC" w:rsidR="004820FF" w:rsidRPr="00C66D7C" w:rsidRDefault="004820FF" w:rsidP="004820FF">
            <w:pPr>
              <w:spacing w:after="0" w:line="280" w:lineRule="atLeast"/>
              <w:rPr>
                <w:rFonts w:ascii="Arial" w:eastAsia="Times New Roman" w:hAnsi="Arial" w:cs="Arial"/>
                <w:color w:val="000000"/>
                <w:sz w:val="16"/>
                <w:szCs w:val="16"/>
                <w:lang w:eastAsia="en-GB"/>
              </w:rPr>
            </w:pPr>
            <w:r w:rsidRPr="00C66D7C">
              <w:rPr>
                <w:rFonts w:ascii="Arial" w:eastAsia="Times New Roman" w:hAnsi="Arial" w:cs="Arial"/>
                <w:color w:val="000000"/>
                <w:sz w:val="16"/>
                <w:szCs w:val="16"/>
                <w:lang w:eastAsia="en-GB"/>
              </w:rPr>
              <w:t>To authorise the Directors to disapply</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pre-emption rights in connection with</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the Warrants Issue</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6A5FF86" w14:textId="64F609F3" w:rsidR="004820FF" w:rsidRPr="00F46B60" w:rsidRDefault="004820FF" w:rsidP="004820FF">
            <w:pPr>
              <w:spacing w:after="0" w:line="280" w:lineRule="atLeast"/>
              <w:jc w:val="center"/>
              <w:rPr>
                <w:rFonts w:ascii="Arial" w:hAnsi="Arial" w:cs="Arial"/>
                <w:sz w:val="16"/>
                <w:szCs w:val="20"/>
              </w:rPr>
            </w:pPr>
            <w:r w:rsidRPr="00F46B60">
              <w:rPr>
                <w:rFonts w:ascii="Arial" w:hAnsi="Arial" w:cs="Arial"/>
                <w:sz w:val="16"/>
                <w:szCs w:val="20"/>
              </w:rPr>
              <w:t>951,985,561</w:t>
            </w:r>
          </w:p>
        </w:tc>
        <w:tc>
          <w:tcPr>
            <w:tcW w:w="895"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5948AA65" w14:textId="77A3BE0C"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99.63%</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3BDC220" w14:textId="534F2AE8"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3,515,036</w:t>
            </w:r>
          </w:p>
        </w:tc>
        <w:tc>
          <w:tcPr>
            <w:tcW w:w="784"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31CD32DF" w14:textId="0080C9AC"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0.37%</w:t>
            </w:r>
          </w:p>
        </w:tc>
        <w:tc>
          <w:tcPr>
            <w:tcW w:w="126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8256869" w14:textId="4724FBEE"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1,049,398</w:t>
            </w:r>
          </w:p>
        </w:tc>
        <w:tc>
          <w:tcPr>
            <w:tcW w:w="99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E233DFD" w14:textId="47AC52AC"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955,500,597</w:t>
            </w:r>
          </w:p>
        </w:tc>
      </w:tr>
      <w:tr w:rsidR="004820FF" w14:paraId="413503F7" w14:textId="77777777" w:rsidTr="00D045EB">
        <w:trPr>
          <w:gridAfter w:val="1"/>
          <w:wAfter w:w="6" w:type="dxa"/>
          <w:trHeight w:val="419"/>
        </w:trPr>
        <w:tc>
          <w:tcPr>
            <w:tcW w:w="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EE35FC" w14:textId="4EF37ED9" w:rsidR="004820FF" w:rsidRDefault="004820FF" w:rsidP="004820FF">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7</w:t>
            </w:r>
          </w:p>
        </w:tc>
        <w:tc>
          <w:tcPr>
            <w:tcW w:w="2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99A909" w14:textId="1C4DFA62" w:rsidR="004820FF" w:rsidRPr="00C66D7C" w:rsidRDefault="004820FF" w:rsidP="004820FF">
            <w:pPr>
              <w:spacing w:after="0" w:line="280" w:lineRule="atLeast"/>
              <w:rPr>
                <w:rFonts w:ascii="Arial" w:eastAsia="Times New Roman" w:hAnsi="Arial" w:cs="Arial"/>
                <w:color w:val="000000"/>
                <w:sz w:val="16"/>
                <w:szCs w:val="16"/>
                <w:lang w:eastAsia="en-GB"/>
              </w:rPr>
            </w:pPr>
            <w:r w:rsidRPr="00C66D7C">
              <w:rPr>
                <w:rFonts w:ascii="Arial" w:eastAsia="Times New Roman" w:hAnsi="Arial" w:cs="Arial"/>
                <w:color w:val="000000"/>
                <w:sz w:val="16"/>
                <w:szCs w:val="16"/>
                <w:lang w:eastAsia="en-GB"/>
              </w:rPr>
              <w:t>To authorise the subdivision and</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 xml:space="preserve">consolidation of shares in </w:t>
            </w:r>
            <w:r w:rsidRPr="00C66D7C">
              <w:rPr>
                <w:rFonts w:ascii="Arial" w:eastAsia="Times New Roman" w:hAnsi="Arial" w:cs="Arial"/>
                <w:color w:val="000000"/>
                <w:sz w:val="16"/>
                <w:szCs w:val="16"/>
                <w:lang w:eastAsia="en-GB"/>
              </w:rPr>
              <w:lastRenderedPageBreak/>
              <w:t>connection</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with the Capital Reorganisation</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AF6A9B8" w14:textId="4DE8A79D" w:rsidR="004820FF" w:rsidRPr="00F46B60" w:rsidRDefault="004820FF" w:rsidP="004820FF">
            <w:pPr>
              <w:spacing w:after="0" w:line="280" w:lineRule="atLeast"/>
              <w:jc w:val="center"/>
              <w:rPr>
                <w:rFonts w:ascii="Arial" w:hAnsi="Arial" w:cs="Arial"/>
                <w:sz w:val="16"/>
                <w:szCs w:val="20"/>
              </w:rPr>
            </w:pPr>
            <w:r w:rsidRPr="00F46B60">
              <w:rPr>
                <w:rFonts w:ascii="Arial" w:hAnsi="Arial" w:cs="Arial"/>
                <w:sz w:val="16"/>
                <w:szCs w:val="20"/>
              </w:rPr>
              <w:lastRenderedPageBreak/>
              <w:t>952,054,521</w:t>
            </w:r>
          </w:p>
        </w:tc>
        <w:tc>
          <w:tcPr>
            <w:tcW w:w="895"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03D9C8EC" w14:textId="5FBED1E3"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99.64%</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4FDA760" w14:textId="1F2DDABA"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3,479,354</w:t>
            </w:r>
          </w:p>
        </w:tc>
        <w:tc>
          <w:tcPr>
            <w:tcW w:w="784"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220AFD12" w14:textId="67C56CE6"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0.36%</w:t>
            </w:r>
          </w:p>
        </w:tc>
        <w:tc>
          <w:tcPr>
            <w:tcW w:w="126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A9B644C" w14:textId="70E1AF1A"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1,007,733</w:t>
            </w:r>
          </w:p>
        </w:tc>
        <w:tc>
          <w:tcPr>
            <w:tcW w:w="99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6637965" w14:textId="38EC7364"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955,533,875</w:t>
            </w:r>
          </w:p>
        </w:tc>
      </w:tr>
      <w:tr w:rsidR="004820FF" w14:paraId="77BE8D5B" w14:textId="77777777" w:rsidTr="00D045EB">
        <w:trPr>
          <w:gridAfter w:val="1"/>
          <w:wAfter w:w="6" w:type="dxa"/>
          <w:trHeight w:val="419"/>
        </w:trPr>
        <w:tc>
          <w:tcPr>
            <w:tcW w:w="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3C06D8" w14:textId="6E5632AE" w:rsidR="004820FF" w:rsidRDefault="004820FF" w:rsidP="004820FF">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8</w:t>
            </w:r>
          </w:p>
        </w:tc>
        <w:tc>
          <w:tcPr>
            <w:tcW w:w="2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DF7B71" w14:textId="595A0594" w:rsidR="004820FF" w:rsidRPr="00C66D7C" w:rsidRDefault="004820FF" w:rsidP="004820FF">
            <w:pPr>
              <w:spacing w:after="0" w:line="280" w:lineRule="atLeast"/>
              <w:rPr>
                <w:rFonts w:ascii="Arial" w:eastAsia="Times New Roman" w:hAnsi="Arial" w:cs="Arial"/>
                <w:color w:val="000000"/>
                <w:sz w:val="16"/>
                <w:szCs w:val="16"/>
                <w:lang w:eastAsia="en-GB"/>
              </w:rPr>
            </w:pPr>
            <w:r w:rsidRPr="00C66D7C">
              <w:rPr>
                <w:rFonts w:ascii="Arial" w:eastAsia="Times New Roman" w:hAnsi="Arial" w:cs="Arial"/>
                <w:color w:val="000000"/>
                <w:sz w:val="16"/>
                <w:szCs w:val="16"/>
                <w:lang w:eastAsia="en-GB"/>
              </w:rPr>
              <w:t>To renew existing share allotment</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authority to account for the effect</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of the Capital Reorganisation</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E8F68E7" w14:textId="717300EF" w:rsidR="004820FF" w:rsidRPr="00F46B60" w:rsidRDefault="004820FF" w:rsidP="004820FF">
            <w:pPr>
              <w:spacing w:after="0" w:line="280" w:lineRule="atLeast"/>
              <w:jc w:val="center"/>
              <w:rPr>
                <w:rFonts w:ascii="Arial" w:hAnsi="Arial" w:cs="Arial"/>
                <w:sz w:val="16"/>
                <w:szCs w:val="20"/>
              </w:rPr>
            </w:pPr>
            <w:r w:rsidRPr="00F46B60">
              <w:rPr>
                <w:rFonts w:ascii="Arial" w:hAnsi="Arial" w:cs="Arial"/>
                <w:sz w:val="16"/>
                <w:szCs w:val="20"/>
              </w:rPr>
              <w:t>951,938,733</w:t>
            </w:r>
          </w:p>
        </w:tc>
        <w:tc>
          <w:tcPr>
            <w:tcW w:w="895"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5EB8515D" w14:textId="3686D14D"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99.62%</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01648E8" w14:textId="3D2CE03F"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3,597,632</w:t>
            </w:r>
          </w:p>
        </w:tc>
        <w:tc>
          <w:tcPr>
            <w:tcW w:w="784"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51F7CA3E" w14:textId="1BEFB436"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0.38%</w:t>
            </w:r>
          </w:p>
        </w:tc>
        <w:tc>
          <w:tcPr>
            <w:tcW w:w="126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A167DD3" w14:textId="1D0769E4"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1,013,630</w:t>
            </w:r>
          </w:p>
        </w:tc>
        <w:tc>
          <w:tcPr>
            <w:tcW w:w="99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BE5BE33" w14:textId="6213942D"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955,536,365</w:t>
            </w:r>
          </w:p>
        </w:tc>
      </w:tr>
      <w:tr w:rsidR="004820FF" w14:paraId="31114117" w14:textId="77777777" w:rsidTr="00D045EB">
        <w:trPr>
          <w:gridAfter w:val="1"/>
          <w:wAfter w:w="6" w:type="dxa"/>
          <w:trHeight w:val="419"/>
        </w:trPr>
        <w:tc>
          <w:tcPr>
            <w:tcW w:w="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B46382" w14:textId="7BE333F8" w:rsidR="004820FF" w:rsidRDefault="004820FF" w:rsidP="004820FF">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9</w:t>
            </w:r>
          </w:p>
        </w:tc>
        <w:tc>
          <w:tcPr>
            <w:tcW w:w="2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5A63AB" w14:textId="6D94DE26" w:rsidR="004820FF" w:rsidRPr="00C66D7C" w:rsidRDefault="004820FF" w:rsidP="004820FF">
            <w:pPr>
              <w:spacing w:after="0" w:line="280" w:lineRule="atLeast"/>
              <w:rPr>
                <w:rFonts w:ascii="Arial" w:eastAsia="Times New Roman" w:hAnsi="Arial" w:cs="Arial"/>
                <w:color w:val="000000"/>
                <w:sz w:val="16"/>
                <w:szCs w:val="16"/>
                <w:lang w:eastAsia="en-GB"/>
              </w:rPr>
            </w:pPr>
            <w:r w:rsidRPr="00C66D7C">
              <w:rPr>
                <w:rFonts w:ascii="Arial" w:eastAsia="Times New Roman" w:hAnsi="Arial" w:cs="Arial"/>
                <w:color w:val="000000"/>
                <w:sz w:val="16"/>
                <w:szCs w:val="16"/>
                <w:lang w:eastAsia="en-GB"/>
              </w:rPr>
              <w:t>To renew existing pre-emption</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disapplication authority to account for</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the effect of the Capital Reorganisation</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9AE7143" w14:textId="63F7B4ED" w:rsidR="004820FF" w:rsidRPr="00F46B60" w:rsidRDefault="004820FF" w:rsidP="004820FF">
            <w:pPr>
              <w:spacing w:after="0" w:line="280" w:lineRule="atLeast"/>
              <w:jc w:val="center"/>
              <w:rPr>
                <w:rFonts w:ascii="Arial" w:hAnsi="Arial" w:cs="Arial"/>
                <w:sz w:val="16"/>
                <w:szCs w:val="20"/>
              </w:rPr>
            </w:pPr>
            <w:r w:rsidRPr="00F46B60">
              <w:rPr>
                <w:rFonts w:ascii="Arial" w:hAnsi="Arial" w:cs="Arial"/>
                <w:sz w:val="16"/>
                <w:szCs w:val="20"/>
              </w:rPr>
              <w:t>951,981,128</w:t>
            </w:r>
          </w:p>
        </w:tc>
        <w:tc>
          <w:tcPr>
            <w:tcW w:w="895"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743BDE85" w14:textId="6D1836A9"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99.63%</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7D48396" w14:textId="7DA3A015"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3,553,586</w:t>
            </w:r>
          </w:p>
        </w:tc>
        <w:tc>
          <w:tcPr>
            <w:tcW w:w="784"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6EC8E14A" w14:textId="55E135D6"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0.37%</w:t>
            </w:r>
          </w:p>
        </w:tc>
        <w:tc>
          <w:tcPr>
            <w:tcW w:w="126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B77BEE2" w14:textId="4076039B"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1,015,281</w:t>
            </w:r>
          </w:p>
        </w:tc>
        <w:tc>
          <w:tcPr>
            <w:tcW w:w="99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BE2A644" w14:textId="24285BD0"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955,534,714</w:t>
            </w:r>
          </w:p>
        </w:tc>
      </w:tr>
      <w:tr w:rsidR="004820FF" w14:paraId="68CC7EF3" w14:textId="77777777" w:rsidTr="00D045EB">
        <w:trPr>
          <w:gridAfter w:val="1"/>
          <w:wAfter w:w="6" w:type="dxa"/>
          <w:trHeight w:val="419"/>
        </w:trPr>
        <w:tc>
          <w:tcPr>
            <w:tcW w:w="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1CB126" w14:textId="7D2CCD09" w:rsidR="004820FF" w:rsidRDefault="004820FF" w:rsidP="004820FF">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10</w:t>
            </w:r>
          </w:p>
        </w:tc>
        <w:tc>
          <w:tcPr>
            <w:tcW w:w="2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C4C551" w14:textId="469CA97B" w:rsidR="004820FF" w:rsidRPr="00C66D7C" w:rsidRDefault="004820FF" w:rsidP="004820FF">
            <w:pPr>
              <w:spacing w:after="0" w:line="280" w:lineRule="atLeast"/>
              <w:rPr>
                <w:rFonts w:ascii="Arial" w:eastAsia="Times New Roman" w:hAnsi="Arial" w:cs="Arial"/>
                <w:color w:val="000000"/>
                <w:sz w:val="16"/>
                <w:szCs w:val="16"/>
                <w:lang w:eastAsia="en-GB"/>
              </w:rPr>
            </w:pPr>
            <w:r w:rsidRPr="00C66D7C">
              <w:rPr>
                <w:rFonts w:ascii="Arial" w:eastAsia="Times New Roman" w:hAnsi="Arial" w:cs="Arial"/>
                <w:color w:val="000000"/>
                <w:sz w:val="16"/>
                <w:szCs w:val="16"/>
                <w:lang w:eastAsia="en-GB"/>
              </w:rPr>
              <w:t>To renew existing additional</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pre-emption disapplication authority</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 xml:space="preserve">to account for the effect of the </w:t>
            </w:r>
            <w:r>
              <w:rPr>
                <w:rFonts w:ascii="Arial" w:eastAsia="Times New Roman" w:hAnsi="Arial" w:cs="Arial"/>
                <w:color w:val="000000"/>
                <w:sz w:val="16"/>
                <w:szCs w:val="16"/>
                <w:lang w:eastAsia="en-GB"/>
              </w:rPr>
              <w:t>C</w:t>
            </w:r>
            <w:r w:rsidRPr="00C66D7C">
              <w:rPr>
                <w:rFonts w:ascii="Arial" w:eastAsia="Times New Roman" w:hAnsi="Arial" w:cs="Arial"/>
                <w:color w:val="000000"/>
                <w:sz w:val="16"/>
                <w:szCs w:val="16"/>
                <w:lang w:eastAsia="en-GB"/>
              </w:rPr>
              <w:t>apital</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Reorganisation</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BD264FA" w14:textId="30E4DBB7" w:rsidR="004820FF" w:rsidRPr="00F46B60" w:rsidRDefault="004820FF" w:rsidP="004820FF">
            <w:pPr>
              <w:spacing w:after="0" w:line="280" w:lineRule="atLeast"/>
              <w:jc w:val="center"/>
              <w:rPr>
                <w:rFonts w:ascii="Arial" w:hAnsi="Arial" w:cs="Arial"/>
                <w:sz w:val="16"/>
                <w:szCs w:val="20"/>
              </w:rPr>
            </w:pPr>
            <w:r w:rsidRPr="00F46B60">
              <w:rPr>
                <w:rFonts w:ascii="Arial" w:hAnsi="Arial" w:cs="Arial"/>
                <w:sz w:val="16"/>
                <w:szCs w:val="20"/>
              </w:rPr>
              <w:t>951,986,578</w:t>
            </w:r>
          </w:p>
        </w:tc>
        <w:tc>
          <w:tcPr>
            <w:tcW w:w="895"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3178BFA2" w14:textId="54F5DA5E"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99.63%</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05C8A83" w14:textId="0941459C"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3,547,936</w:t>
            </w:r>
          </w:p>
        </w:tc>
        <w:tc>
          <w:tcPr>
            <w:tcW w:w="784"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793A8333" w14:textId="3BDB31C0"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0.37%</w:t>
            </w:r>
          </w:p>
        </w:tc>
        <w:tc>
          <w:tcPr>
            <w:tcW w:w="126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4C843E6" w14:textId="0A75187E"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1,015,481</w:t>
            </w:r>
          </w:p>
        </w:tc>
        <w:tc>
          <w:tcPr>
            <w:tcW w:w="99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1E1A6E6" w14:textId="3B570FC2"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955,534,514</w:t>
            </w:r>
          </w:p>
        </w:tc>
      </w:tr>
      <w:tr w:rsidR="004820FF" w14:paraId="5B2F3ADB" w14:textId="77777777" w:rsidTr="00D045EB">
        <w:trPr>
          <w:gridAfter w:val="1"/>
          <w:wAfter w:w="6" w:type="dxa"/>
          <w:trHeight w:val="419"/>
        </w:trPr>
        <w:tc>
          <w:tcPr>
            <w:tcW w:w="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FE4725" w14:textId="5D791011" w:rsidR="004820FF" w:rsidRDefault="004820FF" w:rsidP="004820FF">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11</w:t>
            </w:r>
          </w:p>
        </w:tc>
        <w:tc>
          <w:tcPr>
            <w:tcW w:w="2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FC159C" w14:textId="4D5DDA8D" w:rsidR="004820FF" w:rsidRDefault="004820FF" w:rsidP="004820FF">
            <w:pPr>
              <w:spacing w:after="0" w:line="280" w:lineRule="atLeast"/>
              <w:rPr>
                <w:rFonts w:ascii="Arial" w:eastAsia="Times New Roman" w:hAnsi="Arial" w:cs="Arial"/>
                <w:color w:val="000000"/>
                <w:sz w:val="16"/>
                <w:szCs w:val="16"/>
                <w:lang w:eastAsia="en-GB"/>
              </w:rPr>
            </w:pPr>
            <w:r w:rsidRPr="00C66D7C">
              <w:rPr>
                <w:rFonts w:ascii="Arial" w:eastAsia="Times New Roman" w:hAnsi="Arial" w:cs="Arial"/>
                <w:color w:val="000000"/>
                <w:sz w:val="16"/>
                <w:szCs w:val="16"/>
                <w:lang w:eastAsia="en-GB"/>
              </w:rPr>
              <w:t>To renew existing share buyback</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authority to account for the effect</w:t>
            </w:r>
            <w:r>
              <w:rPr>
                <w:rFonts w:ascii="Arial" w:eastAsia="Times New Roman" w:hAnsi="Arial" w:cs="Arial"/>
                <w:color w:val="000000"/>
                <w:sz w:val="16"/>
                <w:szCs w:val="16"/>
                <w:lang w:eastAsia="en-GB"/>
              </w:rPr>
              <w:t xml:space="preserve"> </w:t>
            </w:r>
            <w:r w:rsidRPr="00C66D7C">
              <w:rPr>
                <w:rFonts w:ascii="Arial" w:eastAsia="Times New Roman" w:hAnsi="Arial" w:cs="Arial"/>
                <w:color w:val="000000"/>
                <w:sz w:val="16"/>
                <w:szCs w:val="16"/>
                <w:lang w:eastAsia="en-GB"/>
              </w:rPr>
              <w:t>of the Capital Reorganisation</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DD5B9DF" w14:textId="56CDB95F" w:rsidR="004820FF" w:rsidRPr="00F46B60" w:rsidRDefault="004820FF" w:rsidP="004820FF">
            <w:pPr>
              <w:spacing w:after="0" w:line="280" w:lineRule="atLeast"/>
              <w:jc w:val="center"/>
              <w:rPr>
                <w:rFonts w:ascii="Arial" w:hAnsi="Arial" w:cs="Arial"/>
                <w:sz w:val="16"/>
                <w:szCs w:val="20"/>
              </w:rPr>
            </w:pPr>
            <w:r w:rsidRPr="00F46B60">
              <w:rPr>
                <w:rFonts w:ascii="Arial" w:hAnsi="Arial" w:cs="Arial"/>
                <w:sz w:val="16"/>
                <w:szCs w:val="20"/>
              </w:rPr>
              <w:t>952,032,322</w:t>
            </w:r>
          </w:p>
        </w:tc>
        <w:tc>
          <w:tcPr>
            <w:tcW w:w="895"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5B485C54" w14:textId="76C7346B"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99.63%</w:t>
            </w:r>
          </w:p>
        </w:tc>
        <w:tc>
          <w:tcPr>
            <w:tcW w:w="110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20AE4D3" w14:textId="28182E71"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3,509,577</w:t>
            </w:r>
          </w:p>
        </w:tc>
        <w:tc>
          <w:tcPr>
            <w:tcW w:w="784"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76F9321D" w14:textId="631078E0"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0.37%</w:t>
            </w:r>
          </w:p>
        </w:tc>
        <w:tc>
          <w:tcPr>
            <w:tcW w:w="126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1047CF8" w14:textId="493962AE"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1,008,096</w:t>
            </w:r>
          </w:p>
        </w:tc>
        <w:tc>
          <w:tcPr>
            <w:tcW w:w="99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43B1F5E" w14:textId="16044D1C" w:rsidR="004820FF" w:rsidRPr="004820FF" w:rsidRDefault="004820FF" w:rsidP="004820FF">
            <w:pPr>
              <w:spacing w:after="0" w:line="280" w:lineRule="atLeast"/>
              <w:jc w:val="center"/>
              <w:rPr>
                <w:rFonts w:ascii="Arial" w:hAnsi="Arial" w:cs="Arial"/>
                <w:sz w:val="16"/>
                <w:szCs w:val="20"/>
              </w:rPr>
            </w:pPr>
            <w:r w:rsidRPr="004820FF">
              <w:rPr>
                <w:rFonts w:ascii="Arial" w:hAnsi="Arial" w:cs="Arial"/>
                <w:sz w:val="16"/>
                <w:szCs w:val="20"/>
              </w:rPr>
              <w:t>955,541,899</w:t>
            </w:r>
          </w:p>
        </w:tc>
      </w:tr>
    </w:tbl>
    <w:p w14:paraId="780B65E0" w14:textId="1CD92E96" w:rsidR="008A37AF" w:rsidRDefault="008A37AF" w:rsidP="002D1A6B">
      <w:pPr>
        <w:jc w:val="both"/>
        <w:rPr>
          <w:rFonts w:ascii="Arial" w:hAnsi="Arial" w:cs="Arial"/>
          <w:sz w:val="20"/>
          <w:szCs w:val="20"/>
        </w:rPr>
      </w:pPr>
    </w:p>
    <w:p w14:paraId="52DCEB89" w14:textId="679CB89F" w:rsidR="001A3855" w:rsidRPr="00494DD5" w:rsidRDefault="001A3855" w:rsidP="002D1A6B">
      <w:pPr>
        <w:jc w:val="both"/>
        <w:rPr>
          <w:rFonts w:ascii="Arial" w:hAnsi="Arial" w:cs="Arial"/>
          <w:sz w:val="16"/>
          <w:szCs w:val="16"/>
        </w:rPr>
      </w:pPr>
      <w:r w:rsidRPr="00494DD5">
        <w:rPr>
          <w:rFonts w:ascii="Arial" w:hAnsi="Arial" w:cs="Arial"/>
          <w:sz w:val="16"/>
          <w:szCs w:val="16"/>
        </w:rPr>
        <w:t xml:space="preserve">* Votes in favour </w:t>
      </w:r>
      <w:r w:rsidR="00494DD5" w:rsidRPr="00494DD5">
        <w:rPr>
          <w:rFonts w:ascii="Arial" w:hAnsi="Arial" w:cs="Arial"/>
          <w:sz w:val="16"/>
          <w:szCs w:val="16"/>
        </w:rPr>
        <w:t>include votes where the Chair of the General Meeting was given discretion regarding how to vote.</w:t>
      </w:r>
    </w:p>
    <w:p w14:paraId="591B13EC" w14:textId="3FF25BF3" w:rsidR="001A3855" w:rsidRPr="00494DD5" w:rsidRDefault="001A3855" w:rsidP="002D1A6B">
      <w:pPr>
        <w:jc w:val="both"/>
        <w:rPr>
          <w:rFonts w:ascii="Arial" w:hAnsi="Arial" w:cs="Arial"/>
          <w:sz w:val="16"/>
          <w:szCs w:val="16"/>
        </w:rPr>
      </w:pPr>
      <w:r w:rsidRPr="00494DD5">
        <w:rPr>
          <w:rFonts w:ascii="Arial" w:hAnsi="Arial" w:cs="Arial"/>
          <w:sz w:val="16"/>
          <w:szCs w:val="16"/>
        </w:rPr>
        <w:t>**</w:t>
      </w:r>
      <w:r w:rsidR="00494DD5" w:rsidRPr="00494DD5">
        <w:rPr>
          <w:rFonts w:ascii="Arial" w:hAnsi="Arial" w:cs="Arial"/>
          <w:sz w:val="16"/>
          <w:szCs w:val="16"/>
        </w:rPr>
        <w:t xml:space="preserve"> Percentages are expressed as a proportion of total votes cast (which does not include votes withheld).</w:t>
      </w:r>
    </w:p>
    <w:p w14:paraId="1AD6A8CA" w14:textId="2A0EB6BB" w:rsidR="001A3855" w:rsidRDefault="001A3855" w:rsidP="002D1A6B">
      <w:pPr>
        <w:jc w:val="both"/>
        <w:rPr>
          <w:rFonts w:ascii="Arial" w:hAnsi="Arial" w:cs="Arial"/>
          <w:sz w:val="16"/>
          <w:szCs w:val="16"/>
        </w:rPr>
      </w:pPr>
      <w:r w:rsidRPr="00494DD5">
        <w:rPr>
          <w:rFonts w:ascii="Arial" w:hAnsi="Arial" w:cs="Arial"/>
          <w:sz w:val="16"/>
          <w:szCs w:val="16"/>
        </w:rPr>
        <w:t>***</w:t>
      </w:r>
      <w:r w:rsidR="00494DD5" w:rsidRPr="00494DD5">
        <w:rPr>
          <w:rFonts w:ascii="Arial" w:hAnsi="Arial" w:cs="Arial"/>
          <w:sz w:val="16"/>
          <w:szCs w:val="16"/>
        </w:rPr>
        <w:t xml:space="preserve"> A ‘vote withheld’ is not a vote under English law and is not counted in the calculation of votes ‘for’ and ‘against’ the Resolutions.</w:t>
      </w:r>
    </w:p>
    <w:p w14:paraId="64FD9F96" w14:textId="77777777" w:rsidR="00530243" w:rsidRPr="00494DD5" w:rsidRDefault="00530243" w:rsidP="002D1A6B">
      <w:pPr>
        <w:jc w:val="both"/>
        <w:rPr>
          <w:rFonts w:ascii="Arial" w:hAnsi="Arial" w:cs="Arial"/>
          <w:sz w:val="16"/>
          <w:szCs w:val="16"/>
        </w:rPr>
      </w:pPr>
      <w:r>
        <w:rPr>
          <w:rFonts w:ascii="Arial" w:hAnsi="Arial" w:cs="Arial"/>
          <w:sz w:val="16"/>
          <w:szCs w:val="16"/>
        </w:rPr>
        <w:t xml:space="preserve">**** </w:t>
      </w:r>
      <w:r w:rsidRPr="00DE1369">
        <w:rPr>
          <w:rFonts w:ascii="Arial" w:hAnsi="Arial" w:cs="Arial"/>
          <w:sz w:val="16"/>
          <w:szCs w:val="16"/>
        </w:rPr>
        <w:t>In accordance with the Listing Rules, the Yew Tree Consortium</w:t>
      </w:r>
      <w:r>
        <w:rPr>
          <w:rFonts w:ascii="Arial" w:hAnsi="Arial" w:cs="Arial"/>
          <w:sz w:val="16"/>
          <w:szCs w:val="16"/>
        </w:rPr>
        <w:t>, their associates (as defined in the Listing Rules)</w:t>
      </w:r>
      <w:r w:rsidRPr="00DE1369">
        <w:rPr>
          <w:rFonts w:ascii="Arial" w:hAnsi="Arial" w:cs="Arial"/>
          <w:sz w:val="16"/>
          <w:szCs w:val="16"/>
        </w:rPr>
        <w:t xml:space="preserve"> </w:t>
      </w:r>
      <w:r>
        <w:rPr>
          <w:rFonts w:ascii="Arial" w:hAnsi="Arial" w:cs="Arial"/>
          <w:sz w:val="16"/>
          <w:szCs w:val="16"/>
        </w:rPr>
        <w:t>and the Consortium Directors were</w:t>
      </w:r>
      <w:r w:rsidRPr="00DE1369">
        <w:rPr>
          <w:rFonts w:ascii="Arial" w:hAnsi="Arial" w:cs="Arial"/>
          <w:sz w:val="16"/>
          <w:szCs w:val="16"/>
        </w:rPr>
        <w:t xml:space="preserve"> not permitted to vote on Resolution 4 concerning </w:t>
      </w:r>
      <w:r>
        <w:rPr>
          <w:rFonts w:ascii="Arial" w:hAnsi="Arial" w:cs="Arial"/>
          <w:sz w:val="16"/>
          <w:szCs w:val="16"/>
        </w:rPr>
        <w:t>the</w:t>
      </w:r>
      <w:r w:rsidRPr="00DE1369">
        <w:rPr>
          <w:rFonts w:ascii="Arial" w:hAnsi="Arial" w:cs="Arial"/>
          <w:sz w:val="16"/>
          <w:szCs w:val="16"/>
        </w:rPr>
        <w:t xml:space="preserve"> related party transaction.</w:t>
      </w:r>
    </w:p>
    <w:p w14:paraId="70E020D8" w14:textId="77777777" w:rsidR="00530243" w:rsidRDefault="00530243" w:rsidP="002D1A6B">
      <w:pPr>
        <w:jc w:val="both"/>
        <w:rPr>
          <w:rFonts w:ascii="Arial" w:hAnsi="Arial" w:cs="Arial"/>
          <w:sz w:val="20"/>
          <w:szCs w:val="20"/>
        </w:rPr>
      </w:pPr>
      <w:r>
        <w:rPr>
          <w:rFonts w:ascii="Arial" w:hAnsi="Arial" w:cs="Arial"/>
          <w:sz w:val="20"/>
          <w:szCs w:val="20"/>
        </w:rPr>
        <w:t xml:space="preserve">The passing of the Resolutions will enable the Company to proceed with the Placing, Strategic Cooperation, Warrants Issue, Financing Transactions and Capital Reorganisation.  </w:t>
      </w:r>
    </w:p>
    <w:p w14:paraId="341EF404" w14:textId="146BFC63" w:rsidR="00F4636A" w:rsidRDefault="00F4636A" w:rsidP="002D1A6B">
      <w:pPr>
        <w:jc w:val="both"/>
        <w:rPr>
          <w:rFonts w:ascii="Arial" w:hAnsi="Arial" w:cs="Arial"/>
          <w:sz w:val="20"/>
          <w:szCs w:val="20"/>
        </w:rPr>
      </w:pPr>
      <w:r>
        <w:rPr>
          <w:rFonts w:ascii="Arial" w:hAnsi="Arial" w:cs="Arial"/>
          <w:sz w:val="20"/>
          <w:szCs w:val="20"/>
        </w:rPr>
        <w:t xml:space="preserve">Following the passing of the Resolutions, </w:t>
      </w:r>
      <w:r w:rsidR="00C6485F">
        <w:rPr>
          <w:rFonts w:ascii="Arial" w:hAnsi="Arial" w:cs="Arial"/>
          <w:sz w:val="20"/>
          <w:szCs w:val="20"/>
        </w:rPr>
        <w:t>83,333,333</w:t>
      </w:r>
      <w:r w:rsidR="00B97DD9">
        <w:rPr>
          <w:rFonts w:ascii="Arial" w:hAnsi="Arial" w:cs="Arial"/>
          <w:sz w:val="20"/>
          <w:szCs w:val="20"/>
        </w:rPr>
        <w:t xml:space="preserve"> </w:t>
      </w:r>
      <w:r>
        <w:rPr>
          <w:rFonts w:ascii="Arial" w:hAnsi="Arial" w:cs="Arial"/>
          <w:sz w:val="20"/>
          <w:szCs w:val="20"/>
        </w:rPr>
        <w:t xml:space="preserve">Placing Shares </w:t>
      </w:r>
      <w:r w:rsidR="00385356">
        <w:rPr>
          <w:rFonts w:ascii="Arial" w:hAnsi="Arial" w:cs="Arial"/>
          <w:sz w:val="20"/>
          <w:szCs w:val="20"/>
        </w:rPr>
        <w:t>will be</w:t>
      </w:r>
      <w:r w:rsidR="00D63C41">
        <w:rPr>
          <w:rFonts w:ascii="Arial" w:hAnsi="Arial" w:cs="Arial"/>
          <w:sz w:val="20"/>
          <w:szCs w:val="20"/>
        </w:rPr>
        <w:t xml:space="preserve"> issued </w:t>
      </w:r>
      <w:r>
        <w:rPr>
          <w:rFonts w:ascii="Arial" w:hAnsi="Arial" w:cs="Arial"/>
          <w:sz w:val="20"/>
          <w:szCs w:val="20"/>
        </w:rPr>
        <w:t xml:space="preserve">to </w:t>
      </w:r>
      <w:r w:rsidR="00C6485F">
        <w:rPr>
          <w:rFonts w:ascii="Arial" w:hAnsi="Arial" w:cs="Arial"/>
          <w:sz w:val="20"/>
          <w:szCs w:val="20"/>
        </w:rPr>
        <w:t xml:space="preserve">institutional </w:t>
      </w:r>
      <w:proofErr w:type="spellStart"/>
      <w:r w:rsidR="00C6485F">
        <w:rPr>
          <w:rFonts w:ascii="Arial" w:hAnsi="Arial" w:cs="Arial"/>
          <w:sz w:val="20"/>
          <w:szCs w:val="20"/>
        </w:rPr>
        <w:t>placees</w:t>
      </w:r>
      <w:proofErr w:type="spellEnd"/>
      <w:r w:rsidR="00C6485F">
        <w:rPr>
          <w:rFonts w:ascii="Arial" w:hAnsi="Arial" w:cs="Arial"/>
          <w:sz w:val="20"/>
          <w:szCs w:val="20"/>
        </w:rPr>
        <w:t xml:space="preserve">, 40,000,000 Placing Shares </w:t>
      </w:r>
      <w:r w:rsidR="00385356">
        <w:rPr>
          <w:rFonts w:ascii="Arial" w:hAnsi="Arial" w:cs="Arial"/>
          <w:sz w:val="20"/>
          <w:szCs w:val="20"/>
        </w:rPr>
        <w:t xml:space="preserve">will be </w:t>
      </w:r>
      <w:r w:rsidR="00C6485F">
        <w:rPr>
          <w:rFonts w:ascii="Arial" w:hAnsi="Arial" w:cs="Arial"/>
          <w:sz w:val="20"/>
          <w:szCs w:val="20"/>
        </w:rPr>
        <w:t xml:space="preserve">issued to </w:t>
      </w:r>
      <w:r>
        <w:rPr>
          <w:rFonts w:ascii="Arial" w:hAnsi="Arial" w:cs="Arial"/>
          <w:sz w:val="20"/>
          <w:szCs w:val="20"/>
        </w:rPr>
        <w:t xml:space="preserve">Yew Tree </w:t>
      </w:r>
      <w:r w:rsidR="00C6485F">
        <w:rPr>
          <w:rFonts w:ascii="Arial" w:hAnsi="Arial" w:cs="Arial"/>
          <w:sz w:val="20"/>
          <w:szCs w:val="20"/>
        </w:rPr>
        <w:t>Overseas Limited</w:t>
      </w:r>
      <w:r>
        <w:rPr>
          <w:rFonts w:ascii="Arial" w:hAnsi="Arial" w:cs="Arial"/>
          <w:sz w:val="20"/>
          <w:szCs w:val="20"/>
        </w:rPr>
        <w:t>,</w:t>
      </w:r>
      <w:r w:rsidR="00C6485F">
        <w:rPr>
          <w:rFonts w:ascii="Arial" w:hAnsi="Arial" w:cs="Arial"/>
          <w:sz w:val="20"/>
          <w:szCs w:val="20"/>
        </w:rPr>
        <w:t xml:space="preserve"> 60,000,000 Placing Shares </w:t>
      </w:r>
      <w:r w:rsidR="00466A7E">
        <w:rPr>
          <w:rFonts w:ascii="Arial" w:hAnsi="Arial" w:cs="Arial"/>
          <w:sz w:val="20"/>
          <w:szCs w:val="20"/>
        </w:rPr>
        <w:t>will be</w:t>
      </w:r>
      <w:r w:rsidR="00C6485F">
        <w:rPr>
          <w:rFonts w:ascii="Arial" w:hAnsi="Arial" w:cs="Arial"/>
          <w:sz w:val="20"/>
          <w:szCs w:val="20"/>
        </w:rPr>
        <w:t xml:space="preserve"> issued to </w:t>
      </w:r>
      <w:proofErr w:type="spellStart"/>
      <w:r w:rsidR="00C6485F">
        <w:rPr>
          <w:rFonts w:ascii="Arial" w:hAnsi="Arial" w:cs="Arial"/>
          <w:sz w:val="20"/>
          <w:szCs w:val="20"/>
        </w:rPr>
        <w:t>Zelon</w:t>
      </w:r>
      <w:proofErr w:type="spellEnd"/>
      <w:r w:rsidR="00C6485F">
        <w:rPr>
          <w:rFonts w:ascii="Arial" w:hAnsi="Arial" w:cs="Arial"/>
          <w:sz w:val="20"/>
          <w:szCs w:val="20"/>
        </w:rPr>
        <w:t xml:space="preserve"> Holdings Inc., 66,666,667 Placing Shares </w:t>
      </w:r>
      <w:r w:rsidR="00385356">
        <w:rPr>
          <w:rFonts w:ascii="Arial" w:hAnsi="Arial" w:cs="Arial"/>
          <w:sz w:val="20"/>
          <w:szCs w:val="20"/>
        </w:rPr>
        <w:t xml:space="preserve">will be </w:t>
      </w:r>
      <w:r w:rsidR="00C6485F">
        <w:rPr>
          <w:rFonts w:ascii="Arial" w:hAnsi="Arial" w:cs="Arial"/>
          <w:sz w:val="20"/>
          <w:szCs w:val="20"/>
        </w:rPr>
        <w:t>issued to Permian Investment Partners, LP,</w:t>
      </w:r>
      <w:r w:rsidR="008D783E">
        <w:rPr>
          <w:rFonts w:ascii="Arial" w:hAnsi="Arial" w:cs="Arial"/>
          <w:sz w:val="20"/>
          <w:szCs w:val="20"/>
        </w:rPr>
        <w:t xml:space="preserve"> and </w:t>
      </w:r>
      <w:r w:rsidR="008D783E">
        <w:rPr>
          <w:rFonts w:ascii="Arial" w:hAnsi="Arial" w:cs="Arial"/>
          <w:bCs/>
          <w:sz w:val="20"/>
          <w:szCs w:val="20"/>
        </w:rPr>
        <w:t>224,657,287 Tranche 1 Consideration Shares will be issued to Mercedes-Benz AG</w:t>
      </w:r>
      <w:r>
        <w:rPr>
          <w:rFonts w:ascii="Arial" w:hAnsi="Arial" w:cs="Arial"/>
          <w:sz w:val="20"/>
          <w:szCs w:val="20"/>
        </w:rPr>
        <w:t>.</w:t>
      </w:r>
      <w:r w:rsidR="008D783E">
        <w:rPr>
          <w:rFonts w:ascii="Arial" w:hAnsi="Arial" w:cs="Arial"/>
          <w:sz w:val="20"/>
          <w:szCs w:val="20"/>
        </w:rPr>
        <w:t xml:space="preserve"> </w:t>
      </w:r>
    </w:p>
    <w:p w14:paraId="221A2AAD" w14:textId="27A512A5" w:rsidR="00F4636A" w:rsidRDefault="00F4636A" w:rsidP="002D1A6B">
      <w:pPr>
        <w:jc w:val="both"/>
        <w:rPr>
          <w:rFonts w:ascii="Arial" w:hAnsi="Arial" w:cs="Arial"/>
          <w:sz w:val="20"/>
          <w:szCs w:val="20"/>
        </w:rPr>
      </w:pPr>
      <w:r>
        <w:rPr>
          <w:rFonts w:ascii="Arial" w:hAnsi="Arial" w:cs="Arial"/>
          <w:sz w:val="20"/>
          <w:szCs w:val="20"/>
        </w:rPr>
        <w:t xml:space="preserve">The </w:t>
      </w:r>
      <w:r w:rsidR="00C6485F">
        <w:rPr>
          <w:rFonts w:ascii="Arial" w:hAnsi="Arial" w:cs="Arial"/>
          <w:sz w:val="20"/>
          <w:szCs w:val="20"/>
        </w:rPr>
        <w:t>Placing</w:t>
      </w:r>
      <w:r w:rsidR="00B50DDD">
        <w:rPr>
          <w:rFonts w:ascii="Arial" w:hAnsi="Arial" w:cs="Arial"/>
          <w:sz w:val="20"/>
          <w:szCs w:val="20"/>
        </w:rPr>
        <w:t>, Strategic Cooperation and</w:t>
      </w:r>
      <w:r w:rsidR="00C6485F">
        <w:rPr>
          <w:rFonts w:ascii="Arial" w:hAnsi="Arial" w:cs="Arial"/>
          <w:sz w:val="20"/>
          <w:szCs w:val="20"/>
        </w:rPr>
        <w:t xml:space="preserve"> Financing Transactions</w:t>
      </w:r>
      <w:r>
        <w:rPr>
          <w:rFonts w:ascii="Arial" w:hAnsi="Arial" w:cs="Arial"/>
          <w:sz w:val="20"/>
          <w:szCs w:val="20"/>
        </w:rPr>
        <w:t xml:space="preserve"> remain conditional upon, amongst other things, Admission of the </w:t>
      </w:r>
      <w:r w:rsidR="0020309A">
        <w:rPr>
          <w:rFonts w:ascii="Arial" w:hAnsi="Arial" w:cs="Arial"/>
          <w:sz w:val="20"/>
          <w:szCs w:val="20"/>
        </w:rPr>
        <w:t xml:space="preserve">Placing Shares and </w:t>
      </w:r>
      <w:r w:rsidR="008D783E">
        <w:rPr>
          <w:rFonts w:ascii="Arial" w:hAnsi="Arial" w:cs="Arial"/>
          <w:sz w:val="20"/>
          <w:szCs w:val="20"/>
        </w:rPr>
        <w:t xml:space="preserve">Tranche 1 </w:t>
      </w:r>
      <w:r w:rsidR="0020309A">
        <w:rPr>
          <w:rFonts w:ascii="Arial" w:hAnsi="Arial" w:cs="Arial"/>
          <w:sz w:val="20"/>
          <w:szCs w:val="20"/>
        </w:rPr>
        <w:t>Consideration</w:t>
      </w:r>
      <w:r>
        <w:rPr>
          <w:rFonts w:ascii="Arial" w:hAnsi="Arial" w:cs="Arial"/>
          <w:sz w:val="20"/>
          <w:szCs w:val="20"/>
        </w:rPr>
        <w:t xml:space="preserve"> Shares</w:t>
      </w:r>
      <w:r w:rsidR="00C6485F">
        <w:rPr>
          <w:rFonts w:ascii="Arial" w:hAnsi="Arial" w:cs="Arial"/>
          <w:sz w:val="20"/>
          <w:szCs w:val="20"/>
        </w:rPr>
        <w:t xml:space="preserve"> </w:t>
      </w:r>
      <w:r>
        <w:rPr>
          <w:rFonts w:ascii="Arial" w:hAnsi="Arial" w:cs="Arial"/>
          <w:sz w:val="20"/>
          <w:szCs w:val="20"/>
        </w:rPr>
        <w:t xml:space="preserve">becoming effective by not later </w:t>
      </w:r>
      <w:r w:rsidRPr="00E14B26">
        <w:rPr>
          <w:rFonts w:ascii="Arial" w:hAnsi="Arial" w:cs="Arial"/>
          <w:sz w:val="20"/>
          <w:szCs w:val="20"/>
        </w:rPr>
        <w:t xml:space="preserve">than 8.00 a.m. on </w:t>
      </w:r>
      <w:r w:rsidR="002A15FC">
        <w:rPr>
          <w:rFonts w:ascii="Arial" w:hAnsi="Arial" w:cs="Arial"/>
          <w:sz w:val="20"/>
          <w:szCs w:val="20"/>
        </w:rPr>
        <w:t xml:space="preserve">7 December </w:t>
      </w:r>
      <w:r w:rsidRPr="00E14B26">
        <w:rPr>
          <w:rFonts w:ascii="Arial" w:hAnsi="Arial" w:cs="Arial"/>
          <w:sz w:val="20"/>
          <w:szCs w:val="20"/>
        </w:rPr>
        <w:t>2020 (</w:t>
      </w:r>
      <w:r>
        <w:rPr>
          <w:rFonts w:ascii="Arial" w:hAnsi="Arial" w:cs="Arial"/>
          <w:sz w:val="20"/>
          <w:szCs w:val="20"/>
        </w:rPr>
        <w:t>or such later time and/or date as the Joint Global Co-ordinators and the Company may agree).</w:t>
      </w:r>
    </w:p>
    <w:p w14:paraId="470D8D23" w14:textId="40505E04" w:rsidR="00D63C41" w:rsidRDefault="00D63C41" w:rsidP="002D1A6B">
      <w:pPr>
        <w:jc w:val="both"/>
        <w:rPr>
          <w:rFonts w:ascii="Arial" w:hAnsi="Arial" w:cs="Arial"/>
          <w:sz w:val="20"/>
          <w:szCs w:val="20"/>
        </w:rPr>
      </w:pPr>
      <w:r>
        <w:rPr>
          <w:rFonts w:ascii="Arial" w:hAnsi="Arial" w:cs="Arial"/>
          <w:sz w:val="20"/>
          <w:szCs w:val="20"/>
        </w:rPr>
        <w:t xml:space="preserve">Applications have been made to the FCA for </w:t>
      </w:r>
      <w:r w:rsidR="00C6485F">
        <w:rPr>
          <w:rFonts w:ascii="Arial" w:hAnsi="Arial" w:cs="Arial"/>
          <w:sz w:val="20"/>
          <w:szCs w:val="20"/>
        </w:rPr>
        <w:t>250</w:t>
      </w:r>
      <w:r w:rsidR="00B97DD9">
        <w:rPr>
          <w:rFonts w:ascii="Arial" w:hAnsi="Arial" w:cs="Arial"/>
          <w:sz w:val="20"/>
          <w:szCs w:val="20"/>
        </w:rPr>
        <w:t>,000,000</w:t>
      </w:r>
      <w:r w:rsidR="003C33A5">
        <w:rPr>
          <w:rFonts w:ascii="Arial" w:hAnsi="Arial" w:cs="Arial"/>
          <w:sz w:val="20"/>
          <w:szCs w:val="20"/>
        </w:rPr>
        <w:t xml:space="preserve"> Placing Shares and </w:t>
      </w:r>
      <w:r w:rsidR="00C6485F">
        <w:rPr>
          <w:rFonts w:ascii="Arial" w:hAnsi="Arial" w:cs="Arial"/>
          <w:bCs/>
          <w:sz w:val="20"/>
          <w:szCs w:val="20"/>
        </w:rPr>
        <w:t xml:space="preserve">224,657,287 </w:t>
      </w:r>
      <w:r w:rsidR="008D783E">
        <w:rPr>
          <w:rFonts w:ascii="Arial" w:hAnsi="Arial" w:cs="Arial"/>
          <w:sz w:val="20"/>
          <w:szCs w:val="20"/>
        </w:rPr>
        <w:t xml:space="preserve">Tranche 1 </w:t>
      </w:r>
      <w:r w:rsidR="00C6485F">
        <w:rPr>
          <w:rFonts w:ascii="Arial" w:hAnsi="Arial" w:cs="Arial"/>
          <w:bCs/>
          <w:sz w:val="20"/>
          <w:szCs w:val="20"/>
        </w:rPr>
        <w:t>Consideration</w:t>
      </w:r>
      <w:r w:rsidR="003C33A5">
        <w:rPr>
          <w:rFonts w:ascii="Arial" w:hAnsi="Arial" w:cs="Arial"/>
          <w:sz w:val="20"/>
          <w:szCs w:val="20"/>
        </w:rPr>
        <w:t xml:space="preserve"> Shares to be admitted to the premium listing segment of the Official List and to the London Stock Exchange for such Placing Shares and </w:t>
      </w:r>
      <w:r w:rsidR="008D783E">
        <w:rPr>
          <w:rFonts w:ascii="Arial" w:hAnsi="Arial" w:cs="Arial"/>
          <w:sz w:val="20"/>
          <w:szCs w:val="20"/>
        </w:rPr>
        <w:t xml:space="preserve">Tranche 1 </w:t>
      </w:r>
      <w:r w:rsidR="00C6485F">
        <w:rPr>
          <w:rFonts w:ascii="Arial" w:hAnsi="Arial" w:cs="Arial"/>
          <w:sz w:val="20"/>
          <w:szCs w:val="20"/>
        </w:rPr>
        <w:t>Consideration</w:t>
      </w:r>
      <w:r w:rsidR="003C33A5">
        <w:rPr>
          <w:rFonts w:ascii="Arial" w:hAnsi="Arial" w:cs="Arial"/>
          <w:sz w:val="20"/>
          <w:szCs w:val="20"/>
        </w:rPr>
        <w:t xml:space="preserve"> Shares to be admitted to trading on the main market for listed securities. The Placing Shares and the </w:t>
      </w:r>
      <w:r w:rsidR="008D783E">
        <w:rPr>
          <w:rFonts w:ascii="Arial" w:hAnsi="Arial" w:cs="Arial"/>
          <w:sz w:val="20"/>
          <w:szCs w:val="20"/>
        </w:rPr>
        <w:t xml:space="preserve">Tranche 1 </w:t>
      </w:r>
      <w:r w:rsidR="00C6485F">
        <w:rPr>
          <w:rFonts w:ascii="Arial" w:hAnsi="Arial" w:cs="Arial"/>
          <w:sz w:val="20"/>
          <w:szCs w:val="20"/>
        </w:rPr>
        <w:t>Consideration</w:t>
      </w:r>
      <w:r w:rsidR="003C33A5">
        <w:rPr>
          <w:rFonts w:ascii="Arial" w:hAnsi="Arial" w:cs="Arial"/>
          <w:sz w:val="20"/>
          <w:szCs w:val="20"/>
        </w:rPr>
        <w:t xml:space="preserve"> Shares will be issued under </w:t>
      </w:r>
      <w:r w:rsidR="000A6480">
        <w:rPr>
          <w:rFonts w:ascii="Arial" w:hAnsi="Arial" w:cs="Arial"/>
          <w:sz w:val="20"/>
          <w:szCs w:val="20"/>
        </w:rPr>
        <w:t xml:space="preserve">the </w:t>
      </w:r>
      <w:r w:rsidR="003C33A5">
        <w:rPr>
          <w:rFonts w:ascii="Arial" w:hAnsi="Arial" w:cs="Arial"/>
          <w:sz w:val="20"/>
          <w:szCs w:val="20"/>
        </w:rPr>
        <w:t>authority granted by the Resolutions at today’s General Meeting.</w:t>
      </w:r>
    </w:p>
    <w:p w14:paraId="35FF96AC" w14:textId="02C91DC9" w:rsidR="003C33A5" w:rsidRDefault="00AC5366" w:rsidP="002D1A6B">
      <w:pPr>
        <w:jc w:val="both"/>
        <w:rPr>
          <w:rFonts w:ascii="Arial" w:hAnsi="Arial" w:cs="Arial"/>
          <w:sz w:val="20"/>
          <w:szCs w:val="20"/>
        </w:rPr>
      </w:pPr>
      <w:r>
        <w:rPr>
          <w:rFonts w:ascii="Arial" w:hAnsi="Arial" w:cs="Arial"/>
          <w:sz w:val="20"/>
          <w:szCs w:val="20"/>
        </w:rPr>
        <w:t>It is</w:t>
      </w:r>
      <w:r w:rsidR="003C33A5">
        <w:rPr>
          <w:rFonts w:ascii="Arial" w:hAnsi="Arial" w:cs="Arial"/>
          <w:sz w:val="20"/>
          <w:szCs w:val="20"/>
        </w:rPr>
        <w:t xml:space="preserve"> expected that Admission </w:t>
      </w:r>
      <w:r>
        <w:rPr>
          <w:rFonts w:ascii="Arial" w:hAnsi="Arial" w:cs="Arial"/>
          <w:sz w:val="20"/>
          <w:szCs w:val="20"/>
        </w:rPr>
        <w:t>of the Placing Shares and</w:t>
      </w:r>
      <w:r w:rsidR="008D783E">
        <w:rPr>
          <w:rFonts w:ascii="Arial" w:hAnsi="Arial" w:cs="Arial"/>
          <w:sz w:val="20"/>
          <w:szCs w:val="20"/>
        </w:rPr>
        <w:t xml:space="preserve"> Tranche 1</w:t>
      </w:r>
      <w:r>
        <w:rPr>
          <w:rFonts w:ascii="Arial" w:hAnsi="Arial" w:cs="Arial"/>
          <w:sz w:val="20"/>
          <w:szCs w:val="20"/>
        </w:rPr>
        <w:t xml:space="preserve"> Consideration Shares </w:t>
      </w:r>
      <w:r w:rsidR="003C33A5">
        <w:rPr>
          <w:rFonts w:ascii="Arial" w:hAnsi="Arial" w:cs="Arial"/>
          <w:sz w:val="20"/>
          <w:szCs w:val="20"/>
        </w:rPr>
        <w:t xml:space="preserve">will take place </w:t>
      </w:r>
      <w:r w:rsidR="00DC6611">
        <w:rPr>
          <w:rFonts w:ascii="Arial" w:hAnsi="Arial" w:cs="Arial"/>
          <w:sz w:val="20"/>
          <w:szCs w:val="20"/>
        </w:rPr>
        <w:t>at 8.00 a.m</w:t>
      </w:r>
      <w:r w:rsidR="008C27B7">
        <w:rPr>
          <w:rFonts w:ascii="Arial" w:hAnsi="Arial" w:cs="Arial"/>
          <w:sz w:val="20"/>
          <w:szCs w:val="20"/>
        </w:rPr>
        <w:t>. on</w:t>
      </w:r>
      <w:r w:rsidR="00DC6611">
        <w:rPr>
          <w:rFonts w:ascii="Arial" w:hAnsi="Arial" w:cs="Arial"/>
          <w:sz w:val="20"/>
          <w:szCs w:val="20"/>
        </w:rPr>
        <w:t xml:space="preserve"> </w:t>
      </w:r>
      <w:r w:rsidR="008C27B7">
        <w:rPr>
          <w:rFonts w:ascii="Arial" w:hAnsi="Arial" w:cs="Arial"/>
          <w:sz w:val="20"/>
          <w:szCs w:val="20"/>
        </w:rPr>
        <w:t>7 December</w:t>
      </w:r>
      <w:r w:rsidR="00C6485F">
        <w:rPr>
          <w:rFonts w:ascii="Arial" w:hAnsi="Arial" w:cs="Arial"/>
          <w:sz w:val="20"/>
          <w:szCs w:val="20"/>
        </w:rPr>
        <w:t xml:space="preserve"> </w:t>
      </w:r>
      <w:r w:rsidR="00DC6611">
        <w:rPr>
          <w:rFonts w:ascii="Arial" w:hAnsi="Arial" w:cs="Arial"/>
          <w:sz w:val="20"/>
          <w:szCs w:val="20"/>
        </w:rPr>
        <w:t>2020</w:t>
      </w:r>
      <w:r w:rsidR="003C33A5">
        <w:rPr>
          <w:rFonts w:ascii="Arial" w:hAnsi="Arial" w:cs="Arial"/>
          <w:sz w:val="20"/>
          <w:szCs w:val="20"/>
        </w:rPr>
        <w:t xml:space="preserve">.  </w:t>
      </w:r>
    </w:p>
    <w:p w14:paraId="78885353" w14:textId="49009413" w:rsidR="00B50DDD" w:rsidRDefault="00B50DDD" w:rsidP="002D1A6B">
      <w:pPr>
        <w:jc w:val="both"/>
        <w:rPr>
          <w:rFonts w:ascii="Arial" w:hAnsi="Arial" w:cs="Arial"/>
          <w:sz w:val="20"/>
          <w:szCs w:val="20"/>
        </w:rPr>
      </w:pPr>
      <w:r>
        <w:rPr>
          <w:rFonts w:ascii="Arial" w:hAnsi="Arial" w:cs="Arial"/>
          <w:sz w:val="20"/>
          <w:szCs w:val="20"/>
        </w:rPr>
        <w:lastRenderedPageBreak/>
        <w:t xml:space="preserve">As </w:t>
      </w:r>
      <w:r w:rsidR="00B06EC8">
        <w:rPr>
          <w:rFonts w:ascii="Arial" w:hAnsi="Arial" w:cs="Arial"/>
          <w:sz w:val="20"/>
          <w:szCs w:val="20"/>
        </w:rPr>
        <w:t>set out in the expected timetable of principal events in connection with the General Meeting</w:t>
      </w:r>
      <w:r w:rsidR="002D2E81">
        <w:rPr>
          <w:rFonts w:ascii="Arial" w:hAnsi="Arial" w:cs="Arial"/>
          <w:sz w:val="20"/>
          <w:szCs w:val="20"/>
        </w:rPr>
        <w:t xml:space="preserve"> contained in the Prospectus</w:t>
      </w:r>
      <w:r>
        <w:rPr>
          <w:rFonts w:ascii="Arial" w:hAnsi="Arial" w:cs="Arial"/>
          <w:sz w:val="20"/>
          <w:szCs w:val="20"/>
        </w:rPr>
        <w:t xml:space="preserve">, </w:t>
      </w:r>
      <w:r w:rsidR="003B00D6">
        <w:rPr>
          <w:rFonts w:ascii="Arial" w:hAnsi="Arial" w:cs="Arial"/>
          <w:sz w:val="20"/>
          <w:szCs w:val="20"/>
        </w:rPr>
        <w:t xml:space="preserve">and in the announcement made by the Company on 18 November 2020, </w:t>
      </w:r>
      <w:r>
        <w:rPr>
          <w:rFonts w:ascii="Arial" w:hAnsi="Arial" w:cs="Arial"/>
          <w:sz w:val="20"/>
          <w:szCs w:val="20"/>
        </w:rPr>
        <w:t xml:space="preserve">the Record Date for the Capital Reorganisation is </w:t>
      </w:r>
      <w:r w:rsidR="00B06EC8">
        <w:rPr>
          <w:rFonts w:ascii="Arial" w:hAnsi="Arial" w:cs="Arial"/>
          <w:sz w:val="20"/>
          <w:szCs w:val="20"/>
        </w:rPr>
        <w:t xml:space="preserve">6.00 p.m. on </w:t>
      </w:r>
      <w:r>
        <w:rPr>
          <w:rFonts w:ascii="Arial" w:hAnsi="Arial" w:cs="Arial"/>
          <w:sz w:val="20"/>
          <w:szCs w:val="20"/>
        </w:rPr>
        <w:t xml:space="preserve">11 December 2020. </w:t>
      </w:r>
    </w:p>
    <w:p w14:paraId="04F57811" w14:textId="5ECE045D" w:rsidR="00E14B26" w:rsidRDefault="003C33A5" w:rsidP="004947E6">
      <w:pPr>
        <w:jc w:val="both"/>
        <w:rPr>
          <w:rFonts w:ascii="Arial" w:hAnsi="Arial" w:cs="Arial"/>
          <w:sz w:val="20"/>
          <w:szCs w:val="20"/>
        </w:rPr>
      </w:pPr>
      <w:r>
        <w:rPr>
          <w:rFonts w:ascii="Arial" w:hAnsi="Arial" w:cs="Arial"/>
          <w:sz w:val="20"/>
          <w:szCs w:val="20"/>
        </w:rPr>
        <w:t xml:space="preserve">A copy of the Resolutions passed at the General Meeting has been submitted to the National Storage Mechanism in accordance with Listing Rule 9.6.2R and will be available for inspection at </w:t>
      </w:r>
      <w:hyperlink r:id="rId8" w:anchor="/nsm/nationalstoragemechanism" w:history="1">
        <w:r w:rsidR="008479B4" w:rsidRPr="008479B4">
          <w:rPr>
            <w:rStyle w:val="Hyperlink"/>
            <w:rFonts w:ascii="Arial" w:hAnsi="Arial" w:cs="Arial"/>
            <w:sz w:val="20"/>
            <w:szCs w:val="20"/>
          </w:rPr>
          <w:t>http://data.fca.org.uk/#/nsm/nationalstoragemechanism</w:t>
        </w:r>
      </w:hyperlink>
      <w:r>
        <w:rPr>
          <w:rFonts w:ascii="Arial" w:hAnsi="Arial" w:cs="Arial"/>
          <w:sz w:val="20"/>
          <w:szCs w:val="20"/>
        </w:rPr>
        <w:t xml:space="preserve">. </w:t>
      </w:r>
    </w:p>
    <w:p w14:paraId="26C32E26" w14:textId="39413F29" w:rsidR="008479B4" w:rsidRPr="004947E6" w:rsidRDefault="008479B4" w:rsidP="004947E6">
      <w:pPr>
        <w:jc w:val="both"/>
        <w:rPr>
          <w:rFonts w:ascii="Arial" w:hAnsi="Arial" w:cs="Arial"/>
          <w:sz w:val="20"/>
          <w:szCs w:val="20"/>
        </w:rPr>
      </w:pPr>
      <w:r>
        <w:rPr>
          <w:rFonts w:ascii="Arial" w:hAnsi="Arial" w:cs="Arial"/>
          <w:sz w:val="20"/>
          <w:szCs w:val="20"/>
        </w:rPr>
        <w:t xml:space="preserve">Capitalised terms used but not otherwise defined in this announcement have the meanings given to them in the Prospectus, which is available on the Company’s website </w:t>
      </w:r>
      <w:r w:rsidRPr="007925B6">
        <w:rPr>
          <w:rFonts w:ascii="Arial" w:hAnsi="Arial" w:cs="Arial"/>
          <w:sz w:val="20"/>
          <w:szCs w:val="20"/>
        </w:rPr>
        <w:t>(</w:t>
      </w:r>
      <w:hyperlink r:id="rId9" w:history="1">
        <w:r w:rsidRPr="007925B6">
          <w:rPr>
            <w:rStyle w:val="Hyperlink"/>
            <w:rFonts w:ascii="Arial" w:hAnsi="Arial" w:cs="Arial"/>
            <w:sz w:val="20"/>
            <w:szCs w:val="20"/>
            <w:lang w:eastAsia="en-GB"/>
          </w:rPr>
          <w:t>www.astonmartinlagonda.com/investors/October-2020-Placing</w:t>
        </w:r>
      </w:hyperlink>
      <w:r w:rsidRPr="007925B6">
        <w:rPr>
          <w:rFonts w:ascii="Arial" w:hAnsi="Arial" w:cs="Arial"/>
          <w:sz w:val="20"/>
          <w:szCs w:val="20"/>
        </w:rPr>
        <w:t>).</w:t>
      </w:r>
      <w:r>
        <w:rPr>
          <w:rFonts w:ascii="Arial" w:hAnsi="Arial" w:cs="Arial"/>
          <w:sz w:val="20"/>
          <w:szCs w:val="20"/>
        </w:rPr>
        <w:t xml:space="preserve"> </w:t>
      </w:r>
    </w:p>
    <w:p w14:paraId="43D58B9D" w14:textId="77777777" w:rsidR="00E75378" w:rsidRPr="00DC5873" w:rsidRDefault="00E75378" w:rsidP="004D75CE">
      <w:pPr>
        <w:tabs>
          <w:tab w:val="left" w:pos="1701"/>
          <w:tab w:val="right" w:pos="5670"/>
        </w:tabs>
        <w:spacing w:after="0" w:line="240" w:lineRule="auto"/>
        <w:contextualSpacing/>
        <w:rPr>
          <w:rFonts w:ascii="Arial" w:hAnsi="Arial" w:cs="Arial"/>
          <w:bCs/>
          <w:sz w:val="20"/>
          <w:szCs w:val="20"/>
        </w:rPr>
      </w:pPr>
    </w:p>
    <w:tbl>
      <w:tblPr>
        <w:tblStyle w:val="TableGrid"/>
        <w:tblW w:w="9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079"/>
      </w:tblGrid>
      <w:tr w:rsidR="00F621A5" w14:paraId="2003B345" w14:textId="77777777" w:rsidTr="00F621A5">
        <w:tc>
          <w:tcPr>
            <w:tcW w:w="5098" w:type="dxa"/>
          </w:tcPr>
          <w:p w14:paraId="52A91248" w14:textId="790A7F4D" w:rsidR="00F621A5" w:rsidRDefault="00F621A5" w:rsidP="00E2079F">
            <w:pPr>
              <w:tabs>
                <w:tab w:val="left" w:pos="1701"/>
                <w:tab w:val="right" w:pos="5670"/>
              </w:tabs>
              <w:contextualSpacing/>
              <w:rPr>
                <w:rFonts w:ascii="Arial" w:hAnsi="Arial" w:cs="Arial"/>
                <w:b/>
                <w:sz w:val="20"/>
                <w:szCs w:val="20"/>
              </w:rPr>
            </w:pPr>
            <w:bookmarkStart w:id="0" w:name="_Hlk34918739"/>
            <w:r>
              <w:rPr>
                <w:rFonts w:ascii="Arial" w:hAnsi="Arial" w:cs="Arial"/>
                <w:b/>
                <w:sz w:val="20"/>
                <w:szCs w:val="20"/>
              </w:rPr>
              <w:t>Enquiries</w:t>
            </w:r>
          </w:p>
        </w:tc>
        <w:tc>
          <w:tcPr>
            <w:tcW w:w="4079" w:type="dxa"/>
          </w:tcPr>
          <w:p w14:paraId="3B2F48AC" w14:textId="77777777" w:rsidR="00F621A5" w:rsidRDefault="00F621A5" w:rsidP="00E2079F">
            <w:pPr>
              <w:tabs>
                <w:tab w:val="left" w:pos="1701"/>
                <w:tab w:val="right" w:pos="5670"/>
              </w:tabs>
              <w:contextualSpacing/>
              <w:rPr>
                <w:rFonts w:ascii="Arial" w:hAnsi="Arial" w:cs="Arial"/>
                <w:b/>
                <w:sz w:val="20"/>
                <w:szCs w:val="20"/>
              </w:rPr>
            </w:pPr>
          </w:p>
        </w:tc>
      </w:tr>
      <w:tr w:rsidR="00F621A5" w14:paraId="7C4D1D05" w14:textId="77777777" w:rsidTr="00F621A5">
        <w:tc>
          <w:tcPr>
            <w:tcW w:w="5098" w:type="dxa"/>
          </w:tcPr>
          <w:p w14:paraId="45445D1C" w14:textId="77777777" w:rsidR="00F621A5" w:rsidRDefault="00F621A5" w:rsidP="00F621A5">
            <w:pPr>
              <w:tabs>
                <w:tab w:val="left" w:pos="1701"/>
                <w:tab w:val="right" w:pos="5670"/>
              </w:tabs>
              <w:contextualSpacing/>
              <w:rPr>
                <w:rFonts w:ascii="Arial" w:eastAsia="ヒラギノ角ゴ Pro W3" w:hAnsi="Arial" w:cs="Arial"/>
                <w:b/>
                <w:bCs/>
                <w:color w:val="000000"/>
                <w:sz w:val="20"/>
                <w:szCs w:val="20"/>
                <w:lang w:val="en-US"/>
              </w:rPr>
            </w:pPr>
            <w:r>
              <w:rPr>
                <w:rFonts w:ascii="Arial" w:eastAsia="ヒラギノ角ゴ Pro W3" w:hAnsi="Arial" w:cs="Arial"/>
                <w:b/>
                <w:bCs/>
                <w:color w:val="000000"/>
                <w:sz w:val="20"/>
                <w:szCs w:val="20"/>
                <w:lang w:val="en-US"/>
              </w:rPr>
              <w:t xml:space="preserve">Investors and Analysts </w:t>
            </w:r>
          </w:p>
          <w:p w14:paraId="7E57D8C5" w14:textId="115E5791" w:rsidR="00F621A5" w:rsidRDefault="00F621A5" w:rsidP="00E2079F">
            <w:pPr>
              <w:tabs>
                <w:tab w:val="left" w:pos="1701"/>
                <w:tab w:val="right" w:pos="5670"/>
              </w:tabs>
              <w:contextualSpacing/>
              <w:rPr>
                <w:rFonts w:ascii="Arial" w:hAnsi="Arial" w:cs="Arial"/>
                <w:b/>
                <w:sz w:val="20"/>
                <w:szCs w:val="20"/>
              </w:rPr>
            </w:pPr>
            <w:r>
              <w:rPr>
                <w:rFonts w:ascii="Arial" w:eastAsia="ヒラギノ角ゴ Pro W3" w:hAnsi="Arial" w:cs="Arial"/>
                <w:bCs/>
                <w:color w:val="000000"/>
                <w:sz w:val="20"/>
                <w:szCs w:val="20"/>
                <w:lang w:val="en-US"/>
              </w:rPr>
              <w:t>Charlotte Cowley</w:t>
            </w:r>
            <w:r>
              <w:rPr>
                <w:rFonts w:ascii="Arial" w:eastAsia="ヒラギノ角ゴ Pro W3" w:hAnsi="Arial" w:cs="Arial"/>
                <w:bCs/>
                <w:color w:val="000000"/>
                <w:sz w:val="20"/>
                <w:szCs w:val="20"/>
                <w:lang w:val="en-US"/>
              </w:rPr>
              <w:tab/>
              <w:t>Director of Investor Relations</w:t>
            </w:r>
          </w:p>
        </w:tc>
        <w:tc>
          <w:tcPr>
            <w:tcW w:w="4079" w:type="dxa"/>
          </w:tcPr>
          <w:p w14:paraId="3517D460" w14:textId="77777777" w:rsidR="00F621A5" w:rsidRDefault="00F621A5" w:rsidP="00F621A5">
            <w:pPr>
              <w:tabs>
                <w:tab w:val="left" w:pos="1701"/>
                <w:tab w:val="right" w:pos="5670"/>
              </w:tabs>
              <w:contextualSpacing/>
              <w:rPr>
                <w:rFonts w:ascii="Arial" w:eastAsia="ヒラギノ角ゴ Pro W3" w:hAnsi="Arial" w:cs="Arial"/>
                <w:bCs/>
                <w:color w:val="000000"/>
                <w:sz w:val="20"/>
                <w:szCs w:val="20"/>
                <w:lang w:val="en-US"/>
              </w:rPr>
            </w:pPr>
          </w:p>
          <w:p w14:paraId="0534654A" w14:textId="6AB4CC8B" w:rsidR="00F621A5" w:rsidRDefault="00F621A5" w:rsidP="00F621A5">
            <w:pPr>
              <w:tabs>
                <w:tab w:val="left" w:pos="1701"/>
                <w:tab w:val="right" w:pos="5670"/>
              </w:tabs>
              <w:contextualSpacing/>
              <w:rPr>
                <w:rFonts w:ascii="Arial" w:eastAsia="ヒラギノ角ゴ Pro W3" w:hAnsi="Arial" w:cs="Arial"/>
                <w:bCs/>
                <w:color w:val="000000"/>
                <w:sz w:val="20"/>
                <w:szCs w:val="20"/>
                <w:lang w:val="en-US"/>
              </w:rPr>
            </w:pPr>
            <w:r>
              <w:rPr>
                <w:rFonts w:ascii="Arial" w:eastAsia="ヒラギノ角ゴ Pro W3" w:hAnsi="Arial" w:cs="Arial"/>
                <w:bCs/>
                <w:color w:val="000000"/>
                <w:sz w:val="20"/>
                <w:szCs w:val="20"/>
                <w:lang w:val="en-US"/>
              </w:rPr>
              <w:t>+44 (0)7771 976764</w:t>
            </w:r>
            <w:r>
              <w:rPr>
                <w:rFonts w:ascii="Arial" w:eastAsia="ヒラギノ角ゴ Pro W3" w:hAnsi="Arial" w:cs="Arial"/>
                <w:bCs/>
                <w:color w:val="000000"/>
                <w:sz w:val="20"/>
                <w:szCs w:val="20"/>
                <w:lang w:val="en-US"/>
              </w:rPr>
              <w:tab/>
            </w:r>
          </w:p>
          <w:p w14:paraId="461E8792" w14:textId="1B909573" w:rsidR="00F621A5" w:rsidRDefault="00F621A5" w:rsidP="00F621A5">
            <w:pPr>
              <w:tabs>
                <w:tab w:val="left" w:pos="1701"/>
                <w:tab w:val="right" w:pos="5670"/>
              </w:tabs>
              <w:contextualSpacing/>
              <w:rPr>
                <w:rFonts w:ascii="Arial" w:eastAsia="ヒラギノ角ゴ Pro W3" w:hAnsi="Arial" w:cs="Arial"/>
                <w:bCs/>
                <w:color w:val="000000"/>
                <w:sz w:val="20"/>
                <w:szCs w:val="20"/>
                <w:lang w:val="en-US"/>
              </w:rPr>
            </w:pPr>
            <w:r>
              <w:rPr>
                <w:rFonts w:ascii="Arial" w:eastAsia="ヒラギノ角ゴ Pro W3" w:hAnsi="Arial" w:cs="Arial"/>
                <w:bCs/>
                <w:color w:val="000000"/>
                <w:sz w:val="20"/>
                <w:szCs w:val="20"/>
                <w:lang w:val="en-US"/>
              </w:rPr>
              <w:t xml:space="preserve">charlotte.cowley@astonmartin.com  </w:t>
            </w:r>
          </w:p>
          <w:p w14:paraId="0B23ED23" w14:textId="77777777" w:rsidR="00F621A5" w:rsidRDefault="00F621A5" w:rsidP="00E2079F">
            <w:pPr>
              <w:tabs>
                <w:tab w:val="left" w:pos="1701"/>
                <w:tab w:val="right" w:pos="5670"/>
              </w:tabs>
              <w:contextualSpacing/>
              <w:rPr>
                <w:rFonts w:ascii="Arial" w:hAnsi="Arial" w:cs="Arial"/>
                <w:b/>
                <w:sz w:val="20"/>
                <w:szCs w:val="20"/>
              </w:rPr>
            </w:pPr>
          </w:p>
        </w:tc>
      </w:tr>
      <w:tr w:rsidR="00F621A5" w14:paraId="0AC24BD2" w14:textId="77777777" w:rsidTr="00F621A5">
        <w:tc>
          <w:tcPr>
            <w:tcW w:w="5098" w:type="dxa"/>
          </w:tcPr>
          <w:p w14:paraId="3AC91AB2" w14:textId="77777777" w:rsidR="00F621A5" w:rsidRDefault="00F621A5" w:rsidP="00F621A5">
            <w:pPr>
              <w:tabs>
                <w:tab w:val="left" w:pos="1701"/>
                <w:tab w:val="right" w:pos="5670"/>
              </w:tabs>
              <w:contextualSpacing/>
              <w:rPr>
                <w:rFonts w:ascii="Arial" w:eastAsia="ヒラギノ角ゴ Pro W3" w:hAnsi="Arial" w:cs="Arial"/>
                <w:bCs/>
                <w:color w:val="000000"/>
                <w:sz w:val="20"/>
                <w:szCs w:val="20"/>
                <w:lang w:val="en-US"/>
              </w:rPr>
            </w:pPr>
            <w:r>
              <w:rPr>
                <w:rFonts w:ascii="Arial" w:eastAsia="ヒラギノ角ゴ Pro W3" w:hAnsi="Arial" w:cs="Arial"/>
                <w:b/>
                <w:bCs/>
                <w:color w:val="000000"/>
                <w:sz w:val="20"/>
                <w:szCs w:val="20"/>
                <w:lang w:val="en-US"/>
              </w:rPr>
              <w:t xml:space="preserve">Media </w:t>
            </w:r>
          </w:p>
          <w:p w14:paraId="355F49B2" w14:textId="501201A5" w:rsidR="00F621A5" w:rsidRDefault="00F621A5" w:rsidP="00F621A5">
            <w:pPr>
              <w:tabs>
                <w:tab w:val="left" w:pos="1701"/>
                <w:tab w:val="right" w:pos="5670"/>
              </w:tabs>
              <w:contextualSpacing/>
              <w:rPr>
                <w:rFonts w:ascii="Arial" w:hAnsi="Arial" w:cs="Arial"/>
                <w:b/>
                <w:sz w:val="20"/>
                <w:szCs w:val="20"/>
              </w:rPr>
            </w:pPr>
            <w:r>
              <w:rPr>
                <w:rFonts w:ascii="Arial" w:eastAsia="ヒラギノ角ゴ Pro W3" w:hAnsi="Arial" w:cs="Arial"/>
                <w:bCs/>
                <w:color w:val="000000"/>
                <w:sz w:val="20"/>
                <w:szCs w:val="20"/>
                <w:lang w:val="en-US"/>
              </w:rPr>
              <w:t>Kevin Watters</w:t>
            </w:r>
            <w:r>
              <w:rPr>
                <w:rFonts w:ascii="Arial" w:eastAsia="ヒラギノ角ゴ Pro W3" w:hAnsi="Arial" w:cs="Arial"/>
                <w:bCs/>
                <w:color w:val="000000"/>
                <w:sz w:val="20"/>
                <w:szCs w:val="20"/>
                <w:lang w:val="en-US"/>
              </w:rPr>
              <w:tab/>
              <w:t>Director of Communications</w:t>
            </w:r>
          </w:p>
        </w:tc>
        <w:tc>
          <w:tcPr>
            <w:tcW w:w="4079" w:type="dxa"/>
          </w:tcPr>
          <w:p w14:paraId="72E955BE" w14:textId="77777777" w:rsidR="00F621A5" w:rsidRDefault="00F621A5" w:rsidP="00F621A5">
            <w:pPr>
              <w:tabs>
                <w:tab w:val="left" w:pos="1701"/>
                <w:tab w:val="right" w:pos="5670"/>
              </w:tabs>
              <w:contextualSpacing/>
              <w:rPr>
                <w:rFonts w:ascii="Arial" w:eastAsia="ヒラギノ角ゴ Pro W3" w:hAnsi="Arial" w:cs="Arial"/>
                <w:bCs/>
                <w:color w:val="000000"/>
                <w:sz w:val="20"/>
                <w:szCs w:val="20"/>
                <w:lang w:val="en-US"/>
              </w:rPr>
            </w:pPr>
          </w:p>
          <w:p w14:paraId="59ED62C2" w14:textId="6E3B4595" w:rsidR="00F621A5" w:rsidRDefault="00F621A5" w:rsidP="00F621A5">
            <w:pPr>
              <w:tabs>
                <w:tab w:val="left" w:pos="1701"/>
                <w:tab w:val="right" w:pos="5670"/>
              </w:tabs>
              <w:contextualSpacing/>
              <w:rPr>
                <w:rFonts w:ascii="Arial" w:eastAsia="ヒラギノ角ゴ Pro W3" w:hAnsi="Arial" w:cs="Arial"/>
                <w:bCs/>
                <w:color w:val="000000"/>
                <w:sz w:val="20"/>
                <w:szCs w:val="20"/>
                <w:lang w:val="en-US"/>
              </w:rPr>
            </w:pPr>
            <w:r>
              <w:rPr>
                <w:rFonts w:ascii="Arial" w:eastAsia="ヒラギノ角ゴ Pro W3" w:hAnsi="Arial" w:cs="Arial"/>
                <w:bCs/>
                <w:color w:val="000000"/>
                <w:sz w:val="20"/>
                <w:szCs w:val="20"/>
                <w:lang w:val="en-US"/>
              </w:rPr>
              <w:t>+44 (0)7764 386683</w:t>
            </w:r>
          </w:p>
          <w:p w14:paraId="02F28379" w14:textId="6148527A" w:rsidR="00F621A5" w:rsidRDefault="00F621A5" w:rsidP="00F621A5">
            <w:pPr>
              <w:tabs>
                <w:tab w:val="left" w:pos="1701"/>
                <w:tab w:val="right" w:pos="5670"/>
              </w:tabs>
              <w:contextualSpacing/>
              <w:rPr>
                <w:rFonts w:ascii="Arial" w:eastAsia="ヒラギノ角ゴ Pro W3" w:hAnsi="Arial" w:cs="Arial"/>
                <w:bCs/>
                <w:color w:val="000000"/>
                <w:sz w:val="20"/>
                <w:szCs w:val="20"/>
                <w:lang w:val="en-US"/>
              </w:rPr>
            </w:pPr>
            <w:r>
              <w:rPr>
                <w:rFonts w:ascii="Arial" w:eastAsia="ヒラギノ角ゴ Pro W3" w:hAnsi="Arial" w:cs="Arial"/>
                <w:bCs/>
                <w:color w:val="000000"/>
                <w:sz w:val="20"/>
                <w:szCs w:val="20"/>
                <w:lang w:val="en-US"/>
              </w:rPr>
              <w:t>kevin.watters@astonmartin.com</w:t>
            </w:r>
          </w:p>
          <w:p w14:paraId="239AF554" w14:textId="77777777" w:rsidR="00F621A5" w:rsidRDefault="00F621A5" w:rsidP="00E2079F">
            <w:pPr>
              <w:tabs>
                <w:tab w:val="left" w:pos="1701"/>
                <w:tab w:val="right" w:pos="5670"/>
              </w:tabs>
              <w:contextualSpacing/>
              <w:rPr>
                <w:rFonts w:ascii="Arial" w:hAnsi="Arial" w:cs="Arial"/>
                <w:b/>
                <w:sz w:val="20"/>
                <w:szCs w:val="20"/>
              </w:rPr>
            </w:pPr>
          </w:p>
        </w:tc>
      </w:tr>
      <w:tr w:rsidR="00F621A5" w14:paraId="323094CB" w14:textId="77777777" w:rsidTr="00F621A5">
        <w:tc>
          <w:tcPr>
            <w:tcW w:w="5098" w:type="dxa"/>
          </w:tcPr>
          <w:p w14:paraId="5AE36285" w14:textId="06289E8A" w:rsidR="00F621A5" w:rsidRDefault="00F621A5" w:rsidP="00E2079F">
            <w:pPr>
              <w:tabs>
                <w:tab w:val="left" w:pos="1701"/>
                <w:tab w:val="right" w:pos="5670"/>
              </w:tabs>
              <w:contextualSpacing/>
              <w:rPr>
                <w:rFonts w:ascii="Arial" w:hAnsi="Arial" w:cs="Arial"/>
                <w:b/>
                <w:sz w:val="20"/>
                <w:szCs w:val="20"/>
              </w:rPr>
            </w:pPr>
            <w:r>
              <w:rPr>
                <w:rFonts w:ascii="Arial" w:hAnsi="Arial" w:cs="Arial"/>
                <w:bCs/>
                <w:color w:val="000000"/>
                <w:sz w:val="20"/>
                <w:szCs w:val="20"/>
                <w:lang w:val="de-DE"/>
              </w:rPr>
              <w:t>Grace Barnie</w:t>
            </w:r>
            <w:r>
              <w:rPr>
                <w:rFonts w:ascii="Arial" w:hAnsi="Arial" w:cs="Arial"/>
                <w:bCs/>
                <w:color w:val="000000"/>
                <w:sz w:val="20"/>
                <w:szCs w:val="20"/>
                <w:lang w:val="de-DE"/>
              </w:rPr>
              <w:tab/>
              <w:t>Corporate Communication Manager</w:t>
            </w:r>
          </w:p>
        </w:tc>
        <w:tc>
          <w:tcPr>
            <w:tcW w:w="4079" w:type="dxa"/>
          </w:tcPr>
          <w:p w14:paraId="416D35B5" w14:textId="77777777" w:rsidR="00F621A5" w:rsidRDefault="00F621A5" w:rsidP="00F621A5">
            <w:pPr>
              <w:tabs>
                <w:tab w:val="left" w:pos="1701"/>
                <w:tab w:val="right" w:pos="5670"/>
              </w:tabs>
              <w:contextualSpacing/>
              <w:rPr>
                <w:rFonts w:ascii="Arial" w:hAnsi="Arial" w:cs="Arial"/>
                <w:bCs/>
                <w:color w:val="000000"/>
                <w:sz w:val="20"/>
                <w:szCs w:val="20"/>
                <w:lang w:val="de-DE"/>
              </w:rPr>
            </w:pPr>
            <w:r>
              <w:rPr>
                <w:rFonts w:ascii="Arial" w:hAnsi="Arial" w:cs="Arial"/>
                <w:bCs/>
                <w:color w:val="000000"/>
                <w:sz w:val="20"/>
                <w:szCs w:val="20"/>
                <w:lang w:val="de-DE"/>
              </w:rPr>
              <w:t>+44 (0)7880 903490</w:t>
            </w:r>
          </w:p>
          <w:p w14:paraId="15B23234" w14:textId="7A5409EE" w:rsidR="00F621A5" w:rsidRDefault="00F621A5" w:rsidP="00F621A5">
            <w:pPr>
              <w:tabs>
                <w:tab w:val="left" w:pos="1701"/>
                <w:tab w:val="right" w:pos="5670"/>
              </w:tabs>
              <w:contextualSpacing/>
              <w:rPr>
                <w:rFonts w:ascii="Arial" w:hAnsi="Arial" w:cs="Arial"/>
                <w:b/>
                <w:color w:val="000000"/>
                <w:sz w:val="20"/>
                <w:szCs w:val="20"/>
                <w:lang w:val="de-DE"/>
              </w:rPr>
            </w:pPr>
            <w:r>
              <w:rPr>
                <w:rFonts w:ascii="Arial" w:hAnsi="Arial" w:cs="Arial"/>
                <w:sz w:val="20"/>
                <w:szCs w:val="20"/>
                <w:lang w:val="de-DE"/>
              </w:rPr>
              <w:t>grace.barnie@astonmartin.com</w:t>
            </w:r>
          </w:p>
          <w:p w14:paraId="60478119" w14:textId="77777777" w:rsidR="00F621A5" w:rsidRDefault="00F621A5" w:rsidP="00E2079F">
            <w:pPr>
              <w:tabs>
                <w:tab w:val="left" w:pos="1701"/>
                <w:tab w:val="right" w:pos="5670"/>
              </w:tabs>
              <w:contextualSpacing/>
              <w:rPr>
                <w:rFonts w:ascii="Arial" w:hAnsi="Arial" w:cs="Arial"/>
                <w:b/>
                <w:sz w:val="20"/>
                <w:szCs w:val="20"/>
              </w:rPr>
            </w:pPr>
          </w:p>
        </w:tc>
      </w:tr>
      <w:tr w:rsidR="00F621A5" w14:paraId="3D94FCC0" w14:textId="77777777" w:rsidTr="00F621A5">
        <w:tc>
          <w:tcPr>
            <w:tcW w:w="5098" w:type="dxa"/>
          </w:tcPr>
          <w:p w14:paraId="756913DB" w14:textId="77777777" w:rsidR="00F621A5" w:rsidRDefault="00F621A5" w:rsidP="00F621A5">
            <w:pPr>
              <w:rPr>
                <w:rFonts w:ascii="Calibri" w:eastAsia="Times New Roman" w:hAnsi="Calibri" w:cs="Calibri"/>
                <w:color w:val="000000"/>
                <w:sz w:val="20"/>
                <w:szCs w:val="20"/>
                <w:lang w:eastAsia="en-GB"/>
              </w:rPr>
            </w:pPr>
            <w:proofErr w:type="spellStart"/>
            <w:r>
              <w:rPr>
                <w:rFonts w:ascii="Arial" w:eastAsia="Times New Roman" w:hAnsi="Arial" w:cs="Arial"/>
                <w:b/>
                <w:bCs/>
                <w:color w:val="000000"/>
                <w:sz w:val="20"/>
                <w:szCs w:val="20"/>
                <w:lang w:eastAsia="en-GB"/>
              </w:rPr>
              <w:t>Tulchan</w:t>
            </w:r>
            <w:proofErr w:type="spellEnd"/>
            <w:r>
              <w:rPr>
                <w:rFonts w:ascii="Arial" w:eastAsia="Times New Roman" w:hAnsi="Arial" w:cs="Arial"/>
                <w:b/>
                <w:bCs/>
                <w:color w:val="000000"/>
                <w:sz w:val="20"/>
                <w:szCs w:val="20"/>
                <w:lang w:eastAsia="en-GB"/>
              </w:rPr>
              <w:t xml:space="preserve"> Communications</w:t>
            </w:r>
          </w:p>
          <w:p w14:paraId="5E8CFB37" w14:textId="77777777" w:rsidR="00F621A5" w:rsidRDefault="00F621A5" w:rsidP="00F621A5">
            <w:pPr>
              <w:tabs>
                <w:tab w:val="left" w:pos="1701"/>
                <w:tab w:val="right" w:pos="5670"/>
              </w:tabs>
              <w:contextualSpacing/>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Harry Cameron and Simon Pilkington</w:t>
            </w:r>
          </w:p>
          <w:p w14:paraId="0CC8FB21" w14:textId="79020BD6" w:rsidR="00C172E8" w:rsidRDefault="00C172E8" w:rsidP="00F621A5">
            <w:pPr>
              <w:tabs>
                <w:tab w:val="left" w:pos="1701"/>
                <w:tab w:val="right" w:pos="5670"/>
              </w:tabs>
              <w:contextualSpacing/>
              <w:rPr>
                <w:rFonts w:ascii="Arial" w:hAnsi="Arial" w:cs="Arial"/>
                <w:b/>
                <w:sz w:val="20"/>
                <w:szCs w:val="20"/>
              </w:rPr>
            </w:pPr>
            <w:bookmarkStart w:id="1" w:name="_GoBack"/>
            <w:bookmarkEnd w:id="1"/>
          </w:p>
        </w:tc>
        <w:tc>
          <w:tcPr>
            <w:tcW w:w="4079" w:type="dxa"/>
          </w:tcPr>
          <w:p w14:paraId="085C81A1" w14:textId="7C8B5A86" w:rsidR="00F621A5" w:rsidRDefault="00F621A5" w:rsidP="00F621A5">
            <w:pPr>
              <w:jc w:val="both"/>
              <w:rPr>
                <w:rFonts w:ascii="Calibri" w:eastAsia="Times New Roman" w:hAnsi="Calibri" w:cs="Calibri"/>
                <w:color w:val="000000"/>
                <w:sz w:val="20"/>
                <w:szCs w:val="20"/>
                <w:lang w:eastAsia="en-GB"/>
              </w:rPr>
            </w:pPr>
            <w:r>
              <w:rPr>
                <w:rFonts w:ascii="Arial" w:eastAsia="Times New Roman" w:hAnsi="Arial" w:cs="Arial"/>
                <w:color w:val="000000"/>
                <w:sz w:val="20"/>
                <w:szCs w:val="20"/>
                <w:lang w:eastAsia="en-GB"/>
              </w:rPr>
              <w:t>+44 (0)20 73534200</w:t>
            </w:r>
          </w:p>
          <w:p w14:paraId="1556CA20" w14:textId="77777777" w:rsidR="00F621A5" w:rsidRDefault="00F621A5" w:rsidP="00E2079F">
            <w:pPr>
              <w:tabs>
                <w:tab w:val="left" w:pos="1701"/>
                <w:tab w:val="right" w:pos="5670"/>
              </w:tabs>
              <w:contextualSpacing/>
              <w:rPr>
                <w:rFonts w:ascii="Arial" w:hAnsi="Arial" w:cs="Arial"/>
                <w:b/>
                <w:sz w:val="20"/>
                <w:szCs w:val="20"/>
              </w:rPr>
            </w:pPr>
          </w:p>
        </w:tc>
      </w:tr>
      <w:tr w:rsidR="00F621A5" w14:paraId="5B5F8BED" w14:textId="77777777" w:rsidTr="00F621A5">
        <w:tc>
          <w:tcPr>
            <w:tcW w:w="5098" w:type="dxa"/>
          </w:tcPr>
          <w:p w14:paraId="2B4FAF75" w14:textId="77777777" w:rsidR="00F621A5" w:rsidRDefault="00F621A5" w:rsidP="00F621A5">
            <w:pPr>
              <w:tabs>
                <w:tab w:val="left" w:pos="1701"/>
                <w:tab w:val="right" w:pos="5670"/>
              </w:tabs>
              <w:contextualSpacing/>
              <w:rPr>
                <w:rFonts w:ascii="Arial" w:eastAsia="ヒラギノ角ゴ Pro W3" w:hAnsi="Arial" w:cs="Arial"/>
                <w:b/>
                <w:bCs/>
                <w:color w:val="000000"/>
                <w:sz w:val="20"/>
                <w:szCs w:val="20"/>
                <w:lang w:val="en-US"/>
              </w:rPr>
            </w:pPr>
            <w:r>
              <w:rPr>
                <w:rFonts w:ascii="Arial" w:eastAsia="ヒラギノ角ゴ Pro W3" w:hAnsi="Arial" w:cs="Arial"/>
                <w:b/>
                <w:bCs/>
                <w:color w:val="000000"/>
                <w:sz w:val="20"/>
                <w:szCs w:val="20"/>
                <w:lang w:val="en-US"/>
              </w:rPr>
              <w:t>Barclays (Sponsor and Financial Adviser)</w:t>
            </w:r>
          </w:p>
          <w:p w14:paraId="33B0CD2F" w14:textId="77777777" w:rsidR="00F621A5" w:rsidRDefault="00F621A5" w:rsidP="00F621A5">
            <w:pPr>
              <w:tabs>
                <w:tab w:val="left" w:pos="1701"/>
                <w:tab w:val="right" w:pos="5670"/>
              </w:tabs>
              <w:contextualSpacing/>
              <w:rPr>
                <w:rFonts w:ascii="Arial" w:eastAsia="ヒラギノ角ゴ Pro W3" w:hAnsi="Arial" w:cs="Arial"/>
                <w:bCs/>
                <w:color w:val="000000"/>
                <w:sz w:val="20"/>
                <w:szCs w:val="20"/>
                <w:lang w:val="en-US"/>
              </w:rPr>
            </w:pPr>
            <w:r>
              <w:rPr>
                <w:rFonts w:ascii="Arial" w:eastAsia="ヒラギノ角ゴ Pro W3" w:hAnsi="Arial" w:cs="Arial"/>
                <w:bCs/>
                <w:color w:val="000000"/>
                <w:sz w:val="20"/>
                <w:szCs w:val="20"/>
                <w:lang w:val="en-US"/>
              </w:rPr>
              <w:t xml:space="preserve">Derek Shakespeare     </w:t>
            </w:r>
          </w:p>
          <w:p w14:paraId="20BC60B0" w14:textId="77777777" w:rsidR="00F621A5" w:rsidRDefault="00F621A5" w:rsidP="00F621A5">
            <w:pPr>
              <w:tabs>
                <w:tab w:val="left" w:pos="1701"/>
                <w:tab w:val="right" w:pos="5670"/>
              </w:tabs>
              <w:contextualSpacing/>
              <w:rPr>
                <w:rFonts w:ascii="Arial" w:eastAsia="ヒラギノ角ゴ Pro W3" w:hAnsi="Arial" w:cs="Arial"/>
                <w:bCs/>
                <w:color w:val="000000"/>
                <w:sz w:val="20"/>
                <w:szCs w:val="20"/>
                <w:lang w:val="en-US"/>
              </w:rPr>
            </w:pPr>
            <w:r>
              <w:rPr>
                <w:rFonts w:ascii="Arial" w:eastAsia="ヒラギノ角ゴ Pro W3" w:hAnsi="Arial" w:cs="Arial"/>
                <w:bCs/>
                <w:color w:val="000000"/>
                <w:sz w:val="20"/>
                <w:szCs w:val="20"/>
                <w:lang w:val="en-US"/>
              </w:rPr>
              <w:t xml:space="preserve">Enrico </w:t>
            </w:r>
            <w:proofErr w:type="spellStart"/>
            <w:r>
              <w:rPr>
                <w:rFonts w:ascii="Arial" w:eastAsia="ヒラギノ角ゴ Pro W3" w:hAnsi="Arial" w:cs="Arial"/>
                <w:bCs/>
                <w:color w:val="000000"/>
                <w:sz w:val="20"/>
                <w:szCs w:val="20"/>
                <w:lang w:val="en-US"/>
              </w:rPr>
              <w:t>Chiapparoli</w:t>
            </w:r>
            <w:proofErr w:type="spellEnd"/>
          </w:p>
          <w:p w14:paraId="75D606E4" w14:textId="77777777" w:rsidR="00F621A5" w:rsidRDefault="00F621A5" w:rsidP="00F621A5">
            <w:pPr>
              <w:tabs>
                <w:tab w:val="left" w:pos="1701"/>
                <w:tab w:val="right" w:pos="5670"/>
              </w:tabs>
              <w:contextualSpacing/>
              <w:rPr>
                <w:rFonts w:ascii="Arial" w:eastAsia="ヒラギノ角ゴ Pro W3" w:hAnsi="Arial" w:cs="Arial"/>
                <w:bCs/>
                <w:color w:val="000000"/>
                <w:sz w:val="20"/>
                <w:szCs w:val="20"/>
                <w:lang w:val="en-US"/>
              </w:rPr>
            </w:pPr>
            <w:r>
              <w:rPr>
                <w:rFonts w:ascii="Arial" w:eastAsia="ヒラギノ角ゴ Pro W3" w:hAnsi="Arial" w:cs="Arial"/>
                <w:bCs/>
                <w:color w:val="000000"/>
                <w:sz w:val="20"/>
                <w:szCs w:val="20"/>
                <w:lang w:val="en-US"/>
              </w:rPr>
              <w:t>Tom Macdonald</w:t>
            </w:r>
          </w:p>
          <w:p w14:paraId="17B12466" w14:textId="2ED3598E" w:rsidR="00F621A5" w:rsidRDefault="00F621A5" w:rsidP="00F621A5">
            <w:pPr>
              <w:tabs>
                <w:tab w:val="left" w:pos="1701"/>
                <w:tab w:val="right" w:pos="5670"/>
              </w:tabs>
              <w:contextualSpacing/>
              <w:rPr>
                <w:rFonts w:ascii="Arial" w:hAnsi="Arial" w:cs="Arial"/>
                <w:b/>
                <w:sz w:val="20"/>
                <w:szCs w:val="20"/>
              </w:rPr>
            </w:pPr>
            <w:r>
              <w:rPr>
                <w:rFonts w:ascii="Arial" w:eastAsia="ヒラギノ角ゴ Pro W3" w:hAnsi="Arial" w:cs="Arial"/>
                <w:bCs/>
                <w:color w:val="000000"/>
                <w:sz w:val="20"/>
                <w:szCs w:val="20"/>
                <w:lang w:val="en-US"/>
              </w:rPr>
              <w:t>Darren Johnson</w:t>
            </w:r>
            <w:r>
              <w:rPr>
                <w:rFonts w:ascii="Arial" w:eastAsia="ヒラギノ角ゴ Pro W3" w:hAnsi="Arial" w:cs="Arial"/>
                <w:bCs/>
                <w:color w:val="000000"/>
                <w:sz w:val="20"/>
                <w:szCs w:val="20"/>
                <w:lang w:val="en-US"/>
              </w:rPr>
              <w:tab/>
            </w:r>
            <w:r>
              <w:rPr>
                <w:rFonts w:ascii="Arial" w:eastAsia="ヒラギノ角ゴ Pro W3" w:hAnsi="Arial" w:cs="Arial"/>
                <w:bCs/>
                <w:color w:val="000000"/>
                <w:sz w:val="20"/>
                <w:szCs w:val="20"/>
                <w:lang w:val="en-US"/>
              </w:rPr>
              <w:tab/>
            </w:r>
            <w:r>
              <w:rPr>
                <w:rFonts w:ascii="Arial" w:eastAsia="ヒラギノ角ゴ Pro W3" w:hAnsi="Arial" w:cs="Arial"/>
                <w:bCs/>
                <w:color w:val="000000"/>
                <w:sz w:val="20"/>
                <w:szCs w:val="20"/>
                <w:lang w:val="en-US"/>
              </w:rPr>
              <w:tab/>
            </w:r>
          </w:p>
        </w:tc>
        <w:tc>
          <w:tcPr>
            <w:tcW w:w="4079" w:type="dxa"/>
          </w:tcPr>
          <w:p w14:paraId="01CE1DF2" w14:textId="2D3DBDEC" w:rsidR="00F621A5" w:rsidRDefault="00F621A5" w:rsidP="00E2079F">
            <w:pPr>
              <w:tabs>
                <w:tab w:val="left" w:pos="1701"/>
                <w:tab w:val="right" w:pos="5670"/>
              </w:tabs>
              <w:contextualSpacing/>
              <w:rPr>
                <w:rFonts w:ascii="Arial" w:hAnsi="Arial" w:cs="Arial"/>
                <w:b/>
                <w:sz w:val="20"/>
                <w:szCs w:val="20"/>
              </w:rPr>
            </w:pPr>
            <w:r>
              <w:rPr>
                <w:rFonts w:ascii="Arial" w:eastAsia="ヒラギノ角ゴ Pro W3" w:hAnsi="Arial" w:cs="Arial"/>
                <w:bCs/>
                <w:color w:val="000000"/>
                <w:sz w:val="20"/>
                <w:szCs w:val="20"/>
                <w:lang w:val="en-US"/>
              </w:rPr>
              <w:t>+44 (0)20 7623 2323</w:t>
            </w:r>
          </w:p>
        </w:tc>
      </w:tr>
      <w:tr w:rsidR="00F621A5" w14:paraId="3D1F953A" w14:textId="77777777" w:rsidTr="00F621A5">
        <w:tc>
          <w:tcPr>
            <w:tcW w:w="5098" w:type="dxa"/>
          </w:tcPr>
          <w:p w14:paraId="469BBC71" w14:textId="77777777" w:rsidR="00F621A5" w:rsidRDefault="00F621A5" w:rsidP="00F621A5">
            <w:pPr>
              <w:keepNext/>
              <w:tabs>
                <w:tab w:val="left" w:pos="1701"/>
                <w:tab w:val="right" w:pos="5670"/>
              </w:tabs>
              <w:contextualSpacing/>
              <w:rPr>
                <w:rFonts w:ascii="Arial" w:eastAsia="ヒラギノ角ゴ Pro W3" w:hAnsi="Arial" w:cs="Arial"/>
                <w:b/>
                <w:bCs/>
                <w:color w:val="000000"/>
                <w:sz w:val="20"/>
                <w:szCs w:val="20"/>
                <w:lang w:val="en-US"/>
              </w:rPr>
            </w:pPr>
            <w:r>
              <w:rPr>
                <w:rFonts w:ascii="Arial" w:eastAsia="ヒラギノ角ゴ Pro W3" w:hAnsi="Arial" w:cs="Arial"/>
                <w:b/>
                <w:bCs/>
                <w:color w:val="000000"/>
                <w:sz w:val="20"/>
                <w:szCs w:val="20"/>
                <w:lang w:val="en-US"/>
              </w:rPr>
              <w:t>J.P. Morgan Cazenove (Financial Adviser)</w:t>
            </w:r>
          </w:p>
          <w:p w14:paraId="05A1C192" w14:textId="77777777" w:rsidR="00F621A5" w:rsidRDefault="00F621A5" w:rsidP="00F621A5">
            <w:pPr>
              <w:tabs>
                <w:tab w:val="left" w:pos="1701"/>
                <w:tab w:val="right" w:pos="5670"/>
              </w:tabs>
              <w:contextualSpacing/>
              <w:rPr>
                <w:rFonts w:ascii="Arial" w:eastAsia="ヒラギノ角ゴ Pro W3" w:hAnsi="Arial" w:cs="Arial"/>
                <w:bCs/>
                <w:color w:val="000000"/>
                <w:sz w:val="20"/>
                <w:szCs w:val="20"/>
                <w:lang w:val="en-US"/>
              </w:rPr>
            </w:pPr>
            <w:r>
              <w:rPr>
                <w:rFonts w:ascii="Arial" w:eastAsia="ヒラギノ角ゴ Pro W3" w:hAnsi="Arial" w:cs="Arial"/>
                <w:bCs/>
                <w:color w:val="000000"/>
                <w:sz w:val="20"/>
                <w:szCs w:val="20"/>
                <w:lang w:val="en-US"/>
              </w:rPr>
              <w:t xml:space="preserve">Robert Constant     </w:t>
            </w:r>
          </w:p>
          <w:p w14:paraId="298BB08B" w14:textId="77777777" w:rsidR="00F621A5" w:rsidRDefault="00F621A5" w:rsidP="00F621A5">
            <w:pPr>
              <w:jc w:val="both"/>
              <w:rPr>
                <w:rFonts w:ascii="Arial" w:eastAsia="ヒラギノ角ゴ Pro W3" w:hAnsi="Arial" w:cs="Arial"/>
                <w:bCs/>
                <w:color w:val="000000"/>
                <w:sz w:val="20"/>
                <w:szCs w:val="20"/>
                <w:lang w:val="fr-FR"/>
              </w:rPr>
            </w:pPr>
            <w:r>
              <w:rPr>
                <w:rFonts w:ascii="Arial" w:eastAsia="ヒラギノ角ゴ Pro W3" w:hAnsi="Arial" w:cs="Arial"/>
                <w:bCs/>
                <w:color w:val="000000"/>
                <w:sz w:val="20"/>
                <w:szCs w:val="20"/>
                <w:lang w:val="fr-FR"/>
              </w:rPr>
              <w:t>James A. Kelly</w:t>
            </w:r>
          </w:p>
          <w:p w14:paraId="7B87FA15" w14:textId="027A00F1" w:rsidR="00F621A5" w:rsidRPr="00F621A5" w:rsidRDefault="00F621A5" w:rsidP="00F621A5">
            <w:pPr>
              <w:jc w:val="both"/>
              <w:rPr>
                <w:rFonts w:ascii="Arial" w:eastAsia="ヒラギノ角ゴ Pro W3" w:hAnsi="Arial" w:cs="Arial"/>
                <w:bCs/>
                <w:color w:val="000000"/>
                <w:sz w:val="20"/>
                <w:szCs w:val="20"/>
                <w:lang w:val="fr-FR"/>
              </w:rPr>
            </w:pPr>
            <w:r>
              <w:rPr>
                <w:rFonts w:ascii="Arial" w:eastAsia="ヒラギノ角ゴ Pro W3" w:hAnsi="Arial" w:cs="Arial"/>
                <w:bCs/>
                <w:color w:val="000000"/>
                <w:sz w:val="20"/>
                <w:szCs w:val="20"/>
                <w:lang w:val="fr-FR"/>
              </w:rPr>
              <w:t xml:space="preserve">Will </w:t>
            </w:r>
            <w:proofErr w:type="spellStart"/>
            <w:r>
              <w:rPr>
                <w:rFonts w:ascii="Arial" w:eastAsia="ヒラギノ角ゴ Pro W3" w:hAnsi="Arial" w:cs="Arial"/>
                <w:bCs/>
                <w:color w:val="000000"/>
                <w:sz w:val="20"/>
                <w:szCs w:val="20"/>
                <w:lang w:val="fr-FR"/>
              </w:rPr>
              <w:t>Holyoak</w:t>
            </w:r>
            <w:proofErr w:type="spellEnd"/>
          </w:p>
        </w:tc>
        <w:tc>
          <w:tcPr>
            <w:tcW w:w="4079" w:type="dxa"/>
          </w:tcPr>
          <w:p w14:paraId="2A91F98E" w14:textId="17B2BB5E" w:rsidR="00F621A5" w:rsidRDefault="00F621A5" w:rsidP="00E2079F">
            <w:pPr>
              <w:tabs>
                <w:tab w:val="left" w:pos="1701"/>
                <w:tab w:val="right" w:pos="5670"/>
              </w:tabs>
              <w:contextualSpacing/>
              <w:rPr>
                <w:rFonts w:ascii="Arial" w:hAnsi="Arial" w:cs="Arial"/>
                <w:b/>
                <w:sz w:val="20"/>
                <w:szCs w:val="20"/>
              </w:rPr>
            </w:pPr>
            <w:r>
              <w:rPr>
                <w:rFonts w:ascii="Arial" w:eastAsia="ヒラギノ角ゴ Pro W3" w:hAnsi="Arial" w:cs="Arial"/>
                <w:bCs/>
                <w:color w:val="000000"/>
                <w:sz w:val="20"/>
                <w:szCs w:val="20"/>
                <w:lang w:val="en-US"/>
              </w:rPr>
              <w:t>+44 (0)20 7742 4000</w:t>
            </w:r>
          </w:p>
        </w:tc>
      </w:tr>
    </w:tbl>
    <w:p w14:paraId="2D3A19D9" w14:textId="0EB962A8" w:rsidR="00E2079F" w:rsidRDefault="00E2079F" w:rsidP="00E2079F">
      <w:pPr>
        <w:tabs>
          <w:tab w:val="left" w:pos="1701"/>
          <w:tab w:val="right" w:pos="5670"/>
        </w:tabs>
        <w:spacing w:after="0" w:line="240" w:lineRule="auto"/>
        <w:contextualSpacing/>
        <w:rPr>
          <w:rFonts w:ascii="Arial" w:eastAsia="ヒラギノ角ゴ Pro W3" w:hAnsi="Arial" w:cs="Arial"/>
          <w:b/>
          <w:bCs/>
          <w:color w:val="000000"/>
          <w:sz w:val="20"/>
          <w:szCs w:val="20"/>
          <w:lang w:val="en-US"/>
        </w:rPr>
      </w:pPr>
    </w:p>
    <w:p w14:paraId="33DC8AA7" w14:textId="1CFBDC05" w:rsidR="00E2079F" w:rsidRDefault="00E2079F" w:rsidP="00F621A5">
      <w:pPr>
        <w:tabs>
          <w:tab w:val="left" w:pos="1701"/>
          <w:tab w:val="right" w:pos="5670"/>
        </w:tabs>
        <w:spacing w:after="0" w:line="240" w:lineRule="auto"/>
        <w:contextualSpacing/>
        <w:rPr>
          <w:rFonts w:ascii="Arial" w:eastAsia="ヒラギノ角ゴ Pro W3" w:hAnsi="Arial" w:cs="Arial"/>
          <w:bCs/>
          <w:color w:val="000000"/>
          <w:sz w:val="20"/>
          <w:szCs w:val="20"/>
          <w:lang w:val="en-US"/>
        </w:rPr>
      </w:pPr>
      <w:r>
        <w:rPr>
          <w:rFonts w:ascii="Arial" w:eastAsia="ヒラギノ角ゴ Pro W3" w:hAnsi="Arial" w:cs="Arial"/>
          <w:bCs/>
          <w:color w:val="000000"/>
          <w:sz w:val="20"/>
          <w:szCs w:val="20"/>
          <w:lang w:val="en-US"/>
        </w:rPr>
        <w:tab/>
      </w:r>
      <w:r>
        <w:rPr>
          <w:rFonts w:ascii="Arial" w:eastAsia="ヒラギノ角ゴ Pro W3" w:hAnsi="Arial" w:cs="Arial"/>
          <w:bCs/>
          <w:color w:val="000000"/>
          <w:sz w:val="20"/>
          <w:szCs w:val="20"/>
          <w:lang w:val="en-US"/>
        </w:rPr>
        <w:tab/>
        <w:t xml:space="preserve"> </w:t>
      </w:r>
    </w:p>
    <w:p w14:paraId="4D3A1891" w14:textId="4B42BA2E" w:rsidR="00E2079F" w:rsidRDefault="00E2079F" w:rsidP="00F621A5">
      <w:pPr>
        <w:tabs>
          <w:tab w:val="left" w:pos="1701"/>
          <w:tab w:val="right" w:pos="5670"/>
        </w:tabs>
        <w:spacing w:after="0" w:line="240" w:lineRule="auto"/>
        <w:contextualSpacing/>
        <w:rPr>
          <w:rFonts w:ascii="Arial" w:eastAsia="ヒラギノ角ゴ Pro W3" w:hAnsi="Arial" w:cs="Arial"/>
          <w:bCs/>
          <w:color w:val="000000"/>
          <w:sz w:val="20"/>
          <w:szCs w:val="20"/>
          <w:lang w:val="en-US"/>
        </w:rPr>
      </w:pPr>
      <w:r>
        <w:rPr>
          <w:rFonts w:ascii="Arial" w:eastAsia="ヒラギノ角ゴ Pro W3" w:hAnsi="Arial" w:cs="Arial"/>
          <w:bCs/>
          <w:color w:val="000000"/>
          <w:sz w:val="20"/>
          <w:szCs w:val="20"/>
          <w:lang w:val="en-US"/>
        </w:rPr>
        <w:tab/>
      </w:r>
      <w:r>
        <w:rPr>
          <w:rFonts w:ascii="Arial" w:eastAsia="ヒラギノ角ゴ Pro W3" w:hAnsi="Arial" w:cs="Arial"/>
          <w:bCs/>
          <w:color w:val="000000"/>
          <w:sz w:val="20"/>
          <w:szCs w:val="20"/>
          <w:lang w:val="en-US"/>
        </w:rPr>
        <w:tab/>
      </w:r>
    </w:p>
    <w:p w14:paraId="060EA05D" w14:textId="0585CF25" w:rsidR="00E2079F" w:rsidRDefault="00E2079F" w:rsidP="00F621A5">
      <w:pPr>
        <w:tabs>
          <w:tab w:val="left" w:pos="1701"/>
          <w:tab w:val="right" w:pos="5670"/>
        </w:tabs>
        <w:spacing w:after="0" w:line="240" w:lineRule="auto"/>
        <w:contextualSpacing/>
        <w:rPr>
          <w:rFonts w:ascii="Arial" w:hAnsi="Arial" w:cs="Arial"/>
          <w:b/>
          <w:color w:val="000000"/>
          <w:sz w:val="20"/>
          <w:szCs w:val="20"/>
          <w:lang w:val="de-DE"/>
        </w:rPr>
      </w:pPr>
      <w:r>
        <w:rPr>
          <w:rFonts w:ascii="Arial" w:hAnsi="Arial" w:cs="Arial"/>
          <w:bCs/>
          <w:color w:val="000000"/>
          <w:sz w:val="20"/>
          <w:szCs w:val="20"/>
          <w:lang w:val="de-DE"/>
        </w:rPr>
        <w:tab/>
      </w:r>
      <w:r>
        <w:rPr>
          <w:rFonts w:ascii="Arial" w:hAnsi="Arial" w:cs="Arial"/>
          <w:bCs/>
          <w:color w:val="000000"/>
          <w:sz w:val="20"/>
          <w:szCs w:val="20"/>
          <w:lang w:val="de-DE"/>
        </w:rPr>
        <w:tab/>
      </w:r>
    </w:p>
    <w:bookmarkEnd w:id="0"/>
    <w:p w14:paraId="36130EEA" w14:textId="661680EA" w:rsidR="00E2079F" w:rsidRDefault="00E2079F" w:rsidP="00F621A5">
      <w:pPr>
        <w:spacing w:after="0" w:line="240" w:lineRule="auto"/>
        <w:jc w:val="both"/>
        <w:rPr>
          <w:rFonts w:ascii="Arial" w:eastAsia="ヒラギノ角ゴ Pro W3" w:hAnsi="Arial" w:cs="Arial"/>
          <w:b/>
          <w:bCs/>
          <w:color w:val="000000"/>
          <w:sz w:val="20"/>
          <w:szCs w:val="20"/>
        </w:rPr>
      </w:pP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p>
    <w:p w14:paraId="0D2ADE36" w14:textId="42C52928" w:rsidR="00E2079F" w:rsidRDefault="00E2079F" w:rsidP="00E2079F">
      <w:pPr>
        <w:spacing w:after="0" w:line="240" w:lineRule="auto"/>
        <w:ind w:left="720" w:hanging="720"/>
        <w:jc w:val="both"/>
        <w:rPr>
          <w:rFonts w:ascii="Arial" w:eastAsia="ヒラギノ角ゴ Pro W3" w:hAnsi="Arial" w:cs="Arial"/>
          <w:bCs/>
          <w:color w:val="000000"/>
          <w:sz w:val="20"/>
          <w:szCs w:val="20"/>
          <w:lang w:val="en-US"/>
        </w:rPr>
      </w:pPr>
      <w:r>
        <w:rPr>
          <w:rFonts w:ascii="Arial" w:eastAsia="ヒラギノ角ゴ Pro W3" w:hAnsi="Arial" w:cs="Arial"/>
          <w:bCs/>
          <w:color w:val="000000"/>
          <w:sz w:val="20"/>
          <w:szCs w:val="20"/>
          <w:lang w:val="en-US"/>
        </w:rPr>
        <w:tab/>
      </w:r>
      <w:r>
        <w:rPr>
          <w:rFonts w:ascii="Arial" w:eastAsia="ヒラギノ角ゴ Pro W3" w:hAnsi="Arial" w:cs="Arial"/>
          <w:bCs/>
          <w:color w:val="000000"/>
          <w:sz w:val="20"/>
          <w:szCs w:val="20"/>
          <w:lang w:val="en-US"/>
        </w:rPr>
        <w:tab/>
      </w:r>
    </w:p>
    <w:p w14:paraId="7A325930" w14:textId="4EF18F4D" w:rsidR="00756F4C" w:rsidRDefault="00756F4C" w:rsidP="00E2079F">
      <w:pPr>
        <w:tabs>
          <w:tab w:val="left" w:pos="1701"/>
          <w:tab w:val="right" w:pos="5670"/>
        </w:tabs>
        <w:spacing w:after="0" w:line="240" w:lineRule="auto"/>
        <w:contextualSpacing/>
        <w:rPr>
          <w:rFonts w:ascii="Arial" w:eastAsia="ヒラギノ角ゴ Pro W3" w:hAnsi="Arial" w:cs="Arial"/>
          <w:bCs/>
          <w:color w:val="000000"/>
          <w:sz w:val="20"/>
          <w:szCs w:val="20"/>
          <w:lang w:val="en-US"/>
        </w:rPr>
      </w:pPr>
    </w:p>
    <w:p w14:paraId="7BD6D6D0" w14:textId="2737833E" w:rsidR="00E2079F" w:rsidRDefault="00E2079F" w:rsidP="00E2079F">
      <w:pPr>
        <w:spacing w:after="0" w:line="240" w:lineRule="auto"/>
        <w:jc w:val="both"/>
        <w:rPr>
          <w:rFonts w:ascii="Arial" w:eastAsia="ヒラギノ角ゴ Pro W3" w:hAnsi="Arial" w:cs="Arial"/>
          <w:bCs/>
          <w:color w:val="000000"/>
          <w:sz w:val="20"/>
          <w:szCs w:val="20"/>
          <w:lang w:val="en-US"/>
        </w:rPr>
      </w:pPr>
      <w:r>
        <w:rPr>
          <w:rFonts w:ascii="Arial" w:eastAsia="ヒラギノ角ゴ Pro W3" w:hAnsi="Arial" w:cs="Arial"/>
          <w:bCs/>
          <w:color w:val="000000"/>
          <w:sz w:val="20"/>
          <w:szCs w:val="20"/>
          <w:lang w:val="en-US"/>
        </w:rPr>
        <w:tab/>
      </w:r>
      <w:r>
        <w:rPr>
          <w:rFonts w:ascii="Arial" w:eastAsia="ヒラギノ角ゴ Pro W3" w:hAnsi="Arial" w:cs="Arial"/>
          <w:bCs/>
          <w:color w:val="000000"/>
          <w:sz w:val="20"/>
          <w:szCs w:val="20"/>
          <w:lang w:val="en-US"/>
        </w:rPr>
        <w:tab/>
      </w:r>
      <w:r>
        <w:rPr>
          <w:rFonts w:ascii="Arial" w:eastAsia="ヒラギノ角ゴ Pro W3" w:hAnsi="Arial" w:cs="Arial"/>
          <w:bCs/>
          <w:color w:val="000000"/>
          <w:sz w:val="20"/>
          <w:szCs w:val="20"/>
          <w:lang w:val="en-US"/>
        </w:rPr>
        <w:tab/>
      </w:r>
      <w:r>
        <w:rPr>
          <w:rFonts w:ascii="Arial" w:eastAsia="ヒラギノ角ゴ Pro W3" w:hAnsi="Arial" w:cs="Arial"/>
          <w:bCs/>
          <w:color w:val="000000"/>
          <w:sz w:val="20"/>
          <w:szCs w:val="20"/>
          <w:lang w:val="en-US"/>
        </w:rPr>
        <w:tab/>
      </w:r>
      <w:r>
        <w:rPr>
          <w:rFonts w:ascii="Arial" w:eastAsia="ヒラギノ角ゴ Pro W3" w:hAnsi="Arial" w:cs="Arial"/>
          <w:bCs/>
          <w:color w:val="000000"/>
          <w:sz w:val="20"/>
          <w:szCs w:val="20"/>
          <w:lang w:val="en-US"/>
        </w:rPr>
        <w:tab/>
      </w:r>
      <w:r>
        <w:rPr>
          <w:rFonts w:ascii="Arial" w:eastAsia="ヒラギノ角ゴ Pro W3" w:hAnsi="Arial" w:cs="Arial"/>
          <w:bCs/>
          <w:color w:val="000000"/>
          <w:sz w:val="20"/>
          <w:szCs w:val="20"/>
          <w:lang w:val="en-US"/>
        </w:rPr>
        <w:tab/>
      </w:r>
    </w:p>
    <w:p w14:paraId="3EC09E5C" w14:textId="77777777" w:rsidR="00E2079F" w:rsidRPr="00E2079F" w:rsidRDefault="00E2079F" w:rsidP="00E14B26">
      <w:pPr>
        <w:jc w:val="both"/>
        <w:rPr>
          <w:rFonts w:ascii="Arial" w:hAnsi="Arial" w:cs="Arial"/>
          <w:b/>
          <w:sz w:val="21"/>
          <w:szCs w:val="20"/>
        </w:rPr>
      </w:pPr>
    </w:p>
    <w:p w14:paraId="279B0B41" w14:textId="77777777" w:rsidR="00E2079F" w:rsidRPr="00E2079F" w:rsidRDefault="00E2079F" w:rsidP="00E2079F">
      <w:pPr>
        <w:spacing w:after="0" w:line="240" w:lineRule="auto"/>
        <w:jc w:val="both"/>
        <w:rPr>
          <w:rFonts w:ascii="Calibri" w:eastAsia="Times New Roman" w:hAnsi="Calibri" w:cs="Calibri"/>
          <w:b/>
          <w:bCs/>
          <w:color w:val="000000"/>
          <w:sz w:val="24"/>
          <w:lang w:eastAsia="en-GB"/>
        </w:rPr>
      </w:pPr>
      <w:bookmarkStart w:id="2" w:name="_Hlk55907557"/>
      <w:r w:rsidRPr="00E2079F">
        <w:rPr>
          <w:rFonts w:ascii="Arial" w:eastAsia="Times New Roman" w:hAnsi="Arial" w:cs="Arial"/>
          <w:b/>
          <w:bCs/>
          <w:color w:val="000000"/>
          <w:sz w:val="20"/>
          <w:szCs w:val="18"/>
          <w:lang w:eastAsia="en-GB"/>
        </w:rPr>
        <w:t>IMPORTANT NOTICE</w:t>
      </w:r>
    </w:p>
    <w:p w14:paraId="020B91A9" w14:textId="77777777" w:rsidR="00E2079F" w:rsidRPr="00E2079F" w:rsidRDefault="00E2079F" w:rsidP="00E2079F">
      <w:pPr>
        <w:spacing w:after="0" w:line="240" w:lineRule="auto"/>
        <w:jc w:val="both"/>
        <w:rPr>
          <w:rFonts w:ascii="Calibri" w:eastAsia="Times New Roman" w:hAnsi="Calibri" w:cs="Calibri"/>
          <w:color w:val="000000"/>
          <w:sz w:val="24"/>
          <w:lang w:eastAsia="en-GB"/>
        </w:rPr>
      </w:pPr>
      <w:r w:rsidRPr="00E2079F">
        <w:rPr>
          <w:rFonts w:ascii="Arial" w:eastAsia="Times New Roman" w:hAnsi="Arial" w:cs="Arial"/>
          <w:color w:val="000000"/>
          <w:sz w:val="20"/>
          <w:szCs w:val="18"/>
          <w:lang w:eastAsia="en-GB"/>
        </w:rPr>
        <w:t> </w:t>
      </w:r>
    </w:p>
    <w:p w14:paraId="10DFBA18" w14:textId="77777777" w:rsidR="00E2079F" w:rsidRPr="00E2079F" w:rsidRDefault="00E2079F" w:rsidP="00E2079F">
      <w:pPr>
        <w:spacing w:after="0" w:line="240" w:lineRule="auto"/>
        <w:jc w:val="both"/>
        <w:rPr>
          <w:rFonts w:ascii="Calibri" w:eastAsia="Times New Roman" w:hAnsi="Calibri" w:cs="Calibri"/>
          <w:color w:val="000000"/>
          <w:sz w:val="24"/>
          <w:lang w:eastAsia="en-GB"/>
        </w:rPr>
      </w:pPr>
      <w:r w:rsidRPr="00E2079F">
        <w:rPr>
          <w:rFonts w:ascii="Arial" w:eastAsia="Times New Roman" w:hAnsi="Arial" w:cs="Arial"/>
          <w:color w:val="000000"/>
          <w:sz w:val="20"/>
          <w:szCs w:val="18"/>
          <w:lang w:eastAsia="en-GB"/>
        </w:rPr>
        <w:t>This announcement has been issued by and is the sole responsibility of the Company. The information contained in this announcement is for background purposes only and does not purport to be full or complete.  No reliance may or should be placed by any person for any purpose whatsoever on the information contained in this announcement or on its accuracy or completeness.  The information in this announcement is subject to change.</w:t>
      </w:r>
    </w:p>
    <w:p w14:paraId="71F2D8F3" w14:textId="77777777" w:rsidR="00E2079F" w:rsidRPr="00E2079F" w:rsidRDefault="00E2079F" w:rsidP="00E2079F">
      <w:pPr>
        <w:spacing w:after="0" w:line="240" w:lineRule="auto"/>
        <w:jc w:val="both"/>
        <w:rPr>
          <w:rFonts w:ascii="Arial" w:eastAsia="Times New Roman" w:hAnsi="Arial" w:cs="Arial"/>
          <w:color w:val="000000"/>
          <w:sz w:val="20"/>
          <w:szCs w:val="18"/>
          <w:lang w:eastAsia="en-GB"/>
        </w:rPr>
      </w:pPr>
    </w:p>
    <w:p w14:paraId="0C79D5E5" w14:textId="77777777" w:rsidR="00E2079F" w:rsidRPr="00E2079F" w:rsidRDefault="00E2079F" w:rsidP="00E2079F">
      <w:pPr>
        <w:spacing w:after="0" w:line="240" w:lineRule="auto"/>
        <w:jc w:val="both"/>
        <w:rPr>
          <w:rFonts w:ascii="Calibri" w:eastAsia="Times New Roman" w:hAnsi="Calibri" w:cs="Calibri"/>
          <w:color w:val="000000"/>
          <w:sz w:val="24"/>
          <w:lang w:eastAsia="en-GB"/>
        </w:rPr>
      </w:pPr>
      <w:r w:rsidRPr="00E2079F">
        <w:rPr>
          <w:rFonts w:ascii="Arial" w:eastAsia="Times New Roman" w:hAnsi="Arial" w:cs="Arial"/>
          <w:color w:val="000000"/>
          <w:sz w:val="20"/>
          <w:szCs w:val="18"/>
          <w:lang w:eastAsia="en-GB"/>
        </w:rPr>
        <w:t>This announcement is not a prospectus and is for information purposes only. Neither this announcement nor anything contained in it shall form the basis of, or be relied upon in conjunction with, any offer or commitment whatsoever in any jurisdiction.</w:t>
      </w:r>
    </w:p>
    <w:p w14:paraId="390F7028" w14:textId="77777777" w:rsidR="00E2079F" w:rsidRPr="00E2079F" w:rsidRDefault="00E2079F" w:rsidP="00E2079F">
      <w:pPr>
        <w:spacing w:after="0" w:line="240" w:lineRule="auto"/>
        <w:jc w:val="both"/>
        <w:rPr>
          <w:rFonts w:ascii="Calibri" w:eastAsia="Times New Roman" w:hAnsi="Calibri" w:cs="Calibri"/>
          <w:color w:val="000000"/>
          <w:sz w:val="24"/>
          <w:lang w:eastAsia="en-GB"/>
        </w:rPr>
      </w:pPr>
      <w:r w:rsidRPr="00E2079F">
        <w:rPr>
          <w:rFonts w:ascii="Arial" w:eastAsia="Times New Roman" w:hAnsi="Arial" w:cs="Arial"/>
          <w:color w:val="000000"/>
          <w:sz w:val="20"/>
          <w:szCs w:val="18"/>
          <w:lang w:eastAsia="en-GB"/>
        </w:rPr>
        <w:lastRenderedPageBreak/>
        <w:t> </w:t>
      </w:r>
    </w:p>
    <w:p w14:paraId="2D5A27CD" w14:textId="5C5A89A2" w:rsidR="00530243" w:rsidRPr="00E2079F" w:rsidRDefault="00530243" w:rsidP="00E2079F">
      <w:pPr>
        <w:spacing w:after="0" w:line="240" w:lineRule="auto"/>
        <w:jc w:val="both"/>
        <w:rPr>
          <w:rFonts w:ascii="Calibri" w:eastAsia="Times New Roman" w:hAnsi="Calibri" w:cs="Calibri"/>
          <w:color w:val="000000"/>
          <w:sz w:val="24"/>
          <w:lang w:eastAsia="en-GB"/>
        </w:rPr>
      </w:pPr>
      <w:r w:rsidRPr="00E2079F">
        <w:rPr>
          <w:rFonts w:ascii="Arial" w:eastAsia="Times New Roman" w:hAnsi="Arial" w:cs="Arial"/>
          <w:color w:val="000000"/>
          <w:sz w:val="20"/>
          <w:szCs w:val="18"/>
          <w:lang w:eastAsia="en-GB"/>
        </w:rPr>
        <w:t xml:space="preserve">A copy of the Prospectus is available on </w:t>
      </w:r>
      <w:r>
        <w:rPr>
          <w:rFonts w:ascii="Arial" w:eastAsia="Times New Roman" w:hAnsi="Arial" w:cs="Arial"/>
          <w:color w:val="000000"/>
          <w:sz w:val="20"/>
          <w:szCs w:val="18"/>
          <w:lang w:eastAsia="en-GB"/>
        </w:rPr>
        <w:t>the Company’s</w:t>
      </w:r>
      <w:r w:rsidRPr="00E2079F">
        <w:rPr>
          <w:rFonts w:ascii="Arial" w:eastAsia="Times New Roman" w:hAnsi="Arial" w:cs="Arial"/>
          <w:color w:val="000000"/>
          <w:sz w:val="20"/>
          <w:szCs w:val="18"/>
          <w:lang w:eastAsia="en-GB"/>
        </w:rPr>
        <w:t xml:space="preserve"> website at </w:t>
      </w:r>
      <w:hyperlink r:id="rId10" w:history="1">
        <w:r w:rsidRPr="007925B6">
          <w:rPr>
            <w:rStyle w:val="Hyperlink"/>
            <w:rFonts w:ascii="Arial" w:hAnsi="Arial" w:cs="Arial"/>
            <w:sz w:val="20"/>
            <w:szCs w:val="20"/>
            <w:lang w:eastAsia="en-GB"/>
          </w:rPr>
          <w:t>www.astonmartinlagonda.com/investors/October-2020-Placing</w:t>
        </w:r>
      </w:hyperlink>
      <w:r w:rsidRPr="00E2079F">
        <w:rPr>
          <w:rFonts w:ascii="Arial" w:eastAsia="Times New Roman" w:hAnsi="Arial" w:cs="Arial"/>
          <w:color w:val="000000"/>
          <w:sz w:val="20"/>
          <w:szCs w:val="18"/>
          <w:lang w:eastAsia="en-GB"/>
        </w:rPr>
        <w:t xml:space="preserve">. Neither the content of the Company's website nor any website accessible by hyperlinks on the Company's website is incorporated in, or forms part of, this announcement. </w:t>
      </w:r>
    </w:p>
    <w:p w14:paraId="011187D5" w14:textId="77777777" w:rsidR="00E2079F" w:rsidRPr="00E2079F" w:rsidRDefault="00E2079F" w:rsidP="00E2079F">
      <w:pPr>
        <w:spacing w:after="0" w:line="240" w:lineRule="auto"/>
        <w:jc w:val="both"/>
        <w:rPr>
          <w:rFonts w:ascii="Calibri" w:eastAsia="Times New Roman" w:hAnsi="Calibri" w:cs="Calibri"/>
          <w:color w:val="000000"/>
          <w:sz w:val="24"/>
          <w:lang w:eastAsia="en-GB"/>
        </w:rPr>
      </w:pPr>
      <w:r w:rsidRPr="00E2079F">
        <w:rPr>
          <w:rFonts w:ascii="Arial" w:eastAsia="Times New Roman" w:hAnsi="Arial" w:cs="Arial"/>
          <w:color w:val="000000"/>
          <w:sz w:val="20"/>
          <w:szCs w:val="18"/>
          <w:lang w:eastAsia="en-GB"/>
        </w:rPr>
        <w:t> </w:t>
      </w:r>
    </w:p>
    <w:p w14:paraId="1894AC54" w14:textId="0C77C125" w:rsidR="00E2079F" w:rsidRPr="00E2079F" w:rsidRDefault="00E2079F" w:rsidP="00E2079F">
      <w:pPr>
        <w:spacing w:after="0" w:line="240" w:lineRule="auto"/>
        <w:jc w:val="both"/>
        <w:rPr>
          <w:rFonts w:ascii="Calibri" w:eastAsia="Times New Roman" w:hAnsi="Calibri" w:cs="Calibri"/>
          <w:color w:val="000000"/>
          <w:sz w:val="24"/>
          <w:lang w:eastAsia="en-GB"/>
        </w:rPr>
      </w:pPr>
      <w:r w:rsidRPr="00E2079F">
        <w:rPr>
          <w:rFonts w:ascii="Arial" w:eastAsia="Times New Roman" w:hAnsi="Arial" w:cs="Arial"/>
          <w:color w:val="000000"/>
          <w:sz w:val="20"/>
          <w:szCs w:val="18"/>
          <w:lang w:eastAsia="en-GB"/>
        </w:rPr>
        <w:t xml:space="preserve">This announcement does not contain or constitute an offer for sale or the solicitation of an offer to purchase securities in the United States. None of the securities referred to in this announcement or in the Prospectus have been </w:t>
      </w:r>
      <w:r w:rsidR="00FF4380">
        <w:rPr>
          <w:rFonts w:ascii="Arial" w:eastAsia="Times New Roman" w:hAnsi="Arial" w:cs="Arial"/>
          <w:color w:val="000000"/>
          <w:sz w:val="20"/>
          <w:szCs w:val="18"/>
          <w:lang w:eastAsia="en-GB"/>
        </w:rPr>
        <w:t>or</w:t>
      </w:r>
      <w:r w:rsidRPr="00E2079F">
        <w:rPr>
          <w:rFonts w:ascii="Arial" w:eastAsia="Times New Roman" w:hAnsi="Arial" w:cs="Arial"/>
          <w:color w:val="000000"/>
          <w:sz w:val="20"/>
          <w:szCs w:val="18"/>
          <w:lang w:eastAsia="en-GB"/>
        </w:rPr>
        <w:t xml:space="preserve"> will be registered under the US Securities Act of 1933 (the "</w:t>
      </w:r>
      <w:r w:rsidRPr="00E2079F">
        <w:rPr>
          <w:rFonts w:ascii="Arial" w:eastAsia="Times New Roman" w:hAnsi="Arial" w:cs="Arial"/>
          <w:b/>
          <w:color w:val="000000"/>
          <w:sz w:val="20"/>
          <w:szCs w:val="18"/>
          <w:lang w:eastAsia="en-GB"/>
        </w:rPr>
        <w:t>Securities Act</w:t>
      </w:r>
      <w:r w:rsidRPr="00E2079F">
        <w:rPr>
          <w:rFonts w:ascii="Arial" w:eastAsia="Times New Roman" w:hAnsi="Arial" w:cs="Arial"/>
          <w:color w:val="000000"/>
          <w:sz w:val="20"/>
          <w:szCs w:val="18"/>
          <w:lang w:eastAsia="en-GB"/>
        </w:rPr>
        <w:t>") or under any securities laws of any state or other jurisdiction of the United States and may not be offered, sold, taken up, exercised, resold, transferred or delivered, directly or indirectly, within the United States except pursuant to an applicable exemption from or in a transaction not subject to the registration requirements of the Securities Act and in compliance with any applicable securities laws of any state or other jurisdiction of the United States. There will be no public offer of any such securities in the United States. None of the securities referred to in this announcement or in the Prospectus, nor the Form of Proxy, this announcement or any other document connected with the matters discussed in this announcement or in the Prospectus has been or will be approved or disapproved by the United States Securities and Exchange Commission or by the securities commissions of any state or other jurisdiction of the United States or any other regulatory authority, and none of the foregoing authorities or any securities commission has passed upon or endorsed the merits of such securities or documents or the accuracy or adequacy of this announcement or any other such document. Any representation to the contrary is a criminal offence in the United States.</w:t>
      </w:r>
    </w:p>
    <w:p w14:paraId="1AA3E3F7" w14:textId="77777777" w:rsidR="00E2079F" w:rsidRPr="00E2079F" w:rsidRDefault="00E2079F" w:rsidP="00E2079F">
      <w:pPr>
        <w:spacing w:after="0" w:line="240" w:lineRule="auto"/>
        <w:jc w:val="both"/>
        <w:rPr>
          <w:rFonts w:ascii="Calibri" w:eastAsia="Times New Roman" w:hAnsi="Calibri" w:cs="Calibri"/>
          <w:color w:val="000000"/>
          <w:sz w:val="24"/>
          <w:lang w:eastAsia="en-GB"/>
        </w:rPr>
      </w:pPr>
      <w:r w:rsidRPr="00E2079F">
        <w:rPr>
          <w:rFonts w:ascii="Arial" w:eastAsia="Times New Roman" w:hAnsi="Arial" w:cs="Arial"/>
          <w:color w:val="000000"/>
          <w:sz w:val="20"/>
          <w:szCs w:val="18"/>
          <w:lang w:eastAsia="en-GB"/>
        </w:rPr>
        <w:t> </w:t>
      </w:r>
    </w:p>
    <w:p w14:paraId="1C6D4AB8" w14:textId="77777777" w:rsidR="00E2079F" w:rsidRPr="00E2079F" w:rsidRDefault="00E2079F" w:rsidP="00E2079F">
      <w:pPr>
        <w:spacing w:after="0" w:line="240" w:lineRule="auto"/>
        <w:jc w:val="both"/>
        <w:rPr>
          <w:rFonts w:ascii="Calibri" w:eastAsia="Times New Roman" w:hAnsi="Calibri" w:cs="Calibri"/>
          <w:color w:val="000000"/>
          <w:sz w:val="24"/>
          <w:lang w:eastAsia="en-GB"/>
        </w:rPr>
      </w:pPr>
      <w:r w:rsidRPr="00E2079F">
        <w:rPr>
          <w:rFonts w:ascii="Arial" w:eastAsia="Times New Roman" w:hAnsi="Arial" w:cs="Arial"/>
          <w:color w:val="000000"/>
          <w:sz w:val="20"/>
          <w:szCs w:val="18"/>
          <w:lang w:eastAsia="en-GB"/>
        </w:rPr>
        <w:t>No offer or invitation to purchase or subscribe for, or any solicitation to purchase or subscribe for, any securities will be made in any jurisdiction in which such an offer or solicitation is unlawful. The information contained in this announcement is not for release, publication or distribution to persons in the United States or Australia, Canada, Japan or the Republic of South Africa, and should not be distributed, forwarded to or transmitted in or into any jurisdiction, where to do so might constitute a violation of local securities laws or regulations.</w:t>
      </w:r>
    </w:p>
    <w:p w14:paraId="27D837B8" w14:textId="77777777" w:rsidR="00E2079F" w:rsidRPr="00E2079F" w:rsidRDefault="00E2079F" w:rsidP="00E2079F">
      <w:pPr>
        <w:spacing w:after="0" w:line="240" w:lineRule="auto"/>
        <w:jc w:val="both"/>
        <w:rPr>
          <w:rFonts w:ascii="Calibri" w:eastAsia="Times New Roman" w:hAnsi="Calibri" w:cs="Calibri"/>
          <w:color w:val="000000"/>
          <w:sz w:val="24"/>
          <w:lang w:eastAsia="en-GB"/>
        </w:rPr>
      </w:pPr>
      <w:r w:rsidRPr="00E2079F">
        <w:rPr>
          <w:rFonts w:ascii="Arial" w:eastAsia="Times New Roman" w:hAnsi="Arial" w:cs="Arial"/>
          <w:color w:val="000000"/>
          <w:sz w:val="20"/>
          <w:szCs w:val="18"/>
          <w:lang w:eastAsia="en-GB"/>
        </w:rPr>
        <w:t> </w:t>
      </w:r>
    </w:p>
    <w:p w14:paraId="2CDE58E3" w14:textId="77777777" w:rsidR="00E2079F" w:rsidRPr="00E2079F" w:rsidRDefault="00E2079F" w:rsidP="00E2079F">
      <w:pPr>
        <w:spacing w:after="0" w:line="240" w:lineRule="auto"/>
        <w:jc w:val="both"/>
        <w:rPr>
          <w:rFonts w:ascii="Calibri" w:eastAsia="Times New Roman" w:hAnsi="Calibri" w:cs="Calibri"/>
          <w:color w:val="000000"/>
          <w:sz w:val="24"/>
          <w:lang w:eastAsia="en-GB"/>
        </w:rPr>
      </w:pPr>
      <w:r w:rsidRPr="00E2079F">
        <w:rPr>
          <w:rFonts w:ascii="Arial" w:eastAsia="Times New Roman" w:hAnsi="Arial" w:cs="Arial"/>
          <w:color w:val="000000"/>
          <w:sz w:val="20"/>
          <w:szCs w:val="18"/>
          <w:lang w:eastAsia="en-GB"/>
        </w:rPr>
        <w:t>The distribution of this announcement into jurisdictions other than the United Kingdom may be restricted by law, and, therefore, persons into whose possession this announcement comes should inform themselves about and observe any such restrictions. Any failure to comply with any such restrictions may constitute a violation of the securities laws of such jurisdiction. In particular, subject to certain exceptions, neither this announcement nor the Prospectus should be distributed, forwarded to or transmitted in or into the United States, Australia, Canada, Japan or the Republic of South Africa or any other jurisdiction where to do so might constitute a violation of local securities laws or regulations.</w:t>
      </w:r>
    </w:p>
    <w:p w14:paraId="6904BFC9" w14:textId="77777777" w:rsidR="00E2079F" w:rsidRPr="00E2079F" w:rsidRDefault="00E2079F" w:rsidP="00E2079F">
      <w:pPr>
        <w:spacing w:after="0" w:line="240" w:lineRule="auto"/>
        <w:jc w:val="both"/>
        <w:rPr>
          <w:rFonts w:ascii="Calibri" w:eastAsia="Times New Roman" w:hAnsi="Calibri" w:cs="Calibri"/>
          <w:color w:val="000000"/>
          <w:sz w:val="24"/>
          <w:lang w:eastAsia="en-GB"/>
        </w:rPr>
      </w:pPr>
      <w:r w:rsidRPr="00E2079F">
        <w:rPr>
          <w:rFonts w:ascii="Arial" w:eastAsia="Times New Roman" w:hAnsi="Arial" w:cs="Arial"/>
          <w:color w:val="000000"/>
          <w:sz w:val="20"/>
          <w:szCs w:val="18"/>
          <w:lang w:eastAsia="en-GB"/>
        </w:rPr>
        <w:t> </w:t>
      </w:r>
    </w:p>
    <w:p w14:paraId="763E76DE" w14:textId="77777777" w:rsidR="00E2079F" w:rsidRPr="00E2079F" w:rsidRDefault="00E2079F" w:rsidP="00E2079F">
      <w:pPr>
        <w:spacing w:after="0" w:line="240" w:lineRule="auto"/>
        <w:jc w:val="both"/>
        <w:rPr>
          <w:rFonts w:ascii="Calibri" w:eastAsia="Times New Roman" w:hAnsi="Calibri" w:cs="Calibri"/>
          <w:color w:val="000000"/>
          <w:sz w:val="24"/>
          <w:lang w:eastAsia="en-GB"/>
        </w:rPr>
      </w:pPr>
      <w:r w:rsidRPr="00E2079F">
        <w:rPr>
          <w:rFonts w:ascii="Arial" w:eastAsia="Times New Roman" w:hAnsi="Arial" w:cs="Arial"/>
          <w:color w:val="000000"/>
          <w:sz w:val="20"/>
          <w:szCs w:val="18"/>
          <w:lang w:eastAsia="en-GB"/>
        </w:rPr>
        <w:t>The contents of this announcement are not to be construed as legal, business, financial or tax advice. Each Shareholder or prospective investor should consult his, her or its own legal adviser, business adviser, financial adviser or tax adviser for legal, financial, business or tax advice.</w:t>
      </w:r>
    </w:p>
    <w:p w14:paraId="556319EF" w14:textId="77777777" w:rsidR="00E2079F" w:rsidRPr="008C0D47" w:rsidRDefault="00E2079F" w:rsidP="00E2079F">
      <w:pPr>
        <w:spacing w:after="0" w:line="240" w:lineRule="auto"/>
        <w:jc w:val="both"/>
        <w:rPr>
          <w:rFonts w:ascii="Calibri" w:eastAsia="Times New Roman" w:hAnsi="Calibri" w:cs="Calibri"/>
          <w:color w:val="000000"/>
          <w:lang w:eastAsia="en-GB"/>
        </w:rPr>
      </w:pPr>
      <w:r w:rsidRPr="008C0D47">
        <w:rPr>
          <w:rFonts w:ascii="Arial" w:eastAsia="Times New Roman" w:hAnsi="Arial" w:cs="Arial"/>
          <w:color w:val="000000"/>
          <w:sz w:val="18"/>
          <w:szCs w:val="18"/>
          <w:lang w:eastAsia="en-GB"/>
        </w:rPr>
        <w:t> </w:t>
      </w:r>
    </w:p>
    <w:p w14:paraId="1E4B7366" w14:textId="77777777" w:rsidR="00DD248C" w:rsidRPr="00DD248C" w:rsidRDefault="00DD248C" w:rsidP="00DD248C">
      <w:pPr>
        <w:spacing w:after="0" w:line="240" w:lineRule="auto"/>
        <w:jc w:val="both"/>
        <w:rPr>
          <w:rFonts w:ascii="Calibri" w:eastAsia="Times New Roman" w:hAnsi="Calibri" w:cs="Calibri"/>
          <w:b/>
          <w:bCs/>
          <w:color w:val="000000"/>
          <w:sz w:val="24"/>
          <w:lang w:eastAsia="en-GB"/>
        </w:rPr>
      </w:pPr>
      <w:r w:rsidRPr="00DD248C">
        <w:rPr>
          <w:rFonts w:ascii="Arial" w:eastAsia="Times New Roman" w:hAnsi="Arial" w:cs="Arial"/>
          <w:b/>
          <w:bCs/>
          <w:color w:val="000000"/>
          <w:sz w:val="20"/>
          <w:szCs w:val="18"/>
          <w:lang w:eastAsia="en-GB"/>
        </w:rPr>
        <w:t>Notice to all investors</w:t>
      </w:r>
    </w:p>
    <w:p w14:paraId="4F96E180" w14:textId="77777777" w:rsidR="00DD248C" w:rsidRPr="00DD248C" w:rsidRDefault="00DD248C" w:rsidP="00DD248C">
      <w:pPr>
        <w:spacing w:after="0" w:line="240" w:lineRule="auto"/>
        <w:jc w:val="both"/>
        <w:rPr>
          <w:rFonts w:ascii="Calibri" w:eastAsia="Times New Roman" w:hAnsi="Calibri" w:cs="Calibri"/>
          <w:color w:val="000000"/>
          <w:sz w:val="24"/>
          <w:lang w:eastAsia="en-GB"/>
        </w:rPr>
      </w:pPr>
      <w:r w:rsidRPr="00DD248C">
        <w:rPr>
          <w:rFonts w:ascii="Arial" w:eastAsia="Times New Roman" w:hAnsi="Arial" w:cs="Arial"/>
          <w:color w:val="000000"/>
          <w:sz w:val="20"/>
          <w:szCs w:val="18"/>
          <w:lang w:eastAsia="en-GB"/>
        </w:rPr>
        <w:t> </w:t>
      </w:r>
    </w:p>
    <w:p w14:paraId="6A55D658" w14:textId="77777777" w:rsidR="00DD248C" w:rsidRPr="00DD248C" w:rsidRDefault="00DD248C" w:rsidP="00DD248C">
      <w:pPr>
        <w:spacing w:after="0" w:line="240" w:lineRule="auto"/>
        <w:jc w:val="both"/>
        <w:rPr>
          <w:rFonts w:ascii="Arial" w:eastAsia="Times New Roman" w:hAnsi="Arial" w:cs="Arial"/>
          <w:color w:val="000000"/>
          <w:sz w:val="20"/>
          <w:szCs w:val="18"/>
          <w:lang w:eastAsia="en-GB"/>
        </w:rPr>
      </w:pPr>
      <w:r w:rsidRPr="00DD248C">
        <w:rPr>
          <w:rFonts w:ascii="Arial" w:eastAsia="Times New Roman" w:hAnsi="Arial" w:cs="Arial"/>
          <w:color w:val="000000"/>
          <w:sz w:val="20"/>
          <w:szCs w:val="18"/>
          <w:lang w:eastAsia="en-GB"/>
        </w:rPr>
        <w:t>Barclays Bank PLC, acting through its investment bank ("</w:t>
      </w:r>
      <w:r w:rsidRPr="00511D3B">
        <w:rPr>
          <w:rFonts w:ascii="Arial" w:eastAsia="Times New Roman" w:hAnsi="Arial" w:cs="Arial"/>
          <w:b/>
          <w:color w:val="000000"/>
          <w:sz w:val="20"/>
          <w:szCs w:val="18"/>
          <w:lang w:eastAsia="en-GB"/>
        </w:rPr>
        <w:t>Barclays</w:t>
      </w:r>
      <w:r w:rsidRPr="00DD248C">
        <w:rPr>
          <w:rFonts w:ascii="Arial" w:eastAsia="Times New Roman" w:hAnsi="Arial" w:cs="Arial"/>
          <w:color w:val="000000"/>
          <w:sz w:val="20"/>
          <w:szCs w:val="18"/>
          <w:lang w:eastAsia="en-GB"/>
        </w:rPr>
        <w:t>"), which is authorised by the Prudential Regulation Authority and regulated in the United Kingdom by the Financial Conduct Authority and the Prudential Regulation Authority, is acting exclusively for the Company and no one else in connection with the Admission of the Tranche 1 Consideration Shares and the Placing Shares and will not be responsible to anyone other than the Company for providing the protections afforded to clients of Barclays nor for providing advice in relation to Admission of the Tranche 1 Consideration Shares and the Placing Shares or any transaction, matter or arrangement referred to in this announcement or in the Prospectus.</w:t>
      </w:r>
    </w:p>
    <w:p w14:paraId="7A0CEEEB" w14:textId="77777777" w:rsidR="00DD248C" w:rsidRPr="00DD248C" w:rsidRDefault="00DD248C" w:rsidP="00DD248C">
      <w:pPr>
        <w:spacing w:after="0" w:line="240" w:lineRule="auto"/>
        <w:jc w:val="both"/>
        <w:rPr>
          <w:rFonts w:ascii="Calibri" w:eastAsia="Times New Roman" w:hAnsi="Calibri" w:cs="Calibri"/>
          <w:color w:val="000000"/>
          <w:sz w:val="24"/>
          <w:lang w:eastAsia="en-GB"/>
        </w:rPr>
      </w:pPr>
    </w:p>
    <w:p w14:paraId="5D369E5D" w14:textId="77777777" w:rsidR="00DD248C" w:rsidRPr="00DD248C" w:rsidRDefault="00DD248C" w:rsidP="00DD248C">
      <w:pPr>
        <w:spacing w:after="0" w:line="240" w:lineRule="auto"/>
        <w:jc w:val="both"/>
        <w:rPr>
          <w:rFonts w:ascii="Arial" w:eastAsia="Times New Roman" w:hAnsi="Arial" w:cs="Arial"/>
          <w:color w:val="000000"/>
          <w:sz w:val="20"/>
          <w:szCs w:val="18"/>
          <w:lang w:eastAsia="en-GB"/>
        </w:rPr>
      </w:pPr>
      <w:r w:rsidRPr="00DD248C">
        <w:rPr>
          <w:rFonts w:ascii="Arial" w:eastAsia="Times New Roman" w:hAnsi="Arial" w:cs="Arial"/>
          <w:color w:val="000000"/>
          <w:sz w:val="20"/>
          <w:szCs w:val="18"/>
          <w:lang w:eastAsia="en-GB"/>
        </w:rPr>
        <w:t>J.P. Morgan Securities plc (which conducts its UK investment banking business as "</w:t>
      </w:r>
      <w:r w:rsidRPr="00511D3B">
        <w:rPr>
          <w:rFonts w:ascii="Arial" w:eastAsia="Times New Roman" w:hAnsi="Arial" w:cs="Arial"/>
          <w:b/>
          <w:color w:val="000000"/>
          <w:sz w:val="20"/>
          <w:szCs w:val="18"/>
          <w:lang w:eastAsia="en-GB"/>
        </w:rPr>
        <w:t>J.P. Morgan Cazenove</w:t>
      </w:r>
      <w:r w:rsidRPr="00DD248C">
        <w:rPr>
          <w:rFonts w:ascii="Arial" w:eastAsia="Times New Roman" w:hAnsi="Arial" w:cs="Arial"/>
          <w:color w:val="000000"/>
          <w:sz w:val="20"/>
          <w:szCs w:val="18"/>
          <w:lang w:eastAsia="en-GB"/>
        </w:rPr>
        <w:t>") is authorised by the Prudential Regulation Authority and regulated by the Prudential Regulation Authority and Financial Conduct Authority. J.P. Morgan Cazenove is acting exclusively for the Company and no one else in connection with the Strategic Cooperation and will not be responsible to anyone other than Aston Martin Lagonda Global Holdings plc for providing the protections afforded to clients of J.P. Morgan Cazenove nor for providing advice to any person in relation to the Strategic Cooperation or any matter or arrangement referred to in this announcement or in the Prospectus.</w:t>
      </w:r>
    </w:p>
    <w:p w14:paraId="13662C55" w14:textId="77777777" w:rsidR="00DD248C" w:rsidRPr="00DD248C" w:rsidRDefault="00DD248C" w:rsidP="00DD248C">
      <w:pPr>
        <w:spacing w:after="0" w:line="240" w:lineRule="auto"/>
        <w:jc w:val="both"/>
        <w:rPr>
          <w:rFonts w:ascii="Calibri" w:eastAsia="Times New Roman" w:hAnsi="Calibri" w:cs="Calibri"/>
          <w:color w:val="000000"/>
          <w:sz w:val="24"/>
          <w:lang w:eastAsia="en-GB"/>
        </w:rPr>
      </w:pPr>
    </w:p>
    <w:p w14:paraId="0411A8F8" w14:textId="7290C192" w:rsidR="002D1A6B" w:rsidRPr="00DD248C" w:rsidRDefault="00DD248C" w:rsidP="00DD248C">
      <w:pPr>
        <w:spacing w:line="240" w:lineRule="auto"/>
        <w:jc w:val="both"/>
        <w:rPr>
          <w:rFonts w:ascii="Arial" w:eastAsia="Times New Roman" w:hAnsi="Arial" w:cs="Arial"/>
          <w:color w:val="000000"/>
          <w:sz w:val="20"/>
          <w:szCs w:val="18"/>
          <w:lang w:eastAsia="en-GB"/>
        </w:rPr>
      </w:pPr>
      <w:r w:rsidRPr="00DD248C">
        <w:rPr>
          <w:rFonts w:ascii="Arial" w:eastAsia="Times New Roman" w:hAnsi="Arial" w:cs="Arial"/>
          <w:color w:val="000000"/>
          <w:sz w:val="20"/>
          <w:szCs w:val="18"/>
          <w:lang w:eastAsia="en-GB"/>
        </w:rPr>
        <w:t>None of Barclays or J.P. Morgan Cazenove, nor any of their respective subsidiaries, branches or affiliates, nor any of their respective directors, officers or employees owes or accepts any duty, liability or responsibility whatsoever (whether direct or indirect, whether in contract, in tort, under statute or otherwise) to any person who is not a client of Barclays or J.P. Morgan Cazenove in connection with this Announcement, any statement contained herein, or otherwise.</w:t>
      </w:r>
      <w:bookmarkEnd w:id="2"/>
    </w:p>
    <w:sectPr w:rsidR="002D1A6B" w:rsidRPr="00DD248C">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43F76" w14:textId="77777777" w:rsidR="00AA05FC" w:rsidRDefault="00AA05FC" w:rsidP="00B13E3B">
      <w:pPr>
        <w:spacing w:after="0" w:line="240" w:lineRule="auto"/>
      </w:pPr>
      <w:r>
        <w:separator/>
      </w:r>
    </w:p>
  </w:endnote>
  <w:endnote w:type="continuationSeparator" w:id="0">
    <w:p w14:paraId="30954BD4" w14:textId="77777777" w:rsidR="00AA05FC" w:rsidRDefault="00AA05FC">
      <w:pPr>
        <w:spacing w:after="0" w:line="240" w:lineRule="auto"/>
      </w:pPr>
    </w:p>
  </w:endnote>
  <w:endnote w:type="continuationNotice" w:id="1">
    <w:p w14:paraId="6A0F6784" w14:textId="77777777" w:rsidR="00AA05FC" w:rsidRDefault="00AA0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auto"/>
    <w:notTrueType/>
    <w:pitch w:val="default"/>
    <w:sig w:usb0="00000003" w:usb1="00000000" w:usb2="00000000" w:usb3="00000000" w:csb0="00000001"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1411847922"/>
      <w:docPartObj>
        <w:docPartGallery w:val="Page Numbers (Bottom of Page)"/>
        <w:docPartUnique/>
      </w:docPartObj>
    </w:sdtPr>
    <w:sdtEndPr>
      <w:rPr>
        <w:noProof/>
      </w:rPr>
    </w:sdtEndPr>
    <w:sdtContent>
      <w:p w14:paraId="00C6A785" w14:textId="3DA3001D" w:rsidR="006F165C" w:rsidRPr="00EC45EE" w:rsidRDefault="006F165C">
        <w:pPr>
          <w:pStyle w:val="Footer"/>
          <w:jc w:val="center"/>
          <w:rPr>
            <w:rFonts w:asciiTheme="minorHAnsi" w:hAnsiTheme="minorHAnsi"/>
          </w:rPr>
        </w:pPr>
        <w:r w:rsidRPr="00EC45EE">
          <w:rPr>
            <w:rFonts w:asciiTheme="minorHAnsi" w:hAnsiTheme="minorHAnsi"/>
          </w:rPr>
          <w:fldChar w:fldCharType="begin"/>
        </w:r>
        <w:r w:rsidRPr="00EC45EE">
          <w:rPr>
            <w:rFonts w:asciiTheme="minorHAnsi" w:hAnsiTheme="minorHAnsi"/>
          </w:rPr>
          <w:instrText xml:space="preserve"> PAGE   \* MERGEFORMAT </w:instrText>
        </w:r>
        <w:r w:rsidRPr="00EC45EE">
          <w:rPr>
            <w:rFonts w:asciiTheme="minorHAnsi" w:hAnsiTheme="minorHAnsi"/>
          </w:rPr>
          <w:fldChar w:fldCharType="separate"/>
        </w:r>
        <w:r w:rsidR="004820FF">
          <w:rPr>
            <w:rFonts w:asciiTheme="minorHAnsi" w:hAnsiTheme="minorHAnsi"/>
            <w:noProof/>
          </w:rPr>
          <w:t>4</w:t>
        </w:r>
        <w:r w:rsidRPr="00EC45EE">
          <w:rPr>
            <w:rFonts w:asciiTheme="minorHAnsi" w:hAnsiTheme="minorHAnsi"/>
            <w:noProof/>
          </w:rPr>
          <w:fldChar w:fldCharType="end"/>
        </w:r>
      </w:p>
    </w:sdtContent>
  </w:sdt>
  <w:p w14:paraId="6015558F" w14:textId="77777777" w:rsidR="006F165C" w:rsidRPr="00EC45EE" w:rsidRDefault="006F165C">
    <w:pPr>
      <w:pStyle w:val="Footer"/>
      <w:spacing w:line="20" w:lineRule="exact"/>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327EF" w14:textId="77777777" w:rsidR="006F165C" w:rsidRDefault="006F165C">
    <w:pPr>
      <w:pStyle w:val="Footer"/>
      <w:spacing w:line="20" w:lineRule="exact"/>
    </w:pPr>
    <w:r>
      <w:rPr>
        <w:noProof/>
        <w:lang w:eastAsia="en-GB"/>
      </w:rPr>
      <mc:AlternateContent>
        <mc:Choice Requires="wps">
          <w:drawing>
            <wp:anchor distT="0" distB="0" distL="114300" distR="114300" simplePos="0" relativeHeight="251661312" behindDoc="1" locked="0" layoutInCell="1" allowOverlap="1" wp14:anchorId="41CBA404" wp14:editId="3C600199">
              <wp:simplePos x="0" y="0"/>
              <wp:positionH relativeFrom="margin">
                <wp:posOffset>0</wp:posOffset>
              </wp:positionH>
              <wp:positionV relativeFrom="paragraph">
                <wp:posOffset>-126365</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A23BF" w14:textId="7616FD49" w:rsidR="006F165C" w:rsidRDefault="006F165C">
                          <w:pPr>
                            <w:pStyle w:val="MacPacTrailer"/>
                          </w:pPr>
                          <w:r>
                            <w:fldChar w:fldCharType="begin"/>
                          </w:r>
                          <w:r>
                            <w:instrText xml:space="preserve"> DOCPROPERTY  docId </w:instrText>
                          </w:r>
                          <w:r>
                            <w:fldChar w:fldCharType="separate"/>
                          </w:r>
                          <w:r w:rsidR="00530243">
                            <w:t>LON58400412</w:t>
                          </w:r>
                          <w:r>
                            <w:fldChar w:fldCharType="end"/>
                          </w:r>
                          <w:r>
                            <w:fldChar w:fldCharType="begin"/>
                          </w:r>
                          <w:r>
                            <w:instrText xml:space="preserve"> IF </w:instrText>
                          </w:r>
                          <w:r>
                            <w:fldChar w:fldCharType="begin"/>
                          </w:r>
                          <w:r>
                            <w:instrText xml:space="preserve"> DOCPROPERTY  docIncludeVersion </w:instrText>
                          </w:r>
                          <w:r>
                            <w:fldChar w:fldCharType="separate"/>
                          </w:r>
                          <w:r w:rsidR="00530243">
                            <w:instrText>true</w:instrText>
                          </w:r>
                          <w:r>
                            <w:fldChar w:fldCharType="end"/>
                          </w:r>
                          <w:r>
                            <w:instrText xml:space="preserve"> = true "/</w:instrText>
                          </w:r>
                          <w:r>
                            <w:fldChar w:fldCharType="begin"/>
                          </w:r>
                          <w:r>
                            <w:instrText xml:space="preserve"> DOCPROPERTY  docVersion </w:instrText>
                          </w:r>
                          <w:r>
                            <w:fldChar w:fldCharType="separate"/>
                          </w:r>
                          <w:r w:rsidR="00530243">
                            <w:instrText>15</w:instrText>
                          </w:r>
                          <w:r>
                            <w:fldChar w:fldCharType="end"/>
                          </w:r>
                          <w:r>
                            <w:instrText>"</w:instrText>
                          </w:r>
                          <w:r>
                            <w:fldChar w:fldCharType="separate"/>
                          </w:r>
                          <w:r w:rsidR="00530243">
                            <w:rPr>
                              <w:noProof/>
                            </w:rPr>
                            <w:t>/15</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530243">
                            <w:instrText>true</w:instrText>
                          </w:r>
                          <w:r>
                            <w:fldChar w:fldCharType="end"/>
                          </w:r>
                          <w:r>
                            <w:instrText xml:space="preserve"> = true </w:instrText>
                          </w:r>
                          <w:r>
                            <w:fldChar w:fldCharType="begin"/>
                          </w:r>
                          <w:r>
                            <w:instrText xml:space="preserve"> DOCPROPERTY  docCliMat </w:instrText>
                          </w:r>
                          <w:r>
                            <w:fldChar w:fldCharType="separate"/>
                          </w:r>
                          <w:r w:rsidR="00530243">
                            <w:instrText>173034-0004</w:instrText>
                          </w:r>
                          <w:r>
                            <w:fldChar w:fldCharType="end"/>
                          </w:r>
                          <w:r>
                            <w:instrText xml:space="preserve">  </w:instrText>
                          </w:r>
                          <w:r>
                            <w:fldChar w:fldCharType="separate"/>
                          </w:r>
                          <w:r w:rsidR="00530243">
                            <w:rPr>
                              <w:noProof/>
                            </w:rPr>
                            <w:t>173034-0004</w:t>
                          </w:r>
                          <w:r>
                            <w:fldChar w:fldCharType="end"/>
                          </w:r>
                        </w:p>
                        <w:p w14:paraId="4DAA3612" w14:textId="77777777" w:rsidR="006F165C" w:rsidRDefault="006F165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BA404" id="_x0000_t202" coordsize="21600,21600" o:spt="202" path="m,l,21600r21600,l21600,xe">
              <v:stroke joinstyle="miter"/>
              <v:path gradientshapeok="t" o:connecttype="rect"/>
            </v:shapetype>
            <v:shape id="Text Box 1" o:spid="_x0000_s1026" type="#_x0000_t202" style="position:absolute;left:0;text-align:left;margin-left:0;margin-top:-9.95pt;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" filled="f" stroked="f">
              <v:textbox inset="0,0,0,0">
                <w:txbxContent>
                  <w:p w14:paraId="4A2A23BF" w14:textId="7616FD49" w:rsidR="006F165C" w:rsidRDefault="006F165C">
                    <w:pPr>
                      <w:pStyle w:val="MacPacTrailer"/>
                    </w:pPr>
                    <w:r>
                      <w:fldChar w:fldCharType="begin"/>
                    </w:r>
                    <w:r>
                      <w:instrText xml:space="preserve"> DOCPROPERTY  docId </w:instrText>
                    </w:r>
                    <w:r>
                      <w:fldChar w:fldCharType="separate"/>
                    </w:r>
                    <w:r w:rsidR="00530243">
                      <w:t>LON58400412</w:t>
                    </w:r>
                    <w:r>
                      <w:fldChar w:fldCharType="end"/>
                    </w:r>
                    <w:r>
                      <w:fldChar w:fldCharType="begin"/>
                    </w:r>
                    <w:r>
                      <w:instrText xml:space="preserve"> IF </w:instrText>
                    </w:r>
                    <w:r>
                      <w:fldChar w:fldCharType="begin"/>
                    </w:r>
                    <w:r>
                      <w:instrText xml:space="preserve"> DOCPROPERTY  docIncludeVersion </w:instrText>
                    </w:r>
                    <w:r>
                      <w:fldChar w:fldCharType="separate"/>
                    </w:r>
                    <w:r w:rsidR="00530243">
                      <w:instrText>true</w:instrText>
                    </w:r>
                    <w:r>
                      <w:fldChar w:fldCharType="end"/>
                    </w:r>
                    <w:r>
                      <w:instrText xml:space="preserve"> = true "/</w:instrText>
                    </w:r>
                    <w:r>
                      <w:fldChar w:fldCharType="begin"/>
                    </w:r>
                    <w:r>
                      <w:instrText xml:space="preserve"> DOCPROPERTY  docVersion </w:instrText>
                    </w:r>
                    <w:r>
                      <w:fldChar w:fldCharType="separate"/>
                    </w:r>
                    <w:r w:rsidR="00530243">
                      <w:instrText>15</w:instrText>
                    </w:r>
                    <w:r>
                      <w:fldChar w:fldCharType="end"/>
                    </w:r>
                    <w:r>
                      <w:instrText>"</w:instrText>
                    </w:r>
                    <w:r>
                      <w:fldChar w:fldCharType="separate"/>
                    </w:r>
                    <w:r w:rsidR="00530243">
                      <w:rPr>
                        <w:noProof/>
                      </w:rPr>
                      <w:t>/15</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530243">
                      <w:instrText>true</w:instrText>
                    </w:r>
                    <w:r>
                      <w:fldChar w:fldCharType="end"/>
                    </w:r>
                    <w:r>
                      <w:instrText xml:space="preserve"> = true </w:instrText>
                    </w:r>
                    <w:r>
                      <w:fldChar w:fldCharType="begin"/>
                    </w:r>
                    <w:r>
                      <w:instrText xml:space="preserve"> DOCPROPERTY  docCliMat </w:instrText>
                    </w:r>
                    <w:r>
                      <w:fldChar w:fldCharType="separate"/>
                    </w:r>
                    <w:r w:rsidR="00530243">
                      <w:instrText>173034-0004</w:instrText>
                    </w:r>
                    <w:r>
                      <w:fldChar w:fldCharType="end"/>
                    </w:r>
                    <w:r>
                      <w:instrText xml:space="preserve">  </w:instrText>
                    </w:r>
                    <w:r>
                      <w:fldChar w:fldCharType="separate"/>
                    </w:r>
                    <w:r w:rsidR="00530243">
                      <w:rPr>
                        <w:noProof/>
                      </w:rPr>
                      <w:t>173034-0004</w:t>
                    </w:r>
                    <w:r>
                      <w:fldChar w:fldCharType="end"/>
                    </w:r>
                  </w:p>
                  <w:p w14:paraId="4DAA3612" w14:textId="77777777" w:rsidR="006F165C" w:rsidRDefault="006F165C">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1BB6" w14:textId="77777777" w:rsidR="00AA05FC" w:rsidRDefault="00AA05FC" w:rsidP="00B13E3B">
      <w:pPr>
        <w:spacing w:after="0" w:line="240" w:lineRule="auto"/>
      </w:pPr>
      <w:r>
        <w:separator/>
      </w:r>
    </w:p>
  </w:footnote>
  <w:footnote w:type="continuationSeparator" w:id="0">
    <w:p w14:paraId="66548EC4" w14:textId="77777777" w:rsidR="00AA05FC" w:rsidRDefault="00AA05FC">
      <w:pPr>
        <w:spacing w:after="0" w:line="240" w:lineRule="auto"/>
      </w:pPr>
    </w:p>
  </w:footnote>
  <w:footnote w:type="continuationNotice" w:id="1">
    <w:p w14:paraId="7989D753" w14:textId="77777777" w:rsidR="00AA05FC" w:rsidRDefault="00AA05FC" w:rsidP="00B13E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306"/>
    <w:multiLevelType w:val="hybridMultilevel"/>
    <w:tmpl w:val="71568D2C"/>
    <w:lvl w:ilvl="0" w:tplc="A9A0E4A4">
      <w:start w:val="1"/>
      <w:numFmt w:val="decimal"/>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54006"/>
    <w:multiLevelType w:val="hybridMultilevel"/>
    <w:tmpl w:val="C94E354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302828"/>
    <w:multiLevelType w:val="multilevel"/>
    <w:tmpl w:val="B2748480"/>
    <w:lvl w:ilvl="0">
      <w:start w:val="1"/>
      <w:numFmt w:val="decimal"/>
      <w:lvlText w:val="%1."/>
      <w:lvlJc w:val="left"/>
      <w:pPr>
        <w:tabs>
          <w:tab w:val="num" w:pos="720"/>
        </w:tabs>
        <w:ind w:left="720" w:hanging="720"/>
      </w:pPr>
      <w:rPr>
        <w:rFonts w:asciiTheme="minorHAnsi" w:hAnsiTheme="minorHAnsi" w:cstheme="minorHAnsi" w:hint="default"/>
        <w:b/>
        <w:i w:val="0"/>
        <w:caps w:val="0"/>
        <w:sz w:val="22"/>
        <w:u w:val="none"/>
      </w:rPr>
    </w:lvl>
    <w:lvl w:ilvl="1">
      <w:start w:val="1"/>
      <w:numFmt w:val="decimal"/>
      <w:lvlText w:val="%1.%2"/>
      <w:lvlJc w:val="left"/>
      <w:pPr>
        <w:tabs>
          <w:tab w:val="num" w:pos="720"/>
        </w:tabs>
        <w:ind w:left="720" w:hanging="720"/>
      </w:pPr>
      <w:rPr>
        <w:b/>
        <w:i w:val="0"/>
        <w:caps w:val="0"/>
        <w:u w:val="none"/>
      </w:rPr>
    </w:lvl>
    <w:lvl w:ilvl="2">
      <w:start w:val="1"/>
      <w:numFmt w:val="decimal"/>
      <w:lvlText w:val="%1.%2.%3"/>
      <w:lvlJc w:val="left"/>
      <w:pPr>
        <w:tabs>
          <w:tab w:val="num" w:pos="720"/>
        </w:tabs>
        <w:ind w:left="720" w:hanging="720"/>
      </w:pPr>
      <w:rPr>
        <w:b w:val="0"/>
        <w:i w:val="0"/>
        <w:caps w:val="0"/>
        <w:u w:val="none"/>
      </w:rPr>
    </w:lvl>
    <w:lvl w:ilvl="3">
      <w:start w:val="1"/>
      <w:numFmt w:val="lowerLetter"/>
      <w:lvlText w:val="(%4)"/>
      <w:lvlJc w:val="left"/>
      <w:pPr>
        <w:tabs>
          <w:tab w:val="num" w:pos="1440"/>
        </w:tabs>
        <w:ind w:left="1440" w:hanging="720"/>
      </w:pPr>
      <w:rPr>
        <w:b w:val="0"/>
        <w:i w:val="0"/>
        <w:caps w:val="0"/>
        <w:u w:val="none"/>
      </w:rPr>
    </w:lvl>
    <w:lvl w:ilvl="4">
      <w:start w:val="1"/>
      <w:numFmt w:val="lowerRoman"/>
      <w:lvlText w:val="(%5)"/>
      <w:lvlJc w:val="left"/>
      <w:pPr>
        <w:tabs>
          <w:tab w:val="num" w:pos="2160"/>
        </w:tabs>
        <w:ind w:left="2160" w:hanging="720"/>
      </w:pPr>
      <w:rPr>
        <w:b w:val="0"/>
        <w:i w:val="0"/>
        <w:caps w:val="0"/>
        <w:u w:val="none"/>
      </w:rPr>
    </w:lvl>
    <w:lvl w:ilvl="5">
      <w:start w:val="1"/>
      <w:numFmt w:val="upperLetter"/>
      <w:lvlText w:val="(%6)"/>
      <w:lvlJc w:val="left"/>
      <w:pPr>
        <w:tabs>
          <w:tab w:val="num" w:pos="2880"/>
        </w:tabs>
        <w:ind w:left="2880" w:hanging="720"/>
      </w:pPr>
      <w:rPr>
        <w:b w:val="0"/>
        <w:i w:val="0"/>
        <w:caps w:val="0"/>
        <w:u w:val="none"/>
      </w:rPr>
    </w:lvl>
    <w:lvl w:ilvl="6">
      <w:start w:val="1"/>
      <w:numFmt w:val="upperRoman"/>
      <w:lvlText w:val="(%7)"/>
      <w:lvlJc w:val="left"/>
      <w:pPr>
        <w:tabs>
          <w:tab w:val="num" w:pos="3600"/>
        </w:tabs>
        <w:ind w:left="3600" w:hanging="720"/>
      </w:pPr>
      <w:rPr>
        <w:b w:val="0"/>
        <w:i w:val="0"/>
        <w:caps w:val="0"/>
        <w:u w:val="none"/>
      </w:rPr>
    </w:lvl>
    <w:lvl w:ilvl="7">
      <w:start w:val="27"/>
      <w:numFmt w:val="lowerLetter"/>
      <w:lvlText w:val="(%8)"/>
      <w:lvlJc w:val="left"/>
      <w:pPr>
        <w:tabs>
          <w:tab w:val="num" w:pos="4320"/>
        </w:tabs>
        <w:ind w:left="4320" w:hanging="720"/>
      </w:pPr>
      <w:rPr>
        <w:rFonts w:ascii="Times New Roman" w:hAnsi="Times New Roman" w:cs="Times New Roman"/>
        <w:b w:val="0"/>
        <w:i w:val="0"/>
        <w:caps w:val="0"/>
        <w:u w:val="none"/>
      </w:rPr>
    </w:lvl>
    <w:lvl w:ilvl="8">
      <w:start w:val="1"/>
      <w:numFmt w:val="decimal"/>
      <w:lvlText w:val="(%9)"/>
      <w:lvlJc w:val="left"/>
      <w:pPr>
        <w:tabs>
          <w:tab w:val="num" w:pos="5040"/>
        </w:tabs>
        <w:ind w:left="5040" w:hanging="720"/>
      </w:pPr>
      <w:rPr>
        <w:rFonts w:ascii="Times New Roman" w:hAnsi="Times New Roman" w:cs="Times New Roman"/>
        <w:b w:val="0"/>
        <w:i w:val="0"/>
        <w:caps w:val="0"/>
        <w:u w:val="none"/>
      </w:rPr>
    </w:lvl>
  </w:abstractNum>
  <w:abstractNum w:abstractNumId="3" w15:restartNumberingAfterBreak="0">
    <w:nsid w:val="1FF060C1"/>
    <w:multiLevelType w:val="hybridMultilevel"/>
    <w:tmpl w:val="470CE8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720188"/>
    <w:multiLevelType w:val="hybridMultilevel"/>
    <w:tmpl w:val="DA7ED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665AE1"/>
    <w:multiLevelType w:val="multilevel"/>
    <w:tmpl w:val="195C220E"/>
    <w:name w:val="zzmpFWN||FW Notes|2|3|0|1|0|32||1|0|0||1|0|0||1|0|0||1|0|0||1|0|0||1|0|0||mpNA||mpNA||"/>
    <w:lvl w:ilvl="0">
      <w:start w:val="1"/>
      <w:numFmt w:val="decimal"/>
      <w:lvlRestart w:val="0"/>
      <w:lvlText w:val="%1."/>
      <w:lvlJc w:val="left"/>
      <w:pPr>
        <w:tabs>
          <w:tab w:val="num" w:pos="720"/>
        </w:tabs>
        <w:ind w:left="0" w:firstLine="0"/>
      </w:pPr>
      <w:rPr>
        <w:rFonts w:ascii="Times New Roman" w:hAnsi="Times New Roman"/>
        <w:b w:val="0"/>
        <w:i w:val="0"/>
        <w:caps w:val="0"/>
        <w:color w:val="auto"/>
        <w:u w:val="none"/>
      </w:rPr>
    </w:lvl>
    <w:lvl w:ilvl="1">
      <w:start w:val="1"/>
      <w:numFmt w:val="lowerLetter"/>
      <w:lvlText w:val="(%2)"/>
      <w:lvlJc w:val="left"/>
      <w:pPr>
        <w:tabs>
          <w:tab w:val="num" w:pos="720"/>
        </w:tabs>
        <w:ind w:left="720" w:hanging="720"/>
      </w:pPr>
      <w:rPr>
        <w:rFonts w:ascii="Times New Roman" w:hAnsi="Times New Roman"/>
        <w:b w:val="0"/>
        <w:i w:val="0"/>
        <w:caps w:val="0"/>
        <w:color w:val="auto"/>
        <w:u w:val="none"/>
      </w:rPr>
    </w:lvl>
    <w:lvl w:ilvl="2">
      <w:start w:val="1"/>
      <w:numFmt w:val="lowerRoman"/>
      <w:lvlText w:val="(%3)"/>
      <w:lvlJc w:val="right"/>
      <w:pPr>
        <w:tabs>
          <w:tab w:val="num" w:pos="1440"/>
        </w:tabs>
        <w:ind w:left="1440" w:hanging="216"/>
      </w:pPr>
      <w:rPr>
        <w:rFonts w:ascii="Times New Roman" w:hAnsi="Times New Roman"/>
        <w:b w:val="0"/>
        <w:i w:val="0"/>
        <w:caps w:val="0"/>
        <w:color w:val="auto"/>
        <w:u w:val="none"/>
      </w:rPr>
    </w:lvl>
    <w:lvl w:ilvl="3">
      <w:start w:val="1"/>
      <w:numFmt w:val="upperLetter"/>
      <w:lvlText w:val="(%4)"/>
      <w:lvlJc w:val="left"/>
      <w:pPr>
        <w:tabs>
          <w:tab w:val="num" w:pos="2160"/>
        </w:tabs>
        <w:ind w:left="2160" w:hanging="720"/>
      </w:pPr>
      <w:rPr>
        <w:rFonts w:ascii="Times New Roman" w:hAnsi="Times New Roman"/>
        <w:b w:val="0"/>
        <w:i w:val="0"/>
        <w:caps w:val="0"/>
        <w:color w:val="auto"/>
        <w:u w:val="none"/>
      </w:rPr>
    </w:lvl>
    <w:lvl w:ilvl="4">
      <w:start w:val="1"/>
      <w:numFmt w:val="upperRoman"/>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lvlText w:val="(%6)"/>
      <w:lvlJc w:val="left"/>
      <w:pPr>
        <w:tabs>
          <w:tab w:val="num" w:pos="3600"/>
        </w:tabs>
        <w:ind w:left="3600" w:hanging="720"/>
      </w:pPr>
      <w:rPr>
        <w:rFonts w:ascii="Times New Roman" w:hAnsi="Times New Roman"/>
        <w:b w:val="0"/>
        <w:i w:val="0"/>
        <w:caps w:val="0"/>
        <w:color w:val="auto"/>
        <w:u w:val="none"/>
      </w:rPr>
    </w:lvl>
    <w:lvl w:ilvl="6">
      <w:start w:val="1"/>
      <w:numFmt w:val="decimal"/>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6" w15:restartNumberingAfterBreak="0">
    <w:nsid w:val="3AD53540"/>
    <w:multiLevelType w:val="hybridMultilevel"/>
    <w:tmpl w:val="12F49B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485D23"/>
    <w:multiLevelType w:val="hybridMultilevel"/>
    <w:tmpl w:val="8A9E792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8" w15:restartNumberingAfterBreak="0">
    <w:nsid w:val="42A61F94"/>
    <w:multiLevelType w:val="hybridMultilevel"/>
    <w:tmpl w:val="9D2AC92C"/>
    <w:lvl w:ilvl="0" w:tplc="39969F58">
      <w:start w:val="13"/>
      <w:numFmt w:val="decimal"/>
      <w:lvlText w:val="%1."/>
      <w:lvlJc w:val="left"/>
      <w:pPr>
        <w:ind w:left="720" w:hanging="360"/>
      </w:pPr>
      <w:rPr>
        <w:rFonts w:asciiTheme="minorHAnsi" w:hAnsi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F96D0D"/>
    <w:multiLevelType w:val="hybridMultilevel"/>
    <w:tmpl w:val="9E743C88"/>
    <w:lvl w:ilvl="0" w:tplc="BE8A59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172ADF"/>
    <w:multiLevelType w:val="hybridMultilevel"/>
    <w:tmpl w:val="C8E48366"/>
    <w:lvl w:ilvl="0" w:tplc="A1C2276E">
      <w:start w:val="1"/>
      <w:numFmt w:val="lowerRoman"/>
      <w:lvlText w:val="(%1)"/>
      <w:lvlJc w:val="left"/>
      <w:pPr>
        <w:ind w:left="360" w:hanging="360"/>
      </w:pPr>
      <w:rPr>
        <w:rFonts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E775F55"/>
    <w:multiLevelType w:val="hybridMultilevel"/>
    <w:tmpl w:val="11BEF7F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4A14157"/>
    <w:multiLevelType w:val="hybridMultilevel"/>
    <w:tmpl w:val="487E7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CF70B7"/>
    <w:multiLevelType w:val="hybridMultilevel"/>
    <w:tmpl w:val="D6EA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5E4B43"/>
    <w:multiLevelType w:val="multilevel"/>
    <w:tmpl w:val="63A41D74"/>
    <w:name w:val="zzmpFWB||FW Body Text|2|3|0|1|0|49||1|0|32||1|0|32||1|0|32||1|0|32||1|0|32||1|0|32||1|0|32||mpNA||"/>
    <w:lvl w:ilvl="0">
      <w:start w:val="1"/>
      <w:numFmt w:val="decimal"/>
      <w:lvlRestart w:val="0"/>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lvlText w:val="(%7)"/>
      <w:lvlJc w:val="left"/>
      <w:pPr>
        <w:tabs>
          <w:tab w:val="num" w:pos="3600"/>
        </w:tabs>
        <w:ind w:left="3600" w:hanging="720"/>
      </w:pPr>
      <w:rPr>
        <w:rFonts w:ascii="Times New Roman" w:hAnsi="Times New Roman"/>
        <w:b w:val="0"/>
        <w:i w:val="0"/>
        <w: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15" w15:restartNumberingAfterBreak="0">
    <w:nsid w:val="6D02392D"/>
    <w:multiLevelType w:val="hybridMultilevel"/>
    <w:tmpl w:val="C8E48366"/>
    <w:lvl w:ilvl="0" w:tplc="A1C2276E">
      <w:start w:val="1"/>
      <w:numFmt w:val="lowerRoman"/>
      <w:lvlText w:val="(%1)"/>
      <w:lvlJc w:val="left"/>
      <w:pPr>
        <w:ind w:left="360" w:hanging="360"/>
      </w:pPr>
      <w:rPr>
        <w:rFonts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0AC3F49"/>
    <w:multiLevelType w:val="hybridMultilevel"/>
    <w:tmpl w:val="127A5972"/>
    <w:lvl w:ilvl="0" w:tplc="08090001">
      <w:start w:val="1"/>
      <w:numFmt w:val="bullet"/>
      <w:lvlText w:val=""/>
      <w:lvlJc w:val="left"/>
      <w:pPr>
        <w:ind w:left="1584" w:hanging="360"/>
      </w:pPr>
      <w:rPr>
        <w:rFonts w:ascii="Symbol" w:hAnsi="Symbol" w:hint="default"/>
      </w:rPr>
    </w:lvl>
    <w:lvl w:ilvl="1" w:tplc="08090003">
      <w:start w:val="1"/>
      <w:numFmt w:val="bullet"/>
      <w:lvlText w:val="o"/>
      <w:lvlJc w:val="left"/>
      <w:pPr>
        <w:ind w:left="2304" w:hanging="360"/>
      </w:pPr>
      <w:rPr>
        <w:rFonts w:ascii="Courier New" w:hAnsi="Courier New" w:cs="Courier New" w:hint="default"/>
      </w:rPr>
    </w:lvl>
    <w:lvl w:ilvl="2" w:tplc="08090005">
      <w:start w:val="1"/>
      <w:numFmt w:val="bullet"/>
      <w:lvlText w:val=""/>
      <w:lvlJc w:val="left"/>
      <w:pPr>
        <w:ind w:left="3024" w:hanging="360"/>
      </w:pPr>
      <w:rPr>
        <w:rFonts w:ascii="Wingdings" w:hAnsi="Wingdings" w:hint="default"/>
      </w:rPr>
    </w:lvl>
    <w:lvl w:ilvl="3" w:tplc="08090001">
      <w:start w:val="1"/>
      <w:numFmt w:val="bullet"/>
      <w:lvlText w:val=""/>
      <w:lvlJc w:val="left"/>
      <w:pPr>
        <w:ind w:left="3744" w:hanging="360"/>
      </w:pPr>
      <w:rPr>
        <w:rFonts w:ascii="Symbol" w:hAnsi="Symbol" w:hint="default"/>
      </w:rPr>
    </w:lvl>
    <w:lvl w:ilvl="4" w:tplc="08090003">
      <w:start w:val="1"/>
      <w:numFmt w:val="bullet"/>
      <w:lvlText w:val="o"/>
      <w:lvlJc w:val="left"/>
      <w:pPr>
        <w:ind w:left="4464" w:hanging="360"/>
      </w:pPr>
      <w:rPr>
        <w:rFonts w:ascii="Courier New" w:hAnsi="Courier New" w:cs="Courier New" w:hint="default"/>
      </w:rPr>
    </w:lvl>
    <w:lvl w:ilvl="5" w:tplc="08090005">
      <w:start w:val="1"/>
      <w:numFmt w:val="bullet"/>
      <w:lvlText w:val=""/>
      <w:lvlJc w:val="left"/>
      <w:pPr>
        <w:ind w:left="5184" w:hanging="360"/>
      </w:pPr>
      <w:rPr>
        <w:rFonts w:ascii="Wingdings" w:hAnsi="Wingdings" w:hint="default"/>
      </w:rPr>
    </w:lvl>
    <w:lvl w:ilvl="6" w:tplc="08090001">
      <w:start w:val="1"/>
      <w:numFmt w:val="bullet"/>
      <w:lvlText w:val=""/>
      <w:lvlJc w:val="left"/>
      <w:pPr>
        <w:ind w:left="5904" w:hanging="360"/>
      </w:pPr>
      <w:rPr>
        <w:rFonts w:ascii="Symbol" w:hAnsi="Symbol" w:hint="default"/>
      </w:rPr>
    </w:lvl>
    <w:lvl w:ilvl="7" w:tplc="08090003">
      <w:start w:val="1"/>
      <w:numFmt w:val="bullet"/>
      <w:lvlText w:val="o"/>
      <w:lvlJc w:val="left"/>
      <w:pPr>
        <w:ind w:left="6624" w:hanging="360"/>
      </w:pPr>
      <w:rPr>
        <w:rFonts w:ascii="Courier New" w:hAnsi="Courier New" w:cs="Courier New" w:hint="default"/>
      </w:rPr>
    </w:lvl>
    <w:lvl w:ilvl="8" w:tplc="08090005">
      <w:start w:val="1"/>
      <w:numFmt w:val="bullet"/>
      <w:lvlText w:val=""/>
      <w:lvlJc w:val="left"/>
      <w:pPr>
        <w:ind w:left="7344" w:hanging="360"/>
      </w:pPr>
      <w:rPr>
        <w:rFonts w:ascii="Wingdings" w:hAnsi="Wingdings" w:hint="default"/>
      </w:rPr>
    </w:lvl>
  </w:abstractNum>
  <w:abstractNum w:abstractNumId="17" w15:restartNumberingAfterBreak="0">
    <w:nsid w:val="796B5CAE"/>
    <w:multiLevelType w:val="multilevel"/>
    <w:tmpl w:val="0B32F2B6"/>
    <w:lvl w:ilvl="0">
      <w:start w:val="13"/>
      <w:numFmt w:val="decimal"/>
      <w:lvlText w:val="%1."/>
      <w:lvlJc w:val="left"/>
      <w:pPr>
        <w:tabs>
          <w:tab w:val="num" w:pos="720"/>
        </w:tabs>
        <w:ind w:left="720" w:hanging="720"/>
      </w:pPr>
      <w:rPr>
        <w:rFonts w:asciiTheme="minorHAnsi" w:hAnsiTheme="minorHAnsi" w:cstheme="minorHAnsi" w:hint="default"/>
        <w:b/>
        <w:i w:val="0"/>
        <w:caps w:val="0"/>
        <w:sz w:val="22"/>
        <w:u w:val="none"/>
      </w:rPr>
    </w:lvl>
    <w:lvl w:ilvl="1">
      <w:start w:val="1"/>
      <w:numFmt w:val="decimal"/>
      <w:lvlText w:val="%1.%2"/>
      <w:lvlJc w:val="left"/>
      <w:pPr>
        <w:tabs>
          <w:tab w:val="num" w:pos="720"/>
        </w:tabs>
        <w:ind w:left="720" w:hanging="720"/>
      </w:pPr>
      <w:rPr>
        <w:rFonts w:hint="default"/>
        <w:b/>
        <w:i w:val="0"/>
        <w:caps w:val="0"/>
        <w:u w:val="none"/>
      </w:rPr>
    </w:lvl>
    <w:lvl w:ilvl="2">
      <w:start w:val="1"/>
      <w:numFmt w:val="decimal"/>
      <w:lvlText w:val="%1.%2.%3"/>
      <w:lvlJc w:val="left"/>
      <w:pPr>
        <w:tabs>
          <w:tab w:val="num" w:pos="720"/>
        </w:tabs>
        <w:ind w:left="720" w:hanging="720"/>
      </w:pPr>
      <w:rPr>
        <w:rFonts w:hint="default"/>
        <w:b w:val="0"/>
        <w:i w:val="0"/>
        <w:caps w:val="0"/>
        <w:u w:val="none"/>
      </w:rPr>
    </w:lvl>
    <w:lvl w:ilvl="3">
      <w:start w:val="1"/>
      <w:numFmt w:val="lowerLetter"/>
      <w:lvlText w:val="(%4)"/>
      <w:lvlJc w:val="left"/>
      <w:pPr>
        <w:tabs>
          <w:tab w:val="num" w:pos="1440"/>
        </w:tabs>
        <w:ind w:left="1440" w:hanging="720"/>
      </w:pPr>
      <w:rPr>
        <w:rFonts w:hint="default"/>
        <w:b w:val="0"/>
        <w:i w:val="0"/>
        <w:caps w:val="0"/>
        <w:u w:val="none"/>
      </w:rPr>
    </w:lvl>
    <w:lvl w:ilvl="4">
      <w:start w:val="1"/>
      <w:numFmt w:val="lowerRoman"/>
      <w:lvlText w:val="(%5)"/>
      <w:lvlJc w:val="left"/>
      <w:pPr>
        <w:tabs>
          <w:tab w:val="num" w:pos="2160"/>
        </w:tabs>
        <w:ind w:left="2160" w:hanging="720"/>
      </w:pPr>
      <w:rPr>
        <w:rFonts w:hint="default"/>
        <w:b w:val="0"/>
        <w:i w:val="0"/>
        <w:caps w:val="0"/>
        <w:u w:val="none"/>
      </w:rPr>
    </w:lvl>
    <w:lvl w:ilvl="5">
      <w:start w:val="1"/>
      <w:numFmt w:val="upperLetter"/>
      <w:lvlText w:val="(%6)"/>
      <w:lvlJc w:val="left"/>
      <w:pPr>
        <w:tabs>
          <w:tab w:val="num" w:pos="2880"/>
        </w:tabs>
        <w:ind w:left="2880" w:hanging="720"/>
      </w:pPr>
      <w:rPr>
        <w:rFonts w:hint="default"/>
        <w:b w:val="0"/>
        <w:i w:val="0"/>
        <w:caps w:val="0"/>
        <w:u w:val="none"/>
      </w:rPr>
    </w:lvl>
    <w:lvl w:ilvl="6">
      <w:start w:val="1"/>
      <w:numFmt w:val="upperRoman"/>
      <w:lvlText w:val="(%7)"/>
      <w:lvlJc w:val="left"/>
      <w:pPr>
        <w:tabs>
          <w:tab w:val="num" w:pos="3600"/>
        </w:tabs>
        <w:ind w:left="3600" w:hanging="720"/>
      </w:pPr>
      <w:rPr>
        <w:rFonts w:hint="default"/>
        <w:b w:val="0"/>
        <w:i w:val="0"/>
        <w:caps w:val="0"/>
        <w:u w:val="none"/>
      </w:rPr>
    </w:lvl>
    <w:lvl w:ilvl="7">
      <w:start w:val="27"/>
      <w:numFmt w:val="lowerLetter"/>
      <w:lvlText w:val="(%8)"/>
      <w:lvlJc w:val="left"/>
      <w:pPr>
        <w:tabs>
          <w:tab w:val="num" w:pos="4320"/>
        </w:tabs>
        <w:ind w:left="4320" w:hanging="720"/>
      </w:pPr>
      <w:rPr>
        <w:rFonts w:ascii="Times New Roman" w:hAnsi="Times New Roman" w:cs="Times New Roman" w:hint="default"/>
        <w:b w:val="0"/>
        <w:i w:val="0"/>
        <w:caps w:val="0"/>
        <w:u w:val="none"/>
      </w:rPr>
    </w:lvl>
    <w:lvl w:ilvl="8">
      <w:start w:val="1"/>
      <w:numFmt w:val="decimal"/>
      <w:lvlText w:val="(%9)"/>
      <w:lvlJc w:val="left"/>
      <w:pPr>
        <w:tabs>
          <w:tab w:val="num" w:pos="5040"/>
        </w:tabs>
        <w:ind w:left="5040" w:hanging="720"/>
      </w:pPr>
      <w:rPr>
        <w:rFonts w:ascii="Times New Roman" w:hAnsi="Times New Roman" w:cs="Times New Roman" w:hint="default"/>
        <w:b w:val="0"/>
        <w:i w:val="0"/>
        <w:caps w:val="0"/>
        <w:u w:val="none"/>
      </w:rPr>
    </w:lvl>
  </w:abstractNum>
  <w:num w:numId="1">
    <w:abstractNumId w:val="6"/>
  </w:num>
  <w:num w:numId="2">
    <w:abstractNumId w:val="3"/>
  </w:num>
  <w:num w:numId="3">
    <w:abstractNumId w:val="2"/>
  </w:num>
  <w:num w:numId="4">
    <w:abstractNumId w:val="10"/>
  </w:num>
  <w:num w:numId="5">
    <w:abstractNumId w:val="15"/>
  </w:num>
  <w:num w:numId="6">
    <w:abstractNumId w:val="16"/>
  </w:num>
  <w:num w:numId="7">
    <w:abstractNumId w:val="7"/>
  </w:num>
  <w:num w:numId="8">
    <w:abstractNumId w:val="13"/>
  </w:num>
  <w:num w:numId="9">
    <w:abstractNumId w:val="0"/>
  </w:num>
  <w:num w:numId="10">
    <w:abstractNumId w:val="14"/>
  </w:num>
  <w:num w:numId="11">
    <w:abstractNumId w:val="5"/>
  </w:num>
  <w:num w:numId="12">
    <w:abstractNumId w:val="9"/>
  </w:num>
  <w:num w:numId="13">
    <w:abstractNumId w:val="11"/>
  </w:num>
  <w:num w:numId="14">
    <w:abstractNumId w:val="1"/>
  </w:num>
  <w:num w:numId="15">
    <w:abstractNumId w:val="8"/>
  </w:num>
  <w:num w:numId="16">
    <w:abstractNumId w:val="17"/>
  </w:num>
  <w:num w:numId="17">
    <w:abstractNumId w:val="4"/>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zzmp10LastTrailerInserted" w:val="^`~#mp!@⌚G0#9┛┨7@&lt;ŗmO⌑É4⌛LÓWp†⌓‣á.?⌞©%ï°!=⌘^ª⌙_µðƁ¿5Û@ç,⌉®W)ÁæéÁ⌘ÍÞ/WèÏ´ËŨ⌉2⌠⌈⌊^n⌐Ó¹+B⌖¡ù‟NÚ'ñÊ&gt;»8XÝ,»KR}⌂ˠ?{ñ¬s3éJOlE`í,Ž-⌃h1qÓ6WÁ%­pª․íÓ§Ò.vÑV⌇Ƃ&lt;oÎV´gÑO†.A⌜'å⌉ÐAwH5&gt;WLV011"/>
    <w:docVar w:name="zzmp10LastTrailerInserted_2832" w:val="^`~#mp!@⌚G0#9┛┨7@&lt;ŗmO⌑É4⌛LÓWp†⌓‣á.?⌞©%ï°!=⌘^ª⌙_µðƁ¿5Û@ç,⌉®W)ÁæéÁ⌘ÍÞ/WèÏ´ËŨ⌉2⌠⌈⌊^n⌐Ó¹+B⌖¡ù‟NÚ'ñÊ&gt;»8XÝ,»KR}⌂ˠ?{ñ¬s3éJOlE`í,Ž-⌃h1qÓ6WÁ%­pª․íÓ§Ò.vÑV⌇Ƃ&lt;oÎV´gÑO†.A⌜'å⌉ÐAwH5&gt;WLV011"/>
    <w:docVar w:name="zzmp10mSEGsValidated" w:val="1"/>
    <w:docVar w:name="zzmpCompatibilityMode" w:val="15"/>
    <w:docVar w:name="zzmpLegacyTrailerRemoved" w:val="True"/>
  </w:docVars>
  <w:rsids>
    <w:rsidRoot w:val="002B1737"/>
    <w:rsid w:val="00001058"/>
    <w:rsid w:val="00007758"/>
    <w:rsid w:val="00007A64"/>
    <w:rsid w:val="00012168"/>
    <w:rsid w:val="00015A6C"/>
    <w:rsid w:val="00021E23"/>
    <w:rsid w:val="000231B2"/>
    <w:rsid w:val="00024F58"/>
    <w:rsid w:val="00033A3D"/>
    <w:rsid w:val="000347C4"/>
    <w:rsid w:val="00034A09"/>
    <w:rsid w:val="00043C7E"/>
    <w:rsid w:val="00044802"/>
    <w:rsid w:val="000449FC"/>
    <w:rsid w:val="00045F78"/>
    <w:rsid w:val="00052A6B"/>
    <w:rsid w:val="00053934"/>
    <w:rsid w:val="00061AFB"/>
    <w:rsid w:val="00066621"/>
    <w:rsid w:val="00067458"/>
    <w:rsid w:val="0007010A"/>
    <w:rsid w:val="0007039B"/>
    <w:rsid w:val="00071F59"/>
    <w:rsid w:val="00073486"/>
    <w:rsid w:val="00073679"/>
    <w:rsid w:val="000869DC"/>
    <w:rsid w:val="00092970"/>
    <w:rsid w:val="00092B82"/>
    <w:rsid w:val="00096E94"/>
    <w:rsid w:val="00097946"/>
    <w:rsid w:val="00097FB2"/>
    <w:rsid w:val="000A05ED"/>
    <w:rsid w:val="000A6480"/>
    <w:rsid w:val="000B08DE"/>
    <w:rsid w:val="000B34B5"/>
    <w:rsid w:val="000B7719"/>
    <w:rsid w:val="000C3184"/>
    <w:rsid w:val="000D2794"/>
    <w:rsid w:val="000D457E"/>
    <w:rsid w:val="000D6950"/>
    <w:rsid w:val="000E2A38"/>
    <w:rsid w:val="000F5B10"/>
    <w:rsid w:val="000F694C"/>
    <w:rsid w:val="00104791"/>
    <w:rsid w:val="00112454"/>
    <w:rsid w:val="00124F81"/>
    <w:rsid w:val="001270DF"/>
    <w:rsid w:val="001376A1"/>
    <w:rsid w:val="0015764A"/>
    <w:rsid w:val="001738C7"/>
    <w:rsid w:val="0018557F"/>
    <w:rsid w:val="001A3855"/>
    <w:rsid w:val="001A478F"/>
    <w:rsid w:val="001A6DDD"/>
    <w:rsid w:val="001B74A6"/>
    <w:rsid w:val="001D15F4"/>
    <w:rsid w:val="001D647C"/>
    <w:rsid w:val="001E0303"/>
    <w:rsid w:val="001E427C"/>
    <w:rsid w:val="001E6905"/>
    <w:rsid w:val="001F291C"/>
    <w:rsid w:val="0020309A"/>
    <w:rsid w:val="00203A5E"/>
    <w:rsid w:val="0020504F"/>
    <w:rsid w:val="00206533"/>
    <w:rsid w:val="002077DE"/>
    <w:rsid w:val="00215875"/>
    <w:rsid w:val="00226DA2"/>
    <w:rsid w:val="00226F18"/>
    <w:rsid w:val="002346A1"/>
    <w:rsid w:val="002420E9"/>
    <w:rsid w:val="00250BD7"/>
    <w:rsid w:val="002669A2"/>
    <w:rsid w:val="002712EA"/>
    <w:rsid w:val="00271CB2"/>
    <w:rsid w:val="00280FB2"/>
    <w:rsid w:val="00282013"/>
    <w:rsid w:val="00286B16"/>
    <w:rsid w:val="00286E64"/>
    <w:rsid w:val="002908F6"/>
    <w:rsid w:val="002A15FC"/>
    <w:rsid w:val="002A3631"/>
    <w:rsid w:val="002B1737"/>
    <w:rsid w:val="002B68BC"/>
    <w:rsid w:val="002C7003"/>
    <w:rsid w:val="002D1A6B"/>
    <w:rsid w:val="002D2E81"/>
    <w:rsid w:val="002D65A8"/>
    <w:rsid w:val="002F0C4C"/>
    <w:rsid w:val="002F0FFE"/>
    <w:rsid w:val="002F18CC"/>
    <w:rsid w:val="002F581E"/>
    <w:rsid w:val="00304F39"/>
    <w:rsid w:val="003071BE"/>
    <w:rsid w:val="003118B9"/>
    <w:rsid w:val="00312E8C"/>
    <w:rsid w:val="0032588A"/>
    <w:rsid w:val="003267FB"/>
    <w:rsid w:val="003372DD"/>
    <w:rsid w:val="003505E5"/>
    <w:rsid w:val="00355F46"/>
    <w:rsid w:val="00356F0B"/>
    <w:rsid w:val="003617C7"/>
    <w:rsid w:val="00361ADD"/>
    <w:rsid w:val="00362D2D"/>
    <w:rsid w:val="00363ECE"/>
    <w:rsid w:val="00365C49"/>
    <w:rsid w:val="00371703"/>
    <w:rsid w:val="00385356"/>
    <w:rsid w:val="0039165A"/>
    <w:rsid w:val="00394E0F"/>
    <w:rsid w:val="0039784C"/>
    <w:rsid w:val="003A15D2"/>
    <w:rsid w:val="003A18DF"/>
    <w:rsid w:val="003A747C"/>
    <w:rsid w:val="003B00D6"/>
    <w:rsid w:val="003B407F"/>
    <w:rsid w:val="003B45A2"/>
    <w:rsid w:val="003C0083"/>
    <w:rsid w:val="003C0E76"/>
    <w:rsid w:val="003C33A5"/>
    <w:rsid w:val="003D29BF"/>
    <w:rsid w:val="003E2122"/>
    <w:rsid w:val="003E3AAB"/>
    <w:rsid w:val="003E3FF0"/>
    <w:rsid w:val="00404B3A"/>
    <w:rsid w:val="00406026"/>
    <w:rsid w:val="004145CC"/>
    <w:rsid w:val="004164F3"/>
    <w:rsid w:val="004256BC"/>
    <w:rsid w:val="00426EA3"/>
    <w:rsid w:val="00433BB1"/>
    <w:rsid w:val="00444C7E"/>
    <w:rsid w:val="00451909"/>
    <w:rsid w:val="00452878"/>
    <w:rsid w:val="00452CEA"/>
    <w:rsid w:val="00455366"/>
    <w:rsid w:val="004562BF"/>
    <w:rsid w:val="00460825"/>
    <w:rsid w:val="0046160E"/>
    <w:rsid w:val="00465149"/>
    <w:rsid w:val="004654BF"/>
    <w:rsid w:val="00466A7E"/>
    <w:rsid w:val="004730F5"/>
    <w:rsid w:val="004751F0"/>
    <w:rsid w:val="004803F1"/>
    <w:rsid w:val="0048173B"/>
    <w:rsid w:val="004820FF"/>
    <w:rsid w:val="004916C0"/>
    <w:rsid w:val="00492D63"/>
    <w:rsid w:val="004947E6"/>
    <w:rsid w:val="00494DD5"/>
    <w:rsid w:val="004975C8"/>
    <w:rsid w:val="004A7376"/>
    <w:rsid w:val="004B2252"/>
    <w:rsid w:val="004B273A"/>
    <w:rsid w:val="004B6E51"/>
    <w:rsid w:val="004D246E"/>
    <w:rsid w:val="004D340B"/>
    <w:rsid w:val="004D49F0"/>
    <w:rsid w:val="004D562D"/>
    <w:rsid w:val="004E0A1C"/>
    <w:rsid w:val="004E1CA8"/>
    <w:rsid w:val="004E5178"/>
    <w:rsid w:val="004F3F29"/>
    <w:rsid w:val="004F5A58"/>
    <w:rsid w:val="00505CEA"/>
    <w:rsid w:val="005118D1"/>
    <w:rsid w:val="00511D3B"/>
    <w:rsid w:val="00515964"/>
    <w:rsid w:val="005240AF"/>
    <w:rsid w:val="00530243"/>
    <w:rsid w:val="00530E2F"/>
    <w:rsid w:val="0053266D"/>
    <w:rsid w:val="00537636"/>
    <w:rsid w:val="005458AD"/>
    <w:rsid w:val="00553609"/>
    <w:rsid w:val="005536A1"/>
    <w:rsid w:val="00555BDA"/>
    <w:rsid w:val="00560755"/>
    <w:rsid w:val="00561EBF"/>
    <w:rsid w:val="0056331B"/>
    <w:rsid w:val="00564974"/>
    <w:rsid w:val="005669FF"/>
    <w:rsid w:val="00572A75"/>
    <w:rsid w:val="005743CE"/>
    <w:rsid w:val="0057700D"/>
    <w:rsid w:val="0058156C"/>
    <w:rsid w:val="00585B8E"/>
    <w:rsid w:val="00586925"/>
    <w:rsid w:val="0059041A"/>
    <w:rsid w:val="00592578"/>
    <w:rsid w:val="00593115"/>
    <w:rsid w:val="005A0B1D"/>
    <w:rsid w:val="005B4329"/>
    <w:rsid w:val="005B4D1A"/>
    <w:rsid w:val="005C0BFA"/>
    <w:rsid w:val="005C3FA3"/>
    <w:rsid w:val="005D1F9E"/>
    <w:rsid w:val="005E3A28"/>
    <w:rsid w:val="005F47DD"/>
    <w:rsid w:val="005F5998"/>
    <w:rsid w:val="00602491"/>
    <w:rsid w:val="00613E0A"/>
    <w:rsid w:val="0062023D"/>
    <w:rsid w:val="006307E5"/>
    <w:rsid w:val="00632E4F"/>
    <w:rsid w:val="006435E9"/>
    <w:rsid w:val="006444EC"/>
    <w:rsid w:val="00644A35"/>
    <w:rsid w:val="00652CAD"/>
    <w:rsid w:val="00653899"/>
    <w:rsid w:val="00656857"/>
    <w:rsid w:val="00657D39"/>
    <w:rsid w:val="006637E6"/>
    <w:rsid w:val="00666D2E"/>
    <w:rsid w:val="00681D49"/>
    <w:rsid w:val="00686231"/>
    <w:rsid w:val="00692FC7"/>
    <w:rsid w:val="00695BE3"/>
    <w:rsid w:val="006A4017"/>
    <w:rsid w:val="006A5F51"/>
    <w:rsid w:val="006B2D3F"/>
    <w:rsid w:val="006B7E8E"/>
    <w:rsid w:val="006C5699"/>
    <w:rsid w:val="006E4D7F"/>
    <w:rsid w:val="006F165C"/>
    <w:rsid w:val="006F42DB"/>
    <w:rsid w:val="006F50DE"/>
    <w:rsid w:val="006F550E"/>
    <w:rsid w:val="006F6DC0"/>
    <w:rsid w:val="006F75B0"/>
    <w:rsid w:val="0071712C"/>
    <w:rsid w:val="00724A5C"/>
    <w:rsid w:val="00730F11"/>
    <w:rsid w:val="00731665"/>
    <w:rsid w:val="007378E7"/>
    <w:rsid w:val="007419EE"/>
    <w:rsid w:val="00751E1A"/>
    <w:rsid w:val="00753528"/>
    <w:rsid w:val="007550D3"/>
    <w:rsid w:val="00755351"/>
    <w:rsid w:val="00756F4C"/>
    <w:rsid w:val="00761A8B"/>
    <w:rsid w:val="0076244A"/>
    <w:rsid w:val="007649AD"/>
    <w:rsid w:val="00780939"/>
    <w:rsid w:val="0078194B"/>
    <w:rsid w:val="0078537D"/>
    <w:rsid w:val="007925B6"/>
    <w:rsid w:val="007A2B36"/>
    <w:rsid w:val="007A7DF6"/>
    <w:rsid w:val="007B0946"/>
    <w:rsid w:val="007B5789"/>
    <w:rsid w:val="007C2EC2"/>
    <w:rsid w:val="007D448B"/>
    <w:rsid w:val="007E0A51"/>
    <w:rsid w:val="007E0B47"/>
    <w:rsid w:val="007F1829"/>
    <w:rsid w:val="007F7401"/>
    <w:rsid w:val="00811D8F"/>
    <w:rsid w:val="008160D8"/>
    <w:rsid w:val="0082140A"/>
    <w:rsid w:val="00821B27"/>
    <w:rsid w:val="00824B1F"/>
    <w:rsid w:val="008318AB"/>
    <w:rsid w:val="00832E5F"/>
    <w:rsid w:val="008332EE"/>
    <w:rsid w:val="00833E4D"/>
    <w:rsid w:val="0083662F"/>
    <w:rsid w:val="0084245D"/>
    <w:rsid w:val="00842E63"/>
    <w:rsid w:val="008440DF"/>
    <w:rsid w:val="008479B4"/>
    <w:rsid w:val="00863245"/>
    <w:rsid w:val="00870259"/>
    <w:rsid w:val="00874AF0"/>
    <w:rsid w:val="00885E65"/>
    <w:rsid w:val="00891EB6"/>
    <w:rsid w:val="008A18F0"/>
    <w:rsid w:val="008A37AF"/>
    <w:rsid w:val="008B099F"/>
    <w:rsid w:val="008B129F"/>
    <w:rsid w:val="008C27B7"/>
    <w:rsid w:val="008D1255"/>
    <w:rsid w:val="008D783E"/>
    <w:rsid w:val="008E0CAB"/>
    <w:rsid w:val="008E1330"/>
    <w:rsid w:val="008E5FE6"/>
    <w:rsid w:val="008F22A4"/>
    <w:rsid w:val="009071A1"/>
    <w:rsid w:val="00907500"/>
    <w:rsid w:val="0091354E"/>
    <w:rsid w:val="0092221D"/>
    <w:rsid w:val="009265D0"/>
    <w:rsid w:val="009266C7"/>
    <w:rsid w:val="009408E5"/>
    <w:rsid w:val="009454D9"/>
    <w:rsid w:val="00945696"/>
    <w:rsid w:val="009470F4"/>
    <w:rsid w:val="00953C9D"/>
    <w:rsid w:val="00957FE1"/>
    <w:rsid w:val="00961757"/>
    <w:rsid w:val="009705A8"/>
    <w:rsid w:val="009973F4"/>
    <w:rsid w:val="00997814"/>
    <w:rsid w:val="009A17FA"/>
    <w:rsid w:val="009B2C35"/>
    <w:rsid w:val="009B506B"/>
    <w:rsid w:val="009B6B3B"/>
    <w:rsid w:val="009C36C3"/>
    <w:rsid w:val="009D2ADB"/>
    <w:rsid w:val="009E0B2F"/>
    <w:rsid w:val="009E0EA4"/>
    <w:rsid w:val="009E527B"/>
    <w:rsid w:val="00A15AE0"/>
    <w:rsid w:val="00A204A4"/>
    <w:rsid w:val="00A23307"/>
    <w:rsid w:val="00A233AF"/>
    <w:rsid w:val="00A35164"/>
    <w:rsid w:val="00A5590C"/>
    <w:rsid w:val="00A65AE6"/>
    <w:rsid w:val="00A727D3"/>
    <w:rsid w:val="00A74745"/>
    <w:rsid w:val="00A84690"/>
    <w:rsid w:val="00AA05FC"/>
    <w:rsid w:val="00AA0B92"/>
    <w:rsid w:val="00AA137C"/>
    <w:rsid w:val="00AA23FB"/>
    <w:rsid w:val="00AA2AEF"/>
    <w:rsid w:val="00AA2CC8"/>
    <w:rsid w:val="00AC02EC"/>
    <w:rsid w:val="00AC5366"/>
    <w:rsid w:val="00AC7922"/>
    <w:rsid w:val="00AE2151"/>
    <w:rsid w:val="00AE23DB"/>
    <w:rsid w:val="00AE3B4C"/>
    <w:rsid w:val="00AF4EDC"/>
    <w:rsid w:val="00B01FA8"/>
    <w:rsid w:val="00B03719"/>
    <w:rsid w:val="00B06EC8"/>
    <w:rsid w:val="00B13755"/>
    <w:rsid w:val="00B13D63"/>
    <w:rsid w:val="00B13E3B"/>
    <w:rsid w:val="00B20E90"/>
    <w:rsid w:val="00B26CE6"/>
    <w:rsid w:val="00B32DBC"/>
    <w:rsid w:val="00B41FB7"/>
    <w:rsid w:val="00B45816"/>
    <w:rsid w:val="00B47AF6"/>
    <w:rsid w:val="00B504A5"/>
    <w:rsid w:val="00B505D6"/>
    <w:rsid w:val="00B50DDD"/>
    <w:rsid w:val="00B51946"/>
    <w:rsid w:val="00B63BFE"/>
    <w:rsid w:val="00B7308D"/>
    <w:rsid w:val="00B74E1F"/>
    <w:rsid w:val="00B8159A"/>
    <w:rsid w:val="00B829F9"/>
    <w:rsid w:val="00B92C23"/>
    <w:rsid w:val="00B93222"/>
    <w:rsid w:val="00B97105"/>
    <w:rsid w:val="00B973C0"/>
    <w:rsid w:val="00B97DD9"/>
    <w:rsid w:val="00BA09EA"/>
    <w:rsid w:val="00BA2942"/>
    <w:rsid w:val="00BA38A3"/>
    <w:rsid w:val="00BA62AF"/>
    <w:rsid w:val="00BA7B7C"/>
    <w:rsid w:val="00BB1D4B"/>
    <w:rsid w:val="00BC37F9"/>
    <w:rsid w:val="00BC5B1D"/>
    <w:rsid w:val="00BD058B"/>
    <w:rsid w:val="00BD7577"/>
    <w:rsid w:val="00BE46EA"/>
    <w:rsid w:val="00BE651F"/>
    <w:rsid w:val="00BE7514"/>
    <w:rsid w:val="00BF2416"/>
    <w:rsid w:val="00C0413B"/>
    <w:rsid w:val="00C1175E"/>
    <w:rsid w:val="00C119A7"/>
    <w:rsid w:val="00C1647F"/>
    <w:rsid w:val="00C172E8"/>
    <w:rsid w:val="00C32AAD"/>
    <w:rsid w:val="00C34097"/>
    <w:rsid w:val="00C412E6"/>
    <w:rsid w:val="00C450E3"/>
    <w:rsid w:val="00C52DF5"/>
    <w:rsid w:val="00C60C38"/>
    <w:rsid w:val="00C6485F"/>
    <w:rsid w:val="00C66D7C"/>
    <w:rsid w:val="00C82D48"/>
    <w:rsid w:val="00C863E7"/>
    <w:rsid w:val="00C86596"/>
    <w:rsid w:val="00C86B4B"/>
    <w:rsid w:val="00C92382"/>
    <w:rsid w:val="00C9343A"/>
    <w:rsid w:val="00C95769"/>
    <w:rsid w:val="00CA47C2"/>
    <w:rsid w:val="00CA4E3C"/>
    <w:rsid w:val="00CB2421"/>
    <w:rsid w:val="00CD04A1"/>
    <w:rsid w:val="00CE3ED4"/>
    <w:rsid w:val="00CE5344"/>
    <w:rsid w:val="00CE78B1"/>
    <w:rsid w:val="00CF08BD"/>
    <w:rsid w:val="00CF24D2"/>
    <w:rsid w:val="00CF278A"/>
    <w:rsid w:val="00CF65AD"/>
    <w:rsid w:val="00D036AC"/>
    <w:rsid w:val="00D11475"/>
    <w:rsid w:val="00D12023"/>
    <w:rsid w:val="00D14C94"/>
    <w:rsid w:val="00D23A89"/>
    <w:rsid w:val="00D23C77"/>
    <w:rsid w:val="00D2605F"/>
    <w:rsid w:val="00D342E8"/>
    <w:rsid w:val="00D35AFF"/>
    <w:rsid w:val="00D47CDE"/>
    <w:rsid w:val="00D62137"/>
    <w:rsid w:val="00D63C41"/>
    <w:rsid w:val="00D67175"/>
    <w:rsid w:val="00D67FA5"/>
    <w:rsid w:val="00D71A8B"/>
    <w:rsid w:val="00D745AC"/>
    <w:rsid w:val="00D759FC"/>
    <w:rsid w:val="00D75A21"/>
    <w:rsid w:val="00D82202"/>
    <w:rsid w:val="00D952DB"/>
    <w:rsid w:val="00D952ED"/>
    <w:rsid w:val="00DA0447"/>
    <w:rsid w:val="00DB218A"/>
    <w:rsid w:val="00DB2628"/>
    <w:rsid w:val="00DC5018"/>
    <w:rsid w:val="00DC51FB"/>
    <w:rsid w:val="00DC5839"/>
    <w:rsid w:val="00DC6611"/>
    <w:rsid w:val="00DD1807"/>
    <w:rsid w:val="00DD248C"/>
    <w:rsid w:val="00DD5894"/>
    <w:rsid w:val="00DD5A93"/>
    <w:rsid w:val="00DE0CA5"/>
    <w:rsid w:val="00DE1369"/>
    <w:rsid w:val="00DE242B"/>
    <w:rsid w:val="00DF68C1"/>
    <w:rsid w:val="00E02D30"/>
    <w:rsid w:val="00E06081"/>
    <w:rsid w:val="00E06F0C"/>
    <w:rsid w:val="00E124DD"/>
    <w:rsid w:val="00E14847"/>
    <w:rsid w:val="00E14B26"/>
    <w:rsid w:val="00E2079F"/>
    <w:rsid w:val="00E21A80"/>
    <w:rsid w:val="00E21B76"/>
    <w:rsid w:val="00E25DF4"/>
    <w:rsid w:val="00E37001"/>
    <w:rsid w:val="00E41566"/>
    <w:rsid w:val="00E4581C"/>
    <w:rsid w:val="00E50669"/>
    <w:rsid w:val="00E64460"/>
    <w:rsid w:val="00E72B3B"/>
    <w:rsid w:val="00E72E21"/>
    <w:rsid w:val="00E7532F"/>
    <w:rsid w:val="00E75378"/>
    <w:rsid w:val="00E76F85"/>
    <w:rsid w:val="00E827C8"/>
    <w:rsid w:val="00E97C48"/>
    <w:rsid w:val="00EA06BA"/>
    <w:rsid w:val="00EA0B9A"/>
    <w:rsid w:val="00EA202B"/>
    <w:rsid w:val="00EA3A92"/>
    <w:rsid w:val="00EB1DC0"/>
    <w:rsid w:val="00EC1541"/>
    <w:rsid w:val="00EC3A2D"/>
    <w:rsid w:val="00EC45EE"/>
    <w:rsid w:val="00EE1A5D"/>
    <w:rsid w:val="00EE3A0A"/>
    <w:rsid w:val="00EE3BDE"/>
    <w:rsid w:val="00EF6C06"/>
    <w:rsid w:val="00F01AE4"/>
    <w:rsid w:val="00F02FA8"/>
    <w:rsid w:val="00F0380B"/>
    <w:rsid w:val="00F049D9"/>
    <w:rsid w:val="00F119EF"/>
    <w:rsid w:val="00F202F7"/>
    <w:rsid w:val="00F21E98"/>
    <w:rsid w:val="00F2345B"/>
    <w:rsid w:val="00F30C53"/>
    <w:rsid w:val="00F33E81"/>
    <w:rsid w:val="00F34CB6"/>
    <w:rsid w:val="00F40931"/>
    <w:rsid w:val="00F4636A"/>
    <w:rsid w:val="00F46B60"/>
    <w:rsid w:val="00F47DEF"/>
    <w:rsid w:val="00F50CA1"/>
    <w:rsid w:val="00F525CC"/>
    <w:rsid w:val="00F53514"/>
    <w:rsid w:val="00F53B36"/>
    <w:rsid w:val="00F544FE"/>
    <w:rsid w:val="00F56F29"/>
    <w:rsid w:val="00F5773D"/>
    <w:rsid w:val="00F621A5"/>
    <w:rsid w:val="00F62ABD"/>
    <w:rsid w:val="00F641D0"/>
    <w:rsid w:val="00F655A8"/>
    <w:rsid w:val="00F73403"/>
    <w:rsid w:val="00F74287"/>
    <w:rsid w:val="00F75901"/>
    <w:rsid w:val="00F84A97"/>
    <w:rsid w:val="00F92034"/>
    <w:rsid w:val="00F95FA8"/>
    <w:rsid w:val="00FA3572"/>
    <w:rsid w:val="00FA4FCB"/>
    <w:rsid w:val="00FB0DBD"/>
    <w:rsid w:val="00FB4971"/>
    <w:rsid w:val="00FB5447"/>
    <w:rsid w:val="00FD27A1"/>
    <w:rsid w:val="00FD36C4"/>
    <w:rsid w:val="00FD6475"/>
    <w:rsid w:val="00FE3205"/>
    <w:rsid w:val="00FE7FBF"/>
    <w:rsid w:val="00FF14CF"/>
    <w:rsid w:val="00FF4380"/>
    <w:rsid w:val="00FF48DC"/>
    <w:rsid w:val="00FF4B26"/>
    <w:rsid w:val="00FF64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EEA2D5"/>
  <w15:docId w15:val="{3A57A4D6-00C4-4D16-8648-295B29E5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rsid w:val="00EE3A0A"/>
    <w:pPr>
      <w:keepNext/>
      <w:pageBreakBefore/>
      <w:spacing w:after="240" w:line="240" w:lineRule="auto"/>
      <w:jc w:val="center"/>
      <w:outlineLvl w:val="0"/>
    </w:pPr>
    <w:rPr>
      <w:rFonts w:ascii="Times New Roman Bold" w:eastAsiaTheme="majorEastAsia" w:hAnsi="Times New Roman Bold" w:cs="Times New Roman"/>
      <w:b/>
      <w:bCs/>
      <w:caps/>
      <w:sz w:val="20"/>
      <w:szCs w:val="20"/>
    </w:rPr>
  </w:style>
  <w:style w:type="paragraph" w:styleId="Heading3">
    <w:name w:val="heading 3"/>
    <w:basedOn w:val="Normal"/>
    <w:next w:val="Normal"/>
    <w:link w:val="Heading3Char"/>
    <w:uiPriority w:val="3"/>
    <w:semiHidden/>
    <w:unhideWhenUsed/>
    <w:qFormat/>
    <w:rsid w:val="00EE3A0A"/>
    <w:pPr>
      <w:keepNext/>
      <w:keepLines/>
      <w:spacing w:before="200" w:after="0" w:line="240" w:lineRule="auto"/>
      <w:jc w:val="both"/>
      <w:outlineLvl w:val="2"/>
    </w:pPr>
    <w:rPr>
      <w:rFonts w:asciiTheme="majorHAnsi" w:eastAsiaTheme="majorEastAsia" w:hAnsiTheme="majorHAnsi" w:cstheme="majorBidi"/>
      <w:b/>
      <w:bCs/>
      <w:color w:val="4F81BD" w:themeColor="accent1"/>
      <w:sz w:val="20"/>
      <w:szCs w:val="24"/>
    </w:rPr>
  </w:style>
  <w:style w:type="paragraph" w:styleId="Heading5">
    <w:name w:val="heading 5"/>
    <w:basedOn w:val="Normal"/>
    <w:next w:val="Normal"/>
    <w:link w:val="Heading5Char"/>
    <w:uiPriority w:val="3"/>
    <w:semiHidden/>
    <w:unhideWhenUsed/>
    <w:qFormat/>
    <w:rsid w:val="00EE3A0A"/>
    <w:pPr>
      <w:keepNext/>
      <w:keepLines/>
      <w:spacing w:before="200" w:after="0" w:line="240" w:lineRule="auto"/>
      <w:jc w:val="both"/>
      <w:outlineLvl w:val="4"/>
    </w:pPr>
    <w:rPr>
      <w:rFonts w:asciiTheme="majorHAnsi" w:eastAsiaTheme="majorEastAsia" w:hAnsiTheme="majorHAnsi" w:cstheme="majorBidi"/>
      <w:color w:val="243F60" w:themeColor="accent1" w:themeShade="7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EE3A0A"/>
    <w:rPr>
      <w:rFonts w:ascii="Times New Roman Bold" w:eastAsiaTheme="majorEastAsia" w:hAnsi="Times New Roman Bold" w:cs="Times New Roman"/>
      <w:b/>
      <w:bCs/>
      <w:caps/>
      <w:sz w:val="20"/>
      <w:szCs w:val="20"/>
    </w:rPr>
  </w:style>
  <w:style w:type="paragraph" w:styleId="ListParagraph">
    <w:name w:val="List Paragraph"/>
    <w:basedOn w:val="Normal"/>
    <w:uiPriority w:val="34"/>
    <w:qFormat/>
    <w:rsid w:val="00553609"/>
    <w:pPr>
      <w:ind w:left="720"/>
      <w:contextualSpacing/>
    </w:pPr>
  </w:style>
  <w:style w:type="character" w:customStyle="1" w:styleId="fc">
    <w:name w:val="fc"/>
    <w:basedOn w:val="DefaultParagraphFont"/>
    <w:rsid w:val="002D65A8"/>
  </w:style>
  <w:style w:type="paragraph" w:customStyle="1" w:styleId="ei">
    <w:name w:val="ei"/>
    <w:basedOn w:val="Normal"/>
    <w:rsid w:val="00AC79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j">
    <w:name w:val="ej"/>
    <w:basedOn w:val="DefaultParagraphFont"/>
    <w:rsid w:val="00AC7922"/>
  </w:style>
  <w:style w:type="character" w:customStyle="1" w:styleId="dq">
    <w:name w:val="dq"/>
    <w:basedOn w:val="DefaultParagraphFont"/>
    <w:rsid w:val="00AC7922"/>
  </w:style>
  <w:style w:type="paragraph" w:customStyle="1" w:styleId="ft">
    <w:name w:val="ft"/>
    <w:basedOn w:val="Normal"/>
    <w:rsid w:val="005D1F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u">
    <w:name w:val="fu"/>
    <w:basedOn w:val="Normal"/>
    <w:rsid w:val="005D1F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v">
    <w:name w:val="fv"/>
    <w:basedOn w:val="Normal"/>
    <w:rsid w:val="005D1F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
    <w:name w:val="ac"/>
    <w:basedOn w:val="Normal"/>
    <w:rsid w:val="005D1F9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
    <w:name w:val="dr"/>
    <w:basedOn w:val="Normal"/>
    <w:rsid w:val="009454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a">
    <w:name w:val="ea"/>
    <w:basedOn w:val="Normal"/>
    <w:rsid w:val="009454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b">
    <w:name w:val="eb"/>
    <w:basedOn w:val="Normal"/>
    <w:rsid w:val="00FE7F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c">
    <w:name w:val="ec"/>
    <w:basedOn w:val="Normal"/>
    <w:rsid w:val="004916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d">
    <w:name w:val="ed"/>
    <w:basedOn w:val="Normal"/>
    <w:rsid w:val="004916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qFormat/>
    <w:rsid w:val="00CA47C2"/>
    <w:pPr>
      <w:spacing w:line="240" w:lineRule="auto"/>
      <w:jc w:val="both"/>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CA47C2"/>
    <w:rPr>
      <w:rFonts w:ascii="Times New Roman" w:eastAsia="Times New Roman" w:hAnsi="Times New Roman" w:cs="Times New Roman"/>
      <w:sz w:val="20"/>
      <w:szCs w:val="24"/>
    </w:rPr>
  </w:style>
  <w:style w:type="paragraph" w:customStyle="1" w:styleId="Marginnote">
    <w:name w:val="Margin note"/>
    <w:basedOn w:val="Normal"/>
    <w:rsid w:val="00CA47C2"/>
    <w:pPr>
      <w:keepNext/>
      <w:keepLines/>
      <w:framePr w:w="1151" w:hSpace="181" w:vSpace="181" w:wrap="around" w:vAnchor="text" w:hAnchor="page" w:xAlign="right" w:y="1"/>
      <w:spacing w:before="40" w:after="240" w:line="180" w:lineRule="exact"/>
    </w:pPr>
    <w:rPr>
      <w:rFonts w:ascii="Times New Roman" w:eastAsia="Times New Roman" w:hAnsi="Times New Roman" w:cs="Times New Roman"/>
      <w:b/>
      <w:sz w:val="14"/>
      <w:szCs w:val="24"/>
    </w:rPr>
  </w:style>
  <w:style w:type="paragraph" w:customStyle="1" w:styleId="ParaHeading">
    <w:name w:val="ParaHeading"/>
    <w:basedOn w:val="BodyText"/>
    <w:next w:val="BodyText"/>
    <w:qFormat/>
    <w:rsid w:val="00CA47C2"/>
    <w:pPr>
      <w:keepNext/>
      <w:keepLines/>
      <w:spacing w:after="120"/>
    </w:pPr>
    <w:rPr>
      <w:b/>
    </w:rPr>
  </w:style>
  <w:style w:type="paragraph" w:styleId="BalloonText">
    <w:name w:val="Balloon Text"/>
    <w:basedOn w:val="Normal"/>
    <w:link w:val="BalloonTextChar"/>
    <w:uiPriority w:val="99"/>
    <w:semiHidden/>
    <w:unhideWhenUsed/>
    <w:rsid w:val="00657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D39"/>
    <w:rPr>
      <w:rFonts w:ascii="Tahoma" w:hAnsi="Tahoma" w:cs="Tahoma"/>
      <w:sz w:val="16"/>
      <w:szCs w:val="16"/>
    </w:rPr>
  </w:style>
  <w:style w:type="paragraph" w:styleId="Revision">
    <w:name w:val="Revision"/>
    <w:hidden/>
    <w:uiPriority w:val="99"/>
    <w:semiHidden/>
    <w:rsid w:val="002B68BC"/>
    <w:pPr>
      <w:spacing w:after="0" w:line="240" w:lineRule="auto"/>
    </w:pPr>
  </w:style>
  <w:style w:type="character" w:styleId="CommentReference">
    <w:name w:val="annotation reference"/>
    <w:basedOn w:val="DefaultParagraphFont"/>
    <w:uiPriority w:val="99"/>
    <w:semiHidden/>
    <w:unhideWhenUsed/>
    <w:rsid w:val="00B47AF6"/>
    <w:rPr>
      <w:sz w:val="16"/>
      <w:szCs w:val="16"/>
    </w:rPr>
  </w:style>
  <w:style w:type="paragraph" w:styleId="CommentText">
    <w:name w:val="annotation text"/>
    <w:basedOn w:val="Normal"/>
    <w:link w:val="CommentTextChar"/>
    <w:semiHidden/>
    <w:unhideWhenUsed/>
    <w:rsid w:val="00B47AF6"/>
    <w:pPr>
      <w:spacing w:line="240" w:lineRule="auto"/>
    </w:pPr>
    <w:rPr>
      <w:sz w:val="20"/>
      <w:szCs w:val="20"/>
    </w:rPr>
  </w:style>
  <w:style w:type="character" w:customStyle="1" w:styleId="CommentTextChar">
    <w:name w:val="Comment Text Char"/>
    <w:basedOn w:val="DefaultParagraphFont"/>
    <w:link w:val="CommentText"/>
    <w:semiHidden/>
    <w:rsid w:val="00B47AF6"/>
    <w:rPr>
      <w:sz w:val="20"/>
      <w:szCs w:val="20"/>
    </w:rPr>
  </w:style>
  <w:style w:type="paragraph" w:styleId="CommentSubject">
    <w:name w:val="annotation subject"/>
    <w:basedOn w:val="CommentText"/>
    <w:next w:val="CommentText"/>
    <w:link w:val="CommentSubjectChar"/>
    <w:semiHidden/>
    <w:unhideWhenUsed/>
    <w:rsid w:val="00B47AF6"/>
    <w:rPr>
      <w:b/>
      <w:bCs/>
    </w:rPr>
  </w:style>
  <w:style w:type="character" w:customStyle="1" w:styleId="CommentSubjectChar">
    <w:name w:val="Comment Subject Char"/>
    <w:basedOn w:val="CommentTextChar"/>
    <w:link w:val="CommentSubject"/>
    <w:semiHidden/>
    <w:rsid w:val="00B47AF6"/>
    <w:rPr>
      <w:b/>
      <w:bCs/>
      <w:sz w:val="20"/>
      <w:szCs w:val="20"/>
    </w:rPr>
  </w:style>
  <w:style w:type="table" w:customStyle="1" w:styleId="TableGrid1">
    <w:name w:val="Table Grid1"/>
    <w:basedOn w:val="TableNormal"/>
    <w:next w:val="TableGrid"/>
    <w:rsid w:val="00EE3A0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3"/>
    <w:semiHidden/>
    <w:rsid w:val="00EE3A0A"/>
    <w:rPr>
      <w:rFonts w:asciiTheme="majorHAnsi" w:eastAsiaTheme="majorEastAsia" w:hAnsiTheme="majorHAnsi" w:cstheme="majorBidi"/>
      <w:b/>
      <w:bCs/>
      <w:color w:val="4F81BD" w:themeColor="accent1"/>
      <w:sz w:val="20"/>
      <w:szCs w:val="24"/>
    </w:rPr>
  </w:style>
  <w:style w:type="character" w:customStyle="1" w:styleId="Heading5Char">
    <w:name w:val="Heading 5 Char"/>
    <w:basedOn w:val="DefaultParagraphFont"/>
    <w:link w:val="Heading5"/>
    <w:uiPriority w:val="3"/>
    <w:semiHidden/>
    <w:rsid w:val="00EE3A0A"/>
    <w:rPr>
      <w:rFonts w:asciiTheme="majorHAnsi" w:eastAsiaTheme="majorEastAsia" w:hAnsiTheme="majorHAnsi" w:cstheme="majorBidi"/>
      <w:color w:val="243F60" w:themeColor="accent1" w:themeShade="7F"/>
      <w:sz w:val="20"/>
      <w:szCs w:val="24"/>
    </w:rPr>
  </w:style>
  <w:style w:type="paragraph" w:styleId="Footer">
    <w:name w:val="footer"/>
    <w:basedOn w:val="BodyText"/>
    <w:link w:val="FooterChar"/>
    <w:uiPriority w:val="99"/>
    <w:unhideWhenUsed/>
    <w:rsid w:val="00EE3A0A"/>
    <w:pPr>
      <w:tabs>
        <w:tab w:val="right" w:pos="8280"/>
      </w:tabs>
      <w:spacing w:after="0"/>
    </w:pPr>
    <w:rPr>
      <w:sz w:val="16"/>
    </w:rPr>
  </w:style>
  <w:style w:type="character" w:customStyle="1" w:styleId="FooterChar">
    <w:name w:val="Footer Char"/>
    <w:basedOn w:val="DefaultParagraphFont"/>
    <w:link w:val="Footer"/>
    <w:uiPriority w:val="99"/>
    <w:rsid w:val="00EE3A0A"/>
    <w:rPr>
      <w:rFonts w:ascii="Times New Roman" w:eastAsia="Times New Roman" w:hAnsi="Times New Roman" w:cs="Times New Roman"/>
      <w:sz w:val="16"/>
      <w:szCs w:val="24"/>
    </w:rPr>
  </w:style>
  <w:style w:type="character" w:styleId="FootnoteReference">
    <w:name w:val="footnote reference"/>
    <w:basedOn w:val="DefaultParagraphFont"/>
    <w:unhideWhenUsed/>
    <w:rsid w:val="00EE3A0A"/>
    <w:rPr>
      <w:vertAlign w:val="superscript"/>
      <w:lang w:val="en-GB"/>
    </w:rPr>
  </w:style>
  <w:style w:type="paragraph" w:styleId="FootnoteText">
    <w:name w:val="footnote text"/>
    <w:basedOn w:val="BodyText"/>
    <w:link w:val="FootnoteTextChar"/>
    <w:uiPriority w:val="7"/>
    <w:rsid w:val="00EE3A0A"/>
    <w:pPr>
      <w:spacing w:after="120"/>
      <w:ind w:left="187" w:hanging="187"/>
    </w:pPr>
    <w:rPr>
      <w:szCs w:val="20"/>
    </w:rPr>
  </w:style>
  <w:style w:type="character" w:customStyle="1" w:styleId="FootnoteTextChar">
    <w:name w:val="Footnote Text Char"/>
    <w:basedOn w:val="DefaultParagraphFont"/>
    <w:link w:val="FootnoteText"/>
    <w:uiPriority w:val="7"/>
    <w:rsid w:val="00EE3A0A"/>
    <w:rPr>
      <w:rFonts w:ascii="Times New Roman" w:eastAsia="Times New Roman" w:hAnsi="Times New Roman" w:cs="Times New Roman"/>
      <w:sz w:val="20"/>
      <w:szCs w:val="20"/>
    </w:rPr>
  </w:style>
  <w:style w:type="paragraph" w:styleId="Header">
    <w:name w:val="header"/>
    <w:basedOn w:val="BodyText"/>
    <w:link w:val="HeaderChar"/>
    <w:uiPriority w:val="99"/>
    <w:rsid w:val="00EE3A0A"/>
    <w:pPr>
      <w:tabs>
        <w:tab w:val="right" w:pos="8280"/>
      </w:tabs>
      <w:spacing w:after="0"/>
      <w:jc w:val="right"/>
    </w:pPr>
    <w:rPr>
      <w:sz w:val="16"/>
    </w:rPr>
  </w:style>
  <w:style w:type="character" w:customStyle="1" w:styleId="HeaderChar">
    <w:name w:val="Header Char"/>
    <w:basedOn w:val="DefaultParagraphFont"/>
    <w:link w:val="Header"/>
    <w:uiPriority w:val="99"/>
    <w:rsid w:val="00EE3A0A"/>
    <w:rPr>
      <w:rFonts w:ascii="Times New Roman" w:eastAsia="Times New Roman" w:hAnsi="Times New Roman" w:cs="Times New Roman"/>
      <w:sz w:val="16"/>
      <w:szCs w:val="24"/>
    </w:rPr>
  </w:style>
  <w:style w:type="character" w:styleId="PageNumber">
    <w:name w:val="page number"/>
    <w:basedOn w:val="DefaultParagraphFont"/>
    <w:uiPriority w:val="7"/>
    <w:unhideWhenUsed/>
    <w:rsid w:val="00EE3A0A"/>
    <w:rPr>
      <w:rFonts w:ascii="Times New Roman" w:hAnsi="Times New Roman"/>
      <w:sz w:val="16"/>
      <w:lang w:val="en-GB"/>
    </w:rPr>
  </w:style>
  <w:style w:type="paragraph" w:customStyle="1" w:styleId="MacPacTrailer">
    <w:name w:val="MacPac Trailer"/>
    <w:rsid w:val="00B13E3B"/>
    <w:pPr>
      <w:widowControl w:val="0"/>
      <w:spacing w:after="0" w:line="170" w:lineRule="exact"/>
    </w:pPr>
    <w:rPr>
      <w:rFonts w:ascii="Times New Roman" w:eastAsia="Times New Roman" w:hAnsi="Times New Roman" w:cs="Times New Roman"/>
      <w:sz w:val="14"/>
      <w:lang w:val="en-US"/>
    </w:rPr>
  </w:style>
  <w:style w:type="paragraph" w:styleId="TOC1">
    <w:name w:val="toc 1"/>
    <w:basedOn w:val="Normal"/>
    <w:next w:val="Normal"/>
    <w:autoRedefine/>
    <w:uiPriority w:val="39"/>
    <w:unhideWhenUsed/>
    <w:rsid w:val="00EE3A0A"/>
    <w:pPr>
      <w:spacing w:after="100" w:line="240" w:lineRule="auto"/>
      <w:jc w:val="both"/>
    </w:pPr>
    <w:rPr>
      <w:rFonts w:ascii="Times New Roman" w:eastAsia="Times New Roman" w:hAnsi="Times New Roman" w:cs="Times New Roman"/>
      <w:caps/>
      <w:sz w:val="20"/>
      <w:szCs w:val="24"/>
    </w:rPr>
  </w:style>
  <w:style w:type="character" w:styleId="Hyperlink">
    <w:name w:val="Hyperlink"/>
    <w:basedOn w:val="DefaultParagraphFont"/>
    <w:uiPriority w:val="99"/>
    <w:unhideWhenUsed/>
    <w:rsid w:val="00EE3A0A"/>
    <w:rPr>
      <w:color w:val="0000FF" w:themeColor="hyperlink"/>
      <w:u w:val="single"/>
    </w:rPr>
  </w:style>
  <w:style w:type="paragraph" w:customStyle="1" w:styleId="BulletsL1">
    <w:name w:val="Bullets_L1"/>
    <w:basedOn w:val="Normal"/>
    <w:autoRedefine/>
    <w:rsid w:val="00EE3A0A"/>
    <w:pPr>
      <w:spacing w:after="240" w:line="240" w:lineRule="auto"/>
      <w:ind w:left="398" w:hanging="398"/>
      <w:jc w:val="both"/>
    </w:pPr>
    <w:rPr>
      <w:rFonts w:ascii="Times New Roman" w:eastAsia="Times New Roman" w:hAnsi="Times New Roman" w:cs="Times New Roman"/>
      <w:sz w:val="20"/>
      <w:szCs w:val="20"/>
    </w:rPr>
  </w:style>
  <w:style w:type="paragraph" w:customStyle="1" w:styleId="BulletsL2">
    <w:name w:val="Bullets_L2"/>
    <w:basedOn w:val="BulletsL1"/>
    <w:autoRedefine/>
    <w:rsid w:val="00EE3A0A"/>
    <w:pPr>
      <w:numPr>
        <w:ilvl w:val="1"/>
      </w:numPr>
      <w:spacing w:after="200"/>
      <w:ind w:left="907" w:hanging="547"/>
    </w:pPr>
  </w:style>
  <w:style w:type="paragraph" w:customStyle="1" w:styleId="Paraheading2">
    <w:name w:val="Paraheading 2"/>
    <w:basedOn w:val="Normal"/>
    <w:uiPriority w:val="4"/>
    <w:rsid w:val="00EE3A0A"/>
    <w:pPr>
      <w:keepNext/>
      <w:spacing w:after="120" w:line="240" w:lineRule="auto"/>
      <w:jc w:val="both"/>
    </w:pPr>
    <w:rPr>
      <w:rFonts w:ascii="Times New Roman" w:eastAsia="Times New Roman" w:hAnsi="Times New Roman" w:cs="Times New Roman"/>
      <w:b/>
      <w:i/>
      <w:sz w:val="20"/>
      <w:szCs w:val="24"/>
    </w:rPr>
  </w:style>
  <w:style w:type="paragraph" w:customStyle="1" w:styleId="ParaheadingSmallCaps">
    <w:name w:val="Paraheading Small Caps"/>
    <w:basedOn w:val="ParaHeading"/>
    <w:next w:val="Normal"/>
    <w:uiPriority w:val="4"/>
    <w:rsid w:val="00EE3A0A"/>
    <w:rPr>
      <w:rFonts w:ascii="Times New Roman Bold" w:hAnsi="Times New Roman Bold"/>
      <w:smallCaps/>
    </w:rPr>
  </w:style>
  <w:style w:type="paragraph" w:customStyle="1" w:styleId="Paraheading3">
    <w:name w:val="Paraheading 3"/>
    <w:basedOn w:val="Paraheading2"/>
    <w:next w:val="Normal"/>
    <w:uiPriority w:val="4"/>
    <w:rsid w:val="00EE3A0A"/>
    <w:rPr>
      <w:b w:val="0"/>
    </w:rPr>
  </w:style>
  <w:style w:type="character" w:customStyle="1" w:styleId="BodyText3Char">
    <w:name w:val="Body Text 3 Char"/>
    <w:basedOn w:val="DefaultParagraphFont"/>
    <w:link w:val="BodyText3"/>
    <w:uiPriority w:val="99"/>
    <w:semiHidden/>
    <w:rsid w:val="00EE3A0A"/>
    <w:rPr>
      <w:rFonts w:ascii="Times New Roman" w:eastAsia="Times New Roman" w:hAnsi="Times New Roman" w:cs="Times New Roman"/>
      <w:sz w:val="16"/>
      <w:szCs w:val="16"/>
    </w:rPr>
  </w:style>
  <w:style w:type="paragraph" w:styleId="BodyText3">
    <w:name w:val="Body Text 3"/>
    <w:basedOn w:val="Normal"/>
    <w:link w:val="BodyText3Char"/>
    <w:uiPriority w:val="99"/>
    <w:semiHidden/>
    <w:rsid w:val="00EE3A0A"/>
    <w:pPr>
      <w:spacing w:after="120" w:line="240" w:lineRule="auto"/>
      <w:jc w:val="both"/>
    </w:pPr>
    <w:rPr>
      <w:rFonts w:ascii="Times New Roman" w:eastAsia="Times New Roman" w:hAnsi="Times New Roman" w:cs="Times New Roman"/>
      <w:sz w:val="16"/>
      <w:szCs w:val="16"/>
    </w:rPr>
  </w:style>
  <w:style w:type="paragraph" w:customStyle="1" w:styleId="MarginNoteRight">
    <w:name w:val="Margin Note Right"/>
    <w:basedOn w:val="Normal"/>
    <w:link w:val="MarginNoteRightChar"/>
    <w:rsid w:val="00EE3A0A"/>
    <w:pPr>
      <w:framePr w:w="1134" w:hSpace="181" w:vSpace="181" w:wrap="around" w:vAnchor="text" w:hAnchor="page" w:xAlign="right" w:y="1"/>
      <w:spacing w:after="80" w:line="240" w:lineRule="auto"/>
      <w:jc w:val="both"/>
    </w:pPr>
    <w:rPr>
      <w:rFonts w:ascii="Times New Roman" w:eastAsia="Times New Roman" w:hAnsi="Times New Roman" w:cs="Times New Roman"/>
      <w:sz w:val="16"/>
      <w:szCs w:val="20"/>
    </w:rPr>
  </w:style>
  <w:style w:type="character" w:customStyle="1" w:styleId="MarginNoteRightChar">
    <w:name w:val="Margin Note Right Char"/>
    <w:basedOn w:val="DefaultParagraphFont"/>
    <w:link w:val="MarginNoteRight"/>
    <w:rsid w:val="00EE3A0A"/>
    <w:rPr>
      <w:rFonts w:ascii="Times New Roman" w:eastAsia="Times New Roman" w:hAnsi="Times New Roman" w:cs="Times New Roman"/>
      <w:sz w:val="16"/>
      <w:szCs w:val="20"/>
    </w:rPr>
  </w:style>
  <w:style w:type="paragraph" w:customStyle="1" w:styleId="SIRtext">
    <w:name w:val="SIRtext"/>
    <w:basedOn w:val="Normal"/>
    <w:rsid w:val="00EE3A0A"/>
    <w:pPr>
      <w:tabs>
        <w:tab w:val="left" w:pos="540"/>
      </w:tabs>
      <w:overflowPunct w:val="0"/>
      <w:autoSpaceDE w:val="0"/>
      <w:autoSpaceDN w:val="0"/>
      <w:adjustRightInd w:val="0"/>
      <w:spacing w:after="260" w:line="240" w:lineRule="auto"/>
      <w:ind w:left="540" w:hanging="540"/>
      <w:jc w:val="both"/>
      <w:textAlignment w:val="baseline"/>
    </w:pPr>
    <w:rPr>
      <w:rFonts w:ascii="Times New Roman" w:eastAsia="Times New Roman" w:hAnsi="Times New Roman" w:cs="Times New Roman"/>
      <w:color w:val="000000"/>
      <w:szCs w:val="20"/>
    </w:rPr>
  </w:style>
  <w:style w:type="paragraph" w:customStyle="1" w:styleId="indent20">
    <w:name w:val="indent20"/>
    <w:basedOn w:val="Normal"/>
    <w:rsid w:val="00EE3A0A"/>
    <w:pPr>
      <w:spacing w:before="100" w:beforeAutospacing="1" w:after="100" w:afterAutospacing="1" w:line="240" w:lineRule="auto"/>
      <w:ind w:left="1125" w:hanging="375"/>
    </w:pPr>
    <w:rPr>
      <w:rFonts w:ascii="Verdana" w:eastAsia="Times New Roman" w:hAnsi="Verdana" w:cs="Times New Roman"/>
      <w:sz w:val="20"/>
      <w:szCs w:val="20"/>
      <w:lang w:eastAsia="en-GB"/>
    </w:rPr>
  </w:style>
  <w:style w:type="paragraph" w:styleId="NormalWeb">
    <w:name w:val="Normal (Web)"/>
    <w:basedOn w:val="Normal"/>
    <w:uiPriority w:val="99"/>
    <w:rsid w:val="00EE3A0A"/>
    <w:pPr>
      <w:spacing w:before="100" w:beforeAutospacing="1" w:after="100" w:afterAutospacing="1" w:line="240" w:lineRule="auto"/>
      <w:ind w:left="150"/>
    </w:pPr>
    <w:rPr>
      <w:rFonts w:ascii="Verdana" w:eastAsia="Times New Roman" w:hAnsi="Verdana" w:cs="Times New Roman"/>
      <w:sz w:val="20"/>
      <w:szCs w:val="20"/>
      <w:lang w:eastAsia="en-GB"/>
    </w:rPr>
  </w:style>
  <w:style w:type="paragraph" w:styleId="NoSpacing">
    <w:name w:val="No Spacing"/>
    <w:uiPriority w:val="1"/>
    <w:qFormat/>
    <w:rsid w:val="00EE3A0A"/>
    <w:pPr>
      <w:spacing w:after="0" w:line="240" w:lineRule="auto"/>
    </w:pPr>
    <w:rPr>
      <w:rFonts w:ascii="Times New Roman" w:eastAsia="Times New Roman" w:hAnsi="Times New Roman" w:cs="Times New Roman"/>
      <w:sz w:val="24"/>
      <w:szCs w:val="24"/>
    </w:rPr>
  </w:style>
  <w:style w:type="paragraph" w:customStyle="1" w:styleId="FWBL1">
    <w:name w:val="FWB_L1"/>
    <w:basedOn w:val="Normal"/>
    <w:next w:val="FWBL2"/>
    <w:rsid w:val="00EE3A0A"/>
    <w:pPr>
      <w:keepNext/>
      <w:keepLines/>
      <w:tabs>
        <w:tab w:val="num" w:pos="720"/>
      </w:tabs>
      <w:spacing w:after="240" w:line="240" w:lineRule="auto"/>
      <w:outlineLvl w:val="0"/>
    </w:pPr>
    <w:rPr>
      <w:rFonts w:ascii="Times New Roman" w:eastAsia="Times New Roman" w:hAnsi="Times New Roman" w:cs="Times New Roman"/>
      <w:b/>
      <w:smallCaps/>
      <w:sz w:val="24"/>
      <w:szCs w:val="20"/>
    </w:rPr>
  </w:style>
  <w:style w:type="paragraph" w:customStyle="1" w:styleId="FWBL2">
    <w:name w:val="FWB_L2"/>
    <w:basedOn w:val="FWBL1"/>
    <w:rsid w:val="00EE3A0A"/>
    <w:pPr>
      <w:keepNext w:val="0"/>
      <w:keepLines w:val="0"/>
      <w:numPr>
        <w:ilvl w:val="1"/>
      </w:numPr>
      <w:tabs>
        <w:tab w:val="num" w:pos="720"/>
      </w:tabs>
      <w:jc w:val="both"/>
      <w:outlineLvl w:val="9"/>
    </w:pPr>
    <w:rPr>
      <w:b w:val="0"/>
      <w:smallCaps w:val="0"/>
    </w:rPr>
  </w:style>
  <w:style w:type="paragraph" w:customStyle="1" w:styleId="FWBL3">
    <w:name w:val="FWB_L3"/>
    <w:basedOn w:val="FWBL2"/>
    <w:rsid w:val="00EE3A0A"/>
    <w:pPr>
      <w:numPr>
        <w:ilvl w:val="2"/>
      </w:numPr>
      <w:tabs>
        <w:tab w:val="num" w:pos="720"/>
      </w:tabs>
    </w:pPr>
  </w:style>
  <w:style w:type="paragraph" w:customStyle="1" w:styleId="FWBL4">
    <w:name w:val="FWB_L4"/>
    <w:basedOn w:val="FWBL3"/>
    <w:rsid w:val="00EE3A0A"/>
    <w:pPr>
      <w:numPr>
        <w:ilvl w:val="3"/>
      </w:numPr>
      <w:tabs>
        <w:tab w:val="num" w:pos="720"/>
      </w:tabs>
    </w:pPr>
  </w:style>
  <w:style w:type="paragraph" w:customStyle="1" w:styleId="FWBL5">
    <w:name w:val="FWB_L5"/>
    <w:basedOn w:val="FWBL4"/>
    <w:rsid w:val="00EE3A0A"/>
    <w:pPr>
      <w:numPr>
        <w:ilvl w:val="4"/>
      </w:numPr>
      <w:tabs>
        <w:tab w:val="num" w:pos="720"/>
      </w:tabs>
    </w:pPr>
  </w:style>
  <w:style w:type="paragraph" w:customStyle="1" w:styleId="FWBL6">
    <w:name w:val="FWB_L6"/>
    <w:basedOn w:val="FWBL5"/>
    <w:rsid w:val="00EE3A0A"/>
    <w:pPr>
      <w:numPr>
        <w:ilvl w:val="5"/>
      </w:numPr>
      <w:tabs>
        <w:tab w:val="num" w:pos="720"/>
      </w:tabs>
    </w:pPr>
  </w:style>
  <w:style w:type="paragraph" w:customStyle="1" w:styleId="FWBL7">
    <w:name w:val="FWB_L7"/>
    <w:basedOn w:val="FWBL6"/>
    <w:rsid w:val="00EE3A0A"/>
    <w:pPr>
      <w:numPr>
        <w:ilvl w:val="6"/>
      </w:numPr>
      <w:tabs>
        <w:tab w:val="num" w:pos="720"/>
      </w:tabs>
    </w:pPr>
  </w:style>
  <w:style w:type="paragraph" w:customStyle="1" w:styleId="FWBL8">
    <w:name w:val="FWB_L8"/>
    <w:basedOn w:val="FWBL7"/>
    <w:rsid w:val="00EE3A0A"/>
    <w:pPr>
      <w:numPr>
        <w:ilvl w:val="7"/>
      </w:numPr>
      <w:tabs>
        <w:tab w:val="num" w:pos="720"/>
      </w:tabs>
    </w:pPr>
  </w:style>
  <w:style w:type="paragraph" w:customStyle="1" w:styleId="FWNCont3">
    <w:name w:val="FWN Cont 3"/>
    <w:basedOn w:val="Normal"/>
    <w:link w:val="FWNCont3Char"/>
    <w:rsid w:val="00EE3A0A"/>
    <w:pPr>
      <w:spacing w:after="240" w:line="240" w:lineRule="auto"/>
      <w:ind w:left="1440"/>
      <w:jc w:val="both"/>
    </w:pPr>
    <w:rPr>
      <w:rFonts w:ascii="Times New Roman" w:eastAsia="Times New Roman" w:hAnsi="Times New Roman" w:cs="Times New Roman"/>
      <w:sz w:val="24"/>
      <w:szCs w:val="20"/>
    </w:rPr>
  </w:style>
  <w:style w:type="character" w:customStyle="1" w:styleId="FWNCont3Char">
    <w:name w:val="FWN Cont 3 Char"/>
    <w:basedOn w:val="DefaultParagraphFont"/>
    <w:link w:val="FWNCont3"/>
    <w:rsid w:val="00EE3A0A"/>
    <w:rPr>
      <w:rFonts w:ascii="Times New Roman" w:eastAsia="Times New Roman" w:hAnsi="Times New Roman" w:cs="Times New Roman"/>
      <w:sz w:val="24"/>
      <w:szCs w:val="20"/>
    </w:rPr>
  </w:style>
  <w:style w:type="paragraph" w:customStyle="1" w:styleId="FWNL1">
    <w:name w:val="FWN_L1"/>
    <w:basedOn w:val="Normal"/>
    <w:rsid w:val="00EE3A0A"/>
    <w:pPr>
      <w:tabs>
        <w:tab w:val="num" w:pos="720"/>
      </w:tabs>
      <w:spacing w:after="240" w:line="240" w:lineRule="auto"/>
      <w:jc w:val="both"/>
    </w:pPr>
    <w:rPr>
      <w:rFonts w:ascii="Times New Roman" w:eastAsia="Times New Roman" w:hAnsi="Times New Roman" w:cs="Times New Roman"/>
      <w:sz w:val="24"/>
      <w:szCs w:val="20"/>
    </w:rPr>
  </w:style>
  <w:style w:type="paragraph" w:customStyle="1" w:styleId="FWNL2">
    <w:name w:val="FWN_L2"/>
    <w:basedOn w:val="FWNL1"/>
    <w:link w:val="FWNL2Char"/>
    <w:rsid w:val="00EE3A0A"/>
    <w:pPr>
      <w:numPr>
        <w:ilvl w:val="1"/>
      </w:numPr>
      <w:tabs>
        <w:tab w:val="num" w:pos="720"/>
      </w:tabs>
    </w:pPr>
  </w:style>
  <w:style w:type="character" w:customStyle="1" w:styleId="FWNL2Char">
    <w:name w:val="FWN_L2 Char"/>
    <w:basedOn w:val="DefaultParagraphFont"/>
    <w:link w:val="FWNL2"/>
    <w:rsid w:val="00EE3A0A"/>
    <w:rPr>
      <w:rFonts w:ascii="Times New Roman" w:eastAsia="Times New Roman" w:hAnsi="Times New Roman" w:cs="Times New Roman"/>
      <w:sz w:val="24"/>
      <w:szCs w:val="20"/>
    </w:rPr>
  </w:style>
  <w:style w:type="paragraph" w:customStyle="1" w:styleId="FWNL3">
    <w:name w:val="FWN_L3"/>
    <w:basedOn w:val="FWNL2"/>
    <w:rsid w:val="00EE3A0A"/>
    <w:pPr>
      <w:numPr>
        <w:ilvl w:val="2"/>
      </w:numPr>
      <w:tabs>
        <w:tab w:val="num" w:pos="360"/>
        <w:tab w:val="num" w:pos="720"/>
      </w:tabs>
      <w:ind w:left="720" w:hanging="720"/>
    </w:pPr>
  </w:style>
  <w:style w:type="paragraph" w:customStyle="1" w:styleId="FWNL4">
    <w:name w:val="FWN_L4"/>
    <w:basedOn w:val="FWNL3"/>
    <w:rsid w:val="00EE3A0A"/>
    <w:pPr>
      <w:numPr>
        <w:ilvl w:val="3"/>
      </w:numPr>
      <w:tabs>
        <w:tab w:val="num" w:pos="360"/>
        <w:tab w:val="num" w:pos="1440"/>
      </w:tabs>
      <w:ind w:left="1440" w:hanging="360"/>
    </w:pPr>
  </w:style>
  <w:style w:type="paragraph" w:customStyle="1" w:styleId="FWNL5">
    <w:name w:val="FWN_L5"/>
    <w:basedOn w:val="FWNL4"/>
    <w:rsid w:val="00EE3A0A"/>
    <w:pPr>
      <w:numPr>
        <w:ilvl w:val="4"/>
      </w:numPr>
      <w:tabs>
        <w:tab w:val="num" w:pos="360"/>
        <w:tab w:val="num" w:pos="2160"/>
      </w:tabs>
      <w:ind w:left="2160" w:hanging="720"/>
    </w:pPr>
  </w:style>
  <w:style w:type="paragraph" w:customStyle="1" w:styleId="FWNL6">
    <w:name w:val="FWN_L6"/>
    <w:basedOn w:val="FWNL5"/>
    <w:rsid w:val="00EE3A0A"/>
    <w:pPr>
      <w:numPr>
        <w:ilvl w:val="5"/>
      </w:numPr>
      <w:tabs>
        <w:tab w:val="num" w:pos="360"/>
        <w:tab w:val="num" w:pos="2880"/>
      </w:tabs>
      <w:ind w:left="2880" w:hanging="360"/>
    </w:pPr>
  </w:style>
  <w:style w:type="paragraph" w:customStyle="1" w:styleId="FWNL7">
    <w:name w:val="FWN_L7"/>
    <w:basedOn w:val="FWNL6"/>
    <w:rsid w:val="00EE3A0A"/>
    <w:pPr>
      <w:numPr>
        <w:ilvl w:val="6"/>
      </w:numPr>
      <w:tabs>
        <w:tab w:val="num" w:pos="360"/>
        <w:tab w:val="num" w:pos="3600"/>
      </w:tabs>
      <w:ind w:left="3600" w:hanging="360"/>
    </w:pPr>
  </w:style>
  <w:style w:type="paragraph" w:customStyle="1" w:styleId="FWNL210pt">
    <w:name w:val="FWN_L2 + 10 pt"/>
    <w:basedOn w:val="FWBL4"/>
    <w:rsid w:val="00EE3A0A"/>
    <w:rPr>
      <w:sz w:val="20"/>
    </w:rPr>
  </w:style>
  <w:style w:type="paragraph" w:customStyle="1" w:styleId="BulletsL3">
    <w:name w:val="Bullets_L3"/>
    <w:basedOn w:val="BulletsL2"/>
    <w:rsid w:val="00EE3A0A"/>
  </w:style>
  <w:style w:type="paragraph" w:customStyle="1" w:styleId="BulletsL4">
    <w:name w:val="Bullets_L4"/>
    <w:basedOn w:val="BulletsL3"/>
    <w:rsid w:val="00EE3A0A"/>
  </w:style>
  <w:style w:type="paragraph" w:customStyle="1" w:styleId="BulletsL5">
    <w:name w:val="Bullets_L5"/>
    <w:basedOn w:val="BulletsL4"/>
    <w:rsid w:val="00EE3A0A"/>
  </w:style>
  <w:style w:type="paragraph" w:customStyle="1" w:styleId="StandardOCAshurst">
    <w:name w:val="StandardOCAshurst"/>
    <w:basedOn w:val="Normal"/>
    <w:qFormat/>
    <w:rsid w:val="00EE3A0A"/>
    <w:pPr>
      <w:suppressAutoHyphens/>
      <w:spacing w:after="0" w:line="240" w:lineRule="auto"/>
      <w:jc w:val="both"/>
    </w:pPr>
    <w:rPr>
      <w:rFonts w:eastAsiaTheme="minorEastAsia" w:cs="Times New Roman"/>
      <w:sz w:val="20"/>
      <w:szCs w:val="20"/>
      <w:lang w:eastAsia="en-GB"/>
    </w:rPr>
  </w:style>
  <w:style w:type="character" w:styleId="PlaceholderText">
    <w:name w:val="Placeholder Text"/>
    <w:basedOn w:val="DefaultParagraphFont"/>
    <w:uiPriority w:val="99"/>
    <w:semiHidden/>
    <w:rsid w:val="00B13E3B"/>
    <w:rPr>
      <w:color w:val="808080"/>
    </w:rPr>
  </w:style>
  <w:style w:type="character" w:styleId="FollowedHyperlink">
    <w:name w:val="FollowedHyperlink"/>
    <w:basedOn w:val="DefaultParagraphFont"/>
    <w:uiPriority w:val="99"/>
    <w:semiHidden/>
    <w:unhideWhenUsed/>
    <w:rsid w:val="009B2C35"/>
    <w:rPr>
      <w:color w:val="800080" w:themeColor="followedHyperlink"/>
      <w:u w:val="single"/>
    </w:rPr>
  </w:style>
  <w:style w:type="paragraph" w:customStyle="1" w:styleId="msonormal0">
    <w:name w:val="msonormal"/>
    <w:basedOn w:val="Normal"/>
    <w:uiPriority w:val="99"/>
    <w:rsid w:val="00585B8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rdsinglerule2">
    <w:name w:val="rrdsinglerule2"/>
    <w:basedOn w:val="Normal"/>
    <w:next w:val="Normal"/>
    <w:uiPriority w:val="99"/>
    <w:rsid w:val="00585B8E"/>
    <w:pPr>
      <w:pBdr>
        <w:top w:val="single" w:sz="8" w:space="1" w:color="auto"/>
      </w:pBdr>
      <w:spacing w:before="20" w:after="0" w:line="20" w:lineRule="exact"/>
      <w:jc w:val="center"/>
    </w:pPr>
    <w:rPr>
      <w:rFonts w:ascii="Times New Roman" w:eastAsia="Times New Roman" w:hAnsi="Times New Roman" w:cs="Times New Roman"/>
      <w:sz w:val="8"/>
      <w:szCs w:val="8"/>
      <w:lang w:val="en-US"/>
    </w:rPr>
  </w:style>
  <w:style w:type="paragraph" w:customStyle="1" w:styleId="la21">
    <w:name w:val="la21"/>
    <w:basedOn w:val="Normal"/>
    <w:next w:val="Normal"/>
    <w:uiPriority w:val="99"/>
    <w:rsid w:val="00585B8E"/>
    <w:pPr>
      <w:spacing w:after="0" w:line="40" w:lineRule="exact"/>
    </w:pPr>
    <w:rPr>
      <w:rFonts w:ascii="Times New Roman" w:eastAsia="Times New Roman" w:hAnsi="Times New Roman" w:cs="Times New Roman"/>
      <w:noProof/>
      <w:sz w:val="8"/>
      <w:szCs w:val="8"/>
      <w:lang w:val="en-US"/>
    </w:rPr>
  </w:style>
  <w:style w:type="character" w:customStyle="1" w:styleId="UnresolvedMention1">
    <w:name w:val="Unresolved Mention1"/>
    <w:basedOn w:val="DefaultParagraphFont"/>
    <w:uiPriority w:val="99"/>
    <w:semiHidden/>
    <w:unhideWhenUsed/>
    <w:rsid w:val="003C33A5"/>
    <w:rPr>
      <w:color w:val="605E5C"/>
      <w:shd w:val="clear" w:color="auto" w:fill="E1DFDD"/>
    </w:rPr>
  </w:style>
  <w:style w:type="character" w:customStyle="1" w:styleId="UnresolvedMention2">
    <w:name w:val="Unresolved Mention2"/>
    <w:basedOn w:val="DefaultParagraphFont"/>
    <w:uiPriority w:val="99"/>
    <w:semiHidden/>
    <w:unhideWhenUsed/>
    <w:rsid w:val="00C64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0540">
      <w:bodyDiv w:val="1"/>
      <w:marLeft w:val="0"/>
      <w:marRight w:val="0"/>
      <w:marTop w:val="0"/>
      <w:marBottom w:val="0"/>
      <w:divBdr>
        <w:top w:val="none" w:sz="0" w:space="0" w:color="auto"/>
        <w:left w:val="none" w:sz="0" w:space="0" w:color="auto"/>
        <w:bottom w:val="none" w:sz="0" w:space="0" w:color="auto"/>
        <w:right w:val="none" w:sz="0" w:space="0" w:color="auto"/>
      </w:divBdr>
    </w:div>
    <w:div w:id="247422680">
      <w:bodyDiv w:val="1"/>
      <w:marLeft w:val="0"/>
      <w:marRight w:val="0"/>
      <w:marTop w:val="0"/>
      <w:marBottom w:val="0"/>
      <w:divBdr>
        <w:top w:val="none" w:sz="0" w:space="0" w:color="auto"/>
        <w:left w:val="none" w:sz="0" w:space="0" w:color="auto"/>
        <w:bottom w:val="none" w:sz="0" w:space="0" w:color="auto"/>
        <w:right w:val="none" w:sz="0" w:space="0" w:color="auto"/>
      </w:divBdr>
    </w:div>
    <w:div w:id="290985722">
      <w:bodyDiv w:val="1"/>
      <w:marLeft w:val="0"/>
      <w:marRight w:val="0"/>
      <w:marTop w:val="0"/>
      <w:marBottom w:val="0"/>
      <w:divBdr>
        <w:top w:val="none" w:sz="0" w:space="0" w:color="auto"/>
        <w:left w:val="none" w:sz="0" w:space="0" w:color="auto"/>
        <w:bottom w:val="none" w:sz="0" w:space="0" w:color="auto"/>
        <w:right w:val="none" w:sz="0" w:space="0" w:color="auto"/>
      </w:divBdr>
      <w:divsChild>
        <w:div w:id="1318455831">
          <w:marLeft w:val="0"/>
          <w:marRight w:val="0"/>
          <w:marTop w:val="0"/>
          <w:marBottom w:val="0"/>
          <w:divBdr>
            <w:top w:val="single" w:sz="6" w:space="0" w:color="FFFFFF"/>
            <w:left w:val="single" w:sz="6" w:space="0" w:color="FFFFFF"/>
            <w:bottom w:val="single" w:sz="6" w:space="0" w:color="FFFFFF"/>
            <w:right w:val="single" w:sz="6" w:space="0" w:color="FFFFFF"/>
          </w:divBdr>
          <w:divsChild>
            <w:div w:id="459809049">
              <w:marLeft w:val="0"/>
              <w:marRight w:val="0"/>
              <w:marTop w:val="0"/>
              <w:marBottom w:val="0"/>
              <w:divBdr>
                <w:top w:val="none" w:sz="0" w:space="0" w:color="auto"/>
                <w:left w:val="none" w:sz="0" w:space="0" w:color="auto"/>
                <w:bottom w:val="none" w:sz="0" w:space="0" w:color="auto"/>
                <w:right w:val="none" w:sz="0" w:space="0" w:color="auto"/>
              </w:divBdr>
              <w:divsChild>
                <w:div w:id="20141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8328">
      <w:bodyDiv w:val="1"/>
      <w:marLeft w:val="0"/>
      <w:marRight w:val="0"/>
      <w:marTop w:val="0"/>
      <w:marBottom w:val="0"/>
      <w:divBdr>
        <w:top w:val="none" w:sz="0" w:space="0" w:color="auto"/>
        <w:left w:val="none" w:sz="0" w:space="0" w:color="auto"/>
        <w:bottom w:val="none" w:sz="0" w:space="0" w:color="auto"/>
        <w:right w:val="none" w:sz="0" w:space="0" w:color="auto"/>
      </w:divBdr>
      <w:divsChild>
        <w:div w:id="1421101509">
          <w:marLeft w:val="0"/>
          <w:marRight w:val="0"/>
          <w:marTop w:val="0"/>
          <w:marBottom w:val="0"/>
          <w:divBdr>
            <w:top w:val="single" w:sz="6" w:space="0" w:color="FFFFFF"/>
            <w:left w:val="single" w:sz="6" w:space="0" w:color="FFFFFF"/>
            <w:bottom w:val="single" w:sz="6" w:space="0" w:color="FFFFFF"/>
            <w:right w:val="single" w:sz="6" w:space="0" w:color="FFFFFF"/>
          </w:divBdr>
          <w:divsChild>
            <w:div w:id="81343761">
              <w:marLeft w:val="0"/>
              <w:marRight w:val="0"/>
              <w:marTop w:val="0"/>
              <w:marBottom w:val="0"/>
              <w:divBdr>
                <w:top w:val="none" w:sz="0" w:space="0" w:color="auto"/>
                <w:left w:val="none" w:sz="0" w:space="0" w:color="auto"/>
                <w:bottom w:val="none" w:sz="0" w:space="0" w:color="auto"/>
                <w:right w:val="none" w:sz="0" w:space="0" w:color="auto"/>
              </w:divBdr>
              <w:divsChild>
                <w:div w:id="18953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03211">
      <w:bodyDiv w:val="1"/>
      <w:marLeft w:val="0"/>
      <w:marRight w:val="0"/>
      <w:marTop w:val="0"/>
      <w:marBottom w:val="0"/>
      <w:divBdr>
        <w:top w:val="none" w:sz="0" w:space="0" w:color="auto"/>
        <w:left w:val="none" w:sz="0" w:space="0" w:color="auto"/>
        <w:bottom w:val="none" w:sz="0" w:space="0" w:color="auto"/>
        <w:right w:val="none" w:sz="0" w:space="0" w:color="auto"/>
      </w:divBdr>
    </w:div>
    <w:div w:id="942342213">
      <w:bodyDiv w:val="1"/>
      <w:marLeft w:val="0"/>
      <w:marRight w:val="0"/>
      <w:marTop w:val="0"/>
      <w:marBottom w:val="0"/>
      <w:divBdr>
        <w:top w:val="none" w:sz="0" w:space="0" w:color="auto"/>
        <w:left w:val="none" w:sz="0" w:space="0" w:color="auto"/>
        <w:bottom w:val="none" w:sz="0" w:space="0" w:color="auto"/>
        <w:right w:val="none" w:sz="0" w:space="0" w:color="auto"/>
      </w:divBdr>
      <w:divsChild>
        <w:div w:id="186020049">
          <w:marLeft w:val="0"/>
          <w:marRight w:val="0"/>
          <w:marTop w:val="0"/>
          <w:marBottom w:val="0"/>
          <w:divBdr>
            <w:top w:val="none" w:sz="0" w:space="0" w:color="auto"/>
            <w:left w:val="none" w:sz="0" w:space="0" w:color="auto"/>
            <w:bottom w:val="none" w:sz="0" w:space="0" w:color="auto"/>
            <w:right w:val="none" w:sz="0" w:space="0" w:color="auto"/>
          </w:divBdr>
          <w:divsChild>
            <w:div w:id="1406537162">
              <w:marLeft w:val="0"/>
              <w:marRight w:val="0"/>
              <w:marTop w:val="0"/>
              <w:marBottom w:val="150"/>
              <w:divBdr>
                <w:top w:val="none" w:sz="0" w:space="0" w:color="auto"/>
                <w:left w:val="none" w:sz="0" w:space="0" w:color="auto"/>
                <w:bottom w:val="single" w:sz="6" w:space="0" w:color="CCCCCC"/>
                <w:right w:val="none" w:sz="0" w:space="0" w:color="auto"/>
              </w:divBdr>
              <w:divsChild>
                <w:div w:id="1006252438">
                  <w:marLeft w:val="0"/>
                  <w:marRight w:val="0"/>
                  <w:marTop w:val="0"/>
                  <w:marBottom w:val="0"/>
                  <w:divBdr>
                    <w:top w:val="single" w:sz="6" w:space="8" w:color="FFFFFF"/>
                    <w:left w:val="single" w:sz="6" w:space="3" w:color="FFFFFF"/>
                    <w:bottom w:val="single" w:sz="6" w:space="8" w:color="FFFFFF"/>
                    <w:right w:val="single" w:sz="6" w:space="3" w:color="FFFFFF"/>
                  </w:divBdr>
                  <w:divsChild>
                    <w:div w:id="2083333531">
                      <w:marLeft w:val="0"/>
                      <w:marRight w:val="0"/>
                      <w:marTop w:val="0"/>
                      <w:marBottom w:val="0"/>
                      <w:divBdr>
                        <w:top w:val="none" w:sz="0" w:space="0" w:color="auto"/>
                        <w:left w:val="none" w:sz="0" w:space="0" w:color="auto"/>
                        <w:bottom w:val="none" w:sz="0" w:space="0" w:color="auto"/>
                        <w:right w:val="none" w:sz="0" w:space="0" w:color="auto"/>
                      </w:divBdr>
                      <w:divsChild>
                        <w:div w:id="10972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010596">
      <w:bodyDiv w:val="1"/>
      <w:marLeft w:val="0"/>
      <w:marRight w:val="0"/>
      <w:marTop w:val="0"/>
      <w:marBottom w:val="0"/>
      <w:divBdr>
        <w:top w:val="none" w:sz="0" w:space="0" w:color="auto"/>
        <w:left w:val="none" w:sz="0" w:space="0" w:color="auto"/>
        <w:bottom w:val="none" w:sz="0" w:space="0" w:color="auto"/>
        <w:right w:val="none" w:sz="0" w:space="0" w:color="auto"/>
      </w:divBdr>
    </w:div>
    <w:div w:id="1244408844">
      <w:bodyDiv w:val="1"/>
      <w:marLeft w:val="0"/>
      <w:marRight w:val="0"/>
      <w:marTop w:val="0"/>
      <w:marBottom w:val="0"/>
      <w:divBdr>
        <w:top w:val="none" w:sz="0" w:space="0" w:color="auto"/>
        <w:left w:val="none" w:sz="0" w:space="0" w:color="auto"/>
        <w:bottom w:val="none" w:sz="0" w:space="0" w:color="auto"/>
        <w:right w:val="none" w:sz="0" w:space="0" w:color="auto"/>
      </w:divBdr>
    </w:div>
    <w:div w:id="1298609675">
      <w:bodyDiv w:val="1"/>
      <w:marLeft w:val="0"/>
      <w:marRight w:val="0"/>
      <w:marTop w:val="0"/>
      <w:marBottom w:val="0"/>
      <w:divBdr>
        <w:top w:val="none" w:sz="0" w:space="0" w:color="auto"/>
        <w:left w:val="none" w:sz="0" w:space="0" w:color="auto"/>
        <w:bottom w:val="none" w:sz="0" w:space="0" w:color="auto"/>
        <w:right w:val="none" w:sz="0" w:space="0" w:color="auto"/>
      </w:divBdr>
    </w:div>
    <w:div w:id="1317951366">
      <w:bodyDiv w:val="1"/>
      <w:marLeft w:val="0"/>
      <w:marRight w:val="0"/>
      <w:marTop w:val="0"/>
      <w:marBottom w:val="0"/>
      <w:divBdr>
        <w:top w:val="none" w:sz="0" w:space="0" w:color="auto"/>
        <w:left w:val="none" w:sz="0" w:space="0" w:color="auto"/>
        <w:bottom w:val="none" w:sz="0" w:space="0" w:color="auto"/>
        <w:right w:val="none" w:sz="0" w:space="0" w:color="auto"/>
      </w:divBdr>
    </w:div>
    <w:div w:id="1358847047">
      <w:bodyDiv w:val="1"/>
      <w:marLeft w:val="0"/>
      <w:marRight w:val="0"/>
      <w:marTop w:val="0"/>
      <w:marBottom w:val="0"/>
      <w:divBdr>
        <w:top w:val="none" w:sz="0" w:space="0" w:color="auto"/>
        <w:left w:val="none" w:sz="0" w:space="0" w:color="auto"/>
        <w:bottom w:val="none" w:sz="0" w:space="0" w:color="auto"/>
        <w:right w:val="none" w:sz="0" w:space="0" w:color="auto"/>
      </w:divBdr>
    </w:div>
    <w:div w:id="1551184742">
      <w:bodyDiv w:val="1"/>
      <w:marLeft w:val="0"/>
      <w:marRight w:val="0"/>
      <w:marTop w:val="0"/>
      <w:marBottom w:val="0"/>
      <w:divBdr>
        <w:top w:val="none" w:sz="0" w:space="0" w:color="auto"/>
        <w:left w:val="none" w:sz="0" w:space="0" w:color="auto"/>
        <w:bottom w:val="none" w:sz="0" w:space="0" w:color="auto"/>
        <w:right w:val="none" w:sz="0" w:space="0" w:color="auto"/>
      </w:divBdr>
    </w:div>
    <w:div w:id="1559321448">
      <w:bodyDiv w:val="1"/>
      <w:marLeft w:val="0"/>
      <w:marRight w:val="0"/>
      <w:marTop w:val="0"/>
      <w:marBottom w:val="0"/>
      <w:divBdr>
        <w:top w:val="none" w:sz="0" w:space="0" w:color="auto"/>
        <w:left w:val="none" w:sz="0" w:space="0" w:color="auto"/>
        <w:bottom w:val="none" w:sz="0" w:space="0" w:color="auto"/>
        <w:right w:val="none" w:sz="0" w:space="0" w:color="auto"/>
      </w:divBdr>
    </w:div>
    <w:div w:id="1566573657">
      <w:bodyDiv w:val="1"/>
      <w:marLeft w:val="0"/>
      <w:marRight w:val="0"/>
      <w:marTop w:val="0"/>
      <w:marBottom w:val="0"/>
      <w:divBdr>
        <w:top w:val="none" w:sz="0" w:space="0" w:color="auto"/>
        <w:left w:val="none" w:sz="0" w:space="0" w:color="auto"/>
        <w:bottom w:val="none" w:sz="0" w:space="0" w:color="auto"/>
        <w:right w:val="none" w:sz="0" w:space="0" w:color="auto"/>
      </w:divBdr>
      <w:divsChild>
        <w:div w:id="316762408">
          <w:marLeft w:val="0"/>
          <w:marRight w:val="0"/>
          <w:marTop w:val="0"/>
          <w:marBottom w:val="0"/>
          <w:divBdr>
            <w:top w:val="none" w:sz="0" w:space="0" w:color="auto"/>
            <w:left w:val="none" w:sz="0" w:space="0" w:color="auto"/>
            <w:bottom w:val="none" w:sz="0" w:space="0" w:color="auto"/>
            <w:right w:val="none" w:sz="0" w:space="0" w:color="auto"/>
          </w:divBdr>
          <w:divsChild>
            <w:div w:id="9404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3127">
      <w:bodyDiv w:val="1"/>
      <w:marLeft w:val="0"/>
      <w:marRight w:val="0"/>
      <w:marTop w:val="0"/>
      <w:marBottom w:val="0"/>
      <w:divBdr>
        <w:top w:val="none" w:sz="0" w:space="0" w:color="auto"/>
        <w:left w:val="none" w:sz="0" w:space="0" w:color="auto"/>
        <w:bottom w:val="none" w:sz="0" w:space="0" w:color="auto"/>
        <w:right w:val="none" w:sz="0" w:space="0" w:color="auto"/>
      </w:divBdr>
    </w:div>
    <w:div w:id="1613054156">
      <w:bodyDiv w:val="1"/>
      <w:marLeft w:val="0"/>
      <w:marRight w:val="0"/>
      <w:marTop w:val="0"/>
      <w:marBottom w:val="0"/>
      <w:divBdr>
        <w:top w:val="none" w:sz="0" w:space="0" w:color="auto"/>
        <w:left w:val="none" w:sz="0" w:space="0" w:color="auto"/>
        <w:bottom w:val="none" w:sz="0" w:space="0" w:color="auto"/>
        <w:right w:val="none" w:sz="0" w:space="0" w:color="auto"/>
      </w:divBdr>
    </w:div>
    <w:div w:id="1784374181">
      <w:bodyDiv w:val="1"/>
      <w:marLeft w:val="0"/>
      <w:marRight w:val="0"/>
      <w:marTop w:val="0"/>
      <w:marBottom w:val="0"/>
      <w:divBdr>
        <w:top w:val="none" w:sz="0" w:space="0" w:color="auto"/>
        <w:left w:val="none" w:sz="0" w:space="0" w:color="auto"/>
        <w:bottom w:val="none" w:sz="0" w:space="0" w:color="auto"/>
        <w:right w:val="none" w:sz="0" w:space="0" w:color="auto"/>
      </w:divBdr>
      <w:divsChild>
        <w:div w:id="1680810716">
          <w:marLeft w:val="0"/>
          <w:marRight w:val="0"/>
          <w:marTop w:val="0"/>
          <w:marBottom w:val="0"/>
          <w:divBdr>
            <w:top w:val="none" w:sz="0" w:space="0" w:color="auto"/>
            <w:left w:val="none" w:sz="0" w:space="0" w:color="auto"/>
            <w:bottom w:val="none" w:sz="0" w:space="0" w:color="auto"/>
            <w:right w:val="none" w:sz="0" w:space="0" w:color="auto"/>
          </w:divBdr>
          <w:divsChild>
            <w:div w:id="649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2567">
      <w:bodyDiv w:val="1"/>
      <w:marLeft w:val="0"/>
      <w:marRight w:val="0"/>
      <w:marTop w:val="0"/>
      <w:marBottom w:val="0"/>
      <w:divBdr>
        <w:top w:val="none" w:sz="0" w:space="0" w:color="auto"/>
        <w:left w:val="none" w:sz="0" w:space="0" w:color="auto"/>
        <w:bottom w:val="none" w:sz="0" w:space="0" w:color="auto"/>
        <w:right w:val="none" w:sz="0" w:space="0" w:color="auto"/>
      </w:divBdr>
      <w:divsChild>
        <w:div w:id="1153062470">
          <w:marLeft w:val="0"/>
          <w:marRight w:val="0"/>
          <w:marTop w:val="0"/>
          <w:marBottom w:val="0"/>
          <w:divBdr>
            <w:top w:val="single" w:sz="6" w:space="0" w:color="FFFFFF"/>
            <w:left w:val="single" w:sz="6" w:space="0" w:color="FFFFFF"/>
            <w:bottom w:val="single" w:sz="6" w:space="0" w:color="FFFFFF"/>
            <w:right w:val="single" w:sz="6" w:space="0" w:color="FFFFFF"/>
          </w:divBdr>
          <w:divsChild>
            <w:div w:id="1056466145">
              <w:marLeft w:val="0"/>
              <w:marRight w:val="0"/>
              <w:marTop w:val="0"/>
              <w:marBottom w:val="0"/>
              <w:divBdr>
                <w:top w:val="none" w:sz="0" w:space="0" w:color="auto"/>
                <w:left w:val="none" w:sz="0" w:space="0" w:color="auto"/>
                <w:bottom w:val="none" w:sz="0" w:space="0" w:color="auto"/>
                <w:right w:val="none" w:sz="0" w:space="0" w:color="auto"/>
              </w:divBdr>
              <w:divsChild>
                <w:div w:id="10299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756028">
      <w:bodyDiv w:val="1"/>
      <w:marLeft w:val="0"/>
      <w:marRight w:val="0"/>
      <w:marTop w:val="0"/>
      <w:marBottom w:val="0"/>
      <w:divBdr>
        <w:top w:val="none" w:sz="0" w:space="0" w:color="auto"/>
        <w:left w:val="none" w:sz="0" w:space="0" w:color="auto"/>
        <w:bottom w:val="none" w:sz="0" w:space="0" w:color="auto"/>
        <w:right w:val="none" w:sz="0" w:space="0" w:color="auto"/>
      </w:divBdr>
    </w:div>
    <w:div w:id="1858154311">
      <w:bodyDiv w:val="1"/>
      <w:marLeft w:val="0"/>
      <w:marRight w:val="0"/>
      <w:marTop w:val="0"/>
      <w:marBottom w:val="0"/>
      <w:divBdr>
        <w:top w:val="none" w:sz="0" w:space="0" w:color="auto"/>
        <w:left w:val="none" w:sz="0" w:space="0" w:color="auto"/>
        <w:bottom w:val="none" w:sz="0" w:space="0" w:color="auto"/>
        <w:right w:val="none" w:sz="0" w:space="0" w:color="auto"/>
      </w:divBdr>
    </w:div>
    <w:div w:id="1942642757">
      <w:bodyDiv w:val="1"/>
      <w:marLeft w:val="0"/>
      <w:marRight w:val="0"/>
      <w:marTop w:val="0"/>
      <w:marBottom w:val="0"/>
      <w:divBdr>
        <w:top w:val="none" w:sz="0" w:space="0" w:color="auto"/>
        <w:left w:val="none" w:sz="0" w:space="0" w:color="auto"/>
        <w:bottom w:val="none" w:sz="0" w:space="0" w:color="auto"/>
        <w:right w:val="none" w:sz="0" w:space="0" w:color="auto"/>
      </w:divBdr>
    </w:div>
    <w:div w:id="2021278682">
      <w:bodyDiv w:val="1"/>
      <w:marLeft w:val="0"/>
      <w:marRight w:val="0"/>
      <w:marTop w:val="0"/>
      <w:marBottom w:val="0"/>
      <w:divBdr>
        <w:top w:val="none" w:sz="0" w:space="0" w:color="auto"/>
        <w:left w:val="none" w:sz="0" w:space="0" w:color="auto"/>
        <w:bottom w:val="none" w:sz="0" w:space="0" w:color="auto"/>
        <w:right w:val="none" w:sz="0" w:space="0" w:color="auto"/>
      </w:divBdr>
    </w:div>
    <w:div w:id="212488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fca.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stonmartinlagonda.com/investors/October-2020-Placing" TargetMode="External"/><Relationship Id="rId4" Type="http://schemas.openxmlformats.org/officeDocument/2006/relationships/settings" Target="settings.xml"/><Relationship Id="rId9" Type="http://schemas.openxmlformats.org/officeDocument/2006/relationships/hyperlink" Target="http://www.astonmartinlagonda.com/investors/October-2020-Plac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4D22C-EA2D-45AD-ACF4-3574732F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JPMorgan Chase and Co.</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dc:creator>
  <cp:lastModifiedBy>Braithwaite, Vicki</cp:lastModifiedBy>
  <cp:revision>6</cp:revision>
  <cp:lastPrinted>2020-02-26T10:32:00Z</cp:lastPrinted>
  <dcterms:created xsi:type="dcterms:W3CDTF">2020-12-02T13:25:00Z</dcterms:created>
  <dcterms:modified xsi:type="dcterms:W3CDTF">2020-12-04T09:40:00Z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LON58400412</vt:lpwstr>
  </property>
  <property fmtid="{D5CDD505-2E9C-101B-9397-08002B2CF9AE}" pid="3" name="docVersion">
    <vt:lpwstr>18</vt:lpwstr>
  </property>
  <property fmtid="{D5CDD505-2E9C-101B-9397-08002B2CF9AE}" pid="4" name="docCliMat">
    <vt:lpwstr>173034-0004</vt:lpwstr>
  </property>
  <property fmtid="{D5CDD505-2E9C-101B-9397-08002B2CF9AE}" pid="5" name="docIncludeVersion">
    <vt:lpwstr>true</vt:lpwstr>
  </property>
  <property fmtid="{D5CDD505-2E9C-101B-9397-08002B2CF9AE}" pid="6" name="docIncludeCliMat">
    <vt:lpwstr>true</vt:lpwstr>
  </property>
  <property fmtid="{D5CDD505-2E9C-101B-9397-08002B2CF9AE}" pid="7" name="_NewReviewCycle">
    <vt:lpwstr/>
  </property>
</Properties>
</file>