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DCF7" w14:textId="2316FB3B" w:rsidR="0083090A" w:rsidRPr="00E07DAD" w:rsidRDefault="0083090A" w:rsidP="00E07DAD">
      <w:pPr>
        <w:rPr>
          <w:rFonts w:ascii="Palatino Linotype" w:hAnsi="Palatino Linotype"/>
          <w:b/>
          <w:i/>
        </w:rPr>
      </w:pPr>
      <w:bookmarkStart w:id="0" w:name="_Hlk62495980"/>
      <w:r w:rsidRPr="0083090A">
        <w:rPr>
          <w:rFonts w:ascii="Palatino Linotype" w:hAnsi="Palatino Linotype"/>
          <w:b/>
          <w:i/>
        </w:rPr>
        <w:t xml:space="preserve">Załącznik do uchwały Rady Nadzorczej AMPLI S.A. w upadłości układowej z dnia 30.04.2021r. </w:t>
      </w:r>
      <w:bookmarkEnd w:id="0"/>
      <w:r>
        <w:rPr>
          <w:rFonts w:ascii="Palatino Linotype" w:hAnsi="Palatino Linotype"/>
          <w:b/>
          <w:i/>
        </w:rPr>
        <w:t xml:space="preserve"> </w:t>
      </w:r>
      <w:r w:rsidRPr="0083090A">
        <w:rPr>
          <w:rFonts w:ascii="Palatino Linotype" w:hAnsi="Palatino Linotype"/>
          <w:b/>
          <w:i/>
        </w:rPr>
        <w:t xml:space="preserve">w sprawie przyjęcia sprawozdania o wynagrodzeniach </w:t>
      </w:r>
      <w:r w:rsidR="009450B1">
        <w:rPr>
          <w:rFonts w:ascii="Palatino Linotype" w:hAnsi="Palatino Linotype"/>
          <w:b/>
          <w:i/>
        </w:rPr>
        <w:t xml:space="preserve">członków </w:t>
      </w:r>
      <w:r w:rsidRPr="0083090A">
        <w:rPr>
          <w:rFonts w:ascii="Palatino Linotype" w:hAnsi="Palatino Linotype"/>
          <w:b/>
          <w:i/>
        </w:rPr>
        <w:t xml:space="preserve">Zarządu i Rady Nadzorczej </w:t>
      </w:r>
      <w:r>
        <w:rPr>
          <w:rFonts w:ascii="Palatino Linotype" w:hAnsi="Palatino Linotype"/>
          <w:b/>
          <w:i/>
        </w:rPr>
        <w:t>Spółki</w:t>
      </w:r>
      <w:r w:rsidRPr="0083090A">
        <w:rPr>
          <w:rFonts w:ascii="Palatino Linotype" w:hAnsi="Palatino Linotype"/>
          <w:b/>
          <w:i/>
        </w:rPr>
        <w:t xml:space="preserve">   </w:t>
      </w:r>
    </w:p>
    <w:p w14:paraId="5B166C99" w14:textId="77777777" w:rsidR="00E07DAD" w:rsidRDefault="00E07DAD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</w:p>
    <w:p w14:paraId="712787EC" w14:textId="77777777" w:rsidR="00E07DAD" w:rsidRDefault="00E07DAD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</w:p>
    <w:p w14:paraId="2762EB32" w14:textId="06511F39" w:rsidR="009B7075" w:rsidRPr="00F55871" w:rsidRDefault="009B7075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  <w:r w:rsidRPr="00F55871">
        <w:rPr>
          <w:rFonts w:ascii="Palatino Linotype" w:hAnsi="Palatino Linotype" w:cs="CIDFont+F3"/>
          <w:b/>
          <w:bCs/>
        </w:rPr>
        <w:t>SPRAWOZDANIE O WYNAGRODZENIACH</w:t>
      </w:r>
    </w:p>
    <w:p w14:paraId="18E5A51A" w14:textId="77777777" w:rsidR="009B7075" w:rsidRPr="00F55871" w:rsidRDefault="009B7075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  <w:r w:rsidRPr="00F55871">
        <w:rPr>
          <w:rFonts w:ascii="Palatino Linotype" w:hAnsi="Palatino Linotype" w:cs="CIDFont+F3"/>
          <w:b/>
          <w:bCs/>
        </w:rPr>
        <w:t>CZŁONKÓW ZARZĄDU I RADY NADZORCZEJ</w:t>
      </w:r>
    </w:p>
    <w:p w14:paraId="3CFB88F3" w14:textId="77777777" w:rsidR="009B7075" w:rsidRPr="00F55871" w:rsidRDefault="009B7075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  <w:r w:rsidRPr="00F55871">
        <w:rPr>
          <w:rFonts w:ascii="Palatino Linotype" w:hAnsi="Palatino Linotype" w:cs="CIDFont+F3"/>
          <w:b/>
          <w:bCs/>
        </w:rPr>
        <w:t>AMPLI S.A W UPADŁOSCI UKŁADOWEJ</w:t>
      </w:r>
    </w:p>
    <w:p w14:paraId="18C19617" w14:textId="77777777" w:rsidR="009B7075" w:rsidRPr="00F55871" w:rsidRDefault="009B7075" w:rsidP="009B707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IDFont+F3"/>
          <w:b/>
          <w:bCs/>
        </w:rPr>
      </w:pPr>
      <w:r w:rsidRPr="00F55871">
        <w:rPr>
          <w:rFonts w:ascii="Palatino Linotype" w:hAnsi="Palatino Linotype" w:cs="CIDFont+F3"/>
          <w:b/>
          <w:bCs/>
        </w:rPr>
        <w:t>ZA LATA 2019 I 2020</w:t>
      </w:r>
    </w:p>
    <w:p w14:paraId="55A7B297" w14:textId="77777777" w:rsidR="009B7075" w:rsidRPr="00F55871" w:rsidRDefault="009B7075" w:rsidP="009B7075">
      <w:pPr>
        <w:pStyle w:val="Default"/>
        <w:rPr>
          <w:rFonts w:ascii="Palatino Linotype" w:hAnsi="Palatino Linotype"/>
          <w:sz w:val="22"/>
          <w:szCs w:val="22"/>
        </w:rPr>
      </w:pPr>
    </w:p>
    <w:p w14:paraId="4AFEFF95" w14:textId="4A746D35" w:rsidR="007E0C4A" w:rsidRPr="007E0C4A" w:rsidRDefault="00D33E1D" w:rsidP="00814C6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1</w:t>
      </w:r>
      <w:r w:rsidR="007E0C4A" w:rsidRPr="007E0C4A">
        <w:rPr>
          <w:rFonts w:ascii="Palatino Linotype" w:hAnsi="Palatino Linotype"/>
          <w:b/>
          <w:bCs/>
        </w:rPr>
        <w:t>.</w:t>
      </w:r>
      <w:r w:rsidR="007E0C4A">
        <w:rPr>
          <w:rFonts w:ascii="Palatino Linotype" w:hAnsi="Palatino Linotype"/>
          <w:b/>
          <w:bCs/>
        </w:rPr>
        <w:t xml:space="preserve"> </w:t>
      </w:r>
      <w:r w:rsidR="007E0C4A" w:rsidRPr="007E0C4A">
        <w:rPr>
          <w:rFonts w:ascii="Palatino Linotype" w:hAnsi="Palatino Linotype"/>
          <w:b/>
          <w:bCs/>
        </w:rPr>
        <w:t xml:space="preserve">Wprowadzenie do </w:t>
      </w:r>
      <w:r w:rsidR="007E0C4A">
        <w:rPr>
          <w:rFonts w:ascii="Palatino Linotype" w:hAnsi="Palatino Linotype"/>
          <w:b/>
          <w:bCs/>
        </w:rPr>
        <w:t>s</w:t>
      </w:r>
      <w:r w:rsidR="007E0C4A" w:rsidRPr="007E0C4A">
        <w:rPr>
          <w:rFonts w:ascii="Palatino Linotype" w:hAnsi="Palatino Linotype"/>
          <w:b/>
          <w:bCs/>
        </w:rPr>
        <w:t xml:space="preserve">prawozdania o wynagrodzeniach członków Zarządu i Rady Nadzorczej </w:t>
      </w:r>
    </w:p>
    <w:p w14:paraId="530C190D" w14:textId="6A5D92E4" w:rsidR="00B312ED" w:rsidRDefault="00B312ED" w:rsidP="00814C6E">
      <w:pPr>
        <w:rPr>
          <w:rFonts w:ascii="Palatino Linotype" w:hAnsi="Palatino Linotype"/>
        </w:rPr>
      </w:pPr>
      <w:r w:rsidRPr="00F55871">
        <w:rPr>
          <w:rFonts w:ascii="Palatino Linotype" w:hAnsi="Palatino Linotype"/>
        </w:rPr>
        <w:t xml:space="preserve">Niniejsze Sprawozdanie o wynagrodzeniach Członków Zarządu i Rady Nadzorczej zostało sporządzone na podstawie Art. 90g. Ustawy o ofercie publicznej i warunkach wprowadzania instrumentów finansowych do zorganizowanego systemu obrotu oraz o spółkach publicznych (zwanej dalej „Ustawą”)  </w:t>
      </w:r>
    </w:p>
    <w:p w14:paraId="5EC5F0BF" w14:textId="5205505D" w:rsidR="000F3951" w:rsidRDefault="00E30FF4" w:rsidP="00814C6E">
      <w:pPr>
        <w:rPr>
          <w:rFonts w:ascii="Palatino Linotype" w:hAnsi="Palatino Linotype"/>
        </w:rPr>
      </w:pPr>
      <w:r w:rsidRPr="00F55871">
        <w:rPr>
          <w:rFonts w:ascii="Palatino Linotype" w:hAnsi="Palatino Linotype"/>
        </w:rPr>
        <w:t>Zasady wynagradzania członków Zarządu i Rady Nadzorczej Zarząd AMPLI S.A. w upadłości układowej</w:t>
      </w:r>
      <w:r w:rsidR="00990FFD">
        <w:rPr>
          <w:rFonts w:ascii="Palatino Linotype" w:hAnsi="Palatino Linotype"/>
        </w:rPr>
        <w:t xml:space="preserve"> (zwanej dalej również „Spółką”) </w:t>
      </w:r>
      <w:r w:rsidRPr="00F55871">
        <w:rPr>
          <w:rFonts w:ascii="Palatino Linotype" w:hAnsi="Palatino Linotype"/>
        </w:rPr>
        <w:t xml:space="preserve"> określone zostały w Polityce wynagrodzeń członków Zarządu i Rady Nadzorczej Zarząd AMPLI S.A. w upadłości układowej (zwanej dalej „Polityką</w:t>
      </w:r>
      <w:r w:rsidR="00F55871" w:rsidRPr="00F55871">
        <w:rPr>
          <w:rFonts w:ascii="Palatino Linotype" w:hAnsi="Palatino Linotype"/>
        </w:rPr>
        <w:t xml:space="preserve"> wynagrodzeń</w:t>
      </w:r>
      <w:r w:rsidRPr="00F55871">
        <w:rPr>
          <w:rFonts w:ascii="Palatino Linotype" w:hAnsi="Palatino Linotype"/>
        </w:rPr>
        <w:t>”</w:t>
      </w:r>
      <w:r w:rsidR="00B312ED">
        <w:rPr>
          <w:rFonts w:ascii="Palatino Linotype" w:hAnsi="Palatino Linotype"/>
        </w:rPr>
        <w:t>)</w:t>
      </w:r>
      <w:r w:rsidRPr="00F55871">
        <w:rPr>
          <w:rFonts w:ascii="Palatino Linotype" w:hAnsi="Palatino Linotype"/>
        </w:rPr>
        <w:t xml:space="preserve">, przyjętej uchwałą nr 14 Zwyczajnego Walnego Zgromadzenia </w:t>
      </w:r>
      <w:r w:rsidR="008B7DAB">
        <w:rPr>
          <w:rFonts w:ascii="Palatino Linotype" w:hAnsi="Palatino Linotype"/>
        </w:rPr>
        <w:t xml:space="preserve">Spółki </w:t>
      </w:r>
      <w:r w:rsidRPr="00F55871">
        <w:rPr>
          <w:rFonts w:ascii="Palatino Linotype" w:hAnsi="Palatino Linotype"/>
        </w:rPr>
        <w:t>z dnia 26</w:t>
      </w:r>
      <w:r w:rsidR="00B312ED">
        <w:rPr>
          <w:rFonts w:ascii="Palatino Linotype" w:hAnsi="Palatino Linotype"/>
        </w:rPr>
        <w:t>.06.</w:t>
      </w:r>
      <w:r w:rsidRPr="00F55871">
        <w:rPr>
          <w:rFonts w:ascii="Palatino Linotype" w:hAnsi="Palatino Linotype"/>
        </w:rPr>
        <w:t>2020r.</w:t>
      </w:r>
      <w:r w:rsidR="0091139C">
        <w:rPr>
          <w:rFonts w:ascii="Palatino Linotype" w:hAnsi="Palatino Linotype"/>
        </w:rPr>
        <w:t xml:space="preserve"> </w:t>
      </w:r>
    </w:p>
    <w:p w14:paraId="491B1499" w14:textId="06933D2F" w:rsidR="00E30FF4" w:rsidRPr="00F55871" w:rsidRDefault="00E30FF4" w:rsidP="00814C6E">
      <w:pPr>
        <w:rPr>
          <w:rFonts w:ascii="Palatino Linotype" w:hAnsi="Palatino Linotype"/>
        </w:rPr>
      </w:pPr>
      <w:r w:rsidRPr="00F55871">
        <w:rPr>
          <w:rFonts w:ascii="Palatino Linotype" w:hAnsi="Palatino Linotype"/>
        </w:rPr>
        <w:t xml:space="preserve">Polityka </w:t>
      </w:r>
      <w:r w:rsidR="00F55871" w:rsidRPr="00F55871">
        <w:rPr>
          <w:rFonts w:ascii="Palatino Linotype" w:hAnsi="Palatino Linotype"/>
        </w:rPr>
        <w:t>wynagrodzeń</w:t>
      </w:r>
      <w:r w:rsidRPr="00F55871">
        <w:rPr>
          <w:rFonts w:ascii="Palatino Linotype" w:hAnsi="Palatino Linotype"/>
        </w:rPr>
        <w:t xml:space="preserve"> jest dostępna na stronie internetowej AMPLI S.A. w upadłości układowej</w:t>
      </w:r>
      <w:r w:rsidR="00814C6E" w:rsidRPr="00F55871">
        <w:rPr>
          <w:rFonts w:ascii="Palatino Linotype" w:hAnsi="Palatino Linotype"/>
        </w:rPr>
        <w:t>, podstrona</w:t>
      </w:r>
      <w:r w:rsidRPr="00F55871">
        <w:rPr>
          <w:rFonts w:ascii="Palatino Linotype" w:hAnsi="Palatino Linotype"/>
        </w:rPr>
        <w:t>: „Relacje inwestorskie”</w:t>
      </w:r>
      <w:r w:rsidR="00814C6E" w:rsidRPr="00F55871">
        <w:rPr>
          <w:rFonts w:ascii="Palatino Linotype" w:hAnsi="Palatino Linotype"/>
        </w:rPr>
        <w:t xml:space="preserve">, w </w:t>
      </w:r>
      <w:r w:rsidRPr="00F55871">
        <w:rPr>
          <w:rFonts w:ascii="Palatino Linotype" w:hAnsi="Palatino Linotype"/>
        </w:rPr>
        <w:t>zakładce: „Ład korporacyjny” i „Walne Zgromadzenia Akcjonariuszy oraz Sprawozdania RN” (</w:t>
      </w:r>
      <w:r w:rsidR="00814C6E" w:rsidRPr="00F55871">
        <w:rPr>
          <w:rFonts w:ascii="Palatino Linotype" w:hAnsi="Palatino Linotype"/>
        </w:rPr>
        <w:t>http://www.ampli.com.pl).</w:t>
      </w:r>
    </w:p>
    <w:p w14:paraId="35C6FB04" w14:textId="1D13B984" w:rsidR="0091139C" w:rsidRPr="00EE4E6F" w:rsidRDefault="0091139C" w:rsidP="00814C6E">
      <w:pPr>
        <w:rPr>
          <w:rFonts w:ascii="Palatino Linotype" w:hAnsi="Palatino Linotype"/>
        </w:rPr>
      </w:pPr>
      <w:r w:rsidRPr="00EE4E6F">
        <w:rPr>
          <w:rFonts w:ascii="Palatino Linotype" w:hAnsi="Palatino Linotype"/>
        </w:rPr>
        <w:t xml:space="preserve">Przed uchwaleniem Polityki wynagrodzeń w AMPLI S.A. w upadłości układowej nie obowiązywała żadna sformalizowana polityka wynagrodzeń członków Zarządu i Rady Nadzorczej, zaś zasady przyznawania i wysokość  wynagrodzenia przysługującego członkom tych organów  Spółki były, określane uchwałami Rady Nadzorczej (w przypadku wynagrodzenia członków Zarządu) </w:t>
      </w:r>
      <w:r w:rsidR="00B312ED">
        <w:rPr>
          <w:rFonts w:ascii="Palatino Linotype" w:hAnsi="Palatino Linotype"/>
        </w:rPr>
        <w:t>oraz</w:t>
      </w:r>
      <w:r w:rsidRPr="00EE4E6F">
        <w:rPr>
          <w:rFonts w:ascii="Palatino Linotype" w:hAnsi="Palatino Linotype"/>
        </w:rPr>
        <w:t xml:space="preserve"> uchwałami Walnego Zgromadzenia Akcjonariuszy (w przypadku wynagrodzenia członków Rady Nadzorczej). </w:t>
      </w:r>
    </w:p>
    <w:p w14:paraId="672DA7FD" w14:textId="3F451A93" w:rsidR="0091139C" w:rsidRPr="0091139C" w:rsidRDefault="00347362" w:rsidP="0091139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/>
        </w:rPr>
        <w:t>S</w:t>
      </w:r>
      <w:r w:rsidR="00ED4726" w:rsidRPr="00EE4E6F">
        <w:rPr>
          <w:rFonts w:ascii="Palatino Linotype" w:hAnsi="Palatino Linotype"/>
        </w:rPr>
        <w:t xml:space="preserve">tosownie do zapisu </w:t>
      </w:r>
      <w:r w:rsidR="0091139C" w:rsidRPr="00EE4E6F">
        <w:rPr>
          <w:rFonts w:ascii="Palatino Linotype" w:hAnsi="Palatino Linotype"/>
        </w:rPr>
        <w:t xml:space="preserve">§ 7 ust. 4 Polityki wynagrodzeń do </w:t>
      </w:r>
      <w:bookmarkStart w:id="1" w:name="_Hlk70669974"/>
      <w:r w:rsidR="0091139C" w:rsidRPr="00EE4E6F">
        <w:rPr>
          <w:rFonts w:ascii="Palatino Linotype" w:hAnsi="Palatino Linotype"/>
        </w:rPr>
        <w:t xml:space="preserve">określania, wyliczania i wypłacania </w:t>
      </w:r>
      <w:bookmarkEnd w:id="1"/>
      <w:r w:rsidR="0091139C" w:rsidRPr="00EE4E6F">
        <w:rPr>
          <w:rFonts w:ascii="Palatino Linotype" w:hAnsi="Palatino Linotype"/>
        </w:rPr>
        <w:t>wynagrodzenia Członków  Zarządu i Rady Nadzorczej za rok obrotowy 2019 i 2020, stos</w:t>
      </w:r>
      <w:r w:rsidR="00B312ED">
        <w:rPr>
          <w:rFonts w:ascii="Palatino Linotype" w:hAnsi="Palatino Linotype"/>
        </w:rPr>
        <w:t>owane były</w:t>
      </w:r>
      <w:r w:rsidR="0091139C" w:rsidRPr="00EE4E6F">
        <w:rPr>
          <w:rFonts w:ascii="Palatino Linotype" w:hAnsi="Palatino Linotype"/>
        </w:rPr>
        <w:t xml:space="preserve"> zasady ustalone uchwałami Rady Nadzorczej i uchwałami Walnego Zgromadzenia Akcjonariuszy, podjętymi przed dniem wejścia w życie niniejszej Polityki.</w:t>
      </w:r>
      <w:r w:rsidR="00EE4E6F" w:rsidRPr="00EE4E6F">
        <w:rPr>
          <w:rFonts w:ascii="Palatino Linotype" w:hAnsi="Palatino Linotype"/>
        </w:rPr>
        <w:t xml:space="preserve"> W</w:t>
      </w:r>
      <w:r w:rsidR="00EE4E6F">
        <w:rPr>
          <w:rFonts w:ascii="Palatino Linotype" w:hAnsi="Palatino Linotype"/>
        </w:rPr>
        <w:t xml:space="preserve"> związku z tym w latach 2019-202</w:t>
      </w:r>
      <w:r w:rsidR="005C5C53">
        <w:rPr>
          <w:rFonts w:ascii="Palatino Linotype" w:hAnsi="Palatino Linotype"/>
        </w:rPr>
        <w:t>0</w:t>
      </w:r>
      <w:r w:rsidR="00B312ED">
        <w:rPr>
          <w:rFonts w:ascii="Palatino Linotype" w:hAnsi="Palatino Linotype"/>
        </w:rPr>
        <w:t>)</w:t>
      </w:r>
      <w:r w:rsidR="00EE4E6F">
        <w:rPr>
          <w:rFonts w:ascii="Palatino Linotype" w:hAnsi="Palatino Linotype"/>
        </w:rPr>
        <w:t xml:space="preserve"> Spółka wypłacała te wynagrodzenia, zgodnie z dotychczasow</w:t>
      </w:r>
      <w:r w:rsidR="00B312ED">
        <w:rPr>
          <w:rFonts w:ascii="Palatino Linotype" w:hAnsi="Palatino Linotype"/>
        </w:rPr>
        <w:t>ą</w:t>
      </w:r>
      <w:r w:rsidR="00EE4E6F">
        <w:rPr>
          <w:rFonts w:ascii="Palatino Linotype" w:hAnsi="Palatino Linotype"/>
        </w:rPr>
        <w:t xml:space="preserve"> praktyk</w:t>
      </w:r>
      <w:r w:rsidR="00B312ED">
        <w:rPr>
          <w:rFonts w:ascii="Palatino Linotype" w:hAnsi="Palatino Linotype"/>
        </w:rPr>
        <w:t>ą</w:t>
      </w:r>
      <w:r w:rsidR="00EE4E6F">
        <w:rPr>
          <w:rFonts w:ascii="Palatino Linotype" w:hAnsi="Palatino Linotype"/>
        </w:rPr>
        <w:t xml:space="preserve"> tj. na podstawie ww. uchwał organów Spółki. </w:t>
      </w:r>
    </w:p>
    <w:p w14:paraId="22CFE504" w14:textId="584FC07C" w:rsidR="0091139C" w:rsidRDefault="0091139C" w:rsidP="0091139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ahoma"/>
          <w:color w:val="000000"/>
          <w:sz w:val="24"/>
          <w:szCs w:val="24"/>
        </w:rPr>
      </w:pPr>
    </w:p>
    <w:p w14:paraId="1770771D" w14:textId="4BADD769" w:rsidR="00E30FF4" w:rsidRPr="00F55871" w:rsidRDefault="00E30FF4" w:rsidP="00814C6E">
      <w:pPr>
        <w:rPr>
          <w:rFonts w:ascii="Palatino Linotype" w:hAnsi="Palatino Linotype"/>
        </w:rPr>
      </w:pPr>
      <w:r w:rsidRPr="00F55871">
        <w:rPr>
          <w:rFonts w:ascii="Palatino Linotype" w:hAnsi="Palatino Linotype"/>
        </w:rPr>
        <w:t>Zgodnie z § 5 ust. 2 Polityki</w:t>
      </w:r>
      <w:r w:rsidR="00F55871" w:rsidRPr="00F55871">
        <w:rPr>
          <w:rFonts w:ascii="Palatino Linotype" w:hAnsi="Palatino Linotype"/>
        </w:rPr>
        <w:t xml:space="preserve"> wynagrodzeń</w:t>
      </w:r>
      <w:r w:rsidRPr="00F55871">
        <w:rPr>
          <w:rFonts w:ascii="Palatino Linotype" w:hAnsi="Palatino Linotype"/>
        </w:rPr>
        <w:t xml:space="preserve">, Rada Nadzorcza sporządza corocznie Sprawozdanie o wynagrodzeniach, celem przedstawienia Walnemu Zgromadzeniu kompleksowych informacji dotyczących wynagrodzeń otrzymanych w poprzedzającym </w:t>
      </w:r>
      <w:r w:rsidRPr="00F55871">
        <w:rPr>
          <w:rFonts w:ascii="Palatino Linotype" w:hAnsi="Palatino Linotype"/>
        </w:rPr>
        <w:lastRenderedPageBreak/>
        <w:t xml:space="preserve">roku obrotowym przez Zarząd oraz Radę Nadzorczą Spółki. Sprawozdanie o wynagrodzeniach jest poddawane weryfikacji przez biegłego rewidenta. </w:t>
      </w:r>
    </w:p>
    <w:p w14:paraId="2A0ABB0A" w14:textId="3A6462F9" w:rsidR="002758DD" w:rsidRDefault="00E30FF4" w:rsidP="00E30FF4">
      <w:pPr>
        <w:rPr>
          <w:rFonts w:ascii="Palatino Linotype" w:hAnsi="Palatino Linotype"/>
        </w:rPr>
      </w:pPr>
      <w:r w:rsidRPr="00F55871">
        <w:rPr>
          <w:rFonts w:ascii="Palatino Linotype" w:hAnsi="Palatino Linotype"/>
        </w:rPr>
        <w:t>Stosownie do regulacji art. 36 ust. 2 Ustawy z dnia 16 października 2019 r. o zmianie ustawy o ofercie publicznej i warunkach wprowadzania instrumentów finansowych do zorganizowanego systemu obrotu oraz o spółkach publicznych oraz niektórych innych ustaw oraz</w:t>
      </w:r>
      <w:r w:rsidR="004638C0" w:rsidRPr="00F55871">
        <w:rPr>
          <w:rFonts w:ascii="Palatino Linotype" w:hAnsi="Palatino Linotype"/>
        </w:rPr>
        <w:t xml:space="preserve"> § 5 ust. 3 Polityki</w:t>
      </w:r>
      <w:r w:rsidR="00F55871" w:rsidRPr="00F55871">
        <w:rPr>
          <w:rFonts w:ascii="Palatino Linotype" w:hAnsi="Palatino Linotype"/>
        </w:rPr>
        <w:t xml:space="preserve"> wynagrodzeń</w:t>
      </w:r>
      <w:r w:rsidRPr="00F55871">
        <w:rPr>
          <w:rFonts w:ascii="Palatino Linotype" w:hAnsi="Palatino Linotype"/>
        </w:rPr>
        <w:t xml:space="preserve"> , Rada Nadzorcza sporządza po raz pierwszy sprawozdanie o wynagrodzeniach łącznie za lata 2019 i 2020. </w:t>
      </w:r>
    </w:p>
    <w:p w14:paraId="3835BF47" w14:textId="77777777" w:rsidR="001D61EB" w:rsidRPr="002758DD" w:rsidRDefault="001D61EB" w:rsidP="00E30FF4">
      <w:pPr>
        <w:rPr>
          <w:rFonts w:ascii="Palatino Linotype" w:hAnsi="Palatino Linotype"/>
        </w:rPr>
      </w:pPr>
    </w:p>
    <w:p w14:paraId="7671AFFC" w14:textId="34482623" w:rsidR="007A05F1" w:rsidRPr="00234FE2" w:rsidRDefault="00D33E1D" w:rsidP="007A05F1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2</w:t>
      </w:r>
      <w:r w:rsidR="00F55871" w:rsidRPr="00234FE2"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  <w:r w:rsidR="00D86EF9">
        <w:rPr>
          <w:rFonts w:ascii="Palatino Linotype" w:hAnsi="Palatino Linotype"/>
          <w:b/>
          <w:bCs/>
          <w:color w:val="auto"/>
          <w:sz w:val="22"/>
          <w:szCs w:val="22"/>
        </w:rPr>
        <w:t>Informacja o s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>kładnik</w:t>
      </w:r>
      <w:r w:rsidR="00D86EF9">
        <w:rPr>
          <w:rFonts w:ascii="Palatino Linotype" w:hAnsi="Palatino Linotype"/>
          <w:b/>
          <w:bCs/>
          <w:color w:val="auto"/>
          <w:sz w:val="22"/>
          <w:szCs w:val="22"/>
        </w:rPr>
        <w:t>ach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 xml:space="preserve"> wynagrodzenia </w:t>
      </w:r>
      <w:r w:rsidR="00A33F5C">
        <w:rPr>
          <w:rFonts w:ascii="Palatino Linotype" w:hAnsi="Palatino Linotype"/>
          <w:b/>
          <w:bCs/>
          <w:color w:val="auto"/>
          <w:sz w:val="22"/>
          <w:szCs w:val="22"/>
        </w:rPr>
        <w:t xml:space="preserve">należnych 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>Zarząd</w:t>
      </w:r>
      <w:r w:rsidR="00A33F5C">
        <w:rPr>
          <w:rFonts w:ascii="Palatino Linotype" w:hAnsi="Palatino Linotype"/>
          <w:b/>
          <w:bCs/>
          <w:color w:val="auto"/>
          <w:sz w:val="22"/>
          <w:szCs w:val="22"/>
        </w:rPr>
        <w:t>owi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 xml:space="preserve"> oraz Rad</w:t>
      </w:r>
      <w:r w:rsidR="00A33F5C">
        <w:rPr>
          <w:rFonts w:ascii="Palatino Linotype" w:hAnsi="Palatino Linotype"/>
          <w:b/>
          <w:bCs/>
          <w:color w:val="auto"/>
          <w:sz w:val="22"/>
          <w:szCs w:val="22"/>
        </w:rPr>
        <w:t>zie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 xml:space="preserve"> Nadzorczej w latach 2019-2020 </w:t>
      </w:r>
      <w:r w:rsidR="00A33F5C">
        <w:rPr>
          <w:rFonts w:ascii="Palatino Linotype" w:hAnsi="Palatino Linotype"/>
          <w:b/>
          <w:bCs/>
          <w:color w:val="auto"/>
          <w:sz w:val="22"/>
          <w:szCs w:val="22"/>
        </w:rPr>
        <w:t>i podstawach jego przyznania.</w:t>
      </w:r>
    </w:p>
    <w:p w14:paraId="346F86A7" w14:textId="77777777" w:rsidR="00F55871" w:rsidRPr="00234FE2" w:rsidRDefault="00F55871" w:rsidP="007A05F1">
      <w:pPr>
        <w:pStyle w:val="Default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2794718" w14:textId="443B430C" w:rsidR="007A05F1" w:rsidRPr="00234FE2" w:rsidRDefault="00D33E1D" w:rsidP="007A05F1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2.</w:t>
      </w:r>
      <w:r w:rsidR="007A05F1" w:rsidRPr="00234FE2">
        <w:rPr>
          <w:rFonts w:ascii="Palatino Linotype" w:hAnsi="Palatino Linotype"/>
          <w:b/>
          <w:bCs/>
          <w:color w:val="auto"/>
          <w:sz w:val="22"/>
          <w:szCs w:val="22"/>
        </w:rPr>
        <w:t xml:space="preserve">1. Zarząd </w:t>
      </w:r>
    </w:p>
    <w:p w14:paraId="1108B544" w14:textId="77777777" w:rsidR="00F55871" w:rsidRPr="00234FE2" w:rsidRDefault="00F55871" w:rsidP="007A05F1">
      <w:pPr>
        <w:pStyle w:val="Default"/>
        <w:rPr>
          <w:rFonts w:ascii="Palatino Linotype" w:hAnsi="Palatino Linotype"/>
          <w:color w:val="auto"/>
          <w:sz w:val="22"/>
          <w:szCs w:val="22"/>
        </w:rPr>
      </w:pPr>
    </w:p>
    <w:p w14:paraId="669F00BD" w14:textId="471F0FC7" w:rsidR="00FE2704" w:rsidRDefault="007A05F1" w:rsidP="0038607D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 w:rsidRPr="00234FE2">
        <w:rPr>
          <w:rFonts w:ascii="Palatino Linotype" w:hAnsi="Palatino Linotype"/>
          <w:color w:val="auto"/>
          <w:sz w:val="22"/>
          <w:szCs w:val="22"/>
        </w:rPr>
        <w:t xml:space="preserve">W latach 2019-2020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w skład </w:t>
      </w:r>
      <w:r w:rsidR="00F55871" w:rsidRPr="00234FE2">
        <w:rPr>
          <w:rFonts w:ascii="Palatino Linotype" w:hAnsi="Palatino Linotype"/>
          <w:color w:val="auto"/>
          <w:sz w:val="22"/>
          <w:szCs w:val="22"/>
        </w:rPr>
        <w:t>Zarząd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F55871" w:rsidRPr="00234FE2">
        <w:rPr>
          <w:rFonts w:ascii="Palatino Linotype" w:hAnsi="Palatino Linotype"/>
          <w:color w:val="auto"/>
          <w:sz w:val="22"/>
          <w:szCs w:val="22"/>
        </w:rPr>
        <w:t xml:space="preserve">AMPLI S. A. w upadłości układowej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wchodziła jedna osoba -  Prezes Zarządu, któr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>e</w:t>
      </w:r>
      <w:r w:rsidR="00234FE2">
        <w:rPr>
          <w:rFonts w:ascii="Palatino Linotype" w:hAnsi="Palatino Linotype"/>
          <w:color w:val="auto"/>
          <w:sz w:val="22"/>
          <w:szCs w:val="22"/>
        </w:rPr>
        <w:t>go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234FE2">
        <w:rPr>
          <w:rFonts w:ascii="Palatino Linotype" w:hAnsi="Palatino Linotype"/>
          <w:color w:val="auto"/>
          <w:sz w:val="22"/>
          <w:szCs w:val="22"/>
        </w:rPr>
        <w:t xml:space="preserve">wynagrodzenie w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tym okresie </w:t>
      </w:r>
      <w:r w:rsidR="00234FE2">
        <w:rPr>
          <w:rFonts w:ascii="Palatino Linotype" w:hAnsi="Palatino Linotype"/>
          <w:color w:val="auto"/>
          <w:sz w:val="22"/>
          <w:szCs w:val="22"/>
        </w:rPr>
        <w:t xml:space="preserve">składało się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tylko</w:t>
      </w:r>
      <w:r w:rsidR="00234FE2">
        <w:rPr>
          <w:rFonts w:ascii="Palatino Linotype" w:hAnsi="Palatino Linotype"/>
          <w:color w:val="auto"/>
          <w:sz w:val="22"/>
          <w:szCs w:val="22"/>
        </w:rPr>
        <w:t xml:space="preserve"> z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jedn</w:t>
      </w:r>
      <w:r w:rsidR="00234FE2">
        <w:rPr>
          <w:rFonts w:ascii="Palatino Linotype" w:hAnsi="Palatino Linotype"/>
          <w:color w:val="auto"/>
          <w:sz w:val="22"/>
          <w:szCs w:val="22"/>
        </w:rPr>
        <w:t>ego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element</w:t>
      </w:r>
      <w:r w:rsidR="00234FE2">
        <w:rPr>
          <w:rFonts w:ascii="Palatino Linotype" w:hAnsi="Palatino Linotype"/>
          <w:color w:val="auto"/>
          <w:sz w:val="22"/>
          <w:szCs w:val="22"/>
        </w:rPr>
        <w:t>u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tj. sta</w:t>
      </w:r>
      <w:r w:rsidR="00234FE2">
        <w:rPr>
          <w:rFonts w:ascii="Palatino Linotype" w:hAnsi="Palatino Linotype"/>
          <w:color w:val="auto"/>
          <w:sz w:val="22"/>
          <w:szCs w:val="22"/>
        </w:rPr>
        <w:t>ł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e</w:t>
      </w:r>
      <w:r w:rsidR="00234FE2">
        <w:rPr>
          <w:rFonts w:ascii="Palatino Linotype" w:hAnsi="Palatino Linotype"/>
          <w:color w:val="auto"/>
          <w:sz w:val="22"/>
          <w:szCs w:val="22"/>
        </w:rPr>
        <w:t>go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, miesięczne</w:t>
      </w:r>
      <w:r w:rsidR="00234FE2">
        <w:rPr>
          <w:rFonts w:ascii="Palatino Linotype" w:hAnsi="Palatino Linotype"/>
          <w:color w:val="auto"/>
          <w:sz w:val="22"/>
          <w:szCs w:val="22"/>
        </w:rPr>
        <w:t>go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234FE2">
        <w:rPr>
          <w:rFonts w:ascii="Palatino Linotype" w:hAnsi="Palatino Linotype"/>
          <w:color w:val="auto"/>
          <w:sz w:val="22"/>
          <w:szCs w:val="22"/>
        </w:rPr>
        <w:t>wynagrodzeni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e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2715DA" w:rsidRPr="00234FE2">
        <w:rPr>
          <w:rFonts w:ascii="Palatino Linotype" w:hAnsi="Palatino Linotype"/>
          <w:color w:val="auto"/>
          <w:sz w:val="22"/>
          <w:szCs w:val="22"/>
        </w:rPr>
        <w:t>podstawowe</w:t>
      </w:r>
      <w:r w:rsidR="00234FE2">
        <w:rPr>
          <w:rFonts w:ascii="Palatino Linotype" w:hAnsi="Palatino Linotype"/>
          <w:color w:val="auto"/>
          <w:sz w:val="22"/>
          <w:szCs w:val="22"/>
        </w:rPr>
        <w:t>go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, </w:t>
      </w:r>
      <w:r w:rsidR="002715DA" w:rsidRPr="00234FE2">
        <w:rPr>
          <w:rFonts w:ascii="Palatino Linotype" w:hAnsi="Palatino Linotype"/>
          <w:color w:val="auto"/>
          <w:sz w:val="22"/>
          <w:szCs w:val="22"/>
        </w:rPr>
        <w:t>przysługujące</w:t>
      </w:r>
      <w:r w:rsidR="00234FE2">
        <w:rPr>
          <w:rFonts w:ascii="Palatino Linotype" w:hAnsi="Palatino Linotype"/>
          <w:color w:val="auto"/>
          <w:sz w:val="22"/>
          <w:szCs w:val="22"/>
        </w:rPr>
        <w:t>go</w:t>
      </w:r>
      <w:r w:rsidR="002715DA" w:rsidRPr="00234FE2">
        <w:rPr>
          <w:rFonts w:ascii="Palatino Linotype" w:hAnsi="Palatino Linotype"/>
          <w:color w:val="auto"/>
          <w:sz w:val="22"/>
          <w:szCs w:val="22"/>
        </w:rPr>
        <w:t xml:space="preserve"> z tytułu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powołani</w:t>
      </w:r>
      <w:r w:rsidR="002715DA" w:rsidRPr="00234FE2">
        <w:rPr>
          <w:rFonts w:ascii="Palatino Linotype" w:hAnsi="Palatino Linotype"/>
          <w:color w:val="auto"/>
          <w:sz w:val="22"/>
          <w:szCs w:val="22"/>
        </w:rPr>
        <w:t>a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do pełnienia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funkcj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i</w:t>
      </w:r>
      <w:r w:rsidRPr="00234FE2">
        <w:rPr>
          <w:rFonts w:ascii="Palatino Linotype" w:hAnsi="Palatino Linotype"/>
          <w:color w:val="auto"/>
          <w:sz w:val="22"/>
          <w:szCs w:val="22"/>
        </w:rPr>
        <w:t xml:space="preserve"> Prezesa Zarządu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>AMPLI S.A. w upadłości układowej</w:t>
      </w:r>
      <w:r w:rsidR="00FE2704">
        <w:rPr>
          <w:rFonts w:ascii="Palatino Linotype" w:hAnsi="Palatino Linotype"/>
          <w:color w:val="auto"/>
          <w:sz w:val="22"/>
          <w:szCs w:val="22"/>
        </w:rPr>
        <w:t>.</w:t>
      </w:r>
    </w:p>
    <w:p w14:paraId="4DEEB638" w14:textId="18639AB6" w:rsidR="007A05F1" w:rsidRPr="00234FE2" w:rsidRDefault="00FE2704" w:rsidP="0038607D">
      <w:pPr>
        <w:pStyle w:val="Default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Wynagrodzenie to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8F2B7F">
        <w:rPr>
          <w:rFonts w:ascii="Palatino Linotype" w:hAnsi="Palatino Linotype"/>
          <w:color w:val="auto"/>
          <w:sz w:val="22"/>
          <w:szCs w:val="22"/>
        </w:rPr>
        <w:t>określone</w:t>
      </w:r>
      <w:r>
        <w:rPr>
          <w:rFonts w:ascii="Palatino Linotype" w:hAnsi="Palatino Linotype"/>
          <w:color w:val="auto"/>
          <w:sz w:val="22"/>
          <w:szCs w:val="22"/>
        </w:rPr>
        <w:t xml:space="preserve"> zostało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8F2B7F">
        <w:rPr>
          <w:rFonts w:ascii="Palatino Linotype" w:hAnsi="Palatino Linotype"/>
          <w:color w:val="auto"/>
          <w:sz w:val="22"/>
          <w:szCs w:val="22"/>
        </w:rPr>
        <w:t xml:space="preserve">w 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>uchwal</w:t>
      </w:r>
      <w:r w:rsidR="008F2B7F">
        <w:rPr>
          <w:rFonts w:ascii="Palatino Linotype" w:hAnsi="Palatino Linotype"/>
          <w:color w:val="auto"/>
          <w:sz w:val="22"/>
          <w:szCs w:val="22"/>
        </w:rPr>
        <w:t>e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 xml:space="preserve"> Rady Nadzorczej AMPLI S.A. w upadłości układowej</w:t>
      </w:r>
      <w:r w:rsidR="00D86EF9">
        <w:rPr>
          <w:rFonts w:ascii="Palatino Linotype" w:hAnsi="Palatino Linotype"/>
          <w:color w:val="auto"/>
          <w:sz w:val="22"/>
          <w:szCs w:val="22"/>
        </w:rPr>
        <w:t xml:space="preserve"> z 22</w:t>
      </w:r>
      <w:r w:rsidR="00B312ED">
        <w:rPr>
          <w:rFonts w:ascii="Palatino Linotype" w:hAnsi="Palatino Linotype"/>
          <w:color w:val="auto"/>
          <w:sz w:val="22"/>
          <w:szCs w:val="22"/>
        </w:rPr>
        <w:t>.03.</w:t>
      </w:r>
      <w:r w:rsidR="00D86EF9">
        <w:rPr>
          <w:rFonts w:ascii="Palatino Linotype" w:hAnsi="Palatino Linotype"/>
          <w:color w:val="auto"/>
          <w:sz w:val="22"/>
          <w:szCs w:val="22"/>
        </w:rPr>
        <w:t>2016r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>.</w:t>
      </w:r>
      <w:r>
        <w:rPr>
          <w:rFonts w:ascii="Palatino Linotype" w:hAnsi="Palatino Linotype"/>
          <w:color w:val="auto"/>
          <w:sz w:val="22"/>
          <w:szCs w:val="22"/>
        </w:rPr>
        <w:t xml:space="preserve"> która obowiązywała również w latach 2019-2020r.</w:t>
      </w:r>
      <w:r w:rsidR="001B0106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8607D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7A05F1" w:rsidRPr="00234FE2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55B2CEC0" w14:textId="77777777" w:rsidR="0038607D" w:rsidRPr="00234FE2" w:rsidRDefault="0038607D" w:rsidP="007A05F1">
      <w:pPr>
        <w:pStyle w:val="Default"/>
        <w:spacing w:after="21"/>
        <w:rPr>
          <w:rFonts w:ascii="Wingdings" w:hAnsi="Wingdings" w:cs="Wingdings"/>
          <w:color w:val="auto"/>
          <w:sz w:val="22"/>
          <w:szCs w:val="22"/>
        </w:rPr>
      </w:pPr>
    </w:p>
    <w:p w14:paraId="59D15DC0" w14:textId="0F09806C" w:rsidR="001B0106" w:rsidRDefault="0038607D" w:rsidP="001B0106">
      <w:pPr>
        <w:pStyle w:val="Default"/>
        <w:spacing w:after="21"/>
        <w:rPr>
          <w:rFonts w:ascii="Palatino Linotype" w:hAnsi="Palatino Linotype" w:cs="Wingdings"/>
          <w:color w:val="auto"/>
          <w:sz w:val="20"/>
          <w:szCs w:val="20"/>
        </w:rPr>
      </w:pPr>
      <w:r w:rsidRPr="00234FE2">
        <w:rPr>
          <w:rFonts w:ascii="Palatino Linotype" w:hAnsi="Palatino Linotype" w:cs="Wingdings"/>
          <w:color w:val="auto"/>
          <w:sz w:val="22"/>
          <w:szCs w:val="22"/>
        </w:rPr>
        <w:t>W powyższym okresie</w:t>
      </w:r>
      <w:r w:rsidR="00990FFD">
        <w:rPr>
          <w:rFonts w:ascii="Palatino Linotype" w:hAnsi="Palatino Linotype" w:cs="Wingdings"/>
          <w:color w:val="auto"/>
          <w:sz w:val="22"/>
          <w:szCs w:val="22"/>
        </w:rPr>
        <w:t xml:space="preserve">, </w:t>
      </w:r>
      <w:r w:rsidRPr="00234FE2">
        <w:rPr>
          <w:rFonts w:ascii="Palatino Linotype" w:hAnsi="Palatino Linotype" w:cs="Wingdings"/>
          <w:color w:val="auto"/>
          <w:sz w:val="22"/>
          <w:szCs w:val="22"/>
        </w:rPr>
        <w:t>Prezes</w:t>
      </w:r>
      <w:r w:rsidR="00D86EF9">
        <w:rPr>
          <w:rFonts w:ascii="Palatino Linotype" w:hAnsi="Palatino Linotype" w:cs="Wingdings"/>
          <w:color w:val="auto"/>
          <w:sz w:val="22"/>
          <w:szCs w:val="22"/>
        </w:rPr>
        <w:t>owi</w:t>
      </w:r>
      <w:r w:rsidRPr="00234FE2">
        <w:rPr>
          <w:rFonts w:ascii="Palatino Linotype" w:hAnsi="Palatino Linotype" w:cs="Wingdings"/>
          <w:color w:val="auto"/>
          <w:sz w:val="22"/>
          <w:szCs w:val="22"/>
        </w:rPr>
        <w:t xml:space="preserve"> Zarządu </w:t>
      </w:r>
      <w:r w:rsidR="00933BB2">
        <w:rPr>
          <w:rFonts w:ascii="Palatino Linotype" w:hAnsi="Palatino Linotype" w:cs="Wingdings"/>
          <w:color w:val="auto"/>
          <w:sz w:val="22"/>
          <w:szCs w:val="22"/>
        </w:rPr>
        <w:t xml:space="preserve">nie przysługiwały żadne inne składniki wynagrodzenia tj.  </w:t>
      </w:r>
      <w:r w:rsidR="001B0106" w:rsidRPr="00234FE2">
        <w:rPr>
          <w:rFonts w:ascii="Palatino Linotype" w:hAnsi="Palatino Linotype" w:cs="Wingdings"/>
          <w:color w:val="auto"/>
          <w:sz w:val="22"/>
          <w:szCs w:val="22"/>
        </w:rPr>
        <w:t>wynagrodzeni</w:t>
      </w:r>
      <w:r w:rsidR="00933BB2">
        <w:rPr>
          <w:rFonts w:ascii="Palatino Linotype" w:hAnsi="Palatino Linotype" w:cs="Wingdings"/>
          <w:color w:val="auto"/>
          <w:sz w:val="22"/>
          <w:szCs w:val="22"/>
        </w:rPr>
        <w:t>e</w:t>
      </w:r>
      <w:r w:rsidR="001B0106" w:rsidRPr="00234FE2">
        <w:rPr>
          <w:rFonts w:ascii="Palatino Linotype" w:hAnsi="Palatino Linotype" w:cs="Wingdings"/>
          <w:color w:val="auto"/>
          <w:sz w:val="22"/>
          <w:szCs w:val="22"/>
        </w:rPr>
        <w:t xml:space="preserve"> zmienn</w:t>
      </w:r>
      <w:r w:rsidR="00933BB2">
        <w:rPr>
          <w:rFonts w:ascii="Palatino Linotype" w:hAnsi="Palatino Linotype" w:cs="Wingdings"/>
          <w:color w:val="auto"/>
          <w:sz w:val="22"/>
          <w:szCs w:val="22"/>
        </w:rPr>
        <w:t>e,</w:t>
      </w:r>
      <w:r w:rsidR="001B0106" w:rsidRPr="00234FE2">
        <w:rPr>
          <w:rFonts w:ascii="Palatino Linotype" w:hAnsi="Palatino Linotype" w:cs="Wingdings"/>
          <w:color w:val="auto"/>
          <w:sz w:val="22"/>
          <w:szCs w:val="22"/>
        </w:rPr>
        <w:t xml:space="preserve"> </w:t>
      </w:r>
      <w:r w:rsidR="00933BB2">
        <w:rPr>
          <w:rFonts w:ascii="Palatino Linotype" w:hAnsi="Palatino Linotype" w:cs="Wingdings"/>
          <w:color w:val="auto"/>
          <w:sz w:val="22"/>
          <w:szCs w:val="22"/>
        </w:rPr>
        <w:t xml:space="preserve">premie lub inne świadczenia </w:t>
      </w:r>
      <w:r w:rsidR="00933BB2" w:rsidRPr="00531CF6">
        <w:rPr>
          <w:rFonts w:ascii="Palatino Linotype" w:hAnsi="Palatino Linotype" w:cs="Wingdings"/>
          <w:color w:val="auto"/>
          <w:sz w:val="22"/>
          <w:szCs w:val="22"/>
        </w:rPr>
        <w:t>pieniężne i niepieniężne</w:t>
      </w:r>
      <w:r w:rsidR="00933BB2">
        <w:rPr>
          <w:rFonts w:ascii="Palatino Linotype" w:hAnsi="Palatino Linotype" w:cs="Wingdings"/>
          <w:color w:val="auto"/>
          <w:sz w:val="22"/>
          <w:szCs w:val="22"/>
        </w:rPr>
        <w:t xml:space="preserve"> </w:t>
      </w:r>
    </w:p>
    <w:p w14:paraId="7192F949" w14:textId="2E724F3F" w:rsidR="001B0106" w:rsidRDefault="001B0106" w:rsidP="001B0106">
      <w:pPr>
        <w:pStyle w:val="Default"/>
        <w:spacing w:after="21"/>
        <w:rPr>
          <w:rFonts w:ascii="Palatino Linotype" w:hAnsi="Palatino Linotype" w:cs="Wingdings"/>
          <w:color w:val="auto"/>
          <w:sz w:val="20"/>
          <w:szCs w:val="20"/>
        </w:rPr>
      </w:pPr>
    </w:p>
    <w:p w14:paraId="12C1369B" w14:textId="3AC838CA" w:rsidR="00234FE2" w:rsidRPr="00990FFD" w:rsidRDefault="00D33E1D" w:rsidP="001B0106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2. </w:t>
      </w:r>
      <w:r w:rsidR="00234FE2" w:rsidRPr="00990FFD">
        <w:rPr>
          <w:rFonts w:ascii="Palatino Linotype" w:hAnsi="Palatino Linotype"/>
          <w:b/>
          <w:bCs/>
          <w:color w:val="auto"/>
          <w:sz w:val="22"/>
          <w:szCs w:val="22"/>
        </w:rPr>
        <w:t>2. Rada Nadzorcza</w:t>
      </w:r>
    </w:p>
    <w:p w14:paraId="742E38BE" w14:textId="77777777" w:rsidR="00234FE2" w:rsidRPr="00990FFD" w:rsidRDefault="00234FE2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3BF10EC4" w14:textId="77777777" w:rsidR="00FE2704" w:rsidRDefault="00234FE2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 w:rsidRPr="00990FFD">
        <w:rPr>
          <w:rFonts w:ascii="Palatino Linotype" w:hAnsi="Palatino Linotype"/>
          <w:color w:val="auto"/>
          <w:sz w:val="22"/>
          <w:szCs w:val="22"/>
        </w:rPr>
        <w:t>W latach 2019-2020 wynagrodzenie członków Rady Nadzorczej składało się wyłącznie z wynagrodzenia stałego, przysługującego z tytułu powołania do pełnienia funkcji Przewodniczącego Rady Nadzorczej lub Członka Rady Nadzorczej AMPLI S.A. w upadłości układowej</w:t>
      </w:r>
      <w:r w:rsidR="008F2B7F" w:rsidRPr="00990FFD">
        <w:rPr>
          <w:rFonts w:ascii="Palatino Linotype" w:hAnsi="Palatino Linotype"/>
          <w:color w:val="auto"/>
          <w:sz w:val="22"/>
          <w:szCs w:val="22"/>
        </w:rPr>
        <w:t xml:space="preserve">, </w:t>
      </w:r>
      <w:r w:rsidR="00990FFD" w:rsidRPr="00990FFD">
        <w:rPr>
          <w:rFonts w:ascii="Palatino Linotype" w:hAnsi="Palatino Linotype"/>
          <w:color w:val="auto"/>
          <w:sz w:val="22"/>
          <w:szCs w:val="22"/>
        </w:rPr>
        <w:t>przyznanego</w:t>
      </w:r>
      <w:r w:rsidR="008F2B7F" w:rsidRPr="00990FFD">
        <w:rPr>
          <w:rFonts w:ascii="Palatino Linotype" w:hAnsi="Palatino Linotype"/>
          <w:color w:val="auto"/>
          <w:sz w:val="22"/>
          <w:szCs w:val="22"/>
        </w:rPr>
        <w:t xml:space="preserve"> w stałej stawce za udział w każdym posiedzeniu Rady Nadzorczej</w:t>
      </w:r>
      <w:r w:rsidR="00FE2704">
        <w:rPr>
          <w:rFonts w:ascii="Palatino Linotype" w:hAnsi="Palatino Linotype"/>
          <w:color w:val="auto"/>
          <w:sz w:val="22"/>
          <w:szCs w:val="22"/>
        </w:rPr>
        <w:t>.</w:t>
      </w:r>
      <w:r w:rsidR="008F2B7F" w:rsidRPr="00990FFD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36B49355" w14:textId="77777777" w:rsidR="00FE2704" w:rsidRDefault="00FE2704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0378907C" w14:textId="45C55A98" w:rsidR="00D86EF9" w:rsidRDefault="00FE2704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Wynagrodzenie to zostało określone w</w:t>
      </w:r>
      <w:r w:rsidR="00990FFD" w:rsidRPr="00990FFD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990FFD">
        <w:rPr>
          <w:rFonts w:ascii="Palatino Linotype" w:hAnsi="Palatino Linotype"/>
          <w:color w:val="auto"/>
          <w:sz w:val="22"/>
          <w:szCs w:val="22"/>
        </w:rPr>
        <w:t xml:space="preserve">uchwale </w:t>
      </w:r>
      <w:r>
        <w:rPr>
          <w:rFonts w:ascii="Palatino Linotype" w:hAnsi="Palatino Linotype"/>
          <w:color w:val="auto"/>
          <w:sz w:val="22"/>
          <w:szCs w:val="22"/>
        </w:rPr>
        <w:t>nr 1</w:t>
      </w:r>
      <w:r w:rsidR="003F324D">
        <w:rPr>
          <w:rFonts w:ascii="Palatino Linotype" w:hAnsi="Palatino Linotype"/>
          <w:color w:val="auto"/>
          <w:sz w:val="22"/>
          <w:szCs w:val="22"/>
        </w:rPr>
        <w:t>3</w:t>
      </w:r>
      <w:r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990FFD">
        <w:rPr>
          <w:rFonts w:ascii="Palatino Linotype" w:hAnsi="Palatino Linotype"/>
          <w:color w:val="auto"/>
          <w:sz w:val="22"/>
          <w:szCs w:val="22"/>
        </w:rPr>
        <w:t>Walnego Zgromadzenia Akcjonariuszy Spółki</w:t>
      </w:r>
      <w:r>
        <w:rPr>
          <w:rFonts w:ascii="Palatino Linotype" w:hAnsi="Palatino Linotype"/>
          <w:color w:val="auto"/>
          <w:sz w:val="22"/>
          <w:szCs w:val="22"/>
        </w:rPr>
        <w:t xml:space="preserve"> z dnia </w:t>
      </w:r>
      <w:r w:rsidR="003F324D">
        <w:rPr>
          <w:rFonts w:ascii="Palatino Linotype" w:hAnsi="Palatino Linotype"/>
          <w:color w:val="auto"/>
          <w:sz w:val="22"/>
          <w:szCs w:val="22"/>
        </w:rPr>
        <w:t>23</w:t>
      </w:r>
      <w:r>
        <w:rPr>
          <w:rFonts w:ascii="Palatino Linotype" w:hAnsi="Palatino Linotype"/>
          <w:color w:val="auto"/>
          <w:sz w:val="22"/>
          <w:szCs w:val="22"/>
        </w:rPr>
        <w:t>.06</w:t>
      </w:r>
      <w:r w:rsidR="00B312ED">
        <w:rPr>
          <w:rFonts w:ascii="Palatino Linotype" w:hAnsi="Palatino Linotype"/>
          <w:color w:val="auto"/>
          <w:sz w:val="22"/>
          <w:szCs w:val="22"/>
        </w:rPr>
        <w:t>.</w:t>
      </w:r>
      <w:r>
        <w:rPr>
          <w:rFonts w:ascii="Palatino Linotype" w:hAnsi="Palatino Linotype"/>
          <w:color w:val="auto"/>
          <w:sz w:val="22"/>
          <w:szCs w:val="22"/>
        </w:rPr>
        <w:t>20</w:t>
      </w:r>
      <w:r w:rsidR="003F324D">
        <w:rPr>
          <w:rFonts w:ascii="Palatino Linotype" w:hAnsi="Palatino Linotype"/>
          <w:color w:val="auto"/>
          <w:sz w:val="22"/>
          <w:szCs w:val="22"/>
        </w:rPr>
        <w:t>16</w:t>
      </w:r>
      <w:r>
        <w:rPr>
          <w:rFonts w:ascii="Palatino Linotype" w:hAnsi="Palatino Linotype"/>
          <w:color w:val="auto"/>
          <w:sz w:val="22"/>
          <w:szCs w:val="22"/>
        </w:rPr>
        <w:t>r. (w odniesieniu do okresu p</w:t>
      </w:r>
      <w:r w:rsidR="003F324D">
        <w:rPr>
          <w:rFonts w:ascii="Palatino Linotype" w:hAnsi="Palatino Linotype"/>
          <w:color w:val="auto"/>
          <w:sz w:val="22"/>
          <w:szCs w:val="22"/>
        </w:rPr>
        <w:t>rzed</w:t>
      </w:r>
      <w:r>
        <w:rPr>
          <w:rFonts w:ascii="Palatino Linotype" w:hAnsi="Palatino Linotype"/>
          <w:color w:val="auto"/>
          <w:sz w:val="22"/>
          <w:szCs w:val="22"/>
        </w:rPr>
        <w:t xml:space="preserve"> dni</w:t>
      </w:r>
      <w:r w:rsidR="003F324D">
        <w:rPr>
          <w:rFonts w:ascii="Palatino Linotype" w:hAnsi="Palatino Linotype"/>
          <w:color w:val="auto"/>
          <w:sz w:val="22"/>
          <w:szCs w:val="22"/>
        </w:rPr>
        <w:t>em</w:t>
      </w:r>
      <w:r>
        <w:rPr>
          <w:rFonts w:ascii="Palatino Linotype" w:hAnsi="Palatino Linotype"/>
          <w:color w:val="auto"/>
          <w:sz w:val="22"/>
          <w:szCs w:val="22"/>
        </w:rPr>
        <w:t xml:space="preserve"> 14.06.2019r.)</w:t>
      </w:r>
      <w:r w:rsidR="003F324D">
        <w:rPr>
          <w:rFonts w:ascii="Palatino Linotype" w:hAnsi="Palatino Linotype"/>
          <w:color w:val="auto"/>
          <w:sz w:val="22"/>
          <w:szCs w:val="22"/>
        </w:rPr>
        <w:t xml:space="preserve"> oraz w </w:t>
      </w:r>
      <w:r w:rsidR="00990FFD" w:rsidRPr="00990FFD">
        <w:rPr>
          <w:rFonts w:ascii="Palatino Linotype" w:hAnsi="Palatino Linotype"/>
          <w:color w:val="auto"/>
          <w:sz w:val="22"/>
          <w:szCs w:val="22"/>
        </w:rPr>
        <w:t xml:space="preserve">uchwale </w:t>
      </w:r>
      <w:r>
        <w:rPr>
          <w:rFonts w:ascii="Palatino Linotype" w:hAnsi="Palatino Linotype"/>
          <w:color w:val="auto"/>
          <w:sz w:val="22"/>
          <w:szCs w:val="22"/>
        </w:rPr>
        <w:t xml:space="preserve">nr 14 </w:t>
      </w:r>
      <w:r w:rsidR="00990FFD" w:rsidRPr="00990FFD">
        <w:rPr>
          <w:rFonts w:ascii="Palatino Linotype" w:hAnsi="Palatino Linotype"/>
          <w:color w:val="auto"/>
          <w:sz w:val="22"/>
          <w:szCs w:val="22"/>
        </w:rPr>
        <w:t>Walnego Zgromadzenia Akcjonariuszy Spółki</w:t>
      </w:r>
      <w:r>
        <w:rPr>
          <w:rFonts w:ascii="Palatino Linotype" w:hAnsi="Palatino Linotype"/>
          <w:color w:val="auto"/>
          <w:sz w:val="22"/>
          <w:szCs w:val="22"/>
        </w:rPr>
        <w:t xml:space="preserve"> z dnia 14.06.2019r. (w odniesieniu do okresu po dniu 14.06.2019r.)</w:t>
      </w:r>
    </w:p>
    <w:p w14:paraId="443B9477" w14:textId="77777777" w:rsidR="00D86EF9" w:rsidRDefault="00D86EF9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574AAC89" w14:textId="1D47B71E" w:rsidR="00D86EF9" w:rsidRDefault="00D86EF9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W powyższym okresie </w:t>
      </w:r>
      <w:r w:rsidR="00933BB2">
        <w:rPr>
          <w:rFonts w:ascii="Palatino Linotype" w:hAnsi="Palatino Linotype"/>
          <w:color w:val="auto"/>
          <w:sz w:val="22"/>
          <w:szCs w:val="22"/>
        </w:rPr>
        <w:t xml:space="preserve">członkom </w:t>
      </w:r>
      <w:r>
        <w:rPr>
          <w:rFonts w:ascii="Palatino Linotype" w:hAnsi="Palatino Linotype"/>
          <w:color w:val="auto"/>
          <w:sz w:val="22"/>
          <w:szCs w:val="22"/>
        </w:rPr>
        <w:t xml:space="preserve">Radzie </w:t>
      </w:r>
      <w:r w:rsidR="00933BB2">
        <w:rPr>
          <w:rFonts w:ascii="Palatino Linotype" w:hAnsi="Palatino Linotype"/>
          <w:color w:val="auto"/>
          <w:sz w:val="22"/>
          <w:szCs w:val="22"/>
        </w:rPr>
        <w:t>N</w:t>
      </w:r>
      <w:r>
        <w:rPr>
          <w:rFonts w:ascii="Palatino Linotype" w:hAnsi="Palatino Linotype"/>
          <w:color w:val="auto"/>
          <w:sz w:val="22"/>
          <w:szCs w:val="22"/>
        </w:rPr>
        <w:t xml:space="preserve">adzorczej AMPLI S.A.  w upadłości układowej </w:t>
      </w:r>
      <w:r w:rsidR="00933BB2">
        <w:rPr>
          <w:rFonts w:ascii="Palatino Linotype" w:hAnsi="Palatino Linotype"/>
          <w:color w:val="auto"/>
          <w:sz w:val="22"/>
          <w:szCs w:val="22"/>
        </w:rPr>
        <w:t xml:space="preserve">nie przysługiwały </w:t>
      </w:r>
      <w:r>
        <w:rPr>
          <w:rFonts w:ascii="Palatino Linotype" w:hAnsi="Palatino Linotype"/>
          <w:color w:val="auto"/>
          <w:sz w:val="22"/>
          <w:szCs w:val="22"/>
        </w:rPr>
        <w:t>żadn</w:t>
      </w:r>
      <w:r w:rsidR="00933BB2">
        <w:rPr>
          <w:rFonts w:ascii="Palatino Linotype" w:hAnsi="Palatino Linotype"/>
          <w:color w:val="auto"/>
          <w:sz w:val="22"/>
          <w:szCs w:val="22"/>
        </w:rPr>
        <w:t xml:space="preserve">e inne </w:t>
      </w:r>
      <w:r>
        <w:rPr>
          <w:rFonts w:ascii="Palatino Linotype" w:hAnsi="Palatino Linotype"/>
          <w:color w:val="auto"/>
          <w:sz w:val="22"/>
          <w:szCs w:val="22"/>
        </w:rPr>
        <w:t>składnik</w:t>
      </w:r>
      <w:r w:rsidR="00933BB2">
        <w:rPr>
          <w:rFonts w:ascii="Palatino Linotype" w:hAnsi="Palatino Linotype"/>
          <w:color w:val="auto"/>
          <w:sz w:val="22"/>
          <w:szCs w:val="22"/>
        </w:rPr>
        <w:t>i</w:t>
      </w:r>
      <w:r>
        <w:rPr>
          <w:rFonts w:ascii="Palatino Linotype" w:hAnsi="Palatino Linotype"/>
          <w:color w:val="auto"/>
          <w:sz w:val="22"/>
          <w:szCs w:val="22"/>
        </w:rPr>
        <w:t xml:space="preserve"> wynagrodzenia.</w:t>
      </w:r>
      <w:r w:rsidR="00990FFD" w:rsidRPr="00990FFD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68C3414A" w14:textId="77777777" w:rsidR="00D86EF9" w:rsidRDefault="00D86EF9" w:rsidP="001B0106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7256E2C0" w14:textId="239FD9C4" w:rsidR="001B0106" w:rsidRDefault="00D33E1D" w:rsidP="001B0106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3.</w:t>
      </w:r>
      <w:r w:rsidR="00D86EF9" w:rsidRPr="005B26F2">
        <w:rPr>
          <w:rFonts w:ascii="Palatino Linotype" w:hAnsi="Palatino Linotype"/>
          <w:b/>
          <w:bCs/>
          <w:color w:val="auto"/>
          <w:sz w:val="22"/>
          <w:szCs w:val="22"/>
        </w:rPr>
        <w:t xml:space="preserve"> Informacja o wysokości całkowitego wynagrodzenia Zarządu i Rady Nadzorczej </w:t>
      </w:r>
      <w:r w:rsidR="005B26F2" w:rsidRPr="005B26F2">
        <w:rPr>
          <w:rFonts w:ascii="Palatino Linotype" w:hAnsi="Palatino Linotype"/>
          <w:b/>
          <w:bCs/>
          <w:color w:val="auto"/>
          <w:sz w:val="22"/>
          <w:szCs w:val="22"/>
        </w:rPr>
        <w:t>wypłaconego w latach 2019-2020r. w podziale na składniki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 oraz o wzajemnych proporcjach między tymi składnikami wynagrodzenia</w:t>
      </w:r>
      <w:r w:rsidR="00993020">
        <w:rPr>
          <w:rFonts w:ascii="Palatino Linotype" w:hAnsi="Palatino Linotype"/>
          <w:b/>
          <w:bCs/>
          <w:color w:val="auto"/>
          <w:sz w:val="22"/>
          <w:szCs w:val="22"/>
        </w:rPr>
        <w:t>.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 </w:t>
      </w:r>
    </w:p>
    <w:p w14:paraId="61BDD482" w14:textId="4A8E5877" w:rsidR="005B26F2" w:rsidRDefault="005B26F2" w:rsidP="001B0106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74CA6F64" w14:textId="5334AB09" w:rsidR="005B26F2" w:rsidRDefault="00D33E1D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3.</w:t>
      </w:r>
      <w:r w:rsidR="005B26F2">
        <w:rPr>
          <w:rFonts w:ascii="Palatino Linotype" w:hAnsi="Palatino Linotype"/>
          <w:b/>
          <w:bCs/>
          <w:color w:val="auto"/>
          <w:sz w:val="22"/>
          <w:szCs w:val="22"/>
        </w:rPr>
        <w:t>1. Zar</w:t>
      </w:r>
      <w:r w:rsidR="00FA5E07">
        <w:rPr>
          <w:rFonts w:ascii="Palatino Linotype" w:hAnsi="Palatino Linotype"/>
          <w:b/>
          <w:bCs/>
          <w:color w:val="auto"/>
          <w:sz w:val="22"/>
          <w:szCs w:val="22"/>
        </w:rPr>
        <w:t>ząd</w:t>
      </w:r>
    </w:p>
    <w:p w14:paraId="44D4405E" w14:textId="1DB61E02" w:rsidR="005B26F2" w:rsidRDefault="005B26F2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6EAA049F" w14:textId="3599E818" w:rsidR="005B26F2" w:rsidRDefault="005B26F2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Wynagrodzenie pobrane w AMPLI S.A. </w:t>
      </w:r>
      <w:r w:rsidR="00CD3091">
        <w:rPr>
          <w:rFonts w:ascii="Palatino Linotype" w:hAnsi="Palatino Linotype"/>
          <w:b/>
          <w:bCs/>
          <w:color w:val="auto"/>
          <w:sz w:val="22"/>
          <w:szCs w:val="22"/>
        </w:rPr>
        <w:t xml:space="preserve">w upadłości układowej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w 2019r. :</w:t>
      </w:r>
    </w:p>
    <w:p w14:paraId="41291F34" w14:textId="77777777" w:rsidR="003B636E" w:rsidRDefault="003B636E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1"/>
        <w:gridCol w:w="1830"/>
        <w:gridCol w:w="1830"/>
        <w:gridCol w:w="1830"/>
        <w:gridCol w:w="1941"/>
      </w:tblGrid>
      <w:tr w:rsidR="003B636E" w14:paraId="74E713A0" w14:textId="77777777" w:rsidTr="00933BB2">
        <w:tc>
          <w:tcPr>
            <w:tcW w:w="1696" w:type="dxa"/>
          </w:tcPr>
          <w:p w14:paraId="389F616F" w14:textId="20783786" w:rsidR="00A33F5C" w:rsidRDefault="00A33F5C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825" w:type="dxa"/>
          </w:tcPr>
          <w:p w14:paraId="1CDFBD27" w14:textId="1C250EFD" w:rsidR="005037ED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</w:t>
            </w:r>
            <w:r w:rsidR="00A33F5C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ynagrodzenie stałe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i  jego udział w </w:t>
            </w:r>
            <w:r w:rsidR="00577DD0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ynagrodzeniu całkowitym</w:t>
            </w:r>
          </w:p>
          <w:p w14:paraId="5569B950" w14:textId="4458D0E6" w:rsidR="00A33F5C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(w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11" w:type="dxa"/>
          </w:tcPr>
          <w:p w14:paraId="70FC469D" w14:textId="77777777" w:rsidR="00A33F5C" w:rsidRDefault="00A33F5C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zmienne</w:t>
            </w:r>
          </w:p>
          <w:p w14:paraId="40BFFF0A" w14:textId="6A648AF8" w:rsidR="005037ED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 jego udział w Wynagrodzeniu całkowitym</w:t>
            </w:r>
          </w:p>
          <w:p w14:paraId="53F71F4F" w14:textId="2E342FD3" w:rsidR="00933BB2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(w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766" w:type="dxa"/>
          </w:tcPr>
          <w:p w14:paraId="3EF20010" w14:textId="5C797C86" w:rsidR="00577DD0" w:rsidRDefault="00A33F5C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Premie i inne świadczenia pieniężne i niepieniężne</w:t>
            </w:r>
            <w:r w:rsidR="00933BB2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B636E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 ich udział w Wynagrodzeniu całkowitym</w:t>
            </w:r>
          </w:p>
          <w:p w14:paraId="4A78ED18" w14:textId="71676217" w:rsidR="00933BB2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964" w:type="dxa"/>
          </w:tcPr>
          <w:p w14:paraId="1C2C91EE" w14:textId="262B0C09" w:rsidR="00A33F5C" w:rsidRDefault="003B636E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całkowite</w:t>
            </w:r>
          </w:p>
        </w:tc>
      </w:tr>
      <w:tr w:rsidR="003B636E" w14:paraId="141152A3" w14:textId="77777777" w:rsidTr="00933BB2">
        <w:tc>
          <w:tcPr>
            <w:tcW w:w="1696" w:type="dxa"/>
          </w:tcPr>
          <w:p w14:paraId="5FE8DBDB" w14:textId="7FC64370" w:rsidR="00A33F5C" w:rsidRDefault="00933BB2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Waldemar Madura – Prezes Zarządu  </w:t>
            </w:r>
          </w:p>
        </w:tc>
        <w:tc>
          <w:tcPr>
            <w:tcW w:w="1825" w:type="dxa"/>
          </w:tcPr>
          <w:p w14:paraId="67B53206" w14:textId="37EDA461" w:rsidR="003B636E" w:rsidRDefault="00933BB2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114.000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,00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B636E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PLN</w:t>
            </w:r>
          </w:p>
          <w:p w14:paraId="03474EC8" w14:textId="74FE944A" w:rsidR="00A33F5C" w:rsidRDefault="003B636E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- 100% </w:t>
            </w:r>
          </w:p>
        </w:tc>
        <w:tc>
          <w:tcPr>
            <w:tcW w:w="1811" w:type="dxa"/>
          </w:tcPr>
          <w:p w14:paraId="7C27A30F" w14:textId="52941C7E" w:rsidR="00A33F5C" w:rsidRDefault="00933BB2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</w:t>
            </w:r>
            <w:r w:rsidR="003B636E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PLN -</w:t>
            </w:r>
          </w:p>
          <w:p w14:paraId="61A6098C" w14:textId="6BC32DAA" w:rsidR="003B636E" w:rsidRDefault="003B636E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766" w:type="dxa"/>
          </w:tcPr>
          <w:p w14:paraId="749C047E" w14:textId="5DDF14B6" w:rsidR="00A33F5C" w:rsidRDefault="00933BB2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</w:t>
            </w:r>
            <w:r w:rsidR="003B636E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PLN </w:t>
            </w:r>
          </w:p>
          <w:p w14:paraId="39C93739" w14:textId="0CCBA05E" w:rsidR="003B636E" w:rsidRDefault="003B636E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964" w:type="dxa"/>
          </w:tcPr>
          <w:p w14:paraId="77585DBF" w14:textId="450FAA48" w:rsidR="00A33F5C" w:rsidRDefault="003B636E" w:rsidP="005B26F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114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.000,00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PLN</w:t>
            </w:r>
          </w:p>
        </w:tc>
      </w:tr>
    </w:tbl>
    <w:p w14:paraId="778E0291" w14:textId="5B6CC71D" w:rsidR="005B26F2" w:rsidRDefault="005B26F2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B097C04" w14:textId="2D5FE4F4" w:rsidR="007E0C4A" w:rsidRDefault="007E0C4A" w:rsidP="005B26F2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 w:rsidRPr="007E0C4A">
        <w:rPr>
          <w:rFonts w:ascii="Palatino Linotype" w:hAnsi="Palatino Linotype"/>
          <w:color w:val="auto"/>
          <w:sz w:val="22"/>
          <w:szCs w:val="22"/>
        </w:rPr>
        <w:t xml:space="preserve">Wynagrodzenie Prezesa Zarządu AMPLI S.A. </w:t>
      </w:r>
      <w:r>
        <w:rPr>
          <w:rFonts w:ascii="Palatino Linotype" w:hAnsi="Palatino Linotype"/>
          <w:color w:val="auto"/>
          <w:sz w:val="22"/>
          <w:szCs w:val="22"/>
        </w:rPr>
        <w:t xml:space="preserve">w upadłości układowej </w:t>
      </w:r>
      <w:r w:rsidRPr="007E0C4A">
        <w:rPr>
          <w:rFonts w:ascii="Palatino Linotype" w:hAnsi="Palatino Linotype"/>
          <w:color w:val="auto"/>
          <w:sz w:val="22"/>
          <w:szCs w:val="22"/>
        </w:rPr>
        <w:t>wypłacone mu w roku 2019 w 100% składało się z wynagrodzenia stałego (podstawowego) w wysokości 9.500 zł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 brutto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miesięcznie, ustalonej w uchwale Rady Nadzorczej AMPLI S.A. w upadłości układowej z 22</w:t>
      </w:r>
      <w:r w:rsidR="00677CE0">
        <w:rPr>
          <w:rFonts w:ascii="Palatino Linotype" w:hAnsi="Palatino Linotype"/>
          <w:color w:val="auto"/>
          <w:sz w:val="22"/>
          <w:szCs w:val="22"/>
        </w:rPr>
        <w:t>.03.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2016r. która obowiązywała </w:t>
      </w:r>
      <w:r>
        <w:rPr>
          <w:rFonts w:ascii="Palatino Linotype" w:hAnsi="Palatino Linotype"/>
          <w:color w:val="auto"/>
          <w:sz w:val="22"/>
          <w:szCs w:val="22"/>
        </w:rPr>
        <w:t xml:space="preserve">przez cały rok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2019.</w:t>
      </w:r>
    </w:p>
    <w:p w14:paraId="18BB6395" w14:textId="77777777" w:rsidR="007E0C4A" w:rsidRDefault="007E0C4A" w:rsidP="005B26F2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771F7F18" w14:textId="06DD9C0C" w:rsidR="007E0C4A" w:rsidRPr="007E0C4A" w:rsidRDefault="007E0C4A" w:rsidP="005B26F2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W roku tym Prezes Zarządu nie pobierał żadnych zmiennych składników wynagrodzenia oraz innych świadczeń </w:t>
      </w:r>
      <w:r w:rsidRPr="00531CF6">
        <w:rPr>
          <w:rFonts w:ascii="Palatino Linotype" w:hAnsi="Palatino Linotype"/>
          <w:color w:val="auto"/>
          <w:sz w:val="22"/>
          <w:szCs w:val="22"/>
        </w:rPr>
        <w:t>pieniężnych i niepieniężnych.</w:t>
      </w:r>
      <w:r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   </w:t>
      </w:r>
    </w:p>
    <w:p w14:paraId="4E944D49" w14:textId="77777777" w:rsidR="005B26F2" w:rsidRDefault="005B26F2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9186B80" w14:textId="2C976F1C" w:rsidR="007E0C4A" w:rsidRDefault="007E0C4A" w:rsidP="007E0C4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Wynagrodzenie pobrane </w:t>
      </w:r>
      <w:r w:rsidR="00CD3091">
        <w:rPr>
          <w:rFonts w:ascii="Palatino Linotype" w:hAnsi="Palatino Linotype"/>
          <w:b/>
          <w:bCs/>
          <w:color w:val="auto"/>
          <w:sz w:val="22"/>
          <w:szCs w:val="22"/>
        </w:rPr>
        <w:t xml:space="preserve">w AMPLI S.A. w upadłości układowej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w 2020r. :</w:t>
      </w:r>
    </w:p>
    <w:p w14:paraId="08E0C7DF" w14:textId="77777777" w:rsidR="007E0C4A" w:rsidRDefault="007E0C4A" w:rsidP="007E0C4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1"/>
        <w:gridCol w:w="1830"/>
        <w:gridCol w:w="1830"/>
        <w:gridCol w:w="1830"/>
        <w:gridCol w:w="1941"/>
      </w:tblGrid>
      <w:tr w:rsidR="007E0C4A" w14:paraId="708F4CD6" w14:textId="77777777" w:rsidTr="00590BAD">
        <w:tc>
          <w:tcPr>
            <w:tcW w:w="1696" w:type="dxa"/>
          </w:tcPr>
          <w:p w14:paraId="32607C98" w14:textId="77777777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825" w:type="dxa"/>
          </w:tcPr>
          <w:p w14:paraId="6F3AA8DB" w14:textId="04595EE8" w:rsidR="005037ED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stałe i  jego udział w Wynagrodzeniu całkowitym</w:t>
            </w:r>
          </w:p>
          <w:p w14:paraId="3A98B11B" w14:textId="739A8F5E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11" w:type="dxa"/>
          </w:tcPr>
          <w:p w14:paraId="0ECF2324" w14:textId="77777777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zmienne</w:t>
            </w:r>
          </w:p>
          <w:p w14:paraId="67834388" w14:textId="09A13957" w:rsidR="00577DD0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 jego udział w Wynagrodzeniu całkowitym</w:t>
            </w:r>
          </w:p>
          <w:p w14:paraId="3B83D6BF" w14:textId="09217934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766" w:type="dxa"/>
          </w:tcPr>
          <w:p w14:paraId="55BBAEEA" w14:textId="64337503" w:rsidR="005037ED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Premie i inne świadczenia pieniężne i niepieniężne i ich udział w Wynagrodzeniu całkowitym</w:t>
            </w:r>
          </w:p>
          <w:p w14:paraId="4BD23FD8" w14:textId="251CEBFA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964" w:type="dxa"/>
          </w:tcPr>
          <w:p w14:paraId="5BE80EDE" w14:textId="6195A145" w:rsidR="007E0C4A" w:rsidRDefault="007E0C4A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całkowite</w:t>
            </w:r>
          </w:p>
        </w:tc>
      </w:tr>
      <w:tr w:rsidR="007E0C4A" w14:paraId="2EDF6D94" w14:textId="77777777" w:rsidTr="00590BAD">
        <w:tc>
          <w:tcPr>
            <w:tcW w:w="1696" w:type="dxa"/>
          </w:tcPr>
          <w:p w14:paraId="4483A70D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Waldemar Madura – Prezes Zarządu  </w:t>
            </w:r>
          </w:p>
        </w:tc>
        <w:tc>
          <w:tcPr>
            <w:tcW w:w="1825" w:type="dxa"/>
          </w:tcPr>
          <w:p w14:paraId="09AC7A90" w14:textId="22364FCF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114.000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,00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PLN</w:t>
            </w:r>
          </w:p>
          <w:p w14:paraId="38E69BD0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- 100% </w:t>
            </w:r>
          </w:p>
        </w:tc>
        <w:tc>
          <w:tcPr>
            <w:tcW w:w="1811" w:type="dxa"/>
          </w:tcPr>
          <w:p w14:paraId="01F44891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PLN -</w:t>
            </w:r>
          </w:p>
          <w:p w14:paraId="13909987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766" w:type="dxa"/>
          </w:tcPr>
          <w:p w14:paraId="2D5E8206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1DAEF095" w14:textId="77777777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964" w:type="dxa"/>
          </w:tcPr>
          <w:p w14:paraId="5B5033C8" w14:textId="0FF5EACD" w:rsidR="007E0C4A" w:rsidRDefault="007E0C4A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114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.000,00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PLN</w:t>
            </w:r>
          </w:p>
        </w:tc>
      </w:tr>
    </w:tbl>
    <w:p w14:paraId="4C7B8C26" w14:textId="77777777" w:rsidR="007E0C4A" w:rsidRDefault="007E0C4A" w:rsidP="007E0C4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51E4B3E2" w14:textId="3ABC6F49" w:rsidR="005B26F2" w:rsidRDefault="005B26F2" w:rsidP="005B26F2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31BD8369" w14:textId="5D5A4ADF" w:rsidR="007E0C4A" w:rsidRDefault="007E0C4A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bookmarkStart w:id="2" w:name="_Hlk70670409"/>
      <w:r w:rsidRPr="007E0C4A">
        <w:rPr>
          <w:rFonts w:ascii="Palatino Linotype" w:hAnsi="Palatino Linotype"/>
          <w:color w:val="auto"/>
          <w:sz w:val="22"/>
          <w:szCs w:val="22"/>
        </w:rPr>
        <w:t xml:space="preserve">Wynagrodzenie Prezesa Zarządu AMPLI S.A. </w:t>
      </w:r>
      <w:r>
        <w:rPr>
          <w:rFonts w:ascii="Palatino Linotype" w:hAnsi="Palatino Linotype"/>
          <w:color w:val="auto"/>
          <w:sz w:val="22"/>
          <w:szCs w:val="22"/>
        </w:rPr>
        <w:t xml:space="preserve">w upadłości układowej </w:t>
      </w:r>
      <w:r w:rsidRPr="007E0C4A">
        <w:rPr>
          <w:rFonts w:ascii="Palatino Linotype" w:hAnsi="Palatino Linotype"/>
          <w:color w:val="auto"/>
          <w:sz w:val="22"/>
          <w:szCs w:val="22"/>
        </w:rPr>
        <w:t>wypłacone mu w roku 20</w:t>
      </w:r>
      <w:r>
        <w:rPr>
          <w:rFonts w:ascii="Palatino Linotype" w:hAnsi="Palatino Linotype"/>
          <w:color w:val="auto"/>
          <w:sz w:val="22"/>
          <w:szCs w:val="22"/>
        </w:rPr>
        <w:t>20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w 100% składało się z wynagrodzenia stałego (podstawowego) w wysokości 9.500 zł 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brutto </w:t>
      </w:r>
      <w:r w:rsidRPr="007E0C4A">
        <w:rPr>
          <w:rFonts w:ascii="Palatino Linotype" w:hAnsi="Palatino Linotype"/>
          <w:color w:val="auto"/>
          <w:sz w:val="22"/>
          <w:szCs w:val="22"/>
        </w:rPr>
        <w:t>miesięcznie, ustalonej w uchwale Rady Nadzorczej AMPLI S.A. w upadłości układowej z 22</w:t>
      </w:r>
      <w:r w:rsidR="00677CE0">
        <w:rPr>
          <w:rFonts w:ascii="Palatino Linotype" w:hAnsi="Palatino Linotype"/>
          <w:color w:val="auto"/>
          <w:sz w:val="22"/>
          <w:szCs w:val="22"/>
        </w:rPr>
        <w:t>.03.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2016r. która obowiązywała </w:t>
      </w:r>
      <w:r>
        <w:rPr>
          <w:rFonts w:ascii="Palatino Linotype" w:hAnsi="Palatino Linotype"/>
          <w:color w:val="auto"/>
          <w:sz w:val="22"/>
          <w:szCs w:val="22"/>
        </w:rPr>
        <w:t xml:space="preserve">przez cały rok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20</w:t>
      </w:r>
      <w:r>
        <w:rPr>
          <w:rFonts w:ascii="Palatino Linotype" w:hAnsi="Palatino Linotype"/>
          <w:color w:val="auto"/>
          <w:sz w:val="22"/>
          <w:szCs w:val="22"/>
        </w:rPr>
        <w:t>20</w:t>
      </w:r>
      <w:bookmarkEnd w:id="2"/>
      <w:r w:rsidRPr="007E0C4A">
        <w:rPr>
          <w:rFonts w:ascii="Palatino Linotype" w:hAnsi="Palatino Linotype"/>
          <w:color w:val="auto"/>
          <w:sz w:val="22"/>
          <w:szCs w:val="22"/>
        </w:rPr>
        <w:t>.</w:t>
      </w:r>
    </w:p>
    <w:p w14:paraId="4E67189A" w14:textId="77777777" w:rsidR="007E0C4A" w:rsidRDefault="007E0C4A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7BD701DC" w14:textId="27B96087" w:rsidR="005B26F2" w:rsidRDefault="007E0C4A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W roku tym Prezes Zarządu nie pobierał żadnych zmiennych składników wynagrodzenia oraz innych świadczeń pieniężnych </w:t>
      </w:r>
      <w:r w:rsidRPr="00EF273C">
        <w:rPr>
          <w:rFonts w:ascii="Palatino Linotype" w:hAnsi="Palatino Linotype"/>
          <w:color w:val="auto"/>
          <w:sz w:val="22"/>
          <w:szCs w:val="22"/>
        </w:rPr>
        <w:t>i niepieniężnych.</w:t>
      </w:r>
    </w:p>
    <w:p w14:paraId="0DB8E17B" w14:textId="08AED546" w:rsidR="007E0C4A" w:rsidRDefault="007E0C4A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36388AA3" w14:textId="662EC5C5" w:rsidR="007E0C4A" w:rsidRDefault="00D33E1D" w:rsidP="007E0C4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3.</w:t>
      </w:r>
      <w:r w:rsidR="007E0C4A" w:rsidRPr="007E0C4A">
        <w:rPr>
          <w:rFonts w:ascii="Palatino Linotype" w:hAnsi="Palatino Linotype"/>
          <w:b/>
          <w:bCs/>
          <w:color w:val="auto"/>
          <w:sz w:val="22"/>
          <w:szCs w:val="22"/>
        </w:rPr>
        <w:t>2. Rada Nadzorcza</w:t>
      </w:r>
    </w:p>
    <w:p w14:paraId="5F13144E" w14:textId="79FED331" w:rsidR="007E0C4A" w:rsidRDefault="007E0C4A" w:rsidP="007E0C4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4E062509" w14:textId="36176574" w:rsidR="00243E85" w:rsidRDefault="00243E85" w:rsidP="00243E85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Wynagrodzenie pobrane </w:t>
      </w:r>
      <w:r w:rsidR="00CD3091">
        <w:rPr>
          <w:rFonts w:ascii="Palatino Linotype" w:hAnsi="Palatino Linotype"/>
          <w:b/>
          <w:bCs/>
          <w:color w:val="auto"/>
          <w:sz w:val="22"/>
          <w:szCs w:val="22"/>
        </w:rPr>
        <w:t xml:space="preserve">w AMPLI S.A. w upadłości układowej 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w 2019r. :</w:t>
      </w:r>
    </w:p>
    <w:p w14:paraId="5CC79FC3" w14:textId="77777777" w:rsidR="00243E85" w:rsidRDefault="00243E85" w:rsidP="00243E85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776"/>
        <w:gridCol w:w="67"/>
        <w:gridCol w:w="1748"/>
        <w:gridCol w:w="1937"/>
      </w:tblGrid>
      <w:tr w:rsidR="00243E85" w14:paraId="7D95C54F" w14:textId="77777777" w:rsidTr="00993020">
        <w:tc>
          <w:tcPr>
            <w:tcW w:w="1980" w:type="dxa"/>
          </w:tcPr>
          <w:p w14:paraId="7148DF58" w14:textId="77777777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</w:tcPr>
          <w:p w14:paraId="508E2A42" w14:textId="31C2A102" w:rsidR="00577DD0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stałe i  jego udział w Wynagrodzeniu całkowitym</w:t>
            </w:r>
          </w:p>
          <w:p w14:paraId="13AD1534" w14:textId="12A79316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43" w:type="dxa"/>
            <w:gridSpan w:val="2"/>
          </w:tcPr>
          <w:p w14:paraId="72132475" w14:textId="77777777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zmienne</w:t>
            </w:r>
          </w:p>
          <w:p w14:paraId="5D8DE18D" w14:textId="41C25FCD" w:rsidR="00577DD0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 jego udział w Wynagrodzeniu całkowitym</w:t>
            </w:r>
          </w:p>
          <w:p w14:paraId="636AA206" w14:textId="58E206C6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748" w:type="dxa"/>
          </w:tcPr>
          <w:p w14:paraId="0CD6B466" w14:textId="722AC8D2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Premie i inne świadczenia pieniężne i niepieniężne i ich udział w Wynagrodzeniu całkowitym 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937" w:type="dxa"/>
          </w:tcPr>
          <w:p w14:paraId="23D355F8" w14:textId="6E6719E5" w:rsidR="00243E85" w:rsidRDefault="00243E85" w:rsidP="00577DD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całkowite</w:t>
            </w:r>
          </w:p>
        </w:tc>
      </w:tr>
      <w:tr w:rsidR="00243E85" w14:paraId="1F83B50F" w14:textId="77777777" w:rsidTr="00993020">
        <w:tc>
          <w:tcPr>
            <w:tcW w:w="1980" w:type="dxa"/>
          </w:tcPr>
          <w:p w14:paraId="75BF6D12" w14:textId="2CFE0A2B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Artur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Kostyrzewski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Przewodniczący RN  </w:t>
            </w:r>
          </w:p>
        </w:tc>
        <w:tc>
          <w:tcPr>
            <w:tcW w:w="1701" w:type="dxa"/>
          </w:tcPr>
          <w:p w14:paraId="4BC831AA" w14:textId="58BE2897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2</w:t>
            </w:r>
            <w:r w:rsidR="002B5F0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400,00 PLN</w:t>
            </w:r>
          </w:p>
          <w:p w14:paraId="5A2636C6" w14:textId="558B44F5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</w:t>
            </w:r>
            <w:r w:rsidR="002B5F0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1776" w:type="dxa"/>
          </w:tcPr>
          <w:p w14:paraId="071038FA" w14:textId="5AE15FBE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146689A4" w14:textId="3A6D9137" w:rsidR="00243E85" w:rsidRDefault="002B5F0D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815" w:type="dxa"/>
            <w:gridSpan w:val="2"/>
          </w:tcPr>
          <w:p w14:paraId="3CBB229C" w14:textId="77777777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722B7FD4" w14:textId="077E7084" w:rsidR="00243E85" w:rsidRDefault="002B5F0D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- </w:t>
            </w:r>
            <w:r w:rsidR="00243E85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0 %</w:t>
            </w:r>
          </w:p>
        </w:tc>
        <w:tc>
          <w:tcPr>
            <w:tcW w:w="1937" w:type="dxa"/>
          </w:tcPr>
          <w:p w14:paraId="09D3DAF6" w14:textId="0A699A76" w:rsidR="00243E85" w:rsidRDefault="00243E85" w:rsidP="00590BA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2.</w:t>
            </w:r>
            <w:r w:rsidR="002B5F0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4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00,00 PLN</w:t>
            </w:r>
          </w:p>
        </w:tc>
      </w:tr>
      <w:tr w:rsidR="002B5F0D" w14:paraId="6AEB36DC" w14:textId="77777777" w:rsidTr="00993020">
        <w:tc>
          <w:tcPr>
            <w:tcW w:w="1980" w:type="dxa"/>
          </w:tcPr>
          <w:p w14:paraId="4AE785FF" w14:textId="650ACBD2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Małgorzata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Kostyrzewska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Członek RN</w:t>
            </w:r>
          </w:p>
        </w:tc>
        <w:tc>
          <w:tcPr>
            <w:tcW w:w="1701" w:type="dxa"/>
          </w:tcPr>
          <w:p w14:paraId="1CCC5BE4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2F0C6D2A" w14:textId="457FDE98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776" w:type="dxa"/>
          </w:tcPr>
          <w:p w14:paraId="19A4FA85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0AC4C2D2" w14:textId="692B91B0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15" w:type="dxa"/>
            <w:gridSpan w:val="2"/>
          </w:tcPr>
          <w:p w14:paraId="4774F583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3972AE9B" w14:textId="6CFB6CC4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937" w:type="dxa"/>
          </w:tcPr>
          <w:p w14:paraId="7FA1529C" w14:textId="5BDABEE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2B5F0D" w14:paraId="15575E21" w14:textId="77777777" w:rsidTr="00993020">
        <w:tc>
          <w:tcPr>
            <w:tcW w:w="1980" w:type="dxa"/>
          </w:tcPr>
          <w:p w14:paraId="32024AFB" w14:textId="7F644EA5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Katarzyna Madura – Członek RN</w:t>
            </w:r>
          </w:p>
        </w:tc>
        <w:tc>
          <w:tcPr>
            <w:tcW w:w="1701" w:type="dxa"/>
          </w:tcPr>
          <w:p w14:paraId="05F2B507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1D03526E" w14:textId="4B178E35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776" w:type="dxa"/>
          </w:tcPr>
          <w:p w14:paraId="62F1383B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237E183C" w14:textId="5B071C4E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15" w:type="dxa"/>
            <w:gridSpan w:val="2"/>
          </w:tcPr>
          <w:p w14:paraId="36B9550C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37747A35" w14:textId="7F00774F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937" w:type="dxa"/>
          </w:tcPr>
          <w:p w14:paraId="0A8116E1" w14:textId="1D6FED0C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2B5F0D" w14:paraId="05D5193E" w14:textId="77777777" w:rsidTr="00993020">
        <w:tc>
          <w:tcPr>
            <w:tcW w:w="1980" w:type="dxa"/>
          </w:tcPr>
          <w:p w14:paraId="1C6FC7A1" w14:textId="3E202041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Monika Ogorzelec – Członek RN</w:t>
            </w:r>
          </w:p>
        </w:tc>
        <w:tc>
          <w:tcPr>
            <w:tcW w:w="1701" w:type="dxa"/>
          </w:tcPr>
          <w:p w14:paraId="61B757BA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074A3958" w14:textId="51AD578E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776" w:type="dxa"/>
          </w:tcPr>
          <w:p w14:paraId="3AD5B341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45868DE1" w14:textId="334A9310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15" w:type="dxa"/>
            <w:gridSpan w:val="2"/>
          </w:tcPr>
          <w:p w14:paraId="4FEE1C9E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55FDD152" w14:textId="7CCCAA3E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937" w:type="dxa"/>
          </w:tcPr>
          <w:p w14:paraId="055415CD" w14:textId="4FF15D82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2B5F0D" w14:paraId="0FB0D54F" w14:textId="77777777" w:rsidTr="00993020">
        <w:tc>
          <w:tcPr>
            <w:tcW w:w="1980" w:type="dxa"/>
          </w:tcPr>
          <w:p w14:paraId="5B3602BD" w14:textId="251BAD66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Piotr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Stuchły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Członek RN</w:t>
            </w:r>
          </w:p>
        </w:tc>
        <w:tc>
          <w:tcPr>
            <w:tcW w:w="1701" w:type="dxa"/>
          </w:tcPr>
          <w:p w14:paraId="0204CC64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4213F4BC" w14:textId="0D21B7BA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776" w:type="dxa"/>
          </w:tcPr>
          <w:p w14:paraId="4EF8AD78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12A0B59A" w14:textId="3523BA92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15" w:type="dxa"/>
            <w:gridSpan w:val="2"/>
          </w:tcPr>
          <w:p w14:paraId="52AC0C5A" w14:textId="77777777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3A639E9A" w14:textId="2D62AE0A" w:rsidR="002B5F0D" w:rsidRP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937" w:type="dxa"/>
          </w:tcPr>
          <w:p w14:paraId="1AC842A1" w14:textId="21516142" w:rsidR="002B5F0D" w:rsidRDefault="002B5F0D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993020" w14:paraId="0C5018C2" w14:textId="77777777" w:rsidTr="00993020">
        <w:tc>
          <w:tcPr>
            <w:tcW w:w="1980" w:type="dxa"/>
          </w:tcPr>
          <w:p w14:paraId="5D430E28" w14:textId="4815E80A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1701" w:type="dxa"/>
          </w:tcPr>
          <w:p w14:paraId="6C0B58C6" w14:textId="77777777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8.400 PLN</w:t>
            </w:r>
          </w:p>
          <w:p w14:paraId="708302D3" w14:textId="0EAF5B15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-100 %</w:t>
            </w:r>
          </w:p>
        </w:tc>
        <w:tc>
          <w:tcPr>
            <w:tcW w:w="1776" w:type="dxa"/>
          </w:tcPr>
          <w:p w14:paraId="2BACD394" w14:textId="77777777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PLN</w:t>
            </w:r>
          </w:p>
          <w:p w14:paraId="6D1040E0" w14:textId="230EBDE0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15" w:type="dxa"/>
            <w:gridSpan w:val="2"/>
          </w:tcPr>
          <w:p w14:paraId="47D8ABB5" w14:textId="77777777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PLN</w:t>
            </w:r>
          </w:p>
          <w:p w14:paraId="2395C4B1" w14:textId="118014E4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937" w:type="dxa"/>
          </w:tcPr>
          <w:p w14:paraId="43A782C2" w14:textId="7BEF3D82" w:rsidR="00993020" w:rsidRDefault="00993020" w:rsidP="002B5F0D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8.400,00 PLN</w:t>
            </w:r>
          </w:p>
        </w:tc>
      </w:tr>
    </w:tbl>
    <w:p w14:paraId="1AC5C1F0" w14:textId="77777777" w:rsidR="00243E85" w:rsidRDefault="00243E85" w:rsidP="00243E85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1613D5D7" w14:textId="2D373CBC" w:rsidR="00590BAD" w:rsidRDefault="00243E85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 w:rsidRPr="007E0C4A">
        <w:rPr>
          <w:rFonts w:ascii="Palatino Linotype" w:hAnsi="Palatino Linotype"/>
          <w:color w:val="auto"/>
          <w:sz w:val="22"/>
          <w:szCs w:val="22"/>
        </w:rPr>
        <w:t>Wynagrodzenie Pr</w:t>
      </w:r>
      <w:r w:rsidR="002B5F0D">
        <w:rPr>
          <w:rFonts w:ascii="Palatino Linotype" w:hAnsi="Palatino Linotype"/>
          <w:color w:val="auto"/>
          <w:sz w:val="22"/>
          <w:szCs w:val="22"/>
        </w:rPr>
        <w:t>zewodniczącego oraz pozostałych Członków Rady Nadzorczej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AMPLI S.A. </w:t>
      </w:r>
      <w:r>
        <w:rPr>
          <w:rFonts w:ascii="Palatino Linotype" w:hAnsi="Palatino Linotype"/>
          <w:color w:val="auto"/>
          <w:sz w:val="22"/>
          <w:szCs w:val="22"/>
        </w:rPr>
        <w:t xml:space="preserve">w upadłości układowej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wypłacone </w:t>
      </w:r>
      <w:r w:rsidR="002B5F0D">
        <w:rPr>
          <w:rFonts w:ascii="Palatino Linotype" w:hAnsi="Palatino Linotype"/>
          <w:color w:val="auto"/>
          <w:sz w:val="22"/>
          <w:szCs w:val="22"/>
        </w:rPr>
        <w:t>im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w roku 2019 w 100% składało się z wynagrodzenia stałego</w:t>
      </w:r>
      <w:r w:rsidR="002B5F0D">
        <w:rPr>
          <w:rFonts w:ascii="Palatino Linotype" w:hAnsi="Palatino Linotype"/>
          <w:color w:val="auto"/>
          <w:sz w:val="22"/>
          <w:szCs w:val="22"/>
        </w:rPr>
        <w:t xml:space="preserve">, przy czym Przewodniczący Rady Nadzorczej otrzymał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2B5F0D">
        <w:rPr>
          <w:rFonts w:ascii="Palatino Linotype" w:hAnsi="Palatino Linotype"/>
          <w:color w:val="auto"/>
          <w:sz w:val="22"/>
          <w:szCs w:val="22"/>
        </w:rPr>
        <w:t xml:space="preserve">kwoty po 800 zł 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brutto </w:t>
      </w:r>
      <w:r w:rsidR="002B5F0D">
        <w:rPr>
          <w:rFonts w:ascii="Palatino Linotype" w:hAnsi="Palatino Linotype"/>
          <w:color w:val="auto"/>
          <w:sz w:val="22"/>
          <w:szCs w:val="22"/>
        </w:rPr>
        <w:t>za udział w każdym posiedzeniu Rady Nadzorczej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, </w:t>
      </w:r>
      <w:r w:rsidR="002B5F0D">
        <w:rPr>
          <w:rFonts w:ascii="Palatino Linotype" w:hAnsi="Palatino Linotype"/>
          <w:color w:val="auto"/>
          <w:sz w:val="22"/>
          <w:szCs w:val="22"/>
        </w:rPr>
        <w:t xml:space="preserve">zaś pozostali Członkowie Rady Nadzorczej kwoty po 500 zł 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brutto </w:t>
      </w:r>
      <w:r w:rsidR="002B5F0D">
        <w:rPr>
          <w:rFonts w:ascii="Palatino Linotype" w:hAnsi="Palatino Linotype"/>
          <w:color w:val="auto"/>
          <w:sz w:val="22"/>
          <w:szCs w:val="22"/>
        </w:rPr>
        <w:t xml:space="preserve">za udział w każdym posiedzeniu. </w:t>
      </w:r>
    </w:p>
    <w:p w14:paraId="11FF5307" w14:textId="4F3D9C6B" w:rsidR="00590BAD" w:rsidRDefault="00590BAD" w:rsidP="00590BAD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Wynagrodzenie w takiej wysokości  zostało określone w</w:t>
      </w:r>
      <w:r w:rsidRPr="00990FFD">
        <w:rPr>
          <w:rFonts w:ascii="Palatino Linotype" w:hAnsi="Palatino Linotype"/>
          <w:color w:val="auto"/>
          <w:sz w:val="22"/>
          <w:szCs w:val="22"/>
        </w:rPr>
        <w:t xml:space="preserve"> uchwale </w:t>
      </w:r>
      <w:r>
        <w:rPr>
          <w:rFonts w:ascii="Palatino Linotype" w:hAnsi="Palatino Linotype"/>
          <w:color w:val="auto"/>
          <w:sz w:val="22"/>
          <w:szCs w:val="22"/>
        </w:rPr>
        <w:t xml:space="preserve">nr 13 </w:t>
      </w:r>
      <w:r w:rsidRPr="00990FFD">
        <w:rPr>
          <w:rFonts w:ascii="Palatino Linotype" w:hAnsi="Palatino Linotype"/>
          <w:color w:val="auto"/>
          <w:sz w:val="22"/>
          <w:szCs w:val="22"/>
        </w:rPr>
        <w:t>Walnego Zgromadzenia Akcjonariuszy Spółki</w:t>
      </w:r>
      <w:r>
        <w:rPr>
          <w:rFonts w:ascii="Palatino Linotype" w:hAnsi="Palatino Linotype"/>
          <w:color w:val="auto"/>
          <w:sz w:val="22"/>
          <w:szCs w:val="22"/>
        </w:rPr>
        <w:t xml:space="preserve"> z dnia 23.06.2016r. (w odniesieniu do okresu </w:t>
      </w:r>
      <w:r w:rsidR="00E71F00">
        <w:rPr>
          <w:rFonts w:ascii="Palatino Linotype" w:hAnsi="Palatino Linotype"/>
          <w:color w:val="auto"/>
          <w:sz w:val="22"/>
          <w:szCs w:val="22"/>
        </w:rPr>
        <w:t xml:space="preserve">od 01.01.2019r. do </w:t>
      </w:r>
      <w:r>
        <w:rPr>
          <w:rFonts w:ascii="Palatino Linotype" w:hAnsi="Palatino Linotype"/>
          <w:color w:val="auto"/>
          <w:sz w:val="22"/>
          <w:szCs w:val="22"/>
        </w:rPr>
        <w:t xml:space="preserve">14.06.2019r.) oraz w </w:t>
      </w:r>
      <w:r w:rsidRPr="00990FFD">
        <w:rPr>
          <w:rFonts w:ascii="Palatino Linotype" w:hAnsi="Palatino Linotype"/>
          <w:color w:val="auto"/>
          <w:sz w:val="22"/>
          <w:szCs w:val="22"/>
        </w:rPr>
        <w:t xml:space="preserve">uchwale </w:t>
      </w:r>
      <w:r>
        <w:rPr>
          <w:rFonts w:ascii="Palatino Linotype" w:hAnsi="Palatino Linotype"/>
          <w:color w:val="auto"/>
          <w:sz w:val="22"/>
          <w:szCs w:val="22"/>
        </w:rPr>
        <w:t xml:space="preserve">nr 14 </w:t>
      </w:r>
      <w:r w:rsidRPr="00990FFD">
        <w:rPr>
          <w:rFonts w:ascii="Palatino Linotype" w:hAnsi="Palatino Linotype"/>
          <w:color w:val="auto"/>
          <w:sz w:val="22"/>
          <w:szCs w:val="22"/>
        </w:rPr>
        <w:t>Walnego Zgromadzenia Akcjonariuszy Spółki</w:t>
      </w:r>
      <w:r>
        <w:rPr>
          <w:rFonts w:ascii="Palatino Linotype" w:hAnsi="Palatino Linotype"/>
          <w:color w:val="auto"/>
          <w:sz w:val="22"/>
          <w:szCs w:val="22"/>
        </w:rPr>
        <w:t xml:space="preserve"> z dnia 14.06.2019r. (w odniesieniu do okresu </w:t>
      </w:r>
      <w:r w:rsidR="00E71F00">
        <w:rPr>
          <w:rFonts w:ascii="Palatino Linotype" w:hAnsi="Palatino Linotype"/>
          <w:color w:val="auto"/>
          <w:sz w:val="22"/>
          <w:szCs w:val="22"/>
        </w:rPr>
        <w:t xml:space="preserve">od 15.06.2019r. do </w:t>
      </w:r>
      <w:r w:rsidR="00993020">
        <w:rPr>
          <w:rFonts w:ascii="Palatino Linotype" w:hAnsi="Palatino Linotype"/>
          <w:color w:val="auto"/>
          <w:sz w:val="22"/>
          <w:szCs w:val="22"/>
        </w:rPr>
        <w:t>31</w:t>
      </w:r>
      <w:r>
        <w:rPr>
          <w:rFonts w:ascii="Palatino Linotype" w:hAnsi="Palatino Linotype"/>
          <w:color w:val="auto"/>
          <w:sz w:val="22"/>
          <w:szCs w:val="22"/>
        </w:rPr>
        <w:t>.</w:t>
      </w:r>
      <w:r w:rsidR="00993020">
        <w:rPr>
          <w:rFonts w:ascii="Palatino Linotype" w:hAnsi="Palatino Linotype"/>
          <w:color w:val="auto"/>
          <w:sz w:val="22"/>
          <w:szCs w:val="22"/>
        </w:rPr>
        <w:t>12</w:t>
      </w:r>
      <w:r>
        <w:rPr>
          <w:rFonts w:ascii="Palatino Linotype" w:hAnsi="Palatino Linotype"/>
          <w:color w:val="auto"/>
          <w:sz w:val="22"/>
          <w:szCs w:val="22"/>
        </w:rPr>
        <w:t>.2019r.)</w:t>
      </w:r>
    </w:p>
    <w:p w14:paraId="3D272483" w14:textId="77777777" w:rsidR="00243E85" w:rsidRDefault="00243E85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21B07D26" w14:textId="0DDF2C11" w:rsidR="00243E85" w:rsidRDefault="00243E85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W roku </w:t>
      </w:r>
      <w:r w:rsidR="00E71F00">
        <w:rPr>
          <w:rFonts w:ascii="Palatino Linotype" w:hAnsi="Palatino Linotype"/>
          <w:color w:val="auto"/>
          <w:sz w:val="22"/>
          <w:szCs w:val="22"/>
        </w:rPr>
        <w:t xml:space="preserve">2019 osoby wchodzące w skład Rady Nadzorczej Spółki za pełnienie swoich funkcji w Radzie Nadzorczej </w:t>
      </w:r>
      <w:r>
        <w:rPr>
          <w:rFonts w:ascii="Palatino Linotype" w:hAnsi="Palatino Linotype"/>
          <w:color w:val="auto"/>
          <w:sz w:val="22"/>
          <w:szCs w:val="22"/>
        </w:rPr>
        <w:t>nie pobiera</w:t>
      </w:r>
      <w:r w:rsidR="00E71F00">
        <w:rPr>
          <w:rFonts w:ascii="Palatino Linotype" w:hAnsi="Palatino Linotype"/>
          <w:color w:val="auto"/>
          <w:sz w:val="22"/>
          <w:szCs w:val="22"/>
        </w:rPr>
        <w:t>li</w:t>
      </w:r>
      <w:r>
        <w:rPr>
          <w:rFonts w:ascii="Palatino Linotype" w:hAnsi="Palatino Linotype"/>
          <w:color w:val="auto"/>
          <w:sz w:val="22"/>
          <w:szCs w:val="22"/>
        </w:rPr>
        <w:t xml:space="preserve"> żadnych zmiennych składników wynagrodzenia oraz</w:t>
      </w:r>
      <w:r w:rsidR="00E71F00">
        <w:rPr>
          <w:rFonts w:ascii="Palatino Linotype" w:hAnsi="Palatino Linotype"/>
          <w:color w:val="auto"/>
          <w:sz w:val="22"/>
          <w:szCs w:val="22"/>
        </w:rPr>
        <w:t xml:space="preserve"> premii lub</w:t>
      </w:r>
      <w:r>
        <w:rPr>
          <w:rFonts w:ascii="Palatino Linotype" w:hAnsi="Palatino Linotype"/>
          <w:color w:val="auto"/>
          <w:sz w:val="22"/>
          <w:szCs w:val="22"/>
        </w:rPr>
        <w:t xml:space="preserve"> innych świadczeń pieniężnych </w:t>
      </w:r>
      <w:r w:rsidRPr="00EF273C">
        <w:rPr>
          <w:rFonts w:ascii="Palatino Linotype" w:hAnsi="Palatino Linotype"/>
          <w:color w:val="auto"/>
          <w:sz w:val="22"/>
          <w:szCs w:val="22"/>
        </w:rPr>
        <w:t>i niepieniężnych.</w:t>
      </w:r>
      <w:r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   </w:t>
      </w:r>
    </w:p>
    <w:p w14:paraId="45AA47DD" w14:textId="1CAEE8FB" w:rsidR="00240FEC" w:rsidRDefault="00240FEC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354E7FA0" w14:textId="20D6C425" w:rsidR="00BC0B6A" w:rsidRDefault="00993020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Dodać jedynie należy, że </w:t>
      </w:r>
      <w:r w:rsidR="00240FEC">
        <w:rPr>
          <w:rFonts w:ascii="Palatino Linotype" w:hAnsi="Palatino Linotype"/>
          <w:color w:val="auto"/>
          <w:sz w:val="22"/>
          <w:szCs w:val="22"/>
        </w:rPr>
        <w:t xml:space="preserve">Pan Artur </w:t>
      </w:r>
      <w:proofErr w:type="spellStart"/>
      <w:r w:rsidR="00240FEC">
        <w:rPr>
          <w:rFonts w:ascii="Palatino Linotype" w:hAnsi="Palatino Linotype"/>
          <w:color w:val="auto"/>
          <w:sz w:val="22"/>
          <w:szCs w:val="22"/>
        </w:rPr>
        <w:t>Kostyrzewski</w:t>
      </w:r>
      <w:proofErr w:type="spellEnd"/>
      <w:r w:rsidR="00240FEC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47362">
        <w:rPr>
          <w:rFonts w:ascii="Palatino Linotype" w:hAnsi="Palatino Linotype"/>
          <w:color w:val="auto"/>
          <w:sz w:val="22"/>
          <w:szCs w:val="22"/>
        </w:rPr>
        <w:t xml:space="preserve">w roku 2019 był też </w:t>
      </w:r>
      <w:r w:rsidR="00240FEC">
        <w:rPr>
          <w:rFonts w:ascii="Palatino Linotype" w:hAnsi="Palatino Linotype"/>
          <w:color w:val="auto"/>
          <w:sz w:val="22"/>
          <w:szCs w:val="22"/>
        </w:rPr>
        <w:t>zatrudniony w Spółce na podstawie umowy o pracę na stanowisku</w:t>
      </w:r>
      <w:r w:rsidR="00EF273C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240FEC">
        <w:rPr>
          <w:rFonts w:ascii="Palatino Linotype" w:hAnsi="Palatino Linotype"/>
          <w:color w:val="auto"/>
          <w:sz w:val="22"/>
          <w:szCs w:val="22"/>
        </w:rPr>
        <w:t xml:space="preserve">niezwiązanym z pełnieniem funkcji Przewodniczącego Rady Nadzorczej  </w:t>
      </w:r>
      <w:r w:rsidR="00347362">
        <w:rPr>
          <w:rFonts w:ascii="Palatino Linotype" w:hAnsi="Palatino Linotype"/>
          <w:color w:val="auto"/>
          <w:sz w:val="22"/>
          <w:szCs w:val="22"/>
        </w:rPr>
        <w:t>i</w:t>
      </w:r>
      <w:r w:rsidR="00240FEC">
        <w:rPr>
          <w:rFonts w:ascii="Palatino Linotype" w:hAnsi="Palatino Linotype"/>
          <w:color w:val="auto"/>
          <w:sz w:val="22"/>
          <w:szCs w:val="22"/>
        </w:rPr>
        <w:t xml:space="preserve"> otrzymał z tego tytułu wynagrodzenie w kwocie 150.000,00 zł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 brutto</w:t>
      </w:r>
      <w:r w:rsidR="00BC0B6A">
        <w:rPr>
          <w:rFonts w:ascii="Palatino Linotype" w:hAnsi="Palatino Linotype"/>
          <w:color w:val="auto"/>
          <w:sz w:val="22"/>
          <w:szCs w:val="22"/>
        </w:rPr>
        <w:t>.</w:t>
      </w:r>
    </w:p>
    <w:p w14:paraId="69A2501B" w14:textId="77777777" w:rsidR="00347362" w:rsidRDefault="00347362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1F82E4E9" w14:textId="3DA40352" w:rsidR="00BC0B6A" w:rsidRDefault="00BC0B6A" w:rsidP="00BC0B6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Wynagrodzenie pobrane </w:t>
      </w:r>
      <w:r w:rsidR="00CD3091">
        <w:rPr>
          <w:rFonts w:ascii="Palatino Linotype" w:hAnsi="Palatino Linotype"/>
          <w:b/>
          <w:bCs/>
          <w:color w:val="auto"/>
          <w:sz w:val="22"/>
          <w:szCs w:val="22"/>
        </w:rPr>
        <w:t>w AMPLI S.A. w upadłości układowej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 w 20</w:t>
      </w:r>
      <w:r w:rsidR="001C16EE">
        <w:rPr>
          <w:rFonts w:ascii="Palatino Linotype" w:hAnsi="Palatino Linotype"/>
          <w:b/>
          <w:bCs/>
          <w:color w:val="auto"/>
          <w:sz w:val="22"/>
          <w:szCs w:val="22"/>
        </w:rPr>
        <w:t>20</w:t>
      </w:r>
      <w:r>
        <w:rPr>
          <w:rFonts w:ascii="Palatino Linotype" w:hAnsi="Palatino Linotype"/>
          <w:b/>
          <w:bCs/>
          <w:color w:val="auto"/>
          <w:sz w:val="22"/>
          <w:szCs w:val="22"/>
        </w:rPr>
        <w:t>r. :</w:t>
      </w:r>
    </w:p>
    <w:p w14:paraId="7B947291" w14:textId="77777777" w:rsidR="00BC0B6A" w:rsidRDefault="00BC0B6A" w:rsidP="00BC0B6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43"/>
      </w:tblGrid>
      <w:tr w:rsidR="00BC0B6A" w14:paraId="15332891" w14:textId="77777777" w:rsidTr="00577DD0">
        <w:tc>
          <w:tcPr>
            <w:tcW w:w="1980" w:type="dxa"/>
          </w:tcPr>
          <w:p w14:paraId="08FC2029" w14:textId="77777777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</w:tcPr>
          <w:p w14:paraId="1D00332D" w14:textId="77777777" w:rsidR="00993020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Wynagrodzenie stałe i  jego udział w Wynagrodzeniu całkowitym </w:t>
            </w:r>
          </w:p>
          <w:p w14:paraId="4B6A858F" w14:textId="532DBEDE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14:paraId="50928F6C" w14:textId="77777777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zmienne</w:t>
            </w:r>
          </w:p>
          <w:p w14:paraId="4E0D8E96" w14:textId="77777777" w:rsidR="00993020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i jego udział w Wynagrodzeniu całkowitym </w:t>
            </w:r>
          </w:p>
          <w:p w14:paraId="2194FF39" w14:textId="2BB807BC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5654812" w14:textId="77777777" w:rsidR="00993020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Premie i inne świadczenia pieniężne i niepieniężne i ich udział w Wynagrodzeniu całkowitym</w:t>
            </w:r>
          </w:p>
          <w:p w14:paraId="6C0FF124" w14:textId="498AC277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(w </w:t>
            </w:r>
            <w:r w:rsidR="005037ED"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%</w:t>
            </w: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3AA2DE33" w14:textId="6F27567C" w:rsidR="00BC0B6A" w:rsidRDefault="00BC0B6A" w:rsidP="00993020">
            <w:pPr>
              <w:pStyle w:val="Default"/>
              <w:spacing w:after="21"/>
              <w:jc w:val="center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Wynagrodzenie całkowite</w:t>
            </w:r>
          </w:p>
        </w:tc>
      </w:tr>
      <w:tr w:rsidR="00BC0B6A" w14:paraId="46EFBE40" w14:textId="77777777" w:rsidTr="00577DD0">
        <w:tc>
          <w:tcPr>
            <w:tcW w:w="1980" w:type="dxa"/>
          </w:tcPr>
          <w:p w14:paraId="66A7F493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Artur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Kostyrzewski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Przewodniczący RN  </w:t>
            </w:r>
          </w:p>
        </w:tc>
        <w:tc>
          <w:tcPr>
            <w:tcW w:w="1843" w:type="dxa"/>
          </w:tcPr>
          <w:p w14:paraId="545EAA8E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2.400,00 PLN</w:t>
            </w:r>
          </w:p>
          <w:p w14:paraId="4EC1ECCA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- 100 % </w:t>
            </w:r>
          </w:p>
        </w:tc>
        <w:tc>
          <w:tcPr>
            <w:tcW w:w="1842" w:type="dxa"/>
          </w:tcPr>
          <w:p w14:paraId="00A5EE1C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78AC4AC9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04BDFE14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07C90A6E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46A1C42D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2.400,00 PLN</w:t>
            </w:r>
          </w:p>
        </w:tc>
      </w:tr>
      <w:tr w:rsidR="00BC0B6A" w14:paraId="39E3B7FE" w14:textId="77777777" w:rsidTr="00577DD0">
        <w:tc>
          <w:tcPr>
            <w:tcW w:w="1980" w:type="dxa"/>
          </w:tcPr>
          <w:p w14:paraId="76627729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Małgorzata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Kostyrzewska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Członek RN</w:t>
            </w:r>
          </w:p>
        </w:tc>
        <w:tc>
          <w:tcPr>
            <w:tcW w:w="1843" w:type="dxa"/>
          </w:tcPr>
          <w:p w14:paraId="3A825EE6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367F72E6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842" w:type="dxa"/>
          </w:tcPr>
          <w:p w14:paraId="5267B71F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6FE90ABB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5A4DAC68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70DBF103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40B9FB1F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BC0B6A" w14:paraId="72B4D626" w14:textId="77777777" w:rsidTr="00577DD0">
        <w:tc>
          <w:tcPr>
            <w:tcW w:w="1980" w:type="dxa"/>
          </w:tcPr>
          <w:p w14:paraId="70165C0B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Katarzyna Madura – Członek RN</w:t>
            </w:r>
          </w:p>
        </w:tc>
        <w:tc>
          <w:tcPr>
            <w:tcW w:w="1843" w:type="dxa"/>
          </w:tcPr>
          <w:p w14:paraId="24D60ADB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426B4CF3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842" w:type="dxa"/>
          </w:tcPr>
          <w:p w14:paraId="2973D481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5BAC249D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76058D5F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4E0D7CC2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7677F311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BC0B6A" w14:paraId="4F76E371" w14:textId="77777777" w:rsidTr="00577DD0">
        <w:tc>
          <w:tcPr>
            <w:tcW w:w="1980" w:type="dxa"/>
          </w:tcPr>
          <w:p w14:paraId="1E885D21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Monika Ogorzelec – Członek RN</w:t>
            </w:r>
          </w:p>
        </w:tc>
        <w:tc>
          <w:tcPr>
            <w:tcW w:w="1843" w:type="dxa"/>
          </w:tcPr>
          <w:p w14:paraId="70696F10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17D69BDF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842" w:type="dxa"/>
          </w:tcPr>
          <w:p w14:paraId="1F267296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21069D4A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15CCED96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71C354D4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6D9A31D6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BC0B6A" w14:paraId="3E9C035E" w14:textId="77777777" w:rsidTr="00577DD0">
        <w:tc>
          <w:tcPr>
            <w:tcW w:w="1980" w:type="dxa"/>
          </w:tcPr>
          <w:p w14:paraId="1F0033E7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Piotr </w:t>
            </w:r>
            <w:proofErr w:type="spellStart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Stuchły</w:t>
            </w:r>
            <w:proofErr w:type="spellEnd"/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 – Członek RN</w:t>
            </w:r>
          </w:p>
        </w:tc>
        <w:tc>
          <w:tcPr>
            <w:tcW w:w="1843" w:type="dxa"/>
          </w:tcPr>
          <w:p w14:paraId="65D3F431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1.500 PLN </w:t>
            </w:r>
          </w:p>
          <w:p w14:paraId="0F4BDC63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- 100 %</w:t>
            </w:r>
          </w:p>
        </w:tc>
        <w:tc>
          <w:tcPr>
            <w:tcW w:w="1842" w:type="dxa"/>
          </w:tcPr>
          <w:p w14:paraId="6C527A9C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333698CD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5090BA20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 xml:space="preserve">0 PLN </w:t>
            </w:r>
          </w:p>
          <w:p w14:paraId="5B414CAB" w14:textId="77777777" w:rsidR="00BC0B6A" w:rsidRPr="002B5F0D" w:rsidRDefault="00BC0B6A" w:rsidP="00FC5BA2">
            <w:pPr>
              <w:pStyle w:val="Default"/>
              <w:spacing w:after="21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73271D4D" w14:textId="77777777" w:rsidR="00BC0B6A" w:rsidRDefault="00BC0B6A" w:rsidP="00FC5BA2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1.500,00 PLN</w:t>
            </w:r>
          </w:p>
        </w:tc>
      </w:tr>
      <w:tr w:rsidR="00993020" w14:paraId="5CC15340" w14:textId="77777777" w:rsidTr="00577DD0">
        <w:tc>
          <w:tcPr>
            <w:tcW w:w="1980" w:type="dxa"/>
          </w:tcPr>
          <w:p w14:paraId="4C818376" w14:textId="320071B0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1843" w:type="dxa"/>
          </w:tcPr>
          <w:p w14:paraId="56162BE0" w14:textId="77777777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8.400 PLN</w:t>
            </w:r>
          </w:p>
          <w:p w14:paraId="1F9D36A3" w14:textId="2B9E2065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-100 %</w:t>
            </w:r>
          </w:p>
        </w:tc>
        <w:tc>
          <w:tcPr>
            <w:tcW w:w="1842" w:type="dxa"/>
          </w:tcPr>
          <w:p w14:paraId="6C4D8B5F" w14:textId="77777777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PLN</w:t>
            </w:r>
          </w:p>
          <w:p w14:paraId="6D45CCD9" w14:textId="75E89CB1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77D022C4" w14:textId="77777777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0 PLN</w:t>
            </w:r>
          </w:p>
          <w:p w14:paraId="29D0A588" w14:textId="06D2ABC6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- 0 %</w:t>
            </w:r>
          </w:p>
        </w:tc>
        <w:tc>
          <w:tcPr>
            <w:tcW w:w="1843" w:type="dxa"/>
          </w:tcPr>
          <w:p w14:paraId="446B2042" w14:textId="5B147410" w:rsidR="00993020" w:rsidRDefault="00993020" w:rsidP="00993020">
            <w:pPr>
              <w:pStyle w:val="Default"/>
              <w:spacing w:after="21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  <w:t>8.400,00 PLN</w:t>
            </w:r>
          </w:p>
        </w:tc>
      </w:tr>
    </w:tbl>
    <w:p w14:paraId="0239F250" w14:textId="77777777" w:rsidR="00BC0B6A" w:rsidRDefault="00BC0B6A" w:rsidP="00BC0B6A">
      <w:pPr>
        <w:pStyle w:val="Default"/>
        <w:spacing w:after="21"/>
        <w:rPr>
          <w:rFonts w:ascii="Palatino Linotype" w:hAnsi="Palatino Linotype"/>
          <w:b/>
          <w:bCs/>
          <w:color w:val="auto"/>
          <w:sz w:val="22"/>
          <w:szCs w:val="22"/>
        </w:rPr>
      </w:pPr>
    </w:p>
    <w:p w14:paraId="04118D48" w14:textId="7F56D3BC" w:rsidR="00BC0B6A" w:rsidRDefault="00BC0B6A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 w:rsidRPr="007E0C4A">
        <w:rPr>
          <w:rFonts w:ascii="Palatino Linotype" w:hAnsi="Palatino Linotype"/>
          <w:color w:val="auto"/>
          <w:sz w:val="22"/>
          <w:szCs w:val="22"/>
        </w:rPr>
        <w:t>Wynagrodzenie Pr</w:t>
      </w:r>
      <w:r>
        <w:rPr>
          <w:rFonts w:ascii="Palatino Linotype" w:hAnsi="Palatino Linotype"/>
          <w:color w:val="auto"/>
          <w:sz w:val="22"/>
          <w:szCs w:val="22"/>
        </w:rPr>
        <w:t>zewodniczącego oraz pozostałych Członków Rady Nadzorczej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AMPLI S.A. </w:t>
      </w:r>
      <w:r>
        <w:rPr>
          <w:rFonts w:ascii="Palatino Linotype" w:hAnsi="Palatino Linotype"/>
          <w:color w:val="auto"/>
          <w:sz w:val="22"/>
          <w:szCs w:val="22"/>
        </w:rPr>
        <w:t xml:space="preserve">w upadłości układowej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wypłacone </w:t>
      </w:r>
      <w:r>
        <w:rPr>
          <w:rFonts w:ascii="Palatino Linotype" w:hAnsi="Palatino Linotype"/>
          <w:color w:val="auto"/>
          <w:sz w:val="22"/>
          <w:szCs w:val="22"/>
        </w:rPr>
        <w:t>im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w roku 20</w:t>
      </w:r>
      <w:r w:rsidR="001C16EE">
        <w:rPr>
          <w:rFonts w:ascii="Palatino Linotype" w:hAnsi="Palatino Linotype"/>
          <w:color w:val="auto"/>
          <w:sz w:val="22"/>
          <w:szCs w:val="22"/>
        </w:rPr>
        <w:t>20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w 100% składało się z wynagrodzenia stałego</w:t>
      </w:r>
      <w:r>
        <w:rPr>
          <w:rFonts w:ascii="Palatino Linotype" w:hAnsi="Palatino Linotype"/>
          <w:color w:val="auto"/>
          <w:sz w:val="22"/>
          <w:szCs w:val="22"/>
        </w:rPr>
        <w:t xml:space="preserve">, przy czym Przewodniczący Rady Nadzorczej otrzymał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</w:t>
      </w:r>
      <w:r>
        <w:rPr>
          <w:rFonts w:ascii="Palatino Linotype" w:hAnsi="Palatino Linotype"/>
          <w:color w:val="auto"/>
          <w:sz w:val="22"/>
          <w:szCs w:val="22"/>
        </w:rPr>
        <w:t xml:space="preserve">kwoty po 800 zł 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brutto </w:t>
      </w:r>
      <w:r>
        <w:rPr>
          <w:rFonts w:ascii="Palatino Linotype" w:hAnsi="Palatino Linotype"/>
          <w:color w:val="auto"/>
          <w:sz w:val="22"/>
          <w:szCs w:val="22"/>
        </w:rPr>
        <w:t>za udział w każdym posiedzeniu Rady Nadzorczej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, </w:t>
      </w:r>
      <w:r>
        <w:rPr>
          <w:rFonts w:ascii="Palatino Linotype" w:hAnsi="Palatino Linotype"/>
          <w:color w:val="auto"/>
          <w:sz w:val="22"/>
          <w:szCs w:val="22"/>
        </w:rPr>
        <w:t xml:space="preserve">zaś pozostali Członkowie Rady Nadzorczej kwoty po 500 </w:t>
      </w:r>
      <w:r w:rsidR="008447FE">
        <w:rPr>
          <w:rFonts w:ascii="Palatino Linotype" w:hAnsi="Palatino Linotype"/>
          <w:color w:val="auto"/>
          <w:sz w:val="22"/>
          <w:szCs w:val="22"/>
        </w:rPr>
        <w:t xml:space="preserve">zł brutto </w:t>
      </w:r>
      <w:r>
        <w:rPr>
          <w:rFonts w:ascii="Palatino Linotype" w:hAnsi="Palatino Linotype"/>
          <w:color w:val="auto"/>
          <w:sz w:val="22"/>
          <w:szCs w:val="22"/>
        </w:rPr>
        <w:t xml:space="preserve">za udział w każdym posiedzeniu. </w:t>
      </w:r>
    </w:p>
    <w:p w14:paraId="3065A8B3" w14:textId="2F34D248" w:rsidR="00BC0B6A" w:rsidRDefault="00BC0B6A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Wynagrodzenie w takiej wysokości  zostało określone w</w:t>
      </w:r>
      <w:r w:rsidRPr="00990FFD">
        <w:rPr>
          <w:rFonts w:ascii="Palatino Linotype" w:hAnsi="Palatino Linotype"/>
          <w:color w:val="auto"/>
          <w:sz w:val="22"/>
          <w:szCs w:val="22"/>
        </w:rPr>
        <w:t xml:space="preserve"> uchwale</w:t>
      </w:r>
      <w:r>
        <w:rPr>
          <w:rFonts w:ascii="Palatino Linotype" w:hAnsi="Palatino Linotype"/>
          <w:color w:val="auto"/>
          <w:sz w:val="22"/>
          <w:szCs w:val="22"/>
        </w:rPr>
        <w:t xml:space="preserve"> w </w:t>
      </w:r>
      <w:r w:rsidRPr="00990FFD">
        <w:rPr>
          <w:rFonts w:ascii="Palatino Linotype" w:hAnsi="Palatino Linotype"/>
          <w:color w:val="auto"/>
          <w:sz w:val="22"/>
          <w:szCs w:val="22"/>
        </w:rPr>
        <w:t xml:space="preserve">uchwale </w:t>
      </w:r>
      <w:r>
        <w:rPr>
          <w:rFonts w:ascii="Palatino Linotype" w:hAnsi="Palatino Linotype"/>
          <w:color w:val="auto"/>
          <w:sz w:val="22"/>
          <w:szCs w:val="22"/>
        </w:rPr>
        <w:t xml:space="preserve">nr 14 </w:t>
      </w:r>
      <w:r w:rsidRPr="00990FFD">
        <w:rPr>
          <w:rFonts w:ascii="Palatino Linotype" w:hAnsi="Palatino Linotype"/>
          <w:color w:val="auto"/>
          <w:sz w:val="22"/>
          <w:szCs w:val="22"/>
        </w:rPr>
        <w:t>Walnego Zgromadzenia Akcjonariuszy Spółki</w:t>
      </w:r>
      <w:r>
        <w:rPr>
          <w:rFonts w:ascii="Palatino Linotype" w:hAnsi="Palatino Linotype"/>
          <w:color w:val="auto"/>
          <w:sz w:val="22"/>
          <w:szCs w:val="22"/>
        </w:rPr>
        <w:t xml:space="preserve"> z dnia 14.06.2019r.</w:t>
      </w:r>
      <w:r w:rsidR="001C16EE">
        <w:rPr>
          <w:rFonts w:ascii="Palatino Linotype" w:hAnsi="Palatino Linotype"/>
          <w:color w:val="auto"/>
          <w:sz w:val="22"/>
          <w:szCs w:val="22"/>
        </w:rPr>
        <w:t>, która obowiązywa</w:t>
      </w:r>
      <w:r w:rsidR="00993020">
        <w:rPr>
          <w:rFonts w:ascii="Palatino Linotype" w:hAnsi="Palatino Linotype"/>
          <w:color w:val="auto"/>
          <w:sz w:val="22"/>
          <w:szCs w:val="22"/>
        </w:rPr>
        <w:t>ł</w:t>
      </w:r>
      <w:r w:rsidR="001C16EE">
        <w:rPr>
          <w:rFonts w:ascii="Palatino Linotype" w:hAnsi="Palatino Linotype"/>
          <w:color w:val="auto"/>
          <w:sz w:val="22"/>
          <w:szCs w:val="22"/>
        </w:rPr>
        <w:t>a przez ca</w:t>
      </w:r>
      <w:r w:rsidR="00993020">
        <w:rPr>
          <w:rFonts w:ascii="Palatino Linotype" w:hAnsi="Palatino Linotype"/>
          <w:color w:val="auto"/>
          <w:sz w:val="22"/>
          <w:szCs w:val="22"/>
        </w:rPr>
        <w:t>ł</w:t>
      </w:r>
      <w:r w:rsidR="001C16EE">
        <w:rPr>
          <w:rFonts w:ascii="Palatino Linotype" w:hAnsi="Palatino Linotype"/>
          <w:color w:val="auto"/>
          <w:sz w:val="22"/>
          <w:szCs w:val="22"/>
        </w:rPr>
        <w:t>y rok 2020.</w:t>
      </w:r>
    </w:p>
    <w:p w14:paraId="4705A592" w14:textId="77777777" w:rsidR="00BC0B6A" w:rsidRDefault="00BC0B6A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3EADB8BB" w14:textId="6D59FE3B" w:rsidR="00BC0B6A" w:rsidRDefault="00BC0B6A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W roku 20</w:t>
      </w:r>
      <w:r w:rsidR="001C16EE">
        <w:rPr>
          <w:rFonts w:ascii="Palatino Linotype" w:hAnsi="Palatino Linotype"/>
          <w:color w:val="auto"/>
          <w:sz w:val="22"/>
          <w:szCs w:val="22"/>
        </w:rPr>
        <w:t>20</w:t>
      </w:r>
      <w:r>
        <w:rPr>
          <w:rFonts w:ascii="Palatino Linotype" w:hAnsi="Palatino Linotype"/>
          <w:color w:val="auto"/>
          <w:sz w:val="22"/>
          <w:szCs w:val="22"/>
        </w:rPr>
        <w:t xml:space="preserve"> osoby wchodzące w skład Rady Nadzorczej Spółki za pełnienie swoich funkcji w Radzie Nadzorczej nie pobierali żadnych zmiennych składników wynagrodzenia oraz premii lub innych świadczeń </w:t>
      </w:r>
      <w:r w:rsidRPr="00531CF6">
        <w:rPr>
          <w:rFonts w:ascii="Palatino Linotype" w:hAnsi="Palatino Linotype"/>
          <w:color w:val="auto"/>
          <w:sz w:val="22"/>
          <w:szCs w:val="22"/>
        </w:rPr>
        <w:t>pieniężnych i niepieniężnych.</w:t>
      </w:r>
      <w:r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7E0C4A">
        <w:rPr>
          <w:rFonts w:ascii="Palatino Linotype" w:hAnsi="Palatino Linotype"/>
          <w:color w:val="auto"/>
          <w:sz w:val="22"/>
          <w:szCs w:val="22"/>
        </w:rPr>
        <w:t xml:space="preserve">    </w:t>
      </w:r>
    </w:p>
    <w:p w14:paraId="2994A245" w14:textId="77777777" w:rsidR="00BC0B6A" w:rsidRDefault="00BC0B6A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4621FDB8" w14:textId="56C3A8C7" w:rsidR="00BC0B6A" w:rsidRPr="007E0C4A" w:rsidRDefault="00993020" w:rsidP="00BC0B6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Dodać jedynie należy, że </w:t>
      </w:r>
      <w:r w:rsidR="00BC0B6A">
        <w:rPr>
          <w:rFonts w:ascii="Palatino Linotype" w:hAnsi="Palatino Linotype"/>
          <w:color w:val="auto"/>
          <w:sz w:val="22"/>
          <w:szCs w:val="22"/>
        </w:rPr>
        <w:t xml:space="preserve">Pan Artur </w:t>
      </w:r>
      <w:proofErr w:type="spellStart"/>
      <w:r w:rsidR="00BC0B6A">
        <w:rPr>
          <w:rFonts w:ascii="Palatino Linotype" w:hAnsi="Palatino Linotype"/>
          <w:color w:val="auto"/>
          <w:sz w:val="22"/>
          <w:szCs w:val="22"/>
        </w:rPr>
        <w:t>Kostyrzewski</w:t>
      </w:r>
      <w:proofErr w:type="spellEnd"/>
      <w:r w:rsidR="00BC0B6A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47362">
        <w:rPr>
          <w:rFonts w:ascii="Palatino Linotype" w:hAnsi="Palatino Linotype"/>
          <w:color w:val="auto"/>
          <w:sz w:val="22"/>
          <w:szCs w:val="22"/>
        </w:rPr>
        <w:t xml:space="preserve">w roku 2020 był też </w:t>
      </w:r>
      <w:r w:rsidR="00BC0B6A">
        <w:rPr>
          <w:rFonts w:ascii="Palatino Linotype" w:hAnsi="Palatino Linotype"/>
          <w:color w:val="auto"/>
          <w:sz w:val="22"/>
          <w:szCs w:val="22"/>
        </w:rPr>
        <w:t xml:space="preserve">zatrudniony w Spółce na podstawie umowy o pracę na stanowisku niezwiązanym z pełnieniem funkcji Przewodniczącego Rady Nadzorczej </w:t>
      </w:r>
      <w:r w:rsidR="00347362">
        <w:rPr>
          <w:rFonts w:ascii="Palatino Linotype" w:hAnsi="Palatino Linotype"/>
          <w:color w:val="auto"/>
          <w:sz w:val="22"/>
          <w:szCs w:val="22"/>
        </w:rPr>
        <w:t>i</w:t>
      </w:r>
      <w:r w:rsidR="00BC0B6A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47362">
        <w:rPr>
          <w:rFonts w:ascii="Palatino Linotype" w:hAnsi="Palatino Linotype"/>
          <w:color w:val="auto"/>
          <w:sz w:val="22"/>
          <w:szCs w:val="22"/>
        </w:rPr>
        <w:t>otrzymał z tego tytułu</w:t>
      </w:r>
      <w:r w:rsidR="00BC0B6A">
        <w:rPr>
          <w:rFonts w:ascii="Palatino Linotype" w:hAnsi="Palatino Linotype"/>
          <w:color w:val="auto"/>
          <w:sz w:val="22"/>
          <w:szCs w:val="22"/>
        </w:rPr>
        <w:t xml:space="preserve"> wynagrodzenie w kwocie 150.000,00 zł </w:t>
      </w:r>
      <w:r w:rsidR="00347362">
        <w:rPr>
          <w:rFonts w:ascii="Palatino Linotype" w:hAnsi="Palatino Linotype"/>
          <w:color w:val="auto"/>
          <w:sz w:val="22"/>
          <w:szCs w:val="22"/>
        </w:rPr>
        <w:t>brutto.</w:t>
      </w:r>
      <w:r w:rsidR="00BC0B6A">
        <w:rPr>
          <w:rFonts w:ascii="Palatino Linotype" w:hAnsi="Palatino Linotype"/>
          <w:color w:val="auto"/>
          <w:sz w:val="22"/>
          <w:szCs w:val="22"/>
        </w:rPr>
        <w:t xml:space="preserve"> </w:t>
      </w:r>
    </w:p>
    <w:p w14:paraId="7D2CA0AC" w14:textId="0BFAF325" w:rsidR="00240FEC" w:rsidRPr="007E0C4A" w:rsidRDefault="00240FEC" w:rsidP="00243E85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  </w:t>
      </w:r>
    </w:p>
    <w:p w14:paraId="74886E20" w14:textId="3785B0A3" w:rsidR="00CD3091" w:rsidRPr="00CD3091" w:rsidRDefault="00CD3091" w:rsidP="00CD309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3"/>
          <w:b/>
          <w:bCs/>
        </w:rPr>
      </w:pPr>
      <w:r w:rsidRPr="00CD3091">
        <w:rPr>
          <w:rFonts w:ascii="Palatino Linotype" w:hAnsi="Palatino Linotype" w:cs="CIDFont+F3"/>
          <w:b/>
          <w:bCs/>
        </w:rPr>
        <w:t>4. Wyjaśnienie sposobu, w jaki całkowite wynagrodzenie jest zgodne z przyjętą polityką</w:t>
      </w:r>
    </w:p>
    <w:p w14:paraId="30F5C56D" w14:textId="77777777" w:rsidR="00CD3091" w:rsidRPr="00CD3091" w:rsidRDefault="00CD3091" w:rsidP="00CD309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3"/>
          <w:b/>
          <w:bCs/>
        </w:rPr>
      </w:pPr>
      <w:r w:rsidRPr="00CD3091">
        <w:rPr>
          <w:rFonts w:ascii="Palatino Linotype" w:hAnsi="Palatino Linotype" w:cs="CIDFont+F3"/>
          <w:b/>
          <w:bCs/>
        </w:rPr>
        <w:t>wynagrodzeń, w tym w jaki sposób przyczynia się do osiągnięcia długoterminowych</w:t>
      </w:r>
    </w:p>
    <w:p w14:paraId="5FA3AD8E" w14:textId="1CDA5850" w:rsidR="00CD3091" w:rsidRDefault="00CD3091" w:rsidP="00CD309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3"/>
          <w:b/>
          <w:bCs/>
        </w:rPr>
      </w:pPr>
      <w:r w:rsidRPr="00CD3091">
        <w:rPr>
          <w:rFonts w:ascii="Palatino Linotype" w:hAnsi="Palatino Linotype" w:cs="CIDFont+F3"/>
          <w:b/>
          <w:bCs/>
        </w:rPr>
        <w:t>wyników spółki.</w:t>
      </w:r>
    </w:p>
    <w:p w14:paraId="69B975C2" w14:textId="77777777" w:rsidR="00CD3091" w:rsidRDefault="00CD3091" w:rsidP="00CD3091">
      <w:pPr>
        <w:rPr>
          <w:rFonts w:ascii="Palatino Linotype" w:hAnsi="Palatino Linotype"/>
        </w:rPr>
      </w:pPr>
    </w:p>
    <w:p w14:paraId="7E70BC2A" w14:textId="7A9B9529" w:rsidR="0030370C" w:rsidRDefault="00CD3091" w:rsidP="00CD3091">
      <w:pPr>
        <w:rPr>
          <w:rFonts w:ascii="Palatino Linotype" w:hAnsi="Palatino Linotype"/>
        </w:rPr>
      </w:pPr>
      <w:r w:rsidRPr="00CD3091">
        <w:rPr>
          <w:rFonts w:ascii="Palatino Linotype" w:hAnsi="Palatino Linotype"/>
        </w:rPr>
        <w:t>Polityka wynagrodzeń</w:t>
      </w:r>
      <w:r>
        <w:rPr>
          <w:rFonts w:ascii="Palatino Linotype" w:hAnsi="Palatino Linotype"/>
        </w:rPr>
        <w:t xml:space="preserve"> została przyjęta 26.06.2020r., przy czym</w:t>
      </w:r>
      <w:r w:rsidR="00AE5ED4">
        <w:rPr>
          <w:rFonts w:ascii="Palatino Linotype" w:hAnsi="Palatino Linotype"/>
        </w:rPr>
        <w:t xml:space="preserve"> zgodnie z zapisami tej polityki</w:t>
      </w:r>
      <w:r>
        <w:rPr>
          <w:rFonts w:ascii="Palatino Linotype" w:hAnsi="Palatino Linotype"/>
        </w:rPr>
        <w:t xml:space="preserve"> </w:t>
      </w:r>
      <w:r w:rsidR="0030370C">
        <w:rPr>
          <w:rFonts w:ascii="Palatino Linotype" w:hAnsi="Palatino Linotype"/>
        </w:rPr>
        <w:t xml:space="preserve">do końca roku 2020r. w AMPLI S.A. w upadłości układowej obowiązywały </w:t>
      </w:r>
      <w:r w:rsidR="00AE5ED4">
        <w:rPr>
          <w:rFonts w:ascii="Palatino Linotype" w:hAnsi="Palatino Linotype"/>
        </w:rPr>
        <w:t xml:space="preserve">wyłącznie </w:t>
      </w:r>
      <w:r w:rsidR="0030370C">
        <w:rPr>
          <w:rFonts w:ascii="Palatino Linotype" w:hAnsi="Palatino Linotype"/>
        </w:rPr>
        <w:t>uchwały odpowiednich organów Spółki określające wynagrodzenie za pełnienie funkcji  w Zarządzie lub Radzie Nadzorczej</w:t>
      </w:r>
      <w:r w:rsidR="00BE4248">
        <w:rPr>
          <w:rFonts w:ascii="Palatino Linotype" w:hAnsi="Palatino Linotype"/>
        </w:rPr>
        <w:t>.</w:t>
      </w:r>
    </w:p>
    <w:p w14:paraId="7EC0E8F0" w14:textId="59175962" w:rsidR="004442F2" w:rsidRPr="004442F2" w:rsidRDefault="00BE4248" w:rsidP="0007083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Wypłaty wynagrodzeń na rzecz </w:t>
      </w:r>
      <w:r w:rsidR="00CD3091" w:rsidRPr="00CD3091">
        <w:rPr>
          <w:rFonts w:ascii="Palatino Linotype" w:hAnsi="Palatino Linotype"/>
        </w:rPr>
        <w:t xml:space="preserve">Członków Zarządu oraz Rady Nadzorczej </w:t>
      </w:r>
      <w:r w:rsidR="0030370C">
        <w:rPr>
          <w:rFonts w:ascii="Palatino Linotype" w:hAnsi="Palatino Linotype"/>
        </w:rPr>
        <w:t>AMPLI S.A. w upadłości układowej</w:t>
      </w:r>
      <w:r w:rsidR="004442F2">
        <w:rPr>
          <w:rFonts w:ascii="Palatino Linotype" w:hAnsi="Palatino Linotype"/>
        </w:rPr>
        <w:t>,</w:t>
      </w:r>
      <w:r w:rsidR="0030370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za lata za lata 2019 – 2020, dokonywane </w:t>
      </w:r>
      <w:r w:rsidR="0030370C">
        <w:rPr>
          <w:rFonts w:ascii="Palatino Linotype" w:hAnsi="Palatino Linotype"/>
        </w:rPr>
        <w:t xml:space="preserve">na podstawie </w:t>
      </w:r>
      <w:r w:rsidR="004442F2">
        <w:rPr>
          <w:rFonts w:ascii="Palatino Linotype" w:hAnsi="Palatino Linotype"/>
        </w:rPr>
        <w:t>ww. uchwa</w:t>
      </w:r>
      <w:r w:rsidR="0007083C">
        <w:rPr>
          <w:rFonts w:ascii="Palatino Linotype" w:hAnsi="Palatino Linotype"/>
        </w:rPr>
        <w:t>ł</w:t>
      </w:r>
      <w:r>
        <w:rPr>
          <w:rFonts w:ascii="Palatino Linotype" w:hAnsi="Palatino Linotype"/>
        </w:rPr>
        <w:t>, były jednak zgodne z podstawowymi</w:t>
      </w:r>
      <w:r w:rsidR="00AE5ED4">
        <w:rPr>
          <w:rFonts w:ascii="Palatino Linotype" w:hAnsi="Palatino Linotype"/>
        </w:rPr>
        <w:t xml:space="preserve"> </w:t>
      </w:r>
      <w:r w:rsidR="00CD3091" w:rsidRPr="00CD3091">
        <w:rPr>
          <w:rFonts w:ascii="Palatino Linotype" w:hAnsi="Palatino Linotype"/>
        </w:rPr>
        <w:t>wymog</w:t>
      </w:r>
      <w:r>
        <w:rPr>
          <w:rFonts w:ascii="Palatino Linotype" w:hAnsi="Palatino Linotype"/>
        </w:rPr>
        <w:t>ami</w:t>
      </w:r>
      <w:r w:rsidR="00CD3091" w:rsidRPr="00CD3091">
        <w:rPr>
          <w:rFonts w:ascii="Palatino Linotype" w:hAnsi="Palatino Linotype"/>
        </w:rPr>
        <w:t xml:space="preserve"> Polityki wynagrodzeń </w:t>
      </w:r>
      <w:r w:rsidR="00AE5ED4">
        <w:rPr>
          <w:rFonts w:ascii="Palatino Linotype" w:hAnsi="Palatino Linotype"/>
        </w:rPr>
        <w:t xml:space="preserve">m.in. </w:t>
      </w:r>
      <w:r w:rsidR="00CD3091" w:rsidRPr="00CD3091">
        <w:rPr>
          <w:rFonts w:ascii="Palatino Linotype" w:hAnsi="Palatino Linotype"/>
        </w:rPr>
        <w:t xml:space="preserve">poprzez: </w:t>
      </w:r>
    </w:p>
    <w:p w14:paraId="523232D3" w14:textId="1FB7DA0F" w:rsidR="0007083C" w:rsidRPr="0007083C" w:rsidRDefault="004442F2" w:rsidP="0007083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</w:rPr>
      </w:pPr>
      <w:r w:rsidRPr="0007083C">
        <w:rPr>
          <w:rFonts w:ascii="Palatino Linotype" w:hAnsi="Palatino Linotype" w:cs="Times New Roman"/>
          <w:color w:val="000000"/>
        </w:rPr>
        <w:t>- wypłatę wynagrodzeń w na r</w:t>
      </w:r>
      <w:r w:rsidRPr="004442F2">
        <w:rPr>
          <w:rFonts w:ascii="Palatino Linotype" w:hAnsi="Palatino Linotype" w:cs="Times New Roman"/>
          <w:color w:val="000000"/>
        </w:rPr>
        <w:t xml:space="preserve">ealizację wynagrodzeń </w:t>
      </w:r>
      <w:r w:rsidR="0007083C" w:rsidRPr="0007083C">
        <w:rPr>
          <w:rFonts w:ascii="Palatino Linotype" w:hAnsi="Palatino Linotype" w:cs="Times New Roman"/>
          <w:color w:val="000000"/>
        </w:rPr>
        <w:t xml:space="preserve">na podstawie stosunków prawnych i w </w:t>
      </w:r>
      <w:proofErr w:type="spellStart"/>
      <w:r w:rsidR="0007083C" w:rsidRPr="0007083C">
        <w:rPr>
          <w:rFonts w:ascii="Palatino Linotype" w:hAnsi="Palatino Linotype" w:cs="Times New Roman"/>
          <w:color w:val="000000"/>
        </w:rPr>
        <w:t>w</w:t>
      </w:r>
      <w:proofErr w:type="spellEnd"/>
      <w:r w:rsidR="0007083C" w:rsidRPr="0007083C">
        <w:rPr>
          <w:rFonts w:ascii="Palatino Linotype" w:hAnsi="Palatino Linotype" w:cs="Times New Roman"/>
          <w:color w:val="000000"/>
        </w:rPr>
        <w:t xml:space="preserve"> </w:t>
      </w:r>
      <w:r w:rsidRPr="004442F2">
        <w:rPr>
          <w:rFonts w:ascii="Palatino Linotype" w:hAnsi="Palatino Linotype" w:cs="Times New Roman"/>
          <w:color w:val="000000"/>
        </w:rPr>
        <w:t>formie dopuszczonej przez Politykę</w:t>
      </w:r>
      <w:r w:rsidR="0007083C" w:rsidRPr="0007083C">
        <w:rPr>
          <w:rFonts w:ascii="Palatino Linotype" w:hAnsi="Palatino Linotype" w:cs="Times New Roman"/>
          <w:color w:val="000000"/>
        </w:rPr>
        <w:t xml:space="preserve"> wynagrodzeń, </w:t>
      </w:r>
      <w:r w:rsidRPr="004442F2">
        <w:rPr>
          <w:rFonts w:ascii="Palatino Linotype" w:hAnsi="Palatino Linotype" w:cs="Times New Roman"/>
          <w:color w:val="000000"/>
        </w:rPr>
        <w:t xml:space="preserve"> </w:t>
      </w:r>
    </w:p>
    <w:p w14:paraId="75AC63DD" w14:textId="77777777" w:rsidR="00176F36" w:rsidRDefault="0007083C" w:rsidP="0007083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</w:rPr>
      </w:pPr>
      <w:r w:rsidRPr="0007083C">
        <w:rPr>
          <w:rFonts w:ascii="Palatino Linotype" w:hAnsi="Palatino Linotype" w:cs="Times New Roman"/>
          <w:color w:val="000000"/>
        </w:rPr>
        <w:t xml:space="preserve">- </w:t>
      </w:r>
      <w:r w:rsidR="00CD3091" w:rsidRPr="0007083C">
        <w:rPr>
          <w:rFonts w:ascii="Palatino Linotype" w:hAnsi="Palatino Linotype"/>
        </w:rPr>
        <w:t xml:space="preserve">nieprzekraczalność wynagrodzenia stałego Członków Zarządu oraz Rady Nadzorczej </w:t>
      </w:r>
      <w:r w:rsidR="004442F2" w:rsidRPr="0007083C">
        <w:rPr>
          <w:rFonts w:ascii="Palatino Linotype" w:hAnsi="Palatino Linotype"/>
        </w:rPr>
        <w:t>4</w:t>
      </w:r>
      <w:r w:rsidRPr="0007083C">
        <w:rPr>
          <w:rFonts w:ascii="Palatino Linotype" w:hAnsi="Palatino Linotype"/>
        </w:rPr>
        <w:t xml:space="preserve"> </w:t>
      </w:r>
      <w:r w:rsidR="00CD3091" w:rsidRPr="0007083C">
        <w:rPr>
          <w:rFonts w:ascii="Palatino Linotype" w:hAnsi="Palatino Linotype"/>
        </w:rPr>
        <w:t>-krotności średniego wynagrodzenia pracownika etatowego</w:t>
      </w:r>
      <w:r w:rsidR="004442F2" w:rsidRPr="0007083C">
        <w:rPr>
          <w:rFonts w:ascii="Palatino Linotype" w:hAnsi="Palatino Linotype"/>
        </w:rPr>
        <w:t xml:space="preserve"> Spółki</w:t>
      </w:r>
      <w:r w:rsidR="00CD3091" w:rsidRPr="0007083C">
        <w:rPr>
          <w:rFonts w:ascii="Palatino Linotype" w:hAnsi="Palatino Linotype"/>
        </w:rPr>
        <w:t>.</w:t>
      </w:r>
    </w:p>
    <w:p w14:paraId="7F534DF8" w14:textId="53F452A3" w:rsidR="00CD3091" w:rsidRPr="0007083C" w:rsidRDefault="00176F36" w:rsidP="0007083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</w:rPr>
      </w:pPr>
      <w:r>
        <w:rPr>
          <w:rFonts w:ascii="Palatino Linotype" w:hAnsi="Palatino Linotype"/>
        </w:rPr>
        <w:t xml:space="preserve">- </w:t>
      </w:r>
      <w:r w:rsidR="00BE4248">
        <w:rPr>
          <w:rFonts w:ascii="Palatino Linotype" w:hAnsi="Palatino Linotype"/>
        </w:rPr>
        <w:t>nie</w:t>
      </w:r>
      <w:r>
        <w:rPr>
          <w:rFonts w:ascii="Palatino Linotype" w:hAnsi="Palatino Linotype"/>
        </w:rPr>
        <w:t xml:space="preserve"> narusz</w:t>
      </w:r>
      <w:r w:rsidR="00BE4248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ni</w:t>
      </w:r>
      <w:r w:rsidR="00BE4248">
        <w:rPr>
          <w:rFonts w:ascii="Palatino Linotype" w:hAnsi="Palatino Linotype"/>
        </w:rPr>
        <w:t xml:space="preserve">e </w:t>
      </w:r>
      <w:r>
        <w:rPr>
          <w:rFonts w:ascii="Palatino Linotype" w:hAnsi="Palatino Linotype"/>
        </w:rPr>
        <w:t>zasady, że wynagrodzenie zmienne członka Zarządu nie może przekroczyć 50 % jego wynagrodzenia stałego.</w:t>
      </w:r>
      <w:r w:rsidR="00CD3091" w:rsidRPr="0007083C">
        <w:rPr>
          <w:rFonts w:ascii="Palatino Linotype" w:hAnsi="Palatino Linotype"/>
        </w:rPr>
        <w:t xml:space="preserve"> </w:t>
      </w:r>
    </w:p>
    <w:p w14:paraId="21A3F9BB" w14:textId="0B4A62D2" w:rsidR="0007083C" w:rsidRDefault="0007083C" w:rsidP="00070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D3520" w14:textId="655ED735" w:rsidR="00AE5ED4" w:rsidRPr="00AE5ED4" w:rsidRDefault="00AE5ED4" w:rsidP="00AE5ED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  <w:r w:rsidRPr="00AE5ED4">
        <w:rPr>
          <w:rFonts w:ascii="Palatino Linotype" w:hAnsi="Palatino Linotype" w:cs="Calibri"/>
          <w:color w:val="000000"/>
        </w:rPr>
        <w:t xml:space="preserve">Wynagrodzenie </w:t>
      </w:r>
      <w:r w:rsidRPr="00E3124F">
        <w:rPr>
          <w:rFonts w:ascii="Palatino Linotype" w:hAnsi="Palatino Linotype" w:cs="Calibri"/>
          <w:color w:val="000000"/>
        </w:rPr>
        <w:t>Prezesa</w:t>
      </w:r>
      <w:r w:rsidRPr="00AE5ED4">
        <w:rPr>
          <w:rFonts w:ascii="Palatino Linotype" w:hAnsi="Palatino Linotype" w:cs="Calibri"/>
          <w:color w:val="000000"/>
        </w:rPr>
        <w:t xml:space="preserve"> Zarządu</w:t>
      </w:r>
      <w:r w:rsidRPr="00E3124F">
        <w:rPr>
          <w:rFonts w:ascii="Palatino Linotype" w:hAnsi="Palatino Linotype" w:cs="Calibri"/>
          <w:color w:val="000000"/>
        </w:rPr>
        <w:t xml:space="preserve"> wypłacone w latach 2019-2020, </w:t>
      </w:r>
      <w:r w:rsidRPr="00AE5ED4">
        <w:rPr>
          <w:rFonts w:ascii="Palatino Linotype" w:hAnsi="Palatino Linotype" w:cs="Calibri"/>
          <w:color w:val="000000"/>
        </w:rPr>
        <w:t>przyczynia</w:t>
      </w:r>
      <w:r w:rsidR="0038129A">
        <w:rPr>
          <w:rFonts w:ascii="Palatino Linotype" w:hAnsi="Palatino Linotype" w:cs="Calibri"/>
          <w:color w:val="000000"/>
        </w:rPr>
        <w:t>ło</w:t>
      </w:r>
      <w:r w:rsidRPr="00AE5ED4">
        <w:rPr>
          <w:rFonts w:ascii="Palatino Linotype" w:hAnsi="Palatino Linotype" w:cs="Calibri"/>
          <w:color w:val="000000"/>
        </w:rPr>
        <w:t xml:space="preserve"> się </w:t>
      </w:r>
      <w:r w:rsidRPr="00E3124F">
        <w:rPr>
          <w:rFonts w:ascii="Palatino Linotype" w:hAnsi="Palatino Linotype" w:cs="Calibri"/>
          <w:color w:val="000000"/>
        </w:rPr>
        <w:t xml:space="preserve">w wystarczającym stopniu </w:t>
      </w:r>
      <w:r w:rsidRPr="00AE5ED4">
        <w:rPr>
          <w:rFonts w:ascii="Palatino Linotype" w:hAnsi="Palatino Linotype" w:cs="Calibri"/>
          <w:color w:val="000000"/>
        </w:rPr>
        <w:t xml:space="preserve">do </w:t>
      </w:r>
      <w:r w:rsidRPr="00E3124F">
        <w:rPr>
          <w:rFonts w:ascii="Palatino Linotype" w:hAnsi="Palatino Linotype" w:cs="Calibri"/>
          <w:color w:val="000000"/>
        </w:rPr>
        <w:t>odpowiedniego</w:t>
      </w:r>
      <w:r w:rsidRPr="00AE5ED4">
        <w:rPr>
          <w:rFonts w:ascii="Palatino Linotype" w:hAnsi="Palatino Linotype" w:cs="Calibri"/>
          <w:color w:val="000000"/>
        </w:rPr>
        <w:t xml:space="preserve"> zaangażowania </w:t>
      </w:r>
      <w:r w:rsidR="00E3124F" w:rsidRPr="00E3124F">
        <w:rPr>
          <w:rFonts w:ascii="Palatino Linotype" w:hAnsi="Palatino Linotype" w:cs="Calibri"/>
          <w:color w:val="000000"/>
        </w:rPr>
        <w:t xml:space="preserve">go </w:t>
      </w:r>
      <w:r w:rsidRPr="00AE5ED4">
        <w:rPr>
          <w:rFonts w:ascii="Palatino Linotype" w:hAnsi="Palatino Linotype" w:cs="Calibri"/>
          <w:color w:val="000000"/>
        </w:rPr>
        <w:t>w sprawowani</w:t>
      </w:r>
      <w:r w:rsidR="00E3124F" w:rsidRPr="00E3124F">
        <w:rPr>
          <w:rFonts w:ascii="Palatino Linotype" w:hAnsi="Palatino Linotype" w:cs="Calibri"/>
          <w:color w:val="000000"/>
        </w:rPr>
        <w:t>e</w:t>
      </w:r>
      <w:r w:rsidRPr="00AE5ED4">
        <w:rPr>
          <w:rFonts w:ascii="Palatino Linotype" w:hAnsi="Palatino Linotype" w:cs="Calibri"/>
          <w:color w:val="000000"/>
        </w:rPr>
        <w:t xml:space="preserve"> </w:t>
      </w:r>
      <w:r w:rsidR="00E3124F" w:rsidRPr="00E3124F">
        <w:rPr>
          <w:rFonts w:ascii="Palatino Linotype" w:hAnsi="Palatino Linotype" w:cs="Calibri"/>
          <w:color w:val="000000"/>
        </w:rPr>
        <w:t xml:space="preserve">swojej </w:t>
      </w:r>
      <w:r w:rsidRPr="00AE5ED4">
        <w:rPr>
          <w:rFonts w:ascii="Palatino Linotype" w:hAnsi="Palatino Linotype" w:cs="Calibri"/>
          <w:color w:val="000000"/>
        </w:rPr>
        <w:t>funkcji, motyw</w:t>
      </w:r>
      <w:r w:rsidR="0038129A">
        <w:rPr>
          <w:rFonts w:ascii="Palatino Linotype" w:hAnsi="Palatino Linotype" w:cs="Calibri"/>
          <w:color w:val="000000"/>
        </w:rPr>
        <w:t>owanie</w:t>
      </w:r>
      <w:r w:rsidRPr="00AE5ED4">
        <w:rPr>
          <w:rFonts w:ascii="Palatino Linotype" w:hAnsi="Palatino Linotype" w:cs="Calibri"/>
          <w:color w:val="000000"/>
        </w:rPr>
        <w:t xml:space="preserve"> </w:t>
      </w:r>
      <w:r w:rsidRPr="00E3124F">
        <w:rPr>
          <w:rFonts w:ascii="Palatino Linotype" w:hAnsi="Palatino Linotype" w:cs="Calibri"/>
          <w:color w:val="000000"/>
        </w:rPr>
        <w:t>go</w:t>
      </w:r>
      <w:r w:rsidRPr="00AE5ED4">
        <w:rPr>
          <w:rFonts w:ascii="Palatino Linotype" w:hAnsi="Palatino Linotype" w:cs="Calibri"/>
          <w:color w:val="000000"/>
        </w:rPr>
        <w:t xml:space="preserve"> do realizacji celów biznesowych i wzrostu wartości Spółki dla akcjonariuszy. Wysokość wynagrodzenia </w:t>
      </w:r>
      <w:r w:rsidR="0038129A">
        <w:rPr>
          <w:rFonts w:ascii="Palatino Linotype" w:hAnsi="Palatino Linotype" w:cs="Calibri"/>
          <w:color w:val="000000"/>
        </w:rPr>
        <w:t>była</w:t>
      </w:r>
      <w:r w:rsidRPr="00AE5ED4">
        <w:rPr>
          <w:rFonts w:ascii="Palatino Linotype" w:hAnsi="Palatino Linotype" w:cs="Calibri"/>
          <w:color w:val="000000"/>
        </w:rPr>
        <w:t xml:space="preserve"> adekwatna </w:t>
      </w:r>
      <w:r w:rsidR="00E3124F" w:rsidRPr="00E3124F">
        <w:rPr>
          <w:rFonts w:ascii="Palatino Linotype" w:hAnsi="Palatino Linotype" w:cs="Calibri"/>
          <w:color w:val="000000"/>
        </w:rPr>
        <w:t xml:space="preserve">zarówno </w:t>
      </w:r>
      <w:r w:rsidRPr="00AE5ED4">
        <w:rPr>
          <w:rFonts w:ascii="Palatino Linotype" w:hAnsi="Palatino Linotype" w:cs="Calibri"/>
          <w:color w:val="000000"/>
        </w:rPr>
        <w:t>do zajmowan</w:t>
      </w:r>
      <w:r w:rsidRPr="00E3124F">
        <w:rPr>
          <w:rFonts w:ascii="Palatino Linotype" w:hAnsi="Palatino Linotype" w:cs="Calibri"/>
          <w:color w:val="000000"/>
        </w:rPr>
        <w:t>ego</w:t>
      </w:r>
      <w:r w:rsidRPr="00AE5ED4">
        <w:rPr>
          <w:rFonts w:ascii="Palatino Linotype" w:hAnsi="Palatino Linotype" w:cs="Calibri"/>
          <w:color w:val="000000"/>
        </w:rPr>
        <w:t xml:space="preserve"> stanowisk</w:t>
      </w:r>
      <w:r w:rsidR="00785089">
        <w:rPr>
          <w:rFonts w:ascii="Palatino Linotype" w:hAnsi="Palatino Linotype" w:cs="Calibri"/>
          <w:color w:val="000000"/>
        </w:rPr>
        <w:t>a</w:t>
      </w:r>
      <w:r w:rsidR="00E3124F" w:rsidRPr="00E3124F">
        <w:rPr>
          <w:rFonts w:ascii="Palatino Linotype" w:hAnsi="Palatino Linotype" w:cs="Calibri"/>
          <w:color w:val="000000"/>
        </w:rPr>
        <w:t>,</w:t>
      </w:r>
      <w:r w:rsidR="00785089">
        <w:rPr>
          <w:rFonts w:ascii="Palatino Linotype" w:hAnsi="Palatino Linotype" w:cs="Calibri"/>
          <w:color w:val="000000"/>
        </w:rPr>
        <w:t xml:space="preserve"> ponoszonej odpowiedzialności, </w:t>
      </w:r>
      <w:r w:rsidR="00E3124F" w:rsidRPr="00E3124F">
        <w:rPr>
          <w:rFonts w:ascii="Palatino Linotype" w:hAnsi="Palatino Linotype" w:cs="Calibri"/>
          <w:color w:val="000000"/>
        </w:rPr>
        <w:t xml:space="preserve"> </w:t>
      </w:r>
      <w:r w:rsidR="00785089">
        <w:rPr>
          <w:rFonts w:ascii="Palatino Linotype" w:hAnsi="Palatino Linotype" w:cs="Calibri"/>
          <w:color w:val="000000"/>
        </w:rPr>
        <w:t>a przy tym uwzględniała</w:t>
      </w:r>
      <w:r w:rsidR="00E3124F" w:rsidRPr="00E3124F">
        <w:rPr>
          <w:rFonts w:ascii="Palatino Linotype" w:hAnsi="Palatino Linotype" w:cs="Calibri"/>
          <w:color w:val="000000"/>
        </w:rPr>
        <w:t xml:space="preserve"> </w:t>
      </w:r>
      <w:r w:rsidR="00E3124F" w:rsidRPr="00E3124F">
        <w:rPr>
          <w:rFonts w:ascii="Palatino Linotype" w:hAnsi="Palatino Linotype" w:cs="CIDFont+F1"/>
        </w:rPr>
        <w:t>ograniczon</w:t>
      </w:r>
      <w:r w:rsidR="00785089">
        <w:rPr>
          <w:rFonts w:ascii="Palatino Linotype" w:hAnsi="Palatino Linotype" w:cs="CIDFont+F1"/>
        </w:rPr>
        <w:t>e</w:t>
      </w:r>
      <w:r w:rsidR="00E3124F" w:rsidRPr="00E3124F">
        <w:rPr>
          <w:rFonts w:ascii="Palatino Linotype" w:hAnsi="Palatino Linotype" w:cs="CIDFont+F1"/>
        </w:rPr>
        <w:t xml:space="preserve"> możliwości finansow</w:t>
      </w:r>
      <w:r w:rsidR="00785089">
        <w:rPr>
          <w:rFonts w:ascii="Palatino Linotype" w:hAnsi="Palatino Linotype" w:cs="CIDFont+F1"/>
        </w:rPr>
        <w:t>e</w:t>
      </w:r>
      <w:r w:rsidR="00E3124F" w:rsidRPr="00E3124F">
        <w:rPr>
          <w:rFonts w:ascii="Palatino Linotype" w:hAnsi="Palatino Linotype" w:cs="CIDFont+F1"/>
        </w:rPr>
        <w:t xml:space="preserve"> Spółki znajdującej się nadal w stanie upadłości układowej</w:t>
      </w:r>
      <w:r w:rsidR="00A075A9">
        <w:rPr>
          <w:rFonts w:ascii="Palatino Linotype" w:hAnsi="Palatino Linotype" w:cs="Calibri"/>
          <w:color w:val="000000"/>
        </w:rPr>
        <w:t>.</w:t>
      </w:r>
      <w:r w:rsidRPr="00AE5ED4">
        <w:rPr>
          <w:rFonts w:ascii="Palatino Linotype" w:hAnsi="Palatino Linotype" w:cs="Calibri"/>
          <w:color w:val="000000"/>
        </w:rPr>
        <w:t xml:space="preserve"> </w:t>
      </w:r>
    </w:p>
    <w:p w14:paraId="78FE332F" w14:textId="77777777" w:rsidR="00E3124F" w:rsidRPr="00E3124F" w:rsidRDefault="00E3124F" w:rsidP="00AE5ED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</w:p>
    <w:p w14:paraId="3FBDCBAF" w14:textId="2FEAEEB8" w:rsidR="00AE5ED4" w:rsidRPr="00E3124F" w:rsidRDefault="00E3124F" w:rsidP="00AE5ED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</w:rPr>
      </w:pPr>
      <w:r w:rsidRPr="00E3124F">
        <w:rPr>
          <w:rFonts w:ascii="Palatino Linotype" w:hAnsi="Palatino Linotype" w:cs="Calibri"/>
          <w:color w:val="000000"/>
        </w:rPr>
        <w:t>Prezes</w:t>
      </w:r>
      <w:r w:rsidR="00AE5ED4" w:rsidRPr="00E3124F">
        <w:rPr>
          <w:rFonts w:ascii="Palatino Linotype" w:hAnsi="Palatino Linotype" w:cs="Calibri"/>
          <w:color w:val="000000"/>
        </w:rPr>
        <w:t xml:space="preserve"> Zarządu otrzym</w:t>
      </w:r>
      <w:r w:rsidR="0038129A">
        <w:rPr>
          <w:rFonts w:ascii="Palatino Linotype" w:hAnsi="Palatino Linotype" w:cs="Calibri"/>
          <w:color w:val="000000"/>
        </w:rPr>
        <w:t>ywał w latach 2019-2020</w:t>
      </w:r>
      <w:r w:rsidR="00AE5ED4" w:rsidRPr="00E3124F">
        <w:rPr>
          <w:rFonts w:ascii="Palatino Linotype" w:hAnsi="Palatino Linotype" w:cs="Calibri"/>
          <w:color w:val="000000"/>
        </w:rPr>
        <w:t xml:space="preserve"> </w:t>
      </w:r>
      <w:r w:rsidR="0038129A">
        <w:rPr>
          <w:rFonts w:ascii="Palatino Linotype" w:hAnsi="Palatino Linotype" w:cs="Calibri"/>
          <w:color w:val="000000"/>
        </w:rPr>
        <w:t xml:space="preserve">jedynie </w:t>
      </w:r>
      <w:r w:rsidR="00AE5ED4" w:rsidRPr="00E3124F">
        <w:rPr>
          <w:rFonts w:ascii="Palatino Linotype" w:hAnsi="Palatino Linotype" w:cs="Calibri"/>
          <w:color w:val="000000"/>
        </w:rPr>
        <w:t xml:space="preserve">wynagrodzenie stałe, ale </w:t>
      </w:r>
      <w:r w:rsidRPr="00E3124F">
        <w:rPr>
          <w:rFonts w:ascii="Palatino Linotype" w:hAnsi="Palatino Linotype" w:cs="Calibri"/>
          <w:color w:val="000000"/>
        </w:rPr>
        <w:t xml:space="preserve">zgodnie z Polityką wynagrodzeń może mu być też przyznane wynagrodzenie </w:t>
      </w:r>
      <w:r w:rsidR="00AE5ED4" w:rsidRPr="00E3124F">
        <w:rPr>
          <w:rFonts w:ascii="Palatino Linotype" w:hAnsi="Palatino Linotype" w:cs="Calibri"/>
          <w:color w:val="000000"/>
        </w:rPr>
        <w:t xml:space="preserve">zmienne, którego otrzymanie determinują </w:t>
      </w:r>
      <w:r w:rsidR="00A075A9">
        <w:rPr>
          <w:rFonts w:ascii="Palatino Linotype" w:hAnsi="Palatino Linotype" w:cs="Calibri"/>
          <w:color w:val="000000"/>
        </w:rPr>
        <w:t xml:space="preserve">głównie </w:t>
      </w:r>
      <w:r w:rsidR="00AE5ED4" w:rsidRPr="00E3124F">
        <w:rPr>
          <w:rFonts w:ascii="Palatino Linotype" w:hAnsi="Palatino Linotype" w:cs="Calibri"/>
          <w:color w:val="000000"/>
        </w:rPr>
        <w:t xml:space="preserve">wskaźniki bezpośrednio związane z sytuacją ekonomiczną Spółki. </w:t>
      </w:r>
      <w:r w:rsidR="0038129A">
        <w:rPr>
          <w:rFonts w:ascii="Palatino Linotype" w:hAnsi="Palatino Linotype" w:cs="Calibri"/>
          <w:color w:val="000000"/>
        </w:rPr>
        <w:t xml:space="preserve">Możliwość wypłaty </w:t>
      </w:r>
      <w:r w:rsidR="00AE5ED4" w:rsidRPr="00E3124F">
        <w:rPr>
          <w:rFonts w:ascii="Palatino Linotype" w:hAnsi="Palatino Linotype" w:cs="Calibri"/>
          <w:color w:val="000000"/>
        </w:rPr>
        <w:t>częś</w:t>
      </w:r>
      <w:r w:rsidR="0038129A">
        <w:rPr>
          <w:rFonts w:ascii="Palatino Linotype" w:hAnsi="Palatino Linotype" w:cs="Calibri"/>
          <w:color w:val="000000"/>
        </w:rPr>
        <w:t>ci</w:t>
      </w:r>
      <w:r w:rsidR="00AE5ED4" w:rsidRPr="00E3124F">
        <w:rPr>
          <w:rFonts w:ascii="Palatino Linotype" w:hAnsi="Palatino Linotype" w:cs="Calibri"/>
          <w:color w:val="000000"/>
        </w:rPr>
        <w:t xml:space="preserve"> zmienn</w:t>
      </w:r>
      <w:r w:rsidR="0038129A">
        <w:rPr>
          <w:rFonts w:ascii="Palatino Linotype" w:hAnsi="Palatino Linotype" w:cs="Calibri"/>
          <w:color w:val="000000"/>
        </w:rPr>
        <w:t>ej wynagrodzenia</w:t>
      </w:r>
      <w:r w:rsidR="00AE5ED4" w:rsidRPr="00E3124F">
        <w:rPr>
          <w:rFonts w:ascii="Palatino Linotype" w:hAnsi="Palatino Linotype" w:cs="Calibri"/>
          <w:color w:val="000000"/>
        </w:rPr>
        <w:t xml:space="preserve"> przyczynia</w:t>
      </w:r>
      <w:r w:rsidRPr="00E3124F">
        <w:rPr>
          <w:rFonts w:ascii="Palatino Linotype" w:hAnsi="Palatino Linotype" w:cs="Calibri"/>
          <w:color w:val="000000"/>
        </w:rPr>
        <w:t>ć</w:t>
      </w:r>
      <w:r w:rsidR="00AE5ED4" w:rsidRPr="00E3124F">
        <w:rPr>
          <w:rFonts w:ascii="Palatino Linotype" w:hAnsi="Palatino Linotype" w:cs="Calibri"/>
          <w:color w:val="000000"/>
        </w:rPr>
        <w:t xml:space="preserve"> się </w:t>
      </w:r>
      <w:r w:rsidRPr="00E3124F">
        <w:rPr>
          <w:rFonts w:ascii="Palatino Linotype" w:hAnsi="Palatino Linotype" w:cs="Calibri"/>
          <w:color w:val="000000"/>
        </w:rPr>
        <w:t xml:space="preserve">będzie </w:t>
      </w:r>
      <w:r w:rsidR="00AE5ED4" w:rsidRPr="00E3124F">
        <w:rPr>
          <w:rFonts w:ascii="Palatino Linotype" w:hAnsi="Palatino Linotype" w:cs="Calibri"/>
          <w:color w:val="000000"/>
        </w:rPr>
        <w:t xml:space="preserve">do tego, że Zarząd </w:t>
      </w:r>
      <w:r w:rsidR="0038129A">
        <w:rPr>
          <w:rFonts w:ascii="Palatino Linotype" w:hAnsi="Palatino Linotype" w:cs="Calibri"/>
          <w:color w:val="000000"/>
        </w:rPr>
        <w:t>będzie</w:t>
      </w:r>
      <w:r w:rsidR="00AE5ED4" w:rsidRPr="00E3124F">
        <w:rPr>
          <w:rFonts w:ascii="Palatino Linotype" w:hAnsi="Palatino Linotype" w:cs="Calibri"/>
          <w:color w:val="000000"/>
        </w:rPr>
        <w:t xml:space="preserve"> zainteresowany m.in. rozwojem </w:t>
      </w:r>
      <w:r w:rsidRPr="00E3124F">
        <w:rPr>
          <w:rFonts w:ascii="Palatino Linotype" w:hAnsi="Palatino Linotype" w:cs="Calibri"/>
          <w:color w:val="000000"/>
        </w:rPr>
        <w:t>działalności</w:t>
      </w:r>
      <w:r w:rsidR="00AE5ED4" w:rsidRPr="00E3124F">
        <w:rPr>
          <w:rFonts w:ascii="Palatino Linotype" w:hAnsi="Palatino Linotype" w:cs="Calibri"/>
          <w:color w:val="000000"/>
        </w:rPr>
        <w:t xml:space="preserve"> Spółki, oferty produktów dla klientów, jej pozycji rynkowej, wyników finansowych oraz kondycji finansowej i kapitałowej.</w:t>
      </w:r>
      <w:r>
        <w:rPr>
          <w:rFonts w:ascii="Palatino Linotype" w:hAnsi="Palatino Linotype" w:cs="Calibri"/>
          <w:color w:val="000000"/>
        </w:rPr>
        <w:t xml:space="preserve"> Wszystko to powinno pozytywnie wpłynąć na osiąganie długoterminowych wyników spółki.</w:t>
      </w:r>
    </w:p>
    <w:p w14:paraId="0045E498" w14:textId="77777777" w:rsidR="00AE5ED4" w:rsidRPr="00E3124F" w:rsidRDefault="00AE5ED4" w:rsidP="00CD309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1"/>
        </w:rPr>
      </w:pPr>
    </w:p>
    <w:p w14:paraId="3FF8FD5B" w14:textId="493607CE" w:rsidR="007E0C4A" w:rsidRDefault="00E3124F" w:rsidP="007E0C4A">
      <w:pPr>
        <w:pStyle w:val="Default"/>
        <w:spacing w:after="21"/>
        <w:rPr>
          <w:rFonts w:ascii="Palatino Linotype" w:hAnsi="Palatino Linotype"/>
          <w:sz w:val="22"/>
          <w:szCs w:val="22"/>
        </w:rPr>
      </w:pPr>
      <w:r w:rsidRPr="00E3124F">
        <w:rPr>
          <w:rFonts w:ascii="Palatino Linotype" w:hAnsi="Palatino Linotype"/>
          <w:sz w:val="22"/>
          <w:szCs w:val="22"/>
        </w:rPr>
        <w:lastRenderedPageBreak/>
        <w:t xml:space="preserve">Z kolei wynagrodzenie członków Rady Nadzorczej </w:t>
      </w:r>
      <w:r>
        <w:rPr>
          <w:rFonts w:ascii="Palatino Linotype" w:hAnsi="Palatino Linotype"/>
          <w:sz w:val="22"/>
          <w:szCs w:val="22"/>
        </w:rPr>
        <w:t>Spółki</w:t>
      </w:r>
      <w:r w:rsidRPr="00E3124F">
        <w:rPr>
          <w:rFonts w:ascii="Palatino Linotype" w:hAnsi="Palatino Linotype"/>
          <w:sz w:val="22"/>
          <w:szCs w:val="22"/>
        </w:rPr>
        <w:t xml:space="preserve"> </w:t>
      </w:r>
      <w:r w:rsidR="0038129A">
        <w:rPr>
          <w:rFonts w:ascii="Palatino Linotype" w:hAnsi="Palatino Linotype"/>
          <w:sz w:val="22"/>
          <w:szCs w:val="22"/>
        </w:rPr>
        <w:t xml:space="preserve">było i zgodnie z Polityka wynagrodzeń nadal ma być oparte </w:t>
      </w:r>
      <w:r w:rsidRPr="00E3124F">
        <w:rPr>
          <w:rFonts w:ascii="Palatino Linotype" w:hAnsi="Palatino Linotype"/>
          <w:sz w:val="22"/>
          <w:szCs w:val="22"/>
        </w:rPr>
        <w:t>wyłącznie o stałe wynagrodzenie</w:t>
      </w:r>
      <w:r w:rsidR="00785089">
        <w:rPr>
          <w:rFonts w:ascii="Palatino Linotype" w:hAnsi="Palatino Linotype"/>
          <w:sz w:val="22"/>
          <w:szCs w:val="22"/>
        </w:rPr>
        <w:t>,</w:t>
      </w:r>
      <w:r w:rsidRPr="00E3124F">
        <w:rPr>
          <w:rFonts w:ascii="Palatino Linotype" w:hAnsi="Palatino Linotype"/>
          <w:sz w:val="22"/>
          <w:szCs w:val="22"/>
        </w:rPr>
        <w:t xml:space="preserve"> zapewnia </w:t>
      </w:r>
      <w:r w:rsidR="00785089">
        <w:rPr>
          <w:rFonts w:ascii="Palatino Linotype" w:hAnsi="Palatino Linotype"/>
          <w:sz w:val="22"/>
          <w:szCs w:val="22"/>
        </w:rPr>
        <w:t>bezstronność</w:t>
      </w:r>
      <w:r w:rsidRPr="00E3124F">
        <w:rPr>
          <w:rFonts w:ascii="Palatino Linotype" w:hAnsi="Palatino Linotype"/>
          <w:sz w:val="22"/>
          <w:szCs w:val="22"/>
        </w:rPr>
        <w:t xml:space="preserve"> kontroli nad sytuacją ekonomiczną Spółki poprzez uniezależnienie wynagrodzenia od wyników Spółki. </w:t>
      </w:r>
      <w:r w:rsidR="00785089">
        <w:rPr>
          <w:rFonts w:ascii="Palatino Linotype" w:hAnsi="Palatino Linotype"/>
          <w:sz w:val="22"/>
          <w:szCs w:val="22"/>
        </w:rPr>
        <w:t xml:space="preserve">Dzięki temu </w:t>
      </w:r>
      <w:r w:rsidRPr="00E3124F">
        <w:rPr>
          <w:rFonts w:ascii="Palatino Linotype" w:hAnsi="Palatino Linotype"/>
          <w:sz w:val="22"/>
          <w:szCs w:val="22"/>
        </w:rPr>
        <w:t>kontrola</w:t>
      </w:r>
      <w:r w:rsidR="00785089">
        <w:rPr>
          <w:rFonts w:ascii="Palatino Linotype" w:hAnsi="Palatino Linotype"/>
          <w:sz w:val="22"/>
          <w:szCs w:val="22"/>
        </w:rPr>
        <w:t xml:space="preserve"> powinna być przeprowadzana w rzetelny</w:t>
      </w:r>
      <w:r w:rsidRPr="00E3124F">
        <w:rPr>
          <w:rFonts w:ascii="Palatino Linotype" w:hAnsi="Palatino Linotype"/>
          <w:sz w:val="22"/>
          <w:szCs w:val="22"/>
        </w:rPr>
        <w:t>,</w:t>
      </w:r>
      <w:r w:rsidR="00785089">
        <w:rPr>
          <w:rFonts w:ascii="Palatino Linotype" w:hAnsi="Palatino Linotype"/>
          <w:sz w:val="22"/>
          <w:szCs w:val="22"/>
        </w:rPr>
        <w:t xml:space="preserve"> bezstronny sposób, </w:t>
      </w:r>
      <w:r w:rsidRPr="00E3124F">
        <w:rPr>
          <w:rFonts w:ascii="Palatino Linotype" w:hAnsi="Palatino Linotype"/>
          <w:sz w:val="22"/>
          <w:szCs w:val="22"/>
        </w:rPr>
        <w:t>zapewni</w:t>
      </w:r>
      <w:r w:rsidR="00785089">
        <w:rPr>
          <w:rFonts w:ascii="Palatino Linotype" w:hAnsi="Palatino Linotype"/>
          <w:sz w:val="22"/>
          <w:szCs w:val="22"/>
        </w:rPr>
        <w:t>ający</w:t>
      </w:r>
      <w:r w:rsidRPr="00E3124F">
        <w:rPr>
          <w:rFonts w:ascii="Palatino Linotype" w:hAnsi="Palatino Linotype"/>
          <w:sz w:val="22"/>
          <w:szCs w:val="22"/>
        </w:rPr>
        <w:t xml:space="preserve"> stabilność i bezpieczeństwo działalności</w:t>
      </w:r>
      <w:r w:rsidR="00785089">
        <w:rPr>
          <w:rFonts w:ascii="Palatino Linotype" w:hAnsi="Palatino Linotype"/>
          <w:sz w:val="22"/>
          <w:szCs w:val="22"/>
        </w:rPr>
        <w:t xml:space="preserve"> Spółki</w:t>
      </w:r>
      <w:r w:rsidRPr="00E3124F">
        <w:rPr>
          <w:rFonts w:ascii="Palatino Linotype" w:hAnsi="Palatino Linotype"/>
          <w:sz w:val="22"/>
          <w:szCs w:val="22"/>
        </w:rPr>
        <w:t xml:space="preserve">, co </w:t>
      </w:r>
      <w:r w:rsidR="0038129A">
        <w:rPr>
          <w:rFonts w:ascii="Palatino Linotype" w:hAnsi="Palatino Linotype"/>
          <w:sz w:val="22"/>
          <w:szCs w:val="22"/>
        </w:rPr>
        <w:t xml:space="preserve">również </w:t>
      </w:r>
      <w:r w:rsidRPr="00E3124F">
        <w:rPr>
          <w:rFonts w:ascii="Palatino Linotype" w:hAnsi="Palatino Linotype"/>
          <w:sz w:val="22"/>
          <w:szCs w:val="22"/>
        </w:rPr>
        <w:t>przekłada się na realizację długoterminowych celów biznesowych.</w:t>
      </w:r>
    </w:p>
    <w:p w14:paraId="4DC85BA8" w14:textId="1A711A38" w:rsidR="00E3124F" w:rsidRDefault="00E3124F" w:rsidP="007E0C4A">
      <w:pPr>
        <w:pStyle w:val="Default"/>
        <w:spacing w:after="21"/>
        <w:rPr>
          <w:rFonts w:ascii="Palatino Linotype" w:hAnsi="Palatino Linotype"/>
          <w:sz w:val="22"/>
          <w:szCs w:val="22"/>
        </w:rPr>
      </w:pPr>
    </w:p>
    <w:p w14:paraId="53D62B61" w14:textId="7EA6D28D" w:rsidR="00E3124F" w:rsidRPr="0038129A" w:rsidRDefault="00E3124F" w:rsidP="00E312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3"/>
          <w:b/>
          <w:bCs/>
        </w:rPr>
      </w:pPr>
      <w:r w:rsidRPr="0038129A">
        <w:rPr>
          <w:rFonts w:ascii="Palatino Linotype" w:hAnsi="Palatino Linotype"/>
          <w:b/>
          <w:bCs/>
        </w:rPr>
        <w:t xml:space="preserve">5. </w:t>
      </w:r>
      <w:r w:rsidRPr="0038129A">
        <w:rPr>
          <w:rFonts w:ascii="Palatino Linotype" w:hAnsi="Palatino Linotype" w:cs="CIDFont+F3"/>
          <w:b/>
          <w:bCs/>
        </w:rPr>
        <w:t>Informacje na temat sposobu, w jaki zostały zastosowane kryteria dotyczące wyników</w:t>
      </w:r>
      <w:r w:rsidR="0038129A" w:rsidRPr="0038129A">
        <w:rPr>
          <w:rFonts w:ascii="Palatino Linotype" w:hAnsi="Palatino Linotype" w:cs="CIDFont+F3"/>
          <w:b/>
          <w:bCs/>
        </w:rPr>
        <w:t>.</w:t>
      </w:r>
    </w:p>
    <w:p w14:paraId="60E85E89" w14:textId="4D7F9C97" w:rsidR="0038129A" w:rsidRPr="0038129A" w:rsidRDefault="0038129A" w:rsidP="00E312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IDFont+F3"/>
          <w:b/>
          <w:bCs/>
        </w:rPr>
      </w:pPr>
    </w:p>
    <w:p w14:paraId="33A71922" w14:textId="65C74D04" w:rsidR="0038129A" w:rsidRDefault="00785089" w:rsidP="0038129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Calibri"/>
          <w:color w:val="000000"/>
        </w:rPr>
        <w:t xml:space="preserve">Przed wejściem w życie </w:t>
      </w:r>
      <w:r w:rsidR="0038129A" w:rsidRPr="0038129A">
        <w:rPr>
          <w:rFonts w:ascii="Palatino Linotype" w:hAnsi="Palatino Linotype" w:cs="Calibri"/>
          <w:color w:val="000000"/>
        </w:rPr>
        <w:t xml:space="preserve">Polityki wynagrodzeń, w AMPLI S.A. w upadłości </w:t>
      </w:r>
      <w:r>
        <w:rPr>
          <w:rFonts w:ascii="Palatino Linotype" w:hAnsi="Palatino Linotype" w:cs="Calibri"/>
          <w:color w:val="000000"/>
        </w:rPr>
        <w:t xml:space="preserve">układowej </w:t>
      </w:r>
      <w:r w:rsidR="00A075A9">
        <w:rPr>
          <w:rFonts w:ascii="Palatino Linotype" w:hAnsi="Palatino Linotype" w:cs="Calibri"/>
          <w:color w:val="000000"/>
        </w:rPr>
        <w:t xml:space="preserve">do określenia wysokości wynagrodzeń członków organów Spółki </w:t>
      </w:r>
      <w:r w:rsidR="0038129A" w:rsidRPr="0038129A">
        <w:rPr>
          <w:rFonts w:ascii="Palatino Linotype" w:hAnsi="Palatino Linotype" w:cs="Calibri"/>
          <w:color w:val="000000"/>
        </w:rPr>
        <w:t xml:space="preserve">nie były stosowane kryteria dotyczące wyników. Dlatego też wynagrodzenie wypłacone </w:t>
      </w:r>
      <w:r w:rsidR="00A075A9">
        <w:rPr>
          <w:rFonts w:ascii="Palatino Linotype" w:hAnsi="Palatino Linotype" w:cs="Calibri"/>
          <w:color w:val="000000"/>
        </w:rPr>
        <w:t xml:space="preserve">Zarządowi i Radzie Nadzorczej </w:t>
      </w:r>
      <w:r w:rsidR="0038129A" w:rsidRPr="0038129A">
        <w:rPr>
          <w:rFonts w:ascii="Palatino Linotype" w:hAnsi="Palatino Linotype" w:cs="Calibri"/>
          <w:color w:val="000000"/>
        </w:rPr>
        <w:t>za lata 2019 i 2020 nie obejmowało składników wynagrodzenia uzależnionych od wyników Spółki.</w:t>
      </w:r>
    </w:p>
    <w:p w14:paraId="00079630" w14:textId="16355BFA" w:rsidR="00E3124F" w:rsidRDefault="00A075A9" w:rsidP="00F12B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Calibri"/>
          <w:color w:val="000000"/>
        </w:rPr>
        <w:t xml:space="preserve">Polityka wynagrodzeń przewiduje </w:t>
      </w:r>
      <w:r w:rsidR="00785089">
        <w:rPr>
          <w:rFonts w:ascii="Palatino Linotype" w:hAnsi="Palatino Linotype" w:cs="Calibri"/>
          <w:color w:val="000000"/>
        </w:rPr>
        <w:t xml:space="preserve">jednak </w:t>
      </w:r>
      <w:r>
        <w:rPr>
          <w:rFonts w:ascii="Palatino Linotype" w:hAnsi="Palatino Linotype" w:cs="Calibri"/>
          <w:color w:val="000000"/>
        </w:rPr>
        <w:t>możliwość, choć nie obowiązek, przyznania wynagrodzenia zmiennego</w:t>
      </w:r>
      <w:r w:rsidR="00F12BAA">
        <w:rPr>
          <w:rFonts w:ascii="Palatino Linotype" w:hAnsi="Palatino Linotype" w:cs="Calibri"/>
          <w:color w:val="000000"/>
        </w:rPr>
        <w:t xml:space="preserve"> dla członków Zarządu</w:t>
      </w:r>
      <w:r>
        <w:rPr>
          <w:rFonts w:ascii="Palatino Linotype" w:hAnsi="Palatino Linotype" w:cs="Calibri"/>
          <w:color w:val="000000"/>
        </w:rPr>
        <w:t xml:space="preserve">, w wysokości uzależnionej m.in. od wyników Spółki, przy czym dotyczy to wyłącznie wynagrodzenia Zarządu.  </w:t>
      </w:r>
      <w:bookmarkStart w:id="3" w:name="_Hlk70670575"/>
      <w:r w:rsidR="00D660C6">
        <w:rPr>
          <w:rFonts w:ascii="Palatino Linotype" w:hAnsi="Palatino Linotype" w:cs="Calibri"/>
          <w:color w:val="000000"/>
        </w:rPr>
        <w:t xml:space="preserve">Rada Nadzorcza Spółki nie zdecydowała się </w:t>
      </w:r>
      <w:r w:rsidR="00F12BAA">
        <w:rPr>
          <w:rFonts w:ascii="Palatino Linotype" w:hAnsi="Palatino Linotype" w:cs="Calibri"/>
          <w:color w:val="000000"/>
        </w:rPr>
        <w:t xml:space="preserve">jednak </w:t>
      </w:r>
      <w:r w:rsidR="00D660C6">
        <w:rPr>
          <w:rFonts w:ascii="Palatino Linotype" w:hAnsi="Palatino Linotype" w:cs="Calibri"/>
          <w:color w:val="000000"/>
        </w:rPr>
        <w:t xml:space="preserve">do tej pory na podjęcie uchwały w sprawie określenie zasad ustalania, naliczania i wypłacania </w:t>
      </w:r>
      <w:r w:rsidR="00F12BAA">
        <w:rPr>
          <w:rFonts w:ascii="Palatino Linotype" w:hAnsi="Palatino Linotype" w:cs="Calibri"/>
          <w:color w:val="000000"/>
        </w:rPr>
        <w:t xml:space="preserve">członkom Zarządu </w:t>
      </w:r>
      <w:r w:rsidR="00D660C6">
        <w:rPr>
          <w:rFonts w:ascii="Palatino Linotype" w:hAnsi="Palatino Linotype" w:cs="Calibri"/>
          <w:color w:val="000000"/>
        </w:rPr>
        <w:t>wynagrodzenia zmiennego</w:t>
      </w:r>
      <w:r w:rsidR="00F12BAA">
        <w:rPr>
          <w:rFonts w:ascii="Palatino Linotype" w:hAnsi="Palatino Linotype" w:cs="Calibri"/>
          <w:color w:val="000000"/>
        </w:rPr>
        <w:t xml:space="preserve"> </w:t>
      </w:r>
      <w:r w:rsidR="00D660C6">
        <w:rPr>
          <w:rFonts w:ascii="Palatino Linotype" w:hAnsi="Palatino Linotype" w:cs="Calibri"/>
          <w:color w:val="000000"/>
        </w:rPr>
        <w:t>,</w:t>
      </w:r>
      <w:r w:rsidR="00785089">
        <w:rPr>
          <w:rFonts w:ascii="Palatino Linotype" w:hAnsi="Palatino Linotype" w:cs="Calibri"/>
          <w:color w:val="000000"/>
        </w:rPr>
        <w:t xml:space="preserve"> </w:t>
      </w:r>
      <w:r w:rsidR="008E0E85">
        <w:rPr>
          <w:rFonts w:ascii="Palatino Linotype" w:hAnsi="Palatino Linotype" w:cs="Calibri"/>
          <w:color w:val="000000"/>
        </w:rPr>
        <w:t xml:space="preserve">uznając, że uchwała taka powinna być podjęta dopiero po </w:t>
      </w:r>
      <w:r w:rsidR="0068709C">
        <w:rPr>
          <w:rFonts w:ascii="Palatino Linotype" w:hAnsi="Palatino Linotype" w:cs="Calibri"/>
          <w:color w:val="000000"/>
        </w:rPr>
        <w:t xml:space="preserve">publikacji </w:t>
      </w:r>
      <w:r w:rsidR="008E0E85">
        <w:rPr>
          <w:rFonts w:ascii="Palatino Linotype" w:hAnsi="Palatino Linotype" w:cs="Calibri"/>
          <w:color w:val="000000"/>
        </w:rPr>
        <w:t xml:space="preserve">i zbadaniu przez Radę Nadzorczą </w:t>
      </w:r>
      <w:r w:rsidR="00D660C6">
        <w:rPr>
          <w:rFonts w:ascii="Palatino Linotype" w:hAnsi="Palatino Linotype" w:cs="Calibri"/>
          <w:color w:val="000000"/>
        </w:rPr>
        <w:t>sprawozdania finansowego</w:t>
      </w:r>
      <w:r w:rsidR="0068709C">
        <w:rPr>
          <w:rFonts w:ascii="Palatino Linotype" w:hAnsi="Palatino Linotype" w:cs="Calibri"/>
          <w:color w:val="000000"/>
        </w:rPr>
        <w:t xml:space="preserve"> Spółki </w:t>
      </w:r>
      <w:r w:rsidR="00D660C6">
        <w:rPr>
          <w:rFonts w:ascii="Palatino Linotype" w:hAnsi="Palatino Linotype" w:cs="Calibri"/>
          <w:color w:val="000000"/>
        </w:rPr>
        <w:t xml:space="preserve"> za rok 202</w:t>
      </w:r>
      <w:r w:rsidR="008E0E85">
        <w:rPr>
          <w:rFonts w:ascii="Palatino Linotype" w:hAnsi="Palatino Linotype" w:cs="Calibri"/>
          <w:color w:val="000000"/>
        </w:rPr>
        <w:t xml:space="preserve">0 , </w:t>
      </w:r>
      <w:r w:rsidR="00F12BAA">
        <w:rPr>
          <w:rFonts w:ascii="Palatino Linotype" w:hAnsi="Palatino Linotype" w:cs="Calibri"/>
          <w:color w:val="000000"/>
        </w:rPr>
        <w:t xml:space="preserve">określającego </w:t>
      </w:r>
      <w:r w:rsidR="008E0E85">
        <w:rPr>
          <w:rFonts w:ascii="Palatino Linotype" w:hAnsi="Palatino Linotype" w:cs="Calibri"/>
          <w:color w:val="000000"/>
        </w:rPr>
        <w:t xml:space="preserve">wynik </w:t>
      </w:r>
      <w:r w:rsidR="00F12BAA">
        <w:rPr>
          <w:rFonts w:ascii="Palatino Linotype" w:hAnsi="Palatino Linotype" w:cs="Calibri"/>
          <w:color w:val="000000"/>
        </w:rPr>
        <w:t xml:space="preserve">i inne dane </w:t>
      </w:r>
      <w:r w:rsidR="008E0E85">
        <w:rPr>
          <w:rFonts w:ascii="Palatino Linotype" w:hAnsi="Palatino Linotype" w:cs="Calibri"/>
          <w:color w:val="000000"/>
        </w:rPr>
        <w:t>finansow</w:t>
      </w:r>
      <w:r w:rsidR="00F12BAA">
        <w:rPr>
          <w:rFonts w:ascii="Palatino Linotype" w:hAnsi="Palatino Linotype" w:cs="Calibri"/>
          <w:color w:val="000000"/>
        </w:rPr>
        <w:t>e</w:t>
      </w:r>
      <w:r w:rsidR="008E0E85">
        <w:rPr>
          <w:rFonts w:ascii="Palatino Linotype" w:hAnsi="Palatino Linotype" w:cs="Calibri"/>
          <w:color w:val="000000"/>
        </w:rPr>
        <w:t xml:space="preserve"> Spółki</w:t>
      </w:r>
      <w:r w:rsidR="00F12BAA">
        <w:rPr>
          <w:rFonts w:ascii="Palatino Linotype" w:hAnsi="Palatino Linotype" w:cs="Calibri"/>
          <w:color w:val="000000"/>
        </w:rPr>
        <w:t>, które z</w:t>
      </w:r>
      <w:r w:rsidR="008E0E85">
        <w:rPr>
          <w:rFonts w:ascii="Palatino Linotype" w:hAnsi="Palatino Linotype" w:cs="Calibri"/>
          <w:color w:val="000000"/>
        </w:rPr>
        <w:t>godnie z Polityk</w:t>
      </w:r>
      <w:r w:rsidR="00F12BAA">
        <w:rPr>
          <w:rFonts w:ascii="Palatino Linotype" w:hAnsi="Palatino Linotype" w:cs="Calibri"/>
          <w:color w:val="000000"/>
        </w:rPr>
        <w:t>ą</w:t>
      </w:r>
      <w:r w:rsidR="008E0E85">
        <w:rPr>
          <w:rFonts w:ascii="Palatino Linotype" w:hAnsi="Palatino Linotype" w:cs="Calibri"/>
          <w:color w:val="000000"/>
        </w:rPr>
        <w:t xml:space="preserve"> wynagrodzeń </w:t>
      </w:r>
      <w:r w:rsidR="00F12BAA">
        <w:rPr>
          <w:rFonts w:ascii="Palatino Linotype" w:hAnsi="Palatino Linotype" w:cs="Calibri"/>
          <w:color w:val="000000"/>
        </w:rPr>
        <w:t>mają być głównymi</w:t>
      </w:r>
      <w:r w:rsidR="008E0E85">
        <w:rPr>
          <w:rFonts w:ascii="Palatino Linotype" w:hAnsi="Palatino Linotype" w:cs="Calibri"/>
          <w:color w:val="000000"/>
        </w:rPr>
        <w:t xml:space="preserve"> kryteri</w:t>
      </w:r>
      <w:r w:rsidR="00F12BAA">
        <w:rPr>
          <w:rFonts w:ascii="Palatino Linotype" w:hAnsi="Palatino Linotype" w:cs="Calibri"/>
          <w:color w:val="000000"/>
        </w:rPr>
        <w:t>ami</w:t>
      </w:r>
      <w:r w:rsidR="008E0E85">
        <w:rPr>
          <w:rFonts w:ascii="Palatino Linotype" w:hAnsi="Palatino Linotype" w:cs="Calibri"/>
          <w:color w:val="000000"/>
        </w:rPr>
        <w:t xml:space="preserve"> przyznania wynagrodzenia zmiennego</w:t>
      </w:r>
      <w:r w:rsidR="00F12BAA">
        <w:rPr>
          <w:rFonts w:ascii="Palatino Linotype" w:hAnsi="Palatino Linotype" w:cs="Calibri"/>
          <w:color w:val="000000"/>
        </w:rPr>
        <w:t>.</w:t>
      </w:r>
    </w:p>
    <w:bookmarkEnd w:id="3"/>
    <w:p w14:paraId="062F8082" w14:textId="77777777" w:rsidR="00F12BAA" w:rsidRDefault="00F12BAA" w:rsidP="00F12B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</w:p>
    <w:p w14:paraId="1816492F" w14:textId="03555DDB" w:rsidR="00F12BAA" w:rsidRDefault="00F12BAA" w:rsidP="00F12B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</w:rPr>
      </w:pPr>
      <w:r>
        <w:rPr>
          <w:rFonts w:ascii="Palatino Linotype" w:hAnsi="Palatino Linotype" w:cs="Calibri"/>
          <w:color w:val="000000"/>
        </w:rPr>
        <w:t xml:space="preserve">Polityka wynagrodzeń nie przewiduje przyznawania członkom Rady Nadzorczej wynagradzania zmiennego ani żadnego innego składnika wynagrodzenia, który </w:t>
      </w:r>
      <w:proofErr w:type="spellStart"/>
      <w:r>
        <w:rPr>
          <w:rFonts w:ascii="Palatino Linotype" w:hAnsi="Palatino Linotype" w:cs="Calibri"/>
          <w:color w:val="000000"/>
        </w:rPr>
        <w:t>bylby</w:t>
      </w:r>
      <w:proofErr w:type="spellEnd"/>
      <w:r>
        <w:rPr>
          <w:rFonts w:ascii="Palatino Linotype" w:hAnsi="Palatino Linotype" w:cs="Calibri"/>
          <w:color w:val="000000"/>
        </w:rPr>
        <w:t xml:space="preserve"> uzależniony do wyników Spółki. </w:t>
      </w:r>
    </w:p>
    <w:p w14:paraId="742C53CF" w14:textId="77777777" w:rsidR="008E0E85" w:rsidRDefault="008E0E85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</w:p>
    <w:p w14:paraId="373C6CA6" w14:textId="3900CC72" w:rsidR="00D660C6" w:rsidRPr="002F7D2A" w:rsidRDefault="00D660C6" w:rsidP="007E0C4A">
      <w:pPr>
        <w:pStyle w:val="Default"/>
        <w:spacing w:after="21"/>
        <w:rPr>
          <w:rFonts w:ascii="Palatino Linotype" w:hAnsi="Palatino Linotype"/>
          <w:color w:val="auto"/>
          <w:sz w:val="22"/>
          <w:szCs w:val="22"/>
        </w:rPr>
      </w:pPr>
      <w:r w:rsidRPr="002F7D2A">
        <w:rPr>
          <w:rFonts w:ascii="Palatino Linotype" w:hAnsi="Palatino Linotype"/>
          <w:b/>
          <w:bCs/>
          <w:color w:val="auto"/>
          <w:sz w:val="22"/>
          <w:szCs w:val="22"/>
        </w:rPr>
        <w:t>6.</w:t>
      </w:r>
      <w:r w:rsidRPr="002F7D2A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Pr="002F7D2A">
        <w:rPr>
          <w:rFonts w:ascii="Palatino Linotype" w:hAnsi="Palatino Linotype"/>
          <w:b/>
          <w:bCs/>
          <w:sz w:val="22"/>
          <w:szCs w:val="22"/>
        </w:rPr>
        <w:t xml:space="preserve">Informacje o zmianie, w ujęciu rocznym, wynagrodzenia, wyników </w:t>
      </w:r>
      <w:r w:rsidR="00003FB8">
        <w:rPr>
          <w:rFonts w:ascii="Palatino Linotype" w:hAnsi="Palatino Linotype"/>
          <w:b/>
          <w:bCs/>
          <w:sz w:val="22"/>
          <w:szCs w:val="22"/>
        </w:rPr>
        <w:t>AMPLI S.A. w upadłości układowej</w:t>
      </w:r>
      <w:r w:rsidRPr="002F7D2A">
        <w:rPr>
          <w:rFonts w:ascii="Palatino Linotype" w:hAnsi="Palatino Linotype"/>
          <w:b/>
          <w:bCs/>
          <w:sz w:val="22"/>
          <w:szCs w:val="22"/>
        </w:rPr>
        <w:t xml:space="preserve"> oraz średniego wynagrodzenia pracowników tej </w:t>
      </w:r>
      <w:r w:rsidR="00003FB8">
        <w:rPr>
          <w:rFonts w:ascii="Palatino Linotype" w:hAnsi="Palatino Linotype"/>
          <w:b/>
          <w:bCs/>
          <w:sz w:val="22"/>
          <w:szCs w:val="22"/>
        </w:rPr>
        <w:t>S</w:t>
      </w:r>
      <w:r w:rsidRPr="002F7D2A">
        <w:rPr>
          <w:rFonts w:ascii="Palatino Linotype" w:hAnsi="Palatino Linotype"/>
          <w:b/>
          <w:bCs/>
          <w:sz w:val="22"/>
          <w:szCs w:val="22"/>
        </w:rPr>
        <w:t>półki niebędących członkami Zarządu ani Rady Nadzorczej, w okresie 2019- 2020 w ujęciu łącznym.</w:t>
      </w:r>
    </w:p>
    <w:p w14:paraId="5C24C8C0" w14:textId="37904CD5" w:rsidR="002F7D2A" w:rsidRDefault="002F7D2A" w:rsidP="00D660C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126"/>
        <w:gridCol w:w="1412"/>
      </w:tblGrid>
      <w:tr w:rsidR="002F7D2A" w14:paraId="4F3B969B" w14:textId="77777777" w:rsidTr="008509C6">
        <w:tc>
          <w:tcPr>
            <w:tcW w:w="2972" w:type="dxa"/>
          </w:tcPr>
          <w:p w14:paraId="5540FE41" w14:textId="04C4D1B1" w:rsidR="002F7D2A" w:rsidRPr="004721B5" w:rsidRDefault="002E47D6" w:rsidP="004721B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4721B5">
              <w:rPr>
                <w:rFonts w:ascii="Palatino Linotype" w:hAnsi="Palatino Linotype" w:cs="Calibri"/>
                <w:b/>
                <w:bCs/>
                <w:color w:val="000000"/>
              </w:rPr>
              <w:t>Kryterium</w:t>
            </w:r>
          </w:p>
        </w:tc>
        <w:tc>
          <w:tcPr>
            <w:tcW w:w="2552" w:type="dxa"/>
          </w:tcPr>
          <w:p w14:paraId="3966EC24" w14:textId="0FE91CBB" w:rsidR="002F7D2A" w:rsidRPr="004721B5" w:rsidRDefault="004721B5" w:rsidP="004721B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4721B5">
              <w:rPr>
                <w:rFonts w:ascii="Palatino Linotype" w:hAnsi="Palatino Linotype" w:cs="Calibri"/>
                <w:b/>
                <w:bCs/>
                <w:color w:val="000000"/>
              </w:rPr>
              <w:t>Rok obrotowy 2019</w:t>
            </w:r>
          </w:p>
        </w:tc>
        <w:tc>
          <w:tcPr>
            <w:tcW w:w="2126" w:type="dxa"/>
          </w:tcPr>
          <w:p w14:paraId="3C7DE377" w14:textId="582E11B0" w:rsidR="002F7D2A" w:rsidRPr="004721B5" w:rsidRDefault="004721B5" w:rsidP="004721B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4721B5">
              <w:rPr>
                <w:rFonts w:ascii="Palatino Linotype" w:hAnsi="Palatino Linotype" w:cs="Calibri"/>
                <w:b/>
                <w:bCs/>
                <w:color w:val="000000"/>
              </w:rPr>
              <w:t>Rok obrotowy 2020</w:t>
            </w:r>
          </w:p>
        </w:tc>
        <w:tc>
          <w:tcPr>
            <w:tcW w:w="1412" w:type="dxa"/>
          </w:tcPr>
          <w:p w14:paraId="56404208" w14:textId="77777777" w:rsidR="002F7D2A" w:rsidRDefault="004721B5" w:rsidP="004721B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4721B5">
              <w:rPr>
                <w:rFonts w:ascii="Palatino Linotype" w:hAnsi="Palatino Linotype" w:cs="Calibri"/>
                <w:b/>
                <w:bCs/>
                <w:color w:val="000000"/>
              </w:rPr>
              <w:t>Zmiana</w:t>
            </w:r>
            <w:r w:rsidR="00003FB8">
              <w:rPr>
                <w:rFonts w:ascii="Palatino Linotype" w:hAnsi="Palatino Linotype" w:cs="Calibri"/>
                <w:b/>
                <w:bCs/>
                <w:color w:val="000000"/>
              </w:rPr>
              <w:t xml:space="preserve"> </w:t>
            </w:r>
          </w:p>
          <w:p w14:paraId="448C2386" w14:textId="436D292E" w:rsidR="00003FB8" w:rsidRPr="004721B5" w:rsidRDefault="00003FB8" w:rsidP="004721B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(w %)</w:t>
            </w:r>
          </w:p>
        </w:tc>
      </w:tr>
      <w:tr w:rsidR="002F7D2A" w14:paraId="030CBAA0" w14:textId="77777777" w:rsidTr="008509C6">
        <w:tc>
          <w:tcPr>
            <w:tcW w:w="2972" w:type="dxa"/>
          </w:tcPr>
          <w:p w14:paraId="3C0DAABA" w14:textId="4C854611" w:rsidR="002F7D2A" w:rsidRDefault="004C1D22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Średnia ilość</w:t>
            </w:r>
            <w:r w:rsidR="004721B5">
              <w:rPr>
                <w:rFonts w:ascii="Palatino Linotype" w:hAnsi="Palatino Linotype" w:cs="Calibri"/>
                <w:color w:val="000000"/>
              </w:rPr>
              <w:t xml:space="preserve"> pracowników etatowych</w:t>
            </w:r>
            <w:r w:rsidR="008509C6">
              <w:rPr>
                <w:rFonts w:ascii="Palatino Linotype" w:hAnsi="Palatino Linotype" w:cs="Calibri"/>
                <w:color w:val="000000"/>
              </w:rPr>
              <w:t>, nie będących członkami Zarządu i RN</w:t>
            </w:r>
          </w:p>
        </w:tc>
        <w:tc>
          <w:tcPr>
            <w:tcW w:w="2552" w:type="dxa"/>
          </w:tcPr>
          <w:p w14:paraId="735B630E" w14:textId="75A6A662" w:rsidR="002F7D2A" w:rsidRDefault="008509C6" w:rsidP="00577DD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2126" w:type="dxa"/>
          </w:tcPr>
          <w:p w14:paraId="13F406DA" w14:textId="506732EE" w:rsidR="002F7D2A" w:rsidRDefault="008509C6" w:rsidP="00577DD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412" w:type="dxa"/>
          </w:tcPr>
          <w:p w14:paraId="13B788ED" w14:textId="3E12FB73" w:rsidR="002F7D2A" w:rsidRDefault="00577DD0" w:rsidP="00577DD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0 %</w:t>
            </w:r>
          </w:p>
        </w:tc>
      </w:tr>
      <w:tr w:rsidR="002F7D2A" w14:paraId="14CAF9C2" w14:textId="77777777" w:rsidTr="008509C6">
        <w:tc>
          <w:tcPr>
            <w:tcW w:w="2972" w:type="dxa"/>
          </w:tcPr>
          <w:p w14:paraId="1A604D64" w14:textId="1246EF9B" w:rsidR="002F7D2A" w:rsidRDefault="004721B5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Średnie </w:t>
            </w:r>
            <w:r w:rsidR="008509C6">
              <w:rPr>
                <w:rFonts w:ascii="Palatino Linotype" w:hAnsi="Palatino Linotype" w:cs="Calibri"/>
                <w:color w:val="000000"/>
              </w:rPr>
              <w:t xml:space="preserve">roczne </w:t>
            </w:r>
            <w:r>
              <w:rPr>
                <w:rFonts w:ascii="Palatino Linotype" w:hAnsi="Palatino Linotype" w:cs="Calibri"/>
                <w:color w:val="000000"/>
              </w:rPr>
              <w:t xml:space="preserve">wynagrodzenie </w:t>
            </w:r>
            <w:r w:rsidR="00003FB8">
              <w:rPr>
                <w:rFonts w:ascii="Palatino Linotype" w:hAnsi="Palatino Linotype" w:cs="Calibri"/>
                <w:color w:val="000000"/>
              </w:rPr>
              <w:t>pracowników</w:t>
            </w:r>
          </w:p>
        </w:tc>
        <w:tc>
          <w:tcPr>
            <w:tcW w:w="2552" w:type="dxa"/>
          </w:tcPr>
          <w:p w14:paraId="7B85B0D2" w14:textId="1FA4854F" w:rsidR="002F7D2A" w:rsidRDefault="008509C6" w:rsidP="0068709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 w:rsidRPr="008509C6">
              <w:rPr>
                <w:rFonts w:ascii="Palatino Linotype" w:hAnsi="Palatino Linotype"/>
              </w:rPr>
              <w:t>37.853</w:t>
            </w:r>
            <w:r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AFAFA"/>
              </w:rPr>
              <w:t xml:space="preserve"> </w:t>
            </w:r>
            <w:r w:rsidR="0068709C">
              <w:rPr>
                <w:rFonts w:ascii="Palatino Linotype" w:hAnsi="Palatino Linotype" w:cs="Calibri"/>
                <w:color w:val="000000"/>
              </w:rPr>
              <w:t>PLN</w:t>
            </w:r>
          </w:p>
        </w:tc>
        <w:tc>
          <w:tcPr>
            <w:tcW w:w="2126" w:type="dxa"/>
          </w:tcPr>
          <w:p w14:paraId="52DD61AC" w14:textId="5EED9148" w:rsidR="002F7D2A" w:rsidRDefault="008509C6" w:rsidP="008509C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 w:rsidRPr="008509C6">
              <w:rPr>
                <w:rFonts w:ascii="Palatino Linotype" w:hAnsi="Palatino Linotype"/>
              </w:rPr>
              <w:t xml:space="preserve">38.522 </w:t>
            </w:r>
            <w:r w:rsidR="0068709C">
              <w:rPr>
                <w:rFonts w:ascii="Palatino Linotype" w:hAnsi="Palatino Linotype" w:cs="Calibri"/>
                <w:color w:val="000000"/>
              </w:rPr>
              <w:t>PLN</w:t>
            </w:r>
          </w:p>
        </w:tc>
        <w:tc>
          <w:tcPr>
            <w:tcW w:w="1412" w:type="dxa"/>
          </w:tcPr>
          <w:p w14:paraId="11F8E738" w14:textId="0D681010" w:rsidR="002F7D2A" w:rsidRDefault="008509C6" w:rsidP="008509C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1,8 %</w:t>
            </w:r>
          </w:p>
        </w:tc>
      </w:tr>
      <w:tr w:rsidR="002F7D2A" w14:paraId="37C629E4" w14:textId="77777777" w:rsidTr="008509C6">
        <w:tc>
          <w:tcPr>
            <w:tcW w:w="2972" w:type="dxa"/>
          </w:tcPr>
          <w:p w14:paraId="49DC339C" w14:textId="367AE70D" w:rsidR="002F7D2A" w:rsidRDefault="00003FB8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Wynagrodzenie Członków Zarządu</w:t>
            </w:r>
            <w:r w:rsidR="004E3027">
              <w:rPr>
                <w:rFonts w:ascii="Palatino Linotype" w:hAnsi="Palatino Linotype" w:cs="Calibri"/>
                <w:color w:val="000000"/>
              </w:rPr>
              <w:t xml:space="preserve"> (łącznie)</w:t>
            </w:r>
            <w:r>
              <w:rPr>
                <w:rFonts w:ascii="Palatino Linotype" w:hAnsi="Palatino Linotype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1FB4C0FD" w14:textId="2CBF361B" w:rsidR="002F7D2A" w:rsidRDefault="00577DD0" w:rsidP="004E30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114.000,00 PLN zł</w:t>
            </w:r>
          </w:p>
        </w:tc>
        <w:tc>
          <w:tcPr>
            <w:tcW w:w="2126" w:type="dxa"/>
          </w:tcPr>
          <w:p w14:paraId="745C712A" w14:textId="7A3AC1B5" w:rsidR="002F7D2A" w:rsidRDefault="00577DD0" w:rsidP="004E30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114.000,00 PLN</w:t>
            </w:r>
          </w:p>
        </w:tc>
        <w:tc>
          <w:tcPr>
            <w:tcW w:w="1412" w:type="dxa"/>
          </w:tcPr>
          <w:p w14:paraId="196E4E7F" w14:textId="193C0DF5" w:rsidR="002F7D2A" w:rsidRDefault="004E3027" w:rsidP="004E30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0 %</w:t>
            </w:r>
          </w:p>
        </w:tc>
      </w:tr>
      <w:tr w:rsidR="002F7D2A" w14:paraId="6BCC3D09" w14:textId="77777777" w:rsidTr="008509C6">
        <w:tc>
          <w:tcPr>
            <w:tcW w:w="2972" w:type="dxa"/>
          </w:tcPr>
          <w:p w14:paraId="4841DBCE" w14:textId="05BC1801" w:rsidR="002F7D2A" w:rsidRDefault="00003FB8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Wynagrodzenie Członków Rady Nadzorczej</w:t>
            </w:r>
            <w:r w:rsidR="004E3027">
              <w:rPr>
                <w:rFonts w:ascii="Palatino Linotype" w:hAnsi="Palatino Linotype" w:cs="Calibri"/>
                <w:color w:val="000000"/>
              </w:rPr>
              <w:t xml:space="preserve"> (łącznie) </w:t>
            </w:r>
            <w:r>
              <w:rPr>
                <w:rFonts w:ascii="Palatino Linotype" w:hAnsi="Palatino Linotype" w:cs="Calibri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219A4EB8" w14:textId="7DE33175" w:rsidR="002F7D2A" w:rsidRPr="008007EC" w:rsidRDefault="004E3027" w:rsidP="008007E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 w:rsidRPr="008007EC">
              <w:rPr>
                <w:rFonts w:ascii="Palatino Linotype" w:hAnsi="Palatino Linotype" w:cs="Calibri"/>
                <w:color w:val="000000"/>
              </w:rPr>
              <w:t>8.400,00 PLN</w:t>
            </w:r>
          </w:p>
        </w:tc>
        <w:tc>
          <w:tcPr>
            <w:tcW w:w="2126" w:type="dxa"/>
          </w:tcPr>
          <w:p w14:paraId="37CABD5D" w14:textId="0A1270E6" w:rsidR="002F7D2A" w:rsidRDefault="004E3027" w:rsidP="004E30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8.400,00 PLN</w:t>
            </w:r>
          </w:p>
        </w:tc>
        <w:tc>
          <w:tcPr>
            <w:tcW w:w="1412" w:type="dxa"/>
          </w:tcPr>
          <w:p w14:paraId="77CF6E6D" w14:textId="2FF0321C" w:rsidR="002F7D2A" w:rsidRDefault="004E3027" w:rsidP="004E302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0 %</w:t>
            </w:r>
          </w:p>
        </w:tc>
      </w:tr>
      <w:tr w:rsidR="00003FB8" w14:paraId="48F8A9F2" w14:textId="77777777" w:rsidTr="008509C6">
        <w:tc>
          <w:tcPr>
            <w:tcW w:w="2972" w:type="dxa"/>
          </w:tcPr>
          <w:p w14:paraId="59D3E2F3" w14:textId="66877276" w:rsidR="00003FB8" w:rsidRDefault="00914EB8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Strata</w:t>
            </w:r>
            <w:r w:rsidR="00003FB8">
              <w:rPr>
                <w:rFonts w:ascii="Palatino Linotype" w:hAnsi="Palatino Linotype" w:cs="Calibri"/>
                <w:color w:val="000000"/>
              </w:rPr>
              <w:t xml:space="preserve"> netto </w:t>
            </w:r>
          </w:p>
        </w:tc>
        <w:tc>
          <w:tcPr>
            <w:tcW w:w="2552" w:type="dxa"/>
          </w:tcPr>
          <w:p w14:paraId="30B672B9" w14:textId="467CE2FE" w:rsidR="00003FB8" w:rsidRPr="008007EC" w:rsidRDefault="00914EB8" w:rsidP="008007E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/>
              </w:rPr>
              <w:t xml:space="preserve">- </w:t>
            </w:r>
            <w:r w:rsidR="004B3BED">
              <w:rPr>
                <w:rFonts w:ascii="Palatino Linotype" w:hAnsi="Palatino Linotype"/>
              </w:rPr>
              <w:t>407 TYS.</w:t>
            </w:r>
            <w:r w:rsidR="008007EC">
              <w:rPr>
                <w:rFonts w:ascii="Palatino Linotype" w:hAnsi="Palatino Linotype"/>
              </w:rPr>
              <w:t xml:space="preserve"> PLN</w:t>
            </w:r>
          </w:p>
        </w:tc>
        <w:tc>
          <w:tcPr>
            <w:tcW w:w="2126" w:type="dxa"/>
          </w:tcPr>
          <w:p w14:paraId="625BF301" w14:textId="31BB3AA9" w:rsidR="00003FB8" w:rsidRDefault="00914EB8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- </w:t>
            </w:r>
            <w:r w:rsidR="00416044">
              <w:rPr>
                <w:rFonts w:ascii="Palatino Linotype" w:hAnsi="Palatino Linotype" w:cs="Calibri"/>
                <w:color w:val="000000"/>
              </w:rPr>
              <w:t>576 TYS. PLN</w:t>
            </w:r>
          </w:p>
        </w:tc>
        <w:tc>
          <w:tcPr>
            <w:tcW w:w="1412" w:type="dxa"/>
          </w:tcPr>
          <w:p w14:paraId="7C86585C" w14:textId="4BB6D588" w:rsidR="00003FB8" w:rsidRDefault="00914EB8" w:rsidP="00914EB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41,52 %</w:t>
            </w:r>
          </w:p>
        </w:tc>
      </w:tr>
      <w:tr w:rsidR="00003FB8" w14:paraId="5E053326" w14:textId="77777777" w:rsidTr="008509C6">
        <w:tc>
          <w:tcPr>
            <w:tcW w:w="2972" w:type="dxa"/>
          </w:tcPr>
          <w:p w14:paraId="7CFEF70F" w14:textId="481E2713" w:rsidR="00003FB8" w:rsidRDefault="00003FB8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Przychód netto </w:t>
            </w:r>
          </w:p>
        </w:tc>
        <w:tc>
          <w:tcPr>
            <w:tcW w:w="2552" w:type="dxa"/>
          </w:tcPr>
          <w:p w14:paraId="5C5902F8" w14:textId="607AE9CC" w:rsidR="00003FB8" w:rsidRDefault="004B3BED" w:rsidP="004B3B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6.105 TYS. </w:t>
            </w:r>
            <w:r w:rsidR="00416044">
              <w:rPr>
                <w:rFonts w:ascii="Palatino Linotype" w:hAnsi="Palatino Linotype" w:cs="Calibri"/>
                <w:color w:val="000000"/>
              </w:rPr>
              <w:t>PLN</w:t>
            </w:r>
          </w:p>
        </w:tc>
        <w:tc>
          <w:tcPr>
            <w:tcW w:w="2126" w:type="dxa"/>
          </w:tcPr>
          <w:p w14:paraId="5DD3BC22" w14:textId="39E8E6CC" w:rsidR="00003FB8" w:rsidRDefault="00416044" w:rsidP="00D660C6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7.604 TYS. PLN</w:t>
            </w:r>
          </w:p>
        </w:tc>
        <w:tc>
          <w:tcPr>
            <w:tcW w:w="1412" w:type="dxa"/>
          </w:tcPr>
          <w:p w14:paraId="1EE54E9A" w14:textId="402A8E89" w:rsidR="00003FB8" w:rsidRDefault="00416044" w:rsidP="0041604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24,55 %</w:t>
            </w:r>
          </w:p>
        </w:tc>
      </w:tr>
    </w:tbl>
    <w:p w14:paraId="61CE8B4F" w14:textId="77777777" w:rsidR="002F7D2A" w:rsidRDefault="002F7D2A" w:rsidP="00D660C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</w:p>
    <w:p w14:paraId="6BD91505" w14:textId="7CFE433E" w:rsidR="002F7D2A" w:rsidRDefault="00D660C6" w:rsidP="00D660C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  <w:r w:rsidRPr="00D660C6">
        <w:rPr>
          <w:rFonts w:ascii="Palatino Linotype" w:hAnsi="Palatino Linotype" w:cs="Calibri"/>
          <w:color w:val="000000"/>
        </w:rPr>
        <w:t>Rada Nadzorc</w:t>
      </w:r>
      <w:r w:rsidR="00F12BAA">
        <w:rPr>
          <w:rFonts w:ascii="Palatino Linotype" w:hAnsi="Palatino Linotype" w:cs="Calibri"/>
          <w:color w:val="000000"/>
        </w:rPr>
        <w:t>z</w:t>
      </w:r>
      <w:r w:rsidRPr="00D660C6">
        <w:rPr>
          <w:rFonts w:ascii="Palatino Linotype" w:hAnsi="Palatino Linotype" w:cs="Calibri"/>
          <w:color w:val="000000"/>
        </w:rPr>
        <w:t xml:space="preserve">a </w:t>
      </w:r>
      <w:r w:rsidR="002F7D2A" w:rsidRPr="002E47D6">
        <w:rPr>
          <w:rFonts w:ascii="Palatino Linotype" w:hAnsi="Palatino Linotype" w:cs="Calibri"/>
          <w:color w:val="000000"/>
        </w:rPr>
        <w:t xml:space="preserve">AMPLI S.A. w upadłości układowej </w:t>
      </w:r>
      <w:r w:rsidRPr="00D660C6">
        <w:rPr>
          <w:rFonts w:ascii="Palatino Linotype" w:hAnsi="Palatino Linotype" w:cs="Calibri"/>
          <w:color w:val="000000"/>
        </w:rPr>
        <w:t>na podstawie punktu 3 art. 90g ustawy o ofercie publicznej odstąpiła od podawania danych o zmianie, w ujęciu rocznym, wynagrodzenia, wyników Spółki oraz średniego wynagrodzenia pracowników Spółki niebędących członkami Zarządu ani Rady Nadzorczej w odniesieniu do lat, za które Rada Nadzorcza nie była obowiązana do sporządzania sprawozdania o wynagrodzeniach</w:t>
      </w:r>
      <w:r w:rsidR="002F7D2A" w:rsidRPr="002E47D6">
        <w:rPr>
          <w:rFonts w:ascii="Palatino Linotype" w:hAnsi="Palatino Linotype" w:cs="Calibri"/>
          <w:color w:val="000000"/>
        </w:rPr>
        <w:t xml:space="preserve"> tj. </w:t>
      </w:r>
      <w:r w:rsidR="0068709C">
        <w:rPr>
          <w:rFonts w:ascii="Palatino Linotype" w:hAnsi="Palatino Linotype" w:cs="Calibri"/>
          <w:color w:val="000000"/>
        </w:rPr>
        <w:t xml:space="preserve">w odniesieniu do </w:t>
      </w:r>
      <w:r w:rsidR="002F7D2A" w:rsidRPr="002E47D6">
        <w:rPr>
          <w:rFonts w:ascii="Palatino Linotype" w:hAnsi="Palatino Linotype" w:cs="Calibri"/>
          <w:color w:val="000000"/>
        </w:rPr>
        <w:t>okresu przed 2019r.</w:t>
      </w:r>
      <w:r w:rsidRPr="00D660C6">
        <w:rPr>
          <w:rFonts w:ascii="Palatino Linotype" w:hAnsi="Palatino Linotype" w:cs="Calibri"/>
          <w:color w:val="000000"/>
        </w:rPr>
        <w:t xml:space="preserve"> </w:t>
      </w:r>
    </w:p>
    <w:p w14:paraId="0CC04D59" w14:textId="77777777" w:rsidR="0068709C" w:rsidRPr="0068709C" w:rsidRDefault="0068709C" w:rsidP="00D660C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000000"/>
        </w:rPr>
      </w:pPr>
    </w:p>
    <w:p w14:paraId="277F3020" w14:textId="2FDDE600" w:rsidR="002E47D6" w:rsidRPr="008509C6" w:rsidRDefault="002F7D2A" w:rsidP="0068709C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 xml:space="preserve">7. </w:t>
      </w:r>
      <w:r w:rsidR="00D660C6" w:rsidRPr="0068709C">
        <w:rPr>
          <w:rFonts w:ascii="Palatino Linotype" w:hAnsi="Palatino Linotype"/>
          <w:b/>
          <w:bCs/>
        </w:rPr>
        <w:t xml:space="preserve">Wysokość wynagrodzenia od podmiotów należących do tej samej grupy kapitałowej w rozumieniu ustawy z dnia 29 września 1994 r. o rachunkowości </w:t>
      </w:r>
    </w:p>
    <w:p w14:paraId="6B9C9531" w14:textId="3F6FB13A" w:rsidR="00D660C6" w:rsidRPr="0068709C" w:rsidRDefault="002E47D6" w:rsidP="0068709C">
      <w:pPr>
        <w:rPr>
          <w:rFonts w:ascii="Palatino Linotype" w:hAnsi="Palatino Linotype"/>
        </w:rPr>
      </w:pPr>
      <w:r w:rsidRPr="0068709C">
        <w:rPr>
          <w:rFonts w:ascii="Palatino Linotype" w:hAnsi="Palatino Linotype"/>
        </w:rPr>
        <w:t>AMPLI S.A. w upadłości układowej nie wchodzi w skład żadnej grupy kapitałowej</w:t>
      </w:r>
      <w:r w:rsidR="004721B5" w:rsidRPr="0068709C">
        <w:rPr>
          <w:rFonts w:ascii="Palatino Linotype" w:hAnsi="Palatino Linotype"/>
        </w:rPr>
        <w:t xml:space="preserve">, w rozumieniu ustawy z dnia 29 września 1994 r. o rachunkowości. Dlatego też </w:t>
      </w:r>
      <w:r w:rsidRPr="0068709C">
        <w:rPr>
          <w:rFonts w:ascii="Palatino Linotype" w:hAnsi="Palatino Linotype"/>
        </w:rPr>
        <w:t xml:space="preserve"> </w:t>
      </w:r>
      <w:r w:rsidR="004721B5" w:rsidRPr="0068709C">
        <w:rPr>
          <w:rFonts w:ascii="Palatino Linotype" w:hAnsi="Palatino Linotype"/>
        </w:rPr>
        <w:t>w</w:t>
      </w:r>
      <w:r w:rsidR="00D660C6" w:rsidRPr="0068709C">
        <w:rPr>
          <w:rFonts w:ascii="Palatino Linotype" w:hAnsi="Palatino Linotype"/>
        </w:rPr>
        <w:t xml:space="preserve"> latach obrotowych 2019 i 2020, członkowie Zarządu oraz Rady Nadzorczej </w:t>
      </w:r>
      <w:r w:rsidR="004721B5" w:rsidRPr="0068709C">
        <w:rPr>
          <w:rFonts w:ascii="Palatino Linotype" w:hAnsi="Palatino Linotype"/>
        </w:rPr>
        <w:t xml:space="preserve"> Spółki </w:t>
      </w:r>
      <w:r w:rsidR="00D660C6" w:rsidRPr="0068709C">
        <w:rPr>
          <w:rFonts w:ascii="Palatino Linotype" w:hAnsi="Palatino Linotype"/>
        </w:rPr>
        <w:t xml:space="preserve">nie </w:t>
      </w:r>
      <w:r w:rsidR="0068709C" w:rsidRPr="0068709C">
        <w:rPr>
          <w:rFonts w:ascii="Palatino Linotype" w:hAnsi="Palatino Linotype"/>
        </w:rPr>
        <w:t xml:space="preserve">mogli </w:t>
      </w:r>
      <w:r w:rsidR="00D660C6" w:rsidRPr="0068709C">
        <w:rPr>
          <w:rFonts w:ascii="Palatino Linotype" w:hAnsi="Palatino Linotype"/>
        </w:rPr>
        <w:t>otrzymywa</w:t>
      </w:r>
      <w:r w:rsidR="0068709C" w:rsidRPr="0068709C">
        <w:rPr>
          <w:rFonts w:ascii="Palatino Linotype" w:hAnsi="Palatino Linotype"/>
        </w:rPr>
        <w:t>ć</w:t>
      </w:r>
      <w:r w:rsidR="00D660C6" w:rsidRPr="0068709C">
        <w:rPr>
          <w:rFonts w:ascii="Palatino Linotype" w:hAnsi="Palatino Linotype"/>
        </w:rPr>
        <w:t xml:space="preserve"> wynagrodzenia od podmiotów należących do grupy kapitałowej</w:t>
      </w:r>
      <w:r w:rsidR="004721B5" w:rsidRPr="0068709C">
        <w:rPr>
          <w:rFonts w:ascii="Palatino Linotype" w:hAnsi="Palatino Linotype"/>
        </w:rPr>
        <w:t xml:space="preserve">, w skład której wchodziłaby Spółka. </w:t>
      </w:r>
    </w:p>
    <w:p w14:paraId="0DBB49AE" w14:textId="156E2CF8" w:rsidR="0068709C" w:rsidRPr="0068709C" w:rsidRDefault="0068709C" w:rsidP="0068709C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 xml:space="preserve">8. Liczba przyznanych lub zaoferowanych instrumentów finansowych oraz główne warunki wykonywania praw z tych instrumentów, w tym cenę i datę wykonania oraz ich zmiany </w:t>
      </w:r>
    </w:p>
    <w:p w14:paraId="3F80DA5E" w14:textId="3515B4EA" w:rsidR="0068709C" w:rsidRPr="0068709C" w:rsidRDefault="0068709C" w:rsidP="0068709C">
      <w:pPr>
        <w:rPr>
          <w:rFonts w:ascii="Palatino Linotype" w:hAnsi="Palatino Linotype"/>
        </w:rPr>
      </w:pPr>
      <w:r w:rsidRPr="0068709C">
        <w:rPr>
          <w:rFonts w:ascii="Palatino Linotype" w:hAnsi="Palatino Linotype"/>
        </w:rPr>
        <w:t xml:space="preserve">W latach obrotowych 2019 i 2020, członkom Zarządu oraz Rady Nadzorczej AMPLI S.A. w upadłości układowej nie przyznano ani nie zaoferowano żadnych instrumentów finansowych. </w:t>
      </w:r>
    </w:p>
    <w:p w14:paraId="13C418EB" w14:textId="3EBFD7B2" w:rsidR="0068709C" w:rsidRPr="0068709C" w:rsidRDefault="0068709C" w:rsidP="0068709C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 xml:space="preserve">9. Informacje na temat korzystania z możliwości żądania zwrotu zmiennych składników wynagrodzenia </w:t>
      </w:r>
    </w:p>
    <w:p w14:paraId="4A1A3ADA" w14:textId="60C2AAF1" w:rsidR="0068709C" w:rsidRPr="0068709C" w:rsidRDefault="0068709C" w:rsidP="0068709C">
      <w:pPr>
        <w:rPr>
          <w:rFonts w:ascii="Palatino Linotype" w:hAnsi="Palatino Linotype"/>
        </w:rPr>
      </w:pPr>
      <w:r w:rsidRPr="0068709C">
        <w:rPr>
          <w:rFonts w:ascii="Palatino Linotype" w:hAnsi="Palatino Linotype"/>
        </w:rPr>
        <w:t xml:space="preserve">W latach obrotowych 2019 i 2020 nie żądano zwrotu żadnych zmiennych składników wynagrodzenia od członków Zarządu oraz Rady Nadzorczej Spółki. </w:t>
      </w:r>
    </w:p>
    <w:p w14:paraId="0B57E19F" w14:textId="2724D33E" w:rsidR="0068709C" w:rsidRPr="0068709C" w:rsidRDefault="0068709C" w:rsidP="0068709C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 xml:space="preserve">10.  Informacje dotyczące odstępstw od procedury wdrażania polityki wynagrodzeń oraz odstępstw zastosowanych zgodnie z art. 90f Ustawy o ofercie publicznej, w tym wyjaśnienie przesłanek i trybu, oraz wskazanie elementów, od których zastosowano odstępstwa </w:t>
      </w:r>
    </w:p>
    <w:p w14:paraId="7550AB44" w14:textId="6ECD5016" w:rsidR="00A077AF" w:rsidRPr="008509C6" w:rsidRDefault="0068709C" w:rsidP="008509C6">
      <w:pPr>
        <w:rPr>
          <w:rFonts w:ascii="Palatino Linotype" w:hAnsi="Palatino Linotype"/>
        </w:rPr>
      </w:pPr>
      <w:r w:rsidRPr="0068709C">
        <w:rPr>
          <w:rFonts w:ascii="Palatino Linotype" w:hAnsi="Palatino Linotype"/>
        </w:rPr>
        <w:t>Według wiedzy Rady Nadzorczej, w latach 2019 -2020 nie miały miejsca odstępstwa, o których mowa w art. 90g ust. 2 pkt 8 Ustawy.</w:t>
      </w:r>
    </w:p>
    <w:p w14:paraId="7A6FA33C" w14:textId="77777777" w:rsidR="008509C6" w:rsidRDefault="008509C6" w:rsidP="00A077AF">
      <w:pPr>
        <w:ind w:left="4248" w:firstLine="708"/>
        <w:rPr>
          <w:rFonts w:ascii="Palatino Linotype" w:hAnsi="Palatino Linotype"/>
          <w:b/>
          <w:bCs/>
        </w:rPr>
      </w:pPr>
    </w:p>
    <w:p w14:paraId="61BD7712" w14:textId="502D71B2" w:rsidR="0068709C" w:rsidRPr="0068709C" w:rsidRDefault="0068709C" w:rsidP="00A077AF">
      <w:pPr>
        <w:ind w:left="4248" w:firstLine="708"/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 xml:space="preserve">Przewodniczący Rady Nadzorczej </w:t>
      </w:r>
    </w:p>
    <w:p w14:paraId="26A2405A" w14:textId="1E1C06C1" w:rsidR="0068709C" w:rsidRPr="0068709C" w:rsidRDefault="0068709C" w:rsidP="0068709C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  <w:t xml:space="preserve">AMPLI S.A. w upadłości układowej </w:t>
      </w:r>
    </w:p>
    <w:p w14:paraId="365588AB" w14:textId="41669391" w:rsidR="002E47D6" w:rsidRPr="00F12BAA" w:rsidRDefault="0068709C" w:rsidP="00F12BAA">
      <w:pPr>
        <w:rPr>
          <w:rFonts w:ascii="Palatino Linotype" w:hAnsi="Palatino Linotype"/>
          <w:b/>
          <w:bCs/>
        </w:rPr>
      </w:pP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</w:r>
      <w:r w:rsidRPr="0068709C">
        <w:rPr>
          <w:rFonts w:ascii="Palatino Linotype" w:hAnsi="Palatino Linotype"/>
          <w:b/>
          <w:bCs/>
        </w:rPr>
        <w:tab/>
        <w:t xml:space="preserve">Artur </w:t>
      </w:r>
      <w:proofErr w:type="spellStart"/>
      <w:r w:rsidRPr="0068709C">
        <w:rPr>
          <w:rFonts w:ascii="Palatino Linotype" w:hAnsi="Palatino Linotype"/>
          <w:b/>
          <w:bCs/>
        </w:rPr>
        <w:t>Kostyrzewski</w:t>
      </w:r>
      <w:proofErr w:type="spellEnd"/>
    </w:p>
    <w:sectPr w:rsidR="002E47D6" w:rsidRPr="00F12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AB23" w14:textId="77777777" w:rsidR="000B1D7D" w:rsidRDefault="000B1D7D" w:rsidP="0068709C">
      <w:pPr>
        <w:spacing w:after="0" w:line="240" w:lineRule="auto"/>
      </w:pPr>
      <w:r>
        <w:separator/>
      </w:r>
    </w:p>
  </w:endnote>
  <w:endnote w:type="continuationSeparator" w:id="0">
    <w:p w14:paraId="0FA78025" w14:textId="77777777" w:rsidR="000B1D7D" w:rsidRDefault="000B1D7D" w:rsidP="0068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8F62" w14:textId="77777777" w:rsidR="0068709C" w:rsidRDefault="006870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583295"/>
      <w:docPartObj>
        <w:docPartGallery w:val="Page Numbers (Bottom of Page)"/>
        <w:docPartUnique/>
      </w:docPartObj>
    </w:sdtPr>
    <w:sdtEndPr/>
    <w:sdtContent>
      <w:p w14:paraId="3E02DC26" w14:textId="22F23DD2" w:rsidR="0068709C" w:rsidRDefault="006870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3821D" w14:textId="77777777" w:rsidR="0068709C" w:rsidRDefault="006870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FDD6" w14:textId="77777777" w:rsidR="0068709C" w:rsidRDefault="00687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FFBE" w14:textId="77777777" w:rsidR="000B1D7D" w:rsidRDefault="000B1D7D" w:rsidP="0068709C">
      <w:pPr>
        <w:spacing w:after="0" w:line="240" w:lineRule="auto"/>
      </w:pPr>
      <w:r>
        <w:separator/>
      </w:r>
    </w:p>
  </w:footnote>
  <w:footnote w:type="continuationSeparator" w:id="0">
    <w:p w14:paraId="5DF36962" w14:textId="77777777" w:rsidR="000B1D7D" w:rsidRDefault="000B1D7D" w:rsidP="0068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E06A" w14:textId="77777777" w:rsidR="0068709C" w:rsidRDefault="00687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E7" w14:textId="77777777" w:rsidR="0068709C" w:rsidRDefault="006870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A283" w14:textId="77777777" w:rsidR="0068709C" w:rsidRDefault="00687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D98"/>
    <w:multiLevelType w:val="hybridMultilevel"/>
    <w:tmpl w:val="9816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E1B"/>
    <w:multiLevelType w:val="hybridMultilevel"/>
    <w:tmpl w:val="BE1A7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92107"/>
    <w:multiLevelType w:val="hybridMultilevel"/>
    <w:tmpl w:val="59684796"/>
    <w:lvl w:ilvl="0" w:tplc="3A7E6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A0EB7"/>
    <w:multiLevelType w:val="hybridMultilevel"/>
    <w:tmpl w:val="DF02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488E"/>
    <w:multiLevelType w:val="hybridMultilevel"/>
    <w:tmpl w:val="FB3027D2"/>
    <w:lvl w:ilvl="0" w:tplc="CC128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E2D62"/>
    <w:multiLevelType w:val="hybridMultilevel"/>
    <w:tmpl w:val="28964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75"/>
    <w:rsid w:val="00003FB8"/>
    <w:rsid w:val="00025FCA"/>
    <w:rsid w:val="0007083C"/>
    <w:rsid w:val="000B1D7D"/>
    <w:rsid w:val="000F3951"/>
    <w:rsid w:val="00176F36"/>
    <w:rsid w:val="001B0106"/>
    <w:rsid w:val="001C16EE"/>
    <w:rsid w:val="001D61EB"/>
    <w:rsid w:val="00234FE2"/>
    <w:rsid w:val="00240FEC"/>
    <w:rsid w:val="00243E85"/>
    <w:rsid w:val="002715DA"/>
    <w:rsid w:val="002758DD"/>
    <w:rsid w:val="002B5F0D"/>
    <w:rsid w:val="002E47D6"/>
    <w:rsid w:val="002F7D2A"/>
    <w:rsid w:val="0030370C"/>
    <w:rsid w:val="00347362"/>
    <w:rsid w:val="0038129A"/>
    <w:rsid w:val="0038607D"/>
    <w:rsid w:val="003B636E"/>
    <w:rsid w:val="003F324D"/>
    <w:rsid w:val="00416044"/>
    <w:rsid w:val="004442F2"/>
    <w:rsid w:val="00446F50"/>
    <w:rsid w:val="004638C0"/>
    <w:rsid w:val="004721B5"/>
    <w:rsid w:val="00491C5A"/>
    <w:rsid w:val="004B3BED"/>
    <w:rsid w:val="004C1D22"/>
    <w:rsid w:val="004E3027"/>
    <w:rsid w:val="005037ED"/>
    <w:rsid w:val="00531CF6"/>
    <w:rsid w:val="0054225A"/>
    <w:rsid w:val="0056388E"/>
    <w:rsid w:val="00577DD0"/>
    <w:rsid w:val="00590BAD"/>
    <w:rsid w:val="005B26F2"/>
    <w:rsid w:val="005C5C53"/>
    <w:rsid w:val="00677CE0"/>
    <w:rsid w:val="0068709C"/>
    <w:rsid w:val="00785089"/>
    <w:rsid w:val="007A05F1"/>
    <w:rsid w:val="007E0C4A"/>
    <w:rsid w:val="008007EC"/>
    <w:rsid w:val="00814C6E"/>
    <w:rsid w:val="0083090A"/>
    <w:rsid w:val="008447FE"/>
    <w:rsid w:val="008509C6"/>
    <w:rsid w:val="008B2D9B"/>
    <w:rsid w:val="008B7DAB"/>
    <w:rsid w:val="008E0E85"/>
    <w:rsid w:val="008F2B7F"/>
    <w:rsid w:val="0091139C"/>
    <w:rsid w:val="00914EB8"/>
    <w:rsid w:val="00933BB2"/>
    <w:rsid w:val="00942666"/>
    <w:rsid w:val="009450B1"/>
    <w:rsid w:val="00960132"/>
    <w:rsid w:val="00990FFD"/>
    <w:rsid w:val="00993020"/>
    <w:rsid w:val="009A3E4C"/>
    <w:rsid w:val="009B7075"/>
    <w:rsid w:val="009C2E89"/>
    <w:rsid w:val="00A075A9"/>
    <w:rsid w:val="00A077AF"/>
    <w:rsid w:val="00A33F5C"/>
    <w:rsid w:val="00AE5ED4"/>
    <w:rsid w:val="00B1285B"/>
    <w:rsid w:val="00B312ED"/>
    <w:rsid w:val="00B50078"/>
    <w:rsid w:val="00B7029D"/>
    <w:rsid w:val="00BC0B6A"/>
    <w:rsid w:val="00BE4248"/>
    <w:rsid w:val="00C209B0"/>
    <w:rsid w:val="00CD3091"/>
    <w:rsid w:val="00D33E1D"/>
    <w:rsid w:val="00D56697"/>
    <w:rsid w:val="00D660C6"/>
    <w:rsid w:val="00D86EF9"/>
    <w:rsid w:val="00E07DAD"/>
    <w:rsid w:val="00E30FF4"/>
    <w:rsid w:val="00E3124F"/>
    <w:rsid w:val="00E71F00"/>
    <w:rsid w:val="00ED4726"/>
    <w:rsid w:val="00EE4E6F"/>
    <w:rsid w:val="00EF273C"/>
    <w:rsid w:val="00F12BAA"/>
    <w:rsid w:val="00F55871"/>
    <w:rsid w:val="00FA083E"/>
    <w:rsid w:val="00FA5E07"/>
    <w:rsid w:val="00FE2704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6F9D"/>
  <w15:chartTrackingRefBased/>
  <w15:docId w15:val="{41A522FA-6050-49DB-9945-DA80BC9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1139C"/>
    <w:pPr>
      <w:ind w:left="720"/>
      <w:contextualSpacing/>
    </w:pPr>
  </w:style>
  <w:style w:type="table" w:styleId="Tabela-Siatka">
    <w:name w:val="Table Grid"/>
    <w:basedOn w:val="Standardowy"/>
    <w:uiPriority w:val="39"/>
    <w:rsid w:val="00A3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09C"/>
  </w:style>
  <w:style w:type="paragraph" w:styleId="Stopka">
    <w:name w:val="footer"/>
    <w:basedOn w:val="Normalny"/>
    <w:link w:val="StopkaZnak"/>
    <w:uiPriority w:val="99"/>
    <w:unhideWhenUsed/>
    <w:rsid w:val="0068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2495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Knot</dc:creator>
  <cp:keywords/>
  <dc:description/>
  <cp:lastModifiedBy>Rafał Knot</cp:lastModifiedBy>
  <cp:revision>2</cp:revision>
  <dcterms:created xsi:type="dcterms:W3CDTF">2021-06-29T11:49:00Z</dcterms:created>
  <dcterms:modified xsi:type="dcterms:W3CDTF">2021-06-29T11:49:00Z</dcterms:modified>
</cp:coreProperties>
</file>