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</w:pPr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  <w:t>Piotr Jeleński - Prezes Zarządu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Menedżer z bogatym doświadczeniem w tworzeniu i rozwijaniu firm w różnych krajach, w tym krajach Europy Południowo-Wschodniej oraz Turcji. Zarządza firmą z międzynarodową strukturą zatrudniającą ponad 1300 osób, działającą w 12 krajach.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Piotr Jeleński jest Prezesem Zarządu Asseco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South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Eastern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Europe S.A. od lipca 2007 roku. Zarządza Grupą Asseco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South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Eastern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Europe. Jest odpowiedzialny za ogólną strategię Grupy, bieżący rozwój wszystkich jednostek biznesowych ASEE i strategiczne działania na poszczególnych rynkach. Skupia się na wzroście organicznym wspieranym przez wybrane akwizycje. 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Od stycznia 2002 do czerwca 2009 pracował jako dyrektor finansowy w Softbanku, a po fuzji Softbanku z Asseco Poland, jako CFO i członek zarządu Asseco Poland. Jego obowiązki obejmowały organizowanie finansowania, restrukturyzację, zarządzanie fuzjami i przejęciami, wprowadzenie nowych procedur i procesów biznesowych. Największe osiągnięcia to zarządzanie i wsparcie w procesach fuzji z trzema największymi polskimi dostawcami IT (Softbank, Prokom i ABG). 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Wcześniej, od września 1996 do lipca 2001 Piotr Jeleński pracował jako zastępca dyrektora CA IB Financial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Advisers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i był odpowiedzialny w banku inwestycyjnym za tworzenie i realizację projektów w zakresie fuzji i przejęć. 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Piotr Jeleński jest absolwentem Uniwersytetu Warszawskiego, gdzie uzyskał tytuł magistra ekonomii ze specjalizacją w zakresie Organizacji i Zarządzania. Jest również absolwentem Aston Business School w Birmingham, w Wielkiej Brytanii z tytułem Master of Business. </w:t>
      </w: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color w:val="1D1D1D"/>
          <w:sz w:val="18"/>
          <w:szCs w:val="18"/>
          <w:lang w:eastAsia="pl-PL"/>
        </w:rPr>
      </w:pP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</w:pPr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  <w:t>Miljan Mališ - Członek Zarządu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Pan Miljan Mališ ukończył studia na wydziale Inżynierii Elektrycznej na Uniwersytecie w Belgradzie i uzyskał tytuł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B.Sc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. (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Bachelor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of Science). Pan Miljan Mališ pełnił funkcje w następujących podmiotach:</w:t>
      </w:r>
    </w:p>
    <w:p w:rsidR="00404F42" w:rsidRPr="00404F42" w:rsidRDefault="00404F42" w:rsidP="00404F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w latach 1996 - 1998; inżynier komunikacji w spółce informatycznej IBIS-SYS,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Beograd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, Serbia,</w:t>
      </w:r>
    </w:p>
    <w:p w:rsidR="00404F42" w:rsidRPr="00404F42" w:rsidRDefault="00404F42" w:rsidP="00404F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w latach 1999 - 2004; zastępca dyrektora generalnego, a następnie dyrektor generalny IBIS-SYS (spółka przejęta przez Siemens Business Services),</w:t>
      </w:r>
    </w:p>
    <w:p w:rsidR="00404F42" w:rsidRPr="00404F42" w:rsidRDefault="00404F42" w:rsidP="00404F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marzec 2007 - do chwili obecnej; dyrektor zarządzający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Pexim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Cardinfo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.,</w:t>
      </w:r>
    </w:p>
    <w:p w:rsidR="00404F42" w:rsidRPr="00404F42" w:rsidRDefault="00404F42" w:rsidP="00404F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eastAsia="pl-PL"/>
        </w:rPr>
        <w:t>lipiec 2008 - do chwili obecnej; członek zarządu ASEE.</w:t>
      </w: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color w:val="1D1D1D"/>
          <w:sz w:val="18"/>
          <w:szCs w:val="18"/>
          <w:lang w:val="en-US" w:eastAsia="pl-PL"/>
        </w:rPr>
      </w:pP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</w:pPr>
      <w:proofErr w:type="spellStart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>Miodrag</w:t>
      </w:r>
      <w:proofErr w:type="spellEnd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>Mirčetić</w:t>
      </w:r>
      <w:proofErr w:type="spellEnd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 xml:space="preserve"> - </w:t>
      </w:r>
      <w:proofErr w:type="spellStart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>Członek</w:t>
      </w:r>
      <w:proofErr w:type="spellEnd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val="en-US" w:eastAsia="pl-PL"/>
        </w:rPr>
        <w:t>Zarządu</w:t>
      </w:r>
      <w:proofErr w:type="spellEnd"/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Mr.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Miodrag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Mirčetić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held positions in the following entities: </w:t>
      </w:r>
    </w:p>
    <w:p w:rsidR="00404F42" w:rsidRPr="00404F42" w:rsidRDefault="00404F42" w:rsidP="00404F4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since 1992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Pexim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. - General Architect of Software, Trader</w:t>
      </w:r>
    </w:p>
    <w:p w:rsidR="00404F42" w:rsidRPr="00404F42" w:rsidRDefault="00404F42" w:rsidP="00404F4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since 1997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Pexim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. – General Director - since 2006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Pexim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Solutions – General Director</w:t>
      </w:r>
    </w:p>
    <w:p w:rsidR="00404F42" w:rsidRPr="00404F42" w:rsidRDefault="00404F42" w:rsidP="00404F42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ce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2007 14-Invention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. – President of the Management Board </w:t>
      </w:r>
    </w:p>
    <w:p w:rsidR="00404F42" w:rsidRPr="00404F42" w:rsidRDefault="00404F42" w:rsidP="00404F4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During the last 5 years Mr.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Miodrag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Mirčetić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has been the partner of the following companies:</w:t>
      </w:r>
    </w:p>
    <w:p w:rsidR="00404F42" w:rsidRPr="00404F42" w:rsidRDefault="00404F42" w:rsidP="00404F4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14-Invention, in which he held 100% of shares, since July 2007; </w:t>
      </w:r>
    </w:p>
    <w:p w:rsidR="00404F42" w:rsidRPr="00404F42" w:rsidRDefault="00404F42" w:rsidP="00404F4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Pexim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Investments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., in which he held 16% of shares, since October 2007, since 2009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spped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 shares on ASEE shares </w:t>
      </w:r>
    </w:p>
    <w:p w:rsidR="00404F42" w:rsidRPr="00404F42" w:rsidRDefault="00404F42" w:rsidP="00404F4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</w:pPr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 xml:space="preserve">MHM </w:t>
      </w:r>
      <w:proofErr w:type="spellStart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d.o.o</w:t>
      </w:r>
      <w:proofErr w:type="spellEnd"/>
      <w:r w:rsidRPr="00404F42">
        <w:rPr>
          <w:rFonts w:ascii="Arial" w:eastAsia="Times New Roman" w:hAnsi="Arial" w:cs="Arial"/>
          <w:color w:val="1D1D1D"/>
          <w:sz w:val="18"/>
          <w:szCs w:val="18"/>
          <w:lang w:val="en-US" w:eastAsia="pl-PL"/>
        </w:rPr>
        <w:t>., in which he held 20% of shares, since</w:t>
      </w: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color w:val="1D1D1D"/>
          <w:sz w:val="18"/>
          <w:szCs w:val="18"/>
          <w:lang w:eastAsia="pl-PL"/>
        </w:rPr>
      </w:pPr>
    </w:p>
    <w:p w:rsidR="00404F42" w:rsidRPr="00404F42" w:rsidRDefault="00404F42" w:rsidP="00404F42">
      <w:pPr>
        <w:spacing w:after="0" w:line="240" w:lineRule="auto"/>
        <w:jc w:val="both"/>
        <w:outlineLvl w:val="3"/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</w:pPr>
      <w:r w:rsidRPr="00404F42">
        <w:rPr>
          <w:rFonts w:ascii="geomanist-book" w:eastAsia="Times New Roman" w:hAnsi="geomanist-book" w:cs="Arial"/>
          <w:b/>
          <w:color w:val="1D1D1D"/>
          <w:sz w:val="18"/>
          <w:szCs w:val="18"/>
          <w:lang w:eastAsia="pl-PL"/>
        </w:rPr>
        <w:t>Marcin Rulnicki - Członek Zarządu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 xml:space="preserve">Marcin Rulnicki jest Dyrektorem Finansowym / Członkiem Zarządu ds. finansowych Grupy Asseco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South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Eastern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Europe S.A.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 xml:space="preserve">Swoją karierę w Grupie Asseco rozpoczął we wrześniu 2009 roku, obejmując stanowisko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Corporate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Finance Manager w Asseco Poland. Zakres jego obowiązków obejmował przede wszystkim koordynację finansowych aspektów zagranicznych projektów akwizycyjnych oraz nadzór właścicielski nad zagranicznymi spółkami wchodzącymi w skład Grupy Asseco.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 xml:space="preserve">Marcin Rulnicki pełnił między innymi funkcję Członka Rady Dyrektorów Grupy Asseco odpowiedzialnego za finanse, Przewodniczącego Rady Dyrektorów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Formula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Systems, Członka Rady Nadzorczej matrix42 A.G. oraz Członka Zarządu Asseco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South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Western Europe.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>Od lipca 2008 roku Marcin Rulnicki prowadził niezależną działalność doradczą specjalizującą się w projektach inwestycyjnych i restrukturyzacyjnych.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>W okresie od sierpnia 2006 do lipca 2008 pracował jako Wiceprezes a następnie p/o Prezesa Zarządu Zachodniego Funduszu Inwestycyjnego NFI S.A., spółki notowanej na Warszawskiej Giełdzie Papierów Wartościowych, w której odpowiedzialny był za strategiczne i operacyjne zarządzanie funduszem (w tym restrukturyzację grupy) oraz komunikację z rynkiem kapitałowym.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 xml:space="preserve">W latach 2002-2006 Marcin Rulnicki pracował w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Heitman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 xml:space="preserve"> Financial, spółce zajmującej się zarządzaniem funduszami inwestującymi w nieruchomości, gdzie prowadził zespół odpowiedzialny za finanse spółek celowych w Europie Środkowo-Wschodniej.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 xml:space="preserve">W okresie od 2000 do 2002 pracował jako audytor w Arthur Andersen, a następnie w </w:t>
      </w:r>
      <w:proofErr w:type="spellStart"/>
      <w:r w:rsidRPr="00404F42">
        <w:rPr>
          <w:rFonts w:ascii="geomanist-light" w:hAnsi="geomanist-light"/>
          <w:color w:val="1D1D1D"/>
          <w:sz w:val="18"/>
          <w:szCs w:val="18"/>
        </w:rPr>
        <w:t>Ernst&amp;Young</w:t>
      </w:r>
      <w:proofErr w:type="spellEnd"/>
      <w:r w:rsidRPr="00404F42">
        <w:rPr>
          <w:rFonts w:ascii="geomanist-light" w:hAnsi="geomanist-light"/>
          <w:color w:val="1D1D1D"/>
          <w:sz w:val="18"/>
          <w:szCs w:val="18"/>
        </w:rPr>
        <w:t>. </w:t>
      </w:r>
    </w:p>
    <w:p w:rsidR="00404F42" w:rsidRPr="00404F42" w:rsidRDefault="00404F42" w:rsidP="00404F42">
      <w:pPr>
        <w:pStyle w:val="bodytext"/>
        <w:spacing w:after="0"/>
        <w:jc w:val="both"/>
        <w:rPr>
          <w:rFonts w:ascii="geomanist-light" w:hAnsi="geomanist-light"/>
          <w:color w:val="1D1D1D"/>
          <w:sz w:val="18"/>
          <w:szCs w:val="18"/>
        </w:rPr>
      </w:pPr>
      <w:r w:rsidRPr="00404F42">
        <w:rPr>
          <w:rFonts w:ascii="geomanist-light" w:hAnsi="geomanist-light"/>
          <w:color w:val="1D1D1D"/>
          <w:sz w:val="18"/>
          <w:szCs w:val="18"/>
        </w:rPr>
        <w:t>Marcin Rulnicki ukończył Akademię Ekonomiczną w Poznaniu (Wydział Zarządzania), uzyskując tytuł magistra ekonomii ze specjalizacją w zakresie Inwestycji Kapitałowych i Strategii Finansowych Przedsiębiorstw. Marcin Rulnicki posiada uprawnienia biegłego rewidenta.</w:t>
      </w:r>
    </w:p>
    <w:p w:rsidR="003251A6" w:rsidRDefault="003251A6">
      <w:bookmarkStart w:id="0" w:name="_GoBack"/>
      <w:bookmarkEnd w:id="0"/>
    </w:p>
    <w:sectPr w:rsidR="0032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manist-book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manist-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F69"/>
    <w:multiLevelType w:val="multilevel"/>
    <w:tmpl w:val="E1D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F05CA"/>
    <w:multiLevelType w:val="multilevel"/>
    <w:tmpl w:val="931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36BA0"/>
    <w:multiLevelType w:val="multilevel"/>
    <w:tmpl w:val="4B7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2"/>
    <w:rsid w:val="003251A6"/>
    <w:rsid w:val="004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FCDA"/>
  <w15:chartTrackingRefBased/>
  <w15:docId w15:val="{F5AD6B21-A2C9-4F53-86D9-A460D0F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404F4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dorota.trojanowska</dc:creator>
  <cp:keywords/>
  <dc:description/>
  <cp:lastModifiedBy>dorota.trojanowska</cp:lastModifiedBy>
  <cp:revision>1</cp:revision>
  <dcterms:created xsi:type="dcterms:W3CDTF">2017-05-15T16:23:00Z</dcterms:created>
  <dcterms:modified xsi:type="dcterms:W3CDTF">2017-05-15T16:27:00Z</dcterms:modified>
</cp:coreProperties>
</file>