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EC197" w14:textId="77777777" w:rsidR="00113750" w:rsidRPr="009D0BFB" w:rsidRDefault="00113750" w:rsidP="00113750">
      <w:pPr>
        <w:spacing w:before="240"/>
        <w:jc w:val="center"/>
        <w:rPr>
          <w:rFonts w:ascii="Palatino Linotype" w:hAnsi="Palatino Linotype" w:cstheme="majorBidi"/>
          <w:sz w:val="26"/>
          <w:szCs w:val="26"/>
          <w:u w:val="single"/>
        </w:rPr>
      </w:pPr>
      <w:r w:rsidRPr="009D0BFB">
        <w:rPr>
          <w:rFonts w:ascii="Palatino Linotype" w:hAnsi="Palatino Linotype" w:cstheme="majorBidi"/>
          <w:sz w:val="26"/>
          <w:szCs w:val="26"/>
          <w:u w:val="single"/>
        </w:rPr>
        <w:t>POLITYKA WYNAGRODZEŃ</w:t>
      </w:r>
    </w:p>
    <w:p w14:paraId="0E359E12" w14:textId="77777777" w:rsidR="00113750" w:rsidRPr="009D0BFB" w:rsidRDefault="00113750" w:rsidP="00113750">
      <w:pPr>
        <w:jc w:val="center"/>
        <w:rPr>
          <w:rFonts w:ascii="Palatino Linotype" w:hAnsi="Palatino Linotype" w:cstheme="majorBidi"/>
          <w:sz w:val="26"/>
          <w:szCs w:val="26"/>
          <w:u w:val="single"/>
        </w:rPr>
      </w:pPr>
      <w:r w:rsidRPr="009D0BFB">
        <w:rPr>
          <w:rFonts w:ascii="Palatino Linotype" w:hAnsi="Palatino Linotype" w:cstheme="majorBidi"/>
          <w:sz w:val="26"/>
          <w:szCs w:val="26"/>
          <w:u w:val="single"/>
        </w:rPr>
        <w:t>CZŁONKÓW ZARZĄDU I RADY NADZORCZEJ</w:t>
      </w:r>
    </w:p>
    <w:p w14:paraId="39FDC559" w14:textId="77777777" w:rsidR="00113750" w:rsidRDefault="00113750" w:rsidP="00113750">
      <w:pPr>
        <w:jc w:val="center"/>
        <w:rPr>
          <w:rFonts w:ascii="Palatino Linotype" w:hAnsi="Palatino Linotype" w:cstheme="majorBidi"/>
          <w:sz w:val="26"/>
          <w:szCs w:val="26"/>
          <w:u w:val="single"/>
        </w:rPr>
      </w:pPr>
      <w:r w:rsidRPr="009D0BFB">
        <w:rPr>
          <w:rFonts w:ascii="Palatino Linotype" w:hAnsi="Palatino Linotype" w:cstheme="majorBidi"/>
          <w:sz w:val="26"/>
          <w:szCs w:val="26"/>
          <w:u w:val="single"/>
        </w:rPr>
        <w:t>HARPER HYGIENICS S.A. Z SIEDZIBĄ W WARSZAWIE</w:t>
      </w:r>
    </w:p>
    <w:p w14:paraId="5788B2A2" w14:textId="77777777" w:rsidR="00113750" w:rsidRPr="009D0BFB" w:rsidRDefault="00113750" w:rsidP="00113750">
      <w:pPr>
        <w:spacing w:after="0"/>
        <w:jc w:val="center"/>
        <w:rPr>
          <w:rFonts w:ascii="Palatino Linotype" w:hAnsi="Palatino Linotype" w:cstheme="majorBidi"/>
          <w:sz w:val="26"/>
          <w:szCs w:val="26"/>
          <w:u w:val="single"/>
        </w:rPr>
      </w:pPr>
    </w:p>
    <w:p w14:paraId="3239DFBF" w14:textId="77777777" w:rsidR="00113750" w:rsidRPr="009D0BFB" w:rsidRDefault="00113750" w:rsidP="00113750">
      <w:pPr>
        <w:pStyle w:val="Akapitzlist"/>
        <w:numPr>
          <w:ilvl w:val="0"/>
          <w:numId w:val="3"/>
        </w:numPr>
        <w:spacing w:before="240" w:line="300" w:lineRule="auto"/>
        <w:jc w:val="center"/>
        <w:rPr>
          <w:rFonts w:ascii="Palatino Linotype" w:hAnsi="Palatino Linotype" w:cstheme="majorBidi"/>
          <w:b/>
          <w:bCs/>
          <w:sz w:val="26"/>
          <w:szCs w:val="26"/>
        </w:rPr>
      </w:pPr>
      <w:r w:rsidRPr="009D0BFB">
        <w:rPr>
          <w:rFonts w:ascii="Palatino Linotype" w:hAnsi="Palatino Linotype" w:cstheme="majorBidi"/>
          <w:b/>
          <w:bCs/>
          <w:sz w:val="26"/>
          <w:szCs w:val="26"/>
        </w:rPr>
        <w:t>Postanowienia Ogólne</w:t>
      </w:r>
    </w:p>
    <w:p w14:paraId="714975A1" w14:textId="77777777" w:rsidR="00113750"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Niniejsza Polityka określa zasady wynagradzania Członków Zarządu i Rady Nadzorczej uwzględniający wymogi wskazane w art. 90d ust. 3 Ustawy.</w:t>
      </w:r>
      <w:r>
        <w:rPr>
          <w:rFonts w:ascii="Palatino Linotype" w:hAnsi="Palatino Linotype" w:cstheme="majorBidi"/>
          <w:sz w:val="26"/>
          <w:szCs w:val="26"/>
        </w:rPr>
        <w:t xml:space="preserve"> -----------------------------------------------------------------------------------</w:t>
      </w:r>
    </w:p>
    <w:p w14:paraId="2A329A20" w14:textId="77777777" w:rsidR="00113750" w:rsidRPr="008A6940"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8A6940">
        <w:rPr>
          <w:rFonts w:ascii="Palatino Linotype" w:hAnsi="Palatino Linotype" w:cstheme="majorBidi"/>
          <w:sz w:val="26"/>
          <w:szCs w:val="26"/>
        </w:rPr>
        <w:t xml:space="preserve">Terminy pisane w dalszej części wielką literą mają następujące znaczenie: </w:t>
      </w:r>
    </w:p>
    <w:p w14:paraId="724F822F"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Cele Zarządcze – cele określone na zasadach określonych w Polityce dotyczące realizacji strategii biznesowej, długoterminowych interesów oraz stabilności Spółki;</w:t>
      </w:r>
      <w:r>
        <w:rPr>
          <w:rFonts w:ascii="Palatino Linotype" w:hAnsi="Palatino Linotype" w:cstheme="majorBidi"/>
          <w:sz w:val="26"/>
          <w:szCs w:val="26"/>
        </w:rPr>
        <w:t xml:space="preserve"> ---------------------------------------------</w:t>
      </w:r>
    </w:p>
    <w:p w14:paraId="6F4226A1"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8A6940">
        <w:rPr>
          <w:rFonts w:ascii="Palatino Linotype" w:hAnsi="Palatino Linotype" w:cstheme="majorBidi"/>
          <w:sz w:val="26"/>
          <w:szCs w:val="26"/>
        </w:rPr>
        <w:t>Członek Rady Nadzorczej – Przewodniczący, Wiceprzewodniczący lub Członek Rady Nadzorczej Spółki; --------</w:t>
      </w:r>
      <w:r>
        <w:rPr>
          <w:rFonts w:ascii="Palatino Linotype" w:hAnsi="Palatino Linotype" w:cstheme="majorBidi"/>
          <w:sz w:val="26"/>
          <w:szCs w:val="26"/>
        </w:rPr>
        <w:t>--------------------------------</w:t>
      </w:r>
    </w:p>
    <w:p w14:paraId="57D0DB82"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8A6940">
        <w:rPr>
          <w:rFonts w:ascii="Palatino Linotype" w:hAnsi="Palatino Linotype" w:cstheme="majorBidi"/>
          <w:sz w:val="26"/>
          <w:szCs w:val="26"/>
        </w:rPr>
        <w:t>Członek Zarządu – Prezes lub Członek Zarządu Spółki; -------------</w:t>
      </w:r>
      <w:r>
        <w:rPr>
          <w:rFonts w:ascii="Palatino Linotype" w:hAnsi="Palatino Linotype" w:cstheme="majorBidi"/>
          <w:sz w:val="26"/>
          <w:szCs w:val="26"/>
        </w:rPr>
        <w:t>---</w:t>
      </w:r>
    </w:p>
    <w:p w14:paraId="0281EF29"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8A6940">
        <w:rPr>
          <w:rFonts w:ascii="Palatino Linotype" w:hAnsi="Palatino Linotype" w:cstheme="majorBidi"/>
          <w:sz w:val="26"/>
          <w:szCs w:val="26"/>
        </w:rPr>
        <w:t>Członek Organów – Członek Zarządu oraz Członek Rady Nadzorczej; -----------------------------------------------------------------------</w:t>
      </w:r>
      <w:r>
        <w:rPr>
          <w:rFonts w:ascii="Palatino Linotype" w:hAnsi="Palatino Linotype" w:cstheme="majorBidi"/>
          <w:sz w:val="26"/>
          <w:szCs w:val="26"/>
        </w:rPr>
        <w:t>--</w:t>
      </w:r>
    </w:p>
    <w:p w14:paraId="4DC09EB5"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8A6940">
        <w:rPr>
          <w:rFonts w:ascii="Palatino Linotype" w:hAnsi="Palatino Linotype" w:cstheme="majorBidi"/>
          <w:sz w:val="26"/>
          <w:szCs w:val="26"/>
        </w:rPr>
        <w:t>Komitet Wynagrodzeń – Komitet Wynagrodzeń działający w ramach Rady Nadzorczej; ----------------------------------------------------</w:t>
      </w:r>
      <w:r>
        <w:rPr>
          <w:rFonts w:ascii="Palatino Linotype" w:hAnsi="Palatino Linotype" w:cstheme="majorBidi"/>
          <w:sz w:val="26"/>
          <w:szCs w:val="26"/>
        </w:rPr>
        <w:t>---</w:t>
      </w:r>
    </w:p>
    <w:p w14:paraId="7195630A"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8A6940">
        <w:rPr>
          <w:rFonts w:ascii="Palatino Linotype" w:hAnsi="Palatino Linotype" w:cstheme="majorBidi"/>
          <w:sz w:val="26"/>
          <w:szCs w:val="26"/>
        </w:rPr>
        <w:t>KP - Ustawa z dnia 26 czerwca 1974 r. Kodeks pracy (t.j. Dz. U. z 2020 r. poz. 1320); ---------------------------------------------------------------</w:t>
      </w:r>
      <w:r>
        <w:rPr>
          <w:rFonts w:ascii="Palatino Linotype" w:hAnsi="Palatino Linotype" w:cstheme="majorBidi"/>
          <w:sz w:val="26"/>
          <w:szCs w:val="26"/>
        </w:rPr>
        <w:t>---------</w:t>
      </w:r>
    </w:p>
    <w:p w14:paraId="0B056CF3"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8A6940">
        <w:rPr>
          <w:rFonts w:ascii="Palatino Linotype" w:hAnsi="Palatino Linotype" w:cstheme="majorBidi"/>
          <w:sz w:val="26"/>
          <w:szCs w:val="26"/>
        </w:rPr>
        <w:t>KSH - Ustawa z dnia 15 września 2000 r. Kodeks spółek handlowych (t.j. Dz. U. z 2020 r. poz. 1526); -----------------------------</w:t>
      </w:r>
      <w:r>
        <w:rPr>
          <w:rFonts w:ascii="Palatino Linotype" w:hAnsi="Palatino Linotype" w:cstheme="majorBidi"/>
          <w:sz w:val="26"/>
          <w:szCs w:val="26"/>
        </w:rPr>
        <w:t>--------------------</w:t>
      </w:r>
    </w:p>
    <w:p w14:paraId="6A31528F"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49CEF63E">
        <w:rPr>
          <w:rFonts w:ascii="Palatino Linotype" w:hAnsi="Palatino Linotype" w:cstheme="majorBidi"/>
          <w:sz w:val="26"/>
          <w:szCs w:val="26"/>
        </w:rPr>
        <w:t>Polityka – niniejsza polityka wynagrodzeń; --------------------------------</w:t>
      </w:r>
    </w:p>
    <w:p w14:paraId="5B4C210D" w14:textId="648187EF" w:rsidR="7515DCBD" w:rsidRDefault="7515DCBD" w:rsidP="49CEF63E">
      <w:pPr>
        <w:pStyle w:val="Akapitzlist"/>
        <w:numPr>
          <w:ilvl w:val="2"/>
          <w:numId w:val="3"/>
        </w:numPr>
        <w:spacing w:line="300" w:lineRule="auto"/>
        <w:ind w:left="851" w:hanging="425"/>
        <w:jc w:val="both"/>
        <w:rPr>
          <w:rFonts w:ascii="Palatino Linotype" w:hAnsi="Palatino Linotype" w:cstheme="majorBidi"/>
          <w:sz w:val="26"/>
          <w:szCs w:val="26"/>
        </w:rPr>
      </w:pPr>
      <w:r w:rsidRPr="49CEF63E">
        <w:rPr>
          <w:rFonts w:ascii="Palatino Linotype" w:hAnsi="Palatino Linotype" w:cstheme="majorBidi"/>
          <w:sz w:val="26"/>
          <w:szCs w:val="26"/>
        </w:rPr>
        <w:t>Program Motywacyjny – program skierowany do członków zarządu Spółki</w:t>
      </w:r>
      <w:r w:rsidR="11E0F01E" w:rsidRPr="49CEF63E">
        <w:rPr>
          <w:rFonts w:ascii="Palatino Linotype" w:hAnsi="Palatino Linotype" w:cstheme="majorBidi"/>
          <w:sz w:val="26"/>
          <w:szCs w:val="26"/>
        </w:rPr>
        <w:t>, wprowadzający możliwość objęcia akcji Spółki przez członków</w:t>
      </w:r>
      <w:r w:rsidR="1EF3F6D1" w:rsidRPr="49CEF63E">
        <w:rPr>
          <w:rFonts w:ascii="Palatino Linotype" w:hAnsi="Palatino Linotype" w:cstheme="majorBidi"/>
          <w:sz w:val="26"/>
          <w:szCs w:val="26"/>
        </w:rPr>
        <w:t xml:space="preserve"> zarządu w ramach wypłaty</w:t>
      </w:r>
      <w:r w:rsidR="1407E37F" w:rsidRPr="49CEF63E">
        <w:rPr>
          <w:rFonts w:ascii="Palatino Linotype" w:hAnsi="Palatino Linotype" w:cstheme="majorBidi"/>
          <w:sz w:val="26"/>
          <w:szCs w:val="26"/>
        </w:rPr>
        <w:t xml:space="preserve"> premii uznaniowej; ----------------------------</w:t>
      </w:r>
    </w:p>
    <w:p w14:paraId="01391F34"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49CEF63E">
        <w:rPr>
          <w:rFonts w:ascii="Palatino Linotype" w:hAnsi="Palatino Linotype" w:cstheme="majorBidi"/>
          <w:sz w:val="26"/>
          <w:szCs w:val="26"/>
        </w:rPr>
        <w:t>Rada Nadzorcza – Rada Nadzorcza Spółki; --------------------------------</w:t>
      </w:r>
    </w:p>
    <w:p w14:paraId="076ECCE9"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49CEF63E">
        <w:rPr>
          <w:rFonts w:ascii="Palatino Linotype" w:hAnsi="Palatino Linotype" w:cstheme="majorBidi"/>
          <w:sz w:val="26"/>
          <w:szCs w:val="26"/>
        </w:rPr>
        <w:t>Spółka – Harper Hygienics S.A. z siedzibą w Warszawie; --------------</w:t>
      </w:r>
    </w:p>
    <w:p w14:paraId="40B7B0E8"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49CEF63E">
        <w:rPr>
          <w:rFonts w:ascii="Palatino Linotype" w:hAnsi="Palatino Linotype" w:cstheme="majorBidi"/>
          <w:sz w:val="26"/>
          <w:szCs w:val="26"/>
        </w:rPr>
        <w:t>Statut Spółki – Statut Spółki w aktualnym brzmieniu; -------------------</w:t>
      </w:r>
    </w:p>
    <w:p w14:paraId="620A8457"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49CEF63E">
        <w:rPr>
          <w:rFonts w:ascii="Palatino Linotype" w:hAnsi="Palatino Linotype" w:cstheme="majorBidi"/>
          <w:sz w:val="26"/>
          <w:szCs w:val="26"/>
        </w:rPr>
        <w:lastRenderedPageBreak/>
        <w:t>Ustawa - Ustawy o ofercie publicznej i warunkach wprowadzania instrumentów finansowych do zorganizowanego systemu obrotu oraz o spółkach publicznych z dnia 29 lipca 2005 r. t.j. z dnia 22 lutego 2019 r. (Dz.U. z 2019 r. poz. 623 z późn. zm.); ---------------------</w:t>
      </w:r>
    </w:p>
    <w:p w14:paraId="4883EDD9"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49CEF63E">
        <w:rPr>
          <w:rFonts w:ascii="Palatino Linotype" w:hAnsi="Palatino Linotype" w:cstheme="majorBidi"/>
          <w:sz w:val="26"/>
          <w:szCs w:val="26"/>
        </w:rPr>
        <w:t>Walne Zgromadzenie – walne zgromadzenie akcjonariuszy Spółki; -</w:t>
      </w:r>
    </w:p>
    <w:p w14:paraId="08487B6C" w14:textId="77777777" w:rsidR="00113750" w:rsidRPr="008A694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49CEF63E">
        <w:rPr>
          <w:rFonts w:ascii="Palatino Linotype" w:hAnsi="Palatino Linotype" w:cstheme="majorBidi"/>
          <w:sz w:val="26"/>
          <w:szCs w:val="26"/>
        </w:rPr>
        <w:t>Zarząd – Zarząd Spółki. ---------------------------------------------------------</w:t>
      </w:r>
    </w:p>
    <w:p w14:paraId="5FB38CB0" w14:textId="77777777" w:rsidR="00113750" w:rsidRPr="009D0BFB" w:rsidRDefault="00113750" w:rsidP="00113750">
      <w:pPr>
        <w:rPr>
          <w:rFonts w:ascii="Palatino Linotype" w:hAnsi="Palatino Linotype" w:cstheme="majorBidi"/>
          <w:sz w:val="26"/>
          <w:szCs w:val="26"/>
        </w:rPr>
      </w:pPr>
    </w:p>
    <w:p w14:paraId="06292D75"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009D0BFB">
        <w:rPr>
          <w:rFonts w:ascii="Palatino Linotype" w:hAnsi="Palatino Linotype" w:cstheme="majorBidi"/>
          <w:b/>
          <w:bCs/>
          <w:sz w:val="26"/>
          <w:szCs w:val="26"/>
        </w:rPr>
        <w:t>Cel Polityki</w:t>
      </w:r>
    </w:p>
    <w:p w14:paraId="74C19C18" w14:textId="77777777" w:rsidR="00113750" w:rsidRPr="008A6940" w:rsidRDefault="00113750" w:rsidP="00113750">
      <w:pPr>
        <w:pStyle w:val="Akapitzlist"/>
        <w:numPr>
          <w:ilvl w:val="1"/>
          <w:numId w:val="3"/>
        </w:numPr>
        <w:spacing w:line="300" w:lineRule="auto"/>
        <w:ind w:left="426" w:hanging="426"/>
        <w:jc w:val="both"/>
        <w:rPr>
          <w:rFonts w:ascii="Palatino Linotype" w:hAnsi="Palatino Linotype" w:cstheme="majorBidi"/>
          <w:b/>
          <w:bCs/>
          <w:sz w:val="26"/>
          <w:szCs w:val="26"/>
        </w:rPr>
      </w:pPr>
      <w:r w:rsidRPr="009D0BFB">
        <w:rPr>
          <w:rFonts w:ascii="Palatino Linotype" w:hAnsi="Palatino Linotype" w:cstheme="majorBidi"/>
          <w:sz w:val="26"/>
          <w:szCs w:val="26"/>
        </w:rPr>
        <w:t>Celem Polityki jest przyczynienie się do realizacji Celów Zarządczych.</w:t>
      </w:r>
      <w:r>
        <w:rPr>
          <w:rFonts w:ascii="Palatino Linotype" w:hAnsi="Palatino Linotype" w:cstheme="majorBidi"/>
          <w:sz w:val="26"/>
          <w:szCs w:val="26"/>
        </w:rPr>
        <w:t xml:space="preserve"> –</w:t>
      </w:r>
    </w:p>
    <w:p w14:paraId="428E4692" w14:textId="77777777" w:rsidR="00113750" w:rsidRPr="008A6940" w:rsidRDefault="00113750" w:rsidP="00113750">
      <w:pPr>
        <w:pStyle w:val="Akapitzlist"/>
        <w:numPr>
          <w:ilvl w:val="1"/>
          <w:numId w:val="3"/>
        </w:numPr>
        <w:spacing w:line="300" w:lineRule="auto"/>
        <w:ind w:left="426" w:hanging="426"/>
        <w:jc w:val="both"/>
        <w:rPr>
          <w:rFonts w:ascii="Palatino Linotype" w:hAnsi="Palatino Linotype" w:cstheme="majorBidi"/>
          <w:b/>
          <w:bCs/>
          <w:sz w:val="26"/>
          <w:szCs w:val="26"/>
        </w:rPr>
      </w:pPr>
      <w:r w:rsidRPr="008A6940">
        <w:rPr>
          <w:rFonts w:ascii="Palatino Linotype" w:hAnsi="Palatino Linotype" w:cstheme="majorBidi"/>
          <w:sz w:val="26"/>
          <w:szCs w:val="26"/>
        </w:rPr>
        <w:t>Cele Zarządcze mogą być określane: ----------------------------------------------</w:t>
      </w:r>
    </w:p>
    <w:p w14:paraId="673620A2" w14:textId="77777777" w:rsidR="0011375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indywidualnie dla Członków Zarządu;</w:t>
      </w:r>
      <w:r>
        <w:rPr>
          <w:rFonts w:ascii="Palatino Linotype" w:hAnsi="Palatino Linotype" w:cstheme="majorBidi"/>
          <w:sz w:val="26"/>
          <w:szCs w:val="26"/>
        </w:rPr>
        <w:t xml:space="preserve"> --------------------------------------</w:t>
      </w:r>
    </w:p>
    <w:p w14:paraId="228EDFA3" w14:textId="77777777" w:rsidR="00113750" w:rsidRPr="008A6940"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8A6940">
        <w:rPr>
          <w:rFonts w:ascii="Palatino Linotype" w:hAnsi="Palatino Linotype" w:cstheme="majorBidi"/>
          <w:sz w:val="26"/>
          <w:szCs w:val="26"/>
        </w:rPr>
        <w:t>wspólnie dla całego Zarządu; -----------------------------------------------</w:t>
      </w:r>
      <w:r>
        <w:rPr>
          <w:rFonts w:ascii="Palatino Linotype" w:hAnsi="Palatino Linotype" w:cstheme="majorBidi"/>
          <w:sz w:val="26"/>
          <w:szCs w:val="26"/>
        </w:rPr>
        <w:t>---</w:t>
      </w:r>
    </w:p>
    <w:p w14:paraId="5E26428F"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b/>
          <w:bCs/>
          <w:sz w:val="26"/>
          <w:szCs w:val="26"/>
        </w:rPr>
      </w:pPr>
      <w:r w:rsidRPr="009D0BFB">
        <w:rPr>
          <w:rFonts w:ascii="Palatino Linotype" w:hAnsi="Palatino Linotype" w:cstheme="majorBidi"/>
          <w:sz w:val="26"/>
          <w:szCs w:val="26"/>
        </w:rPr>
        <w:t>Cele Zarządcze określa Rada Nadzorcza uwzględniając:</w:t>
      </w:r>
      <w:r>
        <w:rPr>
          <w:rFonts w:ascii="Palatino Linotype" w:hAnsi="Palatino Linotype" w:cstheme="majorBidi"/>
          <w:sz w:val="26"/>
          <w:szCs w:val="26"/>
        </w:rPr>
        <w:t xml:space="preserve"> --------------------</w:t>
      </w:r>
    </w:p>
    <w:p w14:paraId="7CD459B0"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aktualną sytuację finansową Spółki;</w:t>
      </w:r>
      <w:r>
        <w:rPr>
          <w:rFonts w:ascii="Palatino Linotype" w:hAnsi="Palatino Linotype" w:cstheme="majorBidi"/>
          <w:sz w:val="26"/>
          <w:szCs w:val="26"/>
        </w:rPr>
        <w:t xml:space="preserve"> ------------------------------------------</w:t>
      </w:r>
    </w:p>
    <w:p w14:paraId="7981AACC"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długoterminowe interesy Spółki;</w:t>
      </w:r>
      <w:r>
        <w:rPr>
          <w:rFonts w:ascii="Palatino Linotype" w:hAnsi="Palatino Linotype" w:cstheme="majorBidi"/>
          <w:sz w:val="26"/>
          <w:szCs w:val="26"/>
        </w:rPr>
        <w:t xml:space="preserve"> ----------------------------------------------</w:t>
      </w:r>
    </w:p>
    <w:p w14:paraId="7E8249AB"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zapewnienie stabilności rynkowej Spółki;</w:t>
      </w:r>
      <w:r>
        <w:rPr>
          <w:rFonts w:ascii="Palatino Linotype" w:hAnsi="Palatino Linotype" w:cstheme="majorBidi"/>
          <w:sz w:val="26"/>
          <w:szCs w:val="26"/>
        </w:rPr>
        <w:t xml:space="preserve"> ----------------------------------</w:t>
      </w:r>
    </w:p>
    <w:p w14:paraId="6751252C"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interesy społeczne;</w:t>
      </w:r>
      <w:r>
        <w:rPr>
          <w:rFonts w:ascii="Palatino Linotype" w:hAnsi="Palatino Linotype" w:cstheme="majorBidi"/>
          <w:sz w:val="26"/>
          <w:szCs w:val="26"/>
        </w:rPr>
        <w:t xml:space="preserve"> ----------------------------------------------------------------</w:t>
      </w:r>
    </w:p>
    <w:p w14:paraId="2F0BF329"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przyczynianie się Spółki do ochrony środowiska;</w:t>
      </w:r>
      <w:r>
        <w:rPr>
          <w:rFonts w:ascii="Palatino Linotype" w:hAnsi="Palatino Linotype" w:cstheme="majorBidi"/>
          <w:sz w:val="26"/>
          <w:szCs w:val="26"/>
        </w:rPr>
        <w:t xml:space="preserve"> ------------------------</w:t>
      </w:r>
    </w:p>
    <w:p w14:paraId="787C2E21"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podejmowanie działań nakierowanych na zapobieganie negatywnym skutkom społecznym działalności spółki i ich</w:t>
      </w:r>
      <w:r>
        <w:rPr>
          <w:rFonts w:ascii="Palatino Linotype" w:hAnsi="Palatino Linotype" w:cstheme="majorBidi"/>
          <w:sz w:val="26"/>
          <w:szCs w:val="26"/>
        </w:rPr>
        <w:t xml:space="preserve"> </w:t>
      </w:r>
      <w:r w:rsidRPr="009D0BFB">
        <w:rPr>
          <w:rFonts w:ascii="Palatino Linotype" w:hAnsi="Palatino Linotype" w:cstheme="majorBidi"/>
          <w:sz w:val="26"/>
          <w:szCs w:val="26"/>
        </w:rPr>
        <w:t>likwidowanie.</w:t>
      </w:r>
      <w:r>
        <w:rPr>
          <w:rFonts w:ascii="Palatino Linotype" w:hAnsi="Palatino Linotype" w:cstheme="majorBidi"/>
          <w:sz w:val="26"/>
          <w:szCs w:val="26"/>
        </w:rPr>
        <w:t xml:space="preserve"> ----------------------------------------------------------------------</w:t>
      </w:r>
    </w:p>
    <w:p w14:paraId="4F0297B5"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Ocena wykonania Celów Zarządczych dokonywana jest na podstawie sprawozdania z działalności Spółki, sprawozdana finansowego oraz opinii biegłego rewidenta. Rada Nadzorcza może żądać od Członków Zarządu dodatkowych dokumentów i wyjaśnień niezbędnych dla oceny wykonania Celów Zarządczych</w:t>
      </w:r>
      <w:r>
        <w:rPr>
          <w:rFonts w:ascii="Palatino Linotype" w:hAnsi="Palatino Linotype" w:cstheme="majorBidi"/>
          <w:sz w:val="26"/>
          <w:szCs w:val="26"/>
        </w:rPr>
        <w:t>. ---------------------------------------------------</w:t>
      </w:r>
    </w:p>
    <w:p w14:paraId="3182CE00"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Upoważnia się Radę Nadzorczą do:</w:t>
      </w:r>
      <w:r>
        <w:rPr>
          <w:rFonts w:ascii="Palatino Linotype" w:hAnsi="Palatino Linotype" w:cstheme="majorBidi"/>
          <w:sz w:val="26"/>
          <w:szCs w:val="26"/>
        </w:rPr>
        <w:t xml:space="preserve"> -----------------------------------------------</w:t>
      </w:r>
    </w:p>
    <w:p w14:paraId="0225A846"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ustalenia Celów Zarządczych;</w:t>
      </w:r>
      <w:r>
        <w:rPr>
          <w:rFonts w:ascii="Palatino Linotype" w:hAnsi="Palatino Linotype" w:cstheme="majorBidi"/>
          <w:sz w:val="26"/>
          <w:szCs w:val="26"/>
        </w:rPr>
        <w:t xml:space="preserve"> -------------------------------------------------</w:t>
      </w:r>
    </w:p>
    <w:p w14:paraId="79B549D6"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uszczegółowienia kryteriów oceny wykonania Celów</w:t>
      </w:r>
      <w:r>
        <w:rPr>
          <w:rFonts w:ascii="Palatino Linotype" w:hAnsi="Palatino Linotype" w:cstheme="majorBidi"/>
          <w:sz w:val="26"/>
          <w:szCs w:val="26"/>
        </w:rPr>
        <w:t xml:space="preserve"> </w:t>
      </w:r>
      <w:r w:rsidRPr="009D0BFB">
        <w:rPr>
          <w:rFonts w:ascii="Palatino Linotype" w:hAnsi="Palatino Linotype" w:cstheme="majorBidi"/>
          <w:sz w:val="26"/>
          <w:szCs w:val="26"/>
        </w:rPr>
        <w:t>Zarządczych.</w:t>
      </w:r>
      <w:r>
        <w:rPr>
          <w:rFonts w:ascii="Palatino Linotype" w:hAnsi="Palatino Linotype" w:cstheme="majorBidi"/>
          <w:sz w:val="26"/>
          <w:szCs w:val="26"/>
        </w:rPr>
        <w:t xml:space="preserve">  </w:t>
      </w:r>
    </w:p>
    <w:p w14:paraId="3ADE90BA"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Oceny wykonania Celów Zarządczych w okresie, na jaki Cele Zarządcze zostały wyznaczone, dokonuje Rada Nadzorcza.</w:t>
      </w:r>
      <w:r>
        <w:rPr>
          <w:rFonts w:ascii="Palatino Linotype" w:hAnsi="Palatino Linotype" w:cstheme="majorBidi"/>
          <w:sz w:val="26"/>
          <w:szCs w:val="26"/>
        </w:rPr>
        <w:t xml:space="preserve"> ------------------------------</w:t>
      </w:r>
    </w:p>
    <w:p w14:paraId="07631567" w14:textId="77777777" w:rsidR="00113750" w:rsidRPr="009D0BFB" w:rsidRDefault="00113750" w:rsidP="00113750">
      <w:pPr>
        <w:rPr>
          <w:rFonts w:ascii="Palatino Linotype" w:hAnsi="Palatino Linotype" w:cstheme="majorBidi"/>
          <w:sz w:val="26"/>
          <w:szCs w:val="26"/>
        </w:rPr>
      </w:pPr>
    </w:p>
    <w:p w14:paraId="7F38BE1F"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009D0BFB">
        <w:rPr>
          <w:rFonts w:ascii="Palatino Linotype" w:hAnsi="Palatino Linotype" w:cstheme="majorBidi"/>
          <w:b/>
          <w:bCs/>
          <w:sz w:val="26"/>
          <w:szCs w:val="26"/>
        </w:rPr>
        <w:t>Stosunek prawny łączący Członków Organów ze Spółką</w:t>
      </w:r>
    </w:p>
    <w:p w14:paraId="3EE2A3D2"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Członkowie Organów pełnią swoje funkcje na podstawie powołania w rozumieniu przepisów KSH.</w:t>
      </w:r>
      <w:r>
        <w:rPr>
          <w:rFonts w:ascii="Palatino Linotype" w:hAnsi="Palatino Linotype" w:cstheme="majorBidi"/>
          <w:sz w:val="26"/>
          <w:szCs w:val="26"/>
        </w:rPr>
        <w:t xml:space="preserve"> --------------------------------------------------------</w:t>
      </w:r>
    </w:p>
    <w:p w14:paraId="17B3932C"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Członkowie Organów powoływani są zgodnie z zasadami określonymi w Statucie Spółki, tj.:</w:t>
      </w:r>
      <w:r>
        <w:rPr>
          <w:rFonts w:ascii="Palatino Linotype" w:hAnsi="Palatino Linotype" w:cstheme="majorBidi"/>
          <w:sz w:val="26"/>
          <w:szCs w:val="26"/>
        </w:rPr>
        <w:t xml:space="preserve"> -------------------------------------------------------------------</w:t>
      </w:r>
    </w:p>
    <w:p w14:paraId="5F21B754"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Członkowie Zarządu powoływani są na wspólną kadencję trwającą 3 lata;</w:t>
      </w:r>
      <w:r>
        <w:rPr>
          <w:rFonts w:ascii="Palatino Linotype" w:hAnsi="Palatino Linotype" w:cstheme="majorBidi"/>
          <w:sz w:val="26"/>
          <w:szCs w:val="26"/>
        </w:rPr>
        <w:t xml:space="preserve"> ---------------------------------------------------------------------------------</w:t>
      </w:r>
    </w:p>
    <w:p w14:paraId="2B830222"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Członkowie Rady Nadzorczej powoływani są na wspólną kadencję trwającą 3 lata.</w:t>
      </w:r>
      <w:r>
        <w:rPr>
          <w:rFonts w:ascii="Palatino Linotype" w:hAnsi="Palatino Linotype" w:cstheme="majorBidi"/>
          <w:sz w:val="26"/>
          <w:szCs w:val="26"/>
        </w:rPr>
        <w:t xml:space="preserve"> ----------------------------------------------------------------------</w:t>
      </w:r>
    </w:p>
    <w:p w14:paraId="5BF5AC6A"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Spółka może zawierać z Członkami Organów umowy o świadczenie usług w tym w ramach ich działalności gospodarczej.</w:t>
      </w:r>
      <w:r>
        <w:rPr>
          <w:rFonts w:ascii="Palatino Linotype" w:hAnsi="Palatino Linotype" w:cstheme="majorBidi"/>
          <w:sz w:val="26"/>
          <w:szCs w:val="26"/>
        </w:rPr>
        <w:t xml:space="preserve"> -----------------------</w:t>
      </w:r>
    </w:p>
    <w:p w14:paraId="7AE44515"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Umowy z Członkami Organów zawierane są na czas określony, tj. na czas pełnienia funkcji Członka Organu.</w:t>
      </w:r>
      <w:r>
        <w:rPr>
          <w:rFonts w:ascii="Palatino Linotype" w:hAnsi="Palatino Linotype" w:cstheme="majorBidi"/>
          <w:sz w:val="26"/>
          <w:szCs w:val="26"/>
        </w:rPr>
        <w:t xml:space="preserve"> ------------------------------------------</w:t>
      </w:r>
    </w:p>
    <w:p w14:paraId="223B2A05"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Umowa rozwiązuje się z ostatnim dniem pełnienia funkcji bez względu na przyczynę wygaśnięcia mandatu bez konieczności dokonywania dodatkowych czynności oraz bez okresu wypowiedzenia.</w:t>
      </w:r>
      <w:r>
        <w:rPr>
          <w:rFonts w:ascii="Palatino Linotype" w:hAnsi="Palatino Linotype" w:cstheme="majorBidi"/>
          <w:sz w:val="26"/>
          <w:szCs w:val="26"/>
        </w:rPr>
        <w:t xml:space="preserve"> -----------------</w:t>
      </w:r>
    </w:p>
    <w:p w14:paraId="52C7D12A"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W przypadku rozwiązania umowy z Członkiem Organu na mocy porozumienia stron okres wypowiedzenia nie może być dłuższy niż 3 miesiące ze skutkiem na koniec miesiąca. Umowa może być wypowiedziana z ważnych przyczyn ze skutkiem natychmiastowym, zaś w pozostałych przypadkach z terminem wypowiedzenia nie dłuższym niż 3 miesiące ze skutkiem na koniec miesiąca.</w:t>
      </w:r>
      <w:r>
        <w:rPr>
          <w:rFonts w:ascii="Palatino Linotype" w:hAnsi="Palatino Linotype" w:cstheme="majorBidi"/>
          <w:sz w:val="26"/>
          <w:szCs w:val="26"/>
        </w:rPr>
        <w:t xml:space="preserve"> -------------------</w:t>
      </w:r>
    </w:p>
    <w:p w14:paraId="56B01FCF"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W przypadku rozwiązania umowy z Członkiem Organu w trakcie trwania roku obrotowego Spółki Wynagrodzenie Członka Organu wypłacane jest proporcjonalnie do okresu pełnienia funkcji.</w:t>
      </w:r>
      <w:r>
        <w:rPr>
          <w:rFonts w:ascii="Palatino Linotype" w:hAnsi="Palatino Linotype" w:cstheme="majorBidi"/>
          <w:sz w:val="26"/>
          <w:szCs w:val="26"/>
        </w:rPr>
        <w:t xml:space="preserve"> ---------------</w:t>
      </w:r>
    </w:p>
    <w:p w14:paraId="3DC12316" w14:textId="77777777" w:rsidR="00113750" w:rsidRPr="009D0BFB" w:rsidRDefault="00113750" w:rsidP="00113750">
      <w:pPr>
        <w:jc w:val="both"/>
        <w:rPr>
          <w:rFonts w:ascii="Palatino Linotype" w:hAnsi="Palatino Linotype" w:cstheme="majorBidi"/>
          <w:sz w:val="26"/>
          <w:szCs w:val="26"/>
        </w:rPr>
      </w:pPr>
    </w:p>
    <w:p w14:paraId="356BE97F"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009D0BFB">
        <w:rPr>
          <w:rFonts w:ascii="Palatino Linotype" w:hAnsi="Palatino Linotype" w:cstheme="majorBidi"/>
          <w:b/>
          <w:bCs/>
          <w:sz w:val="26"/>
          <w:szCs w:val="26"/>
        </w:rPr>
        <w:t xml:space="preserve">Wynagrodzenie Członków Organów </w:t>
      </w:r>
      <w:r>
        <w:rPr>
          <w:rFonts w:ascii="Palatino Linotype" w:hAnsi="Palatino Linotype" w:cstheme="majorBidi"/>
          <w:b/>
          <w:bCs/>
          <w:sz w:val="26"/>
          <w:szCs w:val="26"/>
        </w:rPr>
        <w:t xml:space="preserve">- </w:t>
      </w:r>
      <w:r w:rsidRPr="009D0BFB">
        <w:rPr>
          <w:rFonts w:ascii="Palatino Linotype" w:hAnsi="Palatino Linotype" w:cstheme="majorBidi"/>
          <w:b/>
          <w:bCs/>
          <w:sz w:val="26"/>
          <w:szCs w:val="26"/>
        </w:rPr>
        <w:t>postanowienia ogólne</w:t>
      </w:r>
    </w:p>
    <w:p w14:paraId="07E97333"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Wynagrodzenie Członków Organów składa się z następujących składników:</w:t>
      </w:r>
      <w:r>
        <w:rPr>
          <w:rFonts w:ascii="Palatino Linotype" w:hAnsi="Palatino Linotype" w:cstheme="majorBidi"/>
          <w:sz w:val="26"/>
          <w:szCs w:val="26"/>
        </w:rPr>
        <w:t xml:space="preserve"> ------------------------------------------------------------------------------</w:t>
      </w:r>
    </w:p>
    <w:p w14:paraId="21F518A3"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lastRenderedPageBreak/>
        <w:t>Wynagrodzenie Stałe – wynagrodzenie podstawowe; stanowi ono obligatoryjną część wynagrodzenia wypłacanego Członkowi Organu;</w:t>
      </w:r>
      <w:r>
        <w:rPr>
          <w:rFonts w:ascii="Palatino Linotype" w:hAnsi="Palatino Linotype" w:cstheme="majorBidi"/>
          <w:sz w:val="26"/>
          <w:szCs w:val="26"/>
        </w:rPr>
        <w:t xml:space="preserve"> ------------------------------------------------------------------------------</w:t>
      </w:r>
    </w:p>
    <w:p w14:paraId="52BEE607"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Świadczenia Dodatkowe – inne niż Wynagrodzenie Stałe i Wynagrodzenie Zmienne świadczenia pieniężne i niepieniężne.</w:t>
      </w:r>
      <w:r>
        <w:rPr>
          <w:rFonts w:ascii="Palatino Linotype" w:hAnsi="Palatino Linotype" w:cstheme="majorBidi"/>
          <w:sz w:val="26"/>
          <w:szCs w:val="26"/>
        </w:rPr>
        <w:t xml:space="preserve"> -----</w:t>
      </w:r>
    </w:p>
    <w:p w14:paraId="008B78F5"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Członkom Zarządu może dodatkowo przysługiwać Wynagrodzenie Zmienne uzależnione od wykonania Celów Zarządczych.</w:t>
      </w:r>
      <w:r>
        <w:rPr>
          <w:rFonts w:ascii="Palatino Linotype" w:hAnsi="Palatino Linotype" w:cstheme="majorBidi"/>
          <w:sz w:val="26"/>
          <w:szCs w:val="26"/>
        </w:rPr>
        <w:t xml:space="preserve"> ------------------</w:t>
      </w:r>
    </w:p>
    <w:p w14:paraId="01ABFD63" w14:textId="2D1EDFF7" w:rsidR="00113750" w:rsidRPr="009D0BFB" w:rsidRDefault="00113750" w:rsidP="49CEF63E">
      <w:pPr>
        <w:pStyle w:val="Akapitzlist"/>
        <w:numPr>
          <w:ilvl w:val="1"/>
          <w:numId w:val="3"/>
        </w:numPr>
        <w:spacing w:line="300" w:lineRule="auto"/>
        <w:ind w:left="426" w:hanging="426"/>
        <w:jc w:val="both"/>
        <w:rPr>
          <w:rFonts w:ascii="Palatino Linotype" w:hAnsi="Palatino Linotype" w:cstheme="majorBidi"/>
          <w:sz w:val="26"/>
          <w:szCs w:val="26"/>
        </w:rPr>
      </w:pPr>
      <w:r w:rsidRPr="49CEF63E">
        <w:rPr>
          <w:rFonts w:ascii="Palatino Linotype" w:hAnsi="Palatino Linotype" w:cstheme="majorBidi"/>
          <w:sz w:val="26"/>
          <w:szCs w:val="26"/>
        </w:rPr>
        <w:t>Spó</w:t>
      </w:r>
      <w:r w:rsidR="6D8A2A91" w:rsidRPr="49CEF63E">
        <w:rPr>
          <w:rFonts w:ascii="Palatino Linotype" w:hAnsi="Palatino Linotype" w:cstheme="majorBidi"/>
          <w:sz w:val="26"/>
          <w:szCs w:val="26"/>
        </w:rPr>
        <w:t xml:space="preserve">łka </w:t>
      </w:r>
      <w:r w:rsidR="5D66819B" w:rsidRPr="49CEF63E">
        <w:rPr>
          <w:rFonts w:ascii="Palatino Linotype" w:hAnsi="Palatino Linotype" w:cstheme="majorBidi"/>
          <w:sz w:val="26"/>
          <w:szCs w:val="26"/>
        </w:rPr>
        <w:t xml:space="preserve">dodatkowo </w:t>
      </w:r>
      <w:r w:rsidR="6D8A2A91" w:rsidRPr="49CEF63E">
        <w:rPr>
          <w:rFonts w:ascii="Palatino Linotype" w:hAnsi="Palatino Linotype" w:cstheme="majorBidi"/>
          <w:sz w:val="26"/>
          <w:szCs w:val="26"/>
        </w:rPr>
        <w:t xml:space="preserve">wprowadza Program Motywacyjny, w ramach którego </w:t>
      </w:r>
      <w:r w:rsidR="7D12B12F" w:rsidRPr="49CEF63E">
        <w:rPr>
          <w:rFonts w:ascii="Palatino Linotype" w:hAnsi="Palatino Linotype" w:cstheme="majorBidi"/>
          <w:sz w:val="26"/>
          <w:szCs w:val="26"/>
        </w:rPr>
        <w:t>c</w:t>
      </w:r>
      <w:r w:rsidR="6D8A2A91" w:rsidRPr="49CEF63E">
        <w:rPr>
          <w:rFonts w:ascii="Palatino Linotype" w:hAnsi="Palatino Linotype" w:cstheme="majorBidi"/>
          <w:sz w:val="26"/>
          <w:szCs w:val="26"/>
        </w:rPr>
        <w:t>złonk</w:t>
      </w:r>
      <w:r w:rsidR="5AF7D45E" w:rsidRPr="49CEF63E">
        <w:rPr>
          <w:rFonts w:ascii="Palatino Linotype" w:hAnsi="Palatino Linotype" w:cstheme="majorBidi"/>
          <w:sz w:val="26"/>
          <w:szCs w:val="26"/>
        </w:rPr>
        <w:t>om</w:t>
      </w:r>
      <w:r w:rsidR="6D8A2A91" w:rsidRPr="49CEF63E">
        <w:rPr>
          <w:rFonts w:ascii="Palatino Linotype" w:hAnsi="Palatino Linotype" w:cstheme="majorBidi"/>
          <w:sz w:val="26"/>
          <w:szCs w:val="26"/>
        </w:rPr>
        <w:t xml:space="preserve"> </w:t>
      </w:r>
      <w:r w:rsidR="2D770720" w:rsidRPr="49CEF63E">
        <w:rPr>
          <w:rFonts w:ascii="Palatino Linotype" w:hAnsi="Palatino Linotype" w:cstheme="majorBidi"/>
          <w:sz w:val="26"/>
          <w:szCs w:val="26"/>
        </w:rPr>
        <w:t>z</w:t>
      </w:r>
      <w:r w:rsidR="6D8A2A91" w:rsidRPr="49CEF63E">
        <w:rPr>
          <w:rFonts w:ascii="Palatino Linotype" w:hAnsi="Palatino Linotype" w:cstheme="majorBidi"/>
          <w:sz w:val="26"/>
          <w:szCs w:val="26"/>
        </w:rPr>
        <w:t xml:space="preserve">arządu </w:t>
      </w:r>
      <w:r w:rsidR="27C682F1" w:rsidRPr="49CEF63E">
        <w:rPr>
          <w:rFonts w:ascii="Palatino Linotype" w:hAnsi="Palatino Linotype" w:cstheme="majorBidi"/>
          <w:sz w:val="26"/>
          <w:szCs w:val="26"/>
        </w:rPr>
        <w:t xml:space="preserve">po </w:t>
      </w:r>
      <w:r w:rsidR="2C519C26" w:rsidRPr="49CEF63E">
        <w:rPr>
          <w:rFonts w:ascii="Palatino Linotype" w:hAnsi="Palatino Linotype" w:cstheme="majorBidi"/>
          <w:sz w:val="26"/>
          <w:szCs w:val="26"/>
        </w:rPr>
        <w:t>spełnieniu</w:t>
      </w:r>
      <w:r w:rsidR="27C682F1" w:rsidRPr="49CEF63E">
        <w:rPr>
          <w:rFonts w:ascii="Palatino Linotype" w:hAnsi="Palatino Linotype" w:cstheme="majorBidi"/>
          <w:sz w:val="26"/>
          <w:szCs w:val="26"/>
        </w:rPr>
        <w:t xml:space="preserve"> stawianych </w:t>
      </w:r>
      <w:r w:rsidR="06CB77B3" w:rsidRPr="49CEF63E">
        <w:rPr>
          <w:rFonts w:ascii="Palatino Linotype" w:hAnsi="Palatino Linotype" w:cstheme="majorBidi"/>
          <w:sz w:val="26"/>
          <w:szCs w:val="26"/>
        </w:rPr>
        <w:t>warunków</w:t>
      </w:r>
      <w:r w:rsidR="27C682F1" w:rsidRPr="49CEF63E">
        <w:rPr>
          <w:rFonts w:ascii="Palatino Linotype" w:hAnsi="Palatino Linotype" w:cstheme="majorBidi"/>
          <w:sz w:val="26"/>
          <w:szCs w:val="26"/>
        </w:rPr>
        <w:t xml:space="preserve"> </w:t>
      </w:r>
      <w:r w:rsidR="1C19433E" w:rsidRPr="49CEF63E">
        <w:rPr>
          <w:rFonts w:ascii="Palatino Linotype" w:hAnsi="Palatino Linotype" w:cstheme="majorBidi"/>
          <w:sz w:val="26"/>
          <w:szCs w:val="26"/>
        </w:rPr>
        <w:t>będzie</w:t>
      </w:r>
      <w:r w:rsidR="27C682F1" w:rsidRPr="49CEF63E">
        <w:rPr>
          <w:rFonts w:ascii="Palatino Linotype" w:hAnsi="Palatino Linotype" w:cstheme="majorBidi"/>
          <w:sz w:val="26"/>
          <w:szCs w:val="26"/>
        </w:rPr>
        <w:t xml:space="preserve"> </w:t>
      </w:r>
      <w:r w:rsidR="5565D75B" w:rsidRPr="49CEF63E">
        <w:rPr>
          <w:rFonts w:ascii="Palatino Linotype" w:hAnsi="Palatino Linotype" w:cstheme="majorBidi"/>
          <w:sz w:val="26"/>
          <w:szCs w:val="26"/>
        </w:rPr>
        <w:t>przysługiwało</w:t>
      </w:r>
      <w:r w:rsidR="27C682F1" w:rsidRPr="49CEF63E">
        <w:rPr>
          <w:rFonts w:ascii="Palatino Linotype" w:hAnsi="Palatino Linotype" w:cstheme="majorBidi"/>
          <w:sz w:val="26"/>
          <w:szCs w:val="26"/>
        </w:rPr>
        <w:t xml:space="preserve"> prawo do</w:t>
      </w:r>
      <w:r w:rsidR="6D8A2A91" w:rsidRPr="49CEF63E">
        <w:rPr>
          <w:rFonts w:ascii="Palatino Linotype" w:hAnsi="Palatino Linotype" w:cstheme="majorBidi"/>
          <w:sz w:val="26"/>
          <w:szCs w:val="26"/>
        </w:rPr>
        <w:t xml:space="preserve"> </w:t>
      </w:r>
      <w:r w:rsidR="655E4D64" w:rsidRPr="49CEF63E">
        <w:rPr>
          <w:rFonts w:ascii="Palatino Linotype" w:hAnsi="Palatino Linotype" w:cstheme="majorBidi"/>
          <w:sz w:val="26"/>
          <w:szCs w:val="26"/>
        </w:rPr>
        <w:t>nieodpłatne</w:t>
      </w:r>
      <w:r w:rsidR="423BEDEB" w:rsidRPr="49CEF63E">
        <w:rPr>
          <w:rFonts w:ascii="Palatino Linotype" w:hAnsi="Palatino Linotype" w:cstheme="majorBidi"/>
          <w:sz w:val="26"/>
          <w:szCs w:val="26"/>
        </w:rPr>
        <w:t>go</w:t>
      </w:r>
      <w:r w:rsidR="6D8A2A91" w:rsidRPr="49CEF63E">
        <w:rPr>
          <w:rFonts w:ascii="Palatino Linotype" w:hAnsi="Palatino Linotype" w:cstheme="majorBidi"/>
          <w:sz w:val="26"/>
          <w:szCs w:val="26"/>
        </w:rPr>
        <w:t xml:space="preserve"> </w:t>
      </w:r>
      <w:r w:rsidR="37AB0BBD" w:rsidRPr="49CEF63E">
        <w:rPr>
          <w:rFonts w:ascii="Palatino Linotype" w:hAnsi="Palatino Linotype" w:cstheme="majorBidi"/>
          <w:sz w:val="26"/>
          <w:szCs w:val="26"/>
        </w:rPr>
        <w:t>naby</w:t>
      </w:r>
      <w:r w:rsidR="4DE6A5AF" w:rsidRPr="49CEF63E">
        <w:rPr>
          <w:rFonts w:ascii="Palatino Linotype" w:hAnsi="Palatino Linotype" w:cstheme="majorBidi"/>
          <w:sz w:val="26"/>
          <w:szCs w:val="26"/>
        </w:rPr>
        <w:t xml:space="preserve">cia </w:t>
      </w:r>
      <w:r w:rsidR="6665BE48" w:rsidRPr="49CEF63E">
        <w:rPr>
          <w:rFonts w:ascii="Palatino Linotype" w:hAnsi="Palatino Linotype" w:cstheme="majorBidi"/>
          <w:sz w:val="26"/>
          <w:szCs w:val="26"/>
        </w:rPr>
        <w:t>warrantów</w:t>
      </w:r>
      <w:r w:rsidR="6B3C29EB" w:rsidRPr="49CEF63E">
        <w:rPr>
          <w:rFonts w:ascii="Palatino Linotype" w:hAnsi="Palatino Linotype" w:cstheme="majorBidi"/>
          <w:sz w:val="26"/>
          <w:szCs w:val="26"/>
        </w:rPr>
        <w:t xml:space="preserve"> </w:t>
      </w:r>
      <w:r w:rsidR="2302D7EA" w:rsidRPr="49CEF63E">
        <w:rPr>
          <w:rFonts w:ascii="Palatino Linotype" w:hAnsi="Palatino Linotype" w:cstheme="majorBidi"/>
          <w:sz w:val="26"/>
          <w:szCs w:val="26"/>
        </w:rPr>
        <w:t>subskrypcyjn</w:t>
      </w:r>
      <w:r w:rsidR="082236F5" w:rsidRPr="49CEF63E">
        <w:rPr>
          <w:rFonts w:ascii="Palatino Linotype" w:hAnsi="Palatino Linotype" w:cstheme="majorBidi"/>
          <w:sz w:val="26"/>
          <w:szCs w:val="26"/>
        </w:rPr>
        <w:t>ych</w:t>
      </w:r>
      <w:r w:rsidR="6B3C29EB" w:rsidRPr="49CEF63E">
        <w:rPr>
          <w:rFonts w:ascii="Palatino Linotype" w:hAnsi="Palatino Linotype" w:cstheme="majorBidi"/>
          <w:sz w:val="26"/>
          <w:szCs w:val="26"/>
        </w:rPr>
        <w:t xml:space="preserve"> </w:t>
      </w:r>
      <w:r w:rsidR="41FC9322" w:rsidRPr="49CEF63E">
        <w:rPr>
          <w:rFonts w:ascii="Palatino Linotype" w:hAnsi="Palatino Linotype" w:cstheme="majorBidi"/>
          <w:sz w:val="26"/>
          <w:szCs w:val="26"/>
        </w:rPr>
        <w:t>uprawniając</w:t>
      </w:r>
      <w:r w:rsidR="15AAB9DF" w:rsidRPr="49CEF63E">
        <w:rPr>
          <w:rFonts w:ascii="Palatino Linotype" w:hAnsi="Palatino Linotype" w:cstheme="majorBidi"/>
          <w:sz w:val="26"/>
          <w:szCs w:val="26"/>
        </w:rPr>
        <w:t>ych</w:t>
      </w:r>
      <w:r w:rsidR="6B3C29EB" w:rsidRPr="49CEF63E">
        <w:rPr>
          <w:rFonts w:ascii="Palatino Linotype" w:hAnsi="Palatino Linotype" w:cstheme="majorBidi"/>
          <w:sz w:val="26"/>
          <w:szCs w:val="26"/>
        </w:rPr>
        <w:t xml:space="preserve"> do </w:t>
      </w:r>
      <w:r w:rsidR="50EE3015" w:rsidRPr="49CEF63E">
        <w:rPr>
          <w:rFonts w:ascii="Palatino Linotype" w:hAnsi="Palatino Linotype" w:cstheme="majorBidi"/>
          <w:sz w:val="26"/>
          <w:szCs w:val="26"/>
        </w:rPr>
        <w:t>objęcia</w:t>
      </w:r>
      <w:r w:rsidR="6B3C29EB" w:rsidRPr="49CEF63E">
        <w:rPr>
          <w:rFonts w:ascii="Palatino Linotype" w:hAnsi="Palatino Linotype" w:cstheme="majorBidi"/>
          <w:sz w:val="26"/>
          <w:szCs w:val="26"/>
        </w:rPr>
        <w:t xml:space="preserve"> akcji </w:t>
      </w:r>
      <w:r w:rsidR="2300CE9F" w:rsidRPr="49CEF63E">
        <w:rPr>
          <w:rFonts w:ascii="Palatino Linotype" w:hAnsi="Palatino Linotype" w:cstheme="majorBidi"/>
          <w:sz w:val="26"/>
          <w:szCs w:val="26"/>
        </w:rPr>
        <w:t>Spółki</w:t>
      </w:r>
      <w:r w:rsidR="6B3C29EB" w:rsidRPr="49CEF63E">
        <w:rPr>
          <w:rFonts w:ascii="Palatino Linotype" w:hAnsi="Palatino Linotype" w:cstheme="majorBidi"/>
          <w:sz w:val="26"/>
          <w:szCs w:val="26"/>
        </w:rPr>
        <w:t>.</w:t>
      </w:r>
      <w:r w:rsidRPr="49CEF63E">
        <w:rPr>
          <w:rFonts w:ascii="Palatino Linotype" w:hAnsi="Palatino Linotype" w:cstheme="majorBidi"/>
          <w:sz w:val="26"/>
          <w:szCs w:val="26"/>
        </w:rPr>
        <w:t xml:space="preserve">  -----------------------</w:t>
      </w:r>
    </w:p>
    <w:p w14:paraId="3E248327"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Spółka wypłaca Członkom Organów Wynagrodzenie na podstawie Polityki, chyba że na zasadach określonych w Polityce odstąpiono od stosowania zasad w niej zawartych.</w:t>
      </w:r>
      <w:r>
        <w:rPr>
          <w:rFonts w:ascii="Palatino Linotype" w:hAnsi="Palatino Linotype" w:cstheme="majorBidi"/>
          <w:sz w:val="26"/>
          <w:szCs w:val="26"/>
        </w:rPr>
        <w:t xml:space="preserve"> -----------------------------------------------</w:t>
      </w:r>
    </w:p>
    <w:p w14:paraId="19C83962"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Ponieważ zgodnie z art. 77</w:t>
      </w:r>
      <w:r w:rsidRPr="009D0BFB">
        <w:rPr>
          <w:rFonts w:ascii="Palatino Linotype" w:hAnsi="Palatino Linotype" w:cstheme="majorBidi"/>
          <w:sz w:val="26"/>
          <w:szCs w:val="26"/>
          <w:vertAlign w:val="superscript"/>
        </w:rPr>
        <w:t>2</w:t>
      </w:r>
      <w:r w:rsidRPr="009D0BFB">
        <w:rPr>
          <w:rFonts w:ascii="Palatino Linotype" w:hAnsi="Palatino Linotype" w:cstheme="majorBidi"/>
          <w:sz w:val="26"/>
          <w:szCs w:val="26"/>
        </w:rPr>
        <w:t xml:space="preserve"> § 5 w zw. z art. 241</w:t>
      </w:r>
      <w:r w:rsidRPr="009D0BFB">
        <w:rPr>
          <w:rFonts w:ascii="Palatino Linotype" w:hAnsi="Palatino Linotype" w:cstheme="majorBidi"/>
          <w:sz w:val="26"/>
          <w:szCs w:val="26"/>
          <w:vertAlign w:val="superscript"/>
        </w:rPr>
        <w:t>26</w:t>
      </w:r>
      <w:r w:rsidRPr="009D0BFB">
        <w:rPr>
          <w:rFonts w:ascii="Palatino Linotype" w:hAnsi="Palatino Linotype" w:cstheme="majorBidi"/>
          <w:sz w:val="26"/>
          <w:szCs w:val="26"/>
        </w:rPr>
        <w:t xml:space="preserve"> § 2 KP Członkowie Organów nie są objęci Regulaminem Wynagradzania obowiązującym w Spółce, a także nie są oni pracownikami Spółki przy ustanawianiu Polityki nie zostały uwzględnione warunki pracy i płacy Członków Zarządu pracowników Spółki.</w:t>
      </w:r>
      <w:r>
        <w:rPr>
          <w:rFonts w:ascii="Palatino Linotype" w:hAnsi="Palatino Linotype" w:cstheme="majorBidi"/>
          <w:sz w:val="26"/>
          <w:szCs w:val="26"/>
        </w:rPr>
        <w:t xml:space="preserve"> ------------------------------------------------------</w:t>
      </w:r>
    </w:p>
    <w:p w14:paraId="314E3766" w14:textId="77777777" w:rsidR="00113750" w:rsidRPr="009D0BFB" w:rsidRDefault="00113750" w:rsidP="00113750">
      <w:pPr>
        <w:jc w:val="both"/>
        <w:rPr>
          <w:rFonts w:ascii="Palatino Linotype" w:hAnsi="Palatino Linotype" w:cstheme="majorBidi"/>
          <w:sz w:val="26"/>
          <w:szCs w:val="26"/>
        </w:rPr>
      </w:pPr>
    </w:p>
    <w:p w14:paraId="20B012E2"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009D0BFB">
        <w:rPr>
          <w:rFonts w:ascii="Palatino Linotype" w:hAnsi="Palatino Linotype" w:cstheme="majorBidi"/>
          <w:b/>
          <w:bCs/>
          <w:sz w:val="26"/>
          <w:szCs w:val="26"/>
        </w:rPr>
        <w:t>Wynagrodzenie Stałe Członków Zarządu</w:t>
      </w:r>
    </w:p>
    <w:p w14:paraId="1DD11EE0"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Wynagrodzenie Stałe dla Członków Zarządu jest nie niższe niż 5000,00 zł (pięć tysięcy złotych) brutto i nie wyższe niż 100.000,00 zł (sto tysięcy złotych) brutto miesięcznie.</w:t>
      </w:r>
      <w:r>
        <w:rPr>
          <w:rFonts w:ascii="Palatino Linotype" w:hAnsi="Palatino Linotype" w:cstheme="majorBidi"/>
          <w:sz w:val="26"/>
          <w:szCs w:val="26"/>
        </w:rPr>
        <w:t xml:space="preserve"> ----------------------------------------------------------</w:t>
      </w:r>
    </w:p>
    <w:p w14:paraId="7A9A48BE"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Wynagrodzenie Stałe Członków Zarządu wypłacane jest raz na miesiąc.</w:t>
      </w:r>
      <w:r>
        <w:rPr>
          <w:rFonts w:ascii="Palatino Linotype" w:hAnsi="Palatino Linotype" w:cstheme="majorBidi"/>
          <w:sz w:val="26"/>
          <w:szCs w:val="26"/>
        </w:rPr>
        <w:t xml:space="preserve"> </w:t>
      </w:r>
    </w:p>
    <w:p w14:paraId="0BE5AB45"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Rada Nadzorcza jest upoważniona do określenia kwotowo Wynagrodzenia Stałego Członka Zarządu w granicach określonych powyżej, uwzględniając:</w:t>
      </w:r>
      <w:r>
        <w:rPr>
          <w:rFonts w:ascii="Palatino Linotype" w:hAnsi="Palatino Linotype" w:cstheme="majorBidi"/>
          <w:sz w:val="26"/>
          <w:szCs w:val="26"/>
        </w:rPr>
        <w:t xml:space="preserve"> -------------------------------------------------------------</w:t>
      </w:r>
    </w:p>
    <w:p w14:paraId="04E82E7E"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kwalifikacje zawodowe, wiedzę oraz doświadczenie Członka Zarządu;</w:t>
      </w:r>
      <w:r>
        <w:rPr>
          <w:rFonts w:ascii="Palatino Linotype" w:hAnsi="Palatino Linotype" w:cstheme="majorBidi"/>
          <w:sz w:val="26"/>
          <w:szCs w:val="26"/>
        </w:rPr>
        <w:t xml:space="preserve"> -----------------------------------------------------------------------------</w:t>
      </w:r>
    </w:p>
    <w:p w14:paraId="5A4C42A2"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zakres i charakter wykonywanych zadań;</w:t>
      </w:r>
      <w:r>
        <w:rPr>
          <w:rFonts w:ascii="Palatino Linotype" w:hAnsi="Palatino Linotype" w:cstheme="majorBidi"/>
          <w:sz w:val="26"/>
          <w:szCs w:val="26"/>
        </w:rPr>
        <w:t xml:space="preserve"> ----------------------------------</w:t>
      </w:r>
    </w:p>
    <w:p w14:paraId="3AA516CC"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lastRenderedPageBreak/>
        <w:t>zakres odpowiedzialności za określone obszary działalności Spółki;</w:t>
      </w:r>
      <w:r>
        <w:rPr>
          <w:rFonts w:ascii="Palatino Linotype" w:hAnsi="Palatino Linotype" w:cstheme="majorBidi"/>
          <w:sz w:val="26"/>
          <w:szCs w:val="26"/>
        </w:rPr>
        <w:t xml:space="preserve"> </w:t>
      </w:r>
    </w:p>
    <w:p w14:paraId="6A6850B2"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rynkowy poziom wynagrodzenia członków organów zarządzających spółkami publicznymi, których przedmiot działalności i rozmiar są porównywalne ze Spółką.</w:t>
      </w:r>
      <w:r>
        <w:rPr>
          <w:rFonts w:ascii="Palatino Linotype" w:hAnsi="Palatino Linotype" w:cstheme="majorBidi"/>
          <w:sz w:val="26"/>
          <w:szCs w:val="26"/>
        </w:rPr>
        <w:t xml:space="preserve"> ----------------------</w:t>
      </w:r>
    </w:p>
    <w:p w14:paraId="3EECAC88" w14:textId="77777777" w:rsidR="00113750" w:rsidRPr="009D0BFB" w:rsidRDefault="00113750" w:rsidP="00113750">
      <w:pPr>
        <w:jc w:val="both"/>
        <w:rPr>
          <w:rFonts w:ascii="Palatino Linotype" w:hAnsi="Palatino Linotype" w:cstheme="majorBidi"/>
          <w:sz w:val="26"/>
          <w:szCs w:val="26"/>
        </w:rPr>
      </w:pPr>
    </w:p>
    <w:p w14:paraId="18A3BE84"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009D0BFB">
        <w:rPr>
          <w:rFonts w:ascii="Palatino Linotype" w:hAnsi="Palatino Linotype" w:cstheme="majorBidi"/>
          <w:b/>
          <w:bCs/>
          <w:sz w:val="26"/>
          <w:szCs w:val="26"/>
        </w:rPr>
        <w:t>Wynagrodzenie Stałe Członków Rady Nadzorczej</w:t>
      </w:r>
    </w:p>
    <w:p w14:paraId="5CD09103"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Wynagrodzenie Stałe dla Członków Rady Nadzorczej jest nie niższe niż 5.000,00 złotych brutto i nie wyższe niż 100.000,00 zł (sto tysięcy złotych) brutto rocznie.</w:t>
      </w:r>
      <w:r>
        <w:rPr>
          <w:rFonts w:ascii="Palatino Linotype" w:hAnsi="Palatino Linotype" w:cstheme="majorBidi"/>
          <w:sz w:val="26"/>
          <w:szCs w:val="26"/>
        </w:rPr>
        <w:t xml:space="preserve"> ---------------------------------------------------------------------------</w:t>
      </w:r>
    </w:p>
    <w:p w14:paraId="48580FBC"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 xml:space="preserve">Wysokość Wynagrodzenia Stałego Członków Rady Nadzorczej określa Walne Zgromadzenie. </w:t>
      </w:r>
      <w:r>
        <w:rPr>
          <w:rFonts w:ascii="Palatino Linotype" w:hAnsi="Palatino Linotype" w:cstheme="majorBidi"/>
          <w:sz w:val="26"/>
          <w:szCs w:val="26"/>
        </w:rPr>
        <w:t>-----------------------------------------------------------------</w:t>
      </w:r>
    </w:p>
    <w:p w14:paraId="75606B7F"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Wynagrodzenie Stałe Członków Rady Nadzorczej wypłacane jest raz w roku.</w:t>
      </w:r>
      <w:r>
        <w:rPr>
          <w:rFonts w:ascii="Palatino Linotype" w:hAnsi="Palatino Linotype" w:cstheme="majorBidi"/>
          <w:sz w:val="26"/>
          <w:szCs w:val="26"/>
        </w:rPr>
        <w:t xml:space="preserve"> ---------------------------------------------------------------------------------------</w:t>
      </w:r>
    </w:p>
    <w:p w14:paraId="0F08DCED" w14:textId="77777777" w:rsidR="00113750" w:rsidRPr="009D0BFB" w:rsidRDefault="00113750" w:rsidP="00113750">
      <w:pPr>
        <w:jc w:val="both"/>
        <w:rPr>
          <w:rFonts w:ascii="Palatino Linotype" w:hAnsi="Palatino Linotype" w:cstheme="majorBidi"/>
          <w:sz w:val="26"/>
          <w:szCs w:val="26"/>
        </w:rPr>
      </w:pPr>
    </w:p>
    <w:p w14:paraId="62103840"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009D0BFB">
        <w:rPr>
          <w:rFonts w:ascii="Palatino Linotype" w:hAnsi="Palatino Linotype" w:cstheme="majorBidi"/>
          <w:b/>
          <w:bCs/>
          <w:sz w:val="26"/>
          <w:szCs w:val="26"/>
        </w:rPr>
        <w:t>Świadczenia Dodatkowe Członków Organów</w:t>
      </w:r>
    </w:p>
    <w:p w14:paraId="234AEC62"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Spółka może przyznać Członkom Organów prawo do Świadczeń Dodatkowych, które są niezależne od pozostałych Wynagrodzeń otrzymywanych przez Członków Organów.</w:t>
      </w:r>
      <w:r>
        <w:rPr>
          <w:rFonts w:ascii="Palatino Linotype" w:hAnsi="Palatino Linotype" w:cstheme="majorBidi"/>
          <w:sz w:val="26"/>
          <w:szCs w:val="26"/>
        </w:rPr>
        <w:t xml:space="preserve"> ------------------------------------</w:t>
      </w:r>
    </w:p>
    <w:p w14:paraId="0C5B2C1E"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Świadczenia Dodatkowe na zasadach przysługujących pracownikom i współpracownikom Spółki obejmują w szczególności:</w:t>
      </w:r>
      <w:r>
        <w:rPr>
          <w:rFonts w:ascii="Palatino Linotype" w:hAnsi="Palatino Linotype" w:cstheme="majorBidi"/>
          <w:sz w:val="26"/>
          <w:szCs w:val="26"/>
        </w:rPr>
        <w:t xml:space="preserve"> -----------------------</w:t>
      </w:r>
    </w:p>
    <w:p w14:paraId="20B83D70"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szkolenia i dofinansowanie szkoleń podnoszących kwalifikacje;</w:t>
      </w:r>
      <w:r>
        <w:rPr>
          <w:rFonts w:ascii="Palatino Linotype" w:hAnsi="Palatino Linotype" w:cstheme="majorBidi"/>
          <w:sz w:val="26"/>
          <w:szCs w:val="26"/>
        </w:rPr>
        <w:t xml:space="preserve"> -----</w:t>
      </w:r>
    </w:p>
    <w:p w14:paraId="5719B08D"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opieka medyczna;</w:t>
      </w:r>
      <w:r>
        <w:rPr>
          <w:rFonts w:ascii="Palatino Linotype" w:hAnsi="Palatino Linotype" w:cstheme="majorBidi"/>
          <w:sz w:val="26"/>
          <w:szCs w:val="26"/>
        </w:rPr>
        <w:t xml:space="preserve"> -----------------------------------------------------------------</w:t>
      </w:r>
    </w:p>
    <w:p w14:paraId="0F96FA47"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udział w Pracowniczym Programie Emerytalnym;</w:t>
      </w:r>
      <w:r>
        <w:rPr>
          <w:rFonts w:ascii="Palatino Linotype" w:hAnsi="Palatino Linotype" w:cstheme="majorBidi"/>
          <w:sz w:val="26"/>
          <w:szCs w:val="26"/>
        </w:rPr>
        <w:t xml:space="preserve"> -----------------------</w:t>
      </w:r>
    </w:p>
    <w:p w14:paraId="2E0C1C3C"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ubezpieczenie od odpowiedzialności cywilnej członków władz spółki;</w:t>
      </w:r>
      <w:r>
        <w:rPr>
          <w:rFonts w:ascii="Palatino Linotype" w:hAnsi="Palatino Linotype" w:cstheme="majorBidi"/>
          <w:sz w:val="26"/>
          <w:szCs w:val="26"/>
        </w:rPr>
        <w:t xml:space="preserve"> --------------------------------------------------------------------------------</w:t>
      </w:r>
    </w:p>
    <w:p w14:paraId="21A3E43E"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ubezpieczenie życia i zdrowia;</w:t>
      </w:r>
      <w:r>
        <w:rPr>
          <w:rFonts w:ascii="Palatino Linotype" w:hAnsi="Palatino Linotype" w:cstheme="majorBidi"/>
          <w:sz w:val="26"/>
          <w:szCs w:val="26"/>
        </w:rPr>
        <w:t xml:space="preserve"> -------------------------------------------------</w:t>
      </w:r>
    </w:p>
    <w:p w14:paraId="2777EC13"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korzystanie z samochodu służbowego do celów prywatnych;</w:t>
      </w:r>
      <w:r>
        <w:rPr>
          <w:rFonts w:ascii="Palatino Linotype" w:hAnsi="Palatino Linotype" w:cstheme="majorBidi"/>
          <w:sz w:val="26"/>
          <w:szCs w:val="26"/>
        </w:rPr>
        <w:t xml:space="preserve"> --------</w:t>
      </w:r>
    </w:p>
    <w:p w14:paraId="3EA86EAB"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Oprócz świadczeń określonych w ust. 2 powyżej Członkom Organów może przysługiwać:</w:t>
      </w:r>
      <w:r>
        <w:rPr>
          <w:rFonts w:ascii="Palatino Linotype" w:hAnsi="Palatino Linotype" w:cstheme="majorBidi"/>
          <w:sz w:val="26"/>
          <w:szCs w:val="26"/>
        </w:rPr>
        <w:t xml:space="preserve"> --------------------------------------------------------------------</w:t>
      </w:r>
    </w:p>
    <w:p w14:paraId="5EAA60D3"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pokrycie kosztów zakwaterowania</w:t>
      </w:r>
      <w:r>
        <w:rPr>
          <w:rFonts w:ascii="Palatino Linotype" w:hAnsi="Palatino Linotype" w:cstheme="majorBidi"/>
          <w:sz w:val="26"/>
          <w:szCs w:val="26"/>
        </w:rPr>
        <w:t xml:space="preserve"> -------------------------------------------</w:t>
      </w:r>
    </w:p>
    <w:p w14:paraId="49515C2A"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009D0BFB">
        <w:rPr>
          <w:rFonts w:ascii="Palatino Linotype" w:hAnsi="Palatino Linotype" w:cstheme="majorBidi"/>
          <w:sz w:val="26"/>
          <w:szCs w:val="26"/>
        </w:rPr>
        <w:t>pokrycie kosztów dojazdów na posiedzenia.</w:t>
      </w:r>
      <w:r>
        <w:rPr>
          <w:rFonts w:ascii="Palatino Linotype" w:hAnsi="Palatino Linotype" w:cstheme="majorBidi"/>
          <w:sz w:val="26"/>
          <w:szCs w:val="26"/>
        </w:rPr>
        <w:t xml:space="preserve"> ------------------------------</w:t>
      </w:r>
    </w:p>
    <w:p w14:paraId="5149851C" w14:textId="77777777" w:rsidR="00113750" w:rsidRPr="009D0BFB" w:rsidRDefault="00113750" w:rsidP="00113750">
      <w:pPr>
        <w:jc w:val="both"/>
        <w:rPr>
          <w:rFonts w:ascii="Palatino Linotype" w:hAnsi="Palatino Linotype" w:cstheme="majorBidi"/>
          <w:sz w:val="26"/>
          <w:szCs w:val="26"/>
        </w:rPr>
      </w:pPr>
    </w:p>
    <w:p w14:paraId="0C845273"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sz w:val="26"/>
          <w:szCs w:val="26"/>
        </w:rPr>
      </w:pPr>
      <w:r w:rsidRPr="009D0BFB">
        <w:rPr>
          <w:rFonts w:ascii="Palatino Linotype" w:hAnsi="Palatino Linotype" w:cstheme="majorBidi"/>
          <w:b/>
          <w:bCs/>
          <w:sz w:val="26"/>
          <w:szCs w:val="26"/>
        </w:rPr>
        <w:t>Wynagrodzenie Zmienne Członków Zarządu</w:t>
      </w:r>
    </w:p>
    <w:p w14:paraId="4B5BBFFF"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Wynagrodzenie Zmienne może być przyznawane Członkom Zarządu w przypadku, gdy zostaną spełnione Cele Zarządcze określone przez Radę Nadzorczą na dany rok obrotowy.</w:t>
      </w:r>
      <w:r>
        <w:rPr>
          <w:rFonts w:ascii="Palatino Linotype" w:hAnsi="Palatino Linotype" w:cstheme="majorBidi"/>
          <w:sz w:val="26"/>
          <w:szCs w:val="26"/>
        </w:rPr>
        <w:t xml:space="preserve"> -------------------------------------------------</w:t>
      </w:r>
    </w:p>
    <w:p w14:paraId="19E178A6"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Wynagrodzenie Zmienne nie może przekroczyć dwudziestokrotności Wynagrodzenia Stałego.</w:t>
      </w:r>
      <w:r>
        <w:rPr>
          <w:rFonts w:ascii="Palatino Linotype" w:hAnsi="Palatino Linotype" w:cstheme="majorBidi"/>
          <w:sz w:val="26"/>
          <w:szCs w:val="26"/>
        </w:rPr>
        <w:t xml:space="preserve"> --------------------------------------------------------------</w:t>
      </w:r>
    </w:p>
    <w:p w14:paraId="79DE3811"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Decyzję co do przyznania i wyznaczenie wysokości Wynagrodzenia Zmiennego dla danego Członka Zarządu powierza się Radzie Nadzorczej.</w:t>
      </w:r>
      <w:r>
        <w:rPr>
          <w:rFonts w:ascii="Palatino Linotype" w:hAnsi="Palatino Linotype" w:cstheme="majorBidi"/>
          <w:sz w:val="26"/>
          <w:szCs w:val="26"/>
        </w:rPr>
        <w:t xml:space="preserve"> ------------------------------------------------------------------------------</w:t>
      </w:r>
    </w:p>
    <w:p w14:paraId="5D19D41E"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Wysokość wynagrodzenia określana jest indywidualnie dla każdego Członka Zarządu z uwzględnieniem jego przyczynienia się do wypełnienia Celów Zarządczych.</w:t>
      </w:r>
      <w:r>
        <w:rPr>
          <w:rFonts w:ascii="Palatino Linotype" w:hAnsi="Palatino Linotype" w:cstheme="majorBidi"/>
          <w:sz w:val="26"/>
          <w:szCs w:val="26"/>
        </w:rPr>
        <w:t xml:space="preserve"> --------------------------------------------------</w:t>
      </w:r>
    </w:p>
    <w:p w14:paraId="42EB6B20"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Wynagrodzenie Zmienne wypłacane jest w terminie wskazanym w uchwale Rady Nadzorczej. Rada Nadzorcza może postanowić o</w:t>
      </w:r>
      <w:r>
        <w:rPr>
          <w:rFonts w:ascii="Palatino Linotype" w:hAnsi="Palatino Linotype" w:cstheme="majorBidi"/>
          <w:sz w:val="26"/>
          <w:szCs w:val="26"/>
        </w:rPr>
        <w:t xml:space="preserve"> </w:t>
      </w:r>
      <w:r w:rsidRPr="009D0BFB">
        <w:rPr>
          <w:rFonts w:ascii="Palatino Linotype" w:hAnsi="Palatino Linotype" w:cstheme="majorBidi"/>
          <w:sz w:val="26"/>
          <w:szCs w:val="26"/>
        </w:rPr>
        <w:t xml:space="preserve">odroczeniu wypłaty Wynagrodzenia Zmiennego. </w:t>
      </w:r>
      <w:r>
        <w:rPr>
          <w:rFonts w:ascii="Palatino Linotype" w:hAnsi="Palatino Linotype" w:cstheme="majorBidi"/>
          <w:sz w:val="26"/>
          <w:szCs w:val="26"/>
        </w:rPr>
        <w:t xml:space="preserve"> ----------------------------</w:t>
      </w:r>
    </w:p>
    <w:p w14:paraId="5C797780"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009D0BFB">
        <w:rPr>
          <w:rFonts w:ascii="Palatino Linotype" w:hAnsi="Palatino Linotype" w:cstheme="majorBidi"/>
          <w:sz w:val="26"/>
          <w:szCs w:val="26"/>
        </w:rPr>
        <w:t>Członek Zarządu obowiązany jest do zwrotu Wynagrodzenia</w:t>
      </w:r>
      <w:r>
        <w:rPr>
          <w:rFonts w:ascii="Palatino Linotype" w:hAnsi="Palatino Linotype" w:cstheme="majorBidi"/>
          <w:sz w:val="26"/>
          <w:szCs w:val="26"/>
        </w:rPr>
        <w:t xml:space="preserve"> </w:t>
      </w:r>
      <w:r w:rsidRPr="009D0BFB">
        <w:rPr>
          <w:rFonts w:ascii="Palatino Linotype" w:hAnsi="Palatino Linotype" w:cstheme="majorBidi"/>
          <w:sz w:val="26"/>
          <w:szCs w:val="26"/>
        </w:rPr>
        <w:t>Zmiennego w przypadku</w:t>
      </w:r>
      <w:r>
        <w:rPr>
          <w:rFonts w:ascii="Palatino Linotype" w:hAnsi="Palatino Linotype" w:cstheme="majorBidi"/>
          <w:sz w:val="26"/>
          <w:szCs w:val="26"/>
        </w:rPr>
        <w:t>,</w:t>
      </w:r>
      <w:r w:rsidRPr="009D0BFB">
        <w:rPr>
          <w:rFonts w:ascii="Palatino Linotype" w:hAnsi="Palatino Linotype" w:cstheme="majorBidi"/>
          <w:sz w:val="26"/>
          <w:szCs w:val="26"/>
        </w:rPr>
        <w:t xml:space="preserve"> gdy po jego wypłacie zostanie wykazane, że zostało ono przyznane Członkowi Zarządu na podstawie danych, które okazały się nieprawdziwe lub nierzetelne.</w:t>
      </w:r>
      <w:r>
        <w:rPr>
          <w:rFonts w:ascii="Palatino Linotype" w:hAnsi="Palatino Linotype" w:cstheme="majorBidi"/>
          <w:sz w:val="26"/>
          <w:szCs w:val="26"/>
        </w:rPr>
        <w:t xml:space="preserve"> --------------------------------------</w:t>
      </w:r>
    </w:p>
    <w:p w14:paraId="3AEA5147" w14:textId="77777777" w:rsidR="00113750" w:rsidRPr="009D0BFB" w:rsidRDefault="00113750" w:rsidP="00113750">
      <w:pPr>
        <w:pStyle w:val="Akapitzlist"/>
        <w:spacing w:line="300" w:lineRule="auto"/>
        <w:rPr>
          <w:rFonts w:ascii="Palatino Linotype" w:hAnsi="Palatino Linotype" w:cstheme="majorBidi"/>
          <w:sz w:val="26"/>
          <w:szCs w:val="26"/>
        </w:rPr>
      </w:pPr>
    </w:p>
    <w:p w14:paraId="7177F915" w14:textId="11C82F6C" w:rsidR="29ED5F21" w:rsidRDefault="29ED5F21" w:rsidP="49CEF63E">
      <w:pPr>
        <w:pStyle w:val="Akapitzlist"/>
        <w:numPr>
          <w:ilvl w:val="0"/>
          <w:numId w:val="3"/>
        </w:numPr>
        <w:spacing w:line="300" w:lineRule="auto"/>
        <w:jc w:val="center"/>
        <w:rPr>
          <w:rFonts w:ascii="Palatino Linotype" w:hAnsi="Palatino Linotype" w:cstheme="majorBidi"/>
          <w:b/>
          <w:bCs/>
          <w:sz w:val="26"/>
          <w:szCs w:val="26"/>
        </w:rPr>
      </w:pPr>
      <w:r w:rsidRPr="49CEF63E">
        <w:rPr>
          <w:rFonts w:ascii="Palatino Linotype" w:hAnsi="Palatino Linotype" w:cstheme="majorBidi"/>
          <w:b/>
          <w:bCs/>
          <w:sz w:val="26"/>
          <w:szCs w:val="26"/>
        </w:rPr>
        <w:t>Program Motywacyjny</w:t>
      </w:r>
    </w:p>
    <w:p w14:paraId="2A97DE3E" w14:textId="0CF3C8D7" w:rsidR="007372E8" w:rsidRPr="007372E8" w:rsidRDefault="007372E8" w:rsidP="007372E8">
      <w:pPr>
        <w:pStyle w:val="Akapitzlist"/>
        <w:numPr>
          <w:ilvl w:val="1"/>
          <w:numId w:val="3"/>
        </w:numPr>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 xml:space="preserve">Spółka, doceniając rolę Zarządu, mając na celu wprowadzenie efektywnego systemu motywacyjnego służącego pozyskaniu i zatrzymaniu w Spółce wykwalifikowanej i doświadczonej kadry kierowniczej oraz powiązaniu wyników Spółki z korzyściami finansowymi odnoszonymi przez te osoby, z zastrzeżeniem, wprowadza Program Motywacyjny dla Członków Zarządu Harper Hygienics S.A. </w:t>
      </w:r>
    </w:p>
    <w:p w14:paraId="1F35C857" w14:textId="5E00260B" w:rsidR="007372E8" w:rsidRPr="007372E8" w:rsidRDefault="007372E8" w:rsidP="007372E8">
      <w:pPr>
        <w:pStyle w:val="Akapitzlist"/>
        <w:numPr>
          <w:ilvl w:val="1"/>
          <w:numId w:val="3"/>
        </w:numPr>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W celu przystąpienia do Programu Motywacyjnego Spółka zawrze z członkiem zarządu umowę przystąpienia do Programu Motywacyjnego.</w:t>
      </w:r>
    </w:p>
    <w:p w14:paraId="6D5386F2" w14:textId="1E71F621" w:rsidR="007372E8" w:rsidRPr="007372E8" w:rsidRDefault="007372E8" w:rsidP="007372E8">
      <w:pPr>
        <w:pStyle w:val="Akapitzlist"/>
        <w:numPr>
          <w:ilvl w:val="1"/>
          <w:numId w:val="3"/>
        </w:numPr>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Ustala się następujące założenia Programu:</w:t>
      </w:r>
    </w:p>
    <w:p w14:paraId="386CEDD9"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lastRenderedPageBreak/>
        <w:t>3.1. W celu zagwarantowania członkom zarządu objętym Programem prawa do objęcia akcji Harper Hygienics S.A., Spółka wyemituje warranty subskrypcyjne Serii A o łącznej ilości nieprzewyższającej 5% łącznej ilości akcji Serii A i Serii D, tj. 318 350 (trzysta osiemnaście tysięcy trzysta pięćdziesiąt) Warrantów Serii A.</w:t>
      </w:r>
    </w:p>
    <w:p w14:paraId="45ED6217"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3.2. W przypadku trzyosobowego składu zarządu, jeżeli wszyscy członkowie zarządu zostaną objęci Programem, łączna liczba Warrantów Serii A będzie procentowo podzielona pomiędzy nimi w następujący sposób:</w:t>
      </w:r>
    </w:p>
    <w:p w14:paraId="3ED8F867"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40% Warrantów Serii A – Prezes Zarządu;</w:t>
      </w:r>
    </w:p>
    <w:p w14:paraId="24BE5E69"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30% Warrantów Serii A - inny Członek  Zarządu;</w:t>
      </w:r>
    </w:p>
    <w:p w14:paraId="3638B790"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30% Warrantów Serii A – inny Członek Zarządu</w:t>
      </w:r>
    </w:p>
    <w:p w14:paraId="38E6EBDA"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3.3. W przypadku, gdy jeden z członków zarządu innych niż Prezes Zarządu nie będzie spełniał warunku do nieodpłatnego nabycia Warrantów, o którym mowa w pkt 3.6 poniżej, lub nie zostanie objęty Programem, przypadająca mu część w wysokości 30% zostanie podzielona pomiędzy pozostałymi dwoma członkami w następujący sposób:</w:t>
      </w:r>
    </w:p>
    <w:p w14:paraId="0DF2CA30"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55% Warrantów Serii A – Prezes Zarządu;</w:t>
      </w:r>
    </w:p>
    <w:p w14:paraId="4EB688A9" w14:textId="42D243C8"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45% Warrantów Serii A – inny Członek Zarządu.</w:t>
      </w:r>
    </w:p>
    <w:p w14:paraId="4BA5A1D2"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3.4. W przypadku, gdy Prezes Zarządu nie będzie spełniał warunku do nieodpłatnego nabycia Warrantów, o którym mowa w pkt 3.6 poniżej, lub nie zostanie objęty Programem, przypadająca mu część zostanie podzielona pomiędzy pozostałymi dwoma członkami w następujący sposób:</w:t>
      </w:r>
    </w:p>
    <w:p w14:paraId="2C3DDABE"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50% Warrantów Serii A – inny Członek Zarządu;</w:t>
      </w:r>
    </w:p>
    <w:p w14:paraId="5BFD829D"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50% Warrantów Serii A – inny Członek Zarządu.</w:t>
      </w:r>
    </w:p>
    <w:p w14:paraId="2788A7D7"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3.5.Warranty Serii A zostaną nieodpłatnie objęte przez podmiot będący firmą inwestycyjną, pełniący funkcję powiernika („Powiernik”), który będzie kierował do Osób Objętych Programem pisemne oferty nieodpłatnego nabycia tych Warrantów Serii A w liczbie ustalonej przez Radę Nadzorczą, a następnie wydawał Warranty Serii A tym osobom, które przyjęły tę ofertę;</w:t>
      </w:r>
    </w:p>
    <w:p w14:paraId="409B9EAC"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lastRenderedPageBreak/>
        <w:t>3.6. Powstanie prawa do nieodpłatnego nabycia Warrantów Serii A przez Osoby Objęte Programem, będzie uzależnione od spełnienia warunku pozostawania przez Osobę Objętą Programem w składzie zarządu Spółki nieprzerwanie przez okres co najmniej 5 (pięciu) lat kalendarzowych poczynając od dnia przystąpienia członka zarządu do programu.</w:t>
      </w:r>
    </w:p>
    <w:p w14:paraId="2D2315D6"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3.7. Warranty Serii A będą mogły zostać wydane Osobom Objętym Programem nie wcześniej niż po dniu zatwierdzenia sprawozdania finansowego Spółki za rok obrotowy, w którym ziścił się warunek, o którym mowa w pkt 3.6. powyżej.</w:t>
      </w:r>
    </w:p>
    <w:p w14:paraId="3609750E"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 xml:space="preserve">3.8. Członek zarządu, który spełnił warunek z pkt 3.6., złoży Radzie Nadzorczej pisemne oświadczenie o spełnieniu tego warunku. Rada Nadzorcza w uchwale określi liczbę Warrantów Serii A wydawanych każdej Osobie Objętej Programem zgodnie z pkt 3.2. Powyżej. W terminie 14 (czternastu) dni od dnia podjęcia przez Radę Nadzorczą uchwały w ww. Sprawie, zostanie ona przekazana Powiernikowi. </w:t>
      </w:r>
    </w:p>
    <w:p w14:paraId="23DC6A69"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3.9. W terminie 14 (czternastu) dni od otrzymania tej informacji, Powiernik kierować będzie do Osób Objętych Programem, wskazanych w uchwale, oferty nieodpłatnego nabycia Warrantów Serii A. Oferta składana będzie za pośrednictwem kuriera lub pocztą, za zwrotnym potwierdzeniem odbioru. Termin na przyjęcie oferty wynosić będzie 30 (trzydzieści) dni od dnia jej otrzymania.</w:t>
      </w:r>
    </w:p>
    <w:p w14:paraId="59EB0D31"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3.10. Warranty Serii A zostaną wyemitowane nieodpłatnie i nie będą posiadać ceny emisyjnej;</w:t>
      </w:r>
    </w:p>
    <w:p w14:paraId="296602D8"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3.11. Warranty Serii A będą mieć formę dokumentu i zostaną wydane w formie odcinków zbiorowych obejmujących więcej niż 1 (jeden) Warrant Serii A;</w:t>
      </w:r>
    </w:p>
    <w:p w14:paraId="4987DD7A"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3.12. każdy z Warrantów Serii A będzie uprawniać Osobę Objętą Programem do objęcia 1 (jednej) akcji Spółki, o której mowa w pkt. 3.14. poniżej;</w:t>
      </w:r>
    </w:p>
    <w:p w14:paraId="7C487652"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3.13. Prawo do nieodpłatnego nabycia Warrantów Serii A wygasa w przypadku:</w:t>
      </w:r>
    </w:p>
    <w:p w14:paraId="02F0224D"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lastRenderedPageBreak/>
        <w:t>a) nieprzyjęcia przez Osobę Objętą Programem oferty Powiernika w terminie określonym w pkt 3.9. zd.3;</w:t>
      </w:r>
    </w:p>
    <w:p w14:paraId="516096D9"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 xml:space="preserve">b) niewykonania przez Osobę Objętą Programem prawa objęcia akcji Spółki w terminie określonym w pkt 3.16.; </w:t>
      </w:r>
    </w:p>
    <w:p w14:paraId="0187E97E"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 xml:space="preserve">c) niespełnienia przez Osobę Objętą Programem warunku, o którym mowa w pkt 3.6. do dnia 31 grudnia 2030 r. </w:t>
      </w:r>
    </w:p>
    <w:p w14:paraId="5615250B"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d) zaistnienia zdarzenia, o którym mowa w ust. 4 poniżej.</w:t>
      </w:r>
    </w:p>
    <w:p w14:paraId="043AFF87"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 xml:space="preserve">3.14. Z zastrzeżeniem ust. 4 poniżej, na potrzeby Programu Spółka wyemituje łącznie nie więcej niż 318 350 (trzysta osiemnaście tysięcy trzysta pięćdziesiąt) akcji zwykłych na okaziciela Serii B o wartości nominalnej 1 (jeden) grosz każda („Akcje Serii B"). </w:t>
      </w:r>
    </w:p>
    <w:p w14:paraId="66698587"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3.15. Prawo do objęcia Akcji Serii B będzie przysługiwać Osobom Objętym Programem, które są posiadaczami Warrantów Serii A.</w:t>
      </w:r>
    </w:p>
    <w:p w14:paraId="793481AD"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3.16. Prawo do objęcia Akcji Serii B będzie wykonane poprzez złożenie stosownego oświadczenia o objęciu tych akcji, w okresie od dnia wydania Osobie Objętej Programem Warrantów Serii A (nieodpłatnie nabytych w wyniku złożenia przez Powiernika oferty, o której mowa w 3.9.), maksymalnie do dnia 31 grudnia 2031 r. W przypadku niezłożenia oświadczenia o objęciu Akcji Serii B przez posiadacza Warrantów Serii A do dnia 31 grudnia 2031 r., prawo do objęcia tych Akcji z Warrantów Serii A wygasa z tym dniem.</w:t>
      </w:r>
    </w:p>
    <w:p w14:paraId="6E5FD0CA"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3.17. Posiadacz Warrantów Serii A, który złożył oświadczenie o objęciu Akcji Serii B, uzyskuje prawo do dywidendy za rok obrotowy, w którym objął akcje Serii B pod warunkiem, iż złożył oświadczenie przed dniem zatwierdzenia sprawozdania finansowego za ten rok obrotowy.</w:t>
      </w:r>
    </w:p>
    <w:p w14:paraId="6CD9DAD4" w14:textId="0EF6D68F"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 xml:space="preserve">3.18. Cena emisyjna każdej Akcji Serii B obejmowanej w wyniku realizacji uprawnień z Warrantów Serii A będzie równa </w:t>
      </w:r>
      <w:r w:rsidR="00757DA8">
        <w:rPr>
          <w:rFonts w:ascii="Palatino Linotype" w:hAnsi="Palatino Linotype" w:cstheme="majorBidi"/>
          <w:sz w:val="26"/>
          <w:szCs w:val="26"/>
        </w:rPr>
        <w:t>cenie nominalnej, o której mowa w pkt</w:t>
      </w:r>
      <w:r w:rsidR="00B95DDB">
        <w:rPr>
          <w:rFonts w:ascii="Palatino Linotype" w:hAnsi="Palatino Linotype" w:cstheme="majorBidi"/>
          <w:sz w:val="26"/>
          <w:szCs w:val="26"/>
        </w:rPr>
        <w:t xml:space="preserve"> 3.14.</w:t>
      </w:r>
    </w:p>
    <w:p w14:paraId="7CACE42F"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 xml:space="preserve">3.19. Osoba Objęta Programem z dniem, z którym zostanie odwołana ze składu Zarządu albo złoży rezygnację z funkcji pełnionej w Zarządzie, przestanie pełnić funkcję członka Zarządu w związku z upływem jej kadencji lub wygaśnięciem mandatu, utraci prawo uczestnictwa w </w:t>
      </w:r>
      <w:r w:rsidRPr="007372E8">
        <w:rPr>
          <w:rFonts w:ascii="Palatino Linotype" w:hAnsi="Palatino Linotype" w:cstheme="majorBidi"/>
          <w:sz w:val="26"/>
          <w:szCs w:val="26"/>
        </w:rPr>
        <w:lastRenderedPageBreak/>
        <w:t>Programie i zostanie skreślona z listy Osób Objętych Programem; skreślenia danej osoby z listy Osób Objętych Programem dokona niezwłocznie Rada Nadzorcza i skreślenie to będzie skuteczne z dniem, o którym mowa powyżej;</w:t>
      </w:r>
    </w:p>
    <w:p w14:paraId="0FBAD1F1"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3.20. Wyjątki od przypadków skreślenia, o których mowa w pkt 3.19. powyżej, uwzględniające objęcie przez daną Osobę Objętą Programem innego stanowiska lub funkcji objętej Programem, mogą zostać ustalone w umowie przystąpienia do Programu Motywacyjnego.</w:t>
      </w:r>
    </w:p>
    <w:p w14:paraId="0D14CF90" w14:textId="77777777"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3.21. Z dniem utraty prawa uczestnictwa w Programie z powodu, o którym mowa w pkt 3.19., wygasa prawo danej osoby do nabycia Warrantów Serii A.</w:t>
      </w:r>
    </w:p>
    <w:p w14:paraId="726B85F3" w14:textId="7F06640E" w:rsidR="007372E8" w:rsidRPr="007372E8" w:rsidRDefault="007372E8" w:rsidP="007372E8">
      <w:pPr>
        <w:pStyle w:val="Akapitzlist"/>
        <w:spacing w:line="300" w:lineRule="auto"/>
        <w:ind w:left="284" w:hanging="283"/>
        <w:jc w:val="both"/>
        <w:rPr>
          <w:rFonts w:ascii="Palatino Linotype" w:hAnsi="Palatino Linotype" w:cstheme="majorBidi"/>
          <w:sz w:val="26"/>
          <w:szCs w:val="26"/>
        </w:rPr>
      </w:pPr>
      <w:r w:rsidRPr="007372E8">
        <w:rPr>
          <w:rFonts w:ascii="Palatino Linotype" w:hAnsi="Palatino Linotype" w:cstheme="majorBidi"/>
          <w:sz w:val="26"/>
          <w:szCs w:val="26"/>
        </w:rPr>
        <w:t xml:space="preserve">4. Jeżeli w trakcie biegu terminu, o którym mowa w pkt 3.6, Osoba Objęta Programem otrzyma premię uznaniową od sprzedaży Spółki lub wszystkich akcji większościowego akcjonariusza, prawo do niedoplatanego nabycia warrantów Serii A </w:t>
      </w:r>
      <w:r w:rsidR="000C6959">
        <w:rPr>
          <w:rFonts w:ascii="Palatino Linotype" w:hAnsi="Palatino Linotype" w:cstheme="majorBidi"/>
          <w:sz w:val="26"/>
          <w:szCs w:val="26"/>
        </w:rPr>
        <w:t>wygasa</w:t>
      </w:r>
      <w:r w:rsidRPr="007372E8">
        <w:rPr>
          <w:rFonts w:ascii="Palatino Linotype" w:hAnsi="Palatino Linotype" w:cstheme="majorBidi"/>
          <w:sz w:val="26"/>
          <w:szCs w:val="26"/>
        </w:rPr>
        <w:t xml:space="preserve">. </w:t>
      </w:r>
    </w:p>
    <w:p w14:paraId="21FEB5CA" w14:textId="2BE61EDE"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4.1. W przypadku zajścia zdarzenia z ust. 4, Spółka wykupi wszystkie   warranty od Powiernika w celu ich umorzenia.</w:t>
      </w:r>
    </w:p>
    <w:p w14:paraId="4390B942" w14:textId="396E1F92" w:rsidR="007372E8" w:rsidRPr="007372E8" w:rsidRDefault="007372E8" w:rsidP="007372E8">
      <w:pPr>
        <w:pStyle w:val="Akapitzlist"/>
        <w:spacing w:line="300" w:lineRule="auto"/>
        <w:ind w:left="426"/>
        <w:jc w:val="both"/>
        <w:rPr>
          <w:rFonts w:ascii="Palatino Linotype" w:hAnsi="Palatino Linotype" w:cstheme="majorBidi"/>
          <w:sz w:val="26"/>
          <w:szCs w:val="26"/>
        </w:rPr>
      </w:pPr>
      <w:r w:rsidRPr="007372E8">
        <w:rPr>
          <w:rFonts w:ascii="Palatino Linotype" w:hAnsi="Palatino Linotype" w:cstheme="majorBidi"/>
          <w:sz w:val="26"/>
          <w:szCs w:val="26"/>
        </w:rPr>
        <w:t xml:space="preserve">4.2. Zasady przyznawania premii uznaniowej, o której mowa w ust. 4, zostaną szczegółowe określone w umowie przystąpienia do Programu Motywacyjnego. </w:t>
      </w:r>
    </w:p>
    <w:p w14:paraId="221FFFA1" w14:textId="77777777" w:rsidR="007372E8" w:rsidRPr="007372E8" w:rsidRDefault="007372E8" w:rsidP="007372E8">
      <w:pPr>
        <w:pStyle w:val="Akapitzlist"/>
        <w:spacing w:line="300" w:lineRule="auto"/>
        <w:ind w:left="284" w:hanging="284"/>
        <w:jc w:val="both"/>
        <w:rPr>
          <w:rFonts w:ascii="Palatino Linotype" w:hAnsi="Palatino Linotype" w:cstheme="majorBidi"/>
          <w:sz w:val="26"/>
          <w:szCs w:val="26"/>
        </w:rPr>
      </w:pPr>
      <w:r w:rsidRPr="007372E8">
        <w:rPr>
          <w:rFonts w:ascii="Palatino Linotype" w:hAnsi="Palatino Linotype" w:cstheme="majorBidi"/>
          <w:sz w:val="26"/>
          <w:szCs w:val="26"/>
        </w:rPr>
        <w:t>5. Walne Zgromadzenie zastrzega sobie prawo do zmiany warunków uczestnictwa w Programie Motywacyjnym w przypadku zmiany istotnych okoliczności funkcjonowania Spółki.</w:t>
      </w:r>
    </w:p>
    <w:p w14:paraId="409E977C" w14:textId="77777777" w:rsidR="007372E8" w:rsidRPr="007372E8" w:rsidRDefault="007372E8" w:rsidP="007372E8">
      <w:pPr>
        <w:pStyle w:val="Akapitzlist"/>
        <w:spacing w:line="300" w:lineRule="auto"/>
        <w:ind w:left="284" w:hanging="284"/>
        <w:jc w:val="both"/>
        <w:rPr>
          <w:rFonts w:ascii="Palatino Linotype" w:hAnsi="Palatino Linotype" w:cstheme="majorBidi"/>
          <w:sz w:val="26"/>
          <w:szCs w:val="26"/>
        </w:rPr>
      </w:pPr>
      <w:r w:rsidRPr="007372E8">
        <w:rPr>
          <w:rFonts w:ascii="Palatino Linotype" w:hAnsi="Palatino Linotype" w:cstheme="majorBidi"/>
          <w:sz w:val="26"/>
          <w:szCs w:val="26"/>
        </w:rPr>
        <w:t>6. Walne Zgromadzenie niniejszym upoważnia Radę Nadzorczą do sporządzenia treści umowy przystąpienia do Programu Motywacyjnego i doprecyzowania zasad przyznawania premii uznaniowej, o której mowa w ust. 4.</w:t>
      </w:r>
    </w:p>
    <w:p w14:paraId="4A3CDA39"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49CEF63E">
        <w:rPr>
          <w:rFonts w:ascii="Palatino Linotype" w:hAnsi="Palatino Linotype" w:cstheme="majorBidi"/>
          <w:b/>
          <w:bCs/>
          <w:sz w:val="26"/>
          <w:szCs w:val="26"/>
        </w:rPr>
        <w:t>Dodatkowe programy emerytalne</w:t>
      </w:r>
    </w:p>
    <w:p w14:paraId="1B8C96D9" w14:textId="77777777" w:rsidR="00113750" w:rsidRPr="009D0BFB" w:rsidRDefault="00113750" w:rsidP="00113750">
      <w:pPr>
        <w:pStyle w:val="Akapitzlist"/>
        <w:tabs>
          <w:tab w:val="left" w:pos="0"/>
        </w:tabs>
        <w:spacing w:line="276" w:lineRule="auto"/>
        <w:ind w:left="0"/>
        <w:jc w:val="both"/>
        <w:rPr>
          <w:rFonts w:ascii="Palatino Linotype" w:hAnsi="Palatino Linotype" w:cstheme="majorBidi"/>
          <w:b/>
          <w:bCs/>
          <w:sz w:val="26"/>
          <w:szCs w:val="26"/>
        </w:rPr>
      </w:pPr>
      <w:r w:rsidRPr="009D0BFB">
        <w:rPr>
          <w:rFonts w:ascii="Palatino Linotype" w:hAnsi="Palatino Linotype" w:cstheme="majorBidi"/>
          <w:sz w:val="26"/>
          <w:szCs w:val="26"/>
        </w:rPr>
        <w:t>Spółka nie zapewnia Członkom Organów możliwości korzystania z dodatkowych programów emerytalno-rentowych lub programów wcześniejszych emerytur.</w:t>
      </w:r>
      <w:r>
        <w:rPr>
          <w:rFonts w:ascii="Palatino Linotype" w:hAnsi="Palatino Linotype" w:cstheme="majorBidi"/>
          <w:sz w:val="26"/>
          <w:szCs w:val="26"/>
        </w:rPr>
        <w:t xml:space="preserve"> -----------------------------------------------------------------</w:t>
      </w:r>
    </w:p>
    <w:p w14:paraId="7B83CA03" w14:textId="77777777" w:rsidR="00113750" w:rsidRPr="009D0BFB" w:rsidRDefault="00113750" w:rsidP="00113750">
      <w:pPr>
        <w:jc w:val="both"/>
        <w:rPr>
          <w:rFonts w:ascii="Palatino Linotype" w:hAnsi="Palatino Linotype" w:cstheme="majorBidi"/>
          <w:b/>
          <w:bCs/>
          <w:sz w:val="26"/>
          <w:szCs w:val="26"/>
        </w:rPr>
      </w:pPr>
    </w:p>
    <w:p w14:paraId="09E9C45D"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49CEF63E">
        <w:rPr>
          <w:rFonts w:ascii="Palatino Linotype" w:hAnsi="Palatino Linotype" w:cstheme="majorBidi"/>
          <w:b/>
          <w:bCs/>
          <w:sz w:val="26"/>
          <w:szCs w:val="26"/>
        </w:rPr>
        <w:lastRenderedPageBreak/>
        <w:t>Konflikty interesów</w:t>
      </w:r>
    </w:p>
    <w:p w14:paraId="681ECD38"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49CEF63E">
        <w:rPr>
          <w:rFonts w:ascii="Palatino Linotype" w:hAnsi="Palatino Linotype" w:cstheme="majorBidi"/>
          <w:sz w:val="26"/>
          <w:szCs w:val="26"/>
        </w:rPr>
        <w:t>Konflikt interesów może powstać w szczególności w przypadku, gdy: -</w:t>
      </w:r>
    </w:p>
    <w:p w14:paraId="00B3C858"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49CEF63E">
        <w:rPr>
          <w:rFonts w:ascii="Palatino Linotype" w:hAnsi="Palatino Linotype" w:cstheme="majorBidi"/>
          <w:sz w:val="26"/>
          <w:szCs w:val="26"/>
        </w:rPr>
        <w:t>interes Członka Organu jest rozbieżny z interesem Spółki; ------------</w:t>
      </w:r>
    </w:p>
    <w:p w14:paraId="0C199A22"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49CEF63E">
        <w:rPr>
          <w:rFonts w:ascii="Palatino Linotype" w:hAnsi="Palatino Linotype" w:cstheme="majorBidi"/>
          <w:sz w:val="26"/>
          <w:szCs w:val="26"/>
        </w:rPr>
        <w:t>Członek Organu może uzyskać korzyść lub uniknąć straty na skutek poniesienia przez Spółkę straty. -----------------------------------------------</w:t>
      </w:r>
    </w:p>
    <w:p w14:paraId="4D3ACCBD"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b/>
          <w:bCs/>
          <w:sz w:val="26"/>
          <w:szCs w:val="26"/>
        </w:rPr>
      </w:pPr>
      <w:r w:rsidRPr="49CEF63E">
        <w:rPr>
          <w:rFonts w:ascii="Palatino Linotype" w:hAnsi="Palatino Linotype" w:cstheme="majorBidi"/>
          <w:sz w:val="26"/>
          <w:szCs w:val="26"/>
        </w:rPr>
        <w:t>W celu uniknięcia konfliktów interesów w zakresie zagadnień unormowanych w Polityce ustanawia się podział kompetencji, tj.: -------</w:t>
      </w:r>
    </w:p>
    <w:p w14:paraId="63CD5174"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b/>
          <w:bCs/>
          <w:sz w:val="26"/>
          <w:szCs w:val="26"/>
        </w:rPr>
      </w:pPr>
      <w:r w:rsidRPr="49CEF63E">
        <w:rPr>
          <w:rFonts w:ascii="Palatino Linotype" w:hAnsi="Palatino Linotype" w:cstheme="majorBidi"/>
          <w:sz w:val="26"/>
          <w:szCs w:val="26"/>
        </w:rPr>
        <w:t>Wysokość wynagrodzenia Członków Zarządu ustala Rada Nadzorcza; --------------------------------------------------------------------------</w:t>
      </w:r>
    </w:p>
    <w:p w14:paraId="56BAA8C1"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b/>
          <w:bCs/>
          <w:sz w:val="26"/>
          <w:szCs w:val="26"/>
        </w:rPr>
      </w:pPr>
      <w:r w:rsidRPr="49CEF63E">
        <w:rPr>
          <w:rFonts w:ascii="Palatino Linotype" w:hAnsi="Palatino Linotype" w:cstheme="majorBidi"/>
          <w:sz w:val="26"/>
          <w:szCs w:val="26"/>
        </w:rPr>
        <w:t>Wysokość wynagrodzenia Członków Rady Nadzorczej ustala Walne Zgromadzenie. ---------------------------------------------------------------------</w:t>
      </w:r>
    </w:p>
    <w:p w14:paraId="51E8D73E"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49CEF63E">
        <w:rPr>
          <w:rFonts w:ascii="Palatino Linotype" w:hAnsi="Palatino Linotype" w:cstheme="majorBidi"/>
          <w:sz w:val="26"/>
          <w:szCs w:val="26"/>
        </w:rPr>
        <w:t>W przypadku istnienia konfliktu interesów lub podejrzenia, że taki konflikt może mieć miejsce, Członek Organu zawiadamia o tym niezwłocznie wszystkich innych Członków Organów (zarówno Zarządu jak i Rady Nadzorczej) oraz zostaje wyłączony z dyskusji oraz głosowania nad kwestiami choćby pośrednio związanymi ze źródłem konfliktu interesów.  -------------------------------------------------------------------</w:t>
      </w:r>
    </w:p>
    <w:p w14:paraId="5CD2AFE5" w14:textId="781711BC" w:rsidR="00113750" w:rsidRPr="007372E8"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49CEF63E">
        <w:rPr>
          <w:rFonts w:ascii="Palatino Linotype" w:hAnsi="Palatino Linotype" w:cstheme="majorBidi"/>
          <w:sz w:val="26"/>
          <w:szCs w:val="26"/>
        </w:rPr>
        <w:t>W przypadku konfliktu interesów podejmowanie działań w imieniu lub na rzecz Spółki przez Członka Organu, którego interes jest w konflikcie z interesem Spółki, w związku z kwestią stanowiącą źródło konfliktu interesów dopuszczalne jest wyłącznie, jeśli brak działania może spowodować dla Spółki niepowetowaną stratę.  -------------------------------</w:t>
      </w:r>
    </w:p>
    <w:p w14:paraId="19B2BA96"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49CEF63E">
        <w:rPr>
          <w:rFonts w:ascii="Palatino Linotype" w:hAnsi="Palatino Linotype" w:cstheme="majorBidi"/>
          <w:b/>
          <w:bCs/>
          <w:sz w:val="26"/>
          <w:szCs w:val="26"/>
        </w:rPr>
        <w:t>Odstąpienie od zasad określonych w Polityce</w:t>
      </w:r>
    </w:p>
    <w:p w14:paraId="78ACD086"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sz w:val="26"/>
          <w:szCs w:val="26"/>
        </w:rPr>
      </w:pPr>
      <w:r w:rsidRPr="49CEF63E">
        <w:rPr>
          <w:rFonts w:ascii="Palatino Linotype" w:hAnsi="Palatino Linotype" w:cstheme="majorBidi"/>
          <w:sz w:val="26"/>
          <w:szCs w:val="26"/>
        </w:rPr>
        <w:t xml:space="preserve">Jeżeli jest to niezbędne dla realizacji długoterminowych interesów i stabilności Spółki lub do zagwarantowania jej rentowności, Rada Nadzorcza może podjąć uchwałę o czasowym odstąpieniu od stosowania Polityki w stosunku do poszczególnych Członków Zarządu. </w:t>
      </w:r>
    </w:p>
    <w:p w14:paraId="18C8A230"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b/>
          <w:bCs/>
          <w:sz w:val="26"/>
          <w:szCs w:val="26"/>
        </w:rPr>
      </w:pPr>
      <w:r w:rsidRPr="49CEF63E">
        <w:rPr>
          <w:rFonts w:ascii="Palatino Linotype" w:hAnsi="Palatino Linotype" w:cstheme="majorBidi"/>
          <w:sz w:val="26"/>
          <w:szCs w:val="26"/>
        </w:rPr>
        <w:t>Uchwała określa w szczególności: -------------------------------------------------</w:t>
      </w:r>
    </w:p>
    <w:p w14:paraId="6402C881"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b/>
          <w:bCs/>
          <w:sz w:val="26"/>
          <w:szCs w:val="26"/>
        </w:rPr>
      </w:pPr>
      <w:r w:rsidRPr="49CEF63E">
        <w:rPr>
          <w:rFonts w:ascii="Palatino Linotype" w:hAnsi="Palatino Linotype" w:cstheme="majorBidi"/>
          <w:sz w:val="26"/>
          <w:szCs w:val="26"/>
        </w:rPr>
        <w:t>okres na jaki odstępuje się od stosowania Polityki; -----------------------</w:t>
      </w:r>
    </w:p>
    <w:p w14:paraId="59D2D820"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b/>
          <w:bCs/>
          <w:sz w:val="26"/>
          <w:szCs w:val="26"/>
        </w:rPr>
      </w:pPr>
      <w:r w:rsidRPr="49CEF63E">
        <w:rPr>
          <w:rFonts w:ascii="Palatino Linotype" w:hAnsi="Palatino Linotype" w:cstheme="majorBidi"/>
          <w:sz w:val="26"/>
          <w:szCs w:val="26"/>
        </w:rPr>
        <w:t>elementy Polityki, które nie będą stosowane; ------------------------------</w:t>
      </w:r>
    </w:p>
    <w:p w14:paraId="08BA269C" w14:textId="77777777" w:rsidR="00113750" w:rsidRPr="009D0BFB" w:rsidRDefault="00113750" w:rsidP="00113750">
      <w:pPr>
        <w:pStyle w:val="Akapitzlist"/>
        <w:numPr>
          <w:ilvl w:val="2"/>
          <w:numId w:val="3"/>
        </w:numPr>
        <w:spacing w:line="300" w:lineRule="auto"/>
        <w:ind w:left="851" w:hanging="425"/>
        <w:jc w:val="both"/>
        <w:rPr>
          <w:rFonts w:ascii="Palatino Linotype" w:hAnsi="Palatino Linotype" w:cstheme="majorBidi"/>
          <w:sz w:val="26"/>
          <w:szCs w:val="26"/>
        </w:rPr>
      </w:pPr>
      <w:r w:rsidRPr="49CEF63E">
        <w:rPr>
          <w:rFonts w:ascii="Palatino Linotype" w:hAnsi="Palatino Linotype" w:cstheme="majorBidi"/>
          <w:sz w:val="26"/>
          <w:szCs w:val="26"/>
        </w:rPr>
        <w:t>wskazanie przyczyn odstąpienia od stosowania Polityki ---------------</w:t>
      </w:r>
    </w:p>
    <w:p w14:paraId="740E00F7" w14:textId="1E30BC36" w:rsidR="00113750" w:rsidRPr="009D0BFB" w:rsidRDefault="00113750" w:rsidP="49CEF63E">
      <w:pPr>
        <w:pStyle w:val="Akapitzlist"/>
        <w:numPr>
          <w:ilvl w:val="1"/>
          <w:numId w:val="3"/>
        </w:numPr>
        <w:spacing w:line="300" w:lineRule="auto"/>
        <w:ind w:left="426" w:hanging="426"/>
        <w:jc w:val="both"/>
        <w:rPr>
          <w:rFonts w:ascii="Palatino Linotype" w:hAnsi="Palatino Linotype" w:cstheme="majorBidi"/>
          <w:sz w:val="26"/>
          <w:szCs w:val="26"/>
        </w:rPr>
      </w:pPr>
      <w:r w:rsidRPr="49CEF63E">
        <w:rPr>
          <w:rFonts w:ascii="Palatino Linotype" w:hAnsi="Palatino Linotype" w:cstheme="majorBidi"/>
          <w:sz w:val="26"/>
          <w:szCs w:val="26"/>
        </w:rPr>
        <w:lastRenderedPageBreak/>
        <w:t>Odstąpienie od stosowania Polityki nie jest dopuszczalne w zakresie przepisów regulujących zapobieganie konfliktom interesów. --------------</w:t>
      </w:r>
    </w:p>
    <w:p w14:paraId="5847FFA9"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49CEF63E">
        <w:rPr>
          <w:rFonts w:ascii="Palatino Linotype" w:hAnsi="Palatino Linotype" w:cstheme="majorBidi"/>
          <w:b/>
          <w:bCs/>
          <w:sz w:val="26"/>
          <w:szCs w:val="26"/>
        </w:rPr>
        <w:t>Sprawozdanie z wykonania polityki</w:t>
      </w:r>
    </w:p>
    <w:p w14:paraId="5D27E104"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b/>
          <w:bCs/>
          <w:sz w:val="26"/>
          <w:szCs w:val="26"/>
        </w:rPr>
      </w:pPr>
      <w:r w:rsidRPr="49CEF63E">
        <w:rPr>
          <w:rFonts w:ascii="Palatino Linotype" w:hAnsi="Palatino Linotype" w:cstheme="majorBidi"/>
          <w:sz w:val="26"/>
          <w:szCs w:val="26"/>
        </w:rPr>
        <w:t>Rada Nadzorcza sporządza sprawozdanie o wynagrodzeniach Członków Organów, uwzględniając w nim wszystkie świadczenia otrzymywane przez Członków Organów w danym roku obrotowym. --</w:t>
      </w:r>
    </w:p>
    <w:p w14:paraId="5DF04280"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b/>
          <w:bCs/>
          <w:sz w:val="26"/>
          <w:szCs w:val="26"/>
        </w:rPr>
      </w:pPr>
      <w:r w:rsidRPr="49CEF63E">
        <w:rPr>
          <w:rFonts w:ascii="Palatino Linotype" w:hAnsi="Palatino Linotype" w:cstheme="majorBidi"/>
          <w:sz w:val="26"/>
          <w:szCs w:val="26"/>
        </w:rPr>
        <w:t>Sprawozdanie odpowiada wymogom określonym w art. 90g Ustawy. --</w:t>
      </w:r>
    </w:p>
    <w:p w14:paraId="16DD5A32" w14:textId="6E317C71" w:rsidR="00113750" w:rsidRPr="007372E8" w:rsidRDefault="00113750" w:rsidP="007372E8">
      <w:pPr>
        <w:pStyle w:val="Akapitzlist"/>
        <w:numPr>
          <w:ilvl w:val="1"/>
          <w:numId w:val="3"/>
        </w:numPr>
        <w:spacing w:line="300" w:lineRule="auto"/>
        <w:ind w:left="426" w:hanging="426"/>
        <w:jc w:val="both"/>
        <w:rPr>
          <w:rFonts w:ascii="Palatino Linotype" w:hAnsi="Palatino Linotype" w:cstheme="majorBidi"/>
          <w:sz w:val="26"/>
          <w:szCs w:val="26"/>
        </w:rPr>
      </w:pPr>
      <w:r w:rsidRPr="49CEF63E">
        <w:rPr>
          <w:rFonts w:ascii="Palatino Linotype" w:hAnsi="Palatino Linotype" w:cstheme="majorBidi"/>
          <w:sz w:val="26"/>
          <w:szCs w:val="26"/>
        </w:rPr>
        <w:t>Pierwsze sprawozdanie zostanie sporządzone łącznie za rok obrotowy 20</w:t>
      </w:r>
      <w:r w:rsidR="20D44C5C" w:rsidRPr="49CEF63E">
        <w:rPr>
          <w:rFonts w:ascii="Palatino Linotype" w:hAnsi="Palatino Linotype" w:cstheme="majorBidi"/>
          <w:sz w:val="26"/>
          <w:szCs w:val="26"/>
        </w:rPr>
        <w:t>24</w:t>
      </w:r>
      <w:r w:rsidRPr="49CEF63E">
        <w:rPr>
          <w:rFonts w:ascii="Palatino Linotype" w:hAnsi="Palatino Linotype" w:cstheme="majorBidi"/>
          <w:sz w:val="26"/>
          <w:szCs w:val="26"/>
        </w:rPr>
        <w:t xml:space="preserve"> trwający od 01.0</w:t>
      </w:r>
      <w:r w:rsidR="48C80479" w:rsidRPr="49CEF63E">
        <w:rPr>
          <w:rFonts w:ascii="Palatino Linotype" w:hAnsi="Palatino Linotype" w:cstheme="majorBidi"/>
          <w:sz w:val="26"/>
          <w:szCs w:val="26"/>
        </w:rPr>
        <w:t>1</w:t>
      </w:r>
      <w:r w:rsidRPr="49CEF63E">
        <w:rPr>
          <w:rFonts w:ascii="Palatino Linotype" w:hAnsi="Palatino Linotype" w:cstheme="majorBidi"/>
          <w:sz w:val="26"/>
          <w:szCs w:val="26"/>
        </w:rPr>
        <w:t>.20</w:t>
      </w:r>
      <w:r w:rsidR="5A8A9F4F" w:rsidRPr="49CEF63E">
        <w:rPr>
          <w:rFonts w:ascii="Palatino Linotype" w:hAnsi="Palatino Linotype" w:cstheme="majorBidi"/>
          <w:sz w:val="26"/>
          <w:szCs w:val="26"/>
        </w:rPr>
        <w:t>24</w:t>
      </w:r>
      <w:r w:rsidRPr="49CEF63E">
        <w:rPr>
          <w:rFonts w:ascii="Palatino Linotype" w:hAnsi="Palatino Linotype" w:cstheme="majorBidi"/>
          <w:sz w:val="26"/>
          <w:szCs w:val="26"/>
        </w:rPr>
        <w:t xml:space="preserve"> do 31</w:t>
      </w:r>
      <w:r w:rsidR="51D9B309" w:rsidRPr="49CEF63E">
        <w:rPr>
          <w:rFonts w:ascii="Palatino Linotype" w:hAnsi="Palatino Linotype" w:cstheme="majorBidi"/>
          <w:sz w:val="26"/>
          <w:szCs w:val="26"/>
        </w:rPr>
        <w:t>.12</w:t>
      </w:r>
      <w:r w:rsidRPr="49CEF63E">
        <w:rPr>
          <w:rFonts w:ascii="Palatino Linotype" w:hAnsi="Palatino Linotype" w:cstheme="majorBidi"/>
          <w:sz w:val="26"/>
          <w:szCs w:val="26"/>
        </w:rPr>
        <w:t>.202</w:t>
      </w:r>
      <w:r w:rsidR="2DF841DD" w:rsidRPr="49CEF63E">
        <w:rPr>
          <w:rFonts w:ascii="Palatino Linotype" w:hAnsi="Palatino Linotype" w:cstheme="majorBidi"/>
          <w:sz w:val="26"/>
          <w:szCs w:val="26"/>
        </w:rPr>
        <w:t>4</w:t>
      </w:r>
      <w:r w:rsidRPr="49CEF63E">
        <w:rPr>
          <w:rFonts w:ascii="Palatino Linotype" w:hAnsi="Palatino Linotype" w:cstheme="majorBidi"/>
          <w:sz w:val="26"/>
          <w:szCs w:val="26"/>
        </w:rPr>
        <w:t xml:space="preserve"> oraz za rok obrotowy 202</w:t>
      </w:r>
      <w:r w:rsidR="13526CF4" w:rsidRPr="49CEF63E">
        <w:rPr>
          <w:rFonts w:ascii="Palatino Linotype" w:hAnsi="Palatino Linotype" w:cstheme="majorBidi"/>
          <w:sz w:val="26"/>
          <w:szCs w:val="26"/>
        </w:rPr>
        <w:t>5</w:t>
      </w:r>
      <w:r w:rsidRPr="49CEF63E">
        <w:rPr>
          <w:rFonts w:ascii="Palatino Linotype" w:hAnsi="Palatino Linotype" w:cstheme="majorBidi"/>
          <w:sz w:val="26"/>
          <w:szCs w:val="26"/>
        </w:rPr>
        <w:t xml:space="preserve"> trwający od 01.</w:t>
      </w:r>
      <w:r w:rsidR="72867676" w:rsidRPr="49CEF63E">
        <w:rPr>
          <w:rFonts w:ascii="Palatino Linotype" w:hAnsi="Palatino Linotype" w:cstheme="majorBidi"/>
          <w:sz w:val="26"/>
          <w:szCs w:val="26"/>
        </w:rPr>
        <w:t>12</w:t>
      </w:r>
      <w:r w:rsidRPr="49CEF63E">
        <w:rPr>
          <w:rFonts w:ascii="Palatino Linotype" w:hAnsi="Palatino Linotype" w:cstheme="majorBidi"/>
          <w:sz w:val="26"/>
          <w:szCs w:val="26"/>
        </w:rPr>
        <w:t>.202</w:t>
      </w:r>
      <w:r w:rsidR="56A7A56A" w:rsidRPr="49CEF63E">
        <w:rPr>
          <w:rFonts w:ascii="Palatino Linotype" w:hAnsi="Palatino Linotype" w:cstheme="majorBidi"/>
          <w:sz w:val="26"/>
          <w:szCs w:val="26"/>
        </w:rPr>
        <w:t>5</w:t>
      </w:r>
      <w:r w:rsidRPr="49CEF63E">
        <w:rPr>
          <w:rFonts w:ascii="Palatino Linotype" w:hAnsi="Palatino Linotype" w:cstheme="majorBidi"/>
          <w:sz w:val="26"/>
          <w:szCs w:val="26"/>
        </w:rPr>
        <w:t>do 31.</w:t>
      </w:r>
      <w:r w:rsidR="50E35B71" w:rsidRPr="49CEF63E">
        <w:rPr>
          <w:rFonts w:ascii="Palatino Linotype" w:hAnsi="Palatino Linotype" w:cstheme="majorBidi"/>
          <w:sz w:val="26"/>
          <w:szCs w:val="26"/>
        </w:rPr>
        <w:t>12</w:t>
      </w:r>
      <w:r w:rsidRPr="49CEF63E">
        <w:rPr>
          <w:rFonts w:ascii="Palatino Linotype" w:hAnsi="Palatino Linotype" w:cstheme="majorBidi"/>
          <w:sz w:val="26"/>
          <w:szCs w:val="26"/>
        </w:rPr>
        <w:t>.202</w:t>
      </w:r>
      <w:r w:rsidR="4D0607B4" w:rsidRPr="49CEF63E">
        <w:rPr>
          <w:rFonts w:ascii="Palatino Linotype" w:hAnsi="Palatino Linotype" w:cstheme="majorBidi"/>
          <w:sz w:val="26"/>
          <w:szCs w:val="26"/>
        </w:rPr>
        <w:t>5</w:t>
      </w:r>
      <w:r w:rsidRPr="49CEF63E">
        <w:rPr>
          <w:rFonts w:ascii="Palatino Linotype" w:hAnsi="Palatino Linotype" w:cstheme="majorBidi"/>
          <w:sz w:val="26"/>
          <w:szCs w:val="26"/>
        </w:rPr>
        <w:t>. ---------------------------------------------</w:t>
      </w:r>
    </w:p>
    <w:p w14:paraId="44D9E656"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49CEF63E">
        <w:rPr>
          <w:rFonts w:ascii="Palatino Linotype" w:hAnsi="Palatino Linotype" w:cstheme="majorBidi"/>
          <w:b/>
          <w:bCs/>
          <w:sz w:val="26"/>
          <w:szCs w:val="26"/>
        </w:rPr>
        <w:t>Zasady wprowadzania, wdrażania i zmiany Polityki</w:t>
      </w:r>
    </w:p>
    <w:p w14:paraId="76665797"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b/>
          <w:bCs/>
          <w:sz w:val="26"/>
          <w:szCs w:val="26"/>
        </w:rPr>
      </w:pPr>
      <w:r w:rsidRPr="49CEF63E">
        <w:rPr>
          <w:rFonts w:ascii="Palatino Linotype" w:hAnsi="Palatino Linotype" w:cstheme="majorBidi"/>
          <w:sz w:val="26"/>
          <w:szCs w:val="26"/>
        </w:rPr>
        <w:t>Projekt Polityki sporządzany jest przez Zarząd, który odpowiada za informacje zawarte w Polityce. -----------------------------------------------------</w:t>
      </w:r>
    </w:p>
    <w:p w14:paraId="4F3B40B4"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b/>
          <w:bCs/>
          <w:sz w:val="26"/>
          <w:szCs w:val="26"/>
        </w:rPr>
      </w:pPr>
      <w:r w:rsidRPr="49CEF63E">
        <w:rPr>
          <w:rFonts w:ascii="Palatino Linotype" w:hAnsi="Palatino Linotype" w:cstheme="majorBidi"/>
          <w:sz w:val="26"/>
          <w:szCs w:val="26"/>
        </w:rPr>
        <w:t>Walne Zgromadzenie przyjmuje i aktualizuje Politykę.  ---------------------</w:t>
      </w:r>
    </w:p>
    <w:p w14:paraId="2F2E152E" w14:textId="77777777" w:rsidR="00113750" w:rsidRPr="009D0BFB" w:rsidRDefault="00113750" w:rsidP="00113750">
      <w:pPr>
        <w:pStyle w:val="Akapitzlist"/>
        <w:numPr>
          <w:ilvl w:val="1"/>
          <w:numId w:val="3"/>
        </w:numPr>
        <w:spacing w:line="300" w:lineRule="auto"/>
        <w:ind w:left="426" w:hanging="426"/>
        <w:jc w:val="both"/>
        <w:rPr>
          <w:rFonts w:ascii="Palatino Linotype" w:hAnsi="Palatino Linotype" w:cstheme="majorBidi"/>
          <w:b/>
          <w:bCs/>
          <w:sz w:val="26"/>
          <w:szCs w:val="26"/>
        </w:rPr>
      </w:pPr>
      <w:r w:rsidRPr="49CEF63E">
        <w:rPr>
          <w:rFonts w:ascii="Palatino Linotype" w:hAnsi="Palatino Linotype" w:cstheme="majorBidi"/>
          <w:sz w:val="26"/>
          <w:szCs w:val="26"/>
        </w:rPr>
        <w:t>Polityka jest aktualizowana i poddawana pod głosowanie Walnego Zgromadzenia nie rzadziej niż raz na 4 lata. ------------------------------------</w:t>
      </w:r>
    </w:p>
    <w:p w14:paraId="185FF65C" w14:textId="3D59F33A" w:rsidR="00113750" w:rsidRPr="007372E8" w:rsidRDefault="00113750" w:rsidP="007372E8">
      <w:pPr>
        <w:pStyle w:val="Akapitzlist"/>
        <w:numPr>
          <w:ilvl w:val="1"/>
          <w:numId w:val="3"/>
        </w:numPr>
        <w:spacing w:line="300" w:lineRule="auto"/>
        <w:ind w:left="426" w:hanging="426"/>
        <w:jc w:val="both"/>
        <w:rPr>
          <w:rFonts w:ascii="Palatino Linotype" w:hAnsi="Palatino Linotype" w:cstheme="majorBidi"/>
          <w:b/>
          <w:bCs/>
          <w:sz w:val="26"/>
          <w:szCs w:val="26"/>
        </w:rPr>
      </w:pPr>
      <w:r w:rsidRPr="49CEF63E">
        <w:rPr>
          <w:rFonts w:ascii="Palatino Linotype" w:hAnsi="Palatino Linotype" w:cstheme="majorBidi"/>
          <w:sz w:val="26"/>
          <w:szCs w:val="26"/>
        </w:rPr>
        <w:t>Polityka wchodzi w życie z dniem podjęcia przez Walne Zgromadzenie uchwały w sprawie jej zatwierdzenia, chyba że co innego wynika z treści uchwały. ----------------------------------------------------------------------------------</w:t>
      </w:r>
    </w:p>
    <w:p w14:paraId="347AD907" w14:textId="77777777" w:rsidR="00113750" w:rsidRPr="009D0BFB" w:rsidRDefault="00113750" w:rsidP="00113750">
      <w:pPr>
        <w:pStyle w:val="Akapitzlist"/>
        <w:numPr>
          <w:ilvl w:val="0"/>
          <w:numId w:val="3"/>
        </w:numPr>
        <w:spacing w:line="300" w:lineRule="auto"/>
        <w:jc w:val="center"/>
        <w:rPr>
          <w:rFonts w:ascii="Palatino Linotype" w:hAnsi="Palatino Linotype" w:cstheme="majorBidi"/>
          <w:b/>
          <w:bCs/>
          <w:sz w:val="26"/>
          <w:szCs w:val="26"/>
        </w:rPr>
      </w:pPr>
      <w:r w:rsidRPr="49CEF63E">
        <w:rPr>
          <w:rFonts w:ascii="Palatino Linotype" w:hAnsi="Palatino Linotype" w:cstheme="majorBidi"/>
          <w:b/>
          <w:bCs/>
          <w:sz w:val="26"/>
          <w:szCs w:val="26"/>
        </w:rPr>
        <w:t>Postanowienia końcowe</w:t>
      </w:r>
    </w:p>
    <w:p w14:paraId="67E49E75" w14:textId="7C58A4D6" w:rsidR="00113750" w:rsidRPr="00B13A8A" w:rsidRDefault="00113750" w:rsidP="49CEF63E">
      <w:pPr>
        <w:pStyle w:val="Akapitzlist"/>
        <w:numPr>
          <w:ilvl w:val="1"/>
          <w:numId w:val="3"/>
        </w:numPr>
        <w:spacing w:line="300" w:lineRule="auto"/>
        <w:ind w:left="426" w:hanging="426"/>
        <w:jc w:val="both"/>
        <w:rPr>
          <w:rFonts w:ascii="Palatino Linotype" w:hAnsi="Palatino Linotype" w:cstheme="majorBidi"/>
          <w:b/>
          <w:bCs/>
          <w:sz w:val="26"/>
          <w:szCs w:val="26"/>
        </w:rPr>
      </w:pPr>
      <w:r w:rsidRPr="49CEF63E">
        <w:rPr>
          <w:rFonts w:ascii="Palatino Linotype" w:hAnsi="Palatino Linotype" w:cstheme="majorBidi"/>
          <w:sz w:val="26"/>
          <w:szCs w:val="26"/>
        </w:rPr>
        <w:t>W kwestiach nieuregulowanych w Polityce stosuje się przepisy wewnętrzne obowiązujące w</w:t>
      </w:r>
      <w:r w:rsidR="69C46877" w:rsidRPr="49CEF63E">
        <w:rPr>
          <w:rFonts w:ascii="Palatino Linotype" w:hAnsi="Palatino Linotype" w:cstheme="majorBidi"/>
          <w:sz w:val="26"/>
          <w:szCs w:val="26"/>
        </w:rPr>
        <w:t xml:space="preserve"> </w:t>
      </w:r>
      <w:r w:rsidRPr="49CEF63E">
        <w:rPr>
          <w:rFonts w:ascii="Palatino Linotype" w:hAnsi="Palatino Linotype" w:cstheme="majorBidi"/>
          <w:sz w:val="26"/>
          <w:szCs w:val="26"/>
        </w:rPr>
        <w:t> Spółce oraz przepisy powszechnie obowiązujące. ---------------------------------------------------------------------------</w:t>
      </w:r>
    </w:p>
    <w:p w14:paraId="38B55D06" w14:textId="1378C6AF" w:rsidR="00113750" w:rsidRPr="00A4214A" w:rsidRDefault="00113750" w:rsidP="00A4214A">
      <w:pPr>
        <w:pStyle w:val="Akapitzlist"/>
        <w:numPr>
          <w:ilvl w:val="1"/>
          <w:numId w:val="3"/>
        </w:numPr>
        <w:spacing w:line="300" w:lineRule="auto"/>
        <w:ind w:left="426" w:hanging="426"/>
        <w:jc w:val="both"/>
        <w:rPr>
          <w:rFonts w:ascii="Palatino Linotype" w:hAnsi="Palatino Linotype" w:cstheme="majorBidi"/>
          <w:b/>
          <w:bCs/>
          <w:sz w:val="26"/>
          <w:szCs w:val="26"/>
        </w:rPr>
      </w:pPr>
      <w:r w:rsidRPr="49CEF63E">
        <w:rPr>
          <w:rFonts w:ascii="Palatino Linotype" w:hAnsi="Palatino Linotype" w:cstheme="majorBidi"/>
          <w:sz w:val="26"/>
          <w:szCs w:val="26"/>
        </w:rPr>
        <w:t>Polityka podlega publikacji na stronie Spółki zgodnie z zasadami określonymi w Ustawie. --------------------------------------------------------------</w:t>
      </w:r>
    </w:p>
    <w:sectPr w:rsidR="00113750" w:rsidRPr="00A421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91CF2"/>
    <w:multiLevelType w:val="multilevel"/>
    <w:tmpl w:val="F802F5B8"/>
    <w:styleLink w:val="paragrafy"/>
    <w:lvl w:ilvl="0">
      <w:start w:val="1"/>
      <w:numFmt w:val="decimal"/>
      <w:lvlText w:val="§%1"/>
      <w:lvlJc w:val="center"/>
      <w:pPr>
        <w:ind w:left="360" w:hanging="72"/>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AE4742"/>
    <w:multiLevelType w:val="hybridMultilevel"/>
    <w:tmpl w:val="2EA833B8"/>
    <w:lvl w:ilvl="0" w:tplc="8FA408DA">
      <w:start w:val="1"/>
      <w:numFmt w:val="decimal"/>
      <w:lvlText w:val="%1."/>
      <w:lvlJc w:val="left"/>
      <w:pPr>
        <w:ind w:left="720" w:hanging="360"/>
      </w:pPr>
    </w:lvl>
    <w:lvl w:ilvl="1" w:tplc="E4DECE58">
      <w:start w:val="1"/>
      <w:numFmt w:val="lowerLetter"/>
      <w:lvlText w:val="%2."/>
      <w:lvlJc w:val="left"/>
      <w:pPr>
        <w:ind w:left="1440" w:hanging="360"/>
      </w:pPr>
    </w:lvl>
    <w:lvl w:ilvl="2" w:tplc="8556AE2C">
      <w:start w:val="1"/>
      <w:numFmt w:val="lowerRoman"/>
      <w:lvlText w:val="%3."/>
      <w:lvlJc w:val="right"/>
      <w:pPr>
        <w:ind w:left="2160" w:hanging="180"/>
      </w:pPr>
    </w:lvl>
    <w:lvl w:ilvl="3" w:tplc="3A02DC70">
      <w:start w:val="1"/>
      <w:numFmt w:val="decimal"/>
      <w:lvlText w:val="%4."/>
      <w:lvlJc w:val="left"/>
      <w:pPr>
        <w:ind w:left="2880" w:hanging="360"/>
      </w:pPr>
    </w:lvl>
    <w:lvl w:ilvl="4" w:tplc="324E55F0">
      <w:start w:val="1"/>
      <w:numFmt w:val="lowerLetter"/>
      <w:lvlText w:val="%5."/>
      <w:lvlJc w:val="left"/>
      <w:pPr>
        <w:ind w:left="3600" w:hanging="360"/>
      </w:pPr>
    </w:lvl>
    <w:lvl w:ilvl="5" w:tplc="4AC84DF4">
      <w:start w:val="1"/>
      <w:numFmt w:val="lowerRoman"/>
      <w:lvlText w:val="%6."/>
      <w:lvlJc w:val="right"/>
      <w:pPr>
        <w:ind w:left="4320" w:hanging="180"/>
      </w:pPr>
    </w:lvl>
    <w:lvl w:ilvl="6" w:tplc="E4845D3C">
      <w:start w:val="1"/>
      <w:numFmt w:val="decimal"/>
      <w:lvlText w:val="%7."/>
      <w:lvlJc w:val="left"/>
      <w:pPr>
        <w:ind w:left="5040" w:hanging="360"/>
      </w:pPr>
    </w:lvl>
    <w:lvl w:ilvl="7" w:tplc="2AB2494E">
      <w:start w:val="1"/>
      <w:numFmt w:val="lowerLetter"/>
      <w:lvlText w:val="%8."/>
      <w:lvlJc w:val="left"/>
      <w:pPr>
        <w:ind w:left="5760" w:hanging="360"/>
      </w:pPr>
    </w:lvl>
    <w:lvl w:ilvl="8" w:tplc="B8A2A34A">
      <w:start w:val="1"/>
      <w:numFmt w:val="lowerRoman"/>
      <w:lvlText w:val="%9."/>
      <w:lvlJc w:val="right"/>
      <w:pPr>
        <w:ind w:left="6480" w:hanging="180"/>
      </w:pPr>
    </w:lvl>
  </w:abstractNum>
  <w:abstractNum w:abstractNumId="2" w15:restartNumberingAfterBreak="0">
    <w:nsid w:val="30B07E86"/>
    <w:multiLevelType w:val="multilevel"/>
    <w:tmpl w:val="AC0A734A"/>
    <w:lvl w:ilvl="0">
      <w:start w:val="1"/>
      <w:numFmt w:val="decimal"/>
      <w:lvlText w:val="§%1"/>
      <w:lvlJc w:val="center"/>
      <w:pPr>
        <w:ind w:left="360" w:hanging="72"/>
      </w:pPr>
      <w:rPr>
        <w:rFonts w:hint="default"/>
        <w:b/>
        <w:bCs/>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8476148">
    <w:abstractNumId w:val="1"/>
  </w:num>
  <w:num w:numId="2" w16cid:durableId="1474447990">
    <w:abstractNumId w:val="0"/>
  </w:num>
  <w:num w:numId="3" w16cid:durableId="2146579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50"/>
    <w:rsid w:val="000039AE"/>
    <w:rsid w:val="000C6959"/>
    <w:rsid w:val="00113750"/>
    <w:rsid w:val="00506B20"/>
    <w:rsid w:val="007372E8"/>
    <w:rsid w:val="00757DA8"/>
    <w:rsid w:val="008D6D20"/>
    <w:rsid w:val="009358B5"/>
    <w:rsid w:val="00A4214A"/>
    <w:rsid w:val="00A63348"/>
    <w:rsid w:val="00AB1B67"/>
    <w:rsid w:val="00B95DDB"/>
    <w:rsid w:val="00BA5F27"/>
    <w:rsid w:val="00C7692E"/>
    <w:rsid w:val="00DA1414"/>
    <w:rsid w:val="00F3428D"/>
    <w:rsid w:val="00FCAC3A"/>
    <w:rsid w:val="014F1313"/>
    <w:rsid w:val="02D1FC71"/>
    <w:rsid w:val="02EB72C4"/>
    <w:rsid w:val="037609BC"/>
    <w:rsid w:val="037C7E43"/>
    <w:rsid w:val="0394FB22"/>
    <w:rsid w:val="04020761"/>
    <w:rsid w:val="04FC3604"/>
    <w:rsid w:val="050BCB32"/>
    <w:rsid w:val="0562AE8B"/>
    <w:rsid w:val="0576DF42"/>
    <w:rsid w:val="05A0283B"/>
    <w:rsid w:val="0617A534"/>
    <w:rsid w:val="06652922"/>
    <w:rsid w:val="06CB77B3"/>
    <w:rsid w:val="06F34EAC"/>
    <w:rsid w:val="06F7900F"/>
    <w:rsid w:val="074C7F89"/>
    <w:rsid w:val="074F3A0C"/>
    <w:rsid w:val="07ACC0F3"/>
    <w:rsid w:val="07D6A756"/>
    <w:rsid w:val="08129011"/>
    <w:rsid w:val="082236F5"/>
    <w:rsid w:val="08244223"/>
    <w:rsid w:val="08260D05"/>
    <w:rsid w:val="088E4C77"/>
    <w:rsid w:val="08998C72"/>
    <w:rsid w:val="08B319F1"/>
    <w:rsid w:val="08B9F3A2"/>
    <w:rsid w:val="08D611FC"/>
    <w:rsid w:val="09458A50"/>
    <w:rsid w:val="09C25817"/>
    <w:rsid w:val="09EDF485"/>
    <w:rsid w:val="0AF6DE95"/>
    <w:rsid w:val="0B0AA47A"/>
    <w:rsid w:val="0B36406E"/>
    <w:rsid w:val="0B74B845"/>
    <w:rsid w:val="0C532723"/>
    <w:rsid w:val="0C9ED3A9"/>
    <w:rsid w:val="0CF6540E"/>
    <w:rsid w:val="0D01DE29"/>
    <w:rsid w:val="0D37691B"/>
    <w:rsid w:val="0E10F97D"/>
    <w:rsid w:val="0ED4A903"/>
    <w:rsid w:val="0F051EE8"/>
    <w:rsid w:val="0F066A72"/>
    <w:rsid w:val="0F2456C1"/>
    <w:rsid w:val="0FD0E467"/>
    <w:rsid w:val="1190EB91"/>
    <w:rsid w:val="11E0F01E"/>
    <w:rsid w:val="12A32429"/>
    <w:rsid w:val="13526CF4"/>
    <w:rsid w:val="135EB64F"/>
    <w:rsid w:val="1407E37F"/>
    <w:rsid w:val="14308E55"/>
    <w:rsid w:val="1464C71E"/>
    <w:rsid w:val="1465EF32"/>
    <w:rsid w:val="146D1208"/>
    <w:rsid w:val="147FE8E9"/>
    <w:rsid w:val="14B58EA0"/>
    <w:rsid w:val="14B85B20"/>
    <w:rsid w:val="15AAB9DF"/>
    <w:rsid w:val="15CD7FA8"/>
    <w:rsid w:val="162CA495"/>
    <w:rsid w:val="16650D8D"/>
    <w:rsid w:val="16B6C7A6"/>
    <w:rsid w:val="16C5DA5E"/>
    <w:rsid w:val="16CD6D01"/>
    <w:rsid w:val="17012B67"/>
    <w:rsid w:val="1735DFEA"/>
    <w:rsid w:val="17801487"/>
    <w:rsid w:val="1782DE20"/>
    <w:rsid w:val="17E2D81F"/>
    <w:rsid w:val="17E32E05"/>
    <w:rsid w:val="189AA28C"/>
    <w:rsid w:val="18ADF9B0"/>
    <w:rsid w:val="1935AF35"/>
    <w:rsid w:val="19D386FA"/>
    <w:rsid w:val="1A604506"/>
    <w:rsid w:val="1A6178A9"/>
    <w:rsid w:val="1ABD066D"/>
    <w:rsid w:val="1AF10E64"/>
    <w:rsid w:val="1B2151FC"/>
    <w:rsid w:val="1B372240"/>
    <w:rsid w:val="1B571B12"/>
    <w:rsid w:val="1BD91F34"/>
    <w:rsid w:val="1C19433E"/>
    <w:rsid w:val="1C2EB62C"/>
    <w:rsid w:val="1CCBBEE6"/>
    <w:rsid w:val="1CEE7F73"/>
    <w:rsid w:val="1D3B4848"/>
    <w:rsid w:val="1D614594"/>
    <w:rsid w:val="1E09AC11"/>
    <w:rsid w:val="1E3DFEA8"/>
    <w:rsid w:val="1E8118B1"/>
    <w:rsid w:val="1EF3F6D1"/>
    <w:rsid w:val="1F1F0197"/>
    <w:rsid w:val="1F919AEA"/>
    <w:rsid w:val="1FCD8F22"/>
    <w:rsid w:val="201DCE4C"/>
    <w:rsid w:val="20400A66"/>
    <w:rsid w:val="2084E5DA"/>
    <w:rsid w:val="209B3C50"/>
    <w:rsid w:val="20A38C86"/>
    <w:rsid w:val="20B60950"/>
    <w:rsid w:val="20D44C5C"/>
    <w:rsid w:val="20ED9F89"/>
    <w:rsid w:val="2146B30D"/>
    <w:rsid w:val="21CC166F"/>
    <w:rsid w:val="21E04549"/>
    <w:rsid w:val="22161756"/>
    <w:rsid w:val="225E3A69"/>
    <w:rsid w:val="2300CE9F"/>
    <w:rsid w:val="2302D7EA"/>
    <w:rsid w:val="232267FC"/>
    <w:rsid w:val="23760323"/>
    <w:rsid w:val="23AB3B04"/>
    <w:rsid w:val="23D6B49E"/>
    <w:rsid w:val="243A5FCC"/>
    <w:rsid w:val="24474D1C"/>
    <w:rsid w:val="24D010F2"/>
    <w:rsid w:val="25177C06"/>
    <w:rsid w:val="25A1518A"/>
    <w:rsid w:val="26111BD3"/>
    <w:rsid w:val="26CB81AD"/>
    <w:rsid w:val="27C682F1"/>
    <w:rsid w:val="281EED4D"/>
    <w:rsid w:val="28DE4C91"/>
    <w:rsid w:val="28EA58D1"/>
    <w:rsid w:val="29425971"/>
    <w:rsid w:val="296FEDDD"/>
    <w:rsid w:val="29E77EB8"/>
    <w:rsid w:val="29ED5F21"/>
    <w:rsid w:val="29F5A084"/>
    <w:rsid w:val="2A05341D"/>
    <w:rsid w:val="2A08B6AD"/>
    <w:rsid w:val="2A2E5412"/>
    <w:rsid w:val="2ABF1BD6"/>
    <w:rsid w:val="2AE637D5"/>
    <w:rsid w:val="2AF9C71F"/>
    <w:rsid w:val="2B221A97"/>
    <w:rsid w:val="2B565175"/>
    <w:rsid w:val="2BCE0A44"/>
    <w:rsid w:val="2BE599D1"/>
    <w:rsid w:val="2C04BAF1"/>
    <w:rsid w:val="2C236CF2"/>
    <w:rsid w:val="2C519C26"/>
    <w:rsid w:val="2C6A5A1B"/>
    <w:rsid w:val="2D50B4B8"/>
    <w:rsid w:val="2D770720"/>
    <w:rsid w:val="2D7FC952"/>
    <w:rsid w:val="2DF841DD"/>
    <w:rsid w:val="2F4597DB"/>
    <w:rsid w:val="2F6167EA"/>
    <w:rsid w:val="307A4DE7"/>
    <w:rsid w:val="30DBEAFA"/>
    <w:rsid w:val="30DCE110"/>
    <w:rsid w:val="30E80C0F"/>
    <w:rsid w:val="310AD83D"/>
    <w:rsid w:val="32CBEB82"/>
    <w:rsid w:val="32D3E1DE"/>
    <w:rsid w:val="32FC9446"/>
    <w:rsid w:val="33CC89C2"/>
    <w:rsid w:val="3456E0AA"/>
    <w:rsid w:val="34A56CF5"/>
    <w:rsid w:val="34B98262"/>
    <w:rsid w:val="34CB2D13"/>
    <w:rsid w:val="34CCDB37"/>
    <w:rsid w:val="34DEA5DD"/>
    <w:rsid w:val="3512D01A"/>
    <w:rsid w:val="352EF27E"/>
    <w:rsid w:val="35334D0F"/>
    <w:rsid w:val="359DEE78"/>
    <w:rsid w:val="3620EB73"/>
    <w:rsid w:val="372A0928"/>
    <w:rsid w:val="37AB0BBD"/>
    <w:rsid w:val="382EDDF9"/>
    <w:rsid w:val="3843FEAB"/>
    <w:rsid w:val="385C5187"/>
    <w:rsid w:val="38632F97"/>
    <w:rsid w:val="3935F060"/>
    <w:rsid w:val="398927AE"/>
    <w:rsid w:val="39BBC93A"/>
    <w:rsid w:val="3A1123A5"/>
    <w:rsid w:val="3A6E9CD3"/>
    <w:rsid w:val="3A9E2042"/>
    <w:rsid w:val="3AB99985"/>
    <w:rsid w:val="3ABB2D18"/>
    <w:rsid w:val="3ADDA77B"/>
    <w:rsid w:val="3AF741E9"/>
    <w:rsid w:val="3B03E992"/>
    <w:rsid w:val="3B8CA87A"/>
    <w:rsid w:val="3D38D169"/>
    <w:rsid w:val="3D50CCED"/>
    <w:rsid w:val="3DEF53AF"/>
    <w:rsid w:val="3DF71759"/>
    <w:rsid w:val="3E94BD22"/>
    <w:rsid w:val="3E958116"/>
    <w:rsid w:val="3EBA3B23"/>
    <w:rsid w:val="3EED57A3"/>
    <w:rsid w:val="3F1DBF24"/>
    <w:rsid w:val="3F9EB06F"/>
    <w:rsid w:val="3FFC706E"/>
    <w:rsid w:val="409392A7"/>
    <w:rsid w:val="40EFF164"/>
    <w:rsid w:val="41FC9322"/>
    <w:rsid w:val="42233328"/>
    <w:rsid w:val="423BEDEB"/>
    <w:rsid w:val="42CB58C3"/>
    <w:rsid w:val="435D7454"/>
    <w:rsid w:val="442A90B6"/>
    <w:rsid w:val="44397586"/>
    <w:rsid w:val="456A2287"/>
    <w:rsid w:val="45C054B7"/>
    <w:rsid w:val="45C46E94"/>
    <w:rsid w:val="45C7EC0F"/>
    <w:rsid w:val="46033847"/>
    <w:rsid w:val="466D5242"/>
    <w:rsid w:val="472176B4"/>
    <w:rsid w:val="481F1B70"/>
    <w:rsid w:val="48397D16"/>
    <w:rsid w:val="483D1BB5"/>
    <w:rsid w:val="4853C9C1"/>
    <w:rsid w:val="48C80479"/>
    <w:rsid w:val="49076B69"/>
    <w:rsid w:val="4928E639"/>
    <w:rsid w:val="493B202F"/>
    <w:rsid w:val="495935F6"/>
    <w:rsid w:val="49CEF63E"/>
    <w:rsid w:val="4A16FF30"/>
    <w:rsid w:val="4A4BE4A6"/>
    <w:rsid w:val="4A51F5C9"/>
    <w:rsid w:val="4A64E8A7"/>
    <w:rsid w:val="4B1C0D54"/>
    <w:rsid w:val="4B7C7383"/>
    <w:rsid w:val="4BA347F8"/>
    <w:rsid w:val="4BB8AFBC"/>
    <w:rsid w:val="4C51FF36"/>
    <w:rsid w:val="4C686DDC"/>
    <w:rsid w:val="4CF90783"/>
    <w:rsid w:val="4D0607B4"/>
    <w:rsid w:val="4D24EA70"/>
    <w:rsid w:val="4DA76353"/>
    <w:rsid w:val="4DE6A5AF"/>
    <w:rsid w:val="4E7550CE"/>
    <w:rsid w:val="4FF0D786"/>
    <w:rsid w:val="50E35B71"/>
    <w:rsid w:val="50EE3015"/>
    <w:rsid w:val="51775FC9"/>
    <w:rsid w:val="51C2D1BF"/>
    <w:rsid w:val="51D9B309"/>
    <w:rsid w:val="527BE4B3"/>
    <w:rsid w:val="528F6192"/>
    <w:rsid w:val="52E7FF57"/>
    <w:rsid w:val="53055726"/>
    <w:rsid w:val="5312924F"/>
    <w:rsid w:val="5336554F"/>
    <w:rsid w:val="53367064"/>
    <w:rsid w:val="538692A6"/>
    <w:rsid w:val="5388C733"/>
    <w:rsid w:val="53B7D342"/>
    <w:rsid w:val="53C2D045"/>
    <w:rsid w:val="540CCEFB"/>
    <w:rsid w:val="54E9AA05"/>
    <w:rsid w:val="552726C8"/>
    <w:rsid w:val="5565CF35"/>
    <w:rsid w:val="5565D75B"/>
    <w:rsid w:val="55A65CEC"/>
    <w:rsid w:val="55C50699"/>
    <w:rsid w:val="56A7A56A"/>
    <w:rsid w:val="570E4FE4"/>
    <w:rsid w:val="575AD93C"/>
    <w:rsid w:val="57B47E03"/>
    <w:rsid w:val="580E50EC"/>
    <w:rsid w:val="5875D5C4"/>
    <w:rsid w:val="58E77E1A"/>
    <w:rsid w:val="58FA3563"/>
    <w:rsid w:val="5948C9AB"/>
    <w:rsid w:val="5A2DB8D0"/>
    <w:rsid w:val="5A8A9F4F"/>
    <w:rsid w:val="5AF7D45E"/>
    <w:rsid w:val="5B85D286"/>
    <w:rsid w:val="5B9A55B3"/>
    <w:rsid w:val="5C9302A4"/>
    <w:rsid w:val="5CD58FCF"/>
    <w:rsid w:val="5D66819B"/>
    <w:rsid w:val="5D7F67F9"/>
    <w:rsid w:val="5DC30B7F"/>
    <w:rsid w:val="5F6C51A4"/>
    <w:rsid w:val="5F7C01D4"/>
    <w:rsid w:val="5F9EF9A7"/>
    <w:rsid w:val="5FC2D864"/>
    <w:rsid w:val="60EA3B5F"/>
    <w:rsid w:val="613406ED"/>
    <w:rsid w:val="61ABDC74"/>
    <w:rsid w:val="62094DD6"/>
    <w:rsid w:val="62140B54"/>
    <w:rsid w:val="62364F73"/>
    <w:rsid w:val="6270B357"/>
    <w:rsid w:val="62941FC3"/>
    <w:rsid w:val="62A97FE6"/>
    <w:rsid w:val="62EFF807"/>
    <w:rsid w:val="63A438AD"/>
    <w:rsid w:val="6458255C"/>
    <w:rsid w:val="6458AF4A"/>
    <w:rsid w:val="6470B8DF"/>
    <w:rsid w:val="64ABDB95"/>
    <w:rsid w:val="64C93682"/>
    <w:rsid w:val="64E4F322"/>
    <w:rsid w:val="655E4D64"/>
    <w:rsid w:val="65B9A4C6"/>
    <w:rsid w:val="66224CAE"/>
    <w:rsid w:val="66277C76"/>
    <w:rsid w:val="6665BE48"/>
    <w:rsid w:val="668503EB"/>
    <w:rsid w:val="66EADB01"/>
    <w:rsid w:val="670D66B7"/>
    <w:rsid w:val="6727E4AA"/>
    <w:rsid w:val="678DE6ED"/>
    <w:rsid w:val="67B3BA28"/>
    <w:rsid w:val="68719822"/>
    <w:rsid w:val="688621BA"/>
    <w:rsid w:val="68992C93"/>
    <w:rsid w:val="6998CD59"/>
    <w:rsid w:val="69C46877"/>
    <w:rsid w:val="69FDE790"/>
    <w:rsid w:val="6A33FEED"/>
    <w:rsid w:val="6A7C56FA"/>
    <w:rsid w:val="6A981B19"/>
    <w:rsid w:val="6AC9C8E5"/>
    <w:rsid w:val="6B3C29EB"/>
    <w:rsid w:val="6BC02AB2"/>
    <w:rsid w:val="6C6FD24D"/>
    <w:rsid w:val="6C7C969B"/>
    <w:rsid w:val="6C8D113F"/>
    <w:rsid w:val="6C9AF210"/>
    <w:rsid w:val="6D8A2A91"/>
    <w:rsid w:val="6E2A3EC2"/>
    <w:rsid w:val="6E3B77C5"/>
    <w:rsid w:val="6E691AB3"/>
    <w:rsid w:val="6EE1B261"/>
    <w:rsid w:val="6F29D051"/>
    <w:rsid w:val="6FA2909D"/>
    <w:rsid w:val="6FFF6D6A"/>
    <w:rsid w:val="700A3163"/>
    <w:rsid w:val="701F9A24"/>
    <w:rsid w:val="707FD5E3"/>
    <w:rsid w:val="70B643CC"/>
    <w:rsid w:val="7119F78A"/>
    <w:rsid w:val="722D909F"/>
    <w:rsid w:val="72867676"/>
    <w:rsid w:val="72C6C300"/>
    <w:rsid w:val="73BF98C5"/>
    <w:rsid w:val="747ACA93"/>
    <w:rsid w:val="7515DCBD"/>
    <w:rsid w:val="75560EF1"/>
    <w:rsid w:val="75A1BA20"/>
    <w:rsid w:val="775C4661"/>
    <w:rsid w:val="77779B96"/>
    <w:rsid w:val="7777D9F5"/>
    <w:rsid w:val="779066C6"/>
    <w:rsid w:val="7877ACDA"/>
    <w:rsid w:val="78A39E4C"/>
    <w:rsid w:val="78EE457E"/>
    <w:rsid w:val="791F2F85"/>
    <w:rsid w:val="791F5DF9"/>
    <w:rsid w:val="7A30473D"/>
    <w:rsid w:val="7A4A8C06"/>
    <w:rsid w:val="7ADBE2EF"/>
    <w:rsid w:val="7C0636E2"/>
    <w:rsid w:val="7C790271"/>
    <w:rsid w:val="7CC108FD"/>
    <w:rsid w:val="7CEC08ED"/>
    <w:rsid w:val="7D12B12F"/>
    <w:rsid w:val="7D42ABB7"/>
    <w:rsid w:val="7DBAD984"/>
    <w:rsid w:val="7DFE434F"/>
    <w:rsid w:val="7E33CFAF"/>
    <w:rsid w:val="7E50DD80"/>
    <w:rsid w:val="7F4F46BA"/>
    <w:rsid w:val="7F8EBFBF"/>
    <w:rsid w:val="7FEDF07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B093"/>
  <w15:chartTrackingRefBased/>
  <w15:docId w15:val="{98C44C99-9495-4904-A0F6-90D1381B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pl-PL"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3750"/>
    <w:pPr>
      <w:spacing w:after="160" w:line="259" w:lineRule="auto"/>
    </w:pPr>
    <w:rPr>
      <w:rFonts w:asciiTheme="minorHAnsi" w:hAnsiTheme="minorHAnsi"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paragrafy">
    <w:name w:val="paragrafy"/>
    <w:uiPriority w:val="99"/>
    <w:rsid w:val="000039AE"/>
    <w:pPr>
      <w:numPr>
        <w:numId w:val="2"/>
      </w:numPr>
    </w:pPr>
  </w:style>
  <w:style w:type="paragraph" w:customStyle="1" w:styleId="Default">
    <w:name w:val="Default"/>
    <w:rsid w:val="00113750"/>
    <w:pPr>
      <w:autoSpaceDE w:val="0"/>
      <w:autoSpaceDN w:val="0"/>
      <w:adjustRightInd w:val="0"/>
      <w:spacing w:line="240" w:lineRule="auto"/>
    </w:pPr>
    <w:rPr>
      <w:rFonts w:ascii="Georgia" w:eastAsia="Times New Roman" w:hAnsi="Georgia" w:cs="Georgia"/>
      <w:color w:val="000000"/>
      <w:sz w:val="24"/>
      <w:szCs w:val="24"/>
      <w:lang w:eastAsia="pl-PL"/>
    </w:rPr>
  </w:style>
  <w:style w:type="paragraph" w:styleId="Akapitzlist">
    <w:name w:val="List Paragraph"/>
    <w:basedOn w:val="Normalny"/>
    <w:uiPriority w:val="34"/>
    <w:qFormat/>
    <w:rsid w:val="00113750"/>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99dd4d1-3bbb-404a-bb19-993328fe501a">4HSVHU7XJEM5-216592460-609842</_dlc_DocId>
    <_dlc_DocIdUrl xmlns="b99dd4d1-3bbb-404a-bb19-993328fe501a">
      <Url>https://oiwlegal.sharepoint.com/sites/OIWLEGAL/_layouts/15/DocIdRedir.aspx?ID=4HSVHU7XJEM5-216592460-609842</Url>
      <Description>4HSVHU7XJEM5-216592460-609842</Description>
    </_dlc_DocIdUrl>
    <lcf76f155ced4ddcb4097134ff3c332f xmlns="377732bf-1019-4b06-bfcf-b0fa1409df63">
      <Terms xmlns="http://schemas.microsoft.com/office/infopath/2007/PartnerControls"/>
    </lcf76f155ced4ddcb4097134ff3c332f>
    <TaxCatchAll xmlns="b99dd4d1-3bbb-404a-bb19-993328fe50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DF785F1155F7745853C78EB20394B4B" ma:contentTypeVersion="18" ma:contentTypeDescription="Utwórz nowy dokument." ma:contentTypeScope="" ma:versionID="7d5223a8cf18442ff5d08f2ecea52f03">
  <xsd:schema xmlns:xsd="http://www.w3.org/2001/XMLSchema" xmlns:xs="http://www.w3.org/2001/XMLSchema" xmlns:p="http://schemas.microsoft.com/office/2006/metadata/properties" xmlns:ns2="b99dd4d1-3bbb-404a-bb19-993328fe501a" xmlns:ns3="377732bf-1019-4b06-bfcf-b0fa1409df63" targetNamespace="http://schemas.microsoft.com/office/2006/metadata/properties" ma:root="true" ma:fieldsID="b2f0b486fda8f64b97a50f123a345265" ns2:_="" ns3:_="">
    <xsd:import namespace="b99dd4d1-3bbb-404a-bb19-993328fe501a"/>
    <xsd:import namespace="377732bf-1019-4b06-bfcf-b0fa1409df6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dd4d1-3bbb-404a-bb19-993328fe501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b01233e7-96d7-48ad-b8e4-21df249e81ba}" ma:internalName="TaxCatchAll" ma:showField="CatchAllData" ma:web="b99dd4d1-3bbb-404a-bb19-993328fe50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7732bf-1019-4b06-bfcf-b0fa1409df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04bd36d-088e-4760-957b-432270bdf062"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ECAA49-3D38-41AD-8FAA-24A5963624E9}">
  <ds:schemaRefs>
    <ds:schemaRef ds:uri="http://schemas.microsoft.com/sharepoint/events"/>
  </ds:schemaRefs>
</ds:datastoreItem>
</file>

<file path=customXml/itemProps2.xml><?xml version="1.0" encoding="utf-8"?>
<ds:datastoreItem xmlns:ds="http://schemas.openxmlformats.org/officeDocument/2006/customXml" ds:itemID="{0E58C843-4F8B-4F83-B8F9-F9A765BEEB6E}">
  <ds:schemaRefs>
    <ds:schemaRef ds:uri="http://schemas.microsoft.com/sharepoint/v3/contenttype/forms"/>
  </ds:schemaRefs>
</ds:datastoreItem>
</file>

<file path=customXml/itemProps3.xml><?xml version="1.0" encoding="utf-8"?>
<ds:datastoreItem xmlns:ds="http://schemas.openxmlformats.org/officeDocument/2006/customXml" ds:itemID="{44513ECD-26DD-4C1E-A4A8-DCAD26E55177}">
  <ds:schemaRefs>
    <ds:schemaRef ds:uri="http://schemas.microsoft.com/office/2006/metadata/properties"/>
    <ds:schemaRef ds:uri="http://schemas.microsoft.com/office/infopath/2007/PartnerControls"/>
    <ds:schemaRef ds:uri="b99dd4d1-3bbb-404a-bb19-993328fe501a"/>
    <ds:schemaRef ds:uri="377732bf-1019-4b06-bfcf-b0fa1409df63"/>
  </ds:schemaRefs>
</ds:datastoreItem>
</file>

<file path=customXml/itemProps4.xml><?xml version="1.0" encoding="utf-8"?>
<ds:datastoreItem xmlns:ds="http://schemas.openxmlformats.org/officeDocument/2006/customXml" ds:itemID="{4F338800-67E0-4447-B2A7-1881BAB1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dd4d1-3bbb-404a-bb19-993328fe501a"/>
    <ds:schemaRef ds:uri="377732bf-1019-4b06-bfcf-b0fa1409d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3260</Words>
  <Characters>19566</Characters>
  <Application>Microsoft Office Word</Application>
  <DocSecurity>0</DocSecurity>
  <Lines>163</Lines>
  <Paragraphs>45</Paragraphs>
  <ScaleCrop>false</ScaleCrop>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 Legal</dc:creator>
  <cp:keywords/>
  <dc:description/>
  <cp:lastModifiedBy>OTLegal</cp:lastModifiedBy>
  <cp:revision>13</cp:revision>
  <dcterms:created xsi:type="dcterms:W3CDTF">2020-11-18T16:19:00Z</dcterms:created>
  <dcterms:modified xsi:type="dcterms:W3CDTF">2024-06-04T10:41:00Z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0x010100FDF785F1155F7745853C78EB20394B4B</vt:lpwstr>
  </property>
  <property fmtid="{D5CDD505-2E9C-101B-9397-08002B2CF9AE}" pid="3" name="_dlc_DocIdItemGuid">
    <vt:lpwstr>3635ce06-603e-4790-8405-9d51969b32f9</vt:lpwstr>
  </property>
  <property fmtid="{D5CDD505-2E9C-101B-9397-08002B2CF9AE}" pid="4" name="MediaServiceImageTags">
    <vt:lpwstr/>
  </property>
</Properties>
</file>