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F9C49" w14:textId="02E978E8" w:rsidR="004C2552" w:rsidRPr="003D57B3" w:rsidRDefault="004C2552" w:rsidP="7411D710">
      <w:pPr>
        <w:jc w:val="both"/>
      </w:pPr>
      <w:r w:rsidRPr="7411D710">
        <w:t>Raport bieżący nr</w:t>
      </w:r>
      <w:r w:rsidR="1CD576DF" w:rsidRPr="7411D710">
        <w:t xml:space="preserve"> </w:t>
      </w:r>
      <w:r w:rsidRPr="006F3A15">
        <w:rPr>
          <w:rFonts w:cstheme="minorHAnsi"/>
        </w:rPr>
        <w:tab/>
      </w:r>
      <w:r w:rsidRPr="7411D710">
        <w:t>4/2020</w:t>
      </w:r>
      <w:r w:rsidRPr="003D57B3">
        <w:rPr>
          <w:rFonts w:cstheme="minorHAnsi"/>
        </w:rPr>
        <w:tab/>
      </w:r>
      <w:r w:rsidRPr="003D57B3">
        <w:rPr>
          <w:rFonts w:cstheme="minorHAnsi"/>
        </w:rPr>
        <w:tab/>
      </w:r>
      <w:r w:rsidRPr="003D57B3">
        <w:rPr>
          <w:rFonts w:cstheme="minorHAnsi"/>
        </w:rPr>
        <w:tab/>
      </w:r>
    </w:p>
    <w:p w14:paraId="0ACB74CA" w14:textId="23E11FE7" w:rsidR="004C2552" w:rsidRPr="00504774" w:rsidRDefault="004C2552" w:rsidP="004C2552">
      <w:pPr>
        <w:jc w:val="both"/>
        <w:rPr>
          <w:rFonts w:cstheme="minorHAnsi"/>
        </w:rPr>
      </w:pPr>
      <w:r w:rsidRPr="003D57B3">
        <w:rPr>
          <w:rFonts w:cstheme="minorHAnsi"/>
        </w:rPr>
        <w:t>Data sporządzenia:</w:t>
      </w:r>
      <w:r w:rsidRPr="003D57B3">
        <w:rPr>
          <w:rFonts w:cstheme="minorHAnsi"/>
        </w:rPr>
        <w:tab/>
        <w:t>2020-03</w:t>
      </w:r>
      <w:r w:rsidRPr="00504774">
        <w:rPr>
          <w:rFonts w:cstheme="minorHAnsi"/>
        </w:rPr>
        <w:t>-</w:t>
      </w:r>
      <w:r w:rsidR="009A0D8F">
        <w:rPr>
          <w:rFonts w:cstheme="minorHAnsi"/>
        </w:rPr>
        <w:t>07</w:t>
      </w:r>
    </w:p>
    <w:p w14:paraId="3A4C1BCF" w14:textId="77777777" w:rsidR="004C2552" w:rsidRPr="006F3A15" w:rsidRDefault="004C2552" w:rsidP="004C2552">
      <w:pPr>
        <w:jc w:val="both"/>
        <w:rPr>
          <w:rFonts w:cstheme="minorHAnsi"/>
        </w:rPr>
      </w:pPr>
      <w:r w:rsidRPr="006F3A15">
        <w:rPr>
          <w:rFonts w:cstheme="minorHAnsi"/>
        </w:rPr>
        <w:t>Skrócona nazwa emitenta</w:t>
      </w:r>
    </w:p>
    <w:p w14:paraId="14D3B768" w14:textId="77777777" w:rsidR="004C2552" w:rsidRPr="006F3A15" w:rsidRDefault="004C2552" w:rsidP="004C2552">
      <w:pPr>
        <w:jc w:val="both"/>
        <w:rPr>
          <w:rFonts w:cstheme="minorHAnsi"/>
        </w:rPr>
      </w:pPr>
      <w:r w:rsidRPr="006F3A15">
        <w:rPr>
          <w:rFonts w:cstheme="minorHAnsi"/>
        </w:rPr>
        <w:t>KOMPUTRONIK S.A.</w:t>
      </w:r>
    </w:p>
    <w:p w14:paraId="192FD724" w14:textId="5A9F3174" w:rsidR="004C2552" w:rsidRPr="006F3A15" w:rsidRDefault="004C2552" w:rsidP="004C2552">
      <w:pPr>
        <w:jc w:val="both"/>
        <w:rPr>
          <w:rFonts w:cstheme="minorHAnsi"/>
        </w:rPr>
      </w:pPr>
      <w:r w:rsidRPr="006F3A15">
        <w:rPr>
          <w:rFonts w:cstheme="minorHAnsi"/>
        </w:rPr>
        <w:t>Temat</w:t>
      </w:r>
      <w:r w:rsidR="006F3A15">
        <w:rPr>
          <w:rFonts w:cstheme="minorHAnsi"/>
        </w:rPr>
        <w:t>:</w:t>
      </w:r>
      <w:r w:rsidRPr="006F3A15">
        <w:rPr>
          <w:rFonts w:cstheme="minorHAnsi"/>
        </w:rPr>
        <w:t xml:space="preserve"> </w:t>
      </w:r>
    </w:p>
    <w:p w14:paraId="5B5D490F" w14:textId="10BCA6FF" w:rsidR="004C2552" w:rsidRPr="00B5511D" w:rsidRDefault="004C2552" w:rsidP="004C2552">
      <w:pPr>
        <w:jc w:val="both"/>
        <w:rPr>
          <w:rFonts w:cstheme="minorHAnsi"/>
          <w:color w:val="000000"/>
          <w:shd w:val="clear" w:color="auto" w:fill="FFFFFF"/>
        </w:rPr>
      </w:pPr>
      <w:r w:rsidRPr="003D57B3">
        <w:rPr>
          <w:rFonts w:cstheme="minorHAnsi"/>
        </w:rPr>
        <w:t xml:space="preserve">Informacja nt. sytuacji </w:t>
      </w:r>
      <w:r w:rsidR="004320D3" w:rsidRPr="003D57B3">
        <w:rPr>
          <w:rFonts w:cstheme="minorHAnsi"/>
        </w:rPr>
        <w:t xml:space="preserve">finansowo – operacyjnej </w:t>
      </w:r>
      <w:r w:rsidRPr="003D57B3">
        <w:rPr>
          <w:rFonts w:cstheme="minorHAnsi"/>
        </w:rPr>
        <w:t xml:space="preserve">Grupy Kapitałowej Komputronik - </w:t>
      </w:r>
      <w:r w:rsidRPr="003D57B3">
        <w:rPr>
          <w:rFonts w:cstheme="minorHAnsi"/>
          <w:color w:val="000000"/>
          <w:shd w:val="clear" w:color="auto" w:fill="FFFFFF"/>
        </w:rPr>
        <w:t> odtajnienie opóźnionych informacji poufnych</w:t>
      </w:r>
    </w:p>
    <w:p w14:paraId="24C89B25" w14:textId="77777777" w:rsidR="004C2552" w:rsidRPr="006F3A15" w:rsidRDefault="004C2552" w:rsidP="004C2552">
      <w:pPr>
        <w:jc w:val="both"/>
        <w:rPr>
          <w:rFonts w:cstheme="minorHAnsi"/>
        </w:rPr>
      </w:pPr>
      <w:r w:rsidRPr="006F3A15">
        <w:rPr>
          <w:rFonts w:cstheme="minorHAnsi"/>
        </w:rPr>
        <w:t>Podstawa prawna</w:t>
      </w:r>
      <w:r w:rsidRPr="006F3A15">
        <w:rPr>
          <w:rFonts w:cstheme="minorHAnsi"/>
        </w:rPr>
        <w:tab/>
      </w:r>
      <w:r w:rsidRPr="006F3A15">
        <w:rPr>
          <w:rFonts w:cstheme="minorHAnsi"/>
        </w:rPr>
        <w:tab/>
      </w:r>
      <w:r w:rsidRPr="006F3A15">
        <w:rPr>
          <w:rFonts w:cstheme="minorHAnsi"/>
        </w:rPr>
        <w:tab/>
      </w:r>
      <w:r w:rsidRPr="006F3A15">
        <w:rPr>
          <w:rFonts w:cstheme="minorHAnsi"/>
        </w:rPr>
        <w:tab/>
      </w:r>
      <w:r w:rsidRPr="006F3A15">
        <w:rPr>
          <w:rFonts w:cstheme="minorHAnsi"/>
        </w:rPr>
        <w:tab/>
      </w:r>
      <w:r w:rsidRPr="006F3A15">
        <w:rPr>
          <w:rFonts w:cstheme="minorHAnsi"/>
        </w:rPr>
        <w:tab/>
      </w:r>
      <w:r w:rsidRPr="006F3A15">
        <w:rPr>
          <w:rFonts w:cstheme="minorHAnsi"/>
        </w:rPr>
        <w:tab/>
      </w:r>
      <w:r w:rsidRPr="006F3A15">
        <w:rPr>
          <w:rFonts w:cstheme="minorHAnsi"/>
        </w:rPr>
        <w:tab/>
      </w:r>
    </w:p>
    <w:p w14:paraId="3EF493FD" w14:textId="77777777" w:rsidR="004C2552" w:rsidRPr="00B5511D" w:rsidRDefault="004C2552" w:rsidP="004C2552">
      <w:pPr>
        <w:jc w:val="both"/>
        <w:rPr>
          <w:rFonts w:cstheme="minorHAnsi"/>
        </w:rPr>
      </w:pPr>
      <w:r w:rsidRPr="006F3A15">
        <w:rPr>
          <w:rFonts w:cstheme="minorHAnsi"/>
        </w:rPr>
        <w:t>Art. 17 ust.</w:t>
      </w:r>
      <w:r w:rsidRPr="00B5511D">
        <w:rPr>
          <w:rFonts w:cstheme="minorHAnsi"/>
        </w:rPr>
        <w:t xml:space="preserve"> 1 MAR - informacje poufne.</w:t>
      </w:r>
      <w:r w:rsidRPr="00B5511D">
        <w:rPr>
          <w:rFonts w:cstheme="minorHAnsi"/>
        </w:rPr>
        <w:tab/>
      </w:r>
    </w:p>
    <w:p w14:paraId="47DE1791" w14:textId="77777777" w:rsidR="004C2552" w:rsidRPr="00B5511D" w:rsidRDefault="004C2552" w:rsidP="004C2552">
      <w:pPr>
        <w:jc w:val="both"/>
        <w:rPr>
          <w:rFonts w:cstheme="minorHAnsi"/>
        </w:rPr>
      </w:pPr>
      <w:r w:rsidRPr="00B5511D">
        <w:rPr>
          <w:rFonts w:cstheme="minorHAnsi"/>
        </w:rPr>
        <w:t>Treść raportu:</w:t>
      </w:r>
    </w:p>
    <w:p w14:paraId="2E3AFA88" w14:textId="0CFD2EE4" w:rsidR="004C2552" w:rsidRPr="00B5511D" w:rsidRDefault="004C2552" w:rsidP="004C2552">
      <w:pPr>
        <w:jc w:val="both"/>
        <w:rPr>
          <w:rFonts w:cstheme="minorHAnsi"/>
          <w:color w:val="000000"/>
          <w:shd w:val="clear" w:color="auto" w:fill="FFFFFF"/>
        </w:rPr>
      </w:pPr>
      <w:r w:rsidRPr="00B5511D">
        <w:rPr>
          <w:rFonts w:cstheme="minorHAnsi"/>
          <w:color w:val="000000"/>
          <w:shd w:val="clear" w:color="auto" w:fill="FFFFFF"/>
        </w:rPr>
        <w:t xml:space="preserve">Zarząd Komputronik S.A. [Emitent, Spółka] informuje, iż w związku z ustaniem w dniu 6 marca 2020 r. </w:t>
      </w:r>
      <w:r w:rsidR="006925B2" w:rsidRPr="00B5511D">
        <w:rPr>
          <w:rFonts w:cstheme="minorHAnsi"/>
          <w:color w:val="000000"/>
          <w:shd w:val="clear" w:color="auto" w:fill="FFFFFF"/>
        </w:rPr>
        <w:t>przesłanki, o której mowa w art. 17 ust. 4 lit. c) Rozporządzenia MAR,</w:t>
      </w:r>
      <w:r w:rsidRPr="00B5511D">
        <w:rPr>
          <w:rFonts w:cstheme="minorHAnsi"/>
          <w:color w:val="000000"/>
          <w:shd w:val="clear" w:color="auto" w:fill="FFFFFF"/>
        </w:rPr>
        <w:t xml:space="preserve"> umożliwiając</w:t>
      </w:r>
      <w:r w:rsidR="006925B2" w:rsidRPr="00B5511D">
        <w:rPr>
          <w:rFonts w:cstheme="minorHAnsi"/>
          <w:color w:val="000000"/>
          <w:shd w:val="clear" w:color="auto" w:fill="FFFFFF"/>
        </w:rPr>
        <w:t>ej</w:t>
      </w:r>
      <w:r w:rsidRPr="00B5511D">
        <w:rPr>
          <w:rFonts w:cstheme="minorHAnsi"/>
          <w:color w:val="000000"/>
          <w:shd w:val="clear" w:color="auto" w:fill="FFFFFF"/>
        </w:rPr>
        <w:t xml:space="preserve"> kontynuację </w:t>
      </w:r>
      <w:r w:rsidR="006925B2" w:rsidRPr="00B5511D">
        <w:rPr>
          <w:rFonts w:cstheme="minorHAnsi"/>
          <w:color w:val="000000"/>
          <w:shd w:val="clear" w:color="auto" w:fill="FFFFFF"/>
        </w:rPr>
        <w:t xml:space="preserve">instytucji </w:t>
      </w:r>
      <w:r w:rsidRPr="00B5511D">
        <w:rPr>
          <w:rFonts w:cstheme="minorHAnsi"/>
          <w:color w:val="000000"/>
          <w:shd w:val="clear" w:color="auto" w:fill="FFFFFF"/>
        </w:rPr>
        <w:t>opóźnie</w:t>
      </w:r>
      <w:r w:rsidR="003A6E27" w:rsidRPr="00B5511D">
        <w:rPr>
          <w:rFonts w:cstheme="minorHAnsi"/>
          <w:color w:val="000000"/>
          <w:shd w:val="clear" w:color="auto" w:fill="FFFFFF"/>
        </w:rPr>
        <w:t>nia przekazania do publicznej wiadomości informacji poufnych</w:t>
      </w:r>
      <w:r w:rsidR="006925B2" w:rsidRPr="00B5511D">
        <w:rPr>
          <w:rFonts w:cstheme="minorHAnsi"/>
          <w:color w:val="000000"/>
          <w:shd w:val="clear" w:color="auto" w:fill="FFFFFF"/>
        </w:rPr>
        <w:t>,</w:t>
      </w:r>
      <w:r w:rsidR="003A6E27" w:rsidRPr="00B5511D">
        <w:rPr>
          <w:rFonts w:cstheme="minorHAnsi"/>
          <w:color w:val="000000"/>
          <w:shd w:val="clear" w:color="auto" w:fill="FFFFFF"/>
        </w:rPr>
        <w:t xml:space="preserve"> zastosowanego przez Emitenta zgodnie z art. 17 ust 4. Rozporządzenia MAR,</w:t>
      </w:r>
      <w:r w:rsidRPr="00B5511D">
        <w:rPr>
          <w:rFonts w:cstheme="minorHAnsi"/>
          <w:color w:val="000000"/>
          <w:shd w:val="clear" w:color="auto" w:fill="FFFFFF"/>
        </w:rPr>
        <w:t xml:space="preserve"> Zarząd Emitenta </w:t>
      </w:r>
      <w:r w:rsidR="003A6E27" w:rsidRPr="00B5511D">
        <w:rPr>
          <w:rFonts w:cstheme="minorHAnsi"/>
          <w:color w:val="000000"/>
          <w:shd w:val="clear" w:color="auto" w:fill="FFFFFF"/>
        </w:rPr>
        <w:t>przekazuje</w:t>
      </w:r>
      <w:r w:rsidRPr="00B5511D">
        <w:rPr>
          <w:rFonts w:cstheme="minorHAnsi"/>
          <w:color w:val="000000"/>
          <w:shd w:val="clear" w:color="auto" w:fill="FFFFFF"/>
        </w:rPr>
        <w:t xml:space="preserve"> ww. opóźnion</w:t>
      </w:r>
      <w:r w:rsidR="003A6E27" w:rsidRPr="00B5511D">
        <w:rPr>
          <w:rFonts w:cstheme="minorHAnsi"/>
          <w:color w:val="000000"/>
          <w:shd w:val="clear" w:color="auto" w:fill="FFFFFF"/>
        </w:rPr>
        <w:t>e</w:t>
      </w:r>
      <w:r w:rsidRPr="00B5511D">
        <w:rPr>
          <w:rFonts w:cstheme="minorHAnsi"/>
          <w:color w:val="000000"/>
          <w:shd w:val="clear" w:color="auto" w:fill="FFFFFF"/>
        </w:rPr>
        <w:t xml:space="preserve"> informacj</w:t>
      </w:r>
      <w:r w:rsidR="003A6E27" w:rsidRPr="00B5511D">
        <w:rPr>
          <w:rFonts w:cstheme="minorHAnsi"/>
          <w:color w:val="000000"/>
          <w:shd w:val="clear" w:color="auto" w:fill="FFFFFF"/>
        </w:rPr>
        <w:t>e</w:t>
      </w:r>
      <w:r w:rsidRPr="00B5511D">
        <w:rPr>
          <w:rFonts w:cstheme="minorHAnsi"/>
          <w:color w:val="000000"/>
          <w:shd w:val="clear" w:color="auto" w:fill="FFFFFF"/>
        </w:rPr>
        <w:t xml:space="preserve"> poufn</w:t>
      </w:r>
      <w:r w:rsidR="003A6E27" w:rsidRPr="00B5511D">
        <w:rPr>
          <w:rFonts w:cstheme="minorHAnsi"/>
          <w:color w:val="000000"/>
          <w:shd w:val="clear" w:color="auto" w:fill="FFFFFF"/>
        </w:rPr>
        <w:t>e</w:t>
      </w:r>
      <w:r w:rsidRPr="00B5511D">
        <w:rPr>
          <w:rFonts w:cstheme="minorHAnsi"/>
          <w:color w:val="000000"/>
          <w:shd w:val="clear" w:color="auto" w:fill="FFFFFF"/>
        </w:rPr>
        <w:t xml:space="preserve"> do publicznej wiadomości.</w:t>
      </w:r>
    </w:p>
    <w:p w14:paraId="27A9F99E" w14:textId="5E072A79" w:rsidR="004C2552" w:rsidRPr="00B5511D" w:rsidRDefault="004C2552" w:rsidP="004C2552">
      <w:pPr>
        <w:jc w:val="both"/>
        <w:rPr>
          <w:rFonts w:cstheme="minorHAnsi"/>
          <w:color w:val="000000"/>
          <w:shd w:val="clear" w:color="auto" w:fill="FFFFFF"/>
        </w:rPr>
      </w:pPr>
      <w:r w:rsidRPr="00B5511D">
        <w:rPr>
          <w:rFonts w:cstheme="minorHAnsi"/>
          <w:color w:val="000000"/>
          <w:shd w:val="clear" w:color="auto" w:fill="FFFFFF"/>
        </w:rPr>
        <w:t>Mając na uwadze fakt wzajemnego</w:t>
      </w:r>
      <w:r w:rsidR="003D57B3">
        <w:rPr>
          <w:rFonts w:cstheme="minorHAnsi"/>
          <w:color w:val="000000"/>
          <w:shd w:val="clear" w:color="auto" w:fill="FFFFFF"/>
        </w:rPr>
        <w:t>,</w:t>
      </w:r>
      <w:r w:rsidRPr="00B5511D">
        <w:rPr>
          <w:rFonts w:cstheme="minorHAnsi"/>
          <w:color w:val="000000"/>
          <w:shd w:val="clear" w:color="auto" w:fill="FFFFFF"/>
        </w:rPr>
        <w:t xml:space="preserve"> </w:t>
      </w:r>
      <w:r w:rsidR="009E24DA" w:rsidRPr="00B5511D">
        <w:rPr>
          <w:rFonts w:cstheme="minorHAnsi"/>
          <w:color w:val="000000"/>
          <w:shd w:val="clear" w:color="auto" w:fill="FFFFFF"/>
        </w:rPr>
        <w:t xml:space="preserve">ścisłego </w:t>
      </w:r>
      <w:r w:rsidRPr="00B5511D">
        <w:rPr>
          <w:rFonts w:cstheme="minorHAnsi"/>
          <w:color w:val="000000"/>
          <w:shd w:val="clear" w:color="auto" w:fill="FFFFFF"/>
        </w:rPr>
        <w:t xml:space="preserve">powiązania poszczególnych opóźnionych </w:t>
      </w:r>
      <w:r w:rsidR="009E24DA" w:rsidRPr="00B5511D">
        <w:rPr>
          <w:rFonts w:cstheme="minorHAnsi"/>
          <w:color w:val="000000"/>
          <w:shd w:val="clear" w:color="auto" w:fill="FFFFFF"/>
        </w:rPr>
        <w:t>informacji poufnych</w:t>
      </w:r>
      <w:r w:rsidR="003A6E27" w:rsidRPr="00B5511D">
        <w:rPr>
          <w:rFonts w:cstheme="minorHAnsi"/>
          <w:color w:val="000000"/>
          <w:shd w:val="clear" w:color="auto" w:fill="FFFFFF"/>
        </w:rPr>
        <w:t>, w szczególności mając na uwadze fakt, iż niektóre zdarzenia miały charakter warunkowy, uzależniony od dojścia do skutku lub nie innych zdarzeń,</w:t>
      </w:r>
      <w:r w:rsidR="009E24DA" w:rsidRPr="00B5511D">
        <w:rPr>
          <w:rFonts w:cstheme="minorHAnsi"/>
          <w:color w:val="000000"/>
          <w:shd w:val="clear" w:color="auto" w:fill="FFFFFF"/>
        </w:rPr>
        <w:t xml:space="preserve"> </w:t>
      </w:r>
      <w:r w:rsidR="003A6E27" w:rsidRPr="00B5511D">
        <w:rPr>
          <w:rFonts w:cstheme="minorHAnsi"/>
          <w:color w:val="000000"/>
          <w:shd w:val="clear" w:color="auto" w:fill="FFFFFF"/>
        </w:rPr>
        <w:t xml:space="preserve">jak również </w:t>
      </w:r>
      <w:r w:rsidRPr="00B5511D">
        <w:rPr>
          <w:rFonts w:cstheme="minorHAnsi"/>
          <w:color w:val="000000"/>
          <w:shd w:val="clear" w:color="auto" w:fill="FFFFFF"/>
        </w:rPr>
        <w:t xml:space="preserve">w celu zapewnienia rzetelnej prezentacji </w:t>
      </w:r>
      <w:r w:rsidR="009E24DA" w:rsidRPr="00B5511D">
        <w:rPr>
          <w:rFonts w:cstheme="minorHAnsi"/>
          <w:color w:val="000000"/>
          <w:shd w:val="clear" w:color="auto" w:fill="FFFFFF"/>
        </w:rPr>
        <w:t xml:space="preserve">znaczenia przekazywanych informacji, </w:t>
      </w:r>
      <w:r w:rsidRPr="00B5511D">
        <w:rPr>
          <w:rFonts w:cstheme="minorHAnsi"/>
          <w:color w:val="000000"/>
          <w:shd w:val="clear" w:color="auto" w:fill="FFFFFF"/>
        </w:rPr>
        <w:t>skutków</w:t>
      </w:r>
      <w:r w:rsidR="00CB133D" w:rsidRPr="00B5511D">
        <w:rPr>
          <w:rFonts w:cstheme="minorHAnsi"/>
          <w:color w:val="000000"/>
          <w:shd w:val="clear" w:color="auto" w:fill="FFFFFF"/>
        </w:rPr>
        <w:t xml:space="preserve">, </w:t>
      </w:r>
      <w:r w:rsidRPr="00B5511D">
        <w:rPr>
          <w:rFonts w:cstheme="minorHAnsi"/>
          <w:color w:val="000000"/>
          <w:shd w:val="clear" w:color="auto" w:fill="FFFFFF"/>
        </w:rPr>
        <w:t xml:space="preserve">wzajemnych relacji pomiędzy poszczególnymi </w:t>
      </w:r>
      <w:r w:rsidR="009E24DA" w:rsidRPr="00B5511D">
        <w:rPr>
          <w:rFonts w:cstheme="minorHAnsi"/>
          <w:color w:val="000000"/>
          <w:shd w:val="clear" w:color="auto" w:fill="FFFFFF"/>
        </w:rPr>
        <w:t>zdarzeniami</w:t>
      </w:r>
      <w:r w:rsidR="00CB133D" w:rsidRPr="00B5511D">
        <w:rPr>
          <w:rFonts w:cstheme="minorHAnsi"/>
          <w:color w:val="000000"/>
          <w:shd w:val="clear" w:color="auto" w:fill="FFFFFF"/>
        </w:rPr>
        <w:t xml:space="preserve"> oraz wyeliminowania ryzyka wprowadzenia rynku w błąd poprzez publikację szeregu odrębnych raportów szczegółowych, </w:t>
      </w:r>
      <w:r w:rsidR="00562787">
        <w:rPr>
          <w:rFonts w:cstheme="minorHAnsi"/>
          <w:color w:val="000000"/>
          <w:shd w:val="clear" w:color="auto" w:fill="FFFFFF"/>
        </w:rPr>
        <w:t xml:space="preserve">Emitent </w:t>
      </w:r>
      <w:r w:rsidRPr="00B5511D">
        <w:rPr>
          <w:rFonts w:cstheme="minorHAnsi"/>
          <w:color w:val="000000"/>
          <w:shd w:val="clear" w:color="auto" w:fill="FFFFFF"/>
        </w:rPr>
        <w:t xml:space="preserve">podjął decyzję o odtajnieniu w niniejszym raporcie bieżącym wszystkich </w:t>
      </w:r>
      <w:r w:rsidR="006F3A15">
        <w:rPr>
          <w:rFonts w:cstheme="minorHAnsi"/>
          <w:color w:val="000000"/>
          <w:shd w:val="clear" w:color="auto" w:fill="FFFFFF"/>
        </w:rPr>
        <w:t xml:space="preserve">powiązanych </w:t>
      </w:r>
      <w:r w:rsidRPr="00B5511D">
        <w:rPr>
          <w:rFonts w:cstheme="minorHAnsi"/>
          <w:color w:val="000000"/>
          <w:shd w:val="clear" w:color="auto" w:fill="FFFFFF"/>
        </w:rPr>
        <w:t>informacji opóźnionych obejmujących:</w:t>
      </w:r>
    </w:p>
    <w:p w14:paraId="368BD6FC" w14:textId="36C9903A" w:rsidR="00920F0B" w:rsidRPr="00B5511D" w:rsidRDefault="00920F0B" w:rsidP="00920F0B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B5511D">
        <w:rPr>
          <w:rFonts w:cstheme="minorHAnsi"/>
        </w:rPr>
        <w:t xml:space="preserve">zamieszczenia w aneksach z mBank S.A., o których informowano raportem bieżącym nr </w:t>
      </w:r>
      <w:r w:rsidR="00175E99">
        <w:rPr>
          <w:rFonts w:cstheme="minorHAnsi"/>
        </w:rPr>
        <w:t>32</w:t>
      </w:r>
      <w:r w:rsidR="00107350">
        <w:rPr>
          <w:rFonts w:cstheme="minorHAnsi"/>
        </w:rPr>
        <w:t>/2019</w:t>
      </w:r>
      <w:r w:rsidRPr="00B5511D">
        <w:rPr>
          <w:rFonts w:cstheme="minorHAnsi"/>
        </w:rPr>
        <w:t xml:space="preserve"> z dnia 8 listopada 2019 roku zapisów, stwarzających hipotetyczne ryzyko, dotyczące możliwości ograniczenia </w:t>
      </w:r>
      <w:r w:rsidR="00CB133D" w:rsidRPr="00B5511D">
        <w:rPr>
          <w:rFonts w:cstheme="minorHAnsi"/>
        </w:rPr>
        <w:t xml:space="preserve">przez </w:t>
      </w:r>
      <w:r w:rsidR="003D57B3">
        <w:rPr>
          <w:rFonts w:cstheme="minorHAnsi"/>
        </w:rPr>
        <w:t>m</w:t>
      </w:r>
      <w:r w:rsidR="00CB133D" w:rsidRPr="00B5511D">
        <w:rPr>
          <w:rFonts w:cstheme="minorHAnsi"/>
        </w:rPr>
        <w:t xml:space="preserve">Bank S.A. w stopniu większym od ustalonego, </w:t>
      </w:r>
      <w:r w:rsidRPr="00B5511D">
        <w:rPr>
          <w:rFonts w:cstheme="minorHAnsi"/>
        </w:rPr>
        <w:t>dostępności części produktów bankowych</w:t>
      </w:r>
      <w:r w:rsidR="00CB133D" w:rsidRPr="00B5511D">
        <w:rPr>
          <w:rFonts w:cstheme="minorHAnsi"/>
        </w:rPr>
        <w:t xml:space="preserve"> w przypadku braku zakończenia do określonej daty</w:t>
      </w:r>
      <w:r w:rsidR="003D57B3">
        <w:rPr>
          <w:rFonts w:cstheme="minorHAnsi"/>
        </w:rPr>
        <w:t xml:space="preserve"> wskazanych</w:t>
      </w:r>
      <w:r w:rsidR="00CB133D" w:rsidRPr="00B5511D">
        <w:rPr>
          <w:rFonts w:cstheme="minorHAnsi"/>
        </w:rPr>
        <w:t xml:space="preserve"> postępowań przed organami podatkowymi</w:t>
      </w:r>
      <w:r w:rsidRPr="00B5511D">
        <w:rPr>
          <w:rFonts w:cstheme="minorHAnsi"/>
        </w:rPr>
        <w:t>;</w:t>
      </w:r>
    </w:p>
    <w:p w14:paraId="2DC35B3D" w14:textId="40F4EE1C" w:rsidR="00920F0B" w:rsidRPr="00B5511D" w:rsidRDefault="00920F0B" w:rsidP="00920F0B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B5511D">
        <w:rPr>
          <w:rFonts w:cstheme="minorHAnsi"/>
        </w:rPr>
        <w:t xml:space="preserve">zamieszczenia w aneksach z Santander Bank Polska S.A., o których informowano raportem bieżącym nr </w:t>
      </w:r>
      <w:r w:rsidR="00107350">
        <w:rPr>
          <w:rFonts w:cstheme="minorHAnsi"/>
        </w:rPr>
        <w:t>33/2019</w:t>
      </w:r>
      <w:r w:rsidRPr="00B5511D">
        <w:rPr>
          <w:rFonts w:cstheme="minorHAnsi"/>
        </w:rPr>
        <w:t xml:space="preserve"> z dnia 8 listopada 2019 roku zapisów, stwarzających hipotetyczne ryzyko, </w:t>
      </w:r>
      <w:r w:rsidR="00CB133D" w:rsidRPr="00B5511D">
        <w:rPr>
          <w:rFonts w:cstheme="minorHAnsi"/>
        </w:rPr>
        <w:t>dotyczące możliwości ograniczenia przez Santander Bank Polska S.A. w stopniu większym od ustalonego, dostępności części produktów bankowych w przypadku braku zakończenia do określonej daty</w:t>
      </w:r>
      <w:r w:rsidR="003D57B3">
        <w:rPr>
          <w:rFonts w:cstheme="minorHAnsi"/>
        </w:rPr>
        <w:t xml:space="preserve"> wskazanych</w:t>
      </w:r>
      <w:r w:rsidR="00CB133D" w:rsidRPr="00B5511D">
        <w:rPr>
          <w:rFonts w:cstheme="minorHAnsi"/>
        </w:rPr>
        <w:t xml:space="preserve"> postępowań przed organami podatkowymi</w:t>
      </w:r>
      <w:r w:rsidRPr="00B5511D">
        <w:rPr>
          <w:rFonts w:cstheme="minorHAnsi"/>
        </w:rPr>
        <w:t>;</w:t>
      </w:r>
    </w:p>
    <w:p w14:paraId="3A8FF6E5" w14:textId="6B4CB8F8" w:rsidR="00920F0B" w:rsidRPr="00B5511D" w:rsidRDefault="00920F0B" w:rsidP="00920F0B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B5511D">
        <w:rPr>
          <w:rFonts w:cstheme="minorHAnsi"/>
        </w:rPr>
        <w:t xml:space="preserve">zamieszczenia w aneksach z Millennium Bank S.A., o których informowano raportem bieżącym nr </w:t>
      </w:r>
      <w:r w:rsidR="00107350">
        <w:rPr>
          <w:rFonts w:cstheme="minorHAnsi"/>
        </w:rPr>
        <w:t>34/2019</w:t>
      </w:r>
      <w:r w:rsidRPr="00B5511D">
        <w:rPr>
          <w:rFonts w:cstheme="minorHAnsi"/>
        </w:rPr>
        <w:t xml:space="preserve"> z dnia 13 listopada 2019 roku zapisów, stwarzających hipotetyczne ryzyko, </w:t>
      </w:r>
      <w:r w:rsidR="00CB133D" w:rsidRPr="00B5511D">
        <w:rPr>
          <w:rFonts w:cstheme="minorHAnsi"/>
        </w:rPr>
        <w:t xml:space="preserve">dotyczące możliwości ograniczenia przez Millennium Bank S.A. w stopniu większym od ustalonego, dostępności części produktów bankowych w przypadku braku zakończenia do określonej daty </w:t>
      </w:r>
      <w:r w:rsidR="003D57B3">
        <w:rPr>
          <w:rFonts w:cstheme="minorHAnsi"/>
        </w:rPr>
        <w:t>wskazanych</w:t>
      </w:r>
      <w:r w:rsidR="003D57B3" w:rsidRPr="00B5511D">
        <w:rPr>
          <w:rFonts w:cstheme="minorHAnsi"/>
        </w:rPr>
        <w:t xml:space="preserve"> </w:t>
      </w:r>
      <w:r w:rsidR="00CB133D" w:rsidRPr="00B5511D">
        <w:rPr>
          <w:rFonts w:cstheme="minorHAnsi"/>
        </w:rPr>
        <w:t>postępowań przed organami podatkowymi</w:t>
      </w:r>
      <w:r w:rsidRPr="00B5511D">
        <w:rPr>
          <w:rFonts w:cstheme="minorHAnsi"/>
        </w:rPr>
        <w:t>;</w:t>
      </w:r>
    </w:p>
    <w:p w14:paraId="3FFF90D3" w14:textId="281EC60B" w:rsidR="00920F0B" w:rsidRPr="00B5511D" w:rsidRDefault="00920F0B" w:rsidP="00920F0B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B5511D">
        <w:rPr>
          <w:rFonts w:cstheme="minorHAnsi"/>
        </w:rPr>
        <w:t xml:space="preserve">identyfikacji w związku z zawarciem aneksu do umowy kredytowej zawartej z Bankiem Pekao S.A. z dnia 3 grudnia 2019 roku ryzyka dotyczącego możliwości zmiany dostępności niektórych spośród produktów bankowych udzielonych przez Bank </w:t>
      </w:r>
      <w:r w:rsidR="00CB133D" w:rsidRPr="00B5511D">
        <w:rPr>
          <w:rFonts w:cstheme="minorHAnsi"/>
        </w:rPr>
        <w:t xml:space="preserve">Pekao S.A. </w:t>
      </w:r>
      <w:r w:rsidRPr="00B5511D">
        <w:rPr>
          <w:rFonts w:cstheme="minorHAnsi"/>
        </w:rPr>
        <w:t>w perspektywie długoterminowej</w:t>
      </w:r>
      <w:r w:rsidR="00CB133D" w:rsidRPr="00B5511D">
        <w:rPr>
          <w:rFonts w:cstheme="minorHAnsi"/>
        </w:rPr>
        <w:t>;</w:t>
      </w:r>
    </w:p>
    <w:p w14:paraId="3ED9DD71" w14:textId="1A4A9183" w:rsidR="004C2552" w:rsidRPr="00B5511D" w:rsidRDefault="00562787" w:rsidP="004C2552">
      <w:pPr>
        <w:pStyle w:val="ListParagraph"/>
        <w:numPr>
          <w:ilvl w:val="0"/>
          <w:numId w:val="8"/>
        </w:numPr>
        <w:jc w:val="both"/>
      </w:pPr>
      <w:r>
        <w:t>otrzymanie</w:t>
      </w:r>
      <w:r w:rsidR="004C2552" w:rsidRPr="658F28AC">
        <w:t xml:space="preserve"> w dniu </w:t>
      </w:r>
      <w:r w:rsidR="00CB133D" w:rsidRPr="658F28AC">
        <w:t>2</w:t>
      </w:r>
      <w:r w:rsidR="004C2552" w:rsidRPr="658F28AC">
        <w:t xml:space="preserve"> marca 2020 roku </w:t>
      </w:r>
      <w:r>
        <w:t>wydanych</w:t>
      </w:r>
      <w:r w:rsidR="004C2552" w:rsidRPr="658F28AC">
        <w:t xml:space="preserve"> przez </w:t>
      </w:r>
      <w:r w:rsidR="00CB133D" w:rsidRPr="658F28AC">
        <w:t xml:space="preserve">Naczelnika Wielkopolskiego Urzędu Celno-Skarbowego w Poznaniu - Delegatury w Lesznie negatywnych </w:t>
      </w:r>
      <w:r w:rsidR="004D1185" w:rsidRPr="658F28AC">
        <w:t xml:space="preserve">dla Emitenta </w:t>
      </w:r>
      <w:r w:rsidR="00CB133D" w:rsidRPr="658F28AC">
        <w:t>decyzji dotyczących postępowań kontrolnych w zakresie podatku VAT za miesiące: marzec, kwiecień i maj 2014 roku</w:t>
      </w:r>
      <w:r w:rsidR="004C2552" w:rsidRPr="658F28AC">
        <w:t>;</w:t>
      </w:r>
    </w:p>
    <w:p w14:paraId="471116FC" w14:textId="223E694A" w:rsidR="004C2552" w:rsidRPr="00B5511D" w:rsidRDefault="004C2552" w:rsidP="004C2552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B5511D">
        <w:rPr>
          <w:rFonts w:cstheme="minorHAnsi"/>
        </w:rPr>
        <w:t>złożenie przez Emitenta w dniu 2 marca 2020 roku do właściwego sądu wniosku o ogłoszenie postępowania sanacyjnego</w:t>
      </w:r>
      <w:r w:rsidR="00CB133D" w:rsidRPr="00B5511D">
        <w:rPr>
          <w:rFonts w:cstheme="minorHAnsi"/>
        </w:rPr>
        <w:t xml:space="preserve"> (</w:t>
      </w:r>
      <w:r w:rsidR="0030156A">
        <w:rPr>
          <w:rFonts w:cstheme="minorHAnsi"/>
        </w:rPr>
        <w:t>na moment publikacji Emitent nie posiada informacji w odniesieniu do faktu</w:t>
      </w:r>
      <w:r w:rsidR="00390401">
        <w:rPr>
          <w:rFonts w:cstheme="minorHAnsi"/>
        </w:rPr>
        <w:t xml:space="preserve"> rozpatrzenia bądź braku rozpatrzenia </w:t>
      </w:r>
      <w:r w:rsidR="00B47EDA">
        <w:rPr>
          <w:rFonts w:cstheme="minorHAnsi"/>
        </w:rPr>
        <w:t xml:space="preserve">wskazanego </w:t>
      </w:r>
      <w:r w:rsidR="00897F55">
        <w:rPr>
          <w:rFonts w:cstheme="minorHAnsi"/>
        </w:rPr>
        <w:t>wniosku</w:t>
      </w:r>
      <w:r w:rsidR="00CB133D" w:rsidRPr="00B5511D">
        <w:rPr>
          <w:rFonts w:cstheme="minorHAnsi"/>
        </w:rPr>
        <w:t>)</w:t>
      </w:r>
      <w:r w:rsidRPr="00B5511D">
        <w:rPr>
          <w:rFonts w:cstheme="minorHAnsi"/>
        </w:rPr>
        <w:t>;</w:t>
      </w:r>
    </w:p>
    <w:p w14:paraId="75ABA0B4" w14:textId="6161BFB1" w:rsidR="004C2552" w:rsidRPr="00B5511D" w:rsidRDefault="004C2552" w:rsidP="004C2552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B5511D">
        <w:rPr>
          <w:rFonts w:cstheme="minorHAnsi"/>
        </w:rPr>
        <w:t>złożenie przez Komputronik Biznes sp. z o.o. [Komputronik Biznes]</w:t>
      </w:r>
      <w:r w:rsidR="00D23547">
        <w:rPr>
          <w:rFonts w:cstheme="minorHAnsi"/>
        </w:rPr>
        <w:t xml:space="preserve">, spółki w 100% zależnej od Emitenta, </w:t>
      </w:r>
      <w:r w:rsidRPr="00B5511D">
        <w:rPr>
          <w:rFonts w:cstheme="minorHAnsi"/>
        </w:rPr>
        <w:t>w dniu 2 marca 2020 roku do właściwego sądu wniosku o ogłoszenie postępowania sanacyjnego</w:t>
      </w:r>
      <w:r w:rsidR="00CB133D" w:rsidRPr="00B5511D">
        <w:rPr>
          <w:rFonts w:cstheme="minorHAnsi"/>
        </w:rPr>
        <w:t xml:space="preserve"> (</w:t>
      </w:r>
      <w:r w:rsidR="00B47EDA">
        <w:rPr>
          <w:rFonts w:cstheme="minorHAnsi"/>
        </w:rPr>
        <w:t>na moment publikacji Emitent nie posiada informacji w odniesieniu do faktu rozpatrzenia bądź braku rozpatrzenia wskazanego wniosku</w:t>
      </w:r>
      <w:r w:rsidR="00CB133D" w:rsidRPr="00B5511D">
        <w:rPr>
          <w:rFonts w:cstheme="minorHAnsi"/>
        </w:rPr>
        <w:t>)</w:t>
      </w:r>
      <w:r w:rsidRPr="00B5511D">
        <w:rPr>
          <w:rFonts w:cstheme="minorHAnsi"/>
        </w:rPr>
        <w:t>;</w:t>
      </w:r>
    </w:p>
    <w:p w14:paraId="54410D74" w14:textId="616BB53B" w:rsidR="004C2552" w:rsidRPr="00B5511D" w:rsidRDefault="004C2552" w:rsidP="004C2552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B5511D">
        <w:rPr>
          <w:rFonts w:cstheme="minorHAnsi"/>
        </w:rPr>
        <w:t xml:space="preserve">rozpoczęcie w dniu </w:t>
      </w:r>
      <w:r w:rsidR="009E24DA" w:rsidRPr="00504774">
        <w:rPr>
          <w:rFonts w:cstheme="minorHAnsi"/>
        </w:rPr>
        <w:t>3</w:t>
      </w:r>
      <w:r w:rsidRPr="00B5511D">
        <w:rPr>
          <w:rFonts w:cstheme="minorHAnsi"/>
        </w:rPr>
        <w:t xml:space="preserve"> marca 2020 roku rozmów z </w:t>
      </w:r>
      <w:r w:rsidRPr="00504774">
        <w:rPr>
          <w:rFonts w:cstheme="minorHAnsi"/>
        </w:rPr>
        <w:t>czterema</w:t>
      </w:r>
      <w:r w:rsidRPr="00B5511D">
        <w:rPr>
          <w:rFonts w:cstheme="minorHAnsi"/>
        </w:rPr>
        <w:t xml:space="preserve"> bankami finansującymi działalność Emitenta tj. mBank S.A., Santander Bank Polska S.A., Millennium Bank S.A. oraz Bank Pekao S.A. w przedmiocie uzgodnienia modelu finansowania </w:t>
      </w:r>
      <w:r w:rsidR="00CB133D" w:rsidRPr="00B5511D">
        <w:rPr>
          <w:rFonts w:cstheme="minorHAnsi"/>
        </w:rPr>
        <w:t xml:space="preserve">dalszej </w:t>
      </w:r>
      <w:r w:rsidRPr="00B5511D">
        <w:rPr>
          <w:rFonts w:cstheme="minorHAnsi"/>
        </w:rPr>
        <w:t xml:space="preserve">działalności </w:t>
      </w:r>
      <w:r w:rsidR="009E24DA" w:rsidRPr="00B5511D">
        <w:rPr>
          <w:rFonts w:cstheme="minorHAnsi"/>
        </w:rPr>
        <w:t xml:space="preserve">Grupy </w:t>
      </w:r>
      <w:r w:rsidR="00CB133D" w:rsidRPr="00B5511D">
        <w:rPr>
          <w:rFonts w:cstheme="minorHAnsi"/>
        </w:rPr>
        <w:t>Komputronik</w:t>
      </w:r>
      <w:r w:rsidR="009E24DA" w:rsidRPr="00B5511D">
        <w:rPr>
          <w:rFonts w:cstheme="minorHAnsi"/>
        </w:rPr>
        <w:t xml:space="preserve"> </w:t>
      </w:r>
      <w:r w:rsidRPr="00B5511D">
        <w:rPr>
          <w:rFonts w:cstheme="minorHAnsi"/>
        </w:rPr>
        <w:t>uwzględniającego okoliczność zakończonych negatywnym rezultatem kontroli skarbowych;</w:t>
      </w:r>
    </w:p>
    <w:p w14:paraId="5EAE02EA" w14:textId="24B60406" w:rsidR="004C2552" w:rsidRPr="00B5511D" w:rsidRDefault="004C2552" w:rsidP="004C2552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B5511D">
        <w:rPr>
          <w:rFonts w:cstheme="minorHAnsi"/>
        </w:rPr>
        <w:t>otrzymania w dniu 5 marca 2020 roku wypowiedzeni</w:t>
      </w:r>
      <w:r w:rsidR="009E24DA" w:rsidRPr="00B5511D">
        <w:rPr>
          <w:rFonts w:cstheme="minorHAnsi"/>
        </w:rPr>
        <w:t>a</w:t>
      </w:r>
      <w:r w:rsidRPr="00B5511D">
        <w:rPr>
          <w:rFonts w:cstheme="minorHAnsi"/>
        </w:rPr>
        <w:t xml:space="preserve"> umowy kredytowej zawartej z Bank</w:t>
      </w:r>
      <w:r w:rsidR="009E24DA" w:rsidRPr="00B5511D">
        <w:rPr>
          <w:rFonts w:cstheme="minorHAnsi"/>
        </w:rPr>
        <w:t>iem</w:t>
      </w:r>
      <w:r w:rsidRPr="00B5511D">
        <w:rPr>
          <w:rFonts w:cstheme="minorHAnsi"/>
        </w:rPr>
        <w:t xml:space="preserve"> Pekao S.A.</w:t>
      </w:r>
      <w:r w:rsidR="00107350">
        <w:rPr>
          <w:rFonts w:cstheme="minorHAnsi"/>
        </w:rPr>
        <w:t xml:space="preserve"> oraz umowy faktoringowej zawartej z Pekao Faktoring Sp. z o.o.</w:t>
      </w:r>
      <w:r w:rsidR="00E0728F">
        <w:rPr>
          <w:rFonts w:cstheme="minorHAnsi"/>
        </w:rPr>
        <w:t>;</w:t>
      </w:r>
    </w:p>
    <w:p w14:paraId="2452DD4D" w14:textId="1ED8C1A4" w:rsidR="004320D3" w:rsidRPr="00B5511D" w:rsidRDefault="004320D3" w:rsidP="004C2552">
      <w:pPr>
        <w:jc w:val="both"/>
        <w:rPr>
          <w:rFonts w:cstheme="minorHAnsi"/>
        </w:rPr>
      </w:pPr>
      <w:r w:rsidRPr="00B5511D">
        <w:rPr>
          <w:rFonts w:cstheme="minorHAnsi"/>
        </w:rPr>
        <w:t>Informacj</w:t>
      </w:r>
      <w:r w:rsidR="00107350">
        <w:rPr>
          <w:rFonts w:cstheme="minorHAnsi"/>
        </w:rPr>
        <w:t>e</w:t>
      </w:r>
      <w:r w:rsidRPr="00B5511D">
        <w:rPr>
          <w:rFonts w:cstheme="minorHAnsi"/>
        </w:rPr>
        <w:t xml:space="preserve"> poufn</w:t>
      </w:r>
      <w:r w:rsidR="00107350">
        <w:rPr>
          <w:rFonts w:cstheme="minorHAnsi"/>
        </w:rPr>
        <w:t>e</w:t>
      </w:r>
      <w:r w:rsidRPr="00B5511D">
        <w:rPr>
          <w:rFonts w:cstheme="minorHAnsi"/>
        </w:rPr>
        <w:t xml:space="preserve"> dotycząc</w:t>
      </w:r>
      <w:r w:rsidR="00107350">
        <w:rPr>
          <w:rFonts w:cstheme="minorHAnsi"/>
        </w:rPr>
        <w:t>e</w:t>
      </w:r>
      <w:r w:rsidRPr="00B5511D">
        <w:rPr>
          <w:rFonts w:cstheme="minorHAnsi"/>
        </w:rPr>
        <w:t xml:space="preserve"> zdarzeń opisanych w pkt a) – c) powyżej.</w:t>
      </w:r>
    </w:p>
    <w:p w14:paraId="407BD9B5" w14:textId="35B15A98" w:rsidR="00B5511D" w:rsidRPr="00B5511D" w:rsidRDefault="006F3A15" w:rsidP="00B5511D">
      <w:pPr>
        <w:jc w:val="both"/>
        <w:rPr>
          <w:rFonts w:cstheme="minorHAnsi"/>
        </w:rPr>
      </w:pPr>
      <w:r>
        <w:rPr>
          <w:rFonts w:cstheme="minorHAnsi"/>
        </w:rPr>
        <w:t xml:space="preserve">W odniesieniu do zagadnień opisanych w pkt a) – c) powyżej </w:t>
      </w:r>
      <w:r w:rsidR="00B5511D" w:rsidRPr="00B5511D">
        <w:rPr>
          <w:rFonts w:cstheme="minorHAnsi"/>
        </w:rPr>
        <w:t xml:space="preserve">Emitent wyjaśnia, iż </w:t>
      </w:r>
      <w:r w:rsidR="00F33BAD">
        <w:rPr>
          <w:rFonts w:cstheme="minorHAnsi"/>
        </w:rPr>
        <w:t>w dniu 31 października 2019 roku</w:t>
      </w:r>
      <w:r w:rsidR="00DA6BD0">
        <w:rPr>
          <w:rFonts w:cstheme="minorHAnsi"/>
        </w:rPr>
        <w:t xml:space="preserve"> powziął </w:t>
      </w:r>
      <w:r w:rsidR="00DA6BD0" w:rsidRPr="00DA6BD0">
        <w:rPr>
          <w:rFonts w:cstheme="minorHAnsi"/>
        </w:rPr>
        <w:t>w trybie roboczym potwierdzenie warunków prolongaty finansowania</w:t>
      </w:r>
      <w:r w:rsidR="00DA6BD0">
        <w:rPr>
          <w:rFonts w:cstheme="minorHAnsi"/>
        </w:rPr>
        <w:t xml:space="preserve"> przez trzy kluczowe banki</w:t>
      </w:r>
      <w:r w:rsidR="008F44EC">
        <w:rPr>
          <w:rFonts w:cstheme="minorHAnsi"/>
        </w:rPr>
        <w:t>, tj. mBank S.A., Santander Bank Polska S.A. oraz Millennium Bank S.A. [Banki]</w:t>
      </w:r>
      <w:r w:rsidR="00DA6BD0">
        <w:rPr>
          <w:rFonts w:cstheme="minorHAnsi"/>
        </w:rPr>
        <w:t>, o czym Spółka informowała raportem bieżącym nr 31/2019, w wyniku czego doszło do</w:t>
      </w:r>
      <w:r w:rsidR="00E41E14">
        <w:rPr>
          <w:rFonts w:cstheme="minorHAnsi"/>
        </w:rPr>
        <w:t xml:space="preserve"> </w:t>
      </w:r>
      <w:r w:rsidR="00B5511D" w:rsidRPr="00B5511D">
        <w:rPr>
          <w:rFonts w:cstheme="minorHAnsi"/>
        </w:rPr>
        <w:t>podpisani</w:t>
      </w:r>
      <w:r w:rsidR="00DA6BD0">
        <w:rPr>
          <w:rFonts w:cstheme="minorHAnsi"/>
        </w:rPr>
        <w:t>a</w:t>
      </w:r>
      <w:r w:rsidR="00B5511D" w:rsidRPr="00B5511D">
        <w:rPr>
          <w:rFonts w:cstheme="minorHAnsi"/>
        </w:rPr>
        <w:t xml:space="preserve"> </w:t>
      </w:r>
      <w:r w:rsidR="00DA6BD0" w:rsidRPr="00B5511D">
        <w:rPr>
          <w:rFonts w:cstheme="minorHAnsi"/>
        </w:rPr>
        <w:t>pakietu dokumentów (aneksów) określających zasady współpracy z tym</w:t>
      </w:r>
      <w:r w:rsidR="00DA6BD0">
        <w:rPr>
          <w:rFonts w:cstheme="minorHAnsi"/>
        </w:rPr>
        <w:t>i</w:t>
      </w:r>
      <w:r w:rsidR="00DA6BD0" w:rsidRPr="00B5511D">
        <w:rPr>
          <w:rFonts w:cstheme="minorHAnsi"/>
        </w:rPr>
        <w:t xml:space="preserve"> bank</w:t>
      </w:r>
      <w:r w:rsidR="00DA6BD0">
        <w:rPr>
          <w:rFonts w:cstheme="minorHAnsi"/>
        </w:rPr>
        <w:t>ami</w:t>
      </w:r>
      <w:r w:rsidR="00DA6BD0" w:rsidRPr="00B5511D">
        <w:rPr>
          <w:rFonts w:cstheme="minorHAnsi"/>
        </w:rPr>
        <w:t xml:space="preserve"> w perspektywie do sierpnia 2020 roku</w:t>
      </w:r>
      <w:r w:rsidR="00B5511D" w:rsidRPr="00B5511D">
        <w:rPr>
          <w:rFonts w:cstheme="minorHAnsi"/>
        </w:rPr>
        <w:t xml:space="preserve">. Zgodnie z intencją stron sierpień 2020 r. stanowił nową perspektywę finansowania działalności na zasadach ustalonych w powyższych dokumentach. O </w:t>
      </w:r>
      <w:r w:rsidR="00DA6BD0">
        <w:rPr>
          <w:rFonts w:cstheme="minorHAnsi"/>
        </w:rPr>
        <w:t>zawarciu stosowanych aneksów</w:t>
      </w:r>
      <w:r w:rsidR="00B5511D" w:rsidRPr="00B5511D">
        <w:rPr>
          <w:rFonts w:cstheme="minorHAnsi"/>
        </w:rPr>
        <w:t xml:space="preserve"> Emitent informował </w:t>
      </w:r>
      <w:r>
        <w:rPr>
          <w:rFonts w:cstheme="minorHAnsi"/>
        </w:rPr>
        <w:t xml:space="preserve">odpowiednio </w:t>
      </w:r>
      <w:r w:rsidR="00B5511D" w:rsidRPr="00B5511D">
        <w:rPr>
          <w:rFonts w:cstheme="minorHAnsi"/>
        </w:rPr>
        <w:t>w raportach bieżących 32/2019, 33/2019 oraz 34/2019.</w:t>
      </w:r>
    </w:p>
    <w:p w14:paraId="6A5BDD6D" w14:textId="72199D70" w:rsidR="00B5511D" w:rsidRPr="00B5511D" w:rsidRDefault="00B5511D" w:rsidP="00B5511D">
      <w:pPr>
        <w:jc w:val="both"/>
      </w:pPr>
      <w:r w:rsidRPr="646BF944">
        <w:t xml:space="preserve">W raportach tych wskazano m.in. nowy okres obowiązywania umów związanych z finansowaniem (tj. </w:t>
      </w:r>
      <w:r w:rsidR="00CB2FBF" w:rsidRPr="646BF944">
        <w:t xml:space="preserve">do dnia 14 </w:t>
      </w:r>
      <w:r w:rsidRPr="646BF944">
        <w:t>sierp</w:t>
      </w:r>
      <w:r w:rsidR="00CB2FBF" w:rsidRPr="646BF944">
        <w:t xml:space="preserve">nia </w:t>
      </w:r>
      <w:r w:rsidRPr="646BF944">
        <w:t xml:space="preserve">2020 roku), jak również wskazano okoliczność zmniejszenia poziomu zaangażowania poszczególnych banków oraz konieczności towarzyszącej temu spłacie łącznie 30 mln zł w okresie styczeń – kwiecień 2020 roku. Jednocześnie na czas wzmożonej sprzedaży w okresie sezonowej większej sprzedawalności związanej z okresem Świąt Bożego Narodzenia 2019 roku utrzymano dotychczasowe finasowanie w celu zapewnienia odpowiedniego zatowarowania Spółki oraz kapitału obrotowego. Zapisy aneksów odzwierciedlały postanowienia poczynione w toku ustaleń Spółki ze wskazanymi powyżej trzema kluczowymi bankami finansującymi, zgodnie z którymi ustalono nowy model finansowania, o czym Spółka informowała szczegółowo raportem bieżącym </w:t>
      </w:r>
      <w:r w:rsidR="006F3A15" w:rsidRPr="646BF944">
        <w:t xml:space="preserve">nr </w:t>
      </w:r>
      <w:r w:rsidRPr="646BF944">
        <w:t>31/2019, w ramach którego strony postanowiły zmniejszyć poziom dostępnych środków finansowych w perspektywie I półrocza 2020 r. z opcją ewentualnego powrotu do rozmów nt. wyższego poziomu finansowania w przyszłości.</w:t>
      </w:r>
      <w:r w:rsidR="0052520D" w:rsidRPr="646BF944">
        <w:t xml:space="preserve"> Zmniejszenie </w:t>
      </w:r>
      <w:r w:rsidR="0048208B" w:rsidRPr="646BF944">
        <w:t xml:space="preserve">poziomu finansowania poprzez </w:t>
      </w:r>
      <w:r w:rsidR="00407DA9" w:rsidRPr="646BF944">
        <w:t xml:space="preserve">dokonywanie </w:t>
      </w:r>
      <w:r w:rsidR="00E41A25" w:rsidRPr="646BF944">
        <w:t>spłat finansowania zgodnego z harmonogramem, było skorelowane z planowanymi dodatnimi przepływami z realizowanych przez Komputronik Biznes sp. z o.o.</w:t>
      </w:r>
      <w:r w:rsidR="00F05A72" w:rsidRPr="646BF944">
        <w:t xml:space="preserve"> projektów</w:t>
      </w:r>
      <w:r w:rsidR="00304B1E" w:rsidRPr="646BF944">
        <w:t xml:space="preserve"> i z założenia nie miało w istotny sposób wpływać na</w:t>
      </w:r>
      <w:r w:rsidR="00110EC5" w:rsidRPr="646BF944">
        <w:t xml:space="preserve"> płynność finansową Emitenta i jego spółek zależnych.</w:t>
      </w:r>
      <w:r w:rsidR="00E41A25" w:rsidRPr="646BF944">
        <w:t xml:space="preserve"> </w:t>
      </w:r>
      <w:r w:rsidR="001F630B">
        <w:t>Potwierdza to poprawa wyników w III kwartale roku obrotowego 2019/2020</w:t>
      </w:r>
      <w:r w:rsidR="279C5843">
        <w:t xml:space="preserve"> oraz fakt dokonania spłat </w:t>
      </w:r>
      <w:r w:rsidR="47408FEF">
        <w:t>na kwotę 20 mln do dnia publikowania niniejszego raportu</w:t>
      </w:r>
      <w:r w:rsidR="37C50F70">
        <w:t xml:space="preserve"> (wymagana wartość </w:t>
      </w:r>
      <w:r w:rsidR="73BB8810">
        <w:t>wg określonych harmonogramów w aneksach)</w:t>
      </w:r>
      <w:r w:rsidR="001F630B">
        <w:t>.</w:t>
      </w:r>
    </w:p>
    <w:p w14:paraId="054DE093" w14:textId="19F6DCF0" w:rsidR="00B5511D" w:rsidRPr="00B5511D" w:rsidRDefault="00B5511D" w:rsidP="00AB6E95">
      <w:pPr>
        <w:jc w:val="both"/>
      </w:pPr>
      <w:r>
        <w:t>Jednocześnie w aneksach przewidziany został scenariusz, w którym w przypadku wystąpienia określonych</w:t>
      </w:r>
      <w:r w:rsidR="1B9A1B52">
        <w:t>,</w:t>
      </w:r>
      <w:r>
        <w:t xml:space="preserve"> negatywnych okoliczności o charakterze formalnym, okres udostępnienia przez Bank finansowania </w:t>
      </w:r>
      <w:r w:rsidR="53CEF390">
        <w:t xml:space="preserve">na dotychczasowym poziomie </w:t>
      </w:r>
      <w:r>
        <w:t>mógł ulec skróceniu i zakończyć się z dniem 28 lutego 2020 roku</w:t>
      </w:r>
      <w:r w:rsidR="716B7A65">
        <w:t xml:space="preserve"> </w:t>
      </w:r>
      <w:r w:rsidR="574E6E95">
        <w:t>(</w:t>
      </w:r>
      <w:r w:rsidR="0BA1C1DA">
        <w:t xml:space="preserve">warunkowe skrócenie </w:t>
      </w:r>
      <w:r w:rsidR="25927FC2">
        <w:t xml:space="preserve">okresu dostępności </w:t>
      </w:r>
      <w:r w:rsidR="7E68EC04">
        <w:t>wybranych instrumentów finansowych)</w:t>
      </w:r>
      <w:r>
        <w:t>. Wśród okoliczności formalnych wymieniono m.in. takie, jak</w:t>
      </w:r>
      <w:r w:rsidR="67345CBD">
        <w:t>:</w:t>
      </w:r>
      <w:r>
        <w:t xml:space="preserve"> brak dostarczenia do </w:t>
      </w:r>
      <w:r w:rsidR="67345CBD">
        <w:t xml:space="preserve">dnia </w:t>
      </w:r>
      <w:r>
        <w:t>31 stycznia 2020 r. dowodu zakończenia przeciągających się kontroli skarbowych za rok 2014, o których Spółka informowała w raportach okresowych. Nadmienić należy, że prowadzone kontrole podatkowe trwa</w:t>
      </w:r>
      <w:r w:rsidR="67345CBD">
        <w:t>ły</w:t>
      </w:r>
      <w:r>
        <w:t xml:space="preserve"> od </w:t>
      </w:r>
      <w:r w:rsidR="67345CBD">
        <w:t xml:space="preserve">ponad 5 </w:t>
      </w:r>
      <w:r>
        <w:t>lat, lecz w ich ramach nie wydano</w:t>
      </w:r>
      <w:r w:rsidR="74DC5BE8">
        <w:t xml:space="preserve"> </w:t>
      </w:r>
      <w:r>
        <w:t xml:space="preserve">żadnych </w:t>
      </w:r>
      <w:r w:rsidR="67345CBD">
        <w:t>rozstrzygnięć</w:t>
      </w:r>
      <w:r w:rsidR="00B864EC">
        <w:t xml:space="preserve"> </w:t>
      </w:r>
      <w:r w:rsidR="00E37CCA">
        <w:t>(</w:t>
      </w:r>
      <w:r w:rsidR="00B864EC">
        <w:t>ostatecznie wydano je w dniu 28 lutego 2020 r.)</w:t>
      </w:r>
      <w:r>
        <w:t xml:space="preserve">. </w:t>
      </w:r>
      <w:r w:rsidR="001F630B">
        <w:t xml:space="preserve">Okoliczność ta była na przestrzeni tych lat stale monitorowana przez Banki. </w:t>
      </w:r>
      <w:r>
        <w:t xml:space="preserve">Z uwagi na utrzymujący się od lat stan </w:t>
      </w:r>
      <w:r w:rsidRPr="008F44EC">
        <w:t>braku finalizacji kontroli</w:t>
      </w:r>
      <w:r w:rsidR="67345CBD" w:rsidRPr="008F44EC">
        <w:t>,</w:t>
      </w:r>
      <w:r w:rsidRPr="008F44EC">
        <w:t xml:space="preserve"> Spółka zawnioskowała</w:t>
      </w:r>
      <w:r w:rsidR="008F44EC">
        <w:t xml:space="preserve"> jeszcze w 2019 r.</w:t>
      </w:r>
      <w:r w:rsidRPr="008F44EC">
        <w:t xml:space="preserve"> do organów podatkowych o przyspieszenie zakończenia kontroli i liczyła na otrzymanie decyzji w tym zakresie do końca 2019 r.</w:t>
      </w:r>
      <w:r w:rsidR="52F16CAB" w:rsidRPr="008F44EC">
        <w:t xml:space="preserve">, </w:t>
      </w:r>
      <w:r w:rsidR="0DC7CD0B" w:rsidRPr="008F44EC">
        <w:t xml:space="preserve">jednak </w:t>
      </w:r>
      <w:r w:rsidR="44999B46" w:rsidRPr="008F44EC">
        <w:t xml:space="preserve">termin rozstrzygnięć </w:t>
      </w:r>
      <w:r w:rsidR="001F630B">
        <w:t xml:space="preserve">po raz kolejny </w:t>
      </w:r>
      <w:r w:rsidR="44999B46" w:rsidRPr="008F44EC">
        <w:t>przesunięto</w:t>
      </w:r>
      <w:r w:rsidR="001F630B">
        <w:t xml:space="preserve">, tym razem </w:t>
      </w:r>
      <w:r w:rsidR="44999B46" w:rsidRPr="008F44EC">
        <w:t>na dzień 28 lutego 2020 roku</w:t>
      </w:r>
      <w:r w:rsidR="008F44EC">
        <w:t xml:space="preserve"> (przy czym do tej daty Emitent nie otrzymał żadnych informacji</w:t>
      </w:r>
      <w:r w:rsidR="001F630B">
        <w:t xml:space="preserve"> w tej sprawie</w:t>
      </w:r>
      <w:r w:rsidR="00924407">
        <w:t>, precyzyjną informację uzyskał w dniu 2 marca 2020 roku</w:t>
      </w:r>
      <w:r w:rsidR="008F44EC">
        <w:t>)</w:t>
      </w:r>
      <w:r w:rsidR="44999B46" w:rsidRPr="008F44EC">
        <w:t>.</w:t>
      </w:r>
      <w:r w:rsidRPr="008F44EC">
        <w:t xml:space="preserve"> Na podstawie </w:t>
      </w:r>
      <w:r w:rsidR="7666085E" w:rsidRPr="008F44EC">
        <w:t xml:space="preserve">analizy </w:t>
      </w:r>
      <w:r w:rsidRPr="008F44EC">
        <w:t>posiadanych dokumentów</w:t>
      </w:r>
      <w:r w:rsidR="7666085E" w:rsidRPr="008F44EC">
        <w:t xml:space="preserve"> i znajomości stanu faktycznego</w:t>
      </w:r>
      <w:r w:rsidRPr="008F44EC">
        <w:t>, jak również opinii doradców podatkowych</w:t>
      </w:r>
      <w:r w:rsidR="53CEF390" w:rsidRPr="008F44EC">
        <w:t xml:space="preserve"> oraz prawnych</w:t>
      </w:r>
      <w:r w:rsidRPr="008F44EC">
        <w:t xml:space="preserve">, Emitent oceniał, że zakończenie kontroli nie powinno </w:t>
      </w:r>
      <w:r w:rsidR="65B97DEF" w:rsidRPr="008F44EC">
        <w:t xml:space="preserve"> </w:t>
      </w:r>
      <w:r w:rsidRPr="008F44EC">
        <w:t>dla Emitenta rodzić negatywnych skutków finansowych.</w:t>
      </w:r>
      <w:r>
        <w:t xml:space="preserve"> </w:t>
      </w:r>
    </w:p>
    <w:p w14:paraId="17AD0CB8" w14:textId="61B6E60C" w:rsidR="00B5511D" w:rsidRPr="00B5511D" w:rsidRDefault="00B5511D" w:rsidP="00B5511D">
      <w:pPr>
        <w:jc w:val="both"/>
      </w:pPr>
      <w:r>
        <w:t>Jednocześnie</w:t>
      </w:r>
      <w:r w:rsidR="00C1459F">
        <w:t>,</w:t>
      </w:r>
      <w:r>
        <w:t xml:space="preserve"> wobec prowadzenia z Bankami rozmów w przedmiocie przywróceni</w:t>
      </w:r>
      <w:r w:rsidR="028D882B">
        <w:t>a</w:t>
      </w:r>
      <w:r>
        <w:t xml:space="preserve"> wyższego poziomu finansowania w przyszłości oraz wydłużenia terminu na dostarczenie </w:t>
      </w:r>
      <w:r w:rsidR="006D5CB0">
        <w:t xml:space="preserve">dokumentów potwierdzających  </w:t>
      </w:r>
      <w:r>
        <w:t>zakończenia kontroli skarbowych, upływ wskazanej powyżej daty 31 stycznia 2020 r. nie rodził automatycznych konsekwencji związanych z ograniczeniem dostępności finansowania</w:t>
      </w:r>
      <w:r w:rsidR="004E2C0E">
        <w:t>, co Banki komunikowały Emitentowi</w:t>
      </w:r>
      <w:r>
        <w:t>. W efekcie powyższego</w:t>
      </w:r>
      <w:r w:rsidR="004E2C0E">
        <w:t>,</w:t>
      </w:r>
      <w:r>
        <w:t xml:space="preserve"> </w:t>
      </w:r>
      <w:r w:rsidR="51BD164B">
        <w:t>poczyniono odpowiednie</w:t>
      </w:r>
      <w:r w:rsidR="00C5176C">
        <w:t xml:space="preserve"> ustalenia oraz </w:t>
      </w:r>
      <w:r>
        <w:t xml:space="preserve">zawarte zostały aneksy </w:t>
      </w:r>
      <w:r w:rsidR="00342B95">
        <w:t>(</w:t>
      </w:r>
      <w:r w:rsidR="008F44EC">
        <w:t>najpierw</w:t>
      </w:r>
      <w:r w:rsidR="001F630B">
        <w:t>, wobec upływu daty 31 stycznia,</w:t>
      </w:r>
      <w:r w:rsidR="008F44EC">
        <w:t xml:space="preserve"> na przełomie stycznia/lutego, a następnie </w:t>
      </w:r>
      <w:r w:rsidR="00C5176C">
        <w:t xml:space="preserve">po raz kolejny, </w:t>
      </w:r>
      <w:r w:rsidR="001F630B">
        <w:t xml:space="preserve">wobec upływu daty 28 lutego, </w:t>
      </w:r>
      <w:r w:rsidR="00C5176C">
        <w:t xml:space="preserve">dokonano prolongaty </w:t>
      </w:r>
      <w:r w:rsidR="00342B95">
        <w:t>w dniach 28 lutego – 2 marca 2020 roku)</w:t>
      </w:r>
      <w:r w:rsidR="006715CC">
        <w:t>,</w:t>
      </w:r>
      <w:r w:rsidR="00AB6E95">
        <w:t xml:space="preserve"> </w:t>
      </w:r>
      <w:r>
        <w:t xml:space="preserve">na podstawie których termin na przekazanie </w:t>
      </w:r>
      <w:r w:rsidR="00334A49">
        <w:t xml:space="preserve">wyników kontroli dotyczących </w:t>
      </w:r>
      <w:r>
        <w:t xml:space="preserve">powyższych kontroli skarbowych </w:t>
      </w:r>
      <w:r w:rsidR="00784AB8">
        <w:t>został przesunięty do 3 marca 2020 r.</w:t>
      </w:r>
      <w:r w:rsidR="00BB669D">
        <w:t xml:space="preserve"> Brak dostarczenia </w:t>
      </w:r>
      <w:r w:rsidR="00175772">
        <w:t xml:space="preserve">dokumentów </w:t>
      </w:r>
      <w:r w:rsidR="00252110">
        <w:t>pokontrolnych</w:t>
      </w:r>
      <w:r w:rsidR="00D52915">
        <w:t xml:space="preserve"> we wskazanym terminie </w:t>
      </w:r>
      <w:r w:rsidR="00A77A88">
        <w:t xml:space="preserve">spowodowałby zakończenie finansowania bankowego </w:t>
      </w:r>
      <w:r w:rsidR="006F09D6">
        <w:t xml:space="preserve">już </w:t>
      </w:r>
      <w:r w:rsidR="00A77A88">
        <w:t>w</w:t>
      </w:r>
      <w:r w:rsidR="001D0465">
        <w:t xml:space="preserve"> </w:t>
      </w:r>
      <w:r w:rsidR="004426B0">
        <w:t>dni</w:t>
      </w:r>
      <w:r w:rsidR="00A77A88">
        <w:t>u</w:t>
      </w:r>
      <w:r w:rsidR="004426B0">
        <w:t xml:space="preserve"> </w:t>
      </w:r>
      <w:r>
        <w:t>31 marca 2020 roku</w:t>
      </w:r>
      <w:r w:rsidR="00A101BF">
        <w:t xml:space="preserve">, wobec </w:t>
      </w:r>
      <w:r w:rsidR="00103F85">
        <w:t>standardowego terminu przypadającego na dzień 14 sierpnia 202</w:t>
      </w:r>
      <w:r w:rsidR="006F09D6">
        <w:t>0</w:t>
      </w:r>
      <w:r w:rsidR="00103F85">
        <w:t xml:space="preserve"> roku</w:t>
      </w:r>
      <w:r>
        <w:t xml:space="preserve">. </w:t>
      </w:r>
      <w:r w:rsidR="001D0465">
        <w:t>Reasumując</w:t>
      </w:r>
      <w:r w:rsidR="00A101BF">
        <w:t>,</w:t>
      </w:r>
      <w:r w:rsidR="001D0465">
        <w:t xml:space="preserve"> do momentu wydania negatywnych decyzji podatkowych</w:t>
      </w:r>
      <w:r w:rsidR="006F09D6">
        <w:t>,</w:t>
      </w:r>
      <w:r w:rsidR="001D0465">
        <w:t xml:space="preserve"> Banki tolerowały opieszałość organów podatkowych i elastycznie podchodziły do kwestii zmiany terminów na przedłożenie wyników postępowania oraz prolongaty finansowania na ustalonym poziomie.</w:t>
      </w:r>
    </w:p>
    <w:p w14:paraId="628EC85D" w14:textId="217E5C31" w:rsidR="004320D3" w:rsidRPr="00B5511D" w:rsidRDefault="004320D3" w:rsidP="004C2552">
      <w:pPr>
        <w:jc w:val="both"/>
        <w:rPr>
          <w:rFonts w:cstheme="minorHAnsi"/>
        </w:rPr>
      </w:pPr>
      <w:r w:rsidRPr="00B5511D">
        <w:rPr>
          <w:rFonts w:cstheme="minorHAnsi"/>
        </w:rPr>
        <w:t>Informacja poufna dotycząca zdarzeń opisanych w pkt d) powyżej.</w:t>
      </w:r>
    </w:p>
    <w:p w14:paraId="252F2FF3" w14:textId="239680B8" w:rsidR="00B5511D" w:rsidRPr="00B5511D" w:rsidRDefault="00B5511D" w:rsidP="00B5511D">
      <w:pPr>
        <w:jc w:val="both"/>
      </w:pPr>
      <w:r>
        <w:t xml:space="preserve">Emitent współpracował </w:t>
      </w:r>
      <w:r w:rsidR="008E1704">
        <w:t xml:space="preserve">z podmiotami z Grupy </w:t>
      </w:r>
      <w:r>
        <w:t>Bank</w:t>
      </w:r>
      <w:r w:rsidR="008E1704">
        <w:t>u</w:t>
      </w:r>
      <w:r>
        <w:t xml:space="preserve"> Pekao w obszarze finansowania działalności handlowej</w:t>
      </w:r>
      <w:r w:rsidR="00AB6E95">
        <w:t xml:space="preserve"> w ramach umowy faktoringowej oraz kredytowej</w:t>
      </w:r>
      <w:r>
        <w:t>. Współpraca obejmowała udostępnienie Emitentowi przez Bank limitu kredytowego w rachunku bieżącym w wysokości 10 mln zł</w:t>
      </w:r>
      <w:r w:rsidR="00C5176C">
        <w:t>,</w:t>
      </w:r>
      <w:r>
        <w:t xml:space="preserve"> jak również limit</w:t>
      </w:r>
      <w:r w:rsidR="00AB6E95">
        <w:t>u</w:t>
      </w:r>
      <w:r>
        <w:t xml:space="preserve"> 5 mln zł do wykorzystania na gwarancje bankowe. Ponadto spółka zależna</w:t>
      </w:r>
      <w:r w:rsidR="2909C5A0">
        <w:t xml:space="preserve"> (Komputronik Biznes </w:t>
      </w:r>
      <w:r w:rsidR="2909C5A0" w:rsidRPr="4F4C6E37">
        <w:t>Sp.</w:t>
      </w:r>
      <w:r>
        <w:t xml:space="preserve"> </w:t>
      </w:r>
      <w:r w:rsidR="60A34377">
        <w:t>z</w:t>
      </w:r>
      <w:r w:rsidR="7A032BA1">
        <w:t xml:space="preserve"> o.o.)</w:t>
      </w:r>
      <w:r w:rsidRPr="4F4C6E37">
        <w:t xml:space="preserve"> </w:t>
      </w:r>
      <w:r>
        <w:t>od Emitenta była stroną umowy faktoring</w:t>
      </w:r>
      <w:r w:rsidR="00832513">
        <w:t>u należności</w:t>
      </w:r>
      <w:r>
        <w:t xml:space="preserve"> z limitem 5 mln zł</w:t>
      </w:r>
      <w:r w:rsidR="00547F68">
        <w:t>,</w:t>
      </w:r>
      <w:r>
        <w:t xml:space="preserve"> zawartej z podmiotem z Grupy Pekao tj. Pekao Faktoring sp. z o.o. </w:t>
      </w:r>
    </w:p>
    <w:p w14:paraId="4BFAFA28" w14:textId="0E91ADB9" w:rsidR="00B5511D" w:rsidRDefault="00B5511D" w:rsidP="503F4E24">
      <w:pPr>
        <w:jc w:val="both"/>
        <w:rPr>
          <w:rFonts w:ascii="Calibri" w:eastAsia="Calibri" w:hAnsi="Calibri" w:cs="Calibri"/>
        </w:rPr>
      </w:pPr>
      <w:r w:rsidRPr="503F4E24">
        <w:t xml:space="preserve">Wskazany poziom finansowania udostępniony przez Bank Pekao oznacza, iż udział finansowania Banku Pekao w strukturze instrumentów finansujących działalność Grupy Kapitałowej Emitenta wynosił na </w:t>
      </w:r>
      <w:r w:rsidR="001D0465">
        <w:t>koniec</w:t>
      </w:r>
      <w:r w:rsidRPr="503F4E24">
        <w:t xml:space="preserve"> 2019 roku ok. 6%, podczas gdy trzy inne wiodące instytucje finansowe (tj. Bank Millennium, Santander Bank oraz mBank) odpowiadały w powyższej dacie za ok. 94% zewnętrznego finansowania działalności udostępnionego Spółce.</w:t>
      </w:r>
      <w:r w:rsidR="00AB6E95" w:rsidRPr="503F4E24">
        <w:t xml:space="preserve"> </w:t>
      </w:r>
      <w:r w:rsidRPr="503F4E24">
        <w:t xml:space="preserve">Emitent wskazuje, iż </w:t>
      </w:r>
      <w:r w:rsidR="00AB6E95" w:rsidRPr="503F4E24">
        <w:t xml:space="preserve">z uwagi na skalę </w:t>
      </w:r>
      <w:r w:rsidR="00547F68" w:rsidRPr="503F4E24">
        <w:t xml:space="preserve">zaangażowania Banku Pekao, </w:t>
      </w:r>
      <w:r w:rsidRPr="503F4E24">
        <w:t xml:space="preserve">informacje nt. obowiązywania </w:t>
      </w:r>
      <w:r w:rsidR="008E1704" w:rsidRPr="503F4E24">
        <w:t>współpracy</w:t>
      </w:r>
      <w:r w:rsidRPr="503F4E24">
        <w:t xml:space="preserve"> </w:t>
      </w:r>
      <w:r w:rsidR="00504774" w:rsidRPr="503F4E24">
        <w:t xml:space="preserve">z </w:t>
      </w:r>
      <w:r w:rsidR="00547F68" w:rsidRPr="503F4E24">
        <w:t xml:space="preserve">tym bankiem </w:t>
      </w:r>
      <w:r w:rsidRPr="503F4E24">
        <w:t xml:space="preserve">zamieszczane były </w:t>
      </w:r>
      <w:r w:rsidR="00C37719" w:rsidRPr="503F4E24">
        <w:t xml:space="preserve">zbiorczo w ramach </w:t>
      </w:r>
      <w:r w:rsidRPr="503F4E24">
        <w:t>kolejnych raportów okresowych</w:t>
      </w:r>
      <w:r w:rsidR="1D1EA703" w:rsidRPr="503F4E24">
        <w:t>.</w:t>
      </w:r>
    </w:p>
    <w:p w14:paraId="624448CC" w14:textId="5C722FC1" w:rsidR="00B5511D" w:rsidRPr="00B5511D" w:rsidRDefault="00B5511D" w:rsidP="009A0D8F">
      <w:pPr>
        <w:jc w:val="both"/>
      </w:pPr>
      <w:r w:rsidRPr="791EEF2B">
        <w:t xml:space="preserve">W dniu </w:t>
      </w:r>
      <w:r w:rsidR="00642881">
        <w:t>3</w:t>
      </w:r>
      <w:r w:rsidRPr="791EEF2B">
        <w:t xml:space="preserve"> grudnia 2019 roku Emitent powziął informację o podpisaniu przez drugą stronę aneksu do umowy kredytowej, zgodnie z którym dotychczasowe warunki korzystania z limitu w wysokości 10 mln zł zostały przedłużone do 20 grudnia 2019 roku. Aneks ten przewidywał, począwszy od wskazanej powyżej daty, comiesięczne obniżanie wysokości udostępnionego limitu kredytowego o wartość 1 mln zł, co wiązało się</w:t>
      </w:r>
      <w:r w:rsidR="001F75E7" w:rsidRPr="791EEF2B">
        <w:t>,</w:t>
      </w:r>
      <w:r w:rsidRPr="791EEF2B">
        <w:t xml:space="preserve"> zgodnie z aneksem</w:t>
      </w:r>
      <w:r w:rsidR="001F75E7" w:rsidRPr="791EEF2B">
        <w:t>,</w:t>
      </w:r>
      <w:r w:rsidRPr="791EEF2B">
        <w:t xml:space="preserve"> z koniecznością dokonywania comiesięcznych spłat wymagalnych kwot – w praktyce nieodnawiania części dostępnych limitów. Skutkiem powyższego było zobowiązanie do </w:t>
      </w:r>
      <w:r w:rsidR="00E05B5D">
        <w:t xml:space="preserve">częściowej </w:t>
      </w:r>
      <w:r w:rsidR="00D76DD7" w:rsidRPr="791EEF2B">
        <w:t xml:space="preserve">redukcji </w:t>
      </w:r>
      <w:r w:rsidRPr="791EEF2B">
        <w:t>zadłużenia względem Pekao w perspektywie lipca 2020 roku</w:t>
      </w:r>
      <w:r w:rsidR="00E05B5D">
        <w:t xml:space="preserve"> oraz </w:t>
      </w:r>
      <w:r w:rsidR="00B20B89">
        <w:t>wygasanie</w:t>
      </w:r>
      <w:r w:rsidR="00227850">
        <w:t xml:space="preserve"> </w:t>
      </w:r>
      <w:r w:rsidR="00C54383">
        <w:t xml:space="preserve">limitu </w:t>
      </w:r>
      <w:r w:rsidR="00EE5588">
        <w:t>gwarancji bankowych udzielanych dostawcom</w:t>
      </w:r>
      <w:r w:rsidRPr="791EEF2B">
        <w:t xml:space="preserve">. </w:t>
      </w:r>
    </w:p>
    <w:p w14:paraId="70A99E23" w14:textId="029D3D48" w:rsidR="00B5511D" w:rsidRPr="00B5511D" w:rsidRDefault="00B5511D" w:rsidP="009A0D8F">
      <w:pPr>
        <w:jc w:val="both"/>
        <w:rPr>
          <w:rFonts w:cstheme="minorHAnsi"/>
        </w:rPr>
      </w:pPr>
      <w:r w:rsidRPr="00B5511D">
        <w:rPr>
          <w:rFonts w:cstheme="minorHAnsi"/>
        </w:rPr>
        <w:t>Emitent uznawał powyższe uzgodnienia za tymczasowe</w:t>
      </w:r>
      <w:r w:rsidR="00746E4A">
        <w:rPr>
          <w:rFonts w:cstheme="minorHAnsi"/>
        </w:rPr>
        <w:t xml:space="preserve">, a ryzyko </w:t>
      </w:r>
      <w:r w:rsidR="00112458">
        <w:rPr>
          <w:rFonts w:cstheme="minorHAnsi"/>
        </w:rPr>
        <w:t xml:space="preserve">skutków obniżenia poziomu finansowania </w:t>
      </w:r>
      <w:r w:rsidR="00746E4A">
        <w:rPr>
          <w:rFonts w:cstheme="minorHAnsi"/>
        </w:rPr>
        <w:t>jako przejściowe, które uległoby mitygacji w przypadku przyjęcia pozytywnego planu finansowania działalności z trzema głównymi instytucjami finansującymi</w:t>
      </w:r>
      <w:r w:rsidR="00642881">
        <w:rPr>
          <w:rFonts w:cstheme="minorHAnsi"/>
        </w:rPr>
        <w:t>, w związku z czym podjął decyzję o opóźnieniu przekazania do wiadomości przedmiotowej informacji</w:t>
      </w:r>
      <w:r w:rsidRPr="00B5511D">
        <w:rPr>
          <w:rFonts w:cstheme="minorHAnsi"/>
        </w:rPr>
        <w:t xml:space="preserve">. </w:t>
      </w:r>
    </w:p>
    <w:p w14:paraId="54B0998A" w14:textId="5F8E0B36" w:rsidR="004320D3" w:rsidRPr="00B5511D" w:rsidRDefault="004320D3" w:rsidP="004320D3">
      <w:pPr>
        <w:jc w:val="both"/>
        <w:rPr>
          <w:rFonts w:cstheme="minorHAnsi"/>
        </w:rPr>
      </w:pPr>
      <w:r w:rsidRPr="00B5511D">
        <w:rPr>
          <w:rFonts w:cstheme="minorHAnsi"/>
        </w:rPr>
        <w:t>Informacja poufna dotycząca zdarzeń opisanych w pkt e) powyżej.</w:t>
      </w:r>
    </w:p>
    <w:p w14:paraId="7AC59F4F" w14:textId="2841F3FD" w:rsidR="004320D3" w:rsidRPr="00B5511D" w:rsidRDefault="5E3B2763" w:rsidP="004320D3">
      <w:pPr>
        <w:jc w:val="both"/>
      </w:pPr>
      <w:r>
        <w:t xml:space="preserve">Wbrew opiniom doradców prawnych oraz podatkowych Spółki prowadzących </w:t>
      </w:r>
      <w:r w:rsidR="183872F2">
        <w:t xml:space="preserve">w imieniu Emitenta </w:t>
      </w:r>
      <w:r>
        <w:t>przedmiotow</w:t>
      </w:r>
      <w:r w:rsidR="629E5E59">
        <w:t>e</w:t>
      </w:r>
      <w:r w:rsidR="183872F2">
        <w:t xml:space="preserve"> kontrol</w:t>
      </w:r>
      <w:r w:rsidR="49C97452">
        <w:t>e</w:t>
      </w:r>
      <w:r w:rsidR="2BF88A4C">
        <w:t xml:space="preserve"> podatkow</w:t>
      </w:r>
      <w:r w:rsidR="6BBC25FE">
        <w:t>e</w:t>
      </w:r>
      <w:r w:rsidR="183872F2">
        <w:t xml:space="preserve"> </w:t>
      </w:r>
      <w:r>
        <w:t xml:space="preserve">oraz </w:t>
      </w:r>
      <w:r w:rsidR="1FD6F927">
        <w:t xml:space="preserve">w </w:t>
      </w:r>
      <w:r>
        <w:t xml:space="preserve">opinii niezależnych renomowanych kancelarii prawnych, oceniających pozytywnie rokowania co do </w:t>
      </w:r>
      <w:r w:rsidR="1B376D39">
        <w:t>rozstrzygnięcia kontroli</w:t>
      </w:r>
      <w:r>
        <w:t>, jak również</w:t>
      </w:r>
      <w:r w:rsidR="1B376D39">
        <w:t>,</w:t>
      </w:r>
      <w:r>
        <w:t xml:space="preserve"> </w:t>
      </w:r>
      <w:r w:rsidR="4C7C59C2">
        <w:t xml:space="preserve">niezależnie od </w:t>
      </w:r>
      <w:r>
        <w:t xml:space="preserve"> polubown</w:t>
      </w:r>
      <w:r w:rsidR="4C7C59C2">
        <w:t>ego</w:t>
      </w:r>
      <w:r>
        <w:t xml:space="preserve"> przebieg</w:t>
      </w:r>
      <w:r w:rsidR="4C7C59C2">
        <w:t>u</w:t>
      </w:r>
      <w:r>
        <w:t xml:space="preserve">  postępowania oraz braku zachodzenia w jego toku</w:t>
      </w:r>
      <w:r w:rsidR="00C5176C">
        <w:t xml:space="preserve"> kontroli </w:t>
      </w:r>
      <w:r>
        <w:t xml:space="preserve">przesłanek do uznawania za istotne ryzyka ich </w:t>
      </w:r>
      <w:r w:rsidR="6C4BF4C7">
        <w:t>niepomyślnego</w:t>
      </w:r>
      <w:r>
        <w:t xml:space="preserve"> wyniku, w dniu 2 marca 2020 r. Emitent otrzymał dwie negatywne decyzje Naczelnika Wielkopolskiego Urzędu Celno-Skarbowego w Poznaniu </w:t>
      </w:r>
      <w:r w:rsidR="1D924298">
        <w:t>d</w:t>
      </w:r>
      <w:r>
        <w:t>elegatury w Lesznie, dotycząc</w:t>
      </w:r>
      <w:r w:rsidR="706C0153">
        <w:t>e</w:t>
      </w:r>
      <w:r>
        <w:t xml:space="preserve"> postępowań kontrolnych w zakresie podatku VAT za miesiące: marzec, kwiecień i maj 2014 roku. W decyzjach organu zakwestionowano prawidłowość rozliczeń VAT Emitenta w kontrolowanych okresach, w związku z czym </w:t>
      </w:r>
      <w:r w:rsidR="48ABF65A">
        <w:t xml:space="preserve">wydano decyzję, na podstawie której </w:t>
      </w:r>
      <w:r>
        <w:t xml:space="preserve">powstało </w:t>
      </w:r>
      <w:r w:rsidR="48ABF65A">
        <w:t xml:space="preserve">niewymagalne </w:t>
      </w:r>
      <w:r>
        <w:t>zobowiązanie w wysokości ok. 39</w:t>
      </w:r>
      <w:r w:rsidR="3E2CF633">
        <w:t>,</w:t>
      </w:r>
      <w:r>
        <w:t xml:space="preserve">2 mln PLN </w:t>
      </w:r>
      <w:r w:rsidR="00704D8A">
        <w:t>(</w:t>
      </w:r>
      <w:r>
        <w:t>plus należne odsetki</w:t>
      </w:r>
      <w:r w:rsidR="00704D8A">
        <w:t xml:space="preserve"> szacowane przez Emitenta na 18,7 mln PLN)</w:t>
      </w:r>
      <w:r>
        <w:t xml:space="preserve">. Decyzjom nie nadano rygoru natychmiastowej wykonalności, w związku z czym ich wydanie nie wpływa </w:t>
      </w:r>
      <w:r w:rsidR="00F42C52">
        <w:t xml:space="preserve">bezpośrednio </w:t>
      </w:r>
      <w:r>
        <w:t xml:space="preserve">na sytuację płynnościową </w:t>
      </w:r>
      <w:r w:rsidR="48ABF65A">
        <w:t>E</w:t>
      </w:r>
      <w:r>
        <w:t xml:space="preserve">mitenta (decyzje są neutralne pod kątem </w:t>
      </w:r>
      <w:r w:rsidR="502ACBD0">
        <w:t>przepływów pieniężnych</w:t>
      </w:r>
      <w:r>
        <w:t>). Decyzje nie są prawomocne</w:t>
      </w:r>
      <w:r w:rsidR="7952628D">
        <w:t xml:space="preserve"> </w:t>
      </w:r>
      <w:r w:rsidR="67C97EB6">
        <w:t>i wykonalne</w:t>
      </w:r>
      <w:r>
        <w:t>, a Emitent</w:t>
      </w:r>
      <w:r w:rsidR="48ABF65A">
        <w:t>,</w:t>
      </w:r>
      <w:r>
        <w:t xml:space="preserve"> zgodnie z przysługującą ścieżką odwoławczą</w:t>
      </w:r>
      <w:r w:rsidR="48ABF65A">
        <w:t>,</w:t>
      </w:r>
      <w:r>
        <w:t xml:space="preserve"> przygotowuje odwołania, które </w:t>
      </w:r>
      <w:r w:rsidR="29EA4738">
        <w:t xml:space="preserve"> </w:t>
      </w:r>
      <w:r>
        <w:t>rozpatrywać będzie Dyrektor Izby Administracji Skarbowej w Poznaniu.</w:t>
      </w:r>
    </w:p>
    <w:p w14:paraId="103B1C98" w14:textId="40A44ECC" w:rsidR="004320D3" w:rsidRPr="00B5511D" w:rsidRDefault="5E3B2763" w:rsidP="004320D3">
      <w:pPr>
        <w:jc w:val="both"/>
      </w:pPr>
      <w:r>
        <w:t xml:space="preserve">W ocenie </w:t>
      </w:r>
      <w:r w:rsidR="057562DC">
        <w:t>niezależnych</w:t>
      </w:r>
      <w:r w:rsidR="67C97EB6">
        <w:t>,</w:t>
      </w:r>
      <w:r w:rsidR="057562DC">
        <w:t xml:space="preserve"> </w:t>
      </w:r>
      <w:r>
        <w:t xml:space="preserve">wykwalifikowanych doradców prawnych, podatkowych oraz </w:t>
      </w:r>
      <w:r w:rsidR="5428F175">
        <w:t xml:space="preserve">samego </w:t>
      </w:r>
      <w:r>
        <w:t>Emitenta</w:t>
      </w:r>
      <w:r w:rsidR="5428F175">
        <w:t>,</w:t>
      </w:r>
      <w:r>
        <w:t xml:space="preserve"> treść decyzji budzi daleko idące zastrzeżenia i wątpliwości co do ich zgodności z </w:t>
      </w:r>
      <w:r w:rsidR="56AABCA0">
        <w:t>obowiązującymi przepisami prawa</w:t>
      </w:r>
      <w:r>
        <w:t>. W szczególności Emitent dostrzega liczne uchybienia w zakresie zbierania i oceny dowodów, braki w ustaleniu najistotniejszych okoliczności faktycznych</w:t>
      </w:r>
      <w:r w:rsidR="502ACBD0">
        <w:t xml:space="preserve">, </w:t>
      </w:r>
      <w:r w:rsidR="057562DC">
        <w:t>stronniczość</w:t>
      </w:r>
      <w:r>
        <w:t xml:space="preserve"> rozstrzygnięć</w:t>
      </w:r>
      <w:r w:rsidR="502ACBD0">
        <w:t xml:space="preserve"> oraz zbyt daleko idące domniemania</w:t>
      </w:r>
      <w:r w:rsidR="56AABCA0">
        <w:t xml:space="preserve"> kreowane wyłącznie pod z góry założoną tezę</w:t>
      </w:r>
      <w:r>
        <w:t>.</w:t>
      </w:r>
      <w:r w:rsidR="057562DC">
        <w:t xml:space="preserve"> W ocenie Emitenta oraz reprezentujących go doradców prawnych i podatkowych</w:t>
      </w:r>
      <w:r w:rsidR="5428F175">
        <w:t>,</w:t>
      </w:r>
      <w:r w:rsidR="057562DC">
        <w:t xml:space="preserve"> w</w:t>
      </w:r>
      <w:r>
        <w:t xml:space="preserve">szystko to daje duże prawdopodobieństwo uzyskania pozytywnych rozstrzygnięć na dalszych etapach postępowania - przed organami podatkowymi </w:t>
      </w:r>
      <w:r w:rsidR="44174705">
        <w:t xml:space="preserve">wyższej instancji </w:t>
      </w:r>
      <w:r>
        <w:t>lub sądami administracyjnymi.</w:t>
      </w:r>
      <w:r w:rsidR="057562DC">
        <w:t xml:space="preserve"> Z uwagi na powyższe, w szczególności mając na uwadze </w:t>
      </w:r>
      <w:r w:rsidR="44174705">
        <w:t xml:space="preserve">domniemaną </w:t>
      </w:r>
      <w:r w:rsidR="057562DC">
        <w:t>absurdalnoś</w:t>
      </w:r>
      <w:r w:rsidR="44174705">
        <w:t>ć</w:t>
      </w:r>
      <w:r w:rsidR="057562DC">
        <w:t xml:space="preserve"> decyzji organu skarbowego, brak wpływu na </w:t>
      </w:r>
      <w:r w:rsidR="502ACBD0">
        <w:t xml:space="preserve">przepływy pieniężne, </w:t>
      </w:r>
      <w:r w:rsidR="057562DC">
        <w:t>nieprawomocność decyzji</w:t>
      </w:r>
      <w:r w:rsidR="44174705">
        <w:t>,</w:t>
      </w:r>
      <w:r w:rsidR="057562DC">
        <w:t xml:space="preserve"> oraz mając na uwadze wysokie prawdopodobieństwo naruszenia słusznego interesu Spółki w zakresie współpracy z kooperantami, Emitent podjął decyzję o opóźnieniu zgodnie z art. 17 ust. 4 Rozporządzenia MAR przekazania przedmiotowej informacji do wiadomości publicznej.</w:t>
      </w:r>
    </w:p>
    <w:p w14:paraId="54D8DDE8" w14:textId="60233E1E" w:rsidR="004320D3" w:rsidRPr="00B5511D" w:rsidRDefault="004320D3" w:rsidP="004320D3">
      <w:pPr>
        <w:jc w:val="both"/>
        <w:rPr>
          <w:rFonts w:cstheme="minorHAnsi"/>
        </w:rPr>
      </w:pPr>
      <w:r w:rsidRPr="00B5511D">
        <w:rPr>
          <w:rFonts w:cstheme="minorHAnsi"/>
        </w:rPr>
        <w:t>Informacj</w:t>
      </w:r>
      <w:r w:rsidR="000B02A6">
        <w:rPr>
          <w:rFonts w:cstheme="minorHAnsi"/>
        </w:rPr>
        <w:t>e</w:t>
      </w:r>
      <w:r w:rsidRPr="00B5511D">
        <w:rPr>
          <w:rFonts w:cstheme="minorHAnsi"/>
        </w:rPr>
        <w:t xml:space="preserve"> poufn</w:t>
      </w:r>
      <w:r w:rsidR="000B02A6">
        <w:rPr>
          <w:rFonts w:cstheme="minorHAnsi"/>
        </w:rPr>
        <w:t>e</w:t>
      </w:r>
      <w:r w:rsidRPr="00B5511D">
        <w:rPr>
          <w:rFonts w:cstheme="minorHAnsi"/>
        </w:rPr>
        <w:t xml:space="preserve"> dotycząc</w:t>
      </w:r>
      <w:r w:rsidR="000B02A6">
        <w:rPr>
          <w:rFonts w:cstheme="minorHAnsi"/>
        </w:rPr>
        <w:t>e</w:t>
      </w:r>
      <w:r w:rsidRPr="00B5511D">
        <w:rPr>
          <w:rFonts w:cstheme="minorHAnsi"/>
        </w:rPr>
        <w:t xml:space="preserve"> zdarzeń opisanych w pkt f) </w:t>
      </w:r>
      <w:r w:rsidR="00F21EBA" w:rsidRPr="00B5511D">
        <w:rPr>
          <w:rFonts w:cstheme="minorHAnsi"/>
        </w:rPr>
        <w:t xml:space="preserve">i g) </w:t>
      </w:r>
      <w:r w:rsidRPr="00B5511D">
        <w:rPr>
          <w:rFonts w:cstheme="minorHAnsi"/>
        </w:rPr>
        <w:t>powyżej.</w:t>
      </w:r>
    </w:p>
    <w:p w14:paraId="1F2DFBA1" w14:textId="7A6FCC49" w:rsidR="006925B2" w:rsidRPr="00B5511D" w:rsidRDefault="007C3384" w:rsidP="006925B2">
      <w:pPr>
        <w:jc w:val="both"/>
      </w:pPr>
      <w:r>
        <w:t>Bezpośrednio i wyłącznie w</w:t>
      </w:r>
      <w:r w:rsidR="006925B2" w:rsidRPr="017FF5AE">
        <w:t xml:space="preserve"> wyniku wydan</w:t>
      </w:r>
      <w:r w:rsidR="00C5176C">
        <w:t>ia</w:t>
      </w:r>
      <w:r w:rsidR="006925B2" w:rsidRPr="017FF5AE">
        <w:t xml:space="preserve"> negatywnych decyzji podatkowych, nie mając pewności co do zachowania instytucji finansujących działalność Spółki</w:t>
      </w:r>
      <w:r w:rsidR="00F21EBA" w:rsidRPr="017FF5AE">
        <w:t xml:space="preserve"> w świetle nieoczekiwanego wyniku postepowań</w:t>
      </w:r>
      <w:r w:rsidR="006925B2" w:rsidRPr="017FF5AE">
        <w:t xml:space="preserve">, </w:t>
      </w:r>
      <w:r w:rsidR="7D84E004" w:rsidRPr="017FF5AE">
        <w:t xml:space="preserve">a </w:t>
      </w:r>
      <w:r w:rsidR="7D84E004" w:rsidRPr="6358F0AA">
        <w:t xml:space="preserve">przez to </w:t>
      </w:r>
      <w:r>
        <w:t xml:space="preserve">pośrednio </w:t>
      </w:r>
      <w:r w:rsidR="7D84E004" w:rsidRPr="5D7740C3">
        <w:t xml:space="preserve">identyfikując </w:t>
      </w:r>
      <w:r w:rsidR="7D84E004" w:rsidRPr="6943827D">
        <w:t xml:space="preserve">ryzyko </w:t>
      </w:r>
      <w:r w:rsidR="7D84E004" w:rsidRPr="641623EB">
        <w:t xml:space="preserve">stabilności </w:t>
      </w:r>
      <w:r w:rsidR="44E62D43">
        <w:t>fina</w:t>
      </w:r>
      <w:r w:rsidR="5758F2DF">
        <w:t>n</w:t>
      </w:r>
      <w:r w:rsidR="44E62D43">
        <w:t>sowania</w:t>
      </w:r>
      <w:r w:rsidR="7D84E004" w:rsidRPr="15817136">
        <w:t xml:space="preserve"> </w:t>
      </w:r>
      <w:r w:rsidR="265FED0D" w:rsidRPr="124450BA">
        <w:t xml:space="preserve">oraz </w:t>
      </w:r>
      <w:r w:rsidR="006925B2" w:rsidRPr="017FF5AE">
        <w:t>istotnego zmniejszenia limitów kredytu kupieckiego przyznawanych przez dostawców</w:t>
      </w:r>
      <w:r w:rsidR="005347F7">
        <w:t xml:space="preserve"> Spółki</w:t>
      </w:r>
      <w:r w:rsidR="00411CA6">
        <w:t xml:space="preserve"> oraz pomimo poprawy wyników finansowych w III kwartale roku obrotowego 2019/2020</w:t>
      </w:r>
      <w:r w:rsidR="006925B2" w:rsidRPr="017FF5AE">
        <w:t>, Emitent oraz jego spółka zależna - Komputronik Biznes Sp. z o.o., mając na celu ochronę wierzycieli</w:t>
      </w:r>
      <w:r w:rsidR="005347F7">
        <w:t xml:space="preserve">, pracowników </w:t>
      </w:r>
      <w:r w:rsidR="006925B2" w:rsidRPr="017FF5AE">
        <w:t xml:space="preserve">i majątku spółek, </w:t>
      </w:r>
      <w:r w:rsidR="00746E4A" w:rsidRPr="017FF5AE">
        <w:t xml:space="preserve">ostrożnościowo </w:t>
      </w:r>
      <w:r w:rsidR="006925B2" w:rsidRPr="017FF5AE">
        <w:t xml:space="preserve">złożyły w dniu 2 marca 2020 roku w Sądzie Rejonowym Poznań Stare Miasto w Poznaniu, Wydział XI Gospodarczy ds. Upadłościowych i Restrukturyzacyjnych, </w:t>
      </w:r>
      <w:r w:rsidR="008E1704" w:rsidRPr="017FF5AE">
        <w:t xml:space="preserve">wnioski </w:t>
      </w:r>
      <w:r w:rsidR="006925B2" w:rsidRPr="017FF5AE">
        <w:t xml:space="preserve">o otwarcie postępowania sanacyjnego wobec obu podmiotów, w oparciu o przepisy ustawy Prawo restrukturyzacyjne. Do dnia dzisiejszego </w:t>
      </w:r>
      <w:r w:rsidR="00595839">
        <w:t xml:space="preserve">Emitent nie posiada informacji, czy </w:t>
      </w:r>
      <w:r w:rsidR="006925B2" w:rsidRPr="017FF5AE">
        <w:t>wnios</w:t>
      </w:r>
      <w:r w:rsidR="008E1704" w:rsidRPr="017FF5AE">
        <w:t>ki</w:t>
      </w:r>
      <w:r w:rsidR="006925B2" w:rsidRPr="017FF5AE">
        <w:t xml:space="preserve"> </w:t>
      </w:r>
      <w:r w:rsidR="00595839">
        <w:t xml:space="preserve">te </w:t>
      </w:r>
      <w:r w:rsidR="006925B2" w:rsidRPr="017FF5AE">
        <w:t>został</w:t>
      </w:r>
      <w:r w:rsidR="008E1704" w:rsidRPr="017FF5AE">
        <w:t>y</w:t>
      </w:r>
      <w:r w:rsidR="006925B2" w:rsidRPr="017FF5AE">
        <w:t xml:space="preserve"> rozpatrzon</w:t>
      </w:r>
      <w:r w:rsidR="008E1704" w:rsidRPr="017FF5AE">
        <w:t>e</w:t>
      </w:r>
      <w:r w:rsidR="006925B2" w:rsidRPr="017FF5AE">
        <w:t xml:space="preserve">. </w:t>
      </w:r>
    </w:p>
    <w:p w14:paraId="358F3718" w14:textId="77777777" w:rsidR="00F21EBA" w:rsidRPr="00B5511D" w:rsidRDefault="00F21EBA" w:rsidP="00F21EBA">
      <w:pPr>
        <w:spacing w:after="0"/>
        <w:jc w:val="both"/>
        <w:rPr>
          <w:rFonts w:eastAsia="Calibri" w:cstheme="minorHAnsi"/>
          <w:color w:val="000000" w:themeColor="text1"/>
        </w:rPr>
      </w:pPr>
      <w:r w:rsidRPr="00B5511D">
        <w:rPr>
          <w:rFonts w:eastAsia="Calibri" w:cstheme="minorHAnsi"/>
          <w:color w:val="000000" w:themeColor="text1"/>
        </w:rPr>
        <w:t>Wraz z wnioskiem o otwarcie postępowania sanacyjnego, Emitent złożył wstępny plan restrukturyzacyjny, w którym m.in. przewidział wdrożenie środków restrukturyzacyjnych w postaci:</w:t>
      </w:r>
    </w:p>
    <w:p w14:paraId="52415EDF" w14:textId="533CC8C9" w:rsidR="00F21EBA" w:rsidRPr="00B5511D" w:rsidRDefault="00411CA6" w:rsidP="00F21EBA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S</w:t>
      </w:r>
      <w:r w:rsidR="00F21EBA" w:rsidRPr="00B5511D">
        <w:rPr>
          <w:rFonts w:eastAsia="Calibri" w:cstheme="minorHAnsi"/>
          <w:color w:val="000000" w:themeColor="text1"/>
        </w:rPr>
        <w:t>króceni</w:t>
      </w:r>
      <w:r w:rsidR="005D5469" w:rsidRPr="00B5511D">
        <w:rPr>
          <w:rFonts w:eastAsia="Calibri" w:cstheme="minorHAnsi"/>
          <w:color w:val="000000" w:themeColor="text1"/>
        </w:rPr>
        <w:t>a</w:t>
      </w:r>
      <w:r w:rsidR="00F21EBA" w:rsidRPr="00B5511D">
        <w:rPr>
          <w:rFonts w:eastAsia="Calibri" w:cstheme="minorHAnsi"/>
          <w:color w:val="000000" w:themeColor="text1"/>
        </w:rPr>
        <w:t xml:space="preserve"> czasu rotacji należności,</w:t>
      </w:r>
    </w:p>
    <w:p w14:paraId="30E171F8" w14:textId="4FB84A0A" w:rsidR="00F21EBA" w:rsidRPr="00B5511D" w:rsidRDefault="00411CA6" w:rsidP="00F21EBA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M</w:t>
      </w:r>
      <w:r w:rsidR="00F21EBA" w:rsidRPr="00B5511D">
        <w:rPr>
          <w:rFonts w:eastAsia="Calibri" w:cstheme="minorHAnsi"/>
          <w:color w:val="000000" w:themeColor="text1"/>
        </w:rPr>
        <w:t>odyfikacj</w:t>
      </w:r>
      <w:r w:rsidR="005D5469" w:rsidRPr="00B5511D">
        <w:rPr>
          <w:rFonts w:eastAsia="Calibri" w:cstheme="minorHAnsi"/>
          <w:color w:val="000000" w:themeColor="text1"/>
        </w:rPr>
        <w:t>i</w:t>
      </w:r>
      <w:r w:rsidR="00F21EBA" w:rsidRPr="00B5511D">
        <w:rPr>
          <w:rFonts w:eastAsia="Calibri" w:cstheme="minorHAnsi"/>
          <w:color w:val="000000" w:themeColor="text1"/>
        </w:rPr>
        <w:t xml:space="preserve"> limitów ubezpieczenia należności dla dostawców Emitenta,</w:t>
      </w:r>
    </w:p>
    <w:p w14:paraId="53DE1295" w14:textId="6B97B15F" w:rsidR="00F21EBA" w:rsidRPr="00B5511D" w:rsidRDefault="00411CA6" w:rsidP="00F21EBA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Z</w:t>
      </w:r>
      <w:r w:rsidR="00F21EBA" w:rsidRPr="00B5511D">
        <w:rPr>
          <w:rFonts w:eastAsia="Calibri" w:cstheme="minorHAnsi"/>
          <w:color w:val="000000" w:themeColor="text1"/>
        </w:rPr>
        <w:t>większani</w:t>
      </w:r>
      <w:r w:rsidR="005D5469" w:rsidRPr="00B5511D">
        <w:rPr>
          <w:rFonts w:eastAsia="Calibri" w:cstheme="minorHAnsi"/>
          <w:color w:val="000000" w:themeColor="text1"/>
        </w:rPr>
        <w:t>a</w:t>
      </w:r>
      <w:r w:rsidR="00F21EBA" w:rsidRPr="00B5511D">
        <w:rPr>
          <w:rFonts w:eastAsia="Calibri" w:cstheme="minorHAnsi"/>
          <w:color w:val="000000" w:themeColor="text1"/>
        </w:rPr>
        <w:t xml:space="preserve"> udziału najbardziej rentownych kanałów sprzedaży w całkowitej sprzedaży w połączeniu z przebudową oferty handlowej (koncentracja na strategicznych kategoriach produktowych),</w:t>
      </w:r>
    </w:p>
    <w:p w14:paraId="097BAFA8" w14:textId="015535ED" w:rsidR="00F21EBA" w:rsidRPr="00B5511D" w:rsidRDefault="00411CA6" w:rsidP="00F21EBA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O</w:t>
      </w:r>
      <w:r w:rsidR="00F21EBA" w:rsidRPr="00B5511D">
        <w:rPr>
          <w:rFonts w:eastAsia="Calibri" w:cstheme="minorHAnsi"/>
          <w:color w:val="000000" w:themeColor="text1"/>
        </w:rPr>
        <w:t>dstąpieni</w:t>
      </w:r>
      <w:r w:rsidR="005D5469" w:rsidRPr="00B5511D">
        <w:rPr>
          <w:rFonts w:eastAsia="Calibri" w:cstheme="minorHAnsi"/>
          <w:color w:val="000000" w:themeColor="text1"/>
        </w:rPr>
        <w:t>a</w:t>
      </w:r>
      <w:r w:rsidR="00F21EBA" w:rsidRPr="00B5511D">
        <w:rPr>
          <w:rFonts w:eastAsia="Calibri" w:cstheme="minorHAnsi"/>
          <w:color w:val="000000" w:themeColor="text1"/>
        </w:rPr>
        <w:t xml:space="preserve"> od wybranych umów w celu zmniejszenia stałych kosztów związanych z działalnością operacyjną Emitenta,</w:t>
      </w:r>
    </w:p>
    <w:p w14:paraId="690E651E" w14:textId="24737E95" w:rsidR="00F21EBA" w:rsidRPr="00B5511D" w:rsidRDefault="00411CA6" w:rsidP="00F21EBA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</w:t>
      </w:r>
      <w:r w:rsidR="00F21EBA" w:rsidRPr="00B5511D">
        <w:rPr>
          <w:rFonts w:eastAsia="Calibri" w:cstheme="minorHAnsi"/>
          <w:color w:val="000000" w:themeColor="text1"/>
        </w:rPr>
        <w:t>estrukturyzacj</w:t>
      </w:r>
      <w:r w:rsidR="005D5469" w:rsidRPr="00B5511D">
        <w:rPr>
          <w:rFonts w:eastAsia="Calibri" w:cstheme="minorHAnsi"/>
          <w:color w:val="000000" w:themeColor="text1"/>
        </w:rPr>
        <w:t>i</w:t>
      </w:r>
      <w:r w:rsidR="00F21EBA" w:rsidRPr="00B5511D">
        <w:rPr>
          <w:rFonts w:eastAsia="Calibri" w:cstheme="minorHAnsi"/>
          <w:color w:val="000000" w:themeColor="text1"/>
        </w:rPr>
        <w:t xml:space="preserve"> zobowiązań Emitenta poprzez:</w:t>
      </w:r>
    </w:p>
    <w:p w14:paraId="684A2CBA" w14:textId="77777777" w:rsidR="00F21EBA" w:rsidRPr="00B5511D" w:rsidRDefault="00F21EBA" w:rsidP="00F21EBA">
      <w:pPr>
        <w:pStyle w:val="ListParagraph"/>
        <w:numPr>
          <w:ilvl w:val="1"/>
          <w:numId w:val="4"/>
        </w:numPr>
        <w:spacing w:after="0"/>
        <w:ind w:left="567" w:hanging="284"/>
        <w:jc w:val="both"/>
        <w:rPr>
          <w:rFonts w:eastAsia="Calibri" w:cstheme="minorHAnsi"/>
          <w:color w:val="000000" w:themeColor="text1"/>
        </w:rPr>
      </w:pPr>
      <w:r w:rsidRPr="00B5511D">
        <w:rPr>
          <w:rFonts w:eastAsia="Calibri" w:cstheme="minorHAnsi"/>
          <w:color w:val="000000" w:themeColor="text1"/>
        </w:rPr>
        <w:t>umorzenie całości odsetek od zaległych wierzytelności należnych wierzycielom do dnia otwarcia postępowania sanacyjnego oraz po tym dniu,</w:t>
      </w:r>
    </w:p>
    <w:p w14:paraId="00A2CCF1" w14:textId="77777777" w:rsidR="00F21EBA" w:rsidRPr="00B5511D" w:rsidRDefault="00F21EBA" w:rsidP="00F21EBA">
      <w:pPr>
        <w:pStyle w:val="ListParagraph"/>
        <w:numPr>
          <w:ilvl w:val="1"/>
          <w:numId w:val="4"/>
        </w:numPr>
        <w:spacing w:after="0"/>
        <w:ind w:left="567" w:hanging="284"/>
        <w:jc w:val="both"/>
        <w:rPr>
          <w:rFonts w:eastAsia="Calibri" w:cstheme="minorHAnsi"/>
          <w:color w:val="000000" w:themeColor="text1"/>
        </w:rPr>
      </w:pPr>
      <w:r w:rsidRPr="00B5511D">
        <w:rPr>
          <w:rFonts w:eastAsia="Calibri" w:cstheme="minorHAnsi"/>
          <w:color w:val="000000" w:themeColor="text1"/>
        </w:rPr>
        <w:t>umorzenie wysokości wierzytelności głównych o 40% i ich spłata w kwartalnych ratach,</w:t>
      </w:r>
    </w:p>
    <w:p w14:paraId="009CE636" w14:textId="77777777" w:rsidR="00F21EBA" w:rsidRPr="00B5511D" w:rsidRDefault="00F21EBA" w:rsidP="00F21EBA">
      <w:pPr>
        <w:pStyle w:val="ListParagraph"/>
        <w:numPr>
          <w:ilvl w:val="1"/>
          <w:numId w:val="4"/>
        </w:numPr>
        <w:spacing w:after="0"/>
        <w:ind w:left="567" w:hanging="284"/>
        <w:jc w:val="both"/>
        <w:rPr>
          <w:rFonts w:eastAsia="Calibri" w:cstheme="minorHAnsi"/>
          <w:color w:val="000000" w:themeColor="text1"/>
        </w:rPr>
      </w:pPr>
      <w:r w:rsidRPr="00B5511D">
        <w:rPr>
          <w:rFonts w:eastAsia="Calibri" w:cstheme="minorHAnsi"/>
          <w:color w:val="000000" w:themeColor="text1"/>
        </w:rPr>
        <w:t>umorzenie całości pozostałych wierzytelności ubocznych (koszty, opłaty, kary umowne itp.) od wszystkich rodzajów długów,</w:t>
      </w:r>
    </w:p>
    <w:p w14:paraId="1E3862FD" w14:textId="13EE07AF" w:rsidR="00F21EBA" w:rsidRPr="00B5511D" w:rsidRDefault="00411CA6" w:rsidP="00F21EBA">
      <w:pPr>
        <w:pStyle w:val="ListParagraph"/>
        <w:numPr>
          <w:ilvl w:val="0"/>
          <w:numId w:val="4"/>
        </w:numPr>
        <w:spacing w:after="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</w:t>
      </w:r>
      <w:r w:rsidR="00F21EBA" w:rsidRPr="00B5511D">
        <w:rPr>
          <w:rFonts w:eastAsia="Calibri" w:cstheme="minorHAnsi"/>
          <w:color w:val="000000" w:themeColor="text1"/>
        </w:rPr>
        <w:t>edukcj</w:t>
      </w:r>
      <w:r w:rsidR="005D5469" w:rsidRPr="00B5511D">
        <w:rPr>
          <w:rFonts w:eastAsia="Calibri" w:cstheme="minorHAnsi"/>
          <w:color w:val="000000" w:themeColor="text1"/>
        </w:rPr>
        <w:t>i</w:t>
      </w:r>
      <w:r w:rsidR="00F21EBA" w:rsidRPr="00B5511D">
        <w:rPr>
          <w:rFonts w:eastAsia="Calibri" w:cstheme="minorHAnsi"/>
          <w:color w:val="000000" w:themeColor="text1"/>
        </w:rPr>
        <w:t xml:space="preserve"> zatrudnienia na poziomie około 20%,</w:t>
      </w:r>
    </w:p>
    <w:p w14:paraId="743A39D1" w14:textId="59D6D7BD" w:rsidR="00F21EBA" w:rsidRPr="00B5511D" w:rsidRDefault="00411CA6" w:rsidP="00F21EBA">
      <w:pPr>
        <w:pStyle w:val="ListParagraph"/>
        <w:numPr>
          <w:ilvl w:val="0"/>
          <w:numId w:val="4"/>
        </w:numPr>
        <w:spacing w:after="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</w:t>
      </w:r>
      <w:r w:rsidR="00F21EBA" w:rsidRPr="00B5511D">
        <w:rPr>
          <w:rFonts w:eastAsia="Calibri" w:cstheme="minorHAnsi"/>
          <w:color w:val="000000" w:themeColor="text1"/>
        </w:rPr>
        <w:t>edukcj</w:t>
      </w:r>
      <w:r w:rsidR="005D5469" w:rsidRPr="00B5511D">
        <w:rPr>
          <w:rFonts w:eastAsia="Calibri" w:cstheme="minorHAnsi"/>
          <w:color w:val="000000" w:themeColor="text1"/>
        </w:rPr>
        <w:t>i</w:t>
      </w:r>
      <w:r w:rsidR="00F21EBA" w:rsidRPr="00B5511D">
        <w:rPr>
          <w:rFonts w:eastAsia="Calibri" w:cstheme="minorHAnsi"/>
          <w:color w:val="000000" w:themeColor="text1"/>
        </w:rPr>
        <w:t xml:space="preserve"> pozostałych kosztów prowadzonej działalności gospodarczej w postaci:</w:t>
      </w:r>
    </w:p>
    <w:p w14:paraId="78C8F76D" w14:textId="221F4C26" w:rsidR="00F21EBA" w:rsidRPr="00B5511D" w:rsidRDefault="00F21EBA" w:rsidP="00F21EBA">
      <w:pPr>
        <w:pStyle w:val="ListParagraph"/>
        <w:numPr>
          <w:ilvl w:val="1"/>
          <w:numId w:val="4"/>
        </w:numPr>
        <w:spacing w:after="0"/>
        <w:ind w:left="567" w:hanging="283"/>
        <w:jc w:val="both"/>
        <w:rPr>
          <w:rFonts w:eastAsia="Calibri"/>
          <w:color w:val="000000" w:themeColor="text1"/>
        </w:rPr>
      </w:pPr>
      <w:r w:rsidRPr="642702B1">
        <w:rPr>
          <w:rFonts w:eastAsia="Calibri"/>
          <w:color w:val="000000" w:themeColor="text1"/>
        </w:rPr>
        <w:t>zmniejszenia wykorzystywanej powierzchni magazynowej wynajmowanej (wydzierżawianej) ,</w:t>
      </w:r>
    </w:p>
    <w:p w14:paraId="50C919CA" w14:textId="5C614282" w:rsidR="00F21EBA" w:rsidRPr="00B5511D" w:rsidRDefault="00F21EBA" w:rsidP="00F21EBA">
      <w:pPr>
        <w:pStyle w:val="ListParagraph"/>
        <w:numPr>
          <w:ilvl w:val="1"/>
          <w:numId w:val="4"/>
        </w:numPr>
        <w:spacing w:after="0"/>
        <w:ind w:left="567" w:hanging="283"/>
        <w:jc w:val="both"/>
        <w:rPr>
          <w:rFonts w:eastAsia="Calibri"/>
          <w:color w:val="000000" w:themeColor="text1"/>
        </w:rPr>
      </w:pPr>
      <w:r w:rsidRPr="6314BA8C">
        <w:rPr>
          <w:rFonts w:eastAsia="Calibri"/>
          <w:color w:val="000000" w:themeColor="text1"/>
        </w:rPr>
        <w:t xml:space="preserve">oddania w najem (dzierżawę) </w:t>
      </w:r>
      <w:r w:rsidR="05BE963B" w:rsidRPr="6314BA8C">
        <w:rPr>
          <w:rFonts w:eastAsia="Calibri"/>
          <w:color w:val="000000" w:themeColor="text1"/>
        </w:rPr>
        <w:t xml:space="preserve">części </w:t>
      </w:r>
      <w:r w:rsidRPr="6314BA8C">
        <w:rPr>
          <w:rFonts w:eastAsia="Calibri"/>
          <w:color w:val="000000" w:themeColor="text1"/>
        </w:rPr>
        <w:t>powierzchni własnych,</w:t>
      </w:r>
    </w:p>
    <w:p w14:paraId="4DEF4AB3" w14:textId="2DFD071B" w:rsidR="00F21EBA" w:rsidRPr="00B5511D" w:rsidRDefault="00F21EBA" w:rsidP="00F21EBA">
      <w:pPr>
        <w:pStyle w:val="ListParagraph"/>
        <w:numPr>
          <w:ilvl w:val="1"/>
          <w:numId w:val="4"/>
        </w:numPr>
        <w:spacing w:after="0"/>
        <w:ind w:left="567" w:hanging="283"/>
        <w:jc w:val="both"/>
        <w:rPr>
          <w:rFonts w:eastAsia="Calibri"/>
          <w:color w:val="000000" w:themeColor="text1"/>
        </w:rPr>
      </w:pPr>
      <w:r w:rsidRPr="7796896C">
        <w:rPr>
          <w:rFonts w:eastAsia="Calibri"/>
          <w:color w:val="000000" w:themeColor="text1"/>
        </w:rPr>
        <w:t>redukcji funduszy wynagrodzeń</w:t>
      </w:r>
      <w:r w:rsidR="00C03DD7" w:rsidRPr="7796896C">
        <w:rPr>
          <w:rFonts w:eastAsia="Calibri"/>
          <w:color w:val="000000" w:themeColor="text1"/>
        </w:rPr>
        <w:t>,</w:t>
      </w:r>
    </w:p>
    <w:p w14:paraId="70119994" w14:textId="77777777" w:rsidR="00F21EBA" w:rsidRPr="00B5511D" w:rsidRDefault="00F21EBA" w:rsidP="00F21EBA">
      <w:pPr>
        <w:pStyle w:val="ListParagraph"/>
        <w:numPr>
          <w:ilvl w:val="1"/>
          <w:numId w:val="4"/>
        </w:numPr>
        <w:spacing w:after="0"/>
        <w:ind w:left="567" w:hanging="283"/>
        <w:jc w:val="both"/>
        <w:rPr>
          <w:rFonts w:eastAsia="Calibri" w:cstheme="minorHAnsi"/>
          <w:color w:val="000000" w:themeColor="text1"/>
        </w:rPr>
      </w:pPr>
      <w:r w:rsidRPr="00B5511D">
        <w:rPr>
          <w:rFonts w:eastAsia="Calibri" w:cstheme="minorHAnsi"/>
          <w:color w:val="000000" w:themeColor="text1"/>
        </w:rPr>
        <w:t>ograniczenia kosztów reklamy i marketingu,</w:t>
      </w:r>
    </w:p>
    <w:p w14:paraId="6E3DB9D3" w14:textId="7EC5ACB7" w:rsidR="00F21EBA" w:rsidRPr="00B5511D" w:rsidRDefault="00F21EBA" w:rsidP="00F21EBA">
      <w:pPr>
        <w:pStyle w:val="ListParagraph"/>
        <w:numPr>
          <w:ilvl w:val="1"/>
          <w:numId w:val="4"/>
        </w:numPr>
        <w:spacing w:after="0"/>
        <w:ind w:left="567" w:hanging="283"/>
        <w:jc w:val="both"/>
        <w:rPr>
          <w:rFonts w:eastAsia="Calibri"/>
          <w:color w:val="000000" w:themeColor="text1"/>
        </w:rPr>
      </w:pPr>
      <w:r w:rsidRPr="4D256F9A">
        <w:rPr>
          <w:rFonts w:eastAsia="Calibri"/>
          <w:color w:val="000000" w:themeColor="text1"/>
        </w:rPr>
        <w:t xml:space="preserve">ograniczenia </w:t>
      </w:r>
      <w:r w:rsidR="5FA6AE57" w:rsidRPr="4D256F9A">
        <w:rPr>
          <w:rFonts w:eastAsia="Calibri"/>
          <w:color w:val="000000" w:themeColor="text1"/>
        </w:rPr>
        <w:t>kosztów związanych z funkcjonowaniem sieci agencyjnej</w:t>
      </w:r>
      <w:r w:rsidRPr="4D256F9A">
        <w:rPr>
          <w:rFonts w:eastAsia="Calibri"/>
          <w:color w:val="000000" w:themeColor="text1"/>
        </w:rPr>
        <w:t>.</w:t>
      </w:r>
    </w:p>
    <w:p w14:paraId="510EC59E" w14:textId="77777777" w:rsidR="00F21EBA" w:rsidRPr="00B5511D" w:rsidRDefault="00F21EBA" w:rsidP="00F21EBA">
      <w:pPr>
        <w:spacing w:after="0"/>
        <w:jc w:val="both"/>
        <w:rPr>
          <w:rFonts w:eastAsia="Calibri" w:cstheme="minorHAnsi"/>
          <w:color w:val="000000" w:themeColor="text1"/>
        </w:rPr>
      </w:pPr>
    </w:p>
    <w:p w14:paraId="3EC022E1" w14:textId="77777777" w:rsidR="00F21EBA" w:rsidRPr="00B5511D" w:rsidRDefault="00F21EBA" w:rsidP="00F21EBA">
      <w:pPr>
        <w:spacing w:after="0"/>
        <w:jc w:val="both"/>
        <w:rPr>
          <w:rFonts w:eastAsia="Calibri" w:cstheme="minorHAnsi"/>
          <w:color w:val="000000" w:themeColor="text1"/>
        </w:rPr>
      </w:pPr>
      <w:r w:rsidRPr="00B5511D">
        <w:rPr>
          <w:rFonts w:eastAsia="Calibri" w:cstheme="minorHAnsi"/>
          <w:color w:val="000000" w:themeColor="text1"/>
        </w:rPr>
        <w:t>Tożsame z Emitentem środki restrukturyzacyjne w ramach wstępnego planu restrukturyzacyjnego zaproponował Komputronik Biznes Sp. z o.o.</w:t>
      </w:r>
    </w:p>
    <w:p w14:paraId="6C06DB77" w14:textId="77777777" w:rsidR="00F21EBA" w:rsidRPr="00B5511D" w:rsidRDefault="00F21EBA" w:rsidP="00F21EBA">
      <w:pPr>
        <w:spacing w:after="0"/>
        <w:jc w:val="both"/>
        <w:rPr>
          <w:rFonts w:eastAsia="Calibri" w:cstheme="minorHAnsi"/>
          <w:color w:val="000000" w:themeColor="text1"/>
        </w:rPr>
      </w:pPr>
    </w:p>
    <w:p w14:paraId="5E1E5A3E" w14:textId="08629EE6" w:rsidR="00F21EBA" w:rsidRPr="00B5511D" w:rsidRDefault="00F21EBA" w:rsidP="00F21EBA">
      <w:pPr>
        <w:spacing w:after="0"/>
        <w:jc w:val="both"/>
        <w:rPr>
          <w:rFonts w:eastAsia="Calibri" w:cstheme="minorHAnsi"/>
          <w:color w:val="000000" w:themeColor="text1"/>
        </w:rPr>
      </w:pPr>
      <w:r w:rsidRPr="00B5511D">
        <w:rPr>
          <w:rFonts w:eastAsia="Calibri" w:cstheme="minorHAnsi"/>
          <w:color w:val="000000" w:themeColor="text1"/>
        </w:rPr>
        <w:t xml:space="preserve">Wszczęcie postępowania sanacyjnego wobec Emitenta, jak również spółki Komputronik Biznes Sp. z o.o., miało na celu uniknięcie </w:t>
      </w:r>
      <w:r w:rsidR="00411CA6">
        <w:rPr>
          <w:rFonts w:eastAsia="Calibri" w:cstheme="minorHAnsi"/>
          <w:color w:val="000000" w:themeColor="text1"/>
        </w:rPr>
        <w:t xml:space="preserve">potencjalnej </w:t>
      </w:r>
      <w:r w:rsidRPr="00B5511D">
        <w:rPr>
          <w:rFonts w:eastAsia="Calibri" w:cstheme="minorHAnsi"/>
          <w:color w:val="000000" w:themeColor="text1"/>
        </w:rPr>
        <w:t>niewypłacalności obu najistotniejszych podmiotów Grupy Kapitałowej Komputronik (w świetle braku pewności co do zachowania się instytucji finansujących na skutek wydania negatywnych decyzji podatkowych), tak</w:t>
      </w:r>
      <w:r w:rsidR="0074012F">
        <w:rPr>
          <w:rFonts w:eastAsia="Calibri" w:cstheme="minorHAnsi"/>
          <w:color w:val="000000" w:themeColor="text1"/>
        </w:rPr>
        <w:t>,</w:t>
      </w:r>
      <w:r w:rsidRPr="00B5511D">
        <w:rPr>
          <w:rFonts w:eastAsia="Calibri" w:cstheme="minorHAnsi"/>
          <w:color w:val="000000" w:themeColor="text1"/>
        </w:rPr>
        <w:t xml:space="preserve"> aby uzyskać możliwość zrestrukturyzowania </w:t>
      </w:r>
      <w:r w:rsidR="00446BC6">
        <w:rPr>
          <w:rFonts w:eastAsia="Calibri" w:cstheme="minorHAnsi"/>
          <w:color w:val="000000" w:themeColor="text1"/>
        </w:rPr>
        <w:t xml:space="preserve">i uzyskania samodzielności finansowania </w:t>
      </w:r>
      <w:r w:rsidRPr="00B5511D">
        <w:rPr>
          <w:rFonts w:eastAsia="Calibri" w:cstheme="minorHAnsi"/>
          <w:color w:val="000000" w:themeColor="text1"/>
        </w:rPr>
        <w:t>obu podmiotów, a także wypracowania propozycji układowych z wierzycielami.</w:t>
      </w:r>
    </w:p>
    <w:p w14:paraId="4D78D9A9" w14:textId="77777777" w:rsidR="00F21EBA" w:rsidRPr="00B5511D" w:rsidRDefault="00F21EBA" w:rsidP="00F21EBA">
      <w:pPr>
        <w:spacing w:after="0"/>
        <w:jc w:val="both"/>
        <w:rPr>
          <w:rFonts w:cstheme="minorHAnsi"/>
        </w:rPr>
      </w:pPr>
    </w:p>
    <w:p w14:paraId="3042F9C5" w14:textId="2AFE6C95" w:rsidR="00F21EBA" w:rsidRDefault="00F21EBA" w:rsidP="00F21EBA">
      <w:pPr>
        <w:spacing w:after="0"/>
        <w:jc w:val="both"/>
        <w:rPr>
          <w:rFonts w:eastAsia="Calibri"/>
          <w:color w:val="000000" w:themeColor="text1"/>
        </w:rPr>
      </w:pPr>
      <w:r w:rsidRPr="55C6400D">
        <w:rPr>
          <w:rFonts w:eastAsia="Calibri"/>
          <w:color w:val="000000" w:themeColor="text1"/>
        </w:rPr>
        <w:t xml:space="preserve">Emitent zamierza prowadzić możliwie niezachwianą działalność operacyjną – szczególnie w zakresie obsługi klientów </w:t>
      </w:r>
      <w:r w:rsidR="00446BC6" w:rsidRPr="55C6400D">
        <w:rPr>
          <w:rFonts w:eastAsia="Calibri"/>
          <w:color w:val="000000" w:themeColor="text1"/>
        </w:rPr>
        <w:t xml:space="preserve">w kluczowych kanałach sprzedaży </w:t>
      </w:r>
      <w:r w:rsidRPr="55C6400D">
        <w:rPr>
          <w:rFonts w:eastAsia="Calibri"/>
          <w:color w:val="000000" w:themeColor="text1"/>
        </w:rPr>
        <w:t xml:space="preserve">- do czasu uzyskania decyzji podatkowej uchylającej (bądź zmieniającej) decyzje organu I instancji przez Dyrektora Izby Administracji Skarbowej w Poznaniu. W opinii doradców podatkowych Emitenta może to nastąpić w terminie od 6 do 12 miesięcy. Uchylenie decyzji byłoby istotną przesłanką powodującą </w:t>
      </w:r>
      <w:r w:rsidR="00446BC6" w:rsidRPr="55C6400D">
        <w:rPr>
          <w:rFonts w:eastAsia="Calibri"/>
          <w:color w:val="000000" w:themeColor="text1"/>
        </w:rPr>
        <w:t xml:space="preserve">możliwość </w:t>
      </w:r>
      <w:r w:rsidRPr="55C6400D">
        <w:rPr>
          <w:rFonts w:eastAsia="Calibri"/>
          <w:color w:val="000000" w:themeColor="text1"/>
        </w:rPr>
        <w:t>odzyskani</w:t>
      </w:r>
      <w:r w:rsidR="00446BC6" w:rsidRPr="55C6400D">
        <w:rPr>
          <w:rFonts w:eastAsia="Calibri"/>
          <w:color w:val="000000" w:themeColor="text1"/>
        </w:rPr>
        <w:t>a</w:t>
      </w:r>
      <w:r w:rsidRPr="55C6400D">
        <w:rPr>
          <w:rFonts w:eastAsia="Calibri"/>
          <w:color w:val="000000" w:themeColor="text1"/>
        </w:rPr>
        <w:t xml:space="preserve"> finansowania działalności handlowej Emitenta i pozwoliłoby na podjęcie działań zmierzających do zakończenia procesu sanacji i pełne </w:t>
      </w:r>
      <w:r w:rsidR="00446BC6" w:rsidRPr="55C6400D">
        <w:rPr>
          <w:rFonts w:eastAsia="Calibri"/>
          <w:color w:val="000000" w:themeColor="text1"/>
        </w:rPr>
        <w:t xml:space="preserve">lub częściowe </w:t>
      </w:r>
      <w:r w:rsidRPr="55C6400D">
        <w:rPr>
          <w:rFonts w:eastAsia="Calibri"/>
          <w:color w:val="000000" w:themeColor="text1"/>
        </w:rPr>
        <w:t>zaspokojenie wierzycieli.</w:t>
      </w:r>
    </w:p>
    <w:p w14:paraId="7CE8B6D5" w14:textId="77777777" w:rsidR="00746E4A" w:rsidRPr="00B5511D" w:rsidRDefault="00746E4A" w:rsidP="00F21EBA">
      <w:pPr>
        <w:spacing w:after="0"/>
        <w:jc w:val="both"/>
        <w:rPr>
          <w:rFonts w:cstheme="minorHAnsi"/>
        </w:rPr>
      </w:pPr>
    </w:p>
    <w:p w14:paraId="6B0E37A0" w14:textId="5F065094" w:rsidR="00463FE8" w:rsidRPr="00B5511D" w:rsidRDefault="00F21EBA" w:rsidP="00463FE8">
      <w:pPr>
        <w:jc w:val="both"/>
        <w:rPr>
          <w:rFonts w:cstheme="minorHAnsi"/>
        </w:rPr>
      </w:pPr>
      <w:r w:rsidRPr="00B5511D">
        <w:rPr>
          <w:rFonts w:cstheme="minorHAnsi"/>
        </w:rPr>
        <w:t>Emitentowi oraz Komputronik Biznes przysługuje przy tym prawo zawieszenia lub wycofania wniosków, co mogłoby mieć miejsce w przypadku pozytywnego przebiegu rozmów z instytucjami finansującymi, o ile wydarzyłoby się to w krótkiej perspektywie czasowej oraz przy zagwarantowaniu kontynuacji finansowania na satysfakcjonującym dla Grupy Kapitałowej Komputronik poziomie.  Więcej nt. temat w punkcie h) poniżej.</w:t>
      </w:r>
      <w:r w:rsidR="00463FE8" w:rsidRPr="00B5511D">
        <w:rPr>
          <w:rFonts w:cstheme="minorHAnsi"/>
        </w:rPr>
        <w:t xml:space="preserve"> Z uwagi na powyższe, w szczególności mając na uwadze </w:t>
      </w:r>
      <w:r w:rsidR="00411CA6">
        <w:rPr>
          <w:rFonts w:cstheme="minorHAnsi"/>
        </w:rPr>
        <w:t xml:space="preserve">ostrożnościowe </w:t>
      </w:r>
      <w:r w:rsidR="00463FE8" w:rsidRPr="00B5511D">
        <w:rPr>
          <w:rFonts w:cstheme="minorHAnsi"/>
        </w:rPr>
        <w:t>przesłanki złożenia wniosków w przedmiocie post</w:t>
      </w:r>
      <w:r w:rsidR="00C92983">
        <w:rPr>
          <w:rFonts w:cstheme="minorHAnsi"/>
        </w:rPr>
        <w:t>ę</w:t>
      </w:r>
      <w:r w:rsidR="00463FE8" w:rsidRPr="00B5511D">
        <w:rPr>
          <w:rFonts w:cstheme="minorHAnsi"/>
        </w:rPr>
        <w:t xml:space="preserve">powania sanacyjnego, w szczególności absurdalność decyzji organu skarbowego, brak wpływu na </w:t>
      </w:r>
      <w:r w:rsidR="008E1704">
        <w:rPr>
          <w:rFonts w:cstheme="minorHAnsi"/>
        </w:rPr>
        <w:t>bieżące przepływy pieniężne</w:t>
      </w:r>
      <w:r w:rsidR="00463FE8" w:rsidRPr="00B5511D">
        <w:rPr>
          <w:rFonts w:cstheme="minorHAnsi"/>
        </w:rPr>
        <w:t xml:space="preserve"> oraz nieprawomocność decyzji oraz mając na uwadze wysokie prawdopodobieństwo naruszenia słusznego interesu Spółki w zakresie współpracy z kooperantami oraz możliwość wycofania wniosków w wyniku pozytywnego przebiegu rozmów z instytucjami finansującymi (wobec czego </w:t>
      </w:r>
      <w:r w:rsidR="00746E4A">
        <w:rPr>
          <w:rFonts w:cstheme="minorHAnsi"/>
        </w:rPr>
        <w:t xml:space="preserve">wnioski uważane byłyby za niebyłe, a </w:t>
      </w:r>
      <w:r w:rsidR="00463FE8" w:rsidRPr="00B5511D">
        <w:rPr>
          <w:rFonts w:cstheme="minorHAnsi"/>
        </w:rPr>
        <w:t>opóźniona informacja poufna zgodnie z wytycznymi ESMA utraciłaby status informacji poufnej), Emitent podjął decyzję o opóźnieniu zgodnie z art. 17 ust. 4 Rozporządzenia MAR przekazania przedmiotowej informacji do wiadomości publicznej.</w:t>
      </w:r>
    </w:p>
    <w:p w14:paraId="199753B3" w14:textId="00EAB479" w:rsidR="004320D3" w:rsidRPr="00B5511D" w:rsidRDefault="004320D3" w:rsidP="004320D3">
      <w:pPr>
        <w:jc w:val="both"/>
        <w:rPr>
          <w:rFonts w:cstheme="minorHAnsi"/>
        </w:rPr>
      </w:pPr>
      <w:r w:rsidRPr="00B5511D">
        <w:rPr>
          <w:rFonts w:cstheme="minorHAnsi"/>
        </w:rPr>
        <w:t>Informacja poufna dotycząca zdarzeń opisanych w pkt h) powyżej.</w:t>
      </w:r>
    </w:p>
    <w:p w14:paraId="471A4186" w14:textId="05C24CA8" w:rsidR="00F21EBA" w:rsidRPr="00B5511D" w:rsidRDefault="00F21EBA" w:rsidP="004320D3">
      <w:pPr>
        <w:jc w:val="both"/>
      </w:pPr>
      <w:r w:rsidRPr="00868AEB">
        <w:t>W wyniku zakończenia analiz decyzji organu podatkowego (</w:t>
      </w:r>
      <w:r w:rsidR="00463FE8" w:rsidRPr="00868AEB">
        <w:t xml:space="preserve">decyzje </w:t>
      </w:r>
      <w:r w:rsidRPr="00BB38C1">
        <w:t>obejmują odpowiednio 277 stron oraz 200 stron), w dniu 3 marca 2020 r. Emitent podjął rozmowy z czterema bankami finansującymi działalność Emitenta tj. mBank S.A., Santander Bank Polska S.A., Millennium Bank S.A. oraz Bank Pekao S.A. w przedmiocie uzgodnienia modelu finansowania dalszej działalności</w:t>
      </w:r>
      <w:bookmarkStart w:id="0" w:name="_GoBack"/>
      <w:bookmarkEnd w:id="0"/>
      <w:r w:rsidRPr="00868AEB">
        <w:t xml:space="preserve"> Grupy Komputronik</w:t>
      </w:r>
      <w:r w:rsidR="006830E7">
        <w:t xml:space="preserve">, </w:t>
      </w:r>
      <w:r w:rsidRPr="00868AEB">
        <w:t xml:space="preserve">uwzględniającego okoliczność zakończonych negatywnym rezultatem kontroli skarbowych. </w:t>
      </w:r>
      <w:r w:rsidR="00463FE8" w:rsidRPr="00868AEB">
        <w:t xml:space="preserve">Do dnia publikacji niniejszego raportu, z zastrzeżeniem zdarzenia opisanego w pkt i) poniżej, Spółka nie otrzymała od ww. banków informacji nt. możliwości lub braku możliwości kontynuacji na dotychczasowych lub zmienionych warunkach finansowania działalności. </w:t>
      </w:r>
      <w:r w:rsidR="005D5469" w:rsidRPr="00868AEB">
        <w:t>Spółka postanowiła opóźnić przekazanie do wiadomości publicznej przedmiotowej informacji do czasu zajęcia stanowiska przed trzy główne banki finansujące jej działalność, tj.: mBank S.A., Santander Bank Polska S.A., Millennium Bank S.A.</w:t>
      </w:r>
      <w:r w:rsidR="00746E4A" w:rsidRPr="00868AEB">
        <w:t xml:space="preserve"> Z uwagi na ustanie przesłanki, o której mowa w art. 17 ust. 4 lit. c) Rozporządzenia MAR Spółka publikuje przedmiotową informację pomimo braku zakończenia rozmów. </w:t>
      </w:r>
    </w:p>
    <w:p w14:paraId="52AD8D64" w14:textId="446B32F0" w:rsidR="004320D3" w:rsidRPr="00B5511D" w:rsidRDefault="004320D3" w:rsidP="004320D3">
      <w:pPr>
        <w:jc w:val="both"/>
        <w:rPr>
          <w:rFonts w:cstheme="minorHAnsi"/>
        </w:rPr>
      </w:pPr>
      <w:r w:rsidRPr="00B5511D">
        <w:rPr>
          <w:rFonts w:cstheme="minorHAnsi"/>
        </w:rPr>
        <w:t>Informacja poufna dotycząca zdarzeń opisanych w pkt i) powyżej.</w:t>
      </w:r>
    </w:p>
    <w:p w14:paraId="15F3DBD4" w14:textId="104E1955" w:rsidR="004C2552" w:rsidRDefault="4A3AB329" w:rsidP="004C2552">
      <w:pPr>
        <w:spacing w:after="0"/>
        <w:jc w:val="both"/>
      </w:pPr>
      <w:r w:rsidRPr="5B81CF6D">
        <w:rPr>
          <w:rFonts w:eastAsia="Calibri"/>
          <w:color w:val="000000" w:themeColor="text1"/>
        </w:rPr>
        <w:t xml:space="preserve">W dniu 5 marca 2020 r. Spółka otrzymała </w:t>
      </w:r>
      <w:r w:rsidR="0E33E19E" w:rsidRPr="5B81CF6D">
        <w:rPr>
          <w:rFonts w:eastAsia="Calibri"/>
          <w:color w:val="000000" w:themeColor="text1"/>
        </w:rPr>
        <w:t xml:space="preserve">w trybie </w:t>
      </w:r>
      <w:r w:rsidR="0123A876" w:rsidRPr="5B81CF6D">
        <w:rPr>
          <w:rFonts w:eastAsia="Calibri"/>
          <w:color w:val="000000" w:themeColor="text1"/>
        </w:rPr>
        <w:t>elektronicznym</w:t>
      </w:r>
      <w:r w:rsidR="0E33E19E" w:rsidRPr="5B81CF6D">
        <w:rPr>
          <w:rFonts w:eastAsia="Calibri"/>
          <w:color w:val="000000" w:themeColor="text1"/>
        </w:rPr>
        <w:t xml:space="preserve"> informację o wypowiedzeniu </w:t>
      </w:r>
      <w:r w:rsidR="0E33E19E">
        <w:t>umowy kredytowej zawartej z Bankiem Pekao S.A.</w:t>
      </w:r>
      <w:r w:rsidR="0123A876">
        <w:t xml:space="preserve"> oraz umowy faktoringowej zawartej </w:t>
      </w:r>
      <w:r w:rsidR="2B3A906F">
        <w:t xml:space="preserve">przez Komputronik Biznes sp. z o.o. </w:t>
      </w:r>
      <w:r w:rsidR="0123A876">
        <w:t>z Pekao Faktoring Sp. z o.o.</w:t>
      </w:r>
      <w:r w:rsidR="0E33E19E">
        <w:t xml:space="preserve"> </w:t>
      </w:r>
      <w:r w:rsidR="6C4BF4C7">
        <w:t xml:space="preserve">Zgodnie z treścią </w:t>
      </w:r>
      <w:r w:rsidR="0123A876">
        <w:t>otrzymanej</w:t>
      </w:r>
      <w:r w:rsidR="6C4BF4C7">
        <w:t xml:space="preserve"> informacji nt. wypowiedzenia </w:t>
      </w:r>
      <w:r w:rsidR="0123A876">
        <w:t xml:space="preserve">wstrzymane zostaje dalsze finansowanie wierzytelności faktoringowych oraz wstrzymany zostaje zwrot funduszu gwarancyjnego oraz innych należnych kwot. Jednocześnie umowa kredytowa  wypowiedziana została z zachowaniem trzydziestodniowego terminu wypowiedzenia. </w:t>
      </w:r>
      <w:r w:rsidR="0E33E19E">
        <w:t xml:space="preserve">O ile </w:t>
      </w:r>
      <w:r w:rsidR="3464373B">
        <w:t>Grupa B</w:t>
      </w:r>
      <w:r w:rsidR="0E33E19E">
        <w:t>ank</w:t>
      </w:r>
      <w:r w:rsidR="3464373B">
        <w:t>u Pekao</w:t>
      </w:r>
      <w:r w:rsidR="0E33E19E">
        <w:t xml:space="preserve"> w najmniejszym stopniu finans</w:t>
      </w:r>
      <w:r w:rsidR="3464373B">
        <w:t>owała</w:t>
      </w:r>
      <w:r w:rsidR="0E33E19E">
        <w:t xml:space="preserve"> działalność Emitenta Spółka uznaje, iż w świetle całokształtu sprawy informacja ta może być istotn</w:t>
      </w:r>
      <w:r w:rsidR="4C7C59C2">
        <w:t>a</w:t>
      </w:r>
      <w:r w:rsidR="0E33E19E">
        <w:t xml:space="preserve"> dla akcjonariuszy</w:t>
      </w:r>
      <w:r w:rsidR="6C4BF4C7">
        <w:t xml:space="preserve">, przy czym </w:t>
      </w:r>
      <w:r w:rsidR="4C7C59C2">
        <w:t xml:space="preserve">znaczenie powyższej </w:t>
      </w:r>
      <w:r w:rsidR="6C4BF4C7">
        <w:t>informacj</w:t>
      </w:r>
      <w:r w:rsidR="4C7C59C2">
        <w:t>i</w:t>
      </w:r>
      <w:r w:rsidR="6C4BF4C7">
        <w:t xml:space="preserve"> </w:t>
      </w:r>
      <w:r w:rsidR="4C7C59C2">
        <w:t xml:space="preserve">może ulec deprecjacji </w:t>
      </w:r>
      <w:r w:rsidR="6C4BF4C7">
        <w:t xml:space="preserve">w przypadku pozytywnego rozstrzygnięcia rozmów z trzema głównymi </w:t>
      </w:r>
      <w:r w:rsidR="00C5176C">
        <w:t>B</w:t>
      </w:r>
      <w:r w:rsidR="6C4BF4C7">
        <w:t>ankami finansującymi działalność</w:t>
      </w:r>
      <w:r w:rsidR="0E33E19E">
        <w:t xml:space="preserve">. </w:t>
      </w:r>
    </w:p>
    <w:p w14:paraId="5633E308" w14:textId="77777777" w:rsidR="00C5176C" w:rsidRDefault="00C5176C" w:rsidP="5B81CF6D">
      <w:pPr>
        <w:spacing w:after="0"/>
        <w:jc w:val="both"/>
        <w:rPr>
          <w:rFonts w:eastAsia="Calibri"/>
          <w:color w:val="000000" w:themeColor="text1"/>
        </w:rPr>
      </w:pPr>
    </w:p>
    <w:p w14:paraId="32F338D9" w14:textId="64567115" w:rsidR="00C4425F" w:rsidRDefault="00411CA6" w:rsidP="5B81CF6D">
      <w:pPr>
        <w:spacing w:after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Jednocześnie </w:t>
      </w:r>
      <w:r w:rsidR="00C4425F" w:rsidRPr="5B81CF6D">
        <w:rPr>
          <w:rFonts w:eastAsia="Calibri"/>
          <w:color w:val="000000" w:themeColor="text1"/>
        </w:rPr>
        <w:t xml:space="preserve">Emitent informuje, że obecnie toczy się </w:t>
      </w:r>
      <w:r w:rsidR="00B64C34">
        <w:rPr>
          <w:rFonts w:eastAsia="Calibri"/>
          <w:color w:val="000000" w:themeColor="text1"/>
        </w:rPr>
        <w:t xml:space="preserve">postępowanie podatkowe </w:t>
      </w:r>
      <w:r w:rsidR="00B64C34" w:rsidRPr="5B81CF6D">
        <w:rPr>
          <w:rFonts w:eastAsia="Calibri"/>
          <w:color w:val="000000" w:themeColor="text1"/>
        </w:rPr>
        <w:t xml:space="preserve"> </w:t>
      </w:r>
      <w:r w:rsidR="00B64C34">
        <w:rPr>
          <w:rFonts w:eastAsia="Calibri"/>
          <w:color w:val="000000" w:themeColor="text1"/>
        </w:rPr>
        <w:t xml:space="preserve">dotyczące </w:t>
      </w:r>
      <w:r w:rsidR="00C4425F" w:rsidRPr="5B81CF6D">
        <w:rPr>
          <w:rFonts w:eastAsia="Calibri"/>
          <w:color w:val="000000" w:themeColor="text1"/>
        </w:rPr>
        <w:t xml:space="preserve">prawidłowości rozliczeń podatku VAT za styczeń 2015 roku. Kontrola ta została przedłużona z końcem lutego </w:t>
      </w:r>
      <w:r>
        <w:rPr>
          <w:rFonts w:eastAsia="Calibri"/>
          <w:color w:val="000000" w:themeColor="text1"/>
        </w:rPr>
        <w:t xml:space="preserve">br. </w:t>
      </w:r>
      <w:r w:rsidR="00C4425F" w:rsidRPr="5B81CF6D">
        <w:rPr>
          <w:rFonts w:eastAsia="Calibri"/>
          <w:color w:val="000000" w:themeColor="text1"/>
        </w:rPr>
        <w:t xml:space="preserve">do dnia 28 kwietnia 2020 r. </w:t>
      </w:r>
      <w:r w:rsidR="003E06DD" w:rsidRPr="003E06DD">
        <w:rPr>
          <w:rFonts w:eastAsia="Calibri"/>
          <w:color w:val="000000" w:themeColor="text1"/>
        </w:rPr>
        <w:t xml:space="preserve">Emitent dostrzega </w:t>
      </w:r>
      <w:r w:rsidR="00E071C1">
        <w:rPr>
          <w:rFonts w:eastAsia="Calibri"/>
          <w:color w:val="000000" w:themeColor="text1"/>
        </w:rPr>
        <w:t xml:space="preserve">ryzyko </w:t>
      </w:r>
      <w:r w:rsidR="00CA65AE">
        <w:rPr>
          <w:rFonts w:eastAsia="Calibri"/>
          <w:color w:val="000000" w:themeColor="text1"/>
        </w:rPr>
        <w:t xml:space="preserve">negatywnego dla Spółki zakończenia postępowania, jeśli organ </w:t>
      </w:r>
      <w:r w:rsidR="00393E72">
        <w:rPr>
          <w:rFonts w:eastAsia="Calibri"/>
          <w:color w:val="000000" w:themeColor="text1"/>
        </w:rPr>
        <w:t xml:space="preserve">podatkowy, </w:t>
      </w:r>
      <w:r w:rsidR="00CA65AE">
        <w:rPr>
          <w:rFonts w:eastAsia="Calibri"/>
          <w:color w:val="000000" w:themeColor="text1"/>
        </w:rPr>
        <w:t>analogicznie do wymienionych wyżej wyników kontroli za marzec, kwiecień i maj 20</w:t>
      </w:r>
      <w:r w:rsidR="00E56150">
        <w:rPr>
          <w:rFonts w:eastAsia="Calibri"/>
          <w:color w:val="000000" w:themeColor="text1"/>
        </w:rPr>
        <w:t>14</w:t>
      </w:r>
      <w:r w:rsidR="00393E72">
        <w:rPr>
          <w:rFonts w:eastAsia="Calibri"/>
          <w:color w:val="000000" w:themeColor="text1"/>
        </w:rPr>
        <w:t>,</w:t>
      </w:r>
      <w:r w:rsidR="00E56150">
        <w:rPr>
          <w:rFonts w:eastAsia="Calibri"/>
          <w:color w:val="000000" w:themeColor="text1"/>
        </w:rPr>
        <w:t xml:space="preserve"> </w:t>
      </w:r>
      <w:r w:rsidR="003E06DD" w:rsidRPr="003E06DD">
        <w:rPr>
          <w:rFonts w:eastAsia="Calibri"/>
          <w:color w:val="000000" w:themeColor="text1"/>
        </w:rPr>
        <w:t xml:space="preserve">uchybi </w:t>
      </w:r>
      <w:r w:rsidR="00AE1759">
        <w:rPr>
          <w:rFonts w:eastAsia="Calibri"/>
          <w:color w:val="000000" w:themeColor="text1"/>
        </w:rPr>
        <w:t>zasadom rzetelne</w:t>
      </w:r>
      <w:r w:rsidR="00B64F49">
        <w:rPr>
          <w:rFonts w:eastAsia="Calibri"/>
          <w:color w:val="000000" w:themeColor="text1"/>
        </w:rPr>
        <w:t xml:space="preserve">j </w:t>
      </w:r>
      <w:r w:rsidR="003E06DD" w:rsidRPr="003E06DD">
        <w:rPr>
          <w:rFonts w:eastAsia="Calibri"/>
          <w:color w:val="000000" w:themeColor="text1"/>
        </w:rPr>
        <w:t>oceny dowodów</w:t>
      </w:r>
      <w:r w:rsidR="001C12B3">
        <w:rPr>
          <w:rFonts w:eastAsia="Calibri"/>
          <w:color w:val="000000" w:themeColor="text1"/>
        </w:rPr>
        <w:t xml:space="preserve"> i</w:t>
      </w:r>
      <w:r w:rsidR="003E06DD" w:rsidRPr="003E06DD">
        <w:rPr>
          <w:rFonts w:eastAsia="Calibri"/>
          <w:color w:val="000000" w:themeColor="text1"/>
        </w:rPr>
        <w:t xml:space="preserve"> </w:t>
      </w:r>
      <w:r w:rsidR="00870E96">
        <w:rPr>
          <w:rFonts w:eastAsia="Calibri"/>
          <w:color w:val="000000" w:themeColor="text1"/>
        </w:rPr>
        <w:t xml:space="preserve">interpretacji </w:t>
      </w:r>
      <w:r w:rsidR="003E06DD" w:rsidRPr="003E06DD">
        <w:rPr>
          <w:rFonts w:eastAsia="Calibri"/>
          <w:color w:val="000000" w:themeColor="text1"/>
        </w:rPr>
        <w:t>okoliczności faktycznych</w:t>
      </w:r>
      <w:r w:rsidR="000217FA">
        <w:rPr>
          <w:rFonts w:eastAsia="Calibri"/>
          <w:color w:val="000000" w:themeColor="text1"/>
        </w:rPr>
        <w:t xml:space="preserve">. </w:t>
      </w:r>
      <w:r>
        <w:rPr>
          <w:rFonts w:eastAsia="Calibri"/>
          <w:color w:val="000000" w:themeColor="text1"/>
        </w:rPr>
        <w:t xml:space="preserve">W postępowaniu tym </w:t>
      </w:r>
      <w:r w:rsidR="007A05BB">
        <w:rPr>
          <w:rFonts w:eastAsia="Calibri"/>
          <w:color w:val="000000" w:themeColor="text1"/>
        </w:rPr>
        <w:t>kwestionowan</w:t>
      </w:r>
      <w:r w:rsidR="005407C3">
        <w:rPr>
          <w:rFonts w:eastAsia="Calibri"/>
          <w:color w:val="000000" w:themeColor="text1"/>
        </w:rPr>
        <w:t>a</w:t>
      </w:r>
      <w:r w:rsidR="007A05BB">
        <w:rPr>
          <w:rFonts w:eastAsia="Calibri"/>
          <w:color w:val="000000" w:themeColor="text1"/>
        </w:rPr>
        <w:t xml:space="preserve"> jest, w ocenie specjalistów </w:t>
      </w:r>
      <w:r w:rsidR="005407C3">
        <w:rPr>
          <w:rFonts w:eastAsia="Calibri"/>
          <w:color w:val="000000" w:themeColor="text1"/>
        </w:rPr>
        <w:t xml:space="preserve">podatkowych </w:t>
      </w:r>
      <w:r w:rsidR="007A05BB">
        <w:rPr>
          <w:rFonts w:eastAsia="Calibri"/>
          <w:color w:val="000000" w:themeColor="text1"/>
        </w:rPr>
        <w:t xml:space="preserve">bezpodstawnie, </w:t>
      </w:r>
      <w:r w:rsidR="00C4425F" w:rsidRPr="5B81CF6D">
        <w:rPr>
          <w:rFonts w:eastAsia="Calibri"/>
          <w:color w:val="000000" w:themeColor="text1"/>
        </w:rPr>
        <w:t xml:space="preserve"> prawidłowość rozliczeń w zakresie podatku VAT na kwotę około 7,3 mln. </w:t>
      </w:r>
      <w:r w:rsidR="001F630B">
        <w:rPr>
          <w:rFonts w:eastAsia="Calibri"/>
          <w:color w:val="000000" w:themeColor="text1"/>
        </w:rPr>
        <w:t xml:space="preserve">Okoliczność wydania niekorzystnych decyzji podatkowych </w:t>
      </w:r>
      <w:r w:rsidR="001F630B" w:rsidRPr="658F28AC">
        <w:t>dotyczących postępowań kontrolnych w zakresie podatku VAT za miesiące: marzec, kwiecień i maj 2014 roku</w:t>
      </w:r>
      <w:r w:rsidR="001F630B">
        <w:rPr>
          <w:rFonts w:eastAsia="Calibri"/>
          <w:color w:val="000000" w:themeColor="text1"/>
        </w:rPr>
        <w:t xml:space="preserve"> powoduje wzrost oceny ryzyka niekorzystnego rozstrzygnięcia również w tym postępowaniu. </w:t>
      </w:r>
      <w:r w:rsidR="00B74728">
        <w:rPr>
          <w:rFonts w:eastAsia="Calibri"/>
          <w:color w:val="000000" w:themeColor="text1"/>
        </w:rPr>
        <w:t xml:space="preserve">Informacje o </w:t>
      </w:r>
      <w:r w:rsidR="002E2A5C">
        <w:rPr>
          <w:rFonts w:eastAsia="Calibri"/>
          <w:color w:val="000000" w:themeColor="text1"/>
        </w:rPr>
        <w:t xml:space="preserve">wszystkich </w:t>
      </w:r>
      <w:r w:rsidR="00B74728">
        <w:rPr>
          <w:rFonts w:eastAsia="Calibri"/>
          <w:color w:val="000000" w:themeColor="text1"/>
        </w:rPr>
        <w:t>prowadzonych w Spółce kontrolach Emitent przedstawi</w:t>
      </w:r>
      <w:r w:rsidR="0000047F">
        <w:rPr>
          <w:rFonts w:eastAsia="Calibri"/>
          <w:color w:val="000000" w:themeColor="text1"/>
        </w:rPr>
        <w:t xml:space="preserve">ał w raportach okresowych. </w:t>
      </w:r>
      <w:r w:rsidR="001F630B">
        <w:rPr>
          <w:rFonts w:eastAsia="Calibri"/>
          <w:color w:val="000000" w:themeColor="text1"/>
        </w:rPr>
        <w:t xml:space="preserve"> </w:t>
      </w:r>
    </w:p>
    <w:p w14:paraId="5F27A7C3" w14:textId="77777777" w:rsidR="001508B0" w:rsidRPr="00B5511D" w:rsidRDefault="001508B0" w:rsidP="5B81CF6D">
      <w:pPr>
        <w:spacing w:after="0"/>
        <w:jc w:val="both"/>
        <w:rPr>
          <w:rFonts w:eastAsia="Calibri"/>
          <w:color w:val="000000" w:themeColor="text1"/>
        </w:rPr>
      </w:pPr>
    </w:p>
    <w:p w14:paraId="41FD5340" w14:textId="451F0FB5" w:rsidR="004C2552" w:rsidRDefault="004C2552" w:rsidP="5B81CF6D">
      <w:pPr>
        <w:spacing w:after="0"/>
        <w:jc w:val="both"/>
        <w:rPr>
          <w:rFonts w:eastAsia="Calibri"/>
          <w:color w:val="000000" w:themeColor="text1"/>
        </w:rPr>
      </w:pPr>
    </w:p>
    <w:p w14:paraId="112CEECD" w14:textId="7017FDE2" w:rsidR="005B56C9" w:rsidRDefault="005B56C9" w:rsidP="5B81CF6D">
      <w:pPr>
        <w:spacing w:after="0"/>
        <w:jc w:val="both"/>
        <w:rPr>
          <w:rFonts w:eastAsia="Calibri"/>
          <w:color w:val="000000" w:themeColor="text1"/>
        </w:rPr>
      </w:pPr>
    </w:p>
    <w:sectPr w:rsidR="005B56C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3DFD4" w14:textId="77777777" w:rsidR="00694AA1" w:rsidRDefault="00694AA1" w:rsidP="00CB133D">
      <w:pPr>
        <w:spacing w:after="0" w:line="240" w:lineRule="auto"/>
      </w:pPr>
      <w:r>
        <w:separator/>
      </w:r>
    </w:p>
  </w:endnote>
  <w:endnote w:type="continuationSeparator" w:id="0">
    <w:p w14:paraId="4564ED7A" w14:textId="77777777" w:rsidR="00694AA1" w:rsidRDefault="00694AA1" w:rsidP="00CB133D">
      <w:pPr>
        <w:spacing w:after="0" w:line="240" w:lineRule="auto"/>
      </w:pPr>
      <w:r>
        <w:continuationSeparator/>
      </w:r>
    </w:p>
  </w:endnote>
  <w:endnote w:type="continuationNotice" w:id="1">
    <w:p w14:paraId="6903EA47" w14:textId="77777777" w:rsidR="00694AA1" w:rsidRDefault="00694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11B53B3" w14:paraId="402C5C9F" w14:textId="77777777" w:rsidTr="411B53B3">
      <w:tc>
        <w:tcPr>
          <w:tcW w:w="3009" w:type="dxa"/>
        </w:tcPr>
        <w:p w14:paraId="1CFE6DE3" w14:textId="6C42E814" w:rsidR="411B53B3" w:rsidRDefault="411B53B3" w:rsidP="002B025F">
          <w:pPr>
            <w:pStyle w:val="Header"/>
            <w:ind w:left="-115"/>
          </w:pPr>
        </w:p>
      </w:tc>
      <w:tc>
        <w:tcPr>
          <w:tcW w:w="3009" w:type="dxa"/>
        </w:tcPr>
        <w:p w14:paraId="343261B1" w14:textId="4D3CCCBF" w:rsidR="411B53B3" w:rsidRDefault="411B53B3" w:rsidP="002B025F">
          <w:pPr>
            <w:pStyle w:val="Header"/>
            <w:jc w:val="center"/>
          </w:pPr>
        </w:p>
      </w:tc>
      <w:tc>
        <w:tcPr>
          <w:tcW w:w="3009" w:type="dxa"/>
        </w:tcPr>
        <w:p w14:paraId="093B72A2" w14:textId="39078B21" w:rsidR="411B53B3" w:rsidRDefault="411B53B3" w:rsidP="002B025F">
          <w:pPr>
            <w:pStyle w:val="Header"/>
            <w:ind w:right="-115"/>
            <w:jc w:val="right"/>
          </w:pPr>
        </w:p>
      </w:tc>
    </w:tr>
  </w:tbl>
  <w:p w14:paraId="14ECEFC9" w14:textId="076E67E4" w:rsidR="00CC4B4C" w:rsidRDefault="00CC4B4C" w:rsidP="0011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A6DFE" w14:textId="77777777" w:rsidR="00694AA1" w:rsidRDefault="00694AA1" w:rsidP="00CB133D">
      <w:pPr>
        <w:spacing w:after="0" w:line="240" w:lineRule="auto"/>
      </w:pPr>
      <w:r>
        <w:separator/>
      </w:r>
    </w:p>
  </w:footnote>
  <w:footnote w:type="continuationSeparator" w:id="0">
    <w:p w14:paraId="13D05BA6" w14:textId="77777777" w:rsidR="00694AA1" w:rsidRDefault="00694AA1" w:rsidP="00CB133D">
      <w:pPr>
        <w:spacing w:after="0" w:line="240" w:lineRule="auto"/>
      </w:pPr>
      <w:r>
        <w:continuationSeparator/>
      </w:r>
    </w:p>
  </w:footnote>
  <w:footnote w:type="continuationNotice" w:id="1">
    <w:p w14:paraId="5488EBE2" w14:textId="77777777" w:rsidR="00694AA1" w:rsidRDefault="00694A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11B53B3" w14:paraId="5A1AB49E" w14:textId="77777777" w:rsidTr="411B53B3">
      <w:tc>
        <w:tcPr>
          <w:tcW w:w="3009" w:type="dxa"/>
        </w:tcPr>
        <w:p w14:paraId="7AC04271" w14:textId="2FD2B093" w:rsidR="411B53B3" w:rsidRDefault="411B53B3" w:rsidP="002B025F">
          <w:pPr>
            <w:pStyle w:val="Header"/>
            <w:ind w:left="-115"/>
          </w:pPr>
        </w:p>
      </w:tc>
      <w:tc>
        <w:tcPr>
          <w:tcW w:w="3009" w:type="dxa"/>
        </w:tcPr>
        <w:p w14:paraId="0A579358" w14:textId="55CDDA0E" w:rsidR="411B53B3" w:rsidRDefault="411B53B3" w:rsidP="002B025F">
          <w:pPr>
            <w:pStyle w:val="Header"/>
            <w:jc w:val="center"/>
          </w:pPr>
        </w:p>
      </w:tc>
      <w:tc>
        <w:tcPr>
          <w:tcW w:w="3009" w:type="dxa"/>
        </w:tcPr>
        <w:p w14:paraId="2A3C7C0C" w14:textId="443D4980" w:rsidR="411B53B3" w:rsidRDefault="411B53B3" w:rsidP="002B025F">
          <w:pPr>
            <w:pStyle w:val="Header"/>
            <w:ind w:right="-115"/>
            <w:jc w:val="right"/>
          </w:pPr>
        </w:p>
      </w:tc>
    </w:tr>
  </w:tbl>
  <w:p w14:paraId="7A455351" w14:textId="648029DB" w:rsidR="00CC4B4C" w:rsidRDefault="00CC4B4C" w:rsidP="0011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186"/>
    <w:multiLevelType w:val="multilevel"/>
    <w:tmpl w:val="54965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10608"/>
    <w:multiLevelType w:val="hybridMultilevel"/>
    <w:tmpl w:val="B8B0D396"/>
    <w:lvl w:ilvl="0" w:tplc="A1AA8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CB6319"/>
    <w:multiLevelType w:val="hybridMultilevel"/>
    <w:tmpl w:val="C3866B50"/>
    <w:lvl w:ilvl="0" w:tplc="4AEED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806EE5"/>
    <w:multiLevelType w:val="hybridMultilevel"/>
    <w:tmpl w:val="C3866B50"/>
    <w:lvl w:ilvl="0" w:tplc="4AEED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D0289C"/>
    <w:multiLevelType w:val="hybridMultilevel"/>
    <w:tmpl w:val="F9CA4474"/>
    <w:lvl w:ilvl="0" w:tplc="A8A087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5730"/>
    <w:multiLevelType w:val="hybridMultilevel"/>
    <w:tmpl w:val="495CC1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B4CC4"/>
    <w:multiLevelType w:val="multilevel"/>
    <w:tmpl w:val="8A069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43FE9"/>
    <w:multiLevelType w:val="multilevel"/>
    <w:tmpl w:val="29BC6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EBB82D"/>
    <w:rsid w:val="0000047F"/>
    <w:rsid w:val="00003D12"/>
    <w:rsid w:val="00015748"/>
    <w:rsid w:val="00015F19"/>
    <w:rsid w:val="000165E1"/>
    <w:rsid w:val="000217FA"/>
    <w:rsid w:val="00035BF5"/>
    <w:rsid w:val="00035E03"/>
    <w:rsid w:val="000407A3"/>
    <w:rsid w:val="000449AC"/>
    <w:rsid w:val="00055DBC"/>
    <w:rsid w:val="00056CC9"/>
    <w:rsid w:val="00066C2D"/>
    <w:rsid w:val="00083A68"/>
    <w:rsid w:val="000A13B4"/>
    <w:rsid w:val="000B02A6"/>
    <w:rsid w:val="000C127A"/>
    <w:rsid w:val="000C1B6F"/>
    <w:rsid w:val="000C25AF"/>
    <w:rsid w:val="000C6A0D"/>
    <w:rsid w:val="000E019A"/>
    <w:rsid w:val="000E02EF"/>
    <w:rsid w:val="000E432D"/>
    <w:rsid w:val="000F218D"/>
    <w:rsid w:val="000F46AC"/>
    <w:rsid w:val="00102B98"/>
    <w:rsid w:val="00103F85"/>
    <w:rsid w:val="0010401F"/>
    <w:rsid w:val="00107350"/>
    <w:rsid w:val="00110EC5"/>
    <w:rsid w:val="00112458"/>
    <w:rsid w:val="00113C2B"/>
    <w:rsid w:val="00113DD0"/>
    <w:rsid w:val="00114F42"/>
    <w:rsid w:val="00116975"/>
    <w:rsid w:val="00121CBA"/>
    <w:rsid w:val="00122C5E"/>
    <w:rsid w:val="0013021B"/>
    <w:rsid w:val="00130BB3"/>
    <w:rsid w:val="001508B0"/>
    <w:rsid w:val="00160F98"/>
    <w:rsid w:val="00167D2C"/>
    <w:rsid w:val="00171122"/>
    <w:rsid w:val="001743C9"/>
    <w:rsid w:val="00175772"/>
    <w:rsid w:val="00175E99"/>
    <w:rsid w:val="00176065"/>
    <w:rsid w:val="001801F5"/>
    <w:rsid w:val="001859F9"/>
    <w:rsid w:val="00196C67"/>
    <w:rsid w:val="00196D35"/>
    <w:rsid w:val="00197161"/>
    <w:rsid w:val="001A0F34"/>
    <w:rsid w:val="001A1A0A"/>
    <w:rsid w:val="001A4239"/>
    <w:rsid w:val="001A6C14"/>
    <w:rsid w:val="001B2CF7"/>
    <w:rsid w:val="001C12B3"/>
    <w:rsid w:val="001C13F2"/>
    <w:rsid w:val="001C2229"/>
    <w:rsid w:val="001C2859"/>
    <w:rsid w:val="001C6FF6"/>
    <w:rsid w:val="001D0465"/>
    <w:rsid w:val="001E1978"/>
    <w:rsid w:val="001F630B"/>
    <w:rsid w:val="001F75E7"/>
    <w:rsid w:val="0020773E"/>
    <w:rsid w:val="00211E33"/>
    <w:rsid w:val="0021794A"/>
    <w:rsid w:val="002179A6"/>
    <w:rsid w:val="00220FA2"/>
    <w:rsid w:val="00225F6B"/>
    <w:rsid w:val="00227850"/>
    <w:rsid w:val="002516B8"/>
    <w:rsid w:val="00252110"/>
    <w:rsid w:val="00260E44"/>
    <w:rsid w:val="00265A87"/>
    <w:rsid w:val="002825FD"/>
    <w:rsid w:val="002919B3"/>
    <w:rsid w:val="002A285A"/>
    <w:rsid w:val="002A6161"/>
    <w:rsid w:val="002B025F"/>
    <w:rsid w:val="002B0C06"/>
    <w:rsid w:val="002B158E"/>
    <w:rsid w:val="002B2A34"/>
    <w:rsid w:val="002C1997"/>
    <w:rsid w:val="002E0627"/>
    <w:rsid w:val="002E2A5C"/>
    <w:rsid w:val="002F14EF"/>
    <w:rsid w:val="002F46A0"/>
    <w:rsid w:val="003004DC"/>
    <w:rsid w:val="0030156A"/>
    <w:rsid w:val="00304B1E"/>
    <w:rsid w:val="0031521A"/>
    <w:rsid w:val="00317273"/>
    <w:rsid w:val="0033058F"/>
    <w:rsid w:val="003344A3"/>
    <w:rsid w:val="00334A49"/>
    <w:rsid w:val="003425A6"/>
    <w:rsid w:val="00342B95"/>
    <w:rsid w:val="003552CC"/>
    <w:rsid w:val="00366BAE"/>
    <w:rsid w:val="0037427B"/>
    <w:rsid w:val="00390401"/>
    <w:rsid w:val="00391301"/>
    <w:rsid w:val="00393E72"/>
    <w:rsid w:val="003968AD"/>
    <w:rsid w:val="00397CB9"/>
    <w:rsid w:val="003A53C6"/>
    <w:rsid w:val="003A6E27"/>
    <w:rsid w:val="003A785F"/>
    <w:rsid w:val="003B050D"/>
    <w:rsid w:val="003B7227"/>
    <w:rsid w:val="003D4773"/>
    <w:rsid w:val="003D57B3"/>
    <w:rsid w:val="003E06DD"/>
    <w:rsid w:val="003F4560"/>
    <w:rsid w:val="00403CF0"/>
    <w:rsid w:val="0040528A"/>
    <w:rsid w:val="00407DA9"/>
    <w:rsid w:val="00410D81"/>
    <w:rsid w:val="00411CA6"/>
    <w:rsid w:val="00412A13"/>
    <w:rsid w:val="0042133A"/>
    <w:rsid w:val="00422504"/>
    <w:rsid w:val="00431ED1"/>
    <w:rsid w:val="004320D3"/>
    <w:rsid w:val="00436C36"/>
    <w:rsid w:val="004426B0"/>
    <w:rsid w:val="004453B9"/>
    <w:rsid w:val="00446BC6"/>
    <w:rsid w:val="00447421"/>
    <w:rsid w:val="004538F7"/>
    <w:rsid w:val="00463FE8"/>
    <w:rsid w:val="0048208B"/>
    <w:rsid w:val="004820C0"/>
    <w:rsid w:val="004A5283"/>
    <w:rsid w:val="004B564D"/>
    <w:rsid w:val="004C2552"/>
    <w:rsid w:val="004C31FE"/>
    <w:rsid w:val="004D1185"/>
    <w:rsid w:val="004D7F19"/>
    <w:rsid w:val="004E12FE"/>
    <w:rsid w:val="004E13C5"/>
    <w:rsid w:val="004E2C0E"/>
    <w:rsid w:val="004E5643"/>
    <w:rsid w:val="004F6C04"/>
    <w:rsid w:val="00504774"/>
    <w:rsid w:val="005056DF"/>
    <w:rsid w:val="00507055"/>
    <w:rsid w:val="0050739C"/>
    <w:rsid w:val="00510AEE"/>
    <w:rsid w:val="00512094"/>
    <w:rsid w:val="0052520D"/>
    <w:rsid w:val="00525CA3"/>
    <w:rsid w:val="005347F7"/>
    <w:rsid w:val="00536664"/>
    <w:rsid w:val="005407C3"/>
    <w:rsid w:val="00547F68"/>
    <w:rsid w:val="00550C55"/>
    <w:rsid w:val="00557956"/>
    <w:rsid w:val="00560BE0"/>
    <w:rsid w:val="00560E63"/>
    <w:rsid w:val="00562787"/>
    <w:rsid w:val="00562D59"/>
    <w:rsid w:val="005909D2"/>
    <w:rsid w:val="00595839"/>
    <w:rsid w:val="005961E6"/>
    <w:rsid w:val="0059771C"/>
    <w:rsid w:val="005A0E1B"/>
    <w:rsid w:val="005A7FB3"/>
    <w:rsid w:val="005B2B6A"/>
    <w:rsid w:val="005B56C9"/>
    <w:rsid w:val="005B5FB8"/>
    <w:rsid w:val="005D2103"/>
    <w:rsid w:val="005D5469"/>
    <w:rsid w:val="005D6AD1"/>
    <w:rsid w:val="005D6DF8"/>
    <w:rsid w:val="00607D87"/>
    <w:rsid w:val="00621155"/>
    <w:rsid w:val="00624F32"/>
    <w:rsid w:val="00626C56"/>
    <w:rsid w:val="006367AC"/>
    <w:rsid w:val="00642881"/>
    <w:rsid w:val="00645B90"/>
    <w:rsid w:val="006602FF"/>
    <w:rsid w:val="006715CC"/>
    <w:rsid w:val="00680375"/>
    <w:rsid w:val="006830E7"/>
    <w:rsid w:val="006925B2"/>
    <w:rsid w:val="00694AA1"/>
    <w:rsid w:val="006B092A"/>
    <w:rsid w:val="006B7875"/>
    <w:rsid w:val="006C198F"/>
    <w:rsid w:val="006C7017"/>
    <w:rsid w:val="006D1776"/>
    <w:rsid w:val="006D3A54"/>
    <w:rsid w:val="006D5CB0"/>
    <w:rsid w:val="006E79F8"/>
    <w:rsid w:val="006F09D6"/>
    <w:rsid w:val="006F238F"/>
    <w:rsid w:val="006F25E3"/>
    <w:rsid w:val="006F3A15"/>
    <w:rsid w:val="006F68BD"/>
    <w:rsid w:val="00704D8A"/>
    <w:rsid w:val="00707C5B"/>
    <w:rsid w:val="00711064"/>
    <w:rsid w:val="00725E58"/>
    <w:rsid w:val="007265D2"/>
    <w:rsid w:val="0074012F"/>
    <w:rsid w:val="0074224E"/>
    <w:rsid w:val="00746E4A"/>
    <w:rsid w:val="00753AB7"/>
    <w:rsid w:val="0076383F"/>
    <w:rsid w:val="0077574F"/>
    <w:rsid w:val="00784AB8"/>
    <w:rsid w:val="0078706E"/>
    <w:rsid w:val="007A05BB"/>
    <w:rsid w:val="007A539D"/>
    <w:rsid w:val="007B3F2B"/>
    <w:rsid w:val="007B509B"/>
    <w:rsid w:val="007C3384"/>
    <w:rsid w:val="007D4432"/>
    <w:rsid w:val="007D6F26"/>
    <w:rsid w:val="007E1D6D"/>
    <w:rsid w:val="007E2754"/>
    <w:rsid w:val="007E7C3A"/>
    <w:rsid w:val="007F3368"/>
    <w:rsid w:val="00804E0B"/>
    <w:rsid w:val="00814F4D"/>
    <w:rsid w:val="00822549"/>
    <w:rsid w:val="00823123"/>
    <w:rsid w:val="00832513"/>
    <w:rsid w:val="00832D82"/>
    <w:rsid w:val="00835090"/>
    <w:rsid w:val="00845510"/>
    <w:rsid w:val="00846005"/>
    <w:rsid w:val="0085327D"/>
    <w:rsid w:val="00868AEB"/>
    <w:rsid w:val="00870E96"/>
    <w:rsid w:val="00872050"/>
    <w:rsid w:val="00873BBC"/>
    <w:rsid w:val="00895B04"/>
    <w:rsid w:val="00897F55"/>
    <w:rsid w:val="008A56BE"/>
    <w:rsid w:val="008C34E3"/>
    <w:rsid w:val="008C3EB8"/>
    <w:rsid w:val="008D2054"/>
    <w:rsid w:val="008D5469"/>
    <w:rsid w:val="008D7C3D"/>
    <w:rsid w:val="008E1704"/>
    <w:rsid w:val="008E2CEE"/>
    <w:rsid w:val="008F44EC"/>
    <w:rsid w:val="0091450B"/>
    <w:rsid w:val="00920F0B"/>
    <w:rsid w:val="00924407"/>
    <w:rsid w:val="0092745A"/>
    <w:rsid w:val="00927A20"/>
    <w:rsid w:val="0095677F"/>
    <w:rsid w:val="00961394"/>
    <w:rsid w:val="00961AE6"/>
    <w:rsid w:val="00975B02"/>
    <w:rsid w:val="0099500A"/>
    <w:rsid w:val="009A0D8F"/>
    <w:rsid w:val="009B65F2"/>
    <w:rsid w:val="009B6DF8"/>
    <w:rsid w:val="009D02FD"/>
    <w:rsid w:val="009D1092"/>
    <w:rsid w:val="009E24DA"/>
    <w:rsid w:val="009E37C6"/>
    <w:rsid w:val="009E3CE1"/>
    <w:rsid w:val="009E7CB5"/>
    <w:rsid w:val="009F19D0"/>
    <w:rsid w:val="009F5012"/>
    <w:rsid w:val="009F79E0"/>
    <w:rsid w:val="00A00FF5"/>
    <w:rsid w:val="00A01CC8"/>
    <w:rsid w:val="00A02231"/>
    <w:rsid w:val="00A06AEE"/>
    <w:rsid w:val="00A10115"/>
    <w:rsid w:val="00A101BF"/>
    <w:rsid w:val="00A11898"/>
    <w:rsid w:val="00A125C7"/>
    <w:rsid w:val="00A13C17"/>
    <w:rsid w:val="00A14F9F"/>
    <w:rsid w:val="00A32084"/>
    <w:rsid w:val="00A35502"/>
    <w:rsid w:val="00A41C8E"/>
    <w:rsid w:val="00A42203"/>
    <w:rsid w:val="00A547FD"/>
    <w:rsid w:val="00A66296"/>
    <w:rsid w:val="00A679C8"/>
    <w:rsid w:val="00A70DEA"/>
    <w:rsid w:val="00A71A7E"/>
    <w:rsid w:val="00A7207B"/>
    <w:rsid w:val="00A742F5"/>
    <w:rsid w:val="00A76F4C"/>
    <w:rsid w:val="00A77A88"/>
    <w:rsid w:val="00A83B2A"/>
    <w:rsid w:val="00A879BF"/>
    <w:rsid w:val="00AA3168"/>
    <w:rsid w:val="00AA4749"/>
    <w:rsid w:val="00AB4C93"/>
    <w:rsid w:val="00AB550F"/>
    <w:rsid w:val="00AB56D9"/>
    <w:rsid w:val="00AB6046"/>
    <w:rsid w:val="00AB6E95"/>
    <w:rsid w:val="00AC6F2B"/>
    <w:rsid w:val="00AD06B9"/>
    <w:rsid w:val="00AD4E31"/>
    <w:rsid w:val="00AE1759"/>
    <w:rsid w:val="00AE398E"/>
    <w:rsid w:val="00AF6F16"/>
    <w:rsid w:val="00B20B89"/>
    <w:rsid w:val="00B21EBC"/>
    <w:rsid w:val="00B22456"/>
    <w:rsid w:val="00B24AA9"/>
    <w:rsid w:val="00B301CA"/>
    <w:rsid w:val="00B33CC8"/>
    <w:rsid w:val="00B35954"/>
    <w:rsid w:val="00B36667"/>
    <w:rsid w:val="00B4383E"/>
    <w:rsid w:val="00B46DCD"/>
    <w:rsid w:val="00B47EDA"/>
    <w:rsid w:val="00B5511D"/>
    <w:rsid w:val="00B55550"/>
    <w:rsid w:val="00B566FD"/>
    <w:rsid w:val="00B56A91"/>
    <w:rsid w:val="00B6258F"/>
    <w:rsid w:val="00B64C34"/>
    <w:rsid w:val="00B64F49"/>
    <w:rsid w:val="00B74728"/>
    <w:rsid w:val="00B77597"/>
    <w:rsid w:val="00B77C09"/>
    <w:rsid w:val="00B864EC"/>
    <w:rsid w:val="00B874A6"/>
    <w:rsid w:val="00BA3FBA"/>
    <w:rsid w:val="00BA6BC5"/>
    <w:rsid w:val="00BB38C1"/>
    <w:rsid w:val="00BB669D"/>
    <w:rsid w:val="00BD0445"/>
    <w:rsid w:val="00BD4408"/>
    <w:rsid w:val="00BD604E"/>
    <w:rsid w:val="00BD7C50"/>
    <w:rsid w:val="00BD7C9A"/>
    <w:rsid w:val="00BE3BFF"/>
    <w:rsid w:val="00BF4166"/>
    <w:rsid w:val="00C03DD7"/>
    <w:rsid w:val="00C1459F"/>
    <w:rsid w:val="00C368C6"/>
    <w:rsid w:val="00C37719"/>
    <w:rsid w:val="00C41FBE"/>
    <w:rsid w:val="00C4425F"/>
    <w:rsid w:val="00C5176C"/>
    <w:rsid w:val="00C54383"/>
    <w:rsid w:val="00C60FF0"/>
    <w:rsid w:val="00C63E8D"/>
    <w:rsid w:val="00C66124"/>
    <w:rsid w:val="00C67FFD"/>
    <w:rsid w:val="00C724F8"/>
    <w:rsid w:val="00C91ACF"/>
    <w:rsid w:val="00C92983"/>
    <w:rsid w:val="00C94F4C"/>
    <w:rsid w:val="00CA65AE"/>
    <w:rsid w:val="00CB0BBC"/>
    <w:rsid w:val="00CB133D"/>
    <w:rsid w:val="00CB2FBF"/>
    <w:rsid w:val="00CB58AE"/>
    <w:rsid w:val="00CC4B4C"/>
    <w:rsid w:val="00CE62C6"/>
    <w:rsid w:val="00D03F69"/>
    <w:rsid w:val="00D05BCB"/>
    <w:rsid w:val="00D10CA0"/>
    <w:rsid w:val="00D13BF1"/>
    <w:rsid w:val="00D23547"/>
    <w:rsid w:val="00D313D2"/>
    <w:rsid w:val="00D3655D"/>
    <w:rsid w:val="00D45151"/>
    <w:rsid w:val="00D52915"/>
    <w:rsid w:val="00D61493"/>
    <w:rsid w:val="00D65B0B"/>
    <w:rsid w:val="00D75DDC"/>
    <w:rsid w:val="00D76DD7"/>
    <w:rsid w:val="00D80567"/>
    <w:rsid w:val="00DA1917"/>
    <w:rsid w:val="00DA6BD0"/>
    <w:rsid w:val="00DB105B"/>
    <w:rsid w:val="00DC1DD3"/>
    <w:rsid w:val="00E05B5D"/>
    <w:rsid w:val="00E05DA9"/>
    <w:rsid w:val="00E071C1"/>
    <w:rsid w:val="00E0728F"/>
    <w:rsid w:val="00E10756"/>
    <w:rsid w:val="00E17D55"/>
    <w:rsid w:val="00E20630"/>
    <w:rsid w:val="00E253EF"/>
    <w:rsid w:val="00E2569B"/>
    <w:rsid w:val="00E37235"/>
    <w:rsid w:val="00E37CCA"/>
    <w:rsid w:val="00E41836"/>
    <w:rsid w:val="00E41A25"/>
    <w:rsid w:val="00E41E14"/>
    <w:rsid w:val="00E5343B"/>
    <w:rsid w:val="00E56150"/>
    <w:rsid w:val="00E8144D"/>
    <w:rsid w:val="00E82547"/>
    <w:rsid w:val="00E84594"/>
    <w:rsid w:val="00E86EBA"/>
    <w:rsid w:val="00E87184"/>
    <w:rsid w:val="00E91194"/>
    <w:rsid w:val="00E92C2F"/>
    <w:rsid w:val="00EA0A80"/>
    <w:rsid w:val="00EB2589"/>
    <w:rsid w:val="00EC7FD1"/>
    <w:rsid w:val="00ED05C3"/>
    <w:rsid w:val="00EE16B3"/>
    <w:rsid w:val="00EE5588"/>
    <w:rsid w:val="00F01C59"/>
    <w:rsid w:val="00F03AA3"/>
    <w:rsid w:val="00F05A72"/>
    <w:rsid w:val="00F176E8"/>
    <w:rsid w:val="00F209E4"/>
    <w:rsid w:val="00F21EBA"/>
    <w:rsid w:val="00F33BAD"/>
    <w:rsid w:val="00F41C5E"/>
    <w:rsid w:val="00F42C52"/>
    <w:rsid w:val="00F52039"/>
    <w:rsid w:val="00F54632"/>
    <w:rsid w:val="00F60BBF"/>
    <w:rsid w:val="00F6118B"/>
    <w:rsid w:val="00F7395D"/>
    <w:rsid w:val="00F95E34"/>
    <w:rsid w:val="00F9676E"/>
    <w:rsid w:val="00FA1A6A"/>
    <w:rsid w:val="00FA468A"/>
    <w:rsid w:val="00FA49F0"/>
    <w:rsid w:val="00FB30FD"/>
    <w:rsid w:val="00FC43BD"/>
    <w:rsid w:val="00FE3C0A"/>
    <w:rsid w:val="00FE4139"/>
    <w:rsid w:val="00FE46B4"/>
    <w:rsid w:val="00FE793D"/>
    <w:rsid w:val="00FF68FF"/>
    <w:rsid w:val="0123A876"/>
    <w:rsid w:val="017C5153"/>
    <w:rsid w:val="017FF5AE"/>
    <w:rsid w:val="01B312F1"/>
    <w:rsid w:val="01E64D27"/>
    <w:rsid w:val="021ADE5C"/>
    <w:rsid w:val="028D882B"/>
    <w:rsid w:val="02B3FB73"/>
    <w:rsid w:val="0350CFFE"/>
    <w:rsid w:val="03807ACA"/>
    <w:rsid w:val="03AA35E0"/>
    <w:rsid w:val="049502CC"/>
    <w:rsid w:val="057562DC"/>
    <w:rsid w:val="05BE963B"/>
    <w:rsid w:val="06483C1D"/>
    <w:rsid w:val="07E24448"/>
    <w:rsid w:val="09028955"/>
    <w:rsid w:val="0AF34BB3"/>
    <w:rsid w:val="0BA1C1DA"/>
    <w:rsid w:val="0CA6B49F"/>
    <w:rsid w:val="0D02B3D6"/>
    <w:rsid w:val="0D7D6A6C"/>
    <w:rsid w:val="0DC7CD0B"/>
    <w:rsid w:val="0DEE53B4"/>
    <w:rsid w:val="0E33E19E"/>
    <w:rsid w:val="0E7F42FF"/>
    <w:rsid w:val="0E951C16"/>
    <w:rsid w:val="0FE7D6A1"/>
    <w:rsid w:val="104EABFB"/>
    <w:rsid w:val="1177832E"/>
    <w:rsid w:val="11989F36"/>
    <w:rsid w:val="119C69F2"/>
    <w:rsid w:val="124450BA"/>
    <w:rsid w:val="126FFFB0"/>
    <w:rsid w:val="12A2A9D0"/>
    <w:rsid w:val="13598008"/>
    <w:rsid w:val="1448831E"/>
    <w:rsid w:val="148F5E97"/>
    <w:rsid w:val="15193379"/>
    <w:rsid w:val="151F58E2"/>
    <w:rsid w:val="155C098A"/>
    <w:rsid w:val="15817136"/>
    <w:rsid w:val="15C14DB0"/>
    <w:rsid w:val="15DAAEC3"/>
    <w:rsid w:val="1615C947"/>
    <w:rsid w:val="166491D1"/>
    <w:rsid w:val="16F79DE4"/>
    <w:rsid w:val="1797740C"/>
    <w:rsid w:val="1797873A"/>
    <w:rsid w:val="17B53312"/>
    <w:rsid w:val="183872F2"/>
    <w:rsid w:val="18FEF556"/>
    <w:rsid w:val="19EBB82D"/>
    <w:rsid w:val="1A9FFBCB"/>
    <w:rsid w:val="1ABC8C5F"/>
    <w:rsid w:val="1AF9DB01"/>
    <w:rsid w:val="1B15384F"/>
    <w:rsid w:val="1B376D39"/>
    <w:rsid w:val="1B9A1B52"/>
    <w:rsid w:val="1C416DC8"/>
    <w:rsid w:val="1C99A047"/>
    <w:rsid w:val="1CD576DF"/>
    <w:rsid w:val="1D1EA703"/>
    <w:rsid w:val="1D924298"/>
    <w:rsid w:val="1DC361E5"/>
    <w:rsid w:val="1EA62AEB"/>
    <w:rsid w:val="1EAC1ABF"/>
    <w:rsid w:val="1FAF98BF"/>
    <w:rsid w:val="1FD6F927"/>
    <w:rsid w:val="201342F5"/>
    <w:rsid w:val="204CD23B"/>
    <w:rsid w:val="21AF6215"/>
    <w:rsid w:val="22BF3AEB"/>
    <w:rsid w:val="23114C1B"/>
    <w:rsid w:val="235F24F9"/>
    <w:rsid w:val="2437AB37"/>
    <w:rsid w:val="248103B2"/>
    <w:rsid w:val="25103D53"/>
    <w:rsid w:val="25927FC2"/>
    <w:rsid w:val="25AFC043"/>
    <w:rsid w:val="25C6D2C1"/>
    <w:rsid w:val="265FED0D"/>
    <w:rsid w:val="2704101F"/>
    <w:rsid w:val="2768DCE0"/>
    <w:rsid w:val="278427ED"/>
    <w:rsid w:val="278B9167"/>
    <w:rsid w:val="279C5843"/>
    <w:rsid w:val="27DCB11E"/>
    <w:rsid w:val="27DE5201"/>
    <w:rsid w:val="27FECCF5"/>
    <w:rsid w:val="2858E6BA"/>
    <w:rsid w:val="2909C5A0"/>
    <w:rsid w:val="29222146"/>
    <w:rsid w:val="29A18962"/>
    <w:rsid w:val="29EA4738"/>
    <w:rsid w:val="2A430B89"/>
    <w:rsid w:val="2A4E9B45"/>
    <w:rsid w:val="2ABE7347"/>
    <w:rsid w:val="2B091F08"/>
    <w:rsid w:val="2B2D7300"/>
    <w:rsid w:val="2B3A906F"/>
    <w:rsid w:val="2BEB19BE"/>
    <w:rsid w:val="2BF88A4C"/>
    <w:rsid w:val="2CF4625F"/>
    <w:rsid w:val="2D421F92"/>
    <w:rsid w:val="2D6B67CF"/>
    <w:rsid w:val="302CF2A1"/>
    <w:rsid w:val="30544540"/>
    <w:rsid w:val="316A69B8"/>
    <w:rsid w:val="316D7426"/>
    <w:rsid w:val="32BE43CD"/>
    <w:rsid w:val="333D933D"/>
    <w:rsid w:val="33C6D2D9"/>
    <w:rsid w:val="3464373B"/>
    <w:rsid w:val="3592CA48"/>
    <w:rsid w:val="3597B107"/>
    <w:rsid w:val="369E7E7B"/>
    <w:rsid w:val="37B468E7"/>
    <w:rsid w:val="37C50F70"/>
    <w:rsid w:val="380D5F44"/>
    <w:rsid w:val="395644F8"/>
    <w:rsid w:val="39AC4470"/>
    <w:rsid w:val="3B1DDE6A"/>
    <w:rsid w:val="3B793B6F"/>
    <w:rsid w:val="3CBF8EFB"/>
    <w:rsid w:val="3CE8F45B"/>
    <w:rsid w:val="3D2FA75C"/>
    <w:rsid w:val="3D6A8A30"/>
    <w:rsid w:val="3DBAC197"/>
    <w:rsid w:val="3E0BCC1E"/>
    <w:rsid w:val="3E2CF633"/>
    <w:rsid w:val="411B53B3"/>
    <w:rsid w:val="424C2527"/>
    <w:rsid w:val="42602CC1"/>
    <w:rsid w:val="42A70A41"/>
    <w:rsid w:val="436D8CD1"/>
    <w:rsid w:val="440BB9FC"/>
    <w:rsid w:val="441174E4"/>
    <w:rsid w:val="44174705"/>
    <w:rsid w:val="448367EF"/>
    <w:rsid w:val="44999B46"/>
    <w:rsid w:val="44B89323"/>
    <w:rsid w:val="44E62D43"/>
    <w:rsid w:val="46D13508"/>
    <w:rsid w:val="47408FEF"/>
    <w:rsid w:val="47A7067F"/>
    <w:rsid w:val="47B9AA9A"/>
    <w:rsid w:val="47E3031F"/>
    <w:rsid w:val="4809E826"/>
    <w:rsid w:val="487A7105"/>
    <w:rsid w:val="48A6362D"/>
    <w:rsid w:val="48ABF65A"/>
    <w:rsid w:val="4951659E"/>
    <w:rsid w:val="49C97452"/>
    <w:rsid w:val="49E20186"/>
    <w:rsid w:val="4A3AB329"/>
    <w:rsid w:val="4AB5AA8C"/>
    <w:rsid w:val="4ACA8FF1"/>
    <w:rsid w:val="4C7C59C2"/>
    <w:rsid w:val="4D256F9A"/>
    <w:rsid w:val="4E4B4BFD"/>
    <w:rsid w:val="4F4C6E37"/>
    <w:rsid w:val="4F5AC040"/>
    <w:rsid w:val="4F72F4E4"/>
    <w:rsid w:val="502ACBD0"/>
    <w:rsid w:val="503F4E24"/>
    <w:rsid w:val="50B8AB5D"/>
    <w:rsid w:val="50EC123D"/>
    <w:rsid w:val="51958B16"/>
    <w:rsid w:val="51BD164B"/>
    <w:rsid w:val="527FD5C5"/>
    <w:rsid w:val="52F16CAB"/>
    <w:rsid w:val="531E9906"/>
    <w:rsid w:val="53CEF390"/>
    <w:rsid w:val="5428F175"/>
    <w:rsid w:val="542F9D68"/>
    <w:rsid w:val="54620B2D"/>
    <w:rsid w:val="5482673B"/>
    <w:rsid w:val="54C50BDD"/>
    <w:rsid w:val="54ED3237"/>
    <w:rsid w:val="556C7C2F"/>
    <w:rsid w:val="55C6400D"/>
    <w:rsid w:val="564DBEF8"/>
    <w:rsid w:val="56AABCA0"/>
    <w:rsid w:val="574E6E95"/>
    <w:rsid w:val="5758F2DF"/>
    <w:rsid w:val="579DA466"/>
    <w:rsid w:val="591FBB44"/>
    <w:rsid w:val="5B81CF6D"/>
    <w:rsid w:val="5CF61C4F"/>
    <w:rsid w:val="5D7740C3"/>
    <w:rsid w:val="5E3B2763"/>
    <w:rsid w:val="5E976F53"/>
    <w:rsid w:val="5FA6AE57"/>
    <w:rsid w:val="60A34377"/>
    <w:rsid w:val="61B04AA8"/>
    <w:rsid w:val="6233FD76"/>
    <w:rsid w:val="62706397"/>
    <w:rsid w:val="629E5E59"/>
    <w:rsid w:val="6306F5FB"/>
    <w:rsid w:val="6314BA8C"/>
    <w:rsid w:val="6358F0AA"/>
    <w:rsid w:val="63B2376C"/>
    <w:rsid w:val="63E3C48F"/>
    <w:rsid w:val="641623EB"/>
    <w:rsid w:val="642702B1"/>
    <w:rsid w:val="646BF944"/>
    <w:rsid w:val="6555B01C"/>
    <w:rsid w:val="658F28AC"/>
    <w:rsid w:val="65B97DEF"/>
    <w:rsid w:val="660C5612"/>
    <w:rsid w:val="6611BDAF"/>
    <w:rsid w:val="67345CBD"/>
    <w:rsid w:val="6734B529"/>
    <w:rsid w:val="67BD3365"/>
    <w:rsid w:val="67C97EB6"/>
    <w:rsid w:val="689BCD03"/>
    <w:rsid w:val="68BF4B79"/>
    <w:rsid w:val="6943827D"/>
    <w:rsid w:val="698BB669"/>
    <w:rsid w:val="69CA45AF"/>
    <w:rsid w:val="69FEA2FF"/>
    <w:rsid w:val="6BBC25FE"/>
    <w:rsid w:val="6C1E920A"/>
    <w:rsid w:val="6C4BF4C7"/>
    <w:rsid w:val="6C574ADE"/>
    <w:rsid w:val="6DF4D40B"/>
    <w:rsid w:val="6E96ED48"/>
    <w:rsid w:val="6F0E6F0A"/>
    <w:rsid w:val="700801BC"/>
    <w:rsid w:val="706C0153"/>
    <w:rsid w:val="710195FF"/>
    <w:rsid w:val="716B7A65"/>
    <w:rsid w:val="717E7313"/>
    <w:rsid w:val="734ADF78"/>
    <w:rsid w:val="73BB8810"/>
    <w:rsid w:val="7411D710"/>
    <w:rsid w:val="74DC5BE8"/>
    <w:rsid w:val="7666085E"/>
    <w:rsid w:val="76932800"/>
    <w:rsid w:val="7796896C"/>
    <w:rsid w:val="78E38CCA"/>
    <w:rsid w:val="791EEF2B"/>
    <w:rsid w:val="79322911"/>
    <w:rsid w:val="7952628D"/>
    <w:rsid w:val="7A032BA1"/>
    <w:rsid w:val="7BC3A1BE"/>
    <w:rsid w:val="7C8BEEE9"/>
    <w:rsid w:val="7CE869D0"/>
    <w:rsid w:val="7D84E004"/>
    <w:rsid w:val="7D86849A"/>
    <w:rsid w:val="7D9863AD"/>
    <w:rsid w:val="7DB3BB39"/>
    <w:rsid w:val="7DF08AD5"/>
    <w:rsid w:val="7E68EC04"/>
    <w:rsid w:val="7EF0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B82D"/>
  <w15:chartTrackingRefBased/>
  <w15:docId w15:val="{06C9FB9B-302F-40CD-8DA1-132859E2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2FF"/>
    <w:pPr>
      <w:ind w:left="720"/>
      <w:contextualSpacing/>
    </w:pPr>
  </w:style>
  <w:style w:type="character" w:customStyle="1" w:styleId="normaltextrun">
    <w:name w:val="normaltextrun"/>
    <w:basedOn w:val="DefaultParagraphFont"/>
    <w:rsid w:val="00507055"/>
  </w:style>
  <w:style w:type="character" w:customStyle="1" w:styleId="eop">
    <w:name w:val="eop"/>
    <w:basedOn w:val="DefaultParagraphFont"/>
    <w:rsid w:val="00507055"/>
  </w:style>
  <w:style w:type="paragraph" w:customStyle="1" w:styleId="paragraph">
    <w:name w:val="paragraph"/>
    <w:basedOn w:val="Normal"/>
    <w:rsid w:val="0041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efaultParagraphFont"/>
    <w:rsid w:val="00B77597"/>
  </w:style>
  <w:style w:type="character" w:styleId="CommentReference">
    <w:name w:val="annotation reference"/>
    <w:basedOn w:val="DefaultParagraphFont"/>
    <w:uiPriority w:val="99"/>
    <w:semiHidden/>
    <w:unhideWhenUsed/>
    <w:rsid w:val="009E2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4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DA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133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13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133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A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FB3"/>
  </w:style>
  <w:style w:type="paragraph" w:styleId="Footer">
    <w:name w:val="footer"/>
    <w:basedOn w:val="Normal"/>
    <w:link w:val="FooterChar"/>
    <w:uiPriority w:val="99"/>
    <w:semiHidden/>
    <w:unhideWhenUsed/>
    <w:rsid w:val="005A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FB3"/>
  </w:style>
  <w:style w:type="table" w:styleId="TableGrid">
    <w:name w:val="Table Grid"/>
    <w:basedOn w:val="TableNormal"/>
    <w:uiPriority w:val="59"/>
    <w:rsid w:val="00CC4B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DE481BC26264CB5AC0C31699053DA" ma:contentTypeVersion="6" ma:contentTypeDescription="Utwórz nowy dokument." ma:contentTypeScope="" ma:versionID="a90e9a516704deea63a9e597892c6a13">
  <xsd:schema xmlns:xsd="http://www.w3.org/2001/XMLSchema" xmlns:xs="http://www.w3.org/2001/XMLSchema" xmlns:p="http://schemas.microsoft.com/office/2006/metadata/properties" xmlns:ns2="f2789a38-6775-45ee-8011-5c828bc06e88" xmlns:ns3="fb02f2bd-e348-460b-a63e-d1263f35e561" targetNamespace="http://schemas.microsoft.com/office/2006/metadata/properties" ma:root="true" ma:fieldsID="c312e48511aea34464baf7392d0e7617" ns2:_="" ns3:_="">
    <xsd:import namespace="f2789a38-6775-45ee-8011-5c828bc06e88"/>
    <xsd:import namespace="fb02f2bd-e348-460b-a63e-d1263f35e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89a38-6775-45ee-8011-5c828bc06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2f2bd-e348-460b-a63e-d1263f35e5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CB009-E42C-487B-9348-52265E981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89a38-6775-45ee-8011-5c828bc06e88"/>
    <ds:schemaRef ds:uri="fb02f2bd-e348-460b-a63e-d1263f35e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9814C-38A2-48C2-B5A2-610345119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90808E-BE8C-4AC7-8E38-03FCF260B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3334</Words>
  <Characters>19006</Characters>
  <Application>Microsoft Office Word</Application>
  <DocSecurity>4</DocSecurity>
  <Lines>158</Lines>
  <Paragraphs>44</Paragraphs>
  <ScaleCrop>false</ScaleCrop>
  <Company/>
  <LinksUpToDate>false</LinksUpToDate>
  <CharactersWithSpaces>22296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Lewandowski</dc:creator>
  <cp:keywords/>
  <dc:description/>
  <cp:lastModifiedBy>Krzysztof Nowak</cp:lastModifiedBy>
  <cp:revision>83</cp:revision>
  <dcterms:created xsi:type="dcterms:W3CDTF">2020-03-08T02:05:00Z</dcterms:created>
  <dcterms:modified xsi:type="dcterms:W3CDTF">2020-03-07T12:20:00Z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0x010100B9FDE481BC26264CB5AC0C31699053DA</vt:lpwstr>
  </property>
</Properties>
</file>