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23" w:rsidRPr="00DF6479" w:rsidRDefault="00AD0723" w:rsidP="00AD0723">
      <w:pPr>
        <w:pStyle w:val="Spis1"/>
        <w:rPr>
          <w:b w:val="0"/>
        </w:rPr>
      </w:pPr>
      <w:bookmarkStart w:id="0" w:name="_Toc509841100"/>
      <w:r w:rsidRPr="00DF6479">
        <w:t>Dodatkowe noty i objaśnienia</w:t>
      </w:r>
      <w:bookmarkEnd w:id="0"/>
    </w:p>
    <w:p w:rsidR="00AD0723" w:rsidRPr="00DF6479" w:rsidRDefault="00AD0723" w:rsidP="00AD0723">
      <w:pPr>
        <w:rPr>
          <w:rFonts w:cs="Tahoma"/>
          <w:b/>
        </w:rPr>
      </w:pPr>
    </w:p>
    <w:p w:rsidR="00AD0723" w:rsidRPr="00DF6479" w:rsidRDefault="00AD0723" w:rsidP="00AD0723">
      <w:pPr>
        <w:pStyle w:val="Nagwek1"/>
        <w:numPr>
          <w:ilvl w:val="0"/>
          <w:numId w:val="4"/>
        </w:numPr>
        <w:rPr>
          <w:sz w:val="22"/>
        </w:rPr>
      </w:pPr>
      <w:r w:rsidRPr="00CD5ED4">
        <w:t>INFORMACJE O INSTRUMENTACH FINANSOWYCH </w:t>
      </w:r>
    </w:p>
    <w:p w:rsidR="00AD0723" w:rsidRPr="00DF6479" w:rsidRDefault="00AD0723" w:rsidP="00AD0723">
      <w:pPr>
        <w:contextualSpacing/>
        <w:rPr>
          <w:rFonts w:cs="Tahoma"/>
          <w:b/>
          <w:sz w:val="22"/>
          <w:szCs w:val="22"/>
        </w:rPr>
      </w:pPr>
    </w:p>
    <w:tbl>
      <w:tblPr>
        <w:tblW w:w="12753" w:type="dxa"/>
        <w:tblCellMar>
          <w:left w:w="70" w:type="dxa"/>
          <w:right w:w="70" w:type="dxa"/>
        </w:tblCellMar>
        <w:tblLook w:val="04A0" w:firstRow="1" w:lastRow="0" w:firstColumn="1" w:lastColumn="0" w:noHBand="0" w:noVBand="1"/>
      </w:tblPr>
      <w:tblGrid>
        <w:gridCol w:w="494"/>
        <w:gridCol w:w="4638"/>
        <w:gridCol w:w="1258"/>
        <w:gridCol w:w="1371"/>
        <w:gridCol w:w="1239"/>
        <w:gridCol w:w="1371"/>
        <w:gridCol w:w="908"/>
        <w:gridCol w:w="1320"/>
        <w:gridCol w:w="1320"/>
      </w:tblGrid>
      <w:tr w:rsidR="00AD0723" w:rsidRPr="006C4B43" w:rsidTr="006D3597">
        <w:trPr>
          <w:trHeight w:val="288"/>
        </w:trPr>
        <w:tc>
          <w:tcPr>
            <w:tcW w:w="39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Kategoria</w:t>
            </w:r>
          </w:p>
        </w:tc>
        <w:tc>
          <w:tcPr>
            <w:tcW w:w="2629" w:type="dxa"/>
            <w:gridSpan w:val="2"/>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Wartość bilansowa </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Wartość godziwa </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Sposób wyceny na dzień bilansowy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Skutki przeszacowania odniesione w wynik finansowy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Skutki przeszacowania odniesione w kapitał własny </w:t>
            </w:r>
          </w:p>
        </w:tc>
      </w:tr>
      <w:tr w:rsidR="00AD0723" w:rsidRPr="006C4B43" w:rsidTr="006D3597">
        <w:trPr>
          <w:trHeight w:val="1464"/>
        </w:trPr>
        <w:tc>
          <w:tcPr>
            <w:tcW w:w="3966" w:type="dxa"/>
            <w:gridSpan w:val="2"/>
            <w:vMerge/>
            <w:tcBorders>
              <w:top w:val="single" w:sz="4" w:space="0" w:color="auto"/>
              <w:left w:val="single" w:sz="4" w:space="0" w:color="auto"/>
              <w:bottom w:val="single" w:sz="4" w:space="0" w:color="auto"/>
              <w:right w:val="single" w:sz="4" w:space="0" w:color="auto"/>
            </w:tcBorders>
            <w:vAlign w:val="center"/>
            <w:hideMark/>
          </w:tcPr>
          <w:p w:rsidR="00AD0723" w:rsidRPr="00DF6479" w:rsidRDefault="00AD0723" w:rsidP="006D3597">
            <w:pPr>
              <w:rPr>
                <w:b/>
                <w:bCs/>
                <w:sz w:val="18"/>
                <w:szCs w:val="18"/>
              </w:rPr>
            </w:pPr>
          </w:p>
        </w:tc>
        <w:tc>
          <w:tcPr>
            <w:tcW w:w="1258"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31.12.2017 </w:t>
            </w:r>
          </w:p>
        </w:tc>
        <w:tc>
          <w:tcPr>
            <w:tcW w:w="1371"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31.12.2016 </w:t>
            </w:r>
          </w:p>
        </w:tc>
        <w:tc>
          <w:tcPr>
            <w:tcW w:w="1239"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31.12.2017 </w:t>
            </w:r>
          </w:p>
        </w:tc>
        <w:tc>
          <w:tcPr>
            <w:tcW w:w="1371"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b/>
                <w:bCs/>
                <w:sz w:val="18"/>
                <w:szCs w:val="18"/>
              </w:rPr>
            </w:pPr>
            <w:r w:rsidRPr="00DF6479">
              <w:rPr>
                <w:b/>
                <w:bCs/>
                <w:sz w:val="18"/>
                <w:szCs w:val="18"/>
              </w:rPr>
              <w:t xml:space="preserve"> 31.12.2016 </w:t>
            </w: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AD0723" w:rsidRPr="00DF6479" w:rsidRDefault="00AD0723" w:rsidP="006D3597">
            <w:pPr>
              <w:rPr>
                <w:b/>
                <w:bCs/>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AD0723" w:rsidRPr="00DF6479" w:rsidRDefault="00AD0723" w:rsidP="006D3597">
            <w:pPr>
              <w:rPr>
                <w:b/>
                <w:bCs/>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AD0723" w:rsidRPr="00DF6479" w:rsidRDefault="00AD0723" w:rsidP="006D3597">
            <w:pPr>
              <w:rPr>
                <w:b/>
                <w:bCs/>
                <w:sz w:val="18"/>
                <w:szCs w:val="18"/>
              </w:rPr>
            </w:pPr>
          </w:p>
        </w:tc>
      </w:tr>
      <w:tr w:rsidR="00AD0723" w:rsidRPr="006C4B43" w:rsidTr="006D3597">
        <w:trPr>
          <w:trHeight w:val="288"/>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Aktywa finansowe przeznaczone do obrotu, w tym:</w:t>
            </w:r>
          </w:p>
        </w:tc>
        <w:tc>
          <w:tcPr>
            <w:tcW w:w="8787" w:type="dxa"/>
            <w:gridSpan w:val="7"/>
            <w:tcBorders>
              <w:top w:val="single" w:sz="4" w:space="0" w:color="auto"/>
              <w:left w:val="nil"/>
              <w:bottom w:val="single" w:sz="4" w:space="0" w:color="auto"/>
              <w:right w:val="single" w:sz="4" w:space="0" w:color="auto"/>
            </w:tcBorders>
            <w:shd w:val="clear" w:color="auto" w:fill="auto"/>
            <w:vAlign w:val="bottom"/>
            <w:hideMark/>
          </w:tcPr>
          <w:p w:rsidR="00AD0723" w:rsidRPr="00DF6479" w:rsidRDefault="00AD0723" w:rsidP="006D3597">
            <w:pPr>
              <w:rPr>
                <w:color w:val="000000"/>
                <w:sz w:val="18"/>
                <w:szCs w:val="18"/>
              </w:rPr>
            </w:pPr>
            <w:r w:rsidRPr="00DF6479">
              <w:rPr>
                <w:color w:val="000000"/>
                <w:sz w:val="18"/>
                <w:szCs w:val="18"/>
              </w:rPr>
              <w:t> </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instrumenty pochodne</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480"/>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akcje w jednostkach notowanych na aktywnym rynku</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akcje/ udziały w pozostałych jednostkach</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Aktywa finansowe dostępne do sprzedaży, w tym:</w:t>
            </w:r>
          </w:p>
        </w:tc>
        <w:tc>
          <w:tcPr>
            <w:tcW w:w="1258" w:type="dxa"/>
            <w:tcBorders>
              <w:top w:val="nil"/>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right"/>
              <w:rPr>
                <w:color w:val="000000"/>
                <w:sz w:val="18"/>
                <w:szCs w:val="18"/>
              </w:rPr>
            </w:pPr>
          </w:p>
        </w:tc>
        <w:tc>
          <w:tcPr>
            <w:tcW w:w="1320"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right"/>
              <w:rPr>
                <w:color w:val="000000"/>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jc w:val="right"/>
              <w:rPr>
                <w:color w:val="000000"/>
                <w:sz w:val="18"/>
                <w:szCs w:val="18"/>
              </w:rPr>
            </w:pPr>
            <w:r>
              <w:rPr>
                <w:sz w:val="18"/>
                <w:szCs w:val="18"/>
              </w:rPr>
              <w:t>-</w:t>
            </w:r>
          </w:p>
        </w:tc>
      </w:tr>
      <w:tr w:rsidR="00AD0723" w:rsidRPr="006C4B43" w:rsidTr="006D3597">
        <w:trPr>
          <w:trHeight w:val="468"/>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akcje w jednostkach notowanych na aktywnym rynku</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528"/>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akcje w jednostkach nienotowanych na aktywnym rynku</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udziały w jednostkach zależnych</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4 604</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4 604</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4 604</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4 604</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K</w:t>
            </w:r>
          </w:p>
        </w:tc>
        <w:tc>
          <w:tcPr>
            <w:tcW w:w="1320"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                 4</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 </w:t>
            </w:r>
          </w:p>
        </w:tc>
      </w:tr>
      <w:tr w:rsidR="00AD0723" w:rsidRPr="006C4B43" w:rsidTr="006D3597">
        <w:trPr>
          <w:trHeight w:val="552"/>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Aktywa finansowe utrzymywane do terminu wymagalności, w tym:</w:t>
            </w:r>
          </w:p>
        </w:tc>
        <w:tc>
          <w:tcPr>
            <w:tcW w:w="8787" w:type="dxa"/>
            <w:gridSpan w:val="7"/>
            <w:tcBorders>
              <w:top w:val="single" w:sz="4" w:space="0" w:color="auto"/>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objęte obligacje</w:t>
            </w:r>
          </w:p>
        </w:tc>
        <w:tc>
          <w:tcPr>
            <w:tcW w:w="125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Pożyczki udzielone i należności własne, w tym:</w:t>
            </w:r>
          </w:p>
        </w:tc>
        <w:tc>
          <w:tcPr>
            <w:tcW w:w="8787" w:type="dxa"/>
            <w:gridSpan w:val="7"/>
            <w:tcBorders>
              <w:top w:val="single" w:sz="4" w:space="0" w:color="auto"/>
              <w:left w:val="nil"/>
              <w:bottom w:val="single" w:sz="4" w:space="0" w:color="auto"/>
              <w:right w:val="single" w:sz="4" w:space="0" w:color="auto"/>
            </w:tcBorders>
            <w:shd w:val="clear" w:color="auto" w:fill="auto"/>
            <w:vAlign w:val="bottom"/>
            <w:hideMark/>
          </w:tcPr>
          <w:p w:rsidR="00AD0723" w:rsidRPr="00DF6479" w:rsidRDefault="00AD0723" w:rsidP="006D3597">
            <w:pPr>
              <w:jc w:val="right"/>
              <w:rPr>
                <w:color w:val="000000"/>
                <w:sz w:val="18"/>
                <w:szCs w:val="18"/>
              </w:rPr>
            </w:pP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udzielone pożyczki</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 xml:space="preserve">                   -    </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należności handlowe</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28 653</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17 791</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28 653</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17 791</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K</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            212</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 xml:space="preserve">                   -    </w:t>
            </w:r>
          </w:p>
        </w:tc>
      </w:tr>
      <w:tr w:rsidR="00AD0723" w:rsidRPr="006C4B43" w:rsidTr="006D3597">
        <w:trPr>
          <w:trHeight w:val="399"/>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Środki pieniężne</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339</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53</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339</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53</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456"/>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lastRenderedPageBreak/>
              <w:t>Zobowiązania finansowe przeznaczone do obrotu, w tym:</w:t>
            </w:r>
          </w:p>
        </w:tc>
        <w:tc>
          <w:tcPr>
            <w:tcW w:w="8787" w:type="dxa"/>
            <w:gridSpan w:val="7"/>
            <w:tcBorders>
              <w:top w:val="single" w:sz="4" w:space="0" w:color="auto"/>
              <w:left w:val="nil"/>
              <w:bottom w:val="single" w:sz="4" w:space="0" w:color="auto"/>
              <w:right w:val="single" w:sz="4" w:space="0" w:color="auto"/>
            </w:tcBorders>
            <w:shd w:val="clear" w:color="auto" w:fill="auto"/>
            <w:vAlign w:val="bottom"/>
            <w:hideMark/>
          </w:tcPr>
          <w:p w:rsidR="00AD0723" w:rsidRPr="00DF6479" w:rsidRDefault="00AD0723" w:rsidP="006D3597">
            <w:pPr>
              <w:rPr>
                <w:color w:val="000000"/>
                <w:sz w:val="18"/>
                <w:szCs w:val="18"/>
              </w:rPr>
            </w:pPr>
            <w:r w:rsidRPr="00DF6479">
              <w:rPr>
                <w:color w:val="000000"/>
                <w:sz w:val="18"/>
                <w:szCs w:val="18"/>
              </w:rPr>
              <w:t> </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rPr>
                <w:sz w:val="18"/>
                <w:szCs w:val="18"/>
              </w:rPr>
            </w:pPr>
            <w:r w:rsidRPr="00DF6479">
              <w:rPr>
                <w:sz w:val="18"/>
                <w:szCs w:val="18"/>
              </w:rPr>
              <w:t>- instrumenty pochodne</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r w:rsidRPr="00DF6479">
              <w:rPr>
                <w:sz w:val="18"/>
                <w:szCs w:val="18"/>
              </w:rPr>
              <w:t> </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Pr>
                <w:sz w:val="18"/>
                <w:szCs w:val="18"/>
              </w:rPr>
              <w:t>-</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center"/>
              <w:rPr>
                <w:sz w:val="18"/>
                <w:szCs w:val="18"/>
              </w:rPr>
            </w:pP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966" w:type="dxa"/>
            <w:gridSpan w:val="2"/>
            <w:tcBorders>
              <w:top w:val="single" w:sz="4" w:space="0" w:color="auto"/>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Pozostałe zobowiązania finansowe, w tym:</w:t>
            </w:r>
          </w:p>
        </w:tc>
        <w:tc>
          <w:tcPr>
            <w:tcW w:w="8787" w:type="dxa"/>
            <w:gridSpan w:val="7"/>
            <w:tcBorders>
              <w:top w:val="single" w:sz="4" w:space="0" w:color="auto"/>
              <w:left w:val="nil"/>
              <w:bottom w:val="single" w:sz="4" w:space="0" w:color="auto"/>
              <w:right w:val="single" w:sz="4" w:space="0" w:color="auto"/>
            </w:tcBorders>
            <w:shd w:val="clear" w:color="auto" w:fill="auto"/>
            <w:vAlign w:val="bottom"/>
            <w:hideMark/>
          </w:tcPr>
          <w:p w:rsidR="00AD0723" w:rsidRPr="00DF6479" w:rsidRDefault="00AD0723" w:rsidP="006D3597">
            <w:pPr>
              <w:rPr>
                <w:color w:val="000000"/>
                <w:sz w:val="18"/>
                <w:szCs w:val="18"/>
              </w:rPr>
            </w:pPr>
            <w:r w:rsidRPr="00DF6479">
              <w:rPr>
                <w:color w:val="000000"/>
                <w:sz w:val="18"/>
                <w:szCs w:val="18"/>
              </w:rPr>
              <w:t> </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rPr>
                <w:sz w:val="18"/>
                <w:szCs w:val="18"/>
              </w:rPr>
            </w:pPr>
            <w:r w:rsidRPr="00DF6479">
              <w:rPr>
                <w:sz w:val="18"/>
                <w:szCs w:val="18"/>
              </w:rPr>
              <w:t xml:space="preserve"> - kredyty i pożyczki</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21 381</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18 374</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21 381</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21 381</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Z</w:t>
            </w:r>
            <w:r w:rsidRPr="00DF6479">
              <w:rPr>
                <w:sz w:val="18"/>
                <w:szCs w:val="18"/>
              </w:rPr>
              <w:t>K</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122</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rPr>
                <w:sz w:val="18"/>
                <w:szCs w:val="18"/>
              </w:rPr>
            </w:pPr>
            <w:r w:rsidRPr="00DF6479">
              <w:rPr>
                <w:sz w:val="18"/>
                <w:szCs w:val="18"/>
              </w:rPr>
              <w:t xml:space="preserve"> - leasingi</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8 302</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10 574</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8 302</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10 574</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Z</w:t>
            </w:r>
            <w:r w:rsidRPr="00DF6479">
              <w:rPr>
                <w:sz w:val="18"/>
                <w:szCs w:val="18"/>
              </w:rPr>
              <w:t>K</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            320</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399"/>
        </w:trPr>
        <w:tc>
          <w:tcPr>
            <w:tcW w:w="382" w:type="dxa"/>
            <w:tcBorders>
              <w:top w:val="nil"/>
              <w:left w:val="single" w:sz="4" w:space="0" w:color="auto"/>
              <w:bottom w:val="single" w:sz="4" w:space="0" w:color="auto"/>
              <w:right w:val="single" w:sz="4" w:space="0" w:color="auto"/>
            </w:tcBorders>
            <w:shd w:val="clear" w:color="auto" w:fill="auto"/>
            <w:hideMark/>
          </w:tcPr>
          <w:p w:rsidR="00AD0723" w:rsidRPr="00DF6479" w:rsidRDefault="00AD0723" w:rsidP="006D3597">
            <w:pPr>
              <w:rPr>
                <w:sz w:val="18"/>
                <w:szCs w:val="18"/>
              </w:rPr>
            </w:pPr>
            <w:r w:rsidRPr="00DF6479">
              <w:rPr>
                <w:sz w:val="18"/>
                <w:szCs w:val="18"/>
              </w:rPr>
              <w:t> </w:t>
            </w:r>
          </w:p>
        </w:tc>
        <w:tc>
          <w:tcPr>
            <w:tcW w:w="3584" w:type="dxa"/>
            <w:tcBorders>
              <w:top w:val="nil"/>
              <w:left w:val="nil"/>
              <w:bottom w:val="single" w:sz="4" w:space="0" w:color="auto"/>
              <w:right w:val="single" w:sz="4" w:space="0" w:color="auto"/>
            </w:tcBorders>
            <w:shd w:val="clear" w:color="auto" w:fill="auto"/>
            <w:vAlign w:val="center"/>
            <w:hideMark/>
          </w:tcPr>
          <w:p w:rsidR="00AD0723" w:rsidRPr="00DF6479" w:rsidRDefault="00AD0723" w:rsidP="006D3597">
            <w:pPr>
              <w:rPr>
                <w:sz w:val="18"/>
                <w:szCs w:val="18"/>
              </w:rPr>
            </w:pPr>
            <w:r w:rsidRPr="00DF6479">
              <w:rPr>
                <w:sz w:val="18"/>
                <w:szCs w:val="18"/>
              </w:rPr>
              <w:t xml:space="preserve"> - faktoring</w:t>
            </w:r>
          </w:p>
        </w:tc>
        <w:tc>
          <w:tcPr>
            <w:tcW w:w="1258"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3 568</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4 661</w:t>
            </w:r>
          </w:p>
        </w:tc>
        <w:tc>
          <w:tcPr>
            <w:tcW w:w="1239"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3 568</w:t>
            </w:r>
          </w:p>
        </w:tc>
        <w:tc>
          <w:tcPr>
            <w:tcW w:w="1371"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right"/>
              <w:rPr>
                <w:sz w:val="18"/>
                <w:szCs w:val="18"/>
              </w:rPr>
            </w:pPr>
            <w:r w:rsidRPr="00DF6479">
              <w:rPr>
                <w:sz w:val="18"/>
                <w:szCs w:val="18"/>
              </w:rPr>
              <w:t>4 661</w:t>
            </w:r>
          </w:p>
        </w:tc>
        <w:tc>
          <w:tcPr>
            <w:tcW w:w="908"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Z</w:t>
            </w:r>
            <w:r w:rsidRPr="00DF6479">
              <w:rPr>
                <w:sz w:val="18"/>
                <w:szCs w:val="18"/>
              </w:rPr>
              <w:t>K</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sidRPr="00DF6479">
              <w:rPr>
                <w:sz w:val="18"/>
                <w:szCs w:val="18"/>
              </w:rPr>
              <w:t>160</w:t>
            </w:r>
          </w:p>
        </w:tc>
        <w:tc>
          <w:tcPr>
            <w:tcW w:w="1320"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right"/>
              <w:rPr>
                <w:sz w:val="18"/>
                <w:szCs w:val="18"/>
              </w:rPr>
            </w:pPr>
            <w:r>
              <w:rPr>
                <w:sz w:val="18"/>
                <w:szCs w:val="18"/>
              </w:rPr>
              <w:t>-</w:t>
            </w:r>
          </w:p>
        </w:tc>
      </w:tr>
      <w:tr w:rsidR="00AD0723" w:rsidRPr="006C4B43" w:rsidTr="006D3597">
        <w:trPr>
          <w:trHeight w:val="288"/>
        </w:trPr>
        <w:tc>
          <w:tcPr>
            <w:tcW w:w="382" w:type="dxa"/>
            <w:tcBorders>
              <w:top w:val="nil"/>
              <w:left w:val="nil"/>
              <w:bottom w:val="nil"/>
              <w:right w:val="nil"/>
            </w:tcBorders>
            <w:shd w:val="clear" w:color="auto" w:fill="auto"/>
            <w:noWrap/>
            <w:vAlign w:val="bottom"/>
            <w:hideMark/>
          </w:tcPr>
          <w:p w:rsidR="00AD0723" w:rsidRPr="00DF6479" w:rsidRDefault="00AD0723" w:rsidP="006D3597">
            <w:pPr>
              <w:jc w:val="right"/>
              <w:rPr>
                <w:sz w:val="18"/>
                <w:szCs w:val="18"/>
              </w:rPr>
            </w:pPr>
          </w:p>
        </w:tc>
        <w:tc>
          <w:tcPr>
            <w:tcW w:w="3584"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5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3966" w:type="dxa"/>
            <w:gridSpan w:val="2"/>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u w:val="single"/>
              </w:rPr>
            </w:pPr>
            <w:r w:rsidRPr="00DF6479">
              <w:rPr>
                <w:color w:val="000000"/>
                <w:sz w:val="18"/>
                <w:szCs w:val="18"/>
                <w:u w:val="single"/>
              </w:rPr>
              <w:t>Legenda - sposób wyceny na dzień bilansowy:</w:t>
            </w:r>
          </w:p>
        </w:tc>
        <w:tc>
          <w:tcPr>
            <w:tcW w:w="1258"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u w:val="single"/>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5224" w:type="dxa"/>
            <w:gridSpan w:val="3"/>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WGpWF - wycena w wartości godziwej przez wynik finansowy</w:t>
            </w: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6595" w:type="dxa"/>
            <w:gridSpan w:val="4"/>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WGpKzAW - wycena w wartości godziwej przez kapitał z aktualizacji wyceny</w:t>
            </w: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3966" w:type="dxa"/>
            <w:gridSpan w:val="2"/>
            <w:tcBorders>
              <w:top w:val="nil"/>
              <w:left w:val="nil"/>
              <w:bottom w:val="nil"/>
              <w:right w:val="nil"/>
            </w:tcBorders>
            <w:shd w:val="clear" w:color="auto" w:fill="auto"/>
            <w:noWrap/>
            <w:vAlign w:val="bottom"/>
            <w:hideMark/>
          </w:tcPr>
          <w:p w:rsidR="00AD0723" w:rsidRPr="00DF6479" w:rsidRDefault="00AD0723" w:rsidP="006D3597">
            <w:pPr>
              <w:ind w:left="3611" w:right="-1202" w:hanging="3611"/>
              <w:rPr>
                <w:color w:val="000000"/>
                <w:sz w:val="18"/>
                <w:szCs w:val="18"/>
              </w:rPr>
            </w:pPr>
            <w:r w:rsidRPr="00DF6479">
              <w:rPr>
                <w:color w:val="000000"/>
                <w:sz w:val="18"/>
                <w:szCs w:val="18"/>
              </w:rPr>
              <w:t xml:space="preserve">ZK -  wycena wg zamortyzowanego </w:t>
            </w:r>
            <w:r>
              <w:rPr>
                <w:color w:val="000000"/>
                <w:sz w:val="18"/>
                <w:szCs w:val="18"/>
              </w:rPr>
              <w:t>k</w:t>
            </w:r>
            <w:r w:rsidRPr="00DF6479">
              <w:rPr>
                <w:color w:val="000000"/>
                <w:sz w:val="18"/>
                <w:szCs w:val="18"/>
              </w:rPr>
              <w:t>osztu</w:t>
            </w:r>
            <w:r>
              <w:rPr>
                <w:color w:val="000000"/>
                <w:sz w:val="18"/>
                <w:szCs w:val="18"/>
              </w:rPr>
              <w:t>/wymaganej zapłaty</w:t>
            </w:r>
          </w:p>
        </w:tc>
        <w:tc>
          <w:tcPr>
            <w:tcW w:w="1258"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5224" w:type="dxa"/>
            <w:gridSpan w:val="3"/>
            <w:tcBorders>
              <w:top w:val="nil"/>
              <w:left w:val="nil"/>
              <w:bottom w:val="nil"/>
              <w:right w:val="nil"/>
            </w:tcBorders>
            <w:shd w:val="clear" w:color="auto" w:fill="auto"/>
            <w:noWrap/>
            <w:vAlign w:val="bottom"/>
            <w:hideMark/>
          </w:tcPr>
          <w:p w:rsidR="00AD0723" w:rsidRDefault="00AD0723" w:rsidP="006D3597">
            <w:pPr>
              <w:rPr>
                <w:color w:val="000000"/>
                <w:sz w:val="18"/>
                <w:szCs w:val="18"/>
              </w:rPr>
            </w:pPr>
            <w:r w:rsidRPr="00DF6479">
              <w:rPr>
                <w:color w:val="000000"/>
                <w:sz w:val="18"/>
                <w:szCs w:val="18"/>
              </w:rPr>
              <w:t>K - wycena po koszcie z uwzględnieniem odpisu aktualizującego</w:t>
            </w:r>
          </w:p>
          <w:p w:rsidR="00AD0723" w:rsidRDefault="00AD0723" w:rsidP="006D3597">
            <w:pPr>
              <w:rPr>
                <w:color w:val="000000"/>
                <w:sz w:val="18"/>
                <w:szCs w:val="18"/>
              </w:rPr>
            </w:pPr>
          </w:p>
          <w:p w:rsidR="00AD0723" w:rsidRDefault="00AD0723" w:rsidP="006D3597">
            <w:pPr>
              <w:rPr>
                <w:color w:val="000000"/>
                <w:szCs w:val="20"/>
              </w:rPr>
            </w:pPr>
            <w:r w:rsidRPr="00DF6479">
              <w:rPr>
                <w:color w:val="000000"/>
                <w:szCs w:val="20"/>
              </w:rPr>
              <w:t>Spółka nie uzyskała przychodów z tytułu odsetek od należności.</w:t>
            </w:r>
          </w:p>
          <w:p w:rsidR="00AD0723" w:rsidRDefault="00AD0723" w:rsidP="006D3597">
            <w:pPr>
              <w:rPr>
                <w:color w:val="000000"/>
                <w:szCs w:val="20"/>
              </w:rPr>
            </w:pPr>
          </w:p>
          <w:p w:rsidR="00AD0723" w:rsidRPr="00DF6479" w:rsidRDefault="00AD0723" w:rsidP="006D3597">
            <w:pPr>
              <w:rPr>
                <w:color w:val="000000"/>
                <w:szCs w:val="20"/>
              </w:rPr>
            </w:pPr>
            <w:r>
              <w:rPr>
                <w:color w:val="000000"/>
                <w:szCs w:val="20"/>
              </w:rPr>
              <w:t>Instrumenty finansowe są wyceniane na koniec każdego kwartału.</w:t>
            </w: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6C4B43" w:rsidTr="006D3597">
        <w:trPr>
          <w:trHeight w:val="288"/>
        </w:trPr>
        <w:tc>
          <w:tcPr>
            <w:tcW w:w="382"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3584"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58" w:type="dxa"/>
            <w:tcBorders>
              <w:top w:val="nil"/>
              <w:left w:val="nil"/>
              <w:bottom w:val="nil"/>
              <w:right w:val="nil"/>
            </w:tcBorders>
            <w:shd w:val="clear" w:color="auto" w:fill="auto"/>
            <w:noWrap/>
            <w:vAlign w:val="bottom"/>
            <w:hideMark/>
          </w:tcPr>
          <w:p w:rsidR="00AD0723" w:rsidRDefault="00AD0723" w:rsidP="006D3597">
            <w:pPr>
              <w:rPr>
                <w:szCs w:val="20"/>
              </w:rPr>
            </w:pPr>
          </w:p>
          <w:p w:rsidR="00AD0723" w:rsidRDefault="00AD0723" w:rsidP="006D3597">
            <w:pPr>
              <w:ind w:left="-5287"/>
              <w:rPr>
                <w:szCs w:val="20"/>
              </w:rPr>
            </w:pPr>
          </w:p>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r>
      <w:tr w:rsidR="00AD0723" w:rsidRPr="000858C8" w:rsidTr="006D3597">
        <w:trPr>
          <w:trHeight w:val="288"/>
        </w:trPr>
        <w:tc>
          <w:tcPr>
            <w:tcW w:w="10113" w:type="dxa"/>
            <w:gridSpan w:val="7"/>
            <w:tcBorders>
              <w:top w:val="nil"/>
              <w:left w:val="nil"/>
              <w:bottom w:val="nil"/>
              <w:right w:val="nil"/>
            </w:tcBorders>
            <w:shd w:val="clear" w:color="auto" w:fill="auto"/>
            <w:noWrap/>
            <w:vAlign w:val="bottom"/>
            <w:hideMark/>
          </w:tcPr>
          <w:p w:rsidR="00AD0723" w:rsidRPr="00DF6479" w:rsidRDefault="00AD0723" w:rsidP="006D3597">
            <w:pPr>
              <w:rPr>
                <w:b/>
                <w:bCs/>
                <w:szCs w:val="18"/>
              </w:rPr>
            </w:pPr>
            <w:r w:rsidRPr="00DF6479">
              <w:rPr>
                <w:b/>
                <w:bCs/>
                <w:szCs w:val="18"/>
              </w:rPr>
              <w:t>Opis metod i istotnych założeń przyjętych do wyznaczania wartości godziwej instrumentów finansowych wycenianych w takiej wartości</w:t>
            </w: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b/>
                <w:bCs/>
                <w:szCs w:val="18"/>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r>
      <w:tr w:rsidR="00AD0723" w:rsidRPr="000858C8" w:rsidTr="006D3597">
        <w:trPr>
          <w:trHeight w:val="288"/>
        </w:trPr>
        <w:tc>
          <w:tcPr>
            <w:tcW w:w="3966" w:type="dxa"/>
            <w:gridSpan w:val="2"/>
            <w:tcBorders>
              <w:top w:val="nil"/>
              <w:left w:val="nil"/>
              <w:bottom w:val="nil"/>
              <w:right w:val="nil"/>
            </w:tcBorders>
            <w:shd w:val="clear" w:color="auto" w:fill="auto"/>
            <w:noWrap/>
            <w:vAlign w:val="bottom"/>
            <w:hideMark/>
          </w:tcPr>
          <w:p w:rsidR="00AD0723" w:rsidRPr="00DF6479" w:rsidRDefault="00AD0723" w:rsidP="006D3597">
            <w:pPr>
              <w:rPr>
                <w:color w:val="000000"/>
                <w:szCs w:val="18"/>
              </w:rPr>
            </w:pPr>
            <w:r w:rsidRPr="00DF6479">
              <w:rPr>
                <w:color w:val="000000"/>
                <w:szCs w:val="18"/>
              </w:rPr>
              <w:t>nie dotyczy</w:t>
            </w:r>
          </w:p>
        </w:tc>
        <w:tc>
          <w:tcPr>
            <w:tcW w:w="1258" w:type="dxa"/>
            <w:tcBorders>
              <w:top w:val="nil"/>
              <w:left w:val="nil"/>
              <w:bottom w:val="nil"/>
              <w:right w:val="nil"/>
            </w:tcBorders>
            <w:shd w:val="clear" w:color="auto" w:fill="auto"/>
            <w:noWrap/>
            <w:vAlign w:val="bottom"/>
            <w:hideMark/>
          </w:tcPr>
          <w:p w:rsidR="00AD0723" w:rsidRPr="00DF6479" w:rsidRDefault="00AD0723" w:rsidP="006D3597">
            <w:pPr>
              <w:rPr>
                <w:color w:val="000000"/>
                <w:szCs w:val="18"/>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c>
          <w:tcPr>
            <w:tcW w:w="1239"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c>
          <w:tcPr>
            <w:tcW w:w="1371"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c>
          <w:tcPr>
            <w:tcW w:w="908"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c>
          <w:tcPr>
            <w:tcW w:w="1320" w:type="dxa"/>
            <w:tcBorders>
              <w:top w:val="nil"/>
              <w:left w:val="nil"/>
              <w:bottom w:val="nil"/>
              <w:right w:val="nil"/>
            </w:tcBorders>
            <w:shd w:val="clear" w:color="auto" w:fill="auto"/>
            <w:noWrap/>
            <w:vAlign w:val="bottom"/>
            <w:hideMark/>
          </w:tcPr>
          <w:p w:rsidR="00AD0723" w:rsidRPr="00DF6479" w:rsidRDefault="00AD0723" w:rsidP="006D3597">
            <w:pPr>
              <w:rPr>
                <w:sz w:val="22"/>
                <w:szCs w:val="20"/>
              </w:rPr>
            </w:pPr>
          </w:p>
        </w:tc>
      </w:tr>
    </w:tbl>
    <w:p w:rsidR="00AD0723" w:rsidRPr="00DF6479" w:rsidRDefault="00AD0723" w:rsidP="00AD0723">
      <w:pPr>
        <w:rPr>
          <w:rFonts w:cs="Tahoma"/>
          <w:b/>
          <w:szCs w:val="22"/>
        </w:rPr>
      </w:pPr>
    </w:p>
    <w:p w:rsidR="00AD0723" w:rsidRPr="00DF6479" w:rsidRDefault="00AD0723" w:rsidP="00AD0723">
      <w:pPr>
        <w:rPr>
          <w:rFonts w:cs="Tahoma"/>
          <w:b/>
          <w:sz w:val="22"/>
          <w:szCs w:val="22"/>
        </w:rPr>
      </w:pPr>
    </w:p>
    <w:p w:rsidR="00AD0723" w:rsidRPr="00DF6479" w:rsidRDefault="00AD0723" w:rsidP="00AD0723">
      <w:pPr>
        <w:rPr>
          <w:rFonts w:cs="Tahoma"/>
          <w:b/>
        </w:rPr>
      </w:pPr>
    </w:p>
    <w:p w:rsidR="00AD0723" w:rsidRPr="00DF6479" w:rsidRDefault="00AD0723" w:rsidP="00AD0723">
      <w:pPr>
        <w:rPr>
          <w:rFonts w:cs="Tahoma"/>
          <w:b/>
        </w:rPr>
      </w:pPr>
    </w:p>
    <w:p w:rsidR="00AD0723" w:rsidRPr="00DF6479" w:rsidRDefault="00AD0723" w:rsidP="00AD0723">
      <w:pPr>
        <w:rPr>
          <w:rFonts w:cs="Tahoma"/>
          <w:b/>
        </w:rPr>
      </w:pPr>
    </w:p>
    <w:p w:rsidR="00AD0723" w:rsidRPr="00DF6479" w:rsidRDefault="00AD0723" w:rsidP="00AD0723">
      <w:pPr>
        <w:rPr>
          <w:rFonts w:cs="Tahoma"/>
          <w:b/>
        </w:rPr>
        <w:sectPr w:rsidR="00AD0723" w:rsidRPr="00DF6479" w:rsidSect="00F4411D">
          <w:pgSz w:w="16838" w:h="11906" w:orient="landscape"/>
          <w:pgMar w:top="1418" w:right="1418" w:bottom="1418" w:left="1418" w:header="709" w:footer="709" w:gutter="0"/>
          <w:cols w:space="708"/>
          <w:docGrid w:linePitch="360"/>
        </w:sectPr>
      </w:pPr>
    </w:p>
    <w:p w:rsidR="00AD0723" w:rsidRPr="00DF6479" w:rsidRDefault="00AD0723" w:rsidP="00AD0723">
      <w:pPr>
        <w:pStyle w:val="spis2"/>
      </w:pPr>
      <w:bookmarkStart w:id="1" w:name="_Toc509841101"/>
      <w:r w:rsidRPr="00DF6479">
        <w:lastRenderedPageBreak/>
        <w:t>Zmiany kapitału z aktualizacji wyceny w zakresie instrumentów finansowych</w:t>
      </w:r>
      <w:bookmarkEnd w:id="1"/>
    </w:p>
    <w:p w:rsidR="00AD0723" w:rsidRPr="00DF6479" w:rsidRDefault="00AD0723" w:rsidP="00AD0723">
      <w:pPr>
        <w:rPr>
          <w:rFonts w:cs="Tahoma"/>
          <w:caps/>
          <w:szCs w:val="22"/>
        </w:rPr>
      </w:pPr>
    </w:p>
    <w:p w:rsidR="00AD0723" w:rsidRPr="006C4B43" w:rsidRDefault="00AD0723" w:rsidP="00AD0723">
      <w:pPr>
        <w:ind w:firstLine="284"/>
        <w:rPr>
          <w:rFonts w:cs="Tahoma"/>
          <w:szCs w:val="20"/>
        </w:rPr>
      </w:pPr>
      <w:r w:rsidRPr="006C4B43">
        <w:rPr>
          <w:rFonts w:cs="Tahoma"/>
          <w:szCs w:val="20"/>
        </w:rPr>
        <w:t>Nie dotyczy.</w:t>
      </w:r>
    </w:p>
    <w:p w:rsidR="00AD0723" w:rsidRPr="00DF6479" w:rsidRDefault="00AD0723" w:rsidP="00AD0723">
      <w:pPr>
        <w:rPr>
          <w:rFonts w:cs="Tahoma"/>
          <w:b/>
          <w:sz w:val="22"/>
          <w:szCs w:val="22"/>
        </w:rPr>
      </w:pPr>
    </w:p>
    <w:p w:rsidR="00AD0723" w:rsidRPr="00DF6479" w:rsidRDefault="00AD0723" w:rsidP="00AD0723">
      <w:pPr>
        <w:pStyle w:val="spis2"/>
      </w:pPr>
      <w:bookmarkStart w:id="2" w:name="_Toc509841102"/>
      <w:r w:rsidRPr="00DF6479">
        <w:t>Informacje na temat ryzyka stopy procentowej</w:t>
      </w:r>
      <w:bookmarkEnd w:id="2"/>
    </w:p>
    <w:p w:rsidR="00AD0723" w:rsidRPr="00DF6479" w:rsidRDefault="00AD0723" w:rsidP="00AD0723">
      <w:pPr>
        <w:rPr>
          <w:rFonts w:cs="Tahoma"/>
          <w:b/>
          <w:sz w:val="22"/>
          <w:szCs w:val="22"/>
        </w:rPr>
      </w:pPr>
    </w:p>
    <w:p w:rsidR="00AD0723" w:rsidRPr="006C4B43" w:rsidRDefault="00AD0723" w:rsidP="00AD0723">
      <w:pPr>
        <w:rPr>
          <w:rFonts w:cs="Tahoma"/>
          <w:szCs w:val="20"/>
        </w:rPr>
      </w:pPr>
      <w:r w:rsidRPr="006C4B43">
        <w:rPr>
          <w:rFonts w:cs="Tahoma"/>
          <w:szCs w:val="20"/>
        </w:rPr>
        <w:t>Emitent prowadząc działalność korzysta z finansowania dłużnego w postaci kredytów bankowych, a także leasingów, pożyczek oraz usług faktoringu. Wzrost wysokości stóp procentowych będący konsekwencją decyzji władz monetarnych lub niekorzystnych zmian gospodarczych może wpłynąć na zwiększenie kosztów finansowania dłużnego. Należy także zaznaczyć, iż wpływ na kształtowanie się kosztów finansowych Grupy mają decyzje władz monetarnych. Wzrost kosztów pozyskania finansowania obcego może spowodować trudności z terminową obsługą zadłużenia, wpłynąć negatywnie na płynność Emitenta, a w konsekwencji przełożyć się na zmniejszenie wyników finansowych.</w:t>
      </w:r>
    </w:p>
    <w:p w:rsidR="00AD0723" w:rsidRPr="00DF6479" w:rsidRDefault="00AD0723" w:rsidP="00AD0723">
      <w:pPr>
        <w:rPr>
          <w:rFonts w:cs="Arial"/>
          <w:b/>
          <w:bCs/>
          <w:sz w:val="22"/>
          <w:szCs w:val="22"/>
        </w:rPr>
      </w:pPr>
    </w:p>
    <w:p w:rsidR="00AD0723" w:rsidRPr="00DF6479" w:rsidRDefault="00AD0723" w:rsidP="00AD0723">
      <w:pPr>
        <w:pStyle w:val="spis2"/>
        <w:rPr>
          <w:rFonts w:cs="Tahoma"/>
        </w:rPr>
      </w:pPr>
      <w:bookmarkStart w:id="3" w:name="_Toc509841103"/>
      <w:r w:rsidRPr="00DF6479">
        <w:t>Informacje na temat ryzyka kredytowego</w:t>
      </w:r>
      <w:bookmarkEnd w:id="3"/>
    </w:p>
    <w:p w:rsidR="00AD0723" w:rsidRPr="00DF6479" w:rsidRDefault="00AD0723" w:rsidP="00AD0723">
      <w:pPr>
        <w:rPr>
          <w:rFonts w:cs="Tahoma"/>
          <w:b/>
          <w:sz w:val="22"/>
          <w:szCs w:val="22"/>
        </w:rPr>
      </w:pPr>
    </w:p>
    <w:p w:rsidR="00AD0723" w:rsidRPr="006C4B43" w:rsidRDefault="00AD0723" w:rsidP="00AD0723">
      <w:pPr>
        <w:rPr>
          <w:rFonts w:cs="Tahoma"/>
          <w:szCs w:val="20"/>
        </w:rPr>
      </w:pPr>
      <w:r w:rsidRPr="006C4B43">
        <w:rPr>
          <w:rFonts w:cs="Tahoma"/>
          <w:szCs w:val="20"/>
        </w:rPr>
        <w:t>Aktywa finansowe potencjalnie narażające Spółkę na koncentrację ryzyka kredytowego obejmują głównie należności z tytułu dostaw i usług oraz należności od jednostek powiązanych, Spółka lokuje swoje środki pieniężne i ich ekwiwalenty w instytucjach finansowych uznawanych przez nią za wiarygodne.</w:t>
      </w:r>
    </w:p>
    <w:p w:rsidR="00AD0723" w:rsidRPr="006C4B43" w:rsidRDefault="00AD0723" w:rsidP="00AD0723">
      <w:pPr>
        <w:rPr>
          <w:rFonts w:cs="Tahoma"/>
          <w:szCs w:val="20"/>
        </w:rPr>
      </w:pPr>
      <w:r w:rsidRPr="006C4B43">
        <w:rPr>
          <w:rFonts w:cs="Tahoma"/>
          <w:szCs w:val="20"/>
        </w:rPr>
        <w:t>Spółka definiuje swoją ekspozycję na ryzyko kredytowe jako całość nierozliczonych należności (wraz z saldami przeterminowanymi) i monitoruje salda regularnie w odniesieniu do każdego pojedynczego klienta. Ryzyko kredytowe związane z należnościami od klientów jest relatywnie niskie ze względu na to, że głównymi klientami Spółki są sieci handlowe i podmioty, których sytuacja na rynku jest ugruntowana.</w:t>
      </w:r>
    </w:p>
    <w:p w:rsidR="00AD0723" w:rsidRPr="006C4B43" w:rsidRDefault="00AD0723" w:rsidP="00AD0723">
      <w:pPr>
        <w:rPr>
          <w:rFonts w:cs="Tahoma"/>
          <w:b/>
          <w:szCs w:val="20"/>
        </w:rPr>
      </w:pPr>
    </w:p>
    <w:p w:rsidR="00AD0723" w:rsidRPr="00DF6479" w:rsidRDefault="00AD0723" w:rsidP="00AD0723">
      <w:pPr>
        <w:pStyle w:val="spis2"/>
      </w:pPr>
      <w:bookmarkStart w:id="4" w:name="_Toc509841104"/>
      <w:r w:rsidRPr="00DF6479">
        <w:t>Informacja na temat braku  możliwości ustalenia wartości godziwej</w:t>
      </w:r>
      <w:bookmarkEnd w:id="4"/>
    </w:p>
    <w:p w:rsidR="00AD0723" w:rsidRPr="00DF6479" w:rsidRDefault="00AD0723" w:rsidP="00AD0723">
      <w:pPr>
        <w:rPr>
          <w:rFonts w:cs="Tahoma"/>
          <w:b/>
          <w:szCs w:val="22"/>
        </w:rPr>
      </w:pPr>
    </w:p>
    <w:p w:rsidR="00AD0723" w:rsidRPr="006C4B43" w:rsidRDefault="00AD0723" w:rsidP="00AD0723">
      <w:pPr>
        <w:rPr>
          <w:rFonts w:cs="Tahoma"/>
          <w:szCs w:val="20"/>
        </w:rPr>
      </w:pPr>
      <w:r w:rsidRPr="006C4B43">
        <w:rPr>
          <w:rFonts w:cs="Tahoma"/>
          <w:szCs w:val="20"/>
        </w:rPr>
        <w:t>Nie dotyczy.</w:t>
      </w:r>
    </w:p>
    <w:p w:rsidR="00AD0723" w:rsidRPr="00DF6479" w:rsidRDefault="00AD0723" w:rsidP="00AD0723">
      <w:pPr>
        <w:rPr>
          <w:rFonts w:cs="Tahoma"/>
          <w:sz w:val="22"/>
          <w:szCs w:val="22"/>
        </w:rPr>
      </w:pPr>
    </w:p>
    <w:p w:rsidR="00AD0723" w:rsidRPr="00DF6479" w:rsidRDefault="00AD0723" w:rsidP="00AD0723">
      <w:pPr>
        <w:pStyle w:val="spis2"/>
      </w:pPr>
      <w:bookmarkStart w:id="5" w:name="_Toc509841105"/>
      <w:r w:rsidRPr="00DF6479">
        <w:t>Informacje o wartości godziwej instrumentów finansowych wycenianych w inny sposób</w:t>
      </w:r>
      <w:bookmarkEnd w:id="5"/>
    </w:p>
    <w:p w:rsidR="00AD0723" w:rsidRPr="00DF6479" w:rsidRDefault="00AD0723" w:rsidP="00AD0723">
      <w:pPr>
        <w:rPr>
          <w:rFonts w:cs="Tahoma"/>
          <w:b/>
          <w:sz w:val="22"/>
          <w:szCs w:val="22"/>
        </w:rPr>
      </w:pPr>
    </w:p>
    <w:p w:rsidR="00AD0723" w:rsidRPr="006C4B43" w:rsidRDefault="00AD0723" w:rsidP="00AD0723">
      <w:pPr>
        <w:rPr>
          <w:rFonts w:cs="Tahoma"/>
          <w:szCs w:val="20"/>
        </w:rPr>
      </w:pPr>
      <w:r w:rsidRPr="006C4B43">
        <w:rPr>
          <w:rFonts w:cs="Tahoma"/>
          <w:szCs w:val="20"/>
        </w:rPr>
        <w:t>Nie dotyczy.</w:t>
      </w:r>
    </w:p>
    <w:p w:rsidR="00AD0723" w:rsidRPr="00DF6479" w:rsidRDefault="00AD0723" w:rsidP="00AD0723">
      <w:pPr>
        <w:rPr>
          <w:rFonts w:cs="Tahoma"/>
          <w:b/>
          <w:szCs w:val="22"/>
        </w:rPr>
      </w:pPr>
    </w:p>
    <w:p w:rsidR="00AD0723" w:rsidRPr="00DF6479" w:rsidRDefault="00AD0723" w:rsidP="00AD0723">
      <w:pPr>
        <w:pStyle w:val="spis2"/>
      </w:pPr>
      <w:bookmarkStart w:id="6" w:name="_Toc509841106"/>
      <w:r w:rsidRPr="00DF6479">
        <w:t>Zestawienie odpisów aktualizujących z tytułu trwałej utraty wartości aktywów finansowych</w:t>
      </w:r>
      <w:bookmarkEnd w:id="6"/>
    </w:p>
    <w:p w:rsidR="00AD0723" w:rsidRPr="00DF6479" w:rsidRDefault="00AD0723" w:rsidP="00AD0723">
      <w:pPr>
        <w:rPr>
          <w:rFonts w:cs="Tahoma"/>
          <w:b/>
          <w:szCs w:val="22"/>
        </w:rPr>
      </w:pPr>
    </w:p>
    <w:p w:rsidR="00AD0723" w:rsidRPr="006C4B43" w:rsidRDefault="00AD0723" w:rsidP="00AD0723">
      <w:pPr>
        <w:rPr>
          <w:rFonts w:cs="Tahoma"/>
          <w:szCs w:val="20"/>
        </w:rPr>
      </w:pPr>
      <w:r w:rsidRPr="006C4B43">
        <w:rPr>
          <w:rFonts w:cs="Tahoma"/>
          <w:szCs w:val="20"/>
        </w:rPr>
        <w:t>Nie dotyczy.</w:t>
      </w:r>
    </w:p>
    <w:p w:rsidR="00AD0723" w:rsidRPr="006C4B43" w:rsidRDefault="00AD0723" w:rsidP="00AD0723">
      <w:pPr>
        <w:rPr>
          <w:rFonts w:cs="Tahoma"/>
          <w:szCs w:val="20"/>
        </w:rPr>
      </w:pPr>
    </w:p>
    <w:p w:rsidR="00AD0723" w:rsidRPr="00DF6479" w:rsidRDefault="00AD0723" w:rsidP="00AD0723">
      <w:pPr>
        <w:pStyle w:val="spis2"/>
      </w:pPr>
      <w:bookmarkStart w:id="7" w:name="_Toc509841107"/>
      <w:r w:rsidRPr="00DF6479">
        <w:t>Transakcje, w wyniku których aktywa finansowe przekształcone zostały w papiery</w:t>
      </w:r>
      <w:r>
        <w:t xml:space="preserve"> </w:t>
      </w:r>
      <w:r w:rsidRPr="00DF6479">
        <w:t>wartościowe lub umowy leasingu.</w:t>
      </w:r>
      <w:bookmarkEnd w:id="7"/>
    </w:p>
    <w:p w:rsidR="00AD0723" w:rsidRPr="00DF6479" w:rsidRDefault="00AD0723" w:rsidP="00AD0723">
      <w:pPr>
        <w:rPr>
          <w:rFonts w:cs="Tahoma"/>
          <w:szCs w:val="22"/>
        </w:rPr>
      </w:pPr>
    </w:p>
    <w:p w:rsidR="00AD0723" w:rsidRPr="006C4B43" w:rsidRDefault="00AD0723" w:rsidP="00AD0723">
      <w:pPr>
        <w:rPr>
          <w:rFonts w:cs="Tahoma"/>
          <w:szCs w:val="20"/>
        </w:rPr>
      </w:pPr>
      <w:r w:rsidRPr="006C4B43">
        <w:rPr>
          <w:rFonts w:cs="Tahoma"/>
          <w:szCs w:val="20"/>
        </w:rPr>
        <w:t>Nie dotyczy.</w:t>
      </w:r>
    </w:p>
    <w:p w:rsidR="00AD0723" w:rsidRPr="00DF6479" w:rsidRDefault="00AD0723" w:rsidP="00AD0723">
      <w:pPr>
        <w:rPr>
          <w:rFonts w:cs="Tahoma"/>
          <w:b/>
          <w:sz w:val="22"/>
          <w:szCs w:val="22"/>
        </w:rPr>
      </w:pPr>
    </w:p>
    <w:p w:rsidR="00AD0723" w:rsidRPr="00DF6479" w:rsidRDefault="00AD0723" w:rsidP="00AD0723">
      <w:pPr>
        <w:pStyle w:val="spis2"/>
      </w:pPr>
      <w:bookmarkStart w:id="8" w:name="_Toc509841108"/>
      <w:r w:rsidRPr="00DF6479">
        <w:t>Informacje na temat przeklasyfikowania aktywów finansowych wycenianych według wartości godziwej do aktywów finansowych wycenianych w skorygowanej cenie nabycia.</w:t>
      </w:r>
      <w:bookmarkEnd w:id="8"/>
    </w:p>
    <w:p w:rsidR="00AD0723" w:rsidRPr="00DF6479" w:rsidRDefault="00AD0723" w:rsidP="00AD0723">
      <w:pPr>
        <w:rPr>
          <w:rFonts w:cs="Tahoma"/>
          <w:szCs w:val="22"/>
        </w:rPr>
      </w:pPr>
    </w:p>
    <w:p w:rsidR="00AD0723" w:rsidRPr="00DF6479" w:rsidRDefault="00AD0723" w:rsidP="00AD0723">
      <w:pPr>
        <w:rPr>
          <w:rFonts w:cs="Tahoma"/>
          <w:b/>
          <w:szCs w:val="20"/>
        </w:rPr>
      </w:pPr>
      <w:r w:rsidRPr="006C4B43">
        <w:rPr>
          <w:rFonts w:cs="Tahoma"/>
          <w:szCs w:val="20"/>
        </w:rPr>
        <w:t>Nie dotyczy.</w:t>
      </w:r>
    </w:p>
    <w:p w:rsidR="00AD0723" w:rsidRPr="00DF6479" w:rsidRDefault="00AD0723" w:rsidP="00AD0723">
      <w:pPr>
        <w:rPr>
          <w:rFonts w:cs="Tahoma"/>
          <w:b/>
          <w:szCs w:val="20"/>
        </w:rPr>
      </w:pPr>
    </w:p>
    <w:p w:rsidR="00AD0723" w:rsidRDefault="00AD0723" w:rsidP="00AD0723">
      <w:pPr>
        <w:pStyle w:val="spis2"/>
      </w:pPr>
      <w:bookmarkStart w:id="9" w:name="_Toc509841109"/>
      <w:r w:rsidRPr="00DF6479">
        <w:t>CELE I ZASADY ZARZĄDZANIA RYZYKIEM FINANSOWYM.</w:t>
      </w:r>
      <w:bookmarkEnd w:id="9"/>
    </w:p>
    <w:p w:rsidR="00AD0723" w:rsidRDefault="00AD0723" w:rsidP="00AD0723">
      <w:pPr>
        <w:pStyle w:val="Akapitzlist"/>
        <w:ind w:left="644"/>
        <w:rPr>
          <w:rFonts w:cs="Tahoma"/>
          <w:b/>
          <w:szCs w:val="20"/>
        </w:rPr>
      </w:pPr>
    </w:p>
    <w:p w:rsidR="00AD0723" w:rsidRPr="00DF6479" w:rsidRDefault="00AD0723" w:rsidP="00AD0723">
      <w:pPr>
        <w:spacing w:line="276" w:lineRule="auto"/>
        <w:rPr>
          <w:rFonts w:cs="Arial"/>
          <w:szCs w:val="20"/>
        </w:rPr>
      </w:pPr>
      <w:r w:rsidRPr="00DF6479">
        <w:rPr>
          <w:rFonts w:cs="Arial"/>
          <w:szCs w:val="20"/>
        </w:rPr>
        <w:t>W procesie zarządzania ryzykiem najważniejszą wagę mają następujące cele:</w:t>
      </w:r>
    </w:p>
    <w:p w:rsidR="00AD0723" w:rsidRPr="00DF6479" w:rsidRDefault="00AD0723" w:rsidP="00AD0723">
      <w:pPr>
        <w:pStyle w:val="0HLBpismo"/>
        <w:numPr>
          <w:ilvl w:val="0"/>
          <w:numId w:val="1"/>
        </w:numPr>
        <w:spacing w:line="276" w:lineRule="auto"/>
        <w:rPr>
          <w:rFonts w:asciiTheme="minorHAnsi" w:hAnsiTheme="minorHAnsi"/>
        </w:rPr>
      </w:pPr>
      <w:r w:rsidRPr="00DF6479">
        <w:rPr>
          <w:rFonts w:asciiTheme="minorHAnsi" w:hAnsiTheme="minorHAnsi"/>
        </w:rPr>
        <w:t>zabezpieczenie krótkoterminowych oraz średnioterminowych przepływów pieniężnych,</w:t>
      </w:r>
    </w:p>
    <w:p w:rsidR="00AD0723" w:rsidRPr="00DF6479" w:rsidRDefault="00AD0723" w:rsidP="00AD0723">
      <w:pPr>
        <w:pStyle w:val="0HLBpismo"/>
        <w:numPr>
          <w:ilvl w:val="0"/>
          <w:numId w:val="1"/>
        </w:numPr>
        <w:spacing w:line="276" w:lineRule="auto"/>
        <w:rPr>
          <w:rFonts w:asciiTheme="minorHAnsi" w:hAnsiTheme="minorHAnsi"/>
        </w:rPr>
      </w:pPr>
      <w:r w:rsidRPr="00DF6479">
        <w:rPr>
          <w:rFonts w:asciiTheme="minorHAnsi" w:hAnsiTheme="minorHAnsi"/>
        </w:rPr>
        <w:t>stabilizacja wahań wyniku finansowego Grupy,</w:t>
      </w:r>
    </w:p>
    <w:p w:rsidR="00AD0723" w:rsidRPr="00DF6479" w:rsidRDefault="00AD0723" w:rsidP="00AD0723">
      <w:pPr>
        <w:pStyle w:val="0HLBpismo"/>
        <w:numPr>
          <w:ilvl w:val="0"/>
          <w:numId w:val="1"/>
        </w:numPr>
        <w:spacing w:line="276" w:lineRule="auto"/>
        <w:rPr>
          <w:rFonts w:asciiTheme="minorHAnsi" w:hAnsiTheme="minorHAnsi"/>
        </w:rPr>
      </w:pPr>
      <w:r w:rsidRPr="00DF6479">
        <w:rPr>
          <w:rFonts w:asciiTheme="minorHAnsi" w:hAnsiTheme="minorHAnsi"/>
        </w:rPr>
        <w:lastRenderedPageBreak/>
        <w:t>wykonanie zakładanych prognoz finansowych poprzez spełnienie założeń budżetowych,</w:t>
      </w:r>
    </w:p>
    <w:p w:rsidR="00AD0723" w:rsidRPr="00DF6479" w:rsidRDefault="00AD0723" w:rsidP="00AD0723">
      <w:pPr>
        <w:pStyle w:val="0HLBpismo"/>
        <w:numPr>
          <w:ilvl w:val="0"/>
          <w:numId w:val="1"/>
        </w:numPr>
        <w:spacing w:line="276" w:lineRule="auto"/>
        <w:rPr>
          <w:rFonts w:asciiTheme="minorHAnsi" w:hAnsiTheme="minorHAnsi"/>
        </w:rPr>
      </w:pPr>
      <w:r w:rsidRPr="00DF6479">
        <w:rPr>
          <w:rFonts w:asciiTheme="minorHAnsi" w:hAnsiTheme="minorHAnsi"/>
        </w:rPr>
        <w:t>osiągnięcie stopy zwrotu z długoterminowych inwestycji wraz z pozyskaniem optymalnych źródeł finansowania działań inwestycyjnych.</w:t>
      </w:r>
    </w:p>
    <w:p w:rsidR="00AD0723" w:rsidRPr="00DF6479" w:rsidRDefault="00AD0723" w:rsidP="00AD0723">
      <w:pPr>
        <w:pStyle w:val="Akapitzlist"/>
        <w:spacing w:line="276" w:lineRule="auto"/>
        <w:ind w:left="644"/>
        <w:rPr>
          <w:rFonts w:cs="Tahoma"/>
          <w:b/>
          <w:szCs w:val="20"/>
        </w:rPr>
      </w:pPr>
    </w:p>
    <w:p w:rsidR="00AD0723" w:rsidRPr="00DF6479" w:rsidRDefault="00AD0723" w:rsidP="00AD0723">
      <w:pPr>
        <w:spacing w:line="276" w:lineRule="auto"/>
        <w:rPr>
          <w:rFonts w:ascii="Calibri" w:hAnsi="Calibri"/>
          <w:szCs w:val="20"/>
        </w:rPr>
      </w:pPr>
      <w:r w:rsidRPr="00DF6479">
        <w:rPr>
          <w:rFonts w:ascii="Calibri" w:hAnsi="Calibri"/>
          <w:szCs w:val="20"/>
        </w:rPr>
        <w:t xml:space="preserve">Ze względu na eksportowanie produktów Emitenta oraz współpracę z europejskimi sieciami handlowymi, czynnikiem ryzyka, z jakim Emitent ma do czynienia jest ryzyko wystąpienia niekorzystnych zmian kursów walutowych. Ryzyko to dotyczy szczególnie kursu wymiany waluty polskiej oraz euro, gdyż przychody ze sprzedaży produktów rozliczane w euro wyniosły w 2017 roku ok. 60% całkowitych przychodów Emitenta ze sprzedaży produktów i usług. Aprecjacja złotego względem euro może negatywnie wpłynąć na niektóre pozycje wyników finansowych, w szczególności na przychody ze sprzedaży produktów oraz należności z tytułu dostaw. Dodatkowo wahania kursów walutowych mogą negatywnie wpłynąć na kształtowanie się kosztów surowców i materiałów, w szczególności  opakowań, stanowiących najważniejsze komponenty w kosztach produkcji Emitenta i których ceny są ściśle powiązane z kursem euro. </w:t>
      </w:r>
    </w:p>
    <w:p w:rsidR="00AD0723" w:rsidRPr="00DF6479" w:rsidRDefault="00AD0723" w:rsidP="00AD0723">
      <w:pPr>
        <w:spacing w:line="276" w:lineRule="auto"/>
        <w:rPr>
          <w:rFonts w:ascii="Calibri" w:hAnsi="Calibri"/>
          <w:szCs w:val="20"/>
        </w:rPr>
      </w:pPr>
    </w:p>
    <w:p w:rsidR="00AD0723" w:rsidRPr="00DF6479" w:rsidRDefault="00AD0723" w:rsidP="00AD0723">
      <w:pPr>
        <w:spacing w:line="276" w:lineRule="auto"/>
        <w:rPr>
          <w:rFonts w:ascii="Calibri" w:hAnsi="Calibri"/>
          <w:szCs w:val="20"/>
        </w:rPr>
      </w:pPr>
      <w:r w:rsidRPr="00DF6479">
        <w:rPr>
          <w:rFonts w:ascii="Calibri" w:hAnsi="Calibri"/>
          <w:szCs w:val="20"/>
        </w:rPr>
        <w:t>Emitent nie stosuje zabezpieczeń przed ryzykiem kursowym. W związku z realizacją sprzedaży eksportowej Emitent korzysta w pewnym stopniu z hedgingu naturalnego.</w:t>
      </w:r>
    </w:p>
    <w:p w:rsidR="00AD0723" w:rsidRPr="00DF6479" w:rsidRDefault="00AD0723" w:rsidP="00AD0723">
      <w:pPr>
        <w:rPr>
          <w:rFonts w:cs="Tahoma"/>
          <w:b/>
          <w:sz w:val="22"/>
          <w:szCs w:val="22"/>
        </w:rPr>
      </w:pPr>
    </w:p>
    <w:p w:rsidR="00AD0723" w:rsidRPr="00DF6479" w:rsidRDefault="00AD0723" w:rsidP="00AD0723">
      <w:pPr>
        <w:pStyle w:val="spis2"/>
      </w:pPr>
      <w:r w:rsidRPr="00DF6479">
        <w:t xml:space="preserve"> </w:t>
      </w:r>
      <w:bookmarkStart w:id="10" w:name="_Toc509841110"/>
      <w:r w:rsidRPr="00DF6479">
        <w:t>Informacje na temat stosowanych zasad rachunkowości zabezpieczeń</w:t>
      </w:r>
      <w:bookmarkEnd w:id="10"/>
    </w:p>
    <w:p w:rsidR="00AD0723" w:rsidRPr="00DF6479" w:rsidRDefault="00AD0723" w:rsidP="00AD0723">
      <w:pPr>
        <w:rPr>
          <w:rFonts w:cs="Tahoma"/>
          <w:sz w:val="22"/>
          <w:szCs w:val="22"/>
        </w:rPr>
      </w:pPr>
    </w:p>
    <w:p w:rsidR="00AD0723" w:rsidRPr="00DF6479" w:rsidRDefault="00AD0723" w:rsidP="00AD0723">
      <w:pPr>
        <w:rPr>
          <w:rFonts w:cs="Tahoma"/>
          <w:sz w:val="22"/>
          <w:szCs w:val="22"/>
        </w:rPr>
      </w:pPr>
      <w:r w:rsidRPr="006C4B43">
        <w:rPr>
          <w:rFonts w:cs="Tahoma"/>
          <w:szCs w:val="20"/>
        </w:rPr>
        <w:t>Nie dotyczy</w:t>
      </w:r>
      <w:r w:rsidRPr="00DF6479">
        <w:rPr>
          <w:rFonts w:cs="Tahoma"/>
          <w:sz w:val="22"/>
          <w:szCs w:val="22"/>
        </w:rPr>
        <w:t>.</w:t>
      </w:r>
    </w:p>
    <w:p w:rsidR="00AD0723" w:rsidRPr="00DF6479" w:rsidRDefault="00AD0723" w:rsidP="00AD0723">
      <w:pPr>
        <w:rPr>
          <w:rFonts w:cs="Tahoma"/>
          <w:b/>
          <w:sz w:val="22"/>
          <w:szCs w:val="22"/>
        </w:rPr>
      </w:pPr>
    </w:p>
    <w:p w:rsidR="00AD0723" w:rsidRPr="00342DD2" w:rsidRDefault="00AD0723" w:rsidP="00AD0723">
      <w:pPr>
        <w:pStyle w:val="spis2"/>
        <w:rPr>
          <w:sz w:val="22"/>
        </w:rPr>
      </w:pPr>
      <w:bookmarkStart w:id="11" w:name="_Toc509841111"/>
      <w:r w:rsidRPr="00DF6479">
        <w:t>Dane o pozycjach pozabilansowych</w:t>
      </w:r>
      <w:bookmarkEnd w:id="11"/>
    </w:p>
    <w:p w:rsidR="00AD0723" w:rsidRDefault="00AD0723" w:rsidP="00AD0723"/>
    <w:p w:rsidR="00AD0723" w:rsidRPr="00DF6479" w:rsidRDefault="00AD0723" w:rsidP="00AD0723">
      <w:pPr>
        <w:rPr>
          <w:sz w:val="22"/>
        </w:rPr>
      </w:pPr>
      <w:r w:rsidRPr="00DF6479">
        <w:t>Dane o pozycjach pozabilansowych, w szczególności zobowiązaniach warunkowych, w tym również udzielonych przez emitenta gwarancjach i poręczeniach (także wekslowych), z wyodrębnieniem udzielonych na rzecz jednostek powiązanych, pozostałych jednostek, w których emitent posiada zaangażowanie w kapitale, wspólnika jednostki współzależnej oraz znaczącego inwestora, a także informacje dotyczące zobowiązań warunkowych w zakresie emerytur i podobnych świadczeń, a w przypadku skonsolidowanego sprawozdania finansowego należy także dokonać podziału zobowiązań warunkowych z wyodrębnieniem tych udzielonych na rzecz jednostek podporządkowanych, nieobjętych konsolidacją, niewycenianych metodą praw własności lub metodą proporcjonalną, oraz jednostek podporządkowanych objętych konsolidacją, wycenianych metodą praw własności lub metodą proporcjonalną.</w:t>
      </w:r>
    </w:p>
    <w:p w:rsidR="00AD0723" w:rsidRPr="00DF6479" w:rsidRDefault="00AD0723" w:rsidP="00AD0723">
      <w:pPr>
        <w:rPr>
          <w:rFonts w:cs="Tahoma"/>
          <w:b/>
          <w:sz w:val="22"/>
          <w:szCs w:val="22"/>
        </w:rPr>
      </w:pPr>
    </w:p>
    <w:p w:rsidR="00AD0723" w:rsidRPr="006C4B43" w:rsidRDefault="00AD0723" w:rsidP="00AD0723">
      <w:pPr>
        <w:rPr>
          <w:rFonts w:cs="Tahoma"/>
          <w:szCs w:val="20"/>
        </w:rPr>
      </w:pPr>
      <w:r w:rsidRPr="00DF6479">
        <w:rPr>
          <w:rFonts w:cs="Tahoma"/>
          <w:szCs w:val="20"/>
        </w:rPr>
        <w:t>Na dzień 31 grudnia 2017 roku Emitent posiada zobowiązania warunkowe pozostałych jednostek, w tym z udzielonych przez jednostkę gwarancji i poręczeń oraz zobowiązań wekslowych</w:t>
      </w:r>
      <w:r>
        <w:rPr>
          <w:rFonts w:cs="Tahoma"/>
          <w:szCs w:val="20"/>
        </w:rPr>
        <w:t xml:space="preserve"> z tytułów innych niż zaciągnięte kredyty i pożyczki.</w:t>
      </w:r>
    </w:p>
    <w:p w:rsidR="00AD0723" w:rsidRPr="006C4B43" w:rsidRDefault="00AD0723" w:rsidP="00AD0723">
      <w:pPr>
        <w:rPr>
          <w:rFonts w:cs="Tahoma"/>
          <w:szCs w:val="20"/>
        </w:rPr>
      </w:pPr>
    </w:p>
    <w:p w:rsidR="00AD0723" w:rsidRPr="00DF6479" w:rsidRDefault="00AD0723" w:rsidP="00AD0723">
      <w:pPr>
        <w:pStyle w:val="Akapitzlist"/>
        <w:ind w:left="644"/>
        <w:rPr>
          <w:rFonts w:cs="Tahoma"/>
          <w:b/>
          <w:sz w:val="22"/>
          <w:szCs w:val="22"/>
        </w:rPr>
      </w:pPr>
    </w:p>
    <w:tbl>
      <w:tblPr>
        <w:tblW w:w="0" w:type="auto"/>
        <w:tblLayout w:type="fixed"/>
        <w:tblCellMar>
          <w:left w:w="70" w:type="dxa"/>
          <w:right w:w="70" w:type="dxa"/>
        </w:tblCellMar>
        <w:tblLook w:val="04A0" w:firstRow="1" w:lastRow="0" w:firstColumn="1" w:lastColumn="0" w:noHBand="0" w:noVBand="1"/>
      </w:tblPr>
      <w:tblGrid>
        <w:gridCol w:w="318"/>
        <w:gridCol w:w="998"/>
        <w:gridCol w:w="3720"/>
        <w:gridCol w:w="1450"/>
        <w:gridCol w:w="1359"/>
        <w:gridCol w:w="1205"/>
      </w:tblGrid>
      <w:tr w:rsidR="00AD0723" w:rsidRPr="006C4B43" w:rsidTr="006D3597">
        <w:trPr>
          <w:trHeight w:val="465"/>
        </w:trPr>
        <w:tc>
          <w:tcPr>
            <w:tcW w:w="3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Lp.</w:t>
            </w:r>
          </w:p>
        </w:tc>
        <w:tc>
          <w:tcPr>
            <w:tcW w:w="998" w:type="dxa"/>
            <w:tcBorders>
              <w:top w:val="single" w:sz="8" w:space="0" w:color="auto"/>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kategoria kontrahenta</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opis zobowiązania</w:t>
            </w:r>
          </w:p>
        </w:tc>
        <w:tc>
          <w:tcPr>
            <w:tcW w:w="1450" w:type="dxa"/>
            <w:tcBorders>
              <w:top w:val="single" w:sz="8" w:space="0" w:color="auto"/>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wartość zobowiązania</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 xml:space="preserve">zabezpieczenia </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b/>
                <w:bCs/>
                <w:color w:val="000000"/>
                <w:sz w:val="16"/>
                <w:szCs w:val="16"/>
              </w:rPr>
            </w:pPr>
            <w:r w:rsidRPr="00DF6479">
              <w:rPr>
                <w:rFonts w:cs="Arial"/>
                <w:b/>
                <w:bCs/>
                <w:color w:val="000000"/>
                <w:sz w:val="16"/>
                <w:szCs w:val="16"/>
              </w:rPr>
              <w:t>inne</w:t>
            </w:r>
          </w:p>
        </w:tc>
      </w:tr>
      <w:tr w:rsidR="00AD0723" w:rsidRPr="006C4B43" w:rsidTr="006D3597">
        <w:trPr>
          <w:trHeight w:val="2342"/>
        </w:trPr>
        <w:tc>
          <w:tcPr>
            <w:tcW w:w="318" w:type="dxa"/>
            <w:tcBorders>
              <w:top w:val="nil"/>
              <w:left w:val="single" w:sz="8" w:space="0" w:color="auto"/>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1</w:t>
            </w:r>
          </w:p>
        </w:tc>
        <w:tc>
          <w:tcPr>
            <w:tcW w:w="998" w:type="dxa"/>
            <w:vMerge w:val="restart"/>
            <w:tcBorders>
              <w:top w:val="nil"/>
              <w:left w:val="nil"/>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Instytucja finansująca dotację</w:t>
            </w:r>
          </w:p>
        </w:tc>
        <w:tc>
          <w:tcPr>
            <w:tcW w:w="372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 NIE NA ZLECENIE - zabezpieczenie należytego wykonania zobowiązań wynikających z Umowy o dofinansowanie RPMA.01.05.00-14-435/08-00 z dnia 23 listopada 2009 roku na realizację Projektu: „Wzrost pozycji konkurencyjnej przedsiębiorstwa Krynica Vitamin poprzez realizację nowej inwestycji w miejscowości Dziadkowskie Folwark”</w:t>
            </w:r>
            <w:r w:rsidRPr="00DF6479">
              <w:rPr>
                <w:rFonts w:cs="Arial"/>
                <w:color w:val="000000"/>
                <w:sz w:val="16"/>
                <w:szCs w:val="16"/>
              </w:rPr>
              <w:br/>
              <w:t xml:space="preserve">finansowanego ze środków Programu Operacyjnego Innowacyjna Gospodarka 2007-2013, Działanie 1.5: Rozwój przedsiębiorczości, oś priorytetowa </w:t>
            </w:r>
            <w:r w:rsidRPr="00DF6479">
              <w:rPr>
                <w:rFonts w:cs="Arial"/>
                <w:color w:val="000000"/>
                <w:sz w:val="16"/>
                <w:szCs w:val="16"/>
              </w:rPr>
              <w:br/>
              <w:t xml:space="preserve">1: Tworzenie warunków dla Rozwoju potencjału Innowacyjnego </w:t>
            </w:r>
            <w:r w:rsidRPr="00DF6479">
              <w:rPr>
                <w:rFonts w:cs="Arial"/>
                <w:color w:val="000000"/>
                <w:sz w:val="16"/>
                <w:szCs w:val="16"/>
              </w:rPr>
              <w:br/>
              <w:t xml:space="preserve">i przedsiębiorczości na Mazowszu na kwotę przyznanego dofinansowania (wskazana) wraz z odsetkami w wysokości określonej jak dla zaległości podatkowych liczonymi od dnia przekazania środków </w:t>
            </w:r>
            <w:r w:rsidRPr="00DF6479">
              <w:rPr>
                <w:rFonts w:cs="Arial"/>
                <w:color w:val="000000"/>
                <w:sz w:val="16"/>
                <w:szCs w:val="16"/>
              </w:rPr>
              <w:lastRenderedPageBreak/>
              <w:t>na konto Beneficjanta do dnia zwrotu, powiększoną o stopę redyskonta weksli.</w:t>
            </w:r>
          </w:p>
        </w:tc>
        <w:tc>
          <w:tcPr>
            <w:tcW w:w="145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lastRenderedPageBreak/>
              <w:t>max. 100 tys. PLN</w:t>
            </w:r>
          </w:p>
        </w:tc>
        <w:tc>
          <w:tcPr>
            <w:tcW w:w="1359"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w:t>
            </w:r>
          </w:p>
        </w:tc>
        <w:tc>
          <w:tcPr>
            <w:tcW w:w="1205"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 </w:t>
            </w:r>
          </w:p>
        </w:tc>
      </w:tr>
      <w:tr w:rsidR="00AD0723" w:rsidRPr="006C4B43" w:rsidTr="006D3597">
        <w:trPr>
          <w:trHeight w:val="2245"/>
        </w:trPr>
        <w:tc>
          <w:tcPr>
            <w:tcW w:w="318" w:type="dxa"/>
            <w:tcBorders>
              <w:top w:val="nil"/>
              <w:left w:val="single" w:sz="8" w:space="0" w:color="auto"/>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2</w:t>
            </w:r>
          </w:p>
        </w:tc>
        <w:tc>
          <w:tcPr>
            <w:tcW w:w="998" w:type="dxa"/>
            <w:vMerge/>
            <w:tcBorders>
              <w:left w:val="nil"/>
              <w:right w:val="single" w:sz="8" w:space="0" w:color="auto"/>
            </w:tcBorders>
            <w:shd w:val="clear" w:color="auto" w:fill="auto"/>
            <w:vAlign w:val="center"/>
            <w:hideMark/>
          </w:tcPr>
          <w:p w:rsidR="00AD0723" w:rsidRPr="00DF6479" w:rsidRDefault="00AD0723" w:rsidP="006D3597">
            <w:pPr>
              <w:rPr>
                <w:rFonts w:cs="Arial"/>
                <w:color w:val="000000"/>
                <w:sz w:val="16"/>
                <w:szCs w:val="16"/>
              </w:rPr>
            </w:pPr>
          </w:p>
        </w:tc>
        <w:tc>
          <w:tcPr>
            <w:tcW w:w="372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 NIE NA ZLECENIE - zabezpieczenie należytego wykonania zobowiązań wynikających z Umowy o dofinansowanie Projektu UDA-POIG.06.01.00-14-437/11-00 z dnia 20 marca 2012 roku na realizację Projektu: „Wdrożenie Planu rozwoju eksportu dla Krynicy Vitamin”</w:t>
            </w:r>
            <w:r w:rsidRPr="00DF6479">
              <w:rPr>
                <w:rFonts w:cs="Arial"/>
                <w:color w:val="000000"/>
                <w:sz w:val="16"/>
                <w:szCs w:val="16"/>
              </w:rPr>
              <w:br/>
              <w:t>finansowanego ze środków Programu Operacyjnego Innowacyjna Gospodarka 2007-2013, Etap II – Paszport do eksportu II ETAP Wdrożenie panu rozwoju eksportu 6.1 Paszport do eksportu, oś priorytetowa 6: Polska gospodarka na rynku międzynarodowym na kwotę przyznanego dofinansowania (wskazana) wraz z odsetkami w wysokości określonej jak dla zaległości podatkowych liczonymi od dnia przekazania środków na konto Beneficjanta do dnia zwrotu, powiększoną o stopę redyskonta weksli.</w:t>
            </w:r>
          </w:p>
        </w:tc>
        <w:tc>
          <w:tcPr>
            <w:tcW w:w="145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 </w:t>
            </w:r>
          </w:p>
        </w:tc>
        <w:tc>
          <w:tcPr>
            <w:tcW w:w="1359"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w:t>
            </w:r>
          </w:p>
        </w:tc>
        <w:tc>
          <w:tcPr>
            <w:tcW w:w="1205"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w sierpniu 2014 r. strona wezwana do wykupu weksla, na kwotę 14 tys. PLN</w:t>
            </w:r>
          </w:p>
        </w:tc>
      </w:tr>
      <w:tr w:rsidR="00AD0723" w:rsidRPr="006C4B43" w:rsidTr="006D3597">
        <w:trPr>
          <w:trHeight w:val="2534"/>
        </w:trPr>
        <w:tc>
          <w:tcPr>
            <w:tcW w:w="318" w:type="dxa"/>
            <w:tcBorders>
              <w:top w:val="nil"/>
              <w:left w:val="single" w:sz="8" w:space="0" w:color="auto"/>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3</w:t>
            </w:r>
          </w:p>
        </w:tc>
        <w:tc>
          <w:tcPr>
            <w:tcW w:w="998" w:type="dxa"/>
            <w:vMerge/>
            <w:tcBorders>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p>
        </w:tc>
        <w:tc>
          <w:tcPr>
            <w:tcW w:w="372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 NIE NA ZLECENIE - zabezpieczenie należytego wykonania zobowiązań wynikających z Umowy o dofinansowanie Projektu UDA-POIG.08.02.00-14-027/13-00 z dnia 22 października 2013 roku na realizację Projektu: „Wdrożenie nowej Platformy B2B w Krynica Vitamin w celu automatyzacji procesów biznesowych z Partnerami” finansowanego ze środków Programu Operacyjnego Innowacyjna Gospodarka 2007-2013, Działanie 8.2: Wspieranie wdrażania elektronicznego biznesu typu B2B, oś priorytetowa 8: Społeczeństwo informacyjne – zwiększanie innowacyjności gospodarki na kwotę przyznanego dofinansowania (wskazana) wraz z odsetkami w wysokości określonej jak dla zaległości podatkowych liczonymi od dnia przekazania środków na konto Beneficjanta do dnia zwrotu, powiększoną o stopę redyskonta weksli.</w:t>
            </w:r>
          </w:p>
        </w:tc>
        <w:tc>
          <w:tcPr>
            <w:tcW w:w="1450" w:type="dxa"/>
            <w:tcBorders>
              <w:top w:val="nil"/>
              <w:left w:val="nil"/>
              <w:bottom w:val="single" w:sz="8" w:space="0" w:color="auto"/>
              <w:right w:val="single" w:sz="8" w:space="0" w:color="auto"/>
            </w:tcBorders>
            <w:shd w:val="clear" w:color="auto" w:fill="auto"/>
            <w:noWrap/>
            <w:vAlign w:val="center"/>
            <w:hideMark/>
          </w:tcPr>
          <w:p w:rsidR="00AD0723" w:rsidRPr="00DF6479" w:rsidRDefault="00AD0723" w:rsidP="006D3597">
            <w:pPr>
              <w:rPr>
                <w:rFonts w:cs="Arial"/>
                <w:color w:val="000000"/>
                <w:sz w:val="16"/>
                <w:szCs w:val="16"/>
              </w:rPr>
            </w:pPr>
            <w:r w:rsidRPr="00DF6479">
              <w:rPr>
                <w:rFonts w:cs="Arial"/>
                <w:color w:val="000000"/>
                <w:sz w:val="16"/>
                <w:szCs w:val="16"/>
              </w:rPr>
              <w:t>max. 150 tys. PLN</w:t>
            </w:r>
          </w:p>
        </w:tc>
        <w:tc>
          <w:tcPr>
            <w:tcW w:w="1359"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weksel in blanco</w:t>
            </w:r>
          </w:p>
        </w:tc>
        <w:tc>
          <w:tcPr>
            <w:tcW w:w="1205" w:type="dxa"/>
            <w:tcBorders>
              <w:top w:val="nil"/>
              <w:left w:val="nil"/>
              <w:bottom w:val="single" w:sz="8" w:space="0" w:color="auto"/>
              <w:right w:val="single" w:sz="8" w:space="0" w:color="auto"/>
            </w:tcBorders>
            <w:shd w:val="clear" w:color="auto" w:fill="auto"/>
            <w:vAlign w:val="center"/>
            <w:hideMark/>
          </w:tcPr>
          <w:p w:rsidR="00AD0723" w:rsidRPr="00DF6479" w:rsidRDefault="00AD0723" w:rsidP="006D3597">
            <w:pPr>
              <w:rPr>
                <w:rFonts w:cs="Arial"/>
                <w:color w:val="000000"/>
                <w:sz w:val="16"/>
                <w:szCs w:val="16"/>
              </w:rPr>
            </w:pPr>
            <w:r w:rsidRPr="00DF6479">
              <w:rPr>
                <w:rFonts w:cs="Arial"/>
                <w:color w:val="000000"/>
                <w:sz w:val="16"/>
                <w:szCs w:val="16"/>
              </w:rPr>
              <w:t> </w:t>
            </w:r>
          </w:p>
        </w:tc>
      </w:tr>
    </w:tbl>
    <w:p w:rsidR="00AD0723" w:rsidRPr="00DF6479" w:rsidRDefault="00AD0723" w:rsidP="00AD0723">
      <w:pPr>
        <w:pStyle w:val="Akapitzlist"/>
        <w:ind w:left="644"/>
        <w:rPr>
          <w:rFonts w:cs="Tahoma"/>
          <w:b/>
          <w:sz w:val="22"/>
          <w:szCs w:val="22"/>
        </w:rPr>
      </w:pPr>
    </w:p>
    <w:p w:rsidR="00AD0723" w:rsidRPr="00DF6479" w:rsidRDefault="00AD0723" w:rsidP="00AD0723">
      <w:pPr>
        <w:pStyle w:val="Akapitzlist"/>
        <w:ind w:left="644"/>
        <w:rPr>
          <w:rFonts w:cs="Tahoma"/>
          <w:b/>
          <w:sz w:val="22"/>
          <w:szCs w:val="22"/>
        </w:rPr>
      </w:pPr>
    </w:p>
    <w:p w:rsidR="00AD0723" w:rsidRPr="00DF6479" w:rsidRDefault="00AD0723" w:rsidP="00AD0723">
      <w:pPr>
        <w:pStyle w:val="spis2"/>
        <w:rPr>
          <w:sz w:val="22"/>
        </w:rPr>
      </w:pPr>
      <w:bookmarkStart w:id="12" w:name="_Toc509841112"/>
      <w:r w:rsidRPr="00DF6479">
        <w:t>Dane dotyczące zobowiązań wobec budżetu państwa lub jednostek samorządu terytorialnego z tytułu uzyskania prawa własności budynków i budowli</w:t>
      </w:r>
      <w:bookmarkEnd w:id="12"/>
    </w:p>
    <w:p w:rsidR="00AD0723" w:rsidRPr="00DF6479" w:rsidRDefault="00AD0723" w:rsidP="00AD0723">
      <w:pPr>
        <w:pStyle w:val="Akapitzlist"/>
        <w:ind w:left="644"/>
        <w:rPr>
          <w:rFonts w:cs="Tahoma"/>
          <w:b/>
          <w:sz w:val="22"/>
          <w:szCs w:val="22"/>
        </w:rPr>
      </w:pPr>
    </w:p>
    <w:p w:rsidR="00AD0723" w:rsidRPr="00DF6479" w:rsidRDefault="00AD0723" w:rsidP="00AD0723">
      <w:pPr>
        <w:pStyle w:val="Akapitzlist"/>
        <w:ind w:left="644"/>
        <w:rPr>
          <w:rFonts w:cs="Tahoma"/>
          <w:sz w:val="22"/>
          <w:szCs w:val="22"/>
        </w:rPr>
      </w:pPr>
      <w:r w:rsidRPr="006C4B43">
        <w:rPr>
          <w:rFonts w:cs="Tahoma"/>
          <w:szCs w:val="20"/>
        </w:rPr>
        <w:t>Nie występuje</w:t>
      </w:r>
      <w:r w:rsidRPr="00DF6479">
        <w:rPr>
          <w:rFonts w:cs="Tahoma"/>
          <w:sz w:val="22"/>
          <w:szCs w:val="22"/>
        </w:rPr>
        <w:t>.</w:t>
      </w:r>
    </w:p>
    <w:p w:rsidR="00AD0723" w:rsidRPr="00DF6479" w:rsidRDefault="00AD0723" w:rsidP="00AD0723">
      <w:pPr>
        <w:rPr>
          <w:rFonts w:cs="Tahoma"/>
          <w:b/>
          <w:sz w:val="22"/>
          <w:szCs w:val="22"/>
        </w:rPr>
      </w:pPr>
    </w:p>
    <w:p w:rsidR="00AD0723" w:rsidRPr="00DF6479" w:rsidRDefault="00AD0723" w:rsidP="00AD0723">
      <w:pPr>
        <w:pStyle w:val="spis2"/>
        <w:rPr>
          <w:sz w:val="22"/>
        </w:rPr>
      </w:pPr>
      <w:bookmarkStart w:id="13" w:name="_Toc509841113"/>
      <w:r w:rsidRPr="00DF6479">
        <w:t>Informacje o przychodach, kosztach i wynikach działalności zaniechanej w danym okresie lub przewidzianej do zaniechania w następnym okresie</w:t>
      </w:r>
      <w:bookmarkEnd w:id="13"/>
    </w:p>
    <w:p w:rsidR="00AD0723" w:rsidRPr="00DF6479" w:rsidRDefault="00AD0723" w:rsidP="00AD0723">
      <w:pPr>
        <w:ind w:firstLine="644"/>
        <w:rPr>
          <w:rFonts w:cs="Tahoma"/>
          <w:sz w:val="22"/>
          <w:szCs w:val="22"/>
        </w:rPr>
      </w:pPr>
    </w:p>
    <w:p w:rsidR="00AD0723" w:rsidRPr="006C4B43" w:rsidRDefault="00AD0723" w:rsidP="00AD0723">
      <w:pPr>
        <w:ind w:firstLine="644"/>
        <w:rPr>
          <w:rFonts w:cs="Tahoma"/>
          <w:szCs w:val="20"/>
        </w:rPr>
      </w:pPr>
      <w:r w:rsidRPr="006C4B43">
        <w:rPr>
          <w:rFonts w:cs="Tahoma"/>
          <w:szCs w:val="20"/>
        </w:rPr>
        <w:t>Nie dotyczy.</w:t>
      </w:r>
    </w:p>
    <w:p w:rsidR="00AD0723" w:rsidRPr="00DF6479" w:rsidRDefault="00AD0723" w:rsidP="00AD0723">
      <w:pPr>
        <w:ind w:firstLine="644"/>
        <w:rPr>
          <w:rFonts w:cs="Tahoma"/>
          <w:sz w:val="22"/>
          <w:szCs w:val="22"/>
        </w:rPr>
      </w:pPr>
    </w:p>
    <w:p w:rsidR="00AD0723" w:rsidRDefault="00AD0723" w:rsidP="00AD0723">
      <w:pPr>
        <w:ind w:firstLine="644"/>
        <w:rPr>
          <w:rFonts w:cs="Tahoma"/>
          <w:sz w:val="22"/>
          <w:szCs w:val="22"/>
        </w:rPr>
      </w:pPr>
    </w:p>
    <w:p w:rsidR="00AD0723" w:rsidRDefault="00AD0723" w:rsidP="00AD0723">
      <w:pPr>
        <w:ind w:firstLine="644"/>
        <w:rPr>
          <w:rFonts w:cs="Tahoma"/>
          <w:sz w:val="22"/>
          <w:szCs w:val="22"/>
        </w:rPr>
      </w:pPr>
    </w:p>
    <w:p w:rsidR="00AD0723" w:rsidRDefault="00AD0723" w:rsidP="00AD0723">
      <w:pPr>
        <w:ind w:firstLine="644"/>
        <w:rPr>
          <w:rFonts w:cs="Tahoma"/>
          <w:sz w:val="22"/>
          <w:szCs w:val="22"/>
        </w:rPr>
      </w:pPr>
    </w:p>
    <w:p w:rsidR="00AD0723" w:rsidRDefault="00AD0723" w:rsidP="00AD0723">
      <w:pPr>
        <w:ind w:firstLine="644"/>
        <w:rPr>
          <w:rFonts w:cs="Tahoma"/>
          <w:sz w:val="22"/>
          <w:szCs w:val="22"/>
        </w:rPr>
      </w:pPr>
    </w:p>
    <w:p w:rsidR="00AD0723" w:rsidRDefault="00AD0723" w:rsidP="00AD0723">
      <w:pPr>
        <w:ind w:firstLine="644"/>
        <w:rPr>
          <w:rFonts w:cs="Tahoma"/>
          <w:sz w:val="22"/>
          <w:szCs w:val="22"/>
        </w:rPr>
      </w:pPr>
    </w:p>
    <w:p w:rsidR="00AD0723" w:rsidRPr="00DF6479" w:rsidRDefault="00AD0723" w:rsidP="00AD0723">
      <w:pPr>
        <w:pStyle w:val="spis2"/>
        <w:rPr>
          <w:sz w:val="22"/>
        </w:rPr>
      </w:pPr>
      <w:bookmarkStart w:id="14" w:name="_Toc509841114"/>
      <w:r w:rsidRPr="00DF6479">
        <w:lastRenderedPageBreak/>
        <w:t>Koszt wytworzenia środków trwałych w budowie, środków trwałych na własne potrzeby .</w:t>
      </w:r>
      <w:bookmarkEnd w:id="14"/>
      <w:r w:rsidRPr="00DF6479">
        <w:t xml:space="preserve"> </w:t>
      </w:r>
    </w:p>
    <w:p w:rsidR="00AD0723" w:rsidRPr="00DF6479" w:rsidRDefault="00AD0723" w:rsidP="00AD0723">
      <w:pPr>
        <w:rPr>
          <w:rFonts w:cs="Tahoma"/>
          <w:b/>
          <w:sz w:val="22"/>
          <w:szCs w:val="22"/>
        </w:rPr>
      </w:pPr>
    </w:p>
    <w:tbl>
      <w:tblPr>
        <w:tblW w:w="7980" w:type="dxa"/>
        <w:tblCellMar>
          <w:left w:w="70" w:type="dxa"/>
          <w:right w:w="70" w:type="dxa"/>
        </w:tblCellMar>
        <w:tblLook w:val="04A0" w:firstRow="1" w:lastRow="0" w:firstColumn="1" w:lastColumn="0" w:noHBand="0" w:noVBand="1"/>
      </w:tblPr>
      <w:tblGrid>
        <w:gridCol w:w="5900"/>
        <w:gridCol w:w="2080"/>
      </w:tblGrid>
      <w:tr w:rsidR="00AD0723" w:rsidRPr="006C4B43" w:rsidTr="006D3597">
        <w:trPr>
          <w:trHeight w:val="645"/>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szCs w:val="20"/>
              </w:rPr>
            </w:pPr>
          </w:p>
        </w:tc>
        <w:tc>
          <w:tcPr>
            <w:tcW w:w="2080" w:type="dxa"/>
            <w:tcBorders>
              <w:top w:val="nil"/>
              <w:left w:val="nil"/>
              <w:bottom w:val="nil"/>
              <w:right w:val="nil"/>
            </w:tcBorders>
            <w:shd w:val="clear" w:color="auto" w:fill="auto"/>
            <w:noWrap/>
            <w:vAlign w:val="center"/>
            <w:hideMark/>
          </w:tcPr>
          <w:p w:rsidR="00AD0723" w:rsidRPr="00DF6479" w:rsidRDefault="00AD0723" w:rsidP="006D3597">
            <w:pPr>
              <w:rPr>
                <w:rFonts w:cs="Calibri"/>
                <w:b/>
                <w:bCs/>
                <w:color w:val="000000"/>
                <w:szCs w:val="20"/>
              </w:rPr>
            </w:pPr>
            <w:r w:rsidRPr="00DF6479">
              <w:rPr>
                <w:rFonts w:cs="Calibri"/>
                <w:b/>
                <w:bCs/>
                <w:color w:val="000000"/>
                <w:szCs w:val="20"/>
              </w:rPr>
              <w:t>Nakłady 2017 [tys. zł]</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 xml:space="preserve">Nowa hala magazynowa </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1 649</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 xml:space="preserve">Oczyszczalnia ścieków </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1 600</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Zrobotyzowane stanowiska do pakowania</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667</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Centrum Badawczo - Rozwojowe</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650</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 xml:space="preserve">Sterylizator natryskowy </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541</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 xml:space="preserve">Układ rekuperacji </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sidRPr="00DF6479">
              <w:rPr>
                <w:rFonts w:cs="Calibri"/>
                <w:color w:val="000000"/>
                <w:sz w:val="22"/>
                <w:szCs w:val="22"/>
              </w:rPr>
              <w:t>369</w:t>
            </w:r>
          </w:p>
        </w:tc>
      </w:tr>
      <w:tr w:rsidR="00AD0723" w:rsidRPr="006C4B43" w:rsidTr="006D3597">
        <w:trPr>
          <w:trHeight w:val="439"/>
        </w:trPr>
        <w:tc>
          <w:tcPr>
            <w:tcW w:w="5900" w:type="dxa"/>
            <w:tcBorders>
              <w:top w:val="nil"/>
              <w:left w:val="nil"/>
              <w:bottom w:val="nil"/>
              <w:right w:val="nil"/>
            </w:tcBorders>
            <w:shd w:val="clear" w:color="auto" w:fill="auto"/>
            <w:noWrap/>
            <w:vAlign w:val="center"/>
            <w:hideMark/>
          </w:tcPr>
          <w:p w:rsidR="00AD0723" w:rsidRPr="00DF6479" w:rsidRDefault="00AD0723" w:rsidP="006D3597">
            <w:pPr>
              <w:rPr>
                <w:rFonts w:cs="Calibri"/>
                <w:color w:val="000000"/>
                <w:szCs w:val="20"/>
              </w:rPr>
            </w:pPr>
            <w:r w:rsidRPr="00DF6479">
              <w:rPr>
                <w:rFonts w:cs="Calibri"/>
                <w:color w:val="000000"/>
                <w:szCs w:val="20"/>
              </w:rPr>
              <w:t>Pozostałe</w:t>
            </w:r>
          </w:p>
        </w:tc>
        <w:tc>
          <w:tcPr>
            <w:tcW w:w="2080" w:type="dxa"/>
            <w:tcBorders>
              <w:top w:val="nil"/>
              <w:left w:val="nil"/>
              <w:bottom w:val="nil"/>
              <w:right w:val="nil"/>
            </w:tcBorders>
            <w:shd w:val="clear" w:color="auto" w:fill="auto"/>
            <w:noWrap/>
            <w:vAlign w:val="bottom"/>
            <w:hideMark/>
          </w:tcPr>
          <w:p w:rsidR="00AD0723" w:rsidRPr="00DF6479" w:rsidRDefault="00AD0723" w:rsidP="006D3597">
            <w:pPr>
              <w:jc w:val="right"/>
              <w:rPr>
                <w:rFonts w:cs="Calibri"/>
                <w:color w:val="000000"/>
                <w:sz w:val="22"/>
                <w:szCs w:val="22"/>
              </w:rPr>
            </w:pPr>
            <w:r>
              <w:rPr>
                <w:rFonts w:cs="Calibri"/>
                <w:color w:val="000000"/>
                <w:sz w:val="22"/>
                <w:szCs w:val="22"/>
              </w:rPr>
              <w:t xml:space="preserve"> </w:t>
            </w:r>
            <w:r w:rsidRPr="00DF6479">
              <w:rPr>
                <w:rFonts w:cs="Calibri"/>
                <w:color w:val="000000"/>
                <w:sz w:val="22"/>
                <w:szCs w:val="22"/>
              </w:rPr>
              <w:t>1 28</w:t>
            </w:r>
            <w:r>
              <w:rPr>
                <w:rFonts w:cs="Calibri"/>
                <w:color w:val="000000"/>
                <w:sz w:val="22"/>
                <w:szCs w:val="22"/>
              </w:rPr>
              <w:t>6</w:t>
            </w:r>
          </w:p>
        </w:tc>
      </w:tr>
    </w:tbl>
    <w:p w:rsidR="00AD0723" w:rsidRPr="006C4B43" w:rsidRDefault="00AD0723" w:rsidP="00AD0723">
      <w:pPr>
        <w:rPr>
          <w:rFonts w:cs="Tahoma"/>
          <w:sz w:val="22"/>
          <w:szCs w:val="22"/>
        </w:rPr>
      </w:pPr>
    </w:p>
    <w:p w:rsidR="00AD0723" w:rsidRPr="00DF6479" w:rsidRDefault="00AD0723" w:rsidP="00AD0723">
      <w:pPr>
        <w:rPr>
          <w:rFonts w:cs="Tahoma"/>
          <w:sz w:val="22"/>
          <w:szCs w:val="22"/>
        </w:rPr>
      </w:pPr>
      <w:r>
        <w:rPr>
          <w:rFonts w:cs="Tahoma"/>
          <w:sz w:val="22"/>
          <w:szCs w:val="22"/>
        </w:rPr>
        <w:t>Koszt wytworzenia środków trwałych w budowie oraz środków trwałych na własne potrzeby w roku obrotowym nie został powiększony o koszty odsetek oraz różnic kursowych.</w:t>
      </w:r>
    </w:p>
    <w:p w:rsidR="00AD0723" w:rsidRPr="00DF6479" w:rsidRDefault="00AD0723" w:rsidP="00AD0723">
      <w:pPr>
        <w:rPr>
          <w:rFonts w:cs="Tahoma"/>
          <w:b/>
          <w:sz w:val="22"/>
          <w:szCs w:val="22"/>
        </w:rPr>
      </w:pPr>
    </w:p>
    <w:p w:rsidR="00AD0723" w:rsidRPr="00342DD2" w:rsidRDefault="00AD0723" w:rsidP="00AD0723">
      <w:pPr>
        <w:pStyle w:val="spis2"/>
        <w:rPr>
          <w:sz w:val="22"/>
        </w:rPr>
      </w:pPr>
      <w:bookmarkStart w:id="15" w:name="_Toc509841115"/>
      <w:r>
        <w:rPr>
          <w:sz w:val="22"/>
        </w:rPr>
        <w:t>Poniesione i planowane nakłady inwestycyjne</w:t>
      </w:r>
      <w:bookmarkEnd w:id="15"/>
    </w:p>
    <w:p w:rsidR="00AD0723" w:rsidRDefault="00AD0723" w:rsidP="00AD0723"/>
    <w:p w:rsidR="00AD0723" w:rsidRPr="00DF6479" w:rsidRDefault="00AD0723" w:rsidP="00AD0723">
      <w:pPr>
        <w:ind w:left="708"/>
        <w:rPr>
          <w:sz w:val="22"/>
        </w:rPr>
      </w:pPr>
      <w:r w:rsidRPr="00DF6479">
        <w:t>Poniesione nakłady inwestycyjne oraz planowane w okresie najbliższych 12 miesięcy od dnia bilansowego nakłady inwestycyjne, w tym na niefinansowe aktywa trwałe; odrębnie należy wykazać poniesione i planowane nakłady na ochronę środowiska naturalnego</w:t>
      </w:r>
    </w:p>
    <w:p w:rsidR="00AD0723" w:rsidRPr="00DF6479" w:rsidRDefault="00AD0723" w:rsidP="00AD0723">
      <w:pPr>
        <w:spacing w:line="276" w:lineRule="auto"/>
        <w:rPr>
          <w:rFonts w:cs="Tahoma"/>
          <w:b/>
          <w:sz w:val="22"/>
          <w:szCs w:val="22"/>
        </w:rPr>
      </w:pPr>
    </w:p>
    <w:p w:rsidR="00AD0723" w:rsidRPr="006C4B43" w:rsidRDefault="00AD0723" w:rsidP="00AD0723">
      <w:pPr>
        <w:spacing w:line="276" w:lineRule="auto"/>
        <w:rPr>
          <w:rFonts w:cs="Tahoma"/>
          <w:szCs w:val="20"/>
        </w:rPr>
      </w:pPr>
      <w:r w:rsidRPr="006C4B43">
        <w:rPr>
          <w:rFonts w:cs="Tahoma"/>
          <w:szCs w:val="20"/>
        </w:rPr>
        <w:t>Nakłady inwestycyjne poniesione na niefinansowe aktywa trwałe w 2017 roku – 7 448 tys. zł.</w:t>
      </w:r>
    </w:p>
    <w:p w:rsidR="00AD0723" w:rsidRPr="006C4B43" w:rsidRDefault="00AD0723" w:rsidP="00AD0723">
      <w:pPr>
        <w:spacing w:line="276" w:lineRule="auto"/>
        <w:rPr>
          <w:rFonts w:cs="Tahoma"/>
          <w:szCs w:val="20"/>
        </w:rPr>
      </w:pPr>
      <w:r w:rsidRPr="006C4B43">
        <w:rPr>
          <w:rFonts w:cs="Tahoma"/>
          <w:szCs w:val="20"/>
        </w:rPr>
        <w:t xml:space="preserve">Planowane inwestycje w środki trwałe w ciągu 12 miesięcy od dnia bilansowego wynoszą </w:t>
      </w:r>
      <w:r w:rsidRPr="00DF6479">
        <w:rPr>
          <w:rFonts w:cs="Tahoma"/>
          <w:szCs w:val="20"/>
        </w:rPr>
        <w:t>około 20  mln zł</w:t>
      </w:r>
      <w:r w:rsidRPr="006C4B43">
        <w:rPr>
          <w:rFonts w:cs="Tahoma"/>
          <w:szCs w:val="20"/>
        </w:rPr>
        <w:t>. Spółka planuje finansować te inwestycje zarówno ze środków własnych, jak i obcych.</w:t>
      </w:r>
    </w:p>
    <w:p w:rsidR="00AD0723" w:rsidRPr="006C4B43" w:rsidRDefault="00AD0723" w:rsidP="00AD0723">
      <w:pPr>
        <w:spacing w:line="276" w:lineRule="auto"/>
        <w:rPr>
          <w:rFonts w:cs="Tahoma"/>
          <w:szCs w:val="20"/>
        </w:rPr>
      </w:pPr>
      <w:r w:rsidRPr="006C4B43">
        <w:rPr>
          <w:rFonts w:cs="Tahoma"/>
          <w:szCs w:val="20"/>
        </w:rPr>
        <w:t>Emitent nie budżetuje odrębnie nakładów na ochronę środowiska.</w:t>
      </w:r>
    </w:p>
    <w:p w:rsidR="00AD0723" w:rsidRPr="00DF6479" w:rsidRDefault="00AD0723" w:rsidP="00AD0723">
      <w:pPr>
        <w:spacing w:line="276" w:lineRule="auto"/>
        <w:rPr>
          <w:rFonts w:cs="Tahoma"/>
          <w:sz w:val="22"/>
          <w:szCs w:val="22"/>
        </w:rPr>
      </w:pPr>
    </w:p>
    <w:p w:rsidR="00AD0723" w:rsidRDefault="00AD0723" w:rsidP="00AD0723">
      <w:pPr>
        <w:pStyle w:val="spis2"/>
      </w:pPr>
      <w:bookmarkStart w:id="16" w:name="_Toc509841116"/>
      <w:r>
        <w:t>Transakcje z podmiotami powiązanymi</w:t>
      </w:r>
      <w:bookmarkEnd w:id="16"/>
    </w:p>
    <w:p w:rsidR="00AD0723" w:rsidRDefault="00AD0723" w:rsidP="00AD0723">
      <w:pPr>
        <w:spacing w:line="276" w:lineRule="auto"/>
        <w:rPr>
          <w:rFonts w:cs="Tahoma"/>
          <w:b/>
          <w:sz w:val="22"/>
          <w:szCs w:val="22"/>
        </w:rPr>
      </w:pPr>
    </w:p>
    <w:p w:rsidR="00AD0723" w:rsidRDefault="00AD0723" w:rsidP="00AD0723">
      <w:pPr>
        <w:pStyle w:val="spis2"/>
        <w:numPr>
          <w:ilvl w:val="1"/>
          <w:numId w:val="3"/>
        </w:numPr>
      </w:pPr>
      <w:bookmarkStart w:id="17" w:name="_Toc509841117"/>
      <w:bookmarkStart w:id="18" w:name="_Toc509574112"/>
      <w:r w:rsidRPr="00DF6479">
        <w:t>Informacje o istotnych transakcjach</w:t>
      </w:r>
      <w:bookmarkEnd w:id="17"/>
    </w:p>
    <w:p w:rsidR="00AD0723" w:rsidRDefault="00AD0723" w:rsidP="00AD0723"/>
    <w:bookmarkEnd w:id="18"/>
    <w:p w:rsidR="00AD0723" w:rsidRPr="006C4B43" w:rsidRDefault="00AD0723" w:rsidP="00AD0723">
      <w:pPr>
        <w:ind w:left="360"/>
        <w:rPr>
          <w:rFonts w:cs="Tahoma"/>
          <w:szCs w:val="20"/>
        </w:rPr>
      </w:pPr>
      <w:r w:rsidRPr="006C4B43">
        <w:rPr>
          <w:rFonts w:cs="Tahoma"/>
          <w:szCs w:val="20"/>
        </w:rPr>
        <w:t>Nie wystąpiły.</w:t>
      </w:r>
    </w:p>
    <w:p w:rsidR="00AD0723" w:rsidRPr="00DF6479" w:rsidRDefault="00AD0723" w:rsidP="00AD0723">
      <w:pPr>
        <w:rPr>
          <w:rFonts w:cs="Tahoma"/>
          <w:b/>
          <w:sz w:val="22"/>
          <w:szCs w:val="22"/>
        </w:rPr>
      </w:pPr>
    </w:p>
    <w:p w:rsidR="00AD0723" w:rsidRPr="00DF6479" w:rsidRDefault="00AD0723" w:rsidP="00AD0723">
      <w:pPr>
        <w:pStyle w:val="spis2"/>
        <w:numPr>
          <w:ilvl w:val="1"/>
          <w:numId w:val="3"/>
        </w:numPr>
      </w:pPr>
      <w:bookmarkStart w:id="19" w:name="_Toc509574113"/>
      <w:bookmarkStart w:id="20" w:name="_Toc509841118"/>
      <w:r w:rsidRPr="00DF6479">
        <w:t>Dane liczbowe dotyczące jednostek powiązanych</w:t>
      </w:r>
      <w:bookmarkEnd w:id="19"/>
      <w:bookmarkEnd w:id="20"/>
    </w:p>
    <w:p w:rsidR="00AD0723" w:rsidRPr="00DF6479" w:rsidRDefault="00AD0723" w:rsidP="00AD0723">
      <w:pPr>
        <w:rPr>
          <w:rFonts w:cs="Tahoma"/>
          <w:b/>
          <w:sz w:val="22"/>
          <w:szCs w:val="22"/>
        </w:rPr>
      </w:pPr>
    </w:p>
    <w:tbl>
      <w:tblPr>
        <w:tblW w:w="9180" w:type="dxa"/>
        <w:tblCellMar>
          <w:left w:w="70" w:type="dxa"/>
          <w:right w:w="70" w:type="dxa"/>
        </w:tblCellMar>
        <w:tblLook w:val="04A0" w:firstRow="1" w:lastRow="0" w:firstColumn="1" w:lastColumn="0" w:noHBand="0" w:noVBand="1"/>
      </w:tblPr>
      <w:tblGrid>
        <w:gridCol w:w="7400"/>
        <w:gridCol w:w="1780"/>
      </w:tblGrid>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 xml:space="preserve">Transakcje z jednostkami powiązanymi wykazane w Sprawozdaniu finansowym </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Należności</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b/>
                <w:bCs/>
                <w:color w:val="000000"/>
                <w:sz w:val="18"/>
                <w:szCs w:val="18"/>
              </w:rPr>
            </w:pP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Należności z tytułu udzielonej pożyczki</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b/>
                <w:bCs/>
                <w:color w:val="000000"/>
                <w:sz w:val="18"/>
                <w:szCs w:val="18"/>
              </w:rPr>
            </w:pP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Zobowiązania handlowe</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b/>
                <w:bCs/>
                <w:color w:val="000000"/>
                <w:sz w:val="18"/>
                <w:szCs w:val="18"/>
              </w:rPr>
            </w:pPr>
            <w:r w:rsidRPr="00DF6479">
              <w:rPr>
                <w:b/>
                <w:bCs/>
                <w:color w:val="000000"/>
                <w:sz w:val="18"/>
                <w:szCs w:val="18"/>
              </w:rPr>
              <w:t xml:space="preserve">                           37    </w:t>
            </w:r>
          </w:p>
        </w:tc>
      </w:tr>
      <w:tr w:rsidR="00AD0723" w:rsidRPr="006C4B43" w:rsidTr="006D3597">
        <w:trPr>
          <w:trHeight w:val="288"/>
        </w:trPr>
        <w:tc>
          <w:tcPr>
            <w:tcW w:w="7400" w:type="dxa"/>
            <w:tcBorders>
              <w:top w:val="nil"/>
              <w:left w:val="nil"/>
              <w:bottom w:val="nil"/>
              <w:right w:val="nil"/>
            </w:tcBorders>
            <w:shd w:val="clear" w:color="000000" w:fill="F2F2F2"/>
            <w:noWrap/>
            <w:vAlign w:val="bottom"/>
            <w:hideMark/>
          </w:tcPr>
          <w:p w:rsidR="00AD0723" w:rsidRPr="00DF6479" w:rsidRDefault="00AD0723" w:rsidP="006D3597">
            <w:pPr>
              <w:rPr>
                <w:color w:val="000000"/>
                <w:sz w:val="18"/>
                <w:szCs w:val="18"/>
              </w:rPr>
            </w:pPr>
            <w:r w:rsidRPr="00DF6479">
              <w:rPr>
                <w:color w:val="000000"/>
                <w:sz w:val="18"/>
                <w:szCs w:val="18"/>
              </w:rPr>
              <w:t> </w:t>
            </w:r>
          </w:p>
        </w:tc>
        <w:tc>
          <w:tcPr>
            <w:tcW w:w="1780" w:type="dxa"/>
            <w:tcBorders>
              <w:top w:val="nil"/>
              <w:left w:val="nil"/>
              <w:bottom w:val="nil"/>
              <w:right w:val="nil"/>
            </w:tcBorders>
            <w:shd w:val="clear" w:color="000000" w:fill="F2F2F2"/>
            <w:noWrap/>
            <w:vAlign w:val="bottom"/>
            <w:hideMark/>
          </w:tcPr>
          <w:p w:rsidR="00AD0723" w:rsidRPr="00DF6479" w:rsidRDefault="00AD0723" w:rsidP="006D3597">
            <w:pPr>
              <w:jc w:val="right"/>
              <w:rPr>
                <w:color w:val="000000"/>
                <w:sz w:val="18"/>
                <w:szCs w:val="18"/>
              </w:rPr>
            </w:pPr>
            <w:r w:rsidRPr="00DF6479">
              <w:rPr>
                <w:color w:val="000000"/>
                <w:sz w:val="18"/>
                <w:szCs w:val="18"/>
              </w:rPr>
              <w:t>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przychody</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b/>
                <w:bCs/>
                <w:color w:val="000000"/>
                <w:sz w:val="18"/>
                <w:szCs w:val="18"/>
              </w:rPr>
            </w:pPr>
            <w:r w:rsidRPr="00DF6479">
              <w:rPr>
                <w:b/>
                <w:bCs/>
                <w:color w:val="000000"/>
                <w:sz w:val="18"/>
                <w:szCs w:val="18"/>
              </w:rPr>
              <w:t xml:space="preserve">-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 naliczone odsetki od pożyczki</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color w:val="000000"/>
                <w:sz w:val="18"/>
                <w:szCs w:val="18"/>
              </w:rPr>
            </w:pPr>
            <w:r w:rsidRPr="00DF6479">
              <w:rPr>
                <w:color w:val="000000"/>
                <w:sz w:val="18"/>
                <w:szCs w:val="18"/>
              </w:rPr>
              <w:t xml:space="preserve">                           -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8"/>
                <w:szCs w:val="18"/>
              </w:rPr>
            </w:pPr>
            <w:r w:rsidRPr="00DF6479">
              <w:rPr>
                <w:b/>
                <w:bCs/>
                <w:color w:val="000000"/>
                <w:sz w:val="18"/>
                <w:szCs w:val="18"/>
              </w:rPr>
              <w:t>koszty</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b/>
                <w:bCs/>
                <w:color w:val="000000"/>
                <w:sz w:val="18"/>
                <w:szCs w:val="18"/>
              </w:rPr>
            </w:pPr>
            <w:r w:rsidRPr="00DF6479">
              <w:rPr>
                <w:b/>
                <w:bCs/>
                <w:color w:val="000000"/>
                <w:sz w:val="18"/>
                <w:szCs w:val="18"/>
              </w:rPr>
              <w:t xml:space="preserve">                        361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usługa magazynowa</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color w:val="000000"/>
                <w:sz w:val="18"/>
                <w:szCs w:val="18"/>
              </w:rPr>
            </w:pPr>
            <w:r w:rsidRPr="00DF6479">
              <w:rPr>
                <w:color w:val="000000"/>
                <w:sz w:val="18"/>
                <w:szCs w:val="18"/>
              </w:rPr>
              <w:t xml:space="preserve">                        264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dzierżawa powierzchni</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jc w:val="right"/>
              <w:rPr>
                <w:color w:val="000000"/>
                <w:sz w:val="18"/>
                <w:szCs w:val="18"/>
              </w:rPr>
            </w:pPr>
            <w:r w:rsidRPr="00DF6479">
              <w:rPr>
                <w:color w:val="000000"/>
                <w:sz w:val="18"/>
                <w:szCs w:val="18"/>
              </w:rPr>
              <w:t xml:space="preserve">                           97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lastRenderedPageBreak/>
              <w:t>inne</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 xml:space="preserve">                            -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odpis na odsetki od pożyczki</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 xml:space="preserve">                            -      </w:t>
            </w:r>
          </w:p>
        </w:tc>
      </w:tr>
      <w:tr w:rsidR="00AD0723" w:rsidRPr="006C4B43" w:rsidTr="006D3597">
        <w:trPr>
          <w:trHeight w:val="288"/>
        </w:trPr>
        <w:tc>
          <w:tcPr>
            <w:tcW w:w="740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r w:rsidRPr="00DF6479">
              <w:rPr>
                <w:color w:val="000000"/>
                <w:sz w:val="18"/>
                <w:szCs w:val="18"/>
              </w:rPr>
              <w:t>odpis na udziały w związku z wykazaną stratą w jednostce zależnej</w:t>
            </w:r>
          </w:p>
        </w:tc>
        <w:tc>
          <w:tcPr>
            <w:tcW w:w="1780" w:type="dxa"/>
            <w:tcBorders>
              <w:top w:val="nil"/>
              <w:left w:val="nil"/>
              <w:bottom w:val="nil"/>
              <w:right w:val="nil"/>
            </w:tcBorders>
            <w:shd w:val="clear" w:color="auto" w:fill="auto"/>
            <w:noWrap/>
            <w:vAlign w:val="bottom"/>
            <w:hideMark/>
          </w:tcPr>
          <w:p w:rsidR="00AD0723" w:rsidRPr="00DF6479" w:rsidRDefault="00AD0723" w:rsidP="006D3597">
            <w:pPr>
              <w:rPr>
                <w:color w:val="000000"/>
                <w:sz w:val="18"/>
                <w:szCs w:val="18"/>
              </w:rPr>
            </w:pPr>
          </w:p>
        </w:tc>
      </w:tr>
    </w:tbl>
    <w:p w:rsidR="00AD0723" w:rsidRPr="00DF6479" w:rsidRDefault="00AD0723" w:rsidP="00AD0723">
      <w:pPr>
        <w:rPr>
          <w:rFonts w:cs="Tahoma"/>
          <w:b/>
          <w:sz w:val="22"/>
          <w:szCs w:val="22"/>
        </w:rPr>
      </w:pPr>
    </w:p>
    <w:p w:rsidR="00AD0723" w:rsidRPr="00DF6479" w:rsidRDefault="00AD0723" w:rsidP="00AD0723">
      <w:pPr>
        <w:pStyle w:val="spis2"/>
        <w:rPr>
          <w:sz w:val="22"/>
        </w:rPr>
      </w:pPr>
      <w:bookmarkStart w:id="21" w:name="_Toc509841119"/>
      <w:r w:rsidRPr="00DF6479">
        <w:t>Informacje o wspólnych przedsięwzięciach, które nie podlegają konsolidacji</w:t>
      </w:r>
      <w:bookmarkEnd w:id="21"/>
    </w:p>
    <w:p w:rsidR="00AD0723" w:rsidRDefault="00AD0723" w:rsidP="00AD0723">
      <w:pPr>
        <w:rPr>
          <w:rFonts w:cs="Tahoma"/>
          <w:szCs w:val="20"/>
        </w:rPr>
      </w:pPr>
    </w:p>
    <w:p w:rsidR="00AD0723" w:rsidRPr="006C4B43" w:rsidRDefault="00AD0723" w:rsidP="00AD0723">
      <w:pPr>
        <w:rPr>
          <w:rFonts w:cs="Tahoma"/>
          <w:szCs w:val="20"/>
        </w:rPr>
      </w:pPr>
      <w:r w:rsidRPr="006C4B43">
        <w:rPr>
          <w:rFonts w:cs="Tahoma"/>
          <w:szCs w:val="20"/>
        </w:rPr>
        <w:t>Nie wystąpiły.</w:t>
      </w:r>
    </w:p>
    <w:p w:rsidR="00AD0723" w:rsidRPr="00DF6479" w:rsidRDefault="00AD0723" w:rsidP="00AD0723">
      <w:pPr>
        <w:rPr>
          <w:rFonts w:cs="Tahoma"/>
          <w:b/>
          <w:sz w:val="22"/>
          <w:szCs w:val="22"/>
        </w:rPr>
      </w:pPr>
    </w:p>
    <w:p w:rsidR="00AD0723" w:rsidRPr="003773CA" w:rsidRDefault="00AD0723" w:rsidP="00AD0723">
      <w:pPr>
        <w:pStyle w:val="spis2"/>
      </w:pPr>
      <w:bookmarkStart w:id="22" w:name="_Toc509841120"/>
      <w:r w:rsidRPr="003773CA">
        <w:t>Wynagrodzenia oparte na kapitale Emitenta</w:t>
      </w:r>
      <w:bookmarkEnd w:id="22"/>
    </w:p>
    <w:p w:rsidR="00AD0723" w:rsidRDefault="00AD0723" w:rsidP="00AD0723"/>
    <w:p w:rsidR="00AD0723" w:rsidRPr="00DF6479" w:rsidRDefault="00AD0723" w:rsidP="00AD0723">
      <w:pPr>
        <w:rPr>
          <w:sz w:val="22"/>
        </w:rPr>
      </w:pPr>
      <w:r w:rsidRPr="00DF6479">
        <w:t>Informacje o łącznej wartości wynagrodzeń, nagród lub korzyści, w tym wynikających z programów motywacyjnych lub premiowych opartych na kapitale emitenta, w tym programów opartych na obligacjach z prawem pierwszeństwa, zamiennych, warrantach subskrypcyjnych w pieniądzu, naturze lub jakiejkolwiek innej formie, wypłaconych, należnych lub potencjalnie należnych, odrębnie dla każdej z osób zarządzających i nadzorujących emitenta w przedsiębiorstwie emitenta, bez względu na to, czy były one odpowiednio zaliczane w koszty, czy też wynikały z podziału zysku; w przypadku, gdy emitentem jest jednostka dominująca.</w:t>
      </w:r>
    </w:p>
    <w:p w:rsidR="00AD0723" w:rsidRPr="00DF6479" w:rsidRDefault="00AD0723" w:rsidP="00AD0723">
      <w:pPr>
        <w:rPr>
          <w:rFonts w:cs="Tahoma"/>
          <w:b/>
          <w:sz w:val="22"/>
          <w:szCs w:val="22"/>
        </w:rPr>
      </w:pPr>
    </w:p>
    <w:p w:rsidR="00AD0723" w:rsidRDefault="00AD0723" w:rsidP="00AD0723">
      <w:pPr>
        <w:rPr>
          <w:rFonts w:cs="Tahoma"/>
          <w:szCs w:val="20"/>
        </w:rPr>
      </w:pPr>
      <w:r w:rsidRPr="006C4B43">
        <w:rPr>
          <w:rFonts w:cs="Tahoma"/>
          <w:szCs w:val="20"/>
        </w:rPr>
        <w:t xml:space="preserve">Łączna wartość wynagrodzeń, nagród lub korzyści dla członków Zarządu </w:t>
      </w:r>
      <w:r w:rsidRPr="00DF6479">
        <w:rPr>
          <w:rFonts w:cs="Tahoma"/>
          <w:szCs w:val="20"/>
        </w:rPr>
        <w:t>Emitenta 716,5 tys</w:t>
      </w:r>
      <w:r w:rsidRPr="006C4B43">
        <w:rPr>
          <w:rFonts w:cs="Tahoma"/>
          <w:szCs w:val="20"/>
        </w:rPr>
        <w:t xml:space="preserve">. zł. i obejmuje wynagrodzenia otrzymane z tytułu świadczenia usług w ramach umów cywilnoprawnych ( kwoty ujęte brutto razem z podatkiem VAT oraz wynagrodzenia otrzymane z tytułu pełnienia funkcji w Zarządzie. </w:t>
      </w:r>
    </w:p>
    <w:p w:rsidR="00AD0723" w:rsidRDefault="00AD0723" w:rsidP="00AD0723">
      <w:pPr>
        <w:rPr>
          <w:rFonts w:cs="Tahoma"/>
          <w:szCs w:val="20"/>
        </w:rPr>
      </w:pPr>
    </w:p>
    <w:p w:rsidR="00AD0723" w:rsidRPr="006C4B43" w:rsidRDefault="00AD0723" w:rsidP="00AD0723">
      <w:pPr>
        <w:rPr>
          <w:rFonts w:cs="Tahoma"/>
          <w:b/>
          <w:szCs w:val="20"/>
        </w:rPr>
      </w:pPr>
      <w:r w:rsidRPr="006C4B43">
        <w:rPr>
          <w:rFonts w:cs="Tahoma"/>
          <w:szCs w:val="20"/>
        </w:rPr>
        <w:t xml:space="preserve">Łączna wartość wynagrodzeń, nagród lub korzyści dla osób nadzorujących </w:t>
      </w:r>
      <w:r w:rsidRPr="00DF6479">
        <w:rPr>
          <w:rFonts w:cs="Tahoma"/>
          <w:szCs w:val="20"/>
        </w:rPr>
        <w:t xml:space="preserve">Emitenta </w:t>
      </w:r>
      <w:r>
        <w:rPr>
          <w:rFonts w:cs="Tahoma"/>
          <w:szCs w:val="20"/>
        </w:rPr>
        <w:t xml:space="preserve">wyniosła </w:t>
      </w:r>
      <w:r w:rsidRPr="00DF6479">
        <w:rPr>
          <w:rFonts w:cs="Tahoma"/>
          <w:szCs w:val="20"/>
        </w:rPr>
        <w:t>43 tys. zł</w:t>
      </w:r>
      <w:r w:rsidRPr="006C4B43">
        <w:rPr>
          <w:rFonts w:cs="Tahoma"/>
          <w:szCs w:val="20"/>
        </w:rPr>
        <w:t>. Członkowie Rady Nadzorczej otrzymują wynagrodzenie na zasadach i w wysokości określonej uchwałą Walnego Zgromadzenia. Członkom Rady Nadzorczej przysługuje prawo korzystania ze świadczenia prywatnej opieki medycznej.</w:t>
      </w:r>
    </w:p>
    <w:p w:rsidR="00AD0723" w:rsidRPr="00DF6479" w:rsidRDefault="00AD0723" w:rsidP="00AD0723">
      <w:pPr>
        <w:rPr>
          <w:rFonts w:cs="Tahoma"/>
          <w:b/>
          <w:sz w:val="22"/>
          <w:szCs w:val="22"/>
        </w:rPr>
      </w:pPr>
    </w:p>
    <w:p w:rsidR="00AD0723" w:rsidRPr="003773CA" w:rsidRDefault="00AD0723" w:rsidP="00AD0723">
      <w:pPr>
        <w:pStyle w:val="spis2"/>
        <w:rPr>
          <w:rFonts w:eastAsia="Times New Roman"/>
          <w:sz w:val="22"/>
        </w:rPr>
      </w:pPr>
      <w:bookmarkStart w:id="23" w:name="_Toc509841121"/>
      <w:r>
        <w:rPr>
          <w:rFonts w:eastAsia="Times New Roman"/>
          <w:sz w:val="22"/>
        </w:rPr>
        <w:t>Świadczenia dla osób zarządzających i nadzorujących</w:t>
      </w:r>
      <w:bookmarkEnd w:id="23"/>
    </w:p>
    <w:p w:rsidR="00AD0723" w:rsidRDefault="00AD0723" w:rsidP="00AD0723"/>
    <w:p w:rsidR="00AD0723" w:rsidRPr="00DF6479" w:rsidRDefault="00AD0723" w:rsidP="00AD0723">
      <w:pPr>
        <w:rPr>
          <w:sz w:val="22"/>
        </w:rPr>
      </w:pPr>
      <w:r w:rsidRPr="00DF6479">
        <w:t>Wartości niespłaconych zaliczek, kredytów, pożyczek, gwarancji, poręczeń lub innych umów zobowiązujących do świadczeń na rzecz emitenta, jednostek od niego zależnych, współzależnych i z nim stowarzyszonych, z podaniem warunków oprocentowania i spłaty tych kwot, udzielonych przez emitenta w przedsiębiorstwie emitenta oraz oddzielnie w przedsiębiorstwach jednostek od niego zależnych, współzależnych i z nim stowarzyszonych (dla każdej grupy osobno), osobom zarządzającym i nadzorującym, odrębnie dla osób zarządzających i nadzorujących oraz oddzielnie ich współmałżonkom, krewnym i powinowatym do drugiego stopnia, przysposobionym lub przysposabiającym oraz innym osobom, z którymi są one powiązane osobiście, z podaniem warunków oprocentowania i spłaty tych kwot.</w:t>
      </w:r>
    </w:p>
    <w:p w:rsidR="00AD0723" w:rsidRPr="00DF6479" w:rsidRDefault="00AD0723" w:rsidP="00AD0723">
      <w:pPr>
        <w:pStyle w:val="Tekstkomentarza"/>
        <w:rPr>
          <w:rFonts w:eastAsia="Times New Roman" w:cs="Tahoma"/>
          <w:b/>
          <w:sz w:val="22"/>
          <w:szCs w:val="22"/>
          <w:lang w:val="pl-PL"/>
        </w:rPr>
      </w:pPr>
    </w:p>
    <w:p w:rsidR="00AD0723" w:rsidRPr="006C4B43" w:rsidRDefault="00AD0723" w:rsidP="00AD0723">
      <w:pPr>
        <w:pStyle w:val="Tekstkomentarza"/>
        <w:rPr>
          <w:rFonts w:eastAsia="Times New Roman" w:cs="Tahoma"/>
          <w:lang w:val="pl-PL"/>
        </w:rPr>
      </w:pPr>
      <w:r w:rsidRPr="006C4B43">
        <w:rPr>
          <w:rFonts w:eastAsia="Times New Roman" w:cs="Tahoma"/>
          <w:lang w:val="pl-PL"/>
        </w:rPr>
        <w:t>Nie wystąpiły.</w:t>
      </w:r>
    </w:p>
    <w:p w:rsidR="00AD0723" w:rsidRPr="00DF6479" w:rsidRDefault="00AD0723" w:rsidP="00AD0723">
      <w:pPr>
        <w:pStyle w:val="Tekstkomentarza"/>
        <w:rPr>
          <w:rFonts w:eastAsia="Times New Roman" w:cs="Tahoma"/>
          <w:sz w:val="22"/>
          <w:szCs w:val="22"/>
          <w:lang w:val="pl-PL"/>
        </w:rPr>
      </w:pPr>
    </w:p>
    <w:p w:rsidR="00AD0723" w:rsidRPr="00DF6479" w:rsidRDefault="00AD0723" w:rsidP="00AD0723">
      <w:pPr>
        <w:pStyle w:val="spis2"/>
      </w:pPr>
      <w:bookmarkStart w:id="24" w:name="_Toc509841122"/>
      <w:r w:rsidRPr="00DF6479">
        <w:t>Przeciętne zatrudnienie w podziale na grupy.</w:t>
      </w:r>
      <w:bookmarkEnd w:id="24"/>
    </w:p>
    <w:p w:rsidR="00AD0723" w:rsidRPr="00DF6479" w:rsidRDefault="00AD0723" w:rsidP="00AD0723">
      <w:pPr>
        <w:pStyle w:val="Tekstkomentarza"/>
        <w:rPr>
          <w:b/>
          <w:lang w:val="pl-PL"/>
        </w:rPr>
      </w:pPr>
    </w:p>
    <w:p w:rsidR="00AD0723" w:rsidRPr="006C4B43" w:rsidRDefault="00AD0723" w:rsidP="00AD0723">
      <w:pPr>
        <w:pStyle w:val="Tekstkomentarza"/>
        <w:rPr>
          <w:rFonts w:eastAsia="Times New Roman" w:cs="Tahoma"/>
          <w:sz w:val="18"/>
          <w:szCs w:val="18"/>
          <w:lang w:val="pl-PL"/>
        </w:rPr>
      </w:pPr>
      <w:r w:rsidRPr="006C4B43">
        <w:rPr>
          <w:rFonts w:eastAsia="Times New Roman" w:cs="Tahoma"/>
          <w:sz w:val="18"/>
          <w:szCs w:val="18"/>
          <w:lang w:val="pl-PL"/>
        </w:rPr>
        <w:t>Przeciętne zatrudnienie w podziale na poszczególne grupy zawodowe oraz rotacja pracowników kształtowały się następująco:</w:t>
      </w:r>
    </w:p>
    <w:tbl>
      <w:tblPr>
        <w:tblW w:w="5000" w:type="pct"/>
        <w:tblCellMar>
          <w:left w:w="0" w:type="dxa"/>
          <w:right w:w="0" w:type="dxa"/>
        </w:tblCellMar>
        <w:tblLook w:val="04A0" w:firstRow="1" w:lastRow="0" w:firstColumn="1" w:lastColumn="0" w:noHBand="0" w:noVBand="1"/>
      </w:tblPr>
      <w:tblGrid>
        <w:gridCol w:w="4113"/>
        <w:gridCol w:w="2410"/>
        <w:gridCol w:w="2539"/>
      </w:tblGrid>
      <w:tr w:rsidR="00AD0723" w:rsidRPr="006C4B43" w:rsidTr="006D3597">
        <w:trPr>
          <w:trHeight w:val="473"/>
        </w:trPr>
        <w:tc>
          <w:tcPr>
            <w:tcW w:w="22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23" w:rsidRPr="006C4B43" w:rsidRDefault="00AD0723" w:rsidP="006D3597">
            <w:pPr>
              <w:jc w:val="center"/>
              <w:rPr>
                <w:rFonts w:cs="Arial"/>
                <w:sz w:val="18"/>
                <w:szCs w:val="18"/>
              </w:rPr>
            </w:pPr>
            <w:r w:rsidRPr="006C4B43">
              <w:rPr>
                <w:sz w:val="18"/>
                <w:szCs w:val="18"/>
              </w:rPr>
              <w:t> </w:t>
            </w:r>
          </w:p>
        </w:tc>
        <w:tc>
          <w:tcPr>
            <w:tcW w:w="13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0723" w:rsidRPr="006C4B43" w:rsidRDefault="00AD0723" w:rsidP="006D3597">
            <w:pPr>
              <w:jc w:val="center"/>
              <w:rPr>
                <w:b/>
                <w:bCs/>
                <w:sz w:val="18"/>
                <w:szCs w:val="18"/>
              </w:rPr>
            </w:pPr>
            <w:r w:rsidRPr="006C4B43">
              <w:rPr>
                <w:b/>
                <w:bCs/>
                <w:sz w:val="18"/>
                <w:szCs w:val="18"/>
              </w:rPr>
              <w:t>od 01.01 do 31.12.201</w:t>
            </w:r>
            <w:r>
              <w:rPr>
                <w:b/>
                <w:bCs/>
                <w:sz w:val="18"/>
                <w:szCs w:val="18"/>
              </w:rPr>
              <w:t>7</w:t>
            </w:r>
          </w:p>
        </w:tc>
        <w:tc>
          <w:tcPr>
            <w:tcW w:w="140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0723" w:rsidRPr="00DF6479" w:rsidRDefault="00AD0723" w:rsidP="006D3597">
            <w:pPr>
              <w:jc w:val="center"/>
              <w:rPr>
                <w:b/>
                <w:sz w:val="18"/>
                <w:szCs w:val="18"/>
              </w:rPr>
            </w:pPr>
            <w:r w:rsidRPr="00DF6479">
              <w:rPr>
                <w:b/>
                <w:sz w:val="18"/>
                <w:szCs w:val="18"/>
              </w:rPr>
              <w:t>od 01.01 do 31.12.2016</w:t>
            </w:r>
          </w:p>
        </w:tc>
      </w:tr>
      <w:tr w:rsidR="00AD0723" w:rsidRPr="006C4B43" w:rsidTr="006D3597">
        <w:trPr>
          <w:trHeight w:val="253"/>
        </w:trPr>
        <w:tc>
          <w:tcPr>
            <w:tcW w:w="2269" w:type="pct"/>
            <w:tcBorders>
              <w:top w:val="nil"/>
              <w:left w:val="single" w:sz="8" w:space="0" w:color="auto"/>
              <w:bottom w:val="nil"/>
              <w:right w:val="single" w:sz="8" w:space="0" w:color="auto"/>
            </w:tcBorders>
            <w:tcMar>
              <w:top w:w="0" w:type="dxa"/>
              <w:left w:w="70" w:type="dxa"/>
              <w:bottom w:w="0" w:type="dxa"/>
              <w:right w:w="70" w:type="dxa"/>
            </w:tcMar>
            <w:vAlign w:val="bottom"/>
            <w:hideMark/>
          </w:tcPr>
          <w:p w:rsidR="00AD0723" w:rsidRPr="006C4B43" w:rsidRDefault="00AD0723" w:rsidP="006D3597">
            <w:pPr>
              <w:ind w:firstLine="160"/>
              <w:rPr>
                <w:sz w:val="18"/>
                <w:szCs w:val="18"/>
              </w:rPr>
            </w:pPr>
            <w:r w:rsidRPr="006C4B43">
              <w:rPr>
                <w:sz w:val="18"/>
                <w:szCs w:val="18"/>
              </w:rPr>
              <w:t>Pracownicy umysłowi</w:t>
            </w:r>
          </w:p>
        </w:tc>
        <w:tc>
          <w:tcPr>
            <w:tcW w:w="1330" w:type="pct"/>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74</w:t>
            </w:r>
          </w:p>
        </w:tc>
        <w:tc>
          <w:tcPr>
            <w:tcW w:w="1401" w:type="pct"/>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65</w:t>
            </w:r>
          </w:p>
        </w:tc>
      </w:tr>
      <w:tr w:rsidR="00AD0723" w:rsidRPr="006C4B43" w:rsidTr="006D3597">
        <w:trPr>
          <w:trHeight w:val="253"/>
        </w:trPr>
        <w:tc>
          <w:tcPr>
            <w:tcW w:w="2269"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D0723" w:rsidRPr="006C4B43" w:rsidRDefault="00AD0723" w:rsidP="006D3597">
            <w:pPr>
              <w:ind w:firstLine="160"/>
              <w:rPr>
                <w:sz w:val="18"/>
                <w:szCs w:val="18"/>
              </w:rPr>
            </w:pPr>
            <w:r w:rsidRPr="006C4B43">
              <w:rPr>
                <w:sz w:val="18"/>
                <w:szCs w:val="18"/>
              </w:rPr>
              <w:t>Pracownicy fizyczni</w:t>
            </w:r>
          </w:p>
        </w:tc>
        <w:tc>
          <w:tcPr>
            <w:tcW w:w="1330" w:type="pct"/>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149</w:t>
            </w:r>
          </w:p>
        </w:tc>
        <w:tc>
          <w:tcPr>
            <w:tcW w:w="1401" w:type="pct"/>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155</w:t>
            </w:r>
          </w:p>
        </w:tc>
      </w:tr>
      <w:tr w:rsidR="00AD0723" w:rsidRPr="006C4B43" w:rsidTr="006D3597">
        <w:trPr>
          <w:trHeight w:val="253"/>
        </w:trPr>
        <w:tc>
          <w:tcPr>
            <w:tcW w:w="2269"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D0723" w:rsidRPr="006C4B43" w:rsidRDefault="00AD0723" w:rsidP="006D3597">
            <w:pPr>
              <w:ind w:firstLine="161"/>
              <w:rPr>
                <w:b/>
                <w:bCs/>
                <w:sz w:val="18"/>
                <w:szCs w:val="18"/>
              </w:rPr>
            </w:pPr>
            <w:r w:rsidRPr="006C4B43">
              <w:rPr>
                <w:b/>
                <w:bCs/>
                <w:sz w:val="18"/>
                <w:szCs w:val="18"/>
              </w:rPr>
              <w:t>Razem</w:t>
            </w:r>
          </w:p>
        </w:tc>
        <w:tc>
          <w:tcPr>
            <w:tcW w:w="1330" w:type="pct"/>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AD0723" w:rsidRPr="006C4B43" w:rsidRDefault="00AD0723" w:rsidP="006D3597">
            <w:pPr>
              <w:jc w:val="right"/>
              <w:rPr>
                <w:b/>
                <w:bCs/>
                <w:sz w:val="18"/>
                <w:szCs w:val="18"/>
              </w:rPr>
            </w:pPr>
            <w:r>
              <w:rPr>
                <w:b/>
                <w:bCs/>
                <w:sz w:val="18"/>
                <w:szCs w:val="18"/>
              </w:rPr>
              <w:t>223</w:t>
            </w:r>
          </w:p>
        </w:tc>
        <w:tc>
          <w:tcPr>
            <w:tcW w:w="1401"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0723" w:rsidRPr="006C4B43" w:rsidRDefault="00AD0723" w:rsidP="006D3597">
            <w:pPr>
              <w:jc w:val="right"/>
              <w:rPr>
                <w:b/>
                <w:bCs/>
                <w:sz w:val="18"/>
                <w:szCs w:val="18"/>
              </w:rPr>
            </w:pPr>
            <w:r>
              <w:rPr>
                <w:b/>
                <w:bCs/>
                <w:sz w:val="18"/>
                <w:szCs w:val="18"/>
              </w:rPr>
              <w:t>220</w:t>
            </w:r>
          </w:p>
        </w:tc>
      </w:tr>
    </w:tbl>
    <w:p w:rsidR="00AD0723" w:rsidRDefault="00AD0723" w:rsidP="00AD0723">
      <w:pPr>
        <w:pStyle w:val="0HLBpismo"/>
        <w:rPr>
          <w:rFonts w:asciiTheme="minorHAnsi" w:hAnsiTheme="minorHAnsi"/>
          <w:b/>
          <w:i/>
          <w:iCs/>
          <w:color w:val="0000FF"/>
          <w:sz w:val="18"/>
          <w:szCs w:val="18"/>
        </w:rPr>
      </w:pPr>
    </w:p>
    <w:p w:rsidR="00AD0723" w:rsidRDefault="00AD0723" w:rsidP="00AD0723">
      <w:pPr>
        <w:pStyle w:val="0HLBpismo"/>
        <w:rPr>
          <w:rFonts w:asciiTheme="minorHAnsi" w:hAnsiTheme="minorHAnsi"/>
          <w:b/>
          <w:i/>
          <w:iCs/>
          <w:color w:val="0000FF"/>
          <w:sz w:val="18"/>
          <w:szCs w:val="18"/>
        </w:rPr>
      </w:pPr>
    </w:p>
    <w:p w:rsidR="00AD0723" w:rsidRDefault="00AD0723" w:rsidP="00AD0723">
      <w:pPr>
        <w:pStyle w:val="0HLBpismo"/>
        <w:rPr>
          <w:rFonts w:asciiTheme="minorHAnsi" w:hAnsiTheme="minorHAnsi"/>
          <w:b/>
          <w:i/>
          <w:iCs/>
          <w:color w:val="0000FF"/>
          <w:sz w:val="18"/>
          <w:szCs w:val="18"/>
        </w:rPr>
      </w:pPr>
    </w:p>
    <w:p w:rsidR="00AD0723" w:rsidRDefault="00AD0723" w:rsidP="00AD0723">
      <w:pPr>
        <w:pStyle w:val="0HLBpismo"/>
        <w:rPr>
          <w:rFonts w:asciiTheme="minorHAnsi" w:hAnsiTheme="minorHAnsi"/>
          <w:b/>
          <w:i/>
          <w:iCs/>
          <w:color w:val="0000FF"/>
          <w:sz w:val="18"/>
          <w:szCs w:val="18"/>
        </w:rPr>
      </w:pPr>
    </w:p>
    <w:p w:rsidR="00AD0723" w:rsidRDefault="00AD0723" w:rsidP="00AD0723">
      <w:pPr>
        <w:pStyle w:val="0HLBpismo"/>
        <w:rPr>
          <w:rFonts w:asciiTheme="minorHAnsi" w:hAnsiTheme="minorHAnsi"/>
          <w:b/>
          <w:i/>
          <w:iCs/>
          <w:color w:val="0000FF"/>
          <w:sz w:val="18"/>
          <w:szCs w:val="18"/>
        </w:rPr>
      </w:pPr>
    </w:p>
    <w:p w:rsidR="00AD0723" w:rsidRPr="006C4B43" w:rsidRDefault="00AD0723" w:rsidP="00AD0723">
      <w:pPr>
        <w:pStyle w:val="0HLBpismo"/>
        <w:rPr>
          <w:rFonts w:asciiTheme="minorHAnsi" w:hAnsiTheme="minorHAnsi"/>
          <w:b/>
          <w:i/>
          <w:iCs/>
          <w:color w:val="0000FF"/>
          <w:sz w:val="18"/>
          <w:szCs w:val="18"/>
        </w:rPr>
      </w:pPr>
    </w:p>
    <w:tbl>
      <w:tblPr>
        <w:tblW w:w="5000" w:type="pct"/>
        <w:tblCellMar>
          <w:left w:w="0" w:type="dxa"/>
          <w:right w:w="0" w:type="dxa"/>
        </w:tblCellMar>
        <w:tblLook w:val="04A0" w:firstRow="1" w:lastRow="0" w:firstColumn="1" w:lastColumn="0" w:noHBand="0" w:noVBand="1"/>
      </w:tblPr>
      <w:tblGrid>
        <w:gridCol w:w="4061"/>
        <w:gridCol w:w="2514"/>
        <w:gridCol w:w="2487"/>
      </w:tblGrid>
      <w:tr w:rsidR="00AD0723" w:rsidRPr="006C4B43" w:rsidTr="006D3597">
        <w:trPr>
          <w:trHeight w:val="477"/>
        </w:trPr>
        <w:tc>
          <w:tcPr>
            <w:tcW w:w="22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0723" w:rsidRPr="006C4B43" w:rsidRDefault="00AD0723" w:rsidP="006D3597">
            <w:pPr>
              <w:jc w:val="center"/>
              <w:rPr>
                <w:rFonts w:eastAsiaTheme="minorHAnsi" w:cs="Arial"/>
                <w:sz w:val="18"/>
                <w:szCs w:val="18"/>
                <w:lang w:eastAsia="en-US"/>
              </w:rPr>
            </w:pPr>
            <w:r w:rsidRPr="006C4B43">
              <w:rPr>
                <w:sz w:val="18"/>
                <w:szCs w:val="18"/>
              </w:rPr>
              <w:lastRenderedPageBreak/>
              <w:t> </w:t>
            </w:r>
          </w:p>
        </w:tc>
        <w:tc>
          <w:tcPr>
            <w:tcW w:w="138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0723" w:rsidRPr="006C4B43" w:rsidRDefault="00AD0723" w:rsidP="006D3597">
            <w:pPr>
              <w:jc w:val="center"/>
              <w:rPr>
                <w:b/>
                <w:bCs/>
                <w:sz w:val="18"/>
                <w:szCs w:val="18"/>
              </w:rPr>
            </w:pPr>
            <w:r w:rsidRPr="006C4B43">
              <w:rPr>
                <w:b/>
                <w:bCs/>
                <w:sz w:val="18"/>
                <w:szCs w:val="18"/>
              </w:rPr>
              <w:t>od 01.01 do 31.12.2016</w:t>
            </w:r>
          </w:p>
        </w:tc>
        <w:tc>
          <w:tcPr>
            <w:tcW w:w="137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0723" w:rsidRPr="00DF6479" w:rsidRDefault="00AD0723" w:rsidP="006D3597">
            <w:pPr>
              <w:jc w:val="center"/>
              <w:rPr>
                <w:b/>
                <w:sz w:val="18"/>
                <w:szCs w:val="18"/>
              </w:rPr>
            </w:pPr>
            <w:r w:rsidRPr="00DF6479">
              <w:rPr>
                <w:b/>
                <w:sz w:val="18"/>
                <w:szCs w:val="18"/>
              </w:rPr>
              <w:t>od 01.01 do 31.12.2016</w:t>
            </w:r>
          </w:p>
        </w:tc>
      </w:tr>
      <w:tr w:rsidR="00AD0723" w:rsidRPr="006C4B43" w:rsidTr="006D3597">
        <w:trPr>
          <w:trHeight w:val="254"/>
        </w:trPr>
        <w:tc>
          <w:tcPr>
            <w:tcW w:w="2241" w:type="pct"/>
            <w:tcBorders>
              <w:top w:val="nil"/>
              <w:left w:val="single" w:sz="8" w:space="0" w:color="auto"/>
              <w:bottom w:val="nil"/>
              <w:right w:val="single" w:sz="8" w:space="0" w:color="auto"/>
            </w:tcBorders>
            <w:tcMar>
              <w:top w:w="0" w:type="dxa"/>
              <w:left w:w="70" w:type="dxa"/>
              <w:bottom w:w="0" w:type="dxa"/>
              <w:right w:w="70" w:type="dxa"/>
            </w:tcMar>
            <w:vAlign w:val="bottom"/>
            <w:hideMark/>
          </w:tcPr>
          <w:p w:rsidR="00AD0723" w:rsidRPr="006C4B43" w:rsidRDefault="00AD0723" w:rsidP="006D3597">
            <w:pPr>
              <w:ind w:firstLine="160"/>
              <w:rPr>
                <w:sz w:val="18"/>
                <w:szCs w:val="18"/>
              </w:rPr>
            </w:pPr>
            <w:r w:rsidRPr="006C4B43">
              <w:rPr>
                <w:sz w:val="18"/>
                <w:szCs w:val="18"/>
              </w:rPr>
              <w:t>Liczba pracowników przyjętych</w:t>
            </w:r>
          </w:p>
        </w:tc>
        <w:tc>
          <w:tcPr>
            <w:tcW w:w="1387" w:type="pct"/>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49</w:t>
            </w:r>
          </w:p>
        </w:tc>
        <w:tc>
          <w:tcPr>
            <w:tcW w:w="1372" w:type="pct"/>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AD0723" w:rsidRPr="006C4B43" w:rsidRDefault="00AD0723" w:rsidP="006D3597">
            <w:pPr>
              <w:jc w:val="right"/>
              <w:rPr>
                <w:sz w:val="18"/>
                <w:szCs w:val="18"/>
              </w:rPr>
            </w:pPr>
            <w:r>
              <w:rPr>
                <w:sz w:val="18"/>
                <w:szCs w:val="18"/>
              </w:rPr>
              <w:t>32</w:t>
            </w:r>
          </w:p>
        </w:tc>
      </w:tr>
      <w:tr w:rsidR="00AD0723" w:rsidRPr="006C4B43" w:rsidTr="006D3597">
        <w:trPr>
          <w:trHeight w:val="254"/>
        </w:trPr>
        <w:tc>
          <w:tcPr>
            <w:tcW w:w="2241"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D0723" w:rsidRPr="006C4B43" w:rsidRDefault="00AD0723" w:rsidP="006D3597">
            <w:pPr>
              <w:ind w:firstLine="160"/>
              <w:rPr>
                <w:sz w:val="18"/>
                <w:szCs w:val="18"/>
              </w:rPr>
            </w:pPr>
            <w:r w:rsidRPr="006C4B43">
              <w:rPr>
                <w:sz w:val="18"/>
                <w:szCs w:val="18"/>
              </w:rPr>
              <w:t>Liczba pracowników zwolnionych (-)</w:t>
            </w:r>
          </w:p>
        </w:tc>
        <w:tc>
          <w:tcPr>
            <w:tcW w:w="1387" w:type="pct"/>
            <w:noWrap/>
            <w:tcMar>
              <w:top w:w="0" w:type="dxa"/>
              <w:left w:w="70" w:type="dxa"/>
              <w:bottom w:w="0" w:type="dxa"/>
              <w:right w:w="70" w:type="dxa"/>
            </w:tcMar>
            <w:vAlign w:val="bottom"/>
            <w:hideMark/>
          </w:tcPr>
          <w:p w:rsidR="00AD0723" w:rsidRPr="006C4B43" w:rsidRDefault="00AD0723" w:rsidP="006D3597">
            <w:pPr>
              <w:jc w:val="right"/>
              <w:rPr>
                <w:sz w:val="18"/>
                <w:szCs w:val="18"/>
              </w:rPr>
            </w:pPr>
            <w:r w:rsidRPr="006C4B43">
              <w:rPr>
                <w:sz w:val="18"/>
                <w:szCs w:val="18"/>
              </w:rPr>
              <w:t>-</w:t>
            </w:r>
            <w:r>
              <w:rPr>
                <w:sz w:val="18"/>
                <w:szCs w:val="18"/>
              </w:rPr>
              <w:t>46</w:t>
            </w:r>
          </w:p>
        </w:tc>
        <w:tc>
          <w:tcPr>
            <w:tcW w:w="1372" w:type="pct"/>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AD0723" w:rsidRPr="006C4B43" w:rsidRDefault="00AD0723" w:rsidP="006D3597">
            <w:pPr>
              <w:jc w:val="right"/>
              <w:rPr>
                <w:sz w:val="18"/>
                <w:szCs w:val="18"/>
              </w:rPr>
            </w:pPr>
            <w:r w:rsidRPr="006C4B43">
              <w:rPr>
                <w:sz w:val="18"/>
                <w:szCs w:val="18"/>
              </w:rPr>
              <w:t>-2</w:t>
            </w:r>
            <w:r>
              <w:rPr>
                <w:sz w:val="18"/>
                <w:szCs w:val="18"/>
              </w:rPr>
              <w:t>8</w:t>
            </w:r>
          </w:p>
        </w:tc>
      </w:tr>
      <w:tr w:rsidR="00AD0723" w:rsidRPr="006C4B43" w:rsidTr="006D3597">
        <w:trPr>
          <w:trHeight w:val="254"/>
        </w:trPr>
        <w:tc>
          <w:tcPr>
            <w:tcW w:w="2241"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D0723" w:rsidRPr="006C4B43" w:rsidRDefault="00AD0723" w:rsidP="006D3597">
            <w:pPr>
              <w:ind w:firstLine="161"/>
              <w:rPr>
                <w:b/>
                <w:bCs/>
                <w:sz w:val="18"/>
                <w:szCs w:val="18"/>
              </w:rPr>
            </w:pPr>
            <w:r w:rsidRPr="006C4B43">
              <w:rPr>
                <w:b/>
                <w:bCs/>
                <w:sz w:val="18"/>
                <w:szCs w:val="18"/>
              </w:rPr>
              <w:t>Razem</w:t>
            </w:r>
          </w:p>
        </w:tc>
        <w:tc>
          <w:tcPr>
            <w:tcW w:w="1387" w:type="pct"/>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AD0723" w:rsidRPr="006C4B43" w:rsidRDefault="00AD0723" w:rsidP="006D3597">
            <w:pPr>
              <w:jc w:val="right"/>
              <w:rPr>
                <w:b/>
                <w:bCs/>
                <w:sz w:val="18"/>
                <w:szCs w:val="18"/>
              </w:rPr>
            </w:pPr>
            <w:r>
              <w:rPr>
                <w:b/>
                <w:bCs/>
                <w:sz w:val="18"/>
                <w:szCs w:val="18"/>
              </w:rPr>
              <w:t>3</w:t>
            </w:r>
          </w:p>
        </w:tc>
        <w:tc>
          <w:tcPr>
            <w:tcW w:w="1372"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0723" w:rsidRPr="006C4B43" w:rsidRDefault="00AD0723" w:rsidP="006D3597">
            <w:pPr>
              <w:pStyle w:val="Akapitzlist"/>
              <w:jc w:val="right"/>
              <w:rPr>
                <w:b/>
                <w:bCs/>
                <w:sz w:val="18"/>
                <w:szCs w:val="18"/>
              </w:rPr>
            </w:pPr>
            <w:r>
              <w:rPr>
                <w:b/>
                <w:bCs/>
                <w:sz w:val="18"/>
                <w:szCs w:val="18"/>
              </w:rPr>
              <w:t>4</w:t>
            </w:r>
          </w:p>
        </w:tc>
      </w:tr>
    </w:tbl>
    <w:p w:rsidR="00AD0723" w:rsidRPr="00DF6479" w:rsidRDefault="00AD0723" w:rsidP="00AD0723">
      <w:pPr>
        <w:rPr>
          <w:rFonts w:eastAsiaTheme="minorHAnsi"/>
          <w:sz w:val="22"/>
          <w:szCs w:val="22"/>
          <w:lang w:eastAsia="en-US"/>
        </w:rPr>
      </w:pPr>
    </w:p>
    <w:p w:rsidR="00AD0723" w:rsidRPr="00DF6479" w:rsidRDefault="00AD0723" w:rsidP="00AD0723">
      <w:pPr>
        <w:pStyle w:val="Tekstkomentarza"/>
        <w:rPr>
          <w:rFonts w:eastAsia="Times New Roman" w:cs="Tahoma"/>
          <w:sz w:val="22"/>
          <w:szCs w:val="22"/>
          <w:lang w:val="pl-PL"/>
        </w:rPr>
      </w:pPr>
    </w:p>
    <w:p w:rsidR="00AD0723" w:rsidRDefault="00AD0723" w:rsidP="00AD0723">
      <w:pPr>
        <w:pStyle w:val="spis2"/>
        <w:rPr>
          <w:rFonts w:eastAsia="Times New Roman"/>
        </w:rPr>
      </w:pPr>
      <w:bookmarkStart w:id="25" w:name="_Toc509841123"/>
      <w:r w:rsidRPr="003773CA">
        <w:rPr>
          <w:rFonts w:eastAsia="Times New Roman"/>
        </w:rPr>
        <w:t>Informacje</w:t>
      </w:r>
      <w:r w:rsidRPr="003773CA">
        <w:t xml:space="preserve"> o charakterze i celu gospodarczym zawartych przez emitenta umów</w:t>
      </w:r>
      <w:r>
        <w:t xml:space="preserve"> </w:t>
      </w:r>
      <w:r w:rsidRPr="003773CA">
        <w:t>nieuwzględnionych w bilansie</w:t>
      </w:r>
      <w:bookmarkEnd w:id="25"/>
    </w:p>
    <w:p w:rsidR="00AD0723" w:rsidRDefault="00AD0723" w:rsidP="00AD0723">
      <w:pPr>
        <w:rPr>
          <w:color w:val="000000" w:themeColor="text1"/>
          <w:szCs w:val="32"/>
        </w:rPr>
      </w:pPr>
    </w:p>
    <w:p w:rsidR="00AD0723" w:rsidRPr="003773CA" w:rsidRDefault="00AD0723" w:rsidP="00AD0723">
      <w:r w:rsidRPr="003773CA">
        <w:rPr>
          <w:color w:val="000000" w:themeColor="text1"/>
          <w:szCs w:val="32"/>
        </w:rPr>
        <w:t>Informacje o charakterze i celu gospodarczym zawartych przez emitenta umów</w:t>
      </w:r>
      <w:r>
        <w:t xml:space="preserve"> </w:t>
      </w:r>
      <w:r w:rsidRPr="003773CA">
        <w:t>nieuwzględnionych w bilansie w zakresie niezbędnym do oceny ich wpływu na sytuację majątkową, finansową i wynik finansowy</w:t>
      </w:r>
    </w:p>
    <w:p w:rsidR="00AD0723" w:rsidRDefault="00AD0723" w:rsidP="00AD0723">
      <w:pPr>
        <w:pStyle w:val="Tekstkomentarza"/>
        <w:ind w:left="360"/>
        <w:rPr>
          <w:rFonts w:eastAsia="Times New Roman" w:cs="Tahoma"/>
          <w:lang w:val="pl-PL"/>
        </w:rPr>
      </w:pPr>
    </w:p>
    <w:p w:rsidR="00AD0723" w:rsidRPr="006C4B43" w:rsidRDefault="00AD0723" w:rsidP="00AD0723">
      <w:pPr>
        <w:pStyle w:val="Tekstkomentarza"/>
        <w:ind w:left="360"/>
        <w:rPr>
          <w:rFonts w:eastAsia="Times New Roman" w:cs="Tahoma"/>
          <w:lang w:val="pl-PL"/>
        </w:rPr>
      </w:pPr>
      <w:r w:rsidRPr="006C4B43">
        <w:rPr>
          <w:rFonts w:eastAsia="Times New Roman" w:cs="Tahoma"/>
          <w:lang w:val="pl-PL"/>
        </w:rPr>
        <w:t>Nie wystąpiły.</w:t>
      </w:r>
    </w:p>
    <w:p w:rsidR="00AD0723" w:rsidRPr="00DF6479" w:rsidRDefault="00AD0723" w:rsidP="00AD0723">
      <w:pPr>
        <w:pStyle w:val="Tekstkomentarza"/>
        <w:rPr>
          <w:rFonts w:eastAsia="Times New Roman" w:cs="Tahoma"/>
          <w:sz w:val="22"/>
          <w:szCs w:val="22"/>
          <w:lang w:val="pl-PL"/>
        </w:rPr>
      </w:pPr>
    </w:p>
    <w:p w:rsidR="00AD0723" w:rsidRPr="00C7352A" w:rsidRDefault="00AD0723" w:rsidP="00AD0723">
      <w:pPr>
        <w:pStyle w:val="spis2"/>
        <w:rPr>
          <w:rFonts w:eastAsia="Times New Roman"/>
        </w:rPr>
      </w:pPr>
      <w:bookmarkStart w:id="26" w:name="_Toc509841124"/>
      <w:r w:rsidRPr="00C7352A">
        <w:rPr>
          <w:rFonts w:eastAsia="Times New Roman"/>
        </w:rPr>
        <w:t>Umowa o przeprowadzenie badania</w:t>
      </w:r>
      <w:r>
        <w:rPr>
          <w:rFonts w:eastAsia="Times New Roman"/>
        </w:rPr>
        <w:t xml:space="preserve"> lub przeglądu</w:t>
      </w:r>
      <w:r w:rsidRPr="00C7352A">
        <w:rPr>
          <w:rFonts w:eastAsia="Times New Roman"/>
        </w:rPr>
        <w:t xml:space="preserve"> sprawozdania finansowego</w:t>
      </w:r>
      <w:bookmarkEnd w:id="26"/>
    </w:p>
    <w:p w:rsidR="00AD0723" w:rsidRDefault="00AD0723" w:rsidP="00AD0723"/>
    <w:p w:rsidR="00AD0723" w:rsidRPr="00DF6479" w:rsidRDefault="00AD0723" w:rsidP="00AD0723">
      <w:pPr>
        <w:rPr>
          <w:sz w:val="22"/>
        </w:rPr>
      </w:pPr>
      <w:r w:rsidRPr="00DF6479">
        <w:t xml:space="preserve">Data zawarcia przez </w:t>
      </w:r>
      <w:r>
        <w:t>E</w:t>
      </w:r>
      <w:r w:rsidRPr="00DF6479">
        <w:t>mitenta umowy, z podmiotem uprawnionym do badania sprawozdań finansowych, o dokonanie badania lub przeglądu sprawozdania finansowego oraz okres, na jaki została zawarta ta umowa.</w:t>
      </w:r>
    </w:p>
    <w:p w:rsidR="00AD0723" w:rsidRPr="00DF6479" w:rsidRDefault="00AD0723" w:rsidP="00AD0723">
      <w:pPr>
        <w:pStyle w:val="Tekstkomentarza"/>
        <w:ind w:left="643"/>
        <w:rPr>
          <w:rFonts w:eastAsia="Times New Roman" w:cs="Tahoma"/>
          <w:b/>
          <w:lang w:val="pl-PL"/>
        </w:rPr>
      </w:pPr>
    </w:p>
    <w:p w:rsidR="00AD0723" w:rsidRPr="00A90DDD" w:rsidRDefault="00AD0723" w:rsidP="00AD0723">
      <w:pPr>
        <w:pStyle w:val="Tekstkomentarza"/>
        <w:rPr>
          <w:rFonts w:eastAsia="Times New Roman" w:cs="Tahoma"/>
          <w:lang w:val="pl-PL"/>
        </w:rPr>
      </w:pPr>
      <w:r w:rsidRPr="00A90DDD">
        <w:rPr>
          <w:rFonts w:eastAsia="Times New Roman" w:cs="Tahoma"/>
          <w:lang w:val="pl-PL"/>
        </w:rPr>
        <w:t>Emitent zawarł umowę o dokonanie badania sprawozdania finansowego dnia 26 czerwca 2017 roku.  Umowa dotyczy przeglądu sprawozdań półrocznych i badania sprawozdań rocznych za lata 2017 – 2018.</w:t>
      </w:r>
    </w:p>
    <w:p w:rsidR="00AD0723" w:rsidRPr="006C4B43" w:rsidRDefault="00AD0723" w:rsidP="00AD0723">
      <w:pPr>
        <w:pStyle w:val="Tekstkomentarza"/>
        <w:rPr>
          <w:rFonts w:eastAsia="Times New Roman" w:cs="Tahoma"/>
          <w:lang w:val="pl-PL"/>
        </w:rPr>
      </w:pPr>
    </w:p>
    <w:p w:rsidR="00AD0723" w:rsidRPr="00C07262" w:rsidRDefault="00AD0723" w:rsidP="00AD0723">
      <w:pPr>
        <w:rPr>
          <w:rFonts w:cs="Tahoma"/>
          <w:b/>
          <w:szCs w:val="22"/>
        </w:rPr>
      </w:pPr>
      <w:r w:rsidRPr="00C07262">
        <w:rPr>
          <w:rFonts w:cs="Tahoma"/>
          <w:b/>
          <w:szCs w:val="22"/>
        </w:rPr>
        <w:t>Wynagrodzenie biegłego rewidenta lub podmiotu uprawnionego do badania sprawozdań  finansowych, wypłaconym lub należnym odrębnie za:</w:t>
      </w:r>
    </w:p>
    <w:p w:rsidR="00AD0723" w:rsidRPr="00DF6479" w:rsidRDefault="00AD0723" w:rsidP="00AD0723">
      <w:pPr>
        <w:rPr>
          <w:rFonts w:cs="Tahoma"/>
          <w:b/>
          <w:sz w:val="22"/>
          <w:szCs w:val="22"/>
        </w:rPr>
      </w:pPr>
    </w:p>
    <w:tbl>
      <w:tblPr>
        <w:tblW w:w="5000" w:type="pct"/>
        <w:tblCellMar>
          <w:left w:w="70" w:type="dxa"/>
          <w:right w:w="70" w:type="dxa"/>
        </w:tblCellMar>
        <w:tblLook w:val="04A0" w:firstRow="1" w:lastRow="0" w:firstColumn="1" w:lastColumn="0" w:noHBand="0" w:noVBand="1"/>
      </w:tblPr>
      <w:tblGrid>
        <w:gridCol w:w="6376"/>
        <w:gridCol w:w="1348"/>
        <w:gridCol w:w="1348"/>
      </w:tblGrid>
      <w:tr w:rsidR="00AD0723" w:rsidRPr="006C4B43" w:rsidTr="006D3597">
        <w:trPr>
          <w:trHeight w:val="288"/>
        </w:trPr>
        <w:tc>
          <w:tcPr>
            <w:tcW w:w="3513" w:type="pct"/>
            <w:tcBorders>
              <w:top w:val="nil"/>
              <w:left w:val="nil"/>
              <w:bottom w:val="nil"/>
              <w:right w:val="nil"/>
            </w:tcBorders>
            <w:shd w:val="clear" w:color="auto" w:fill="auto"/>
            <w:noWrap/>
            <w:vAlign w:val="center"/>
            <w:hideMark/>
          </w:tcPr>
          <w:p w:rsidR="00AD0723" w:rsidRPr="006C4B43" w:rsidRDefault="00AD0723" w:rsidP="006D3597">
            <w:pPr>
              <w:jc w:val="center"/>
              <w:rPr>
                <w:b/>
                <w:bCs/>
                <w:sz w:val="18"/>
                <w:szCs w:val="18"/>
              </w:rPr>
            </w:pPr>
            <w:r w:rsidRPr="006C4B43">
              <w:rPr>
                <w:b/>
                <w:bCs/>
                <w:sz w:val="18"/>
                <w:szCs w:val="18"/>
              </w:rPr>
              <w:t>Wyszczególnienie</w:t>
            </w:r>
          </w:p>
        </w:tc>
        <w:tc>
          <w:tcPr>
            <w:tcW w:w="743" w:type="pct"/>
            <w:tcBorders>
              <w:top w:val="nil"/>
              <w:left w:val="nil"/>
              <w:bottom w:val="nil"/>
              <w:right w:val="nil"/>
            </w:tcBorders>
            <w:shd w:val="clear" w:color="auto" w:fill="auto"/>
            <w:vAlign w:val="center"/>
            <w:hideMark/>
          </w:tcPr>
          <w:p w:rsidR="00AD0723" w:rsidRPr="006C4B43" w:rsidRDefault="00AD0723" w:rsidP="006D3597">
            <w:pPr>
              <w:jc w:val="center"/>
              <w:rPr>
                <w:b/>
                <w:bCs/>
                <w:sz w:val="18"/>
                <w:szCs w:val="18"/>
              </w:rPr>
            </w:pPr>
            <w:r w:rsidRPr="006C4B43">
              <w:rPr>
                <w:b/>
                <w:bCs/>
                <w:sz w:val="18"/>
                <w:szCs w:val="18"/>
              </w:rPr>
              <w:t xml:space="preserve">             2017</w:t>
            </w:r>
          </w:p>
        </w:tc>
        <w:tc>
          <w:tcPr>
            <w:tcW w:w="743" w:type="pct"/>
            <w:tcBorders>
              <w:top w:val="nil"/>
              <w:left w:val="nil"/>
              <w:bottom w:val="nil"/>
              <w:right w:val="nil"/>
            </w:tcBorders>
            <w:shd w:val="clear" w:color="auto" w:fill="auto"/>
            <w:vAlign w:val="center"/>
            <w:hideMark/>
          </w:tcPr>
          <w:p w:rsidR="00AD0723" w:rsidRPr="006C4B43" w:rsidRDefault="00AD0723" w:rsidP="006D3597">
            <w:pPr>
              <w:jc w:val="center"/>
              <w:rPr>
                <w:b/>
                <w:bCs/>
                <w:sz w:val="18"/>
                <w:szCs w:val="18"/>
              </w:rPr>
            </w:pPr>
            <w:r w:rsidRPr="006C4B43">
              <w:rPr>
                <w:b/>
                <w:bCs/>
                <w:sz w:val="18"/>
                <w:szCs w:val="18"/>
              </w:rPr>
              <w:t xml:space="preserve">        </w:t>
            </w:r>
            <w:r>
              <w:rPr>
                <w:b/>
                <w:bCs/>
                <w:sz w:val="18"/>
                <w:szCs w:val="18"/>
              </w:rPr>
              <w:t xml:space="preserve">       </w:t>
            </w:r>
            <w:r w:rsidRPr="006C4B43">
              <w:rPr>
                <w:b/>
                <w:bCs/>
                <w:sz w:val="18"/>
                <w:szCs w:val="18"/>
              </w:rPr>
              <w:t xml:space="preserve">   2016</w:t>
            </w:r>
          </w:p>
        </w:tc>
      </w:tr>
      <w:tr w:rsidR="00AD0723" w:rsidRPr="006C4B43" w:rsidTr="006D3597">
        <w:trPr>
          <w:trHeight w:val="288"/>
        </w:trPr>
        <w:tc>
          <w:tcPr>
            <w:tcW w:w="351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r w:rsidRPr="006C4B43">
              <w:rPr>
                <w:sz w:val="18"/>
                <w:szCs w:val="18"/>
              </w:rPr>
              <w:t>1. Obowiązkowe badanie rocznego sprawozdania finansowego</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jc w:val="center"/>
              <w:rPr>
                <w:sz w:val="18"/>
                <w:szCs w:val="18"/>
              </w:rPr>
            </w:pPr>
            <w:r w:rsidRPr="006C4B43">
              <w:rPr>
                <w:sz w:val="18"/>
                <w:szCs w:val="18"/>
              </w:rPr>
              <w:t xml:space="preserve">             33</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jc w:val="right"/>
              <w:rPr>
                <w:sz w:val="18"/>
                <w:szCs w:val="18"/>
              </w:rPr>
            </w:pPr>
            <w:r w:rsidRPr="006C4B43">
              <w:rPr>
                <w:sz w:val="18"/>
                <w:szCs w:val="18"/>
              </w:rPr>
              <w:t>34</w:t>
            </w:r>
          </w:p>
        </w:tc>
      </w:tr>
      <w:tr w:rsidR="00AD0723" w:rsidRPr="006C4B43" w:rsidTr="006D3597">
        <w:trPr>
          <w:trHeight w:val="288"/>
        </w:trPr>
        <w:tc>
          <w:tcPr>
            <w:tcW w:w="351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r w:rsidRPr="006C4B43">
              <w:rPr>
                <w:sz w:val="18"/>
                <w:szCs w:val="18"/>
              </w:rPr>
              <w:t xml:space="preserve">2. Inne usługi </w:t>
            </w:r>
            <w:r>
              <w:rPr>
                <w:sz w:val="18"/>
                <w:szCs w:val="18"/>
              </w:rPr>
              <w:t>atestacyjne</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rPr>
                <w:sz w:val="18"/>
                <w:szCs w:val="18"/>
              </w:rPr>
            </w:pPr>
            <w:r w:rsidRPr="006C4B43">
              <w:rPr>
                <w:sz w:val="18"/>
                <w:szCs w:val="18"/>
              </w:rPr>
              <w:t> </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jc w:val="right"/>
              <w:rPr>
                <w:sz w:val="18"/>
                <w:szCs w:val="18"/>
              </w:rPr>
            </w:pPr>
            <w:r w:rsidRPr="006C4B43">
              <w:rPr>
                <w:sz w:val="18"/>
                <w:szCs w:val="18"/>
              </w:rPr>
              <w:t> </w:t>
            </w:r>
          </w:p>
        </w:tc>
      </w:tr>
      <w:tr w:rsidR="00AD0723" w:rsidRPr="006C4B43" w:rsidTr="006D3597">
        <w:trPr>
          <w:trHeight w:val="288"/>
        </w:trPr>
        <w:tc>
          <w:tcPr>
            <w:tcW w:w="351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r w:rsidRPr="006C4B43">
              <w:rPr>
                <w:sz w:val="18"/>
                <w:szCs w:val="18"/>
              </w:rPr>
              <w:t>3. Usługi doradztwa podatkowego</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rPr>
                <w:sz w:val="18"/>
                <w:szCs w:val="18"/>
              </w:rPr>
            </w:pPr>
            <w:r w:rsidRPr="006C4B43">
              <w:rPr>
                <w:sz w:val="18"/>
                <w:szCs w:val="18"/>
              </w:rPr>
              <w:t> </w:t>
            </w:r>
          </w:p>
        </w:tc>
        <w:tc>
          <w:tcPr>
            <w:tcW w:w="743" w:type="pct"/>
            <w:tcBorders>
              <w:top w:val="nil"/>
              <w:left w:val="nil"/>
              <w:bottom w:val="single" w:sz="4" w:space="0" w:color="auto"/>
              <w:right w:val="nil"/>
            </w:tcBorders>
            <w:shd w:val="clear" w:color="auto" w:fill="auto"/>
            <w:noWrap/>
            <w:vAlign w:val="bottom"/>
            <w:hideMark/>
          </w:tcPr>
          <w:p w:rsidR="00AD0723" w:rsidRPr="006C4B43" w:rsidRDefault="00AD0723" w:rsidP="006D3597">
            <w:pPr>
              <w:jc w:val="right"/>
              <w:rPr>
                <w:sz w:val="18"/>
                <w:szCs w:val="18"/>
              </w:rPr>
            </w:pPr>
            <w:r w:rsidRPr="006C4B43">
              <w:rPr>
                <w:sz w:val="18"/>
                <w:szCs w:val="18"/>
              </w:rPr>
              <w:t> </w:t>
            </w:r>
          </w:p>
        </w:tc>
      </w:tr>
      <w:tr w:rsidR="00AD0723" w:rsidRPr="006C4B43" w:rsidTr="006D3597">
        <w:trPr>
          <w:trHeight w:val="288"/>
        </w:trPr>
        <w:tc>
          <w:tcPr>
            <w:tcW w:w="351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r w:rsidRPr="006C4B43">
              <w:rPr>
                <w:sz w:val="18"/>
                <w:szCs w:val="18"/>
              </w:rPr>
              <w:t>4. Pozostałe usługi</w:t>
            </w:r>
          </w:p>
        </w:tc>
        <w:tc>
          <w:tcPr>
            <w:tcW w:w="74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p>
        </w:tc>
        <w:tc>
          <w:tcPr>
            <w:tcW w:w="743" w:type="pct"/>
            <w:tcBorders>
              <w:top w:val="nil"/>
              <w:left w:val="nil"/>
              <w:bottom w:val="nil"/>
              <w:right w:val="nil"/>
            </w:tcBorders>
            <w:shd w:val="clear" w:color="auto" w:fill="auto"/>
            <w:noWrap/>
            <w:vAlign w:val="bottom"/>
            <w:hideMark/>
          </w:tcPr>
          <w:p w:rsidR="00AD0723" w:rsidRPr="006C4B43" w:rsidRDefault="00AD0723" w:rsidP="006D3597">
            <w:pPr>
              <w:jc w:val="right"/>
              <w:rPr>
                <w:sz w:val="18"/>
                <w:szCs w:val="18"/>
              </w:rPr>
            </w:pPr>
          </w:p>
        </w:tc>
      </w:tr>
      <w:tr w:rsidR="00AD0723" w:rsidRPr="006C4B43" w:rsidTr="006D3597">
        <w:trPr>
          <w:trHeight w:val="300"/>
        </w:trPr>
        <w:tc>
          <w:tcPr>
            <w:tcW w:w="3513" w:type="pct"/>
            <w:tcBorders>
              <w:top w:val="nil"/>
              <w:left w:val="nil"/>
              <w:bottom w:val="nil"/>
              <w:right w:val="nil"/>
            </w:tcBorders>
            <w:shd w:val="clear" w:color="auto" w:fill="auto"/>
            <w:noWrap/>
            <w:vAlign w:val="bottom"/>
            <w:hideMark/>
          </w:tcPr>
          <w:p w:rsidR="00AD0723" w:rsidRPr="006C4B43" w:rsidRDefault="00AD0723" w:rsidP="006D3597">
            <w:pPr>
              <w:rPr>
                <w:sz w:val="18"/>
                <w:szCs w:val="18"/>
              </w:rPr>
            </w:pPr>
          </w:p>
        </w:tc>
        <w:tc>
          <w:tcPr>
            <w:tcW w:w="743" w:type="pct"/>
            <w:tcBorders>
              <w:top w:val="single" w:sz="4" w:space="0" w:color="auto"/>
              <w:left w:val="nil"/>
              <w:bottom w:val="double" w:sz="6" w:space="0" w:color="auto"/>
              <w:right w:val="nil"/>
            </w:tcBorders>
            <w:shd w:val="clear" w:color="auto" w:fill="auto"/>
            <w:noWrap/>
            <w:vAlign w:val="bottom"/>
            <w:hideMark/>
          </w:tcPr>
          <w:p w:rsidR="00AD0723" w:rsidRPr="006C4B43" w:rsidRDefault="00AD0723" w:rsidP="006D3597">
            <w:pPr>
              <w:jc w:val="center"/>
              <w:rPr>
                <w:b/>
                <w:bCs/>
                <w:sz w:val="18"/>
                <w:szCs w:val="18"/>
              </w:rPr>
            </w:pPr>
            <w:r w:rsidRPr="006C4B43">
              <w:rPr>
                <w:b/>
                <w:bCs/>
                <w:sz w:val="18"/>
                <w:szCs w:val="18"/>
              </w:rPr>
              <w:t xml:space="preserve">          33</w:t>
            </w:r>
          </w:p>
        </w:tc>
        <w:tc>
          <w:tcPr>
            <w:tcW w:w="743" w:type="pct"/>
            <w:tcBorders>
              <w:top w:val="single" w:sz="4" w:space="0" w:color="auto"/>
              <w:left w:val="nil"/>
              <w:bottom w:val="double" w:sz="6" w:space="0" w:color="auto"/>
              <w:right w:val="nil"/>
            </w:tcBorders>
            <w:shd w:val="clear" w:color="auto" w:fill="auto"/>
            <w:noWrap/>
            <w:vAlign w:val="bottom"/>
            <w:hideMark/>
          </w:tcPr>
          <w:p w:rsidR="00AD0723" w:rsidRPr="006C4B43" w:rsidRDefault="00AD0723" w:rsidP="006D3597">
            <w:pPr>
              <w:jc w:val="right"/>
              <w:rPr>
                <w:b/>
                <w:bCs/>
                <w:sz w:val="18"/>
                <w:szCs w:val="18"/>
              </w:rPr>
            </w:pPr>
            <w:r w:rsidRPr="006C4B43">
              <w:rPr>
                <w:b/>
                <w:bCs/>
                <w:sz w:val="18"/>
                <w:szCs w:val="18"/>
              </w:rPr>
              <w:t>34</w:t>
            </w:r>
          </w:p>
        </w:tc>
      </w:tr>
    </w:tbl>
    <w:p w:rsidR="00AD0723" w:rsidRPr="00DF6479" w:rsidRDefault="00AD0723" w:rsidP="00AD0723">
      <w:pPr>
        <w:rPr>
          <w:rFonts w:cs="Tahoma"/>
          <w:b/>
          <w:szCs w:val="20"/>
        </w:rPr>
      </w:pPr>
    </w:p>
    <w:p w:rsidR="00AD0723" w:rsidRPr="00DF6479" w:rsidRDefault="00AD0723" w:rsidP="00AD0723">
      <w:pPr>
        <w:pStyle w:val="spis2"/>
        <w:rPr>
          <w:sz w:val="22"/>
        </w:rPr>
      </w:pPr>
      <w:bookmarkStart w:id="27" w:name="_Toc509841125"/>
      <w:r w:rsidRPr="00DF6479">
        <w:t>Informacje o znaczących zdarzeniach, dotyczących lat ubiegłych, ujętych w sprawozdaniu finansowym za bieżący okres.</w:t>
      </w:r>
      <w:bookmarkEnd w:id="27"/>
    </w:p>
    <w:p w:rsidR="00AD0723" w:rsidRDefault="00AD0723" w:rsidP="00AD0723">
      <w:pPr>
        <w:ind w:left="643"/>
        <w:rPr>
          <w:rFonts w:cs="Tahoma"/>
          <w:szCs w:val="20"/>
        </w:rPr>
      </w:pPr>
    </w:p>
    <w:p w:rsidR="00AD0723" w:rsidRDefault="00AD0723" w:rsidP="00AD0723">
      <w:pPr>
        <w:ind w:left="643"/>
        <w:rPr>
          <w:rFonts w:cs="Tahoma"/>
          <w:szCs w:val="20"/>
        </w:rPr>
      </w:pPr>
      <w:r w:rsidRPr="00A90DDD">
        <w:rPr>
          <w:rFonts w:cs="Tahoma"/>
          <w:szCs w:val="20"/>
        </w:rPr>
        <w:t xml:space="preserve">Nie wystąpiły. </w:t>
      </w:r>
    </w:p>
    <w:p w:rsidR="00AD0723" w:rsidRPr="00A90DDD" w:rsidRDefault="00AD0723" w:rsidP="00AD0723">
      <w:pPr>
        <w:ind w:left="643"/>
        <w:rPr>
          <w:rFonts w:cs="Tahoma"/>
          <w:szCs w:val="20"/>
        </w:rPr>
      </w:pPr>
    </w:p>
    <w:p w:rsidR="00AD0723" w:rsidRPr="00DF6479" w:rsidRDefault="00AD0723" w:rsidP="00AD0723">
      <w:pPr>
        <w:pStyle w:val="spis2"/>
        <w:rPr>
          <w:sz w:val="22"/>
        </w:rPr>
      </w:pPr>
      <w:bookmarkStart w:id="28" w:name="_Toc509841126"/>
      <w:r w:rsidRPr="00DF6479">
        <w:t>Informacje o znaczących zdarzeniach, jakie nastąpiły po dniu bilansowym, a nieuwzględnionych w sprawozdaniu finansowym</w:t>
      </w:r>
      <w:bookmarkEnd w:id="28"/>
    </w:p>
    <w:p w:rsidR="00AD0723" w:rsidRDefault="00AD0723" w:rsidP="00AD0723">
      <w:pPr>
        <w:ind w:left="643"/>
        <w:rPr>
          <w:rFonts w:cs="Tahoma"/>
          <w:szCs w:val="20"/>
        </w:rPr>
      </w:pPr>
    </w:p>
    <w:p w:rsidR="00AD0723" w:rsidRDefault="00AD0723" w:rsidP="00AD0723">
      <w:pPr>
        <w:ind w:left="643"/>
        <w:rPr>
          <w:rFonts w:cs="Tahoma"/>
          <w:szCs w:val="20"/>
        </w:rPr>
      </w:pPr>
      <w:r w:rsidRPr="00A90DDD">
        <w:rPr>
          <w:rFonts w:cs="Tahoma"/>
          <w:szCs w:val="20"/>
        </w:rPr>
        <w:t>Nie wystąpiły.</w:t>
      </w:r>
    </w:p>
    <w:p w:rsidR="00AD0723" w:rsidRPr="00A90DDD" w:rsidRDefault="00AD0723" w:rsidP="00AD0723">
      <w:pPr>
        <w:ind w:left="643"/>
        <w:rPr>
          <w:rFonts w:cs="Tahoma"/>
          <w:szCs w:val="20"/>
        </w:rPr>
      </w:pPr>
    </w:p>
    <w:p w:rsidR="00AD0723" w:rsidRPr="00DF6479" w:rsidRDefault="00AD0723" w:rsidP="00AD0723">
      <w:pPr>
        <w:pStyle w:val="spis2"/>
        <w:rPr>
          <w:sz w:val="22"/>
        </w:rPr>
      </w:pPr>
      <w:bookmarkStart w:id="29" w:name="_Toc509841127"/>
      <w:r w:rsidRPr="00DF6479">
        <w:t>Informacje o relacjach między prawnym poprzednikiem a emitentem oraz o sposobie i zakresie przejęcia aktywów i pasywów .</w:t>
      </w:r>
      <w:bookmarkEnd w:id="29"/>
    </w:p>
    <w:p w:rsidR="00AD0723" w:rsidRDefault="00AD0723" w:rsidP="00AD0723">
      <w:pPr>
        <w:ind w:left="643"/>
        <w:rPr>
          <w:rFonts w:cs="Tahoma"/>
          <w:szCs w:val="20"/>
        </w:rPr>
      </w:pPr>
    </w:p>
    <w:p w:rsidR="00AD0723" w:rsidRDefault="00AD0723" w:rsidP="00AD0723">
      <w:pPr>
        <w:ind w:left="643"/>
        <w:rPr>
          <w:rFonts w:cs="Tahoma"/>
          <w:szCs w:val="20"/>
        </w:rPr>
      </w:pPr>
      <w:r w:rsidRPr="00A90DDD">
        <w:rPr>
          <w:rFonts w:cs="Tahoma"/>
          <w:szCs w:val="20"/>
        </w:rPr>
        <w:t>Nie dotyczy.</w:t>
      </w:r>
    </w:p>
    <w:p w:rsidR="00AD0723" w:rsidRDefault="00AD0723" w:rsidP="00AD0723">
      <w:pPr>
        <w:ind w:left="643"/>
        <w:rPr>
          <w:rFonts w:cs="Tahoma"/>
          <w:szCs w:val="20"/>
        </w:rPr>
      </w:pPr>
    </w:p>
    <w:p w:rsidR="00AD0723" w:rsidRDefault="00AD0723" w:rsidP="00AD0723">
      <w:pPr>
        <w:ind w:left="643"/>
        <w:rPr>
          <w:rFonts w:cs="Tahoma"/>
          <w:szCs w:val="20"/>
        </w:rPr>
      </w:pPr>
    </w:p>
    <w:p w:rsidR="00AD0723" w:rsidRPr="00A90DDD" w:rsidRDefault="00AD0723" w:rsidP="00AD0723">
      <w:pPr>
        <w:ind w:left="643"/>
        <w:rPr>
          <w:rFonts w:cs="Tahoma"/>
          <w:szCs w:val="20"/>
        </w:rPr>
      </w:pPr>
    </w:p>
    <w:p w:rsidR="00AD0723" w:rsidRPr="00C90913" w:rsidRDefault="00AD0723" w:rsidP="00AD0723">
      <w:pPr>
        <w:pStyle w:val="spis2"/>
        <w:rPr>
          <w:sz w:val="22"/>
        </w:rPr>
      </w:pPr>
      <w:bookmarkStart w:id="30" w:name="_Toc509841128"/>
      <w:r>
        <w:rPr>
          <w:sz w:val="22"/>
        </w:rPr>
        <w:lastRenderedPageBreak/>
        <w:t>Wpływ inflacji na sprawozdanie finansowe</w:t>
      </w:r>
      <w:bookmarkEnd w:id="30"/>
    </w:p>
    <w:p w:rsidR="00AD0723" w:rsidRDefault="00AD0723" w:rsidP="00AD0723"/>
    <w:p w:rsidR="00AD0723" w:rsidRPr="00C90913" w:rsidRDefault="00AD0723" w:rsidP="00AD0723">
      <w:r w:rsidRPr="00DF6479">
        <w:t>Sprawozdanie finansowe i porównywalne dane finansowe, przynajmniej w odniesieniu do podstawowych pozycji bilansu oraz rachunku zysków i strat, skorygowane odpowiednim wskaźnikiem inflacji, z podaniem źródła wskaźnika oraz metody jego wykorzystania, z przyjęciem okresu ostatniego sprawozdania finansowego jako okresu bazowego - jeżeli skumulowana średnioroczna stopa inflacji z okresu ostatnich trzech lat działalności emitenta osiągnęła lub przekroczyła wartość 100%</w:t>
      </w:r>
    </w:p>
    <w:p w:rsidR="00AD0723" w:rsidRDefault="00AD0723" w:rsidP="00AD0723">
      <w:pPr>
        <w:ind w:left="643"/>
        <w:rPr>
          <w:rFonts w:cs="Tahoma"/>
          <w:szCs w:val="20"/>
        </w:rPr>
      </w:pPr>
    </w:p>
    <w:p w:rsidR="00AD0723" w:rsidRDefault="00AD0723" w:rsidP="00AD0723">
      <w:pPr>
        <w:ind w:left="643"/>
        <w:rPr>
          <w:rFonts w:cs="Tahoma"/>
          <w:szCs w:val="20"/>
        </w:rPr>
      </w:pPr>
      <w:r w:rsidRPr="00A90DDD">
        <w:rPr>
          <w:rFonts w:cs="Tahoma"/>
          <w:szCs w:val="20"/>
        </w:rPr>
        <w:t>Nie wystąpiło</w:t>
      </w:r>
      <w:r w:rsidRPr="00DF6479">
        <w:rPr>
          <w:rFonts w:cs="Tahoma"/>
          <w:szCs w:val="20"/>
        </w:rPr>
        <w:t>.</w:t>
      </w:r>
    </w:p>
    <w:p w:rsidR="00AD0723" w:rsidRPr="00DF6479" w:rsidRDefault="00AD0723" w:rsidP="00AD0723">
      <w:pPr>
        <w:ind w:left="643"/>
        <w:rPr>
          <w:rFonts w:cs="Tahoma"/>
          <w:szCs w:val="20"/>
        </w:rPr>
      </w:pPr>
    </w:p>
    <w:p w:rsidR="00AD0723" w:rsidRPr="00C90913" w:rsidRDefault="00AD0723" w:rsidP="00AD0723">
      <w:pPr>
        <w:pStyle w:val="spis2"/>
        <w:rPr>
          <w:sz w:val="22"/>
        </w:rPr>
      </w:pPr>
      <w:bookmarkStart w:id="31" w:name="_Toc509841129"/>
      <w:r>
        <w:rPr>
          <w:sz w:val="22"/>
        </w:rPr>
        <w:t>Korekty prezentacyjne danych porównawczych</w:t>
      </w:r>
      <w:bookmarkEnd w:id="31"/>
    </w:p>
    <w:p w:rsidR="00AD0723" w:rsidRDefault="00AD0723" w:rsidP="00AD0723"/>
    <w:p w:rsidR="00AD0723" w:rsidRPr="00DF6479" w:rsidRDefault="00AD0723" w:rsidP="00AD0723">
      <w:pPr>
        <w:rPr>
          <w:sz w:val="22"/>
        </w:rPr>
      </w:pPr>
      <w:r w:rsidRPr="00DF6479">
        <w:t>Zestawienie oraz objaśnienie różnic pomiędzy danymi ujawnionymi w sprawozdaniu finansowym i porównywalnych danych finansowych, a uprzednio sporządzonymi i opublikowanymi sprawozdaniami finansowymi.</w:t>
      </w:r>
    </w:p>
    <w:p w:rsidR="00AD0723" w:rsidRPr="00DF6479" w:rsidRDefault="00AD0723" w:rsidP="00AD0723">
      <w:pPr>
        <w:pStyle w:val="Akapitzlist"/>
        <w:ind w:left="360"/>
        <w:rPr>
          <w:rFonts w:cs="Tahoma"/>
          <w:b/>
          <w:szCs w:val="20"/>
        </w:rPr>
      </w:pPr>
    </w:p>
    <w:p w:rsidR="00AD0723" w:rsidRPr="00DF6479" w:rsidRDefault="00AD0723" w:rsidP="00AD0723">
      <w:pPr>
        <w:pStyle w:val="Akapitzlist"/>
        <w:ind w:left="0"/>
        <w:rPr>
          <w:rFonts w:cs="Arial"/>
          <w:szCs w:val="20"/>
        </w:rPr>
      </w:pPr>
      <w:r w:rsidRPr="00DF6479">
        <w:rPr>
          <w:rFonts w:cs="Tahoma"/>
          <w:szCs w:val="20"/>
        </w:rPr>
        <w:t xml:space="preserve">W opublikowanych danych za rok 2016, podobnie jak w latach poprzednich, wykazano koszty pośrednie produkcji w pozycji </w:t>
      </w:r>
      <w:r w:rsidRPr="00DF6479">
        <w:rPr>
          <w:rFonts w:cs="Arial"/>
          <w:i/>
          <w:szCs w:val="20"/>
        </w:rPr>
        <w:t xml:space="preserve">Koszty ogólnego zarządu. </w:t>
      </w:r>
      <w:r w:rsidRPr="00DF6479">
        <w:rPr>
          <w:rFonts w:cs="Arial"/>
          <w:szCs w:val="20"/>
        </w:rPr>
        <w:t xml:space="preserve">W sprawozdaniu za rok 2017 koszty te zostały zaprezentowane zgodnie z ich ekonomiczną treścią w pozycji </w:t>
      </w:r>
      <w:r w:rsidRPr="00DF6479">
        <w:rPr>
          <w:rFonts w:cs="Arial"/>
          <w:i/>
          <w:szCs w:val="20"/>
        </w:rPr>
        <w:t>Koszt wytworzenia sprzedanych produktów</w:t>
      </w:r>
      <w:r w:rsidRPr="00DF6479">
        <w:rPr>
          <w:rFonts w:cs="Arial"/>
          <w:szCs w:val="20"/>
        </w:rPr>
        <w:t>. Zmiana ta wymagała odpowiedniego przekształcenia danych porównawczych za rok 2016, które przedstawiono w poniższej tabeli:</w:t>
      </w:r>
    </w:p>
    <w:p w:rsidR="00AD0723" w:rsidRPr="00DF6479" w:rsidRDefault="00AD0723" w:rsidP="00AD0723">
      <w:pPr>
        <w:pStyle w:val="Akapitzlist"/>
        <w:ind w:left="360"/>
        <w:rPr>
          <w:rFonts w:cs="Arial"/>
          <w:szCs w:val="22"/>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
        <w:gridCol w:w="3931"/>
        <w:gridCol w:w="1559"/>
        <w:gridCol w:w="1418"/>
        <w:gridCol w:w="1559"/>
      </w:tblGrid>
      <w:tr w:rsidR="00AD0723" w:rsidRPr="006C4B43" w:rsidTr="006D3597">
        <w:trPr>
          <w:trHeight w:val="624"/>
        </w:trPr>
        <w:tc>
          <w:tcPr>
            <w:tcW w:w="737"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Poz.</w:t>
            </w:r>
          </w:p>
        </w:tc>
        <w:tc>
          <w:tcPr>
            <w:tcW w:w="3931"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Wyszczególnienie</w:t>
            </w:r>
          </w:p>
        </w:tc>
        <w:tc>
          <w:tcPr>
            <w:tcW w:w="1559"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Dane 2016 opublikowane</w:t>
            </w:r>
          </w:p>
        </w:tc>
        <w:tc>
          <w:tcPr>
            <w:tcW w:w="1418"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Dane 2016 porównawcze</w:t>
            </w:r>
          </w:p>
        </w:tc>
        <w:tc>
          <w:tcPr>
            <w:tcW w:w="1559"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Różnica (4-3)</w:t>
            </w:r>
          </w:p>
        </w:tc>
      </w:tr>
      <w:tr w:rsidR="00AD0723" w:rsidRPr="006C4B43" w:rsidTr="006D3597">
        <w:trPr>
          <w:trHeight w:val="300"/>
        </w:trPr>
        <w:tc>
          <w:tcPr>
            <w:tcW w:w="737"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1</w:t>
            </w:r>
          </w:p>
        </w:tc>
        <w:tc>
          <w:tcPr>
            <w:tcW w:w="3931"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2</w:t>
            </w:r>
          </w:p>
        </w:tc>
        <w:tc>
          <w:tcPr>
            <w:tcW w:w="1559"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3</w:t>
            </w:r>
          </w:p>
        </w:tc>
        <w:tc>
          <w:tcPr>
            <w:tcW w:w="1418"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4</w:t>
            </w:r>
          </w:p>
        </w:tc>
        <w:tc>
          <w:tcPr>
            <w:tcW w:w="1559"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5</w:t>
            </w:r>
          </w:p>
        </w:tc>
      </w:tr>
      <w:tr w:rsidR="00AD0723" w:rsidRPr="006C4B43" w:rsidTr="006D3597">
        <w:trPr>
          <w:trHeight w:val="300"/>
        </w:trPr>
        <w:tc>
          <w:tcPr>
            <w:tcW w:w="737" w:type="dxa"/>
            <w:shd w:val="clear" w:color="auto" w:fill="auto"/>
            <w:noWrap/>
            <w:vAlign w:val="center"/>
            <w:hideMark/>
          </w:tcPr>
          <w:p w:rsidR="00AD0723" w:rsidRPr="00DF6479" w:rsidRDefault="00AD0723" w:rsidP="006D3597">
            <w:pPr>
              <w:jc w:val="center"/>
              <w:rPr>
                <w:color w:val="000000"/>
                <w:sz w:val="16"/>
                <w:szCs w:val="16"/>
              </w:rPr>
            </w:pPr>
            <w:r w:rsidRPr="00DF6479">
              <w:rPr>
                <w:color w:val="000000"/>
                <w:sz w:val="16"/>
                <w:szCs w:val="16"/>
              </w:rPr>
              <w:t>I</w:t>
            </w:r>
          </w:p>
        </w:tc>
        <w:tc>
          <w:tcPr>
            <w:tcW w:w="3931" w:type="dxa"/>
            <w:shd w:val="clear" w:color="auto" w:fill="auto"/>
            <w:vAlign w:val="center"/>
            <w:hideMark/>
          </w:tcPr>
          <w:p w:rsidR="00AD0723" w:rsidRPr="00DF6479" w:rsidRDefault="00AD0723" w:rsidP="006D3597">
            <w:pPr>
              <w:rPr>
                <w:color w:val="000000"/>
                <w:sz w:val="16"/>
                <w:szCs w:val="16"/>
              </w:rPr>
            </w:pPr>
            <w:r w:rsidRPr="00DF6479">
              <w:rPr>
                <w:color w:val="000000"/>
                <w:sz w:val="16"/>
                <w:szCs w:val="16"/>
              </w:rPr>
              <w:t>Koszt wytworzenia sprzedanych produktów</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117 651</w:t>
            </w:r>
          </w:p>
        </w:tc>
        <w:tc>
          <w:tcPr>
            <w:tcW w:w="1418"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134 759</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17 107</w:t>
            </w:r>
          </w:p>
        </w:tc>
      </w:tr>
      <w:tr w:rsidR="00AD0723" w:rsidRPr="006C4B43" w:rsidTr="006D3597">
        <w:trPr>
          <w:trHeight w:val="300"/>
        </w:trPr>
        <w:tc>
          <w:tcPr>
            <w:tcW w:w="737"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E</w:t>
            </w:r>
          </w:p>
        </w:tc>
        <w:tc>
          <w:tcPr>
            <w:tcW w:w="3931"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Koszty ogólnego zarządu</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21 836</w:t>
            </w:r>
          </w:p>
        </w:tc>
        <w:tc>
          <w:tcPr>
            <w:tcW w:w="1418"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4 851</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-16 985</w:t>
            </w:r>
          </w:p>
        </w:tc>
      </w:tr>
    </w:tbl>
    <w:p w:rsidR="00AD0723" w:rsidRPr="00DF6479" w:rsidRDefault="00AD0723" w:rsidP="00AD0723">
      <w:pPr>
        <w:pStyle w:val="Akapitzlist"/>
        <w:ind w:left="643"/>
        <w:rPr>
          <w:rFonts w:cs="Tahoma"/>
          <w:b/>
          <w:sz w:val="22"/>
          <w:szCs w:val="22"/>
        </w:rPr>
      </w:pPr>
    </w:p>
    <w:p w:rsidR="00AD0723" w:rsidRPr="00DF6479" w:rsidRDefault="00AD0723" w:rsidP="00AD0723">
      <w:pPr>
        <w:pStyle w:val="Akapitzlist"/>
        <w:ind w:left="0"/>
        <w:rPr>
          <w:rFonts w:cs="Tahoma"/>
          <w:szCs w:val="22"/>
        </w:rPr>
      </w:pPr>
      <w:r w:rsidRPr="00DF6479">
        <w:rPr>
          <w:rFonts w:cs="Tahoma"/>
          <w:szCs w:val="22"/>
        </w:rPr>
        <w:t xml:space="preserve">Dane przekształcone uwzględniają ponadto skutki zmian przedstawionych niżej, w punkcie 30. </w:t>
      </w:r>
    </w:p>
    <w:p w:rsidR="00AD0723" w:rsidRPr="00DF6479" w:rsidRDefault="00AD0723" w:rsidP="00AD0723">
      <w:pPr>
        <w:pStyle w:val="Akapitzlist"/>
        <w:ind w:left="643"/>
        <w:rPr>
          <w:rFonts w:cs="Tahoma"/>
          <w:b/>
          <w:sz w:val="22"/>
          <w:szCs w:val="22"/>
        </w:rPr>
      </w:pPr>
    </w:p>
    <w:p w:rsidR="00AD0723" w:rsidRPr="00DF6479" w:rsidRDefault="00AD0723" w:rsidP="00AD0723">
      <w:pPr>
        <w:pStyle w:val="Akapitzlist"/>
        <w:ind w:left="283"/>
        <w:rPr>
          <w:rFonts w:cs="Tahoma"/>
          <w:b/>
          <w:sz w:val="22"/>
          <w:szCs w:val="22"/>
        </w:rPr>
      </w:pPr>
    </w:p>
    <w:p w:rsidR="00AD0723" w:rsidRPr="00C90913" w:rsidRDefault="00AD0723" w:rsidP="00AD0723">
      <w:pPr>
        <w:pStyle w:val="spis2"/>
        <w:rPr>
          <w:sz w:val="22"/>
        </w:rPr>
      </w:pPr>
      <w:bookmarkStart w:id="32" w:name="_Toc509841130"/>
      <w:r>
        <w:rPr>
          <w:sz w:val="22"/>
        </w:rPr>
        <w:t>Korekty spowodowane zmiana zasad polityki rachunkowości i sposobu sporządzenia sprawozdania finansowego</w:t>
      </w:r>
      <w:bookmarkEnd w:id="32"/>
    </w:p>
    <w:p w:rsidR="00AD0723" w:rsidRDefault="00AD0723" w:rsidP="00AD0723"/>
    <w:p w:rsidR="00AD0723" w:rsidRPr="00DF6479" w:rsidRDefault="00AD0723" w:rsidP="00AD0723">
      <w:pPr>
        <w:rPr>
          <w:sz w:val="22"/>
        </w:rPr>
      </w:pPr>
      <w:r w:rsidRPr="00DF6479">
        <w:t>Zmiany stosowanych zasad polityki rachunkowości i sposobu sporządzania sprawozdania finansowego, dokonanych w stosunku do poprzedniego roku obrotowego lat obrotowych, ich przyczyny, tytuły oraz wpływ wywołanych tym skutków finansowych na sytuację majątkową i finansową, płynność oraz wynik finansowy i rentowność </w:t>
      </w:r>
    </w:p>
    <w:p w:rsidR="00AD0723" w:rsidRDefault="00AD0723" w:rsidP="00AD0723">
      <w:pPr>
        <w:ind w:left="283"/>
        <w:rPr>
          <w:rFonts w:cs="Tahoma"/>
          <w:szCs w:val="20"/>
        </w:rPr>
      </w:pPr>
    </w:p>
    <w:p w:rsidR="00AD0723" w:rsidRDefault="00AD0723" w:rsidP="00AD0723">
      <w:pPr>
        <w:ind w:left="426"/>
        <w:rPr>
          <w:rFonts w:cs="Tahoma"/>
          <w:szCs w:val="20"/>
        </w:rPr>
      </w:pPr>
      <w:r w:rsidRPr="00A90DDD">
        <w:rPr>
          <w:rFonts w:cs="Tahoma"/>
          <w:szCs w:val="20"/>
        </w:rPr>
        <w:t>Nie wystąpiły.</w:t>
      </w:r>
    </w:p>
    <w:p w:rsidR="00AD0723" w:rsidRPr="00A90DDD" w:rsidRDefault="00AD0723" w:rsidP="00AD0723">
      <w:pPr>
        <w:ind w:left="283"/>
        <w:rPr>
          <w:rFonts w:cs="Tahoma"/>
          <w:szCs w:val="20"/>
        </w:rPr>
      </w:pPr>
    </w:p>
    <w:p w:rsidR="00AD0723" w:rsidRPr="00C90913" w:rsidRDefault="00AD0723" w:rsidP="00AD0723">
      <w:pPr>
        <w:pStyle w:val="spis2"/>
        <w:rPr>
          <w:sz w:val="22"/>
        </w:rPr>
      </w:pPr>
      <w:bookmarkStart w:id="33" w:name="_Toc509841131"/>
      <w:r>
        <w:rPr>
          <w:sz w:val="22"/>
        </w:rPr>
        <w:t>Korekty błędów z lat ubiegłych</w:t>
      </w:r>
      <w:bookmarkEnd w:id="33"/>
    </w:p>
    <w:p w:rsidR="00AD0723" w:rsidRDefault="00AD0723" w:rsidP="00AD0723"/>
    <w:p w:rsidR="00AD0723" w:rsidRPr="00DF6479" w:rsidRDefault="00AD0723" w:rsidP="00AD0723">
      <w:pPr>
        <w:rPr>
          <w:sz w:val="22"/>
        </w:rPr>
      </w:pPr>
      <w:r w:rsidRPr="00DF6479">
        <w:t>Dokonane korekty błędów, ich przyczyny, tytuły oraz wpływ wywołanych tym skutków finansowych na sytuację majątkową i finansową, płynność oraz wynik finansowy i rentowność.</w:t>
      </w:r>
    </w:p>
    <w:p w:rsidR="00AD0723" w:rsidRPr="00DF6479" w:rsidRDefault="00AD0723" w:rsidP="00AD0723">
      <w:pPr>
        <w:pStyle w:val="Akapitzlist"/>
        <w:ind w:left="643"/>
        <w:rPr>
          <w:rFonts w:cs="Tahoma"/>
          <w:b/>
          <w:szCs w:val="20"/>
        </w:rPr>
      </w:pPr>
    </w:p>
    <w:tbl>
      <w:tblPr>
        <w:tblW w:w="9209" w:type="dxa"/>
        <w:tblLayout w:type="fixed"/>
        <w:tblCellMar>
          <w:left w:w="70" w:type="dxa"/>
          <w:right w:w="70" w:type="dxa"/>
        </w:tblCellMar>
        <w:tblLook w:val="04A0" w:firstRow="1" w:lastRow="0" w:firstColumn="1" w:lastColumn="0" w:noHBand="0" w:noVBand="1"/>
      </w:tblPr>
      <w:tblGrid>
        <w:gridCol w:w="420"/>
        <w:gridCol w:w="3970"/>
        <w:gridCol w:w="1275"/>
        <w:gridCol w:w="993"/>
        <w:gridCol w:w="1275"/>
        <w:gridCol w:w="1276"/>
      </w:tblGrid>
      <w:tr w:rsidR="00AD0723" w:rsidRPr="006C4B43" w:rsidTr="006D3597">
        <w:trPr>
          <w:trHeight w:val="40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color w:val="000000"/>
                <w:sz w:val="16"/>
                <w:szCs w:val="16"/>
              </w:rPr>
            </w:pPr>
            <w:r w:rsidRPr="00DF6479">
              <w:rPr>
                <w:color w:val="000000"/>
                <w:sz w:val="16"/>
                <w:szCs w:val="16"/>
              </w:rPr>
              <w:t>Lp.</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rsidR="00AD0723" w:rsidRPr="00DF6479" w:rsidRDefault="00AD0723" w:rsidP="006D3597">
            <w:pPr>
              <w:rPr>
                <w:color w:val="000000"/>
                <w:sz w:val="16"/>
                <w:szCs w:val="16"/>
              </w:rPr>
            </w:pPr>
            <w:r w:rsidRPr="00DF6479">
              <w:rPr>
                <w:color w:val="000000"/>
                <w:sz w:val="16"/>
                <w:szCs w:val="16"/>
              </w:rPr>
              <w:t>Błędy podstawowe odniesione na wynik lat ubiegłych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color w:val="000000"/>
                <w:sz w:val="16"/>
                <w:szCs w:val="16"/>
              </w:rPr>
            </w:pPr>
            <w:r w:rsidRPr="00DF6479">
              <w:rPr>
                <w:color w:val="000000"/>
                <w:sz w:val="16"/>
                <w:szCs w:val="16"/>
              </w:rPr>
              <w:t>Stan na początek 2016 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color w:val="000000"/>
                <w:sz w:val="16"/>
                <w:szCs w:val="16"/>
              </w:rPr>
            </w:pPr>
            <w:r w:rsidRPr="00DF6479">
              <w:rPr>
                <w:color w:val="000000"/>
                <w:sz w:val="14"/>
                <w:szCs w:val="16"/>
              </w:rPr>
              <w:t>Zwiększenia straty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color w:val="000000"/>
                <w:sz w:val="16"/>
                <w:szCs w:val="16"/>
              </w:rPr>
            </w:pPr>
            <w:r w:rsidRPr="00DF6479">
              <w:rPr>
                <w:color w:val="000000"/>
                <w:sz w:val="16"/>
                <w:szCs w:val="16"/>
              </w:rPr>
              <w:t>Zmniejszenia straty</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0723" w:rsidRPr="00DF6479" w:rsidRDefault="00AD0723" w:rsidP="006D3597">
            <w:pPr>
              <w:jc w:val="center"/>
              <w:rPr>
                <w:color w:val="000000"/>
                <w:sz w:val="16"/>
                <w:szCs w:val="16"/>
              </w:rPr>
            </w:pPr>
            <w:r w:rsidRPr="00DF6479">
              <w:rPr>
                <w:color w:val="000000"/>
                <w:sz w:val="16"/>
                <w:szCs w:val="16"/>
              </w:rPr>
              <w:t>Stan na koniec 2016 r.</w:t>
            </w:r>
          </w:p>
        </w:tc>
      </w:tr>
      <w:tr w:rsidR="00AD0723" w:rsidRPr="006C4B43" w:rsidTr="006D3597">
        <w:trPr>
          <w:trHeight w:val="43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 xml:space="preserve">1. </w:t>
            </w:r>
          </w:p>
        </w:tc>
        <w:tc>
          <w:tcPr>
            <w:tcW w:w="3970" w:type="dxa"/>
            <w:tcBorders>
              <w:top w:val="nil"/>
              <w:left w:val="nil"/>
              <w:bottom w:val="single" w:sz="4" w:space="0" w:color="auto"/>
              <w:right w:val="single" w:sz="4" w:space="0" w:color="auto"/>
            </w:tcBorders>
            <w:shd w:val="clear" w:color="auto" w:fill="auto"/>
            <w:vAlign w:val="bottom"/>
            <w:hideMark/>
          </w:tcPr>
          <w:p w:rsidR="00AD0723" w:rsidRPr="00DF6479" w:rsidRDefault="00AD0723" w:rsidP="006D3597">
            <w:pPr>
              <w:rPr>
                <w:color w:val="000000"/>
                <w:sz w:val="16"/>
                <w:szCs w:val="16"/>
              </w:rPr>
            </w:pPr>
            <w:r w:rsidRPr="00DF6479">
              <w:rPr>
                <w:color w:val="000000"/>
                <w:sz w:val="16"/>
                <w:szCs w:val="16"/>
              </w:rPr>
              <w:t>Różnice kursowe z przeszacowania i wyceny umów leasingu w walucie EUR</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939    </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939    </w:t>
            </w:r>
          </w:p>
        </w:tc>
      </w:tr>
      <w:tr w:rsidR="00AD0723" w:rsidRPr="006C4B43" w:rsidTr="006D3597">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2.</w:t>
            </w:r>
          </w:p>
        </w:tc>
        <w:tc>
          <w:tcPr>
            <w:tcW w:w="3970"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Błędne saldo RMK z tyt. zużycia palet w latach ub.</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150</w:t>
            </w:r>
          </w:p>
        </w:tc>
        <w:tc>
          <w:tcPr>
            <w:tcW w:w="993"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206    </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356    </w:t>
            </w:r>
          </w:p>
        </w:tc>
      </w:tr>
      <w:tr w:rsidR="00AD0723" w:rsidRPr="006C4B43" w:rsidTr="006D3597">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 xml:space="preserve">3. </w:t>
            </w:r>
          </w:p>
        </w:tc>
        <w:tc>
          <w:tcPr>
            <w:tcW w:w="3970"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Wyksięgowanie błędnych sald rozrachunków z lat ub.</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349</w:t>
            </w:r>
          </w:p>
        </w:tc>
        <w:tc>
          <w:tcPr>
            <w:tcW w:w="993"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196    </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453    </w:t>
            </w:r>
          </w:p>
        </w:tc>
        <w:tc>
          <w:tcPr>
            <w:tcW w:w="1276"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92    </w:t>
            </w:r>
          </w:p>
        </w:tc>
      </w:tr>
      <w:tr w:rsidR="00AD0723" w:rsidRPr="006C4B43" w:rsidTr="006D3597">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 xml:space="preserve">4. </w:t>
            </w:r>
          </w:p>
        </w:tc>
        <w:tc>
          <w:tcPr>
            <w:tcW w:w="3970"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Rozliczenie różnic inwentaryzacyjnych 2016</w:t>
            </w:r>
            <w:r>
              <w:rPr>
                <w:color w:val="000000"/>
                <w:sz w:val="16"/>
                <w:szCs w:val="16"/>
              </w:rPr>
              <w:t xml:space="preserve"> r.</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45    </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45    </w:t>
            </w:r>
          </w:p>
        </w:tc>
      </w:tr>
      <w:tr w:rsidR="00AD0723" w:rsidRPr="006C4B43" w:rsidTr="006D3597">
        <w:trPr>
          <w:trHeight w:val="300"/>
        </w:trPr>
        <w:tc>
          <w:tcPr>
            <w:tcW w:w="420" w:type="dxa"/>
            <w:tcBorders>
              <w:top w:val="nil"/>
              <w:left w:val="single" w:sz="4" w:space="0" w:color="auto"/>
              <w:bottom w:val="double" w:sz="6"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 xml:space="preserve">5. </w:t>
            </w:r>
          </w:p>
        </w:tc>
        <w:tc>
          <w:tcPr>
            <w:tcW w:w="3970" w:type="dxa"/>
            <w:tcBorders>
              <w:top w:val="nil"/>
              <w:left w:val="nil"/>
              <w:bottom w:val="double" w:sz="6"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Amortyzacja przedmiotu leasingu dot.2016 r.</w:t>
            </w:r>
          </w:p>
        </w:tc>
        <w:tc>
          <w:tcPr>
            <w:tcW w:w="1275" w:type="dxa"/>
            <w:tcBorders>
              <w:top w:val="nil"/>
              <w:left w:val="nil"/>
              <w:bottom w:val="double" w:sz="6"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993" w:type="dxa"/>
            <w:tcBorders>
              <w:top w:val="nil"/>
              <w:left w:val="nil"/>
              <w:bottom w:val="double" w:sz="6"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86    </w:t>
            </w:r>
          </w:p>
        </w:tc>
        <w:tc>
          <w:tcPr>
            <w:tcW w:w="1275" w:type="dxa"/>
            <w:tcBorders>
              <w:top w:val="nil"/>
              <w:left w:val="nil"/>
              <w:bottom w:val="double" w:sz="6"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      </w:t>
            </w:r>
          </w:p>
        </w:tc>
        <w:tc>
          <w:tcPr>
            <w:tcW w:w="1276" w:type="dxa"/>
            <w:tcBorders>
              <w:top w:val="nil"/>
              <w:left w:val="nil"/>
              <w:bottom w:val="double" w:sz="6"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86    </w:t>
            </w:r>
          </w:p>
        </w:tc>
      </w:tr>
      <w:tr w:rsidR="00AD0723" w:rsidRPr="006C4B43" w:rsidTr="006D3597">
        <w:trPr>
          <w:trHeight w:val="300"/>
        </w:trPr>
        <w:tc>
          <w:tcPr>
            <w:tcW w:w="420" w:type="dxa"/>
            <w:tcBorders>
              <w:top w:val="nil"/>
              <w:left w:val="nil"/>
              <w:bottom w:val="nil"/>
              <w:right w:val="nil"/>
            </w:tcBorders>
            <w:shd w:val="clear" w:color="auto" w:fill="auto"/>
            <w:noWrap/>
            <w:vAlign w:val="bottom"/>
            <w:hideMark/>
          </w:tcPr>
          <w:p w:rsidR="00AD0723" w:rsidRPr="00DF6479" w:rsidRDefault="00AD0723" w:rsidP="006D3597">
            <w:pPr>
              <w:rPr>
                <w:color w:val="000000"/>
                <w:sz w:val="16"/>
                <w:szCs w:val="16"/>
              </w:rPr>
            </w:pPr>
          </w:p>
        </w:tc>
        <w:tc>
          <w:tcPr>
            <w:tcW w:w="3970" w:type="dxa"/>
            <w:tcBorders>
              <w:top w:val="nil"/>
              <w:left w:val="nil"/>
              <w:bottom w:val="nil"/>
              <w:right w:val="nil"/>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Razem strata z lat ubiegłych:</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center"/>
              <w:rPr>
                <w:color w:val="000000"/>
                <w:sz w:val="16"/>
                <w:szCs w:val="16"/>
              </w:rPr>
            </w:pPr>
            <w:r w:rsidRPr="00DF6479">
              <w:rPr>
                <w:color w:val="000000"/>
                <w:sz w:val="16"/>
                <w:szCs w:val="16"/>
              </w:rPr>
              <w:t>499</w:t>
            </w:r>
          </w:p>
        </w:tc>
        <w:tc>
          <w:tcPr>
            <w:tcW w:w="993"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1 472    </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453    </w:t>
            </w:r>
          </w:p>
        </w:tc>
        <w:tc>
          <w:tcPr>
            <w:tcW w:w="1276"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color w:val="000000"/>
                <w:sz w:val="16"/>
                <w:szCs w:val="16"/>
              </w:rPr>
            </w:pPr>
            <w:r w:rsidRPr="00DF6479">
              <w:rPr>
                <w:color w:val="000000"/>
                <w:sz w:val="16"/>
                <w:szCs w:val="16"/>
              </w:rPr>
              <w:t xml:space="preserve">        1 518    </w:t>
            </w:r>
          </w:p>
        </w:tc>
      </w:tr>
      <w:tr w:rsidR="00AD0723" w:rsidRPr="006C4B43" w:rsidTr="006D3597">
        <w:trPr>
          <w:trHeight w:val="288"/>
        </w:trPr>
        <w:tc>
          <w:tcPr>
            <w:tcW w:w="420" w:type="dxa"/>
            <w:tcBorders>
              <w:top w:val="nil"/>
              <w:left w:val="nil"/>
              <w:bottom w:val="nil"/>
              <w:right w:val="nil"/>
            </w:tcBorders>
            <w:shd w:val="clear" w:color="auto" w:fill="auto"/>
            <w:noWrap/>
            <w:vAlign w:val="bottom"/>
            <w:hideMark/>
          </w:tcPr>
          <w:p w:rsidR="00AD0723" w:rsidRPr="00DF6479" w:rsidRDefault="00AD0723" w:rsidP="006D3597">
            <w:pPr>
              <w:rPr>
                <w:color w:val="000000"/>
                <w:sz w:val="16"/>
                <w:szCs w:val="16"/>
              </w:rPr>
            </w:pPr>
          </w:p>
        </w:tc>
        <w:tc>
          <w:tcPr>
            <w:tcW w:w="397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75"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color w:val="000000"/>
                <w:sz w:val="16"/>
                <w:szCs w:val="16"/>
              </w:rPr>
            </w:pPr>
            <w:r w:rsidRPr="00DF6479">
              <w:rPr>
                <w:color w:val="000000"/>
                <w:sz w:val="16"/>
                <w:szCs w:val="16"/>
              </w:rPr>
              <w:t>w tym:</w:t>
            </w: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b/>
                <w:bCs/>
                <w:color w:val="000000"/>
                <w:sz w:val="16"/>
                <w:szCs w:val="16"/>
              </w:rPr>
            </w:pPr>
            <w:r w:rsidRPr="00DF6479">
              <w:rPr>
                <w:b/>
                <w:bCs/>
                <w:color w:val="000000"/>
                <w:sz w:val="16"/>
                <w:szCs w:val="16"/>
              </w:rPr>
              <w:t xml:space="preserve"> Rok 2015 </w:t>
            </w:r>
          </w:p>
        </w:tc>
        <w:tc>
          <w:tcPr>
            <w:tcW w:w="1276"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 xml:space="preserve">   499</w:t>
            </w:r>
          </w:p>
        </w:tc>
      </w:tr>
      <w:tr w:rsidR="00AD0723" w:rsidRPr="006C4B43" w:rsidTr="006D3597">
        <w:trPr>
          <w:trHeight w:val="288"/>
        </w:trPr>
        <w:tc>
          <w:tcPr>
            <w:tcW w:w="420" w:type="dxa"/>
            <w:tcBorders>
              <w:top w:val="nil"/>
              <w:left w:val="nil"/>
              <w:bottom w:val="nil"/>
              <w:right w:val="nil"/>
            </w:tcBorders>
            <w:shd w:val="clear" w:color="auto" w:fill="auto"/>
            <w:noWrap/>
            <w:vAlign w:val="bottom"/>
            <w:hideMark/>
          </w:tcPr>
          <w:p w:rsidR="00AD0723" w:rsidRPr="00DF6479" w:rsidRDefault="00AD0723" w:rsidP="006D3597">
            <w:pPr>
              <w:rPr>
                <w:b/>
                <w:bCs/>
                <w:color w:val="000000"/>
                <w:sz w:val="16"/>
                <w:szCs w:val="16"/>
              </w:rPr>
            </w:pPr>
          </w:p>
        </w:tc>
        <w:tc>
          <w:tcPr>
            <w:tcW w:w="3970"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1275" w:type="dxa"/>
            <w:tcBorders>
              <w:top w:val="nil"/>
              <w:left w:val="nil"/>
              <w:bottom w:val="nil"/>
              <w:right w:val="nil"/>
            </w:tcBorders>
            <w:shd w:val="clear" w:color="auto" w:fill="auto"/>
            <w:noWrap/>
            <w:vAlign w:val="bottom"/>
            <w:hideMark/>
          </w:tcPr>
          <w:p w:rsidR="00AD0723" w:rsidRPr="00DF6479" w:rsidRDefault="00AD0723" w:rsidP="006D3597">
            <w:pPr>
              <w:rPr>
                <w:szCs w:val="20"/>
              </w:rPr>
            </w:pPr>
          </w:p>
        </w:tc>
        <w:tc>
          <w:tcPr>
            <w:tcW w:w="993" w:type="dxa"/>
            <w:vMerge/>
            <w:tcBorders>
              <w:top w:val="nil"/>
              <w:left w:val="single" w:sz="4" w:space="0" w:color="auto"/>
              <w:bottom w:val="single" w:sz="4" w:space="0" w:color="auto"/>
              <w:right w:val="single" w:sz="4" w:space="0" w:color="auto"/>
            </w:tcBorders>
            <w:vAlign w:val="center"/>
            <w:hideMark/>
          </w:tcPr>
          <w:p w:rsidR="00AD0723" w:rsidRPr="00DF6479" w:rsidRDefault="00AD0723" w:rsidP="006D3597">
            <w:pPr>
              <w:rPr>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rsidR="00AD0723" w:rsidRPr="00DF6479" w:rsidRDefault="00AD0723" w:rsidP="006D3597">
            <w:pPr>
              <w:rPr>
                <w:b/>
                <w:bCs/>
                <w:color w:val="000000"/>
                <w:sz w:val="16"/>
                <w:szCs w:val="16"/>
              </w:rPr>
            </w:pPr>
            <w:r w:rsidRPr="00DF6479">
              <w:rPr>
                <w:b/>
                <w:bCs/>
                <w:color w:val="000000"/>
                <w:sz w:val="16"/>
                <w:szCs w:val="16"/>
              </w:rPr>
              <w:t xml:space="preserve"> Rok 2016 </w:t>
            </w:r>
          </w:p>
        </w:tc>
        <w:tc>
          <w:tcPr>
            <w:tcW w:w="1276" w:type="dxa"/>
            <w:tcBorders>
              <w:top w:val="nil"/>
              <w:left w:val="nil"/>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 xml:space="preserve"> 1 019</w:t>
            </w:r>
          </w:p>
        </w:tc>
      </w:tr>
    </w:tbl>
    <w:p w:rsidR="00AD0723" w:rsidRPr="00DF6479" w:rsidRDefault="00AD0723" w:rsidP="00AD0723">
      <w:pPr>
        <w:pStyle w:val="Akapitzlist"/>
        <w:ind w:left="0"/>
        <w:rPr>
          <w:rFonts w:cs="Tahoma"/>
          <w:b/>
          <w:sz w:val="22"/>
          <w:szCs w:val="22"/>
        </w:rPr>
      </w:pPr>
    </w:p>
    <w:p w:rsidR="00AD0723" w:rsidRPr="00DF6479" w:rsidRDefault="00AD0723" w:rsidP="00AD0723">
      <w:pPr>
        <w:pStyle w:val="Akapitzlist"/>
        <w:ind w:left="0"/>
        <w:rPr>
          <w:rFonts w:cs="Tahoma"/>
          <w:szCs w:val="22"/>
        </w:rPr>
      </w:pPr>
      <w:r w:rsidRPr="00DF6479">
        <w:rPr>
          <w:rFonts w:cs="Tahoma"/>
          <w:szCs w:val="22"/>
        </w:rPr>
        <w:t>Korekty te spowodowały zmiany w danych porównawczych za rok 2016, zarówno po stronie wyniku finansowego, jak i bilansu.</w:t>
      </w:r>
    </w:p>
    <w:p w:rsidR="00AD0723" w:rsidRPr="00DF6479" w:rsidRDefault="00AD0723" w:rsidP="00AD0723">
      <w:pPr>
        <w:pStyle w:val="Akapitzlist"/>
        <w:ind w:left="0"/>
        <w:rPr>
          <w:rFonts w:cs="Tahoma"/>
          <w:sz w:val="22"/>
          <w:szCs w:val="22"/>
        </w:rPr>
      </w:pPr>
    </w:p>
    <w:p w:rsidR="00AD0723" w:rsidRPr="00DF6479" w:rsidRDefault="00AD0723" w:rsidP="00AD0723">
      <w:pPr>
        <w:pStyle w:val="Akapitzlist"/>
        <w:spacing w:line="360" w:lineRule="auto"/>
        <w:ind w:left="0"/>
        <w:rPr>
          <w:rFonts w:cs="Tahoma"/>
          <w:szCs w:val="22"/>
        </w:rPr>
      </w:pPr>
      <w:r w:rsidRPr="00DF6479">
        <w:rPr>
          <w:rFonts w:cs="Tahoma"/>
          <w:b/>
          <w:szCs w:val="22"/>
        </w:rPr>
        <w:t>Zmiany porównawczych danych bilansowych</w:t>
      </w:r>
      <w:r w:rsidRPr="00DF6479">
        <w:rPr>
          <w:rFonts w:cs="Tahoma"/>
          <w:szCs w:val="22"/>
        </w:rPr>
        <w:t>.</w:t>
      </w:r>
    </w:p>
    <w:tbl>
      <w:tblPr>
        <w:tblW w:w="9209" w:type="dxa"/>
        <w:tblCellMar>
          <w:left w:w="70" w:type="dxa"/>
          <w:right w:w="70" w:type="dxa"/>
        </w:tblCellMar>
        <w:tblLook w:val="04A0" w:firstRow="1" w:lastRow="0" w:firstColumn="1" w:lastColumn="0" w:noHBand="0" w:noVBand="1"/>
      </w:tblPr>
      <w:tblGrid>
        <w:gridCol w:w="612"/>
        <w:gridCol w:w="4017"/>
        <w:gridCol w:w="1603"/>
        <w:gridCol w:w="1418"/>
        <w:gridCol w:w="1559"/>
      </w:tblGrid>
      <w:tr w:rsidR="00AD0723" w:rsidRPr="006C4B43" w:rsidTr="006D3597">
        <w:trPr>
          <w:trHeight w:val="612"/>
        </w:trPr>
        <w:tc>
          <w:tcPr>
            <w:tcW w:w="612"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D0723" w:rsidRPr="00DF6479" w:rsidRDefault="00AD0723" w:rsidP="006D3597">
            <w:pPr>
              <w:spacing w:line="360" w:lineRule="auto"/>
              <w:jc w:val="center"/>
              <w:rPr>
                <w:b/>
                <w:bCs/>
                <w:sz w:val="16"/>
                <w:szCs w:val="16"/>
              </w:rPr>
            </w:pPr>
            <w:r w:rsidRPr="00DF6479">
              <w:rPr>
                <w:b/>
                <w:bCs/>
                <w:sz w:val="16"/>
                <w:szCs w:val="16"/>
              </w:rPr>
              <w:t>Poz.</w:t>
            </w:r>
          </w:p>
        </w:tc>
        <w:tc>
          <w:tcPr>
            <w:tcW w:w="4017" w:type="dxa"/>
            <w:tcBorders>
              <w:top w:val="single" w:sz="4" w:space="0" w:color="auto"/>
              <w:left w:val="single" w:sz="4" w:space="0" w:color="FFCC99"/>
              <w:bottom w:val="single" w:sz="4" w:space="0" w:color="auto"/>
              <w:right w:val="single" w:sz="4" w:space="0" w:color="auto"/>
            </w:tcBorders>
            <w:shd w:val="clear" w:color="000000" w:fill="E7E6E6"/>
            <w:vAlign w:val="center"/>
            <w:hideMark/>
          </w:tcPr>
          <w:p w:rsidR="00AD0723" w:rsidRPr="00DF6479" w:rsidRDefault="00AD0723" w:rsidP="006D3597">
            <w:pPr>
              <w:spacing w:line="360" w:lineRule="auto"/>
              <w:jc w:val="center"/>
              <w:rPr>
                <w:b/>
                <w:bCs/>
                <w:sz w:val="16"/>
                <w:szCs w:val="16"/>
              </w:rPr>
            </w:pPr>
            <w:r w:rsidRPr="00DF6479">
              <w:rPr>
                <w:b/>
                <w:bCs/>
                <w:sz w:val="16"/>
                <w:szCs w:val="16"/>
              </w:rPr>
              <w:t>Wyszczególnienie</w:t>
            </w:r>
          </w:p>
        </w:tc>
        <w:tc>
          <w:tcPr>
            <w:tcW w:w="1603" w:type="dxa"/>
            <w:tcBorders>
              <w:top w:val="single" w:sz="4" w:space="0" w:color="auto"/>
              <w:left w:val="single" w:sz="4" w:space="0" w:color="FFCC99"/>
              <w:bottom w:val="single" w:sz="4" w:space="0" w:color="auto"/>
              <w:right w:val="single" w:sz="4" w:space="0" w:color="auto"/>
            </w:tcBorders>
            <w:shd w:val="clear" w:color="000000" w:fill="E7E6E6"/>
            <w:vAlign w:val="center"/>
            <w:hideMark/>
          </w:tcPr>
          <w:p w:rsidR="00AD0723" w:rsidRPr="00DF6479" w:rsidRDefault="00AD0723" w:rsidP="006D3597">
            <w:pPr>
              <w:spacing w:line="360" w:lineRule="auto"/>
              <w:jc w:val="center"/>
              <w:rPr>
                <w:b/>
                <w:bCs/>
                <w:sz w:val="16"/>
                <w:szCs w:val="16"/>
              </w:rPr>
            </w:pPr>
            <w:r w:rsidRPr="00DF6479">
              <w:rPr>
                <w:b/>
                <w:bCs/>
                <w:sz w:val="16"/>
                <w:szCs w:val="16"/>
              </w:rPr>
              <w:t>Dane 2016 opublikowane</w:t>
            </w:r>
          </w:p>
        </w:tc>
        <w:tc>
          <w:tcPr>
            <w:tcW w:w="1418" w:type="dxa"/>
            <w:tcBorders>
              <w:top w:val="single" w:sz="4" w:space="0" w:color="auto"/>
              <w:left w:val="single" w:sz="4" w:space="0" w:color="FFCC99"/>
              <w:bottom w:val="single" w:sz="4" w:space="0" w:color="auto"/>
              <w:right w:val="single" w:sz="4" w:space="0" w:color="auto"/>
            </w:tcBorders>
            <w:shd w:val="clear" w:color="000000" w:fill="E7E6E6"/>
            <w:vAlign w:val="center"/>
            <w:hideMark/>
          </w:tcPr>
          <w:p w:rsidR="00AD0723" w:rsidRPr="00DF6479" w:rsidRDefault="00AD0723" w:rsidP="006D3597">
            <w:pPr>
              <w:spacing w:line="360" w:lineRule="auto"/>
              <w:jc w:val="center"/>
              <w:rPr>
                <w:b/>
                <w:bCs/>
                <w:sz w:val="16"/>
                <w:szCs w:val="16"/>
              </w:rPr>
            </w:pPr>
            <w:r w:rsidRPr="00DF6479">
              <w:rPr>
                <w:b/>
                <w:bCs/>
                <w:sz w:val="16"/>
                <w:szCs w:val="16"/>
              </w:rPr>
              <w:t>Dane 2016 przekształcone</w:t>
            </w:r>
          </w:p>
        </w:tc>
        <w:tc>
          <w:tcPr>
            <w:tcW w:w="1559" w:type="dxa"/>
            <w:tcBorders>
              <w:top w:val="single" w:sz="4" w:space="0" w:color="auto"/>
              <w:left w:val="single" w:sz="4" w:space="0" w:color="FFCC99"/>
              <w:bottom w:val="single" w:sz="4" w:space="0" w:color="auto"/>
              <w:right w:val="single" w:sz="4" w:space="0" w:color="auto"/>
            </w:tcBorders>
            <w:shd w:val="clear" w:color="000000" w:fill="E7E6E6"/>
            <w:vAlign w:val="center"/>
            <w:hideMark/>
          </w:tcPr>
          <w:p w:rsidR="00AD0723" w:rsidRPr="00DF6479" w:rsidRDefault="00AD0723" w:rsidP="006D3597">
            <w:pPr>
              <w:spacing w:line="360" w:lineRule="auto"/>
              <w:jc w:val="center"/>
              <w:rPr>
                <w:b/>
                <w:bCs/>
                <w:sz w:val="16"/>
                <w:szCs w:val="16"/>
              </w:rPr>
            </w:pPr>
            <w:r w:rsidRPr="00DF6479">
              <w:rPr>
                <w:b/>
                <w:bCs/>
                <w:sz w:val="16"/>
                <w:szCs w:val="16"/>
              </w:rPr>
              <w:t>Różnica (4-3)</w:t>
            </w:r>
          </w:p>
        </w:tc>
      </w:tr>
      <w:tr w:rsidR="00AD0723" w:rsidRPr="006C4B43" w:rsidTr="006D3597">
        <w:trPr>
          <w:trHeight w:val="19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1</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5</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b/>
                <w:bCs/>
                <w:sz w:val="16"/>
                <w:szCs w:val="16"/>
              </w:rPr>
            </w:pPr>
            <w:r w:rsidRPr="00DF6479">
              <w:rPr>
                <w:rFonts w:cs="Times New Roman CE"/>
                <w:b/>
                <w:bCs/>
                <w:sz w:val="16"/>
                <w:szCs w:val="16"/>
              </w:rPr>
              <w:t>A</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b/>
                <w:bCs/>
                <w:sz w:val="16"/>
                <w:szCs w:val="16"/>
              </w:rPr>
            </w:pPr>
            <w:r w:rsidRPr="00DF6479">
              <w:rPr>
                <w:rFonts w:cs="Times New Roman CE"/>
                <w:b/>
                <w:bCs/>
                <w:sz w:val="16"/>
                <w:szCs w:val="16"/>
              </w:rPr>
              <w:t>AKTYWA TRWAŁE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74 927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74 841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86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sz w:val="16"/>
                <w:szCs w:val="16"/>
              </w:rPr>
            </w:pPr>
            <w:r w:rsidRPr="00DF6479">
              <w:rPr>
                <w:rFonts w:cs="Times New Roman CE"/>
                <w:sz w:val="16"/>
                <w:szCs w:val="16"/>
              </w:rPr>
              <w:t>c</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sz w:val="16"/>
                <w:szCs w:val="16"/>
              </w:rPr>
            </w:pPr>
            <w:r w:rsidRPr="00DF6479">
              <w:rPr>
                <w:rFonts w:cs="Times New Roman CE"/>
                <w:sz w:val="16"/>
                <w:szCs w:val="16"/>
              </w:rPr>
              <w:t>urządzenia techniczne i maszyny</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sz w:val="16"/>
                <w:szCs w:val="16"/>
              </w:rPr>
            </w:pPr>
            <w:r w:rsidRPr="00DF6479">
              <w:rPr>
                <w:rFonts w:cs="Times New Roman CE"/>
                <w:sz w:val="16"/>
                <w:szCs w:val="16"/>
              </w:rPr>
              <w:t xml:space="preserve">          30 493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sz w:val="16"/>
                <w:szCs w:val="16"/>
              </w:rPr>
            </w:pPr>
            <w:r w:rsidRPr="00DF6479">
              <w:rPr>
                <w:rFonts w:cs="Times New Roman CE"/>
                <w:sz w:val="16"/>
                <w:szCs w:val="16"/>
              </w:rPr>
              <w:t xml:space="preserve">          30 407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color w:val="000000"/>
                <w:sz w:val="16"/>
                <w:szCs w:val="16"/>
              </w:rPr>
            </w:pPr>
            <w:r w:rsidRPr="00DF6479">
              <w:rPr>
                <w:color w:val="000000"/>
                <w:sz w:val="16"/>
                <w:szCs w:val="16"/>
              </w:rPr>
              <w:t xml:space="preserve">-               86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b/>
                <w:bCs/>
                <w:sz w:val="16"/>
                <w:szCs w:val="16"/>
              </w:rPr>
            </w:pPr>
            <w:r w:rsidRPr="00DF6479">
              <w:rPr>
                <w:rFonts w:cs="Times New Roman CE"/>
                <w:b/>
                <w:bCs/>
                <w:sz w:val="16"/>
                <w:szCs w:val="16"/>
              </w:rPr>
              <w:t>B</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b/>
                <w:bCs/>
                <w:sz w:val="16"/>
                <w:szCs w:val="16"/>
              </w:rPr>
            </w:pPr>
            <w:r w:rsidRPr="00DF6479">
              <w:rPr>
                <w:rFonts w:cs="Times New Roman CE"/>
                <w:b/>
                <w:bCs/>
                <w:sz w:val="16"/>
                <w:szCs w:val="16"/>
              </w:rPr>
              <w:t>AKTYWA OBROTOWE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42 610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41 709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901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b/>
                <w:bCs/>
                <w:sz w:val="16"/>
                <w:szCs w:val="16"/>
              </w:rPr>
            </w:pPr>
            <w:r w:rsidRPr="00DF6479">
              <w:rPr>
                <w:rFonts w:cs="Times New Roman CE"/>
                <w:b/>
                <w:bCs/>
                <w:sz w:val="16"/>
                <w:szCs w:val="16"/>
              </w:rPr>
              <w:t>II</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b/>
                <w:bCs/>
                <w:sz w:val="16"/>
                <w:szCs w:val="16"/>
              </w:rPr>
            </w:pPr>
            <w:r w:rsidRPr="00DF6479">
              <w:rPr>
                <w:rFonts w:cs="Times New Roman CE"/>
                <w:b/>
                <w:bCs/>
                <w:sz w:val="16"/>
                <w:szCs w:val="16"/>
              </w:rPr>
              <w:t>Należności krótkoterminowe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23 322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22 777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545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b/>
                <w:bCs/>
                <w:sz w:val="16"/>
                <w:szCs w:val="16"/>
              </w:rPr>
            </w:pPr>
            <w:r w:rsidRPr="00DF6479">
              <w:rPr>
                <w:rFonts w:cs="Times New Roman CE"/>
                <w:b/>
                <w:bCs/>
                <w:sz w:val="16"/>
                <w:szCs w:val="16"/>
              </w:rPr>
              <w:t>3</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b/>
                <w:bCs/>
                <w:sz w:val="16"/>
                <w:szCs w:val="16"/>
              </w:rPr>
            </w:pPr>
            <w:r w:rsidRPr="00DF6479">
              <w:rPr>
                <w:rFonts w:cs="Times New Roman CE"/>
                <w:b/>
                <w:bCs/>
                <w:sz w:val="16"/>
                <w:szCs w:val="16"/>
              </w:rPr>
              <w:t>Należności od pozostałych jednostek</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23 322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22 777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color w:val="000000"/>
                <w:sz w:val="16"/>
                <w:szCs w:val="16"/>
              </w:rPr>
            </w:pPr>
            <w:r w:rsidRPr="00DF6479">
              <w:rPr>
                <w:color w:val="000000"/>
                <w:sz w:val="16"/>
                <w:szCs w:val="16"/>
              </w:rPr>
              <w:t xml:space="preserve">-            545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rFonts w:cs="Times New Roman CE"/>
                <w:b/>
                <w:bCs/>
                <w:sz w:val="16"/>
                <w:szCs w:val="16"/>
              </w:rPr>
            </w:pPr>
            <w:r w:rsidRPr="00DF6479">
              <w:rPr>
                <w:rFonts w:cs="Times New Roman CE"/>
                <w:b/>
                <w:bCs/>
                <w:sz w:val="16"/>
                <w:szCs w:val="16"/>
              </w:rPr>
              <w:t>IV</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rFonts w:cs="Times New Roman CE"/>
                <w:b/>
                <w:bCs/>
                <w:sz w:val="16"/>
                <w:szCs w:val="16"/>
              </w:rPr>
            </w:pPr>
            <w:r w:rsidRPr="00DF6479">
              <w:rPr>
                <w:rFonts w:cs="Times New Roman CE"/>
                <w:b/>
                <w:bCs/>
                <w:sz w:val="16"/>
                <w:szCs w:val="16"/>
              </w:rPr>
              <w:t>Krótkoterminowe rozliczenia międzyokresowe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518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162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356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AD0723" w:rsidRPr="00DF6479" w:rsidRDefault="00AD0723" w:rsidP="006D3597">
            <w:pPr>
              <w:jc w:val="center"/>
              <w:rPr>
                <w:b/>
                <w:bCs/>
                <w:sz w:val="16"/>
                <w:szCs w:val="16"/>
              </w:rPr>
            </w:pPr>
            <w:r w:rsidRPr="00DF6479">
              <w:rPr>
                <w:b/>
                <w:bCs/>
                <w:sz w:val="16"/>
                <w:szCs w:val="16"/>
              </w:rPr>
              <w:t> </w:t>
            </w:r>
          </w:p>
        </w:tc>
        <w:tc>
          <w:tcPr>
            <w:tcW w:w="401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AD0723" w:rsidRPr="00DF6479" w:rsidRDefault="00AD0723" w:rsidP="006D3597">
            <w:pPr>
              <w:rPr>
                <w:rFonts w:cs="Times New Roman CE"/>
                <w:b/>
                <w:bCs/>
                <w:sz w:val="16"/>
                <w:szCs w:val="16"/>
              </w:rPr>
            </w:pPr>
            <w:r w:rsidRPr="00DF6479">
              <w:rPr>
                <w:rFonts w:cs="Times New Roman CE"/>
                <w:b/>
                <w:bCs/>
                <w:sz w:val="16"/>
                <w:szCs w:val="16"/>
              </w:rPr>
              <w:t xml:space="preserve"> AKTYWA RAZEM</w:t>
            </w:r>
          </w:p>
        </w:tc>
        <w:tc>
          <w:tcPr>
            <w:tcW w:w="1603"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117 536    </w:t>
            </w:r>
          </w:p>
        </w:tc>
        <w:tc>
          <w:tcPr>
            <w:tcW w:w="1418"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116 549    </w:t>
            </w:r>
          </w:p>
        </w:tc>
        <w:tc>
          <w:tcPr>
            <w:tcW w:w="1559"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AD0723" w:rsidRPr="00DF6479" w:rsidRDefault="00AD0723" w:rsidP="006D3597">
            <w:pPr>
              <w:jc w:val="right"/>
              <w:rPr>
                <w:rFonts w:cs="Times New Roman CE"/>
                <w:b/>
                <w:bCs/>
                <w:sz w:val="16"/>
                <w:szCs w:val="16"/>
              </w:rPr>
            </w:pPr>
            <w:r w:rsidRPr="00DF6479">
              <w:rPr>
                <w:rFonts w:cs="Times New Roman CE"/>
                <w:b/>
                <w:bCs/>
                <w:sz w:val="16"/>
                <w:szCs w:val="16"/>
              </w:rPr>
              <w:t xml:space="preserve">-            987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sz w:val="16"/>
                <w:szCs w:val="16"/>
              </w:rPr>
            </w:pPr>
            <w:r w:rsidRPr="00DF6479">
              <w:rPr>
                <w:b/>
                <w:bCs/>
                <w:sz w:val="16"/>
                <w:szCs w:val="16"/>
              </w:rPr>
              <w:t>A</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b/>
                <w:bCs/>
                <w:sz w:val="16"/>
                <w:szCs w:val="16"/>
              </w:rPr>
            </w:pPr>
            <w:r w:rsidRPr="00DF6479">
              <w:rPr>
                <w:b/>
                <w:bCs/>
                <w:sz w:val="16"/>
                <w:szCs w:val="16"/>
              </w:rPr>
              <w:t>KAPITAŁ (FUNDUSZ) WŁASNY</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47 723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46 205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1 518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sz w:val="16"/>
                <w:szCs w:val="16"/>
              </w:rPr>
            </w:pPr>
            <w:r w:rsidRPr="00DF6479">
              <w:rPr>
                <w:b/>
                <w:bCs/>
                <w:sz w:val="16"/>
                <w:szCs w:val="16"/>
              </w:rPr>
              <w:t>V</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b/>
                <w:bCs/>
                <w:sz w:val="16"/>
                <w:szCs w:val="16"/>
              </w:rPr>
            </w:pPr>
            <w:r w:rsidRPr="00DF6479">
              <w:rPr>
                <w:b/>
                <w:bCs/>
                <w:sz w:val="16"/>
                <w:szCs w:val="16"/>
              </w:rPr>
              <w:t>Zysk (strata) z lat ubiegłych</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499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color w:val="000000"/>
                <w:sz w:val="16"/>
                <w:szCs w:val="16"/>
              </w:rPr>
            </w:pPr>
            <w:r w:rsidRPr="00DF6479">
              <w:rPr>
                <w:color w:val="000000"/>
                <w:sz w:val="16"/>
                <w:szCs w:val="16"/>
              </w:rPr>
              <w:t xml:space="preserve">-            499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sz w:val="16"/>
                <w:szCs w:val="16"/>
              </w:rPr>
            </w:pPr>
            <w:r w:rsidRPr="00DF6479">
              <w:rPr>
                <w:b/>
                <w:bCs/>
                <w:sz w:val="16"/>
                <w:szCs w:val="16"/>
              </w:rPr>
              <w:t>VI</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b/>
                <w:bCs/>
                <w:sz w:val="16"/>
                <w:szCs w:val="16"/>
              </w:rPr>
            </w:pPr>
            <w:r w:rsidRPr="00DF6479">
              <w:rPr>
                <w:b/>
                <w:bCs/>
                <w:sz w:val="16"/>
                <w:szCs w:val="16"/>
              </w:rPr>
              <w:t>Zysk (strata) netto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3 681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2 662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color w:val="000000"/>
                <w:sz w:val="16"/>
                <w:szCs w:val="16"/>
              </w:rPr>
            </w:pPr>
            <w:r w:rsidRPr="00DF6479">
              <w:rPr>
                <w:color w:val="000000"/>
                <w:sz w:val="16"/>
                <w:szCs w:val="16"/>
              </w:rPr>
              <w:t xml:space="preserve">-         1 019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sz w:val="16"/>
                <w:szCs w:val="16"/>
              </w:rPr>
            </w:pPr>
            <w:r w:rsidRPr="00DF6479">
              <w:rPr>
                <w:b/>
                <w:bCs/>
                <w:sz w:val="16"/>
                <w:szCs w:val="16"/>
              </w:rPr>
              <w:t>B</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b/>
                <w:bCs/>
                <w:sz w:val="16"/>
                <w:szCs w:val="16"/>
              </w:rPr>
            </w:pPr>
            <w:r w:rsidRPr="00DF6479">
              <w:rPr>
                <w:b/>
                <w:bCs/>
                <w:sz w:val="16"/>
                <w:szCs w:val="16"/>
              </w:rPr>
              <w:t>ZOBOWIĄZANIA I REZERWY NA ZOBOWIĄZANIA</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69 813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70 344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531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23" w:rsidRPr="00DF6479" w:rsidRDefault="00AD0723" w:rsidP="006D3597">
            <w:pPr>
              <w:jc w:val="center"/>
              <w:rPr>
                <w:b/>
                <w:bCs/>
                <w:sz w:val="16"/>
                <w:szCs w:val="16"/>
              </w:rPr>
            </w:pPr>
            <w:r w:rsidRPr="00DF6479">
              <w:rPr>
                <w:b/>
                <w:bCs/>
                <w:sz w:val="16"/>
                <w:szCs w:val="16"/>
              </w:rPr>
              <w:t>IV</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rPr>
                <w:b/>
                <w:bCs/>
                <w:sz w:val="16"/>
                <w:szCs w:val="16"/>
              </w:rPr>
            </w:pPr>
            <w:r w:rsidRPr="00DF6479">
              <w:rPr>
                <w:b/>
                <w:bCs/>
                <w:sz w:val="16"/>
                <w:szCs w:val="16"/>
              </w:rPr>
              <w:t>Rozliczenia międzyokresowe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4 161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0723" w:rsidRPr="00DF6479" w:rsidRDefault="00AD0723" w:rsidP="006D3597">
            <w:pPr>
              <w:jc w:val="right"/>
              <w:rPr>
                <w:b/>
                <w:bCs/>
                <w:sz w:val="16"/>
                <w:szCs w:val="16"/>
              </w:rPr>
            </w:pPr>
            <w:r w:rsidRPr="00DF6479">
              <w:rPr>
                <w:b/>
                <w:bCs/>
                <w:sz w:val="16"/>
                <w:szCs w:val="16"/>
              </w:rPr>
              <w:t xml:space="preserve">          4 418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23" w:rsidRPr="00DF6479" w:rsidRDefault="00AD0723" w:rsidP="006D3597">
            <w:pPr>
              <w:jc w:val="right"/>
              <w:rPr>
                <w:b/>
                <w:bCs/>
                <w:color w:val="000000"/>
                <w:sz w:val="16"/>
                <w:szCs w:val="16"/>
              </w:rPr>
            </w:pPr>
            <w:r w:rsidRPr="00DF6479">
              <w:rPr>
                <w:b/>
                <w:bCs/>
                <w:color w:val="000000"/>
                <w:sz w:val="16"/>
                <w:szCs w:val="16"/>
              </w:rPr>
              <w:t xml:space="preserve">              257    </w:t>
            </w:r>
          </w:p>
        </w:tc>
      </w:tr>
      <w:tr w:rsidR="00AD0723" w:rsidRPr="006C4B43" w:rsidTr="006D3597">
        <w:trPr>
          <w:trHeight w:val="288"/>
        </w:trPr>
        <w:tc>
          <w:tcPr>
            <w:tcW w:w="612"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AD0723" w:rsidRPr="00DF6479" w:rsidRDefault="00AD0723" w:rsidP="006D3597">
            <w:pPr>
              <w:jc w:val="center"/>
              <w:rPr>
                <w:b/>
                <w:bCs/>
                <w:sz w:val="16"/>
                <w:szCs w:val="16"/>
              </w:rPr>
            </w:pPr>
            <w:r w:rsidRPr="00DF6479">
              <w:rPr>
                <w:b/>
                <w:bCs/>
                <w:sz w:val="16"/>
                <w:szCs w:val="16"/>
              </w:rPr>
              <w:t> </w:t>
            </w:r>
          </w:p>
        </w:tc>
        <w:tc>
          <w:tcPr>
            <w:tcW w:w="401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D0723" w:rsidRPr="00DF6479" w:rsidRDefault="00AD0723" w:rsidP="006D3597">
            <w:pPr>
              <w:rPr>
                <w:b/>
                <w:bCs/>
                <w:sz w:val="16"/>
                <w:szCs w:val="16"/>
              </w:rPr>
            </w:pPr>
            <w:r w:rsidRPr="00DF6479">
              <w:rPr>
                <w:b/>
                <w:bCs/>
                <w:sz w:val="16"/>
                <w:szCs w:val="16"/>
              </w:rPr>
              <w:t xml:space="preserve">  PASYWA RAZEM </w:t>
            </w:r>
          </w:p>
        </w:tc>
        <w:tc>
          <w:tcPr>
            <w:tcW w:w="160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D0723" w:rsidRPr="00DF6479" w:rsidRDefault="00AD0723" w:rsidP="006D3597">
            <w:pPr>
              <w:jc w:val="right"/>
              <w:rPr>
                <w:b/>
                <w:bCs/>
                <w:sz w:val="16"/>
                <w:szCs w:val="16"/>
              </w:rPr>
            </w:pPr>
            <w:r w:rsidRPr="00DF6479">
              <w:rPr>
                <w:b/>
                <w:bCs/>
                <w:sz w:val="16"/>
                <w:szCs w:val="16"/>
              </w:rPr>
              <w:t xml:space="preserve">      117 536    </w:t>
            </w:r>
          </w:p>
        </w:tc>
        <w:tc>
          <w:tcPr>
            <w:tcW w:w="141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D0723" w:rsidRPr="00DF6479" w:rsidRDefault="00AD0723" w:rsidP="006D3597">
            <w:pPr>
              <w:jc w:val="right"/>
              <w:rPr>
                <w:b/>
                <w:bCs/>
                <w:sz w:val="16"/>
                <w:szCs w:val="16"/>
              </w:rPr>
            </w:pPr>
            <w:r w:rsidRPr="00DF6479">
              <w:rPr>
                <w:b/>
                <w:bCs/>
                <w:sz w:val="16"/>
                <w:szCs w:val="16"/>
              </w:rPr>
              <w:t xml:space="preserve">      116 549    </w:t>
            </w:r>
          </w:p>
        </w:tc>
        <w:tc>
          <w:tcPr>
            <w:tcW w:w="155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D0723" w:rsidRPr="00DF6479" w:rsidRDefault="00AD0723" w:rsidP="006D3597">
            <w:pPr>
              <w:jc w:val="right"/>
              <w:rPr>
                <w:b/>
                <w:bCs/>
                <w:sz w:val="16"/>
                <w:szCs w:val="16"/>
              </w:rPr>
            </w:pPr>
            <w:r w:rsidRPr="00DF6479">
              <w:rPr>
                <w:b/>
                <w:bCs/>
                <w:sz w:val="16"/>
                <w:szCs w:val="16"/>
              </w:rPr>
              <w:t xml:space="preserve">-            987    </w:t>
            </w:r>
          </w:p>
        </w:tc>
      </w:tr>
    </w:tbl>
    <w:p w:rsidR="00AD0723" w:rsidRPr="00DF6479" w:rsidRDefault="00AD0723" w:rsidP="00AD0723">
      <w:pPr>
        <w:pStyle w:val="Akapitzlist"/>
        <w:ind w:left="643"/>
        <w:rPr>
          <w:rFonts w:cs="Tahoma"/>
          <w:sz w:val="22"/>
          <w:szCs w:val="22"/>
        </w:rPr>
      </w:pPr>
    </w:p>
    <w:p w:rsidR="00AD0723" w:rsidRPr="00DF6479" w:rsidRDefault="00AD0723" w:rsidP="00AD0723">
      <w:pPr>
        <w:pStyle w:val="Akapitzlist"/>
        <w:ind w:left="643"/>
        <w:rPr>
          <w:rFonts w:cs="Tahoma"/>
          <w:sz w:val="22"/>
          <w:szCs w:val="22"/>
        </w:rPr>
      </w:pPr>
    </w:p>
    <w:p w:rsidR="00AD0723" w:rsidRPr="00DF6479" w:rsidRDefault="00AD0723" w:rsidP="00AD0723">
      <w:pPr>
        <w:pStyle w:val="Akapitzlist"/>
        <w:spacing w:line="360" w:lineRule="auto"/>
        <w:ind w:left="0"/>
        <w:rPr>
          <w:rFonts w:cs="Tahoma"/>
          <w:szCs w:val="22"/>
        </w:rPr>
      </w:pPr>
      <w:r w:rsidRPr="00DF6479">
        <w:rPr>
          <w:rFonts w:cs="Tahoma"/>
          <w:b/>
          <w:szCs w:val="22"/>
        </w:rPr>
        <w:t>Zmiany porównawczych danych wynikowych</w:t>
      </w:r>
      <w:r w:rsidRPr="00DF6479">
        <w:rPr>
          <w:rFonts w:cs="Tahoma"/>
          <w:szCs w:val="22"/>
        </w:rPr>
        <w: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
        <w:gridCol w:w="4050"/>
        <w:gridCol w:w="1701"/>
        <w:gridCol w:w="1276"/>
        <w:gridCol w:w="1559"/>
      </w:tblGrid>
      <w:tr w:rsidR="00AD0723" w:rsidRPr="006C4B43" w:rsidTr="006D3597">
        <w:trPr>
          <w:trHeight w:val="612"/>
        </w:trPr>
        <w:tc>
          <w:tcPr>
            <w:tcW w:w="618" w:type="dxa"/>
            <w:shd w:val="clear" w:color="auto" w:fill="auto"/>
            <w:vAlign w:val="center"/>
            <w:hideMark/>
          </w:tcPr>
          <w:p w:rsidR="00AD0723" w:rsidRPr="00DF6479" w:rsidRDefault="00AD0723" w:rsidP="006D3597">
            <w:pPr>
              <w:spacing w:line="360" w:lineRule="auto"/>
              <w:jc w:val="center"/>
              <w:rPr>
                <w:b/>
                <w:bCs/>
                <w:color w:val="000000"/>
                <w:sz w:val="16"/>
                <w:szCs w:val="16"/>
              </w:rPr>
            </w:pPr>
            <w:r w:rsidRPr="00DF6479">
              <w:rPr>
                <w:b/>
                <w:bCs/>
                <w:color w:val="000000"/>
                <w:sz w:val="16"/>
                <w:szCs w:val="16"/>
              </w:rPr>
              <w:t>Poz.</w:t>
            </w:r>
          </w:p>
        </w:tc>
        <w:tc>
          <w:tcPr>
            <w:tcW w:w="4050" w:type="dxa"/>
            <w:shd w:val="clear" w:color="auto" w:fill="auto"/>
            <w:vAlign w:val="center"/>
            <w:hideMark/>
          </w:tcPr>
          <w:p w:rsidR="00AD0723" w:rsidRPr="00DF6479" w:rsidRDefault="00AD0723" w:rsidP="006D3597">
            <w:pPr>
              <w:spacing w:line="360" w:lineRule="auto"/>
              <w:rPr>
                <w:b/>
                <w:bCs/>
                <w:color w:val="000000"/>
                <w:sz w:val="16"/>
                <w:szCs w:val="16"/>
              </w:rPr>
            </w:pPr>
            <w:r w:rsidRPr="00DF6479">
              <w:rPr>
                <w:b/>
                <w:bCs/>
                <w:color w:val="000000"/>
                <w:sz w:val="16"/>
                <w:szCs w:val="16"/>
              </w:rPr>
              <w:t>Wyszczególnienie</w:t>
            </w:r>
          </w:p>
        </w:tc>
        <w:tc>
          <w:tcPr>
            <w:tcW w:w="1701" w:type="dxa"/>
            <w:shd w:val="clear" w:color="auto" w:fill="auto"/>
            <w:vAlign w:val="center"/>
            <w:hideMark/>
          </w:tcPr>
          <w:p w:rsidR="00AD0723" w:rsidRPr="00DF6479" w:rsidRDefault="00AD0723" w:rsidP="006D3597">
            <w:pPr>
              <w:spacing w:line="360" w:lineRule="auto"/>
              <w:jc w:val="center"/>
              <w:rPr>
                <w:b/>
                <w:bCs/>
                <w:color w:val="000000"/>
                <w:sz w:val="16"/>
                <w:szCs w:val="16"/>
              </w:rPr>
            </w:pPr>
            <w:r w:rsidRPr="00DF6479">
              <w:rPr>
                <w:b/>
                <w:bCs/>
                <w:color w:val="000000"/>
                <w:sz w:val="16"/>
                <w:szCs w:val="16"/>
              </w:rPr>
              <w:t>Dane 2016 opublikowane</w:t>
            </w:r>
          </w:p>
        </w:tc>
        <w:tc>
          <w:tcPr>
            <w:tcW w:w="1276" w:type="dxa"/>
            <w:shd w:val="clear" w:color="auto" w:fill="auto"/>
            <w:vAlign w:val="center"/>
            <w:hideMark/>
          </w:tcPr>
          <w:p w:rsidR="00AD0723" w:rsidRPr="00DF6479" w:rsidRDefault="00AD0723" w:rsidP="006D3597">
            <w:pPr>
              <w:spacing w:line="360" w:lineRule="auto"/>
              <w:jc w:val="center"/>
              <w:rPr>
                <w:b/>
                <w:bCs/>
                <w:color w:val="000000"/>
                <w:sz w:val="16"/>
                <w:szCs w:val="16"/>
              </w:rPr>
            </w:pPr>
            <w:r w:rsidRPr="00DF6479">
              <w:rPr>
                <w:b/>
                <w:bCs/>
                <w:color w:val="000000"/>
                <w:sz w:val="16"/>
                <w:szCs w:val="16"/>
              </w:rPr>
              <w:t>Dane 2016 porównawcze</w:t>
            </w:r>
          </w:p>
        </w:tc>
        <w:tc>
          <w:tcPr>
            <w:tcW w:w="1559" w:type="dxa"/>
            <w:shd w:val="clear" w:color="auto" w:fill="auto"/>
            <w:vAlign w:val="center"/>
            <w:hideMark/>
          </w:tcPr>
          <w:p w:rsidR="00AD0723" w:rsidRPr="00DF6479" w:rsidRDefault="00AD0723" w:rsidP="006D3597">
            <w:pPr>
              <w:spacing w:line="360" w:lineRule="auto"/>
              <w:jc w:val="center"/>
              <w:rPr>
                <w:b/>
                <w:bCs/>
                <w:color w:val="000000"/>
                <w:sz w:val="16"/>
                <w:szCs w:val="16"/>
              </w:rPr>
            </w:pPr>
            <w:r w:rsidRPr="00DF6479">
              <w:rPr>
                <w:b/>
                <w:bCs/>
                <w:color w:val="000000"/>
                <w:sz w:val="16"/>
                <w:szCs w:val="16"/>
              </w:rPr>
              <w:t>Różnica (4-3)</w:t>
            </w:r>
          </w:p>
        </w:tc>
      </w:tr>
      <w:tr w:rsidR="00AD0723" w:rsidRPr="006C4B43" w:rsidTr="006D3597">
        <w:trPr>
          <w:trHeight w:val="204"/>
        </w:trPr>
        <w:tc>
          <w:tcPr>
            <w:tcW w:w="618"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1</w:t>
            </w:r>
          </w:p>
        </w:tc>
        <w:tc>
          <w:tcPr>
            <w:tcW w:w="4050"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2</w:t>
            </w:r>
          </w:p>
        </w:tc>
        <w:tc>
          <w:tcPr>
            <w:tcW w:w="1701"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3</w:t>
            </w:r>
          </w:p>
        </w:tc>
        <w:tc>
          <w:tcPr>
            <w:tcW w:w="1276"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4</w:t>
            </w:r>
          </w:p>
        </w:tc>
        <w:tc>
          <w:tcPr>
            <w:tcW w:w="1559" w:type="dxa"/>
            <w:shd w:val="clear" w:color="auto" w:fill="auto"/>
            <w:vAlign w:val="center"/>
            <w:hideMark/>
          </w:tcPr>
          <w:p w:rsidR="00AD0723" w:rsidRPr="00DF6479" w:rsidRDefault="00AD0723" w:rsidP="006D3597">
            <w:pPr>
              <w:jc w:val="center"/>
              <w:rPr>
                <w:b/>
                <w:bCs/>
                <w:color w:val="000000"/>
                <w:sz w:val="16"/>
                <w:szCs w:val="16"/>
              </w:rPr>
            </w:pPr>
            <w:r w:rsidRPr="00DF6479">
              <w:rPr>
                <w:b/>
                <w:bCs/>
                <w:color w:val="000000"/>
                <w:sz w:val="16"/>
                <w:szCs w:val="16"/>
              </w:rPr>
              <w:t>5</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F</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Zysk (strata) ze sprzedaży (C-D-E)</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9 063</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8 690</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-373</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G</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Pozostałe przychody operacyjne</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2 808</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3 260</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452</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H</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Pozostałe koszty operacyjne</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6 865</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7 025</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160</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I</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Zysk (strata) z działalności operacyjnej (F+G-H)</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5 005</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4 925</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-80</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K</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Koszty finansowe</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1 315</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2 254</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939</w:t>
            </w:r>
          </w:p>
        </w:tc>
      </w:tr>
      <w:tr w:rsidR="00AD0723" w:rsidRPr="006C4B43" w:rsidTr="006D3597">
        <w:trPr>
          <w:trHeight w:val="288"/>
        </w:trPr>
        <w:tc>
          <w:tcPr>
            <w:tcW w:w="618" w:type="dxa"/>
            <w:shd w:val="clear" w:color="auto" w:fill="auto"/>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L</w:t>
            </w:r>
          </w:p>
        </w:tc>
        <w:tc>
          <w:tcPr>
            <w:tcW w:w="4050" w:type="dxa"/>
            <w:shd w:val="clear" w:color="auto" w:fill="auto"/>
            <w:vAlign w:val="center"/>
            <w:hideMark/>
          </w:tcPr>
          <w:p w:rsidR="00AD0723" w:rsidRPr="00DF6479" w:rsidRDefault="00AD0723" w:rsidP="006D3597">
            <w:pPr>
              <w:rPr>
                <w:b/>
                <w:bCs/>
                <w:color w:val="000000"/>
                <w:sz w:val="16"/>
                <w:szCs w:val="16"/>
              </w:rPr>
            </w:pPr>
            <w:r w:rsidRPr="00DF6479">
              <w:rPr>
                <w:b/>
                <w:bCs/>
                <w:color w:val="000000"/>
                <w:sz w:val="16"/>
                <w:szCs w:val="16"/>
              </w:rPr>
              <w:t>Zysk (strata) brutto (I+J-K)</w:t>
            </w:r>
          </w:p>
        </w:tc>
        <w:tc>
          <w:tcPr>
            <w:tcW w:w="1701"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3 761</w:t>
            </w:r>
          </w:p>
        </w:tc>
        <w:tc>
          <w:tcPr>
            <w:tcW w:w="1276"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2 742</w:t>
            </w:r>
          </w:p>
        </w:tc>
        <w:tc>
          <w:tcPr>
            <w:tcW w:w="1559" w:type="dxa"/>
            <w:shd w:val="clear" w:color="auto" w:fill="auto"/>
            <w:vAlign w:val="center"/>
            <w:hideMark/>
          </w:tcPr>
          <w:p w:rsidR="00AD0723" w:rsidRPr="00DF6479" w:rsidRDefault="00AD0723" w:rsidP="006D3597">
            <w:pPr>
              <w:jc w:val="right"/>
              <w:rPr>
                <w:b/>
                <w:bCs/>
                <w:color w:val="000000"/>
                <w:sz w:val="16"/>
                <w:szCs w:val="16"/>
              </w:rPr>
            </w:pPr>
            <w:r w:rsidRPr="00DF6479">
              <w:rPr>
                <w:b/>
                <w:bCs/>
                <w:color w:val="000000"/>
                <w:sz w:val="16"/>
                <w:szCs w:val="16"/>
              </w:rPr>
              <w:t>-1 019</w:t>
            </w:r>
          </w:p>
        </w:tc>
      </w:tr>
      <w:tr w:rsidR="00AD0723" w:rsidRPr="006C4B43" w:rsidTr="006D3597">
        <w:trPr>
          <w:trHeight w:val="300"/>
        </w:trPr>
        <w:tc>
          <w:tcPr>
            <w:tcW w:w="618" w:type="dxa"/>
            <w:shd w:val="clear" w:color="000000" w:fill="E7E6E6"/>
            <w:noWrap/>
            <w:vAlign w:val="center"/>
            <w:hideMark/>
          </w:tcPr>
          <w:p w:rsidR="00AD0723" w:rsidRPr="00DF6479" w:rsidRDefault="00AD0723" w:rsidP="006D3597">
            <w:pPr>
              <w:jc w:val="center"/>
              <w:rPr>
                <w:b/>
                <w:bCs/>
                <w:color w:val="000000"/>
                <w:sz w:val="16"/>
                <w:szCs w:val="16"/>
              </w:rPr>
            </w:pPr>
            <w:r w:rsidRPr="00DF6479">
              <w:rPr>
                <w:b/>
                <w:bCs/>
                <w:color w:val="000000"/>
                <w:sz w:val="16"/>
                <w:szCs w:val="16"/>
              </w:rPr>
              <w:t>O</w:t>
            </w:r>
          </w:p>
        </w:tc>
        <w:tc>
          <w:tcPr>
            <w:tcW w:w="4050" w:type="dxa"/>
            <w:shd w:val="clear" w:color="000000" w:fill="E7E6E6"/>
            <w:vAlign w:val="center"/>
            <w:hideMark/>
          </w:tcPr>
          <w:p w:rsidR="00AD0723" w:rsidRPr="00DF6479" w:rsidRDefault="00AD0723" w:rsidP="006D3597">
            <w:pPr>
              <w:rPr>
                <w:b/>
                <w:bCs/>
                <w:color w:val="000000"/>
                <w:sz w:val="16"/>
                <w:szCs w:val="16"/>
              </w:rPr>
            </w:pPr>
            <w:r w:rsidRPr="00DF6479">
              <w:rPr>
                <w:b/>
                <w:bCs/>
                <w:color w:val="000000"/>
                <w:sz w:val="16"/>
                <w:szCs w:val="16"/>
              </w:rPr>
              <w:t>Zysk (strata) netto (L-M-N)</w:t>
            </w:r>
          </w:p>
        </w:tc>
        <w:tc>
          <w:tcPr>
            <w:tcW w:w="1701" w:type="dxa"/>
            <w:shd w:val="clear" w:color="000000" w:fill="E7E6E6"/>
            <w:vAlign w:val="center"/>
            <w:hideMark/>
          </w:tcPr>
          <w:p w:rsidR="00AD0723" w:rsidRPr="00DF6479" w:rsidRDefault="00AD0723" w:rsidP="006D3597">
            <w:pPr>
              <w:jc w:val="right"/>
              <w:rPr>
                <w:b/>
                <w:bCs/>
                <w:color w:val="000000"/>
                <w:sz w:val="16"/>
                <w:szCs w:val="16"/>
              </w:rPr>
            </w:pPr>
            <w:r w:rsidRPr="00DF6479">
              <w:rPr>
                <w:b/>
                <w:bCs/>
                <w:color w:val="000000"/>
                <w:sz w:val="16"/>
                <w:szCs w:val="16"/>
              </w:rPr>
              <w:t>3</w:t>
            </w:r>
            <w:r>
              <w:rPr>
                <w:b/>
                <w:bCs/>
                <w:color w:val="000000"/>
                <w:sz w:val="16"/>
                <w:szCs w:val="16"/>
              </w:rPr>
              <w:t xml:space="preserve"> </w:t>
            </w:r>
            <w:r w:rsidRPr="00DF6479">
              <w:rPr>
                <w:b/>
                <w:bCs/>
                <w:color w:val="000000"/>
                <w:sz w:val="16"/>
                <w:szCs w:val="16"/>
              </w:rPr>
              <w:t>681</w:t>
            </w:r>
          </w:p>
        </w:tc>
        <w:tc>
          <w:tcPr>
            <w:tcW w:w="1276" w:type="dxa"/>
            <w:shd w:val="clear" w:color="000000" w:fill="E7E6E6"/>
            <w:vAlign w:val="center"/>
            <w:hideMark/>
          </w:tcPr>
          <w:p w:rsidR="00AD0723" w:rsidRPr="00DF6479" w:rsidRDefault="00AD0723" w:rsidP="006D3597">
            <w:pPr>
              <w:jc w:val="right"/>
              <w:rPr>
                <w:b/>
                <w:bCs/>
                <w:color w:val="000000"/>
                <w:sz w:val="16"/>
                <w:szCs w:val="16"/>
              </w:rPr>
            </w:pPr>
            <w:r w:rsidRPr="00DF6479">
              <w:rPr>
                <w:b/>
                <w:bCs/>
                <w:color w:val="000000"/>
                <w:sz w:val="16"/>
                <w:szCs w:val="16"/>
              </w:rPr>
              <w:t>2</w:t>
            </w:r>
            <w:r>
              <w:rPr>
                <w:b/>
                <w:bCs/>
                <w:color w:val="000000"/>
                <w:sz w:val="16"/>
                <w:szCs w:val="16"/>
              </w:rPr>
              <w:t xml:space="preserve"> </w:t>
            </w:r>
            <w:r w:rsidRPr="00DF6479">
              <w:rPr>
                <w:b/>
                <w:bCs/>
                <w:color w:val="000000"/>
                <w:sz w:val="16"/>
                <w:szCs w:val="16"/>
              </w:rPr>
              <w:t>662</w:t>
            </w:r>
          </w:p>
        </w:tc>
        <w:tc>
          <w:tcPr>
            <w:tcW w:w="1559" w:type="dxa"/>
            <w:shd w:val="clear" w:color="000000" w:fill="E7E6E6"/>
            <w:vAlign w:val="center"/>
            <w:hideMark/>
          </w:tcPr>
          <w:p w:rsidR="00AD0723" w:rsidRPr="00DF6479" w:rsidRDefault="00AD0723" w:rsidP="006D3597">
            <w:pPr>
              <w:jc w:val="right"/>
              <w:rPr>
                <w:b/>
                <w:bCs/>
                <w:color w:val="000000"/>
                <w:sz w:val="16"/>
                <w:szCs w:val="16"/>
              </w:rPr>
            </w:pPr>
            <w:r w:rsidRPr="00DF6479">
              <w:rPr>
                <w:b/>
                <w:bCs/>
                <w:color w:val="000000"/>
                <w:sz w:val="16"/>
                <w:szCs w:val="16"/>
              </w:rPr>
              <w:t>-1</w:t>
            </w:r>
            <w:r>
              <w:rPr>
                <w:b/>
                <w:bCs/>
                <w:color w:val="000000"/>
                <w:sz w:val="16"/>
                <w:szCs w:val="16"/>
              </w:rPr>
              <w:t xml:space="preserve"> </w:t>
            </w:r>
            <w:r w:rsidRPr="00DF6479">
              <w:rPr>
                <w:b/>
                <w:bCs/>
                <w:color w:val="000000"/>
                <w:sz w:val="16"/>
                <w:szCs w:val="16"/>
              </w:rPr>
              <w:t>019</w:t>
            </w:r>
          </w:p>
        </w:tc>
      </w:tr>
    </w:tbl>
    <w:p w:rsidR="00AD0723" w:rsidRPr="00DF6479" w:rsidRDefault="00AD0723" w:rsidP="00AD0723">
      <w:pPr>
        <w:pStyle w:val="Akapitzlist"/>
        <w:ind w:left="643"/>
        <w:rPr>
          <w:rFonts w:cs="Tahoma"/>
          <w:sz w:val="22"/>
          <w:szCs w:val="22"/>
        </w:rPr>
      </w:pPr>
    </w:p>
    <w:p w:rsidR="00AD0723" w:rsidRPr="006C4B43" w:rsidRDefault="00AD0723" w:rsidP="00AD0723">
      <w:pPr>
        <w:rPr>
          <w:rFonts w:cs="Tahoma"/>
          <w:szCs w:val="20"/>
        </w:rPr>
      </w:pPr>
    </w:p>
    <w:p w:rsidR="00AD0723" w:rsidRDefault="00AD0723" w:rsidP="00AD0723">
      <w:pPr>
        <w:pStyle w:val="spis2"/>
      </w:pPr>
      <w:bookmarkStart w:id="34" w:name="_Toc509841132"/>
      <w:r>
        <w:t>Kontynuacja działalności</w:t>
      </w:r>
      <w:bookmarkEnd w:id="34"/>
    </w:p>
    <w:p w:rsidR="00AD0723" w:rsidRDefault="00AD0723" w:rsidP="00AD0723"/>
    <w:p w:rsidR="00AD0723" w:rsidRPr="00C90913" w:rsidRDefault="00AD0723" w:rsidP="00AD0723">
      <w:r w:rsidRPr="00DF6479">
        <w:t xml:space="preserve">W przypadku występowania niepewności co do możliwości kontynuowania </w:t>
      </w:r>
      <w:r w:rsidRPr="00C90913">
        <w:rPr>
          <w:sz w:val="22"/>
        </w:rPr>
        <w:t>działalności</w:t>
      </w:r>
      <w:r w:rsidRPr="00DF6479">
        <w:t>, opis tych niepewności oraz stwierdzenie, że taka niepewność występuje, oraz wskazanie, czy sprawozdanie finansowe zawiera korekty z tym związane. Informacja powinna zawierać również opis podejmowanych, bądź planowanych przez emitenta działań mających na celu eliminację niepewności.</w:t>
      </w:r>
    </w:p>
    <w:p w:rsidR="00AD0723" w:rsidRDefault="00AD0723" w:rsidP="00AD0723">
      <w:pPr>
        <w:ind w:left="360"/>
        <w:rPr>
          <w:rFonts w:cs="Tahoma"/>
          <w:szCs w:val="20"/>
        </w:rPr>
      </w:pPr>
    </w:p>
    <w:p w:rsidR="00AD0723" w:rsidRPr="006C4B43" w:rsidRDefault="00AD0723" w:rsidP="00AD0723">
      <w:pPr>
        <w:ind w:left="360"/>
        <w:rPr>
          <w:rFonts w:cs="Tahoma"/>
          <w:szCs w:val="20"/>
        </w:rPr>
      </w:pPr>
      <w:r w:rsidRPr="006C4B43">
        <w:rPr>
          <w:rFonts w:cs="Tahoma"/>
          <w:szCs w:val="20"/>
        </w:rPr>
        <w:t>Nie występują niepewności co do możliwości kontynuowania działalności w dającej się przewidzieć przyszłości.</w:t>
      </w:r>
    </w:p>
    <w:p w:rsidR="00AD0723" w:rsidRPr="00DF6479" w:rsidRDefault="00AD0723" w:rsidP="00AD0723">
      <w:pPr>
        <w:pStyle w:val="Akapitzlist"/>
        <w:ind w:left="360"/>
        <w:rPr>
          <w:rFonts w:cs="Tahoma"/>
          <w:b/>
          <w:sz w:val="22"/>
          <w:szCs w:val="22"/>
        </w:rPr>
      </w:pPr>
    </w:p>
    <w:p w:rsidR="00AD0723" w:rsidRDefault="00AD0723" w:rsidP="00AD0723">
      <w:pPr>
        <w:pStyle w:val="spis2"/>
      </w:pPr>
      <w:bookmarkStart w:id="35" w:name="_Toc509841133"/>
      <w:r>
        <w:lastRenderedPageBreak/>
        <w:t>Informacja na temat połączenia spółek</w:t>
      </w:r>
      <w:bookmarkEnd w:id="35"/>
    </w:p>
    <w:p w:rsidR="00AD0723" w:rsidRDefault="00AD0723" w:rsidP="00AD0723"/>
    <w:p w:rsidR="00AD0723" w:rsidRPr="00C90913" w:rsidRDefault="00AD0723" w:rsidP="00AD0723">
      <w:r w:rsidRPr="00C90913">
        <w:t xml:space="preserve">W przypadku sprawozdania finansowego sporządzonego za okres, w ciągu którego nastąpiło połączenie, wskazanie, że jest to sprawozdanie finansowe sporządzone po połączeniu spółek, oraz </w:t>
      </w:r>
      <w:r w:rsidRPr="00C90913">
        <w:rPr>
          <w:szCs w:val="20"/>
        </w:rPr>
        <w:t>wskazanie</w:t>
      </w:r>
      <w:r w:rsidRPr="00C90913">
        <w:rPr>
          <w:sz w:val="22"/>
        </w:rPr>
        <w:t xml:space="preserve"> </w:t>
      </w:r>
      <w:r w:rsidRPr="00C90913">
        <w:t>dnia połączenia i zastosowanej metody rozliczenia połączenia nabycia, łączenia udziałów. W przypadku rozliczenia metodą łączenia udziałów – nazwę firmę i opis przedmiotu działalności spółek, które w wyniku połączenia zostały wykreślone z rejestru, liczbę, wartość nominalną i rodzaj udziałów akcji wyemitowanych w celu połączenia, przychody i koszty, zyski i straty oraz zmiany w kapitałach własnych połączonych spółek za okres od początku roku obrotowego, w ciągu którego nastąpiło połączenie, do dnia połączenia.</w:t>
      </w:r>
    </w:p>
    <w:p w:rsidR="00AD0723" w:rsidRDefault="00AD0723" w:rsidP="00AD0723">
      <w:pPr>
        <w:ind w:left="643"/>
        <w:rPr>
          <w:rFonts w:cs="Tahoma"/>
          <w:szCs w:val="20"/>
        </w:rPr>
      </w:pPr>
    </w:p>
    <w:p w:rsidR="00AD0723" w:rsidRPr="006C4B43" w:rsidRDefault="00AD0723" w:rsidP="00AD0723">
      <w:pPr>
        <w:ind w:left="643"/>
        <w:rPr>
          <w:rFonts w:cs="Tahoma"/>
          <w:szCs w:val="20"/>
        </w:rPr>
      </w:pPr>
      <w:r w:rsidRPr="006C4B43">
        <w:rPr>
          <w:rFonts w:cs="Tahoma"/>
          <w:szCs w:val="20"/>
        </w:rPr>
        <w:t>Nie wystąpiło.</w:t>
      </w:r>
    </w:p>
    <w:p w:rsidR="00AD0723" w:rsidRPr="00DF6479" w:rsidRDefault="00AD0723" w:rsidP="00AD0723">
      <w:pPr>
        <w:rPr>
          <w:rFonts w:cs="Tahoma"/>
          <w:b/>
          <w:sz w:val="22"/>
          <w:szCs w:val="22"/>
        </w:rPr>
      </w:pPr>
    </w:p>
    <w:p w:rsidR="00AD0723" w:rsidRDefault="00AD0723" w:rsidP="00AD0723">
      <w:pPr>
        <w:pStyle w:val="spis2"/>
      </w:pPr>
      <w:bookmarkStart w:id="36" w:name="_Toc509841134"/>
      <w:r>
        <w:t>Wycena udziałów w jednostkach podporządkowanych</w:t>
      </w:r>
      <w:bookmarkEnd w:id="36"/>
    </w:p>
    <w:p w:rsidR="00AD0723" w:rsidRDefault="00AD0723" w:rsidP="00AD0723"/>
    <w:p w:rsidR="00AD0723" w:rsidRPr="00C90913" w:rsidRDefault="00AD0723" w:rsidP="00AD0723">
      <w:r w:rsidRPr="00C90913">
        <w:t>W przypadku niestosowania w sprawozdaniu finansowym do wyceny udziałów i akcji w jednostkach podporządkowanych- metody praw własności - należy przedstawić skutki, jakie spowodowałoby jej zastosowanie, oraz wpływ na wynik finansowy.</w:t>
      </w:r>
    </w:p>
    <w:p w:rsidR="00AD0723" w:rsidRDefault="00AD0723" w:rsidP="00AD0723">
      <w:pPr>
        <w:rPr>
          <w:rFonts w:cs="Tahoma"/>
          <w:szCs w:val="20"/>
        </w:rPr>
      </w:pPr>
    </w:p>
    <w:p w:rsidR="00AD0723" w:rsidRPr="006C4B43" w:rsidRDefault="00AD0723" w:rsidP="00AD0723">
      <w:pPr>
        <w:ind w:left="708"/>
        <w:rPr>
          <w:rFonts w:cs="Tahoma"/>
          <w:szCs w:val="20"/>
        </w:rPr>
      </w:pPr>
      <w:r w:rsidRPr="006C4B43">
        <w:rPr>
          <w:rFonts w:cs="Tahoma"/>
          <w:szCs w:val="20"/>
        </w:rPr>
        <w:t>Nie dotyczy.</w:t>
      </w:r>
    </w:p>
    <w:p w:rsidR="00AD0723" w:rsidRPr="00DF6479" w:rsidRDefault="00AD0723" w:rsidP="00AD0723">
      <w:pPr>
        <w:rPr>
          <w:rFonts w:cs="Tahoma"/>
          <w:b/>
          <w:sz w:val="22"/>
          <w:szCs w:val="22"/>
        </w:rPr>
      </w:pPr>
    </w:p>
    <w:p w:rsidR="00AD0723" w:rsidRDefault="00AD0723" w:rsidP="00AD0723">
      <w:pPr>
        <w:pStyle w:val="spis2"/>
      </w:pPr>
      <w:bookmarkStart w:id="37" w:name="_Toc509841135"/>
      <w:r>
        <w:t>Informacja o sporządzaniu skonsolidowanego sprawozdania finansowego</w:t>
      </w:r>
      <w:bookmarkEnd w:id="37"/>
    </w:p>
    <w:p w:rsidR="00AD0723" w:rsidRDefault="00AD0723" w:rsidP="00AD0723"/>
    <w:p w:rsidR="00AD0723" w:rsidRPr="006C4B43" w:rsidRDefault="00AD0723" w:rsidP="00AD0723">
      <w:pPr>
        <w:ind w:left="360"/>
        <w:rPr>
          <w:rFonts w:cs="Tahoma"/>
          <w:szCs w:val="20"/>
        </w:rPr>
      </w:pPr>
      <w:r w:rsidRPr="006C4B43">
        <w:rPr>
          <w:rFonts w:cs="Tahoma"/>
          <w:szCs w:val="20"/>
        </w:rPr>
        <w:t>Emitent sporządza skonsolidowane sprawozdanie finansowe za rok 2017.</w:t>
      </w:r>
    </w:p>
    <w:p w:rsidR="002558C2" w:rsidRDefault="00AD0723">
      <w:bookmarkStart w:id="38" w:name="_GoBack"/>
      <w:bookmarkEnd w:id="38"/>
    </w:p>
    <w:sectPr w:rsidR="00255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A6EC9"/>
    <w:multiLevelType w:val="hybridMultilevel"/>
    <w:tmpl w:val="131C6178"/>
    <w:lvl w:ilvl="0" w:tplc="A75020FE">
      <w:start w:val="1"/>
      <w:numFmt w:val="upperRoman"/>
      <w:pStyle w:val="Tytu"/>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2A250C"/>
    <w:multiLevelType w:val="multilevel"/>
    <w:tmpl w:val="0415001F"/>
    <w:lvl w:ilvl="0">
      <w:start w:val="1"/>
      <w:numFmt w:val="decimal"/>
      <w:pStyle w:val="spis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96580A"/>
    <w:multiLevelType w:val="hybridMultilevel"/>
    <w:tmpl w:val="6AC4435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23"/>
    <w:rsid w:val="00381CC9"/>
    <w:rsid w:val="00934800"/>
    <w:rsid w:val="00AD0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86D8A-D593-495C-B26F-CEF31E71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723"/>
    <w:pPr>
      <w:spacing w:after="0" w:line="240" w:lineRule="auto"/>
      <w:jc w:val="both"/>
    </w:pPr>
    <w:rPr>
      <w:rFonts w:eastAsia="Times New Roman" w:cs="Times New Roman"/>
      <w:sz w:val="20"/>
      <w:szCs w:val="24"/>
      <w:lang w:eastAsia="pl-PL"/>
    </w:rPr>
  </w:style>
  <w:style w:type="paragraph" w:styleId="Nagwek1">
    <w:name w:val="heading 1"/>
    <w:basedOn w:val="Normalny"/>
    <w:next w:val="Normalny"/>
    <w:link w:val="Nagwek1Znak"/>
    <w:qFormat/>
    <w:rsid w:val="00AD0723"/>
    <w:pPr>
      <w:keepNext/>
      <w:keepLines/>
      <w:spacing w:before="120"/>
      <w:outlineLvl w:val="0"/>
    </w:pPr>
    <w:rPr>
      <w:rFonts w:ascii="Calibri" w:eastAsiaTheme="majorEastAsia" w:hAnsi="Calibri" w:cstheme="majorBidi"/>
      <w:color w:val="000000" w:themeColor="text1"/>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0723"/>
    <w:rPr>
      <w:rFonts w:ascii="Calibri" w:eastAsiaTheme="majorEastAsia" w:hAnsi="Calibri" w:cstheme="majorBidi"/>
      <w:color w:val="000000" w:themeColor="text1"/>
      <w:sz w:val="20"/>
      <w:szCs w:val="32"/>
      <w:lang w:eastAsia="pl-PL"/>
    </w:rPr>
  </w:style>
  <w:style w:type="paragraph" w:styleId="Tekstkomentarza">
    <w:name w:val="annotation text"/>
    <w:basedOn w:val="Normalny"/>
    <w:link w:val="TekstkomentarzaZnak"/>
    <w:semiHidden/>
    <w:rsid w:val="00AD0723"/>
    <w:rPr>
      <w:rFonts w:eastAsia="Calibri"/>
      <w:szCs w:val="20"/>
      <w:lang w:val="en-US"/>
    </w:rPr>
  </w:style>
  <w:style w:type="character" w:customStyle="1" w:styleId="TekstkomentarzaZnak">
    <w:name w:val="Tekst komentarza Znak"/>
    <w:basedOn w:val="Domylnaczcionkaakapitu"/>
    <w:link w:val="Tekstkomentarza"/>
    <w:semiHidden/>
    <w:rsid w:val="00AD0723"/>
    <w:rPr>
      <w:rFonts w:eastAsia="Calibri" w:cs="Times New Roman"/>
      <w:sz w:val="20"/>
      <w:szCs w:val="20"/>
      <w:lang w:val="en-US" w:eastAsia="pl-PL"/>
    </w:rPr>
  </w:style>
  <w:style w:type="paragraph" w:styleId="Akapitzlist">
    <w:name w:val="List Paragraph"/>
    <w:basedOn w:val="Normalny"/>
    <w:link w:val="AkapitzlistZnak"/>
    <w:uiPriority w:val="34"/>
    <w:qFormat/>
    <w:rsid w:val="00AD0723"/>
    <w:pPr>
      <w:ind w:left="720"/>
      <w:contextualSpacing/>
    </w:pPr>
  </w:style>
  <w:style w:type="character" w:customStyle="1" w:styleId="AkapitzlistZnak">
    <w:name w:val="Akapit z listą Znak"/>
    <w:basedOn w:val="Domylnaczcionkaakapitu"/>
    <w:link w:val="Akapitzlist"/>
    <w:uiPriority w:val="34"/>
    <w:rsid w:val="00AD0723"/>
    <w:rPr>
      <w:rFonts w:eastAsia="Times New Roman" w:cs="Times New Roman"/>
      <w:sz w:val="20"/>
      <w:szCs w:val="24"/>
      <w:lang w:eastAsia="pl-PL"/>
    </w:rPr>
  </w:style>
  <w:style w:type="character" w:customStyle="1" w:styleId="0HLBpismoZnak">
    <w:name w:val="0_HLB_pismo Znak"/>
    <w:basedOn w:val="Domylnaczcionkaakapitu"/>
    <w:link w:val="0HLBpismo"/>
    <w:locked/>
    <w:rsid w:val="00AD0723"/>
    <w:rPr>
      <w:rFonts w:ascii="Arial" w:hAnsi="Arial" w:cs="Arial"/>
    </w:rPr>
  </w:style>
  <w:style w:type="paragraph" w:customStyle="1" w:styleId="0HLBpismo">
    <w:name w:val="0_HLB_pismo"/>
    <w:basedOn w:val="Normalny"/>
    <w:link w:val="0HLBpismoZnak"/>
    <w:rsid w:val="00AD0723"/>
    <w:rPr>
      <w:rFonts w:ascii="Arial" w:eastAsiaTheme="minorHAnsi" w:hAnsi="Arial" w:cs="Arial"/>
      <w:sz w:val="22"/>
      <w:szCs w:val="22"/>
      <w:lang w:eastAsia="en-US"/>
    </w:rPr>
  </w:style>
  <w:style w:type="paragraph" w:styleId="Tytu">
    <w:name w:val="Title"/>
    <w:basedOn w:val="Normalny"/>
    <w:next w:val="Normalny"/>
    <w:link w:val="TytuZnak"/>
    <w:qFormat/>
    <w:rsid w:val="00AD0723"/>
    <w:pPr>
      <w:numPr>
        <w:numId w:val="2"/>
      </w:numPr>
      <w:contextualSpacing/>
    </w:pPr>
    <w:rPr>
      <w:rFonts w:ascii="Calibri" w:eastAsiaTheme="majorEastAsia" w:hAnsi="Calibri" w:cstheme="majorBidi"/>
      <w:b/>
      <w:spacing w:val="-10"/>
      <w:kern w:val="28"/>
      <w:szCs w:val="56"/>
    </w:rPr>
  </w:style>
  <w:style w:type="character" w:customStyle="1" w:styleId="TytuZnak">
    <w:name w:val="Tytuł Znak"/>
    <w:basedOn w:val="Domylnaczcionkaakapitu"/>
    <w:link w:val="Tytu"/>
    <w:rsid w:val="00AD0723"/>
    <w:rPr>
      <w:rFonts w:ascii="Calibri" w:eastAsiaTheme="majorEastAsia" w:hAnsi="Calibri" w:cstheme="majorBidi"/>
      <w:b/>
      <w:spacing w:val="-10"/>
      <w:kern w:val="28"/>
      <w:sz w:val="20"/>
      <w:szCs w:val="56"/>
      <w:lang w:eastAsia="pl-PL"/>
    </w:rPr>
  </w:style>
  <w:style w:type="paragraph" w:customStyle="1" w:styleId="Spis1">
    <w:name w:val="Spis 1"/>
    <w:basedOn w:val="Tytu"/>
    <w:link w:val="Spis1Znak"/>
    <w:qFormat/>
    <w:rsid w:val="00AD0723"/>
    <w:pPr>
      <w:ind w:left="426"/>
    </w:pPr>
  </w:style>
  <w:style w:type="paragraph" w:customStyle="1" w:styleId="spis2">
    <w:name w:val="spis 2"/>
    <w:basedOn w:val="Nagwek1"/>
    <w:link w:val="spis2Znak"/>
    <w:qFormat/>
    <w:rsid w:val="00AD0723"/>
    <w:pPr>
      <w:numPr>
        <w:numId w:val="3"/>
      </w:numPr>
    </w:pPr>
  </w:style>
  <w:style w:type="character" w:customStyle="1" w:styleId="Spis1Znak">
    <w:name w:val="Spis 1 Znak"/>
    <w:basedOn w:val="TytuZnak"/>
    <w:link w:val="Spis1"/>
    <w:rsid w:val="00AD0723"/>
    <w:rPr>
      <w:rFonts w:ascii="Calibri" w:eastAsiaTheme="majorEastAsia" w:hAnsi="Calibri" w:cstheme="majorBidi"/>
      <w:b/>
      <w:spacing w:val="-10"/>
      <w:kern w:val="28"/>
      <w:sz w:val="20"/>
      <w:szCs w:val="56"/>
      <w:lang w:eastAsia="pl-PL"/>
    </w:rPr>
  </w:style>
  <w:style w:type="character" w:customStyle="1" w:styleId="spis2Znak">
    <w:name w:val="spis 2 Znak"/>
    <w:basedOn w:val="Nagwek1Znak"/>
    <w:link w:val="spis2"/>
    <w:rsid w:val="00AD0723"/>
    <w:rPr>
      <w:rFonts w:ascii="Calibri" w:eastAsiaTheme="majorEastAsia" w:hAnsi="Calibri" w:cstheme="majorBidi"/>
      <w:color w:val="000000" w:themeColor="text1"/>
      <w:sz w:val="20"/>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3228</Words>
  <Characters>19371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Sokolewicz</dc:creator>
  <cp:keywords/>
  <dc:description/>
  <cp:lastModifiedBy>Michał Sokolewicz</cp:lastModifiedBy>
  <cp:revision>1</cp:revision>
  <dcterms:created xsi:type="dcterms:W3CDTF">2018-03-26T20:18:00Z</dcterms:created>
  <dcterms:modified xsi:type="dcterms:W3CDTF">2018-03-26T20:20:00Z</dcterms:modified>
</cp:coreProperties>
</file>