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1A2" w:rsidRPr="00E863B6" w:rsidRDefault="00FA21A2" w:rsidP="00FA21A2">
      <w:pPr>
        <w:pStyle w:val="Spis1"/>
      </w:pPr>
      <w:bookmarkStart w:id="0" w:name="_Toc509840965"/>
      <w:r w:rsidRPr="00E863B6">
        <w:t>WPROWADZENIE DO SPRAWOZDANIA FINANSOWEGO</w:t>
      </w:r>
      <w:bookmarkEnd w:id="0"/>
    </w:p>
    <w:p w:rsidR="00FA21A2" w:rsidRPr="00E863B6" w:rsidRDefault="00FA21A2" w:rsidP="00FA21A2">
      <w:pPr>
        <w:pStyle w:val="Stopka"/>
        <w:tabs>
          <w:tab w:val="clear" w:pos="284"/>
        </w:tabs>
        <w:rPr>
          <w:rFonts w:eastAsia="Arial Unicode MS" w:cs="Tahoma"/>
          <w:sz w:val="22"/>
          <w:szCs w:val="22"/>
          <w:lang w:val="pl-PL"/>
        </w:rPr>
      </w:pPr>
    </w:p>
    <w:p w:rsidR="00FA21A2" w:rsidRPr="00E863B6" w:rsidRDefault="00FA21A2" w:rsidP="00FA21A2">
      <w:pPr>
        <w:pStyle w:val="Stopka"/>
        <w:rPr>
          <w:rFonts w:eastAsia="Arial Unicode MS" w:cs="Tahoma"/>
          <w:sz w:val="22"/>
          <w:szCs w:val="22"/>
          <w:lang w:val="pl-PL"/>
        </w:rPr>
      </w:pPr>
    </w:p>
    <w:p w:rsidR="00FA21A2" w:rsidRPr="006C4B43" w:rsidRDefault="00FA21A2" w:rsidP="00FA21A2">
      <w:pPr>
        <w:pStyle w:val="spis2"/>
      </w:pPr>
      <w:bookmarkStart w:id="1" w:name="_Toc509574058"/>
      <w:bookmarkStart w:id="2" w:name="_Toc509840966"/>
      <w:r w:rsidRPr="006C4B43">
        <w:t>Dane jednostki</w:t>
      </w:r>
      <w:bookmarkEnd w:id="1"/>
      <w:bookmarkEnd w:id="2"/>
    </w:p>
    <w:p w:rsidR="00FA21A2" w:rsidRPr="006C4B43" w:rsidRDefault="00FA21A2" w:rsidP="00FA21A2">
      <w:pPr>
        <w:rPr>
          <w:rFonts w:cs="Tahoma"/>
          <w:szCs w:val="20"/>
        </w:rPr>
      </w:pPr>
    </w:p>
    <w:p w:rsidR="00FA21A2" w:rsidRPr="006C4B43" w:rsidRDefault="00FA21A2" w:rsidP="00FA21A2">
      <w:pPr>
        <w:numPr>
          <w:ilvl w:val="1"/>
          <w:numId w:val="1"/>
        </w:numPr>
        <w:tabs>
          <w:tab w:val="left" w:pos="4395"/>
        </w:tabs>
        <w:rPr>
          <w:rFonts w:cs="Tahoma"/>
          <w:szCs w:val="20"/>
        </w:rPr>
      </w:pPr>
      <w:r w:rsidRPr="006C4B43">
        <w:rPr>
          <w:rFonts w:cs="Tahoma"/>
          <w:szCs w:val="20"/>
        </w:rPr>
        <w:t xml:space="preserve">nazwa: </w:t>
      </w:r>
      <w:r w:rsidRPr="006C4B43">
        <w:rPr>
          <w:rFonts w:cs="Tahoma"/>
          <w:szCs w:val="20"/>
        </w:rPr>
        <w:tab/>
        <w:t>Krynica Vitamin Spółka Akcyjna</w:t>
      </w:r>
    </w:p>
    <w:p w:rsidR="00FA21A2" w:rsidRPr="006C4B43" w:rsidRDefault="00FA21A2" w:rsidP="00FA21A2">
      <w:pPr>
        <w:tabs>
          <w:tab w:val="left" w:pos="4395"/>
        </w:tabs>
        <w:rPr>
          <w:rFonts w:cs="Tahoma"/>
          <w:szCs w:val="20"/>
        </w:rPr>
      </w:pPr>
    </w:p>
    <w:p w:rsidR="00FA21A2" w:rsidRPr="006C4B43" w:rsidRDefault="00FA21A2" w:rsidP="00FA21A2">
      <w:pPr>
        <w:numPr>
          <w:ilvl w:val="1"/>
          <w:numId w:val="1"/>
        </w:numPr>
        <w:tabs>
          <w:tab w:val="left" w:pos="4395"/>
        </w:tabs>
        <w:rPr>
          <w:rFonts w:cs="Tahoma"/>
          <w:szCs w:val="20"/>
        </w:rPr>
      </w:pPr>
      <w:r w:rsidRPr="006C4B43">
        <w:rPr>
          <w:rFonts w:cs="Tahoma"/>
          <w:szCs w:val="20"/>
        </w:rPr>
        <w:t>siedziba</w:t>
      </w:r>
      <w:r w:rsidRPr="006C4B43">
        <w:rPr>
          <w:rFonts w:cs="Tahoma"/>
          <w:szCs w:val="20"/>
        </w:rPr>
        <w:tab/>
        <w:t>ul. Matyldy 35</w:t>
      </w:r>
    </w:p>
    <w:p w:rsidR="00FA21A2" w:rsidRPr="006C4B43" w:rsidRDefault="00FA21A2" w:rsidP="00FA21A2">
      <w:pPr>
        <w:ind w:left="4260"/>
        <w:rPr>
          <w:rFonts w:cs="Tahoma"/>
          <w:szCs w:val="20"/>
        </w:rPr>
      </w:pPr>
      <w:r w:rsidRPr="006C4B43">
        <w:rPr>
          <w:rFonts w:cs="Tahoma"/>
          <w:szCs w:val="20"/>
        </w:rPr>
        <w:t xml:space="preserve"> 03-606 Warszawa</w:t>
      </w:r>
    </w:p>
    <w:p w:rsidR="00FA21A2" w:rsidRPr="006C4B43" w:rsidRDefault="00FA21A2" w:rsidP="00FA21A2">
      <w:pPr>
        <w:numPr>
          <w:ilvl w:val="1"/>
          <w:numId w:val="1"/>
        </w:numPr>
        <w:tabs>
          <w:tab w:val="left" w:pos="4395"/>
        </w:tabs>
        <w:rPr>
          <w:rFonts w:cs="Tahoma"/>
          <w:szCs w:val="20"/>
        </w:rPr>
      </w:pPr>
      <w:r w:rsidRPr="006C4B43">
        <w:rPr>
          <w:rFonts w:cs="Tahoma"/>
          <w:szCs w:val="20"/>
        </w:rPr>
        <w:t>podstawowy przedmiot działalności – podstawowym przedmiotem działalności Spółki jest:</w:t>
      </w:r>
    </w:p>
    <w:p w:rsidR="00FA21A2" w:rsidRPr="006C4B43" w:rsidRDefault="00FA21A2" w:rsidP="00FA21A2">
      <w:pPr>
        <w:numPr>
          <w:ilvl w:val="0"/>
          <w:numId w:val="6"/>
        </w:numPr>
        <w:tabs>
          <w:tab w:val="clear" w:pos="644"/>
          <w:tab w:val="num" w:pos="1080"/>
        </w:tabs>
        <w:spacing w:before="120"/>
        <w:ind w:left="1037" w:hanging="357"/>
        <w:rPr>
          <w:rFonts w:cs="Tahoma"/>
          <w:szCs w:val="20"/>
        </w:rPr>
      </w:pPr>
      <w:r w:rsidRPr="006C4B43">
        <w:rPr>
          <w:rFonts w:cs="Tahoma"/>
          <w:szCs w:val="20"/>
        </w:rPr>
        <w:t>produkcja artykułów spożywczych,</w:t>
      </w:r>
    </w:p>
    <w:p w:rsidR="00FA21A2" w:rsidRPr="006C4B43" w:rsidRDefault="00FA21A2" w:rsidP="00FA21A2">
      <w:pPr>
        <w:numPr>
          <w:ilvl w:val="0"/>
          <w:numId w:val="6"/>
        </w:numPr>
        <w:tabs>
          <w:tab w:val="clear" w:pos="644"/>
          <w:tab w:val="num" w:pos="1080"/>
        </w:tabs>
        <w:spacing w:before="120"/>
        <w:ind w:left="1037" w:hanging="357"/>
        <w:rPr>
          <w:rFonts w:cs="Tahoma"/>
          <w:szCs w:val="20"/>
        </w:rPr>
      </w:pPr>
      <w:r w:rsidRPr="006C4B43">
        <w:rPr>
          <w:rFonts w:cs="Tahoma"/>
          <w:szCs w:val="20"/>
        </w:rPr>
        <w:t>produkcja artykułów spożywczych homogenizowanych i żywności dietetycznej,</w:t>
      </w:r>
    </w:p>
    <w:p w:rsidR="00FA21A2" w:rsidRPr="006C4B43" w:rsidRDefault="00FA21A2" w:rsidP="00FA21A2">
      <w:pPr>
        <w:numPr>
          <w:ilvl w:val="0"/>
          <w:numId w:val="6"/>
        </w:numPr>
        <w:tabs>
          <w:tab w:val="clear" w:pos="644"/>
          <w:tab w:val="num" w:pos="1080"/>
        </w:tabs>
        <w:spacing w:before="120"/>
        <w:ind w:left="1037" w:hanging="357"/>
        <w:rPr>
          <w:rFonts w:cs="Tahoma"/>
          <w:szCs w:val="20"/>
        </w:rPr>
      </w:pPr>
      <w:r w:rsidRPr="006C4B43">
        <w:rPr>
          <w:rFonts w:cs="Tahoma"/>
          <w:szCs w:val="20"/>
        </w:rPr>
        <w:t>produkcja napojów bezalkoholowych, produkcja wód mineralnych i pozostałych wód butelkowych.</w:t>
      </w:r>
    </w:p>
    <w:p w:rsidR="00FA21A2" w:rsidRPr="006C4B43" w:rsidRDefault="00FA21A2" w:rsidP="00FA21A2">
      <w:pPr>
        <w:rPr>
          <w:rFonts w:cs="Tahoma"/>
          <w:szCs w:val="20"/>
        </w:rPr>
      </w:pPr>
    </w:p>
    <w:p w:rsidR="00FA21A2" w:rsidRPr="006C4B43" w:rsidRDefault="00FA21A2" w:rsidP="00FA21A2">
      <w:pPr>
        <w:numPr>
          <w:ilvl w:val="1"/>
          <w:numId w:val="1"/>
        </w:numPr>
        <w:rPr>
          <w:rFonts w:cs="Tahoma"/>
          <w:szCs w:val="20"/>
        </w:rPr>
      </w:pPr>
      <w:r w:rsidRPr="006C4B43">
        <w:rPr>
          <w:rFonts w:cs="Tahoma"/>
          <w:szCs w:val="20"/>
        </w:rPr>
        <w:t>Spółka zarejestrowana jest w Krajowym Rejestrze Sądowym prowadzonym przez Sąd Rejonowy dla m. st. Warszawy w Warszawie, XIII Wydział Gospodarczy Krajowego Rejestru Sądowego pod numerem KRS 0000378184.</w:t>
      </w:r>
    </w:p>
    <w:p w:rsidR="00FA21A2" w:rsidRPr="006C4B43" w:rsidRDefault="00FA21A2" w:rsidP="00FA21A2">
      <w:pPr>
        <w:rPr>
          <w:rFonts w:cs="Tahoma"/>
          <w:szCs w:val="20"/>
        </w:rPr>
      </w:pPr>
    </w:p>
    <w:p w:rsidR="00FA21A2" w:rsidRPr="006C4B43" w:rsidRDefault="00FA21A2" w:rsidP="00FA21A2">
      <w:pPr>
        <w:numPr>
          <w:ilvl w:val="1"/>
          <w:numId w:val="1"/>
        </w:numPr>
        <w:tabs>
          <w:tab w:val="right" w:pos="7371"/>
        </w:tabs>
        <w:rPr>
          <w:rFonts w:cs="Tahoma"/>
          <w:szCs w:val="20"/>
          <w:lang w:val="de-DE"/>
        </w:rPr>
      </w:pPr>
      <w:r w:rsidRPr="006C4B43">
        <w:rPr>
          <w:rFonts w:cs="Tahoma"/>
          <w:szCs w:val="20"/>
        </w:rPr>
        <w:t>Numer</w:t>
      </w:r>
      <w:r w:rsidRPr="006C4B43">
        <w:rPr>
          <w:rFonts w:cs="Tahoma"/>
          <w:szCs w:val="20"/>
          <w:lang w:val="de-DE"/>
        </w:rPr>
        <w:t xml:space="preserve"> REGON</w:t>
      </w:r>
      <w:r w:rsidRPr="006C4B43">
        <w:rPr>
          <w:rFonts w:cs="Tahoma"/>
          <w:szCs w:val="20"/>
          <w:lang w:val="de-DE"/>
        </w:rPr>
        <w:tab/>
        <w:t>015281326</w:t>
      </w:r>
    </w:p>
    <w:p w:rsidR="00FA21A2" w:rsidRPr="006C4B43" w:rsidRDefault="00FA21A2" w:rsidP="00FA21A2">
      <w:pPr>
        <w:tabs>
          <w:tab w:val="right" w:pos="7371"/>
        </w:tabs>
        <w:rPr>
          <w:rFonts w:cs="Tahoma"/>
          <w:szCs w:val="20"/>
          <w:lang w:val="de-DE"/>
        </w:rPr>
      </w:pPr>
    </w:p>
    <w:p w:rsidR="00FA21A2" w:rsidRPr="006C4B43" w:rsidRDefault="00FA21A2" w:rsidP="00FA21A2">
      <w:pPr>
        <w:numPr>
          <w:ilvl w:val="1"/>
          <w:numId w:val="1"/>
        </w:numPr>
        <w:tabs>
          <w:tab w:val="right" w:pos="7371"/>
        </w:tabs>
        <w:rPr>
          <w:rFonts w:cs="Tahoma"/>
          <w:szCs w:val="20"/>
          <w:lang w:val="de-DE"/>
        </w:rPr>
      </w:pPr>
      <w:r w:rsidRPr="006C4B43">
        <w:rPr>
          <w:rFonts w:cs="Tahoma"/>
          <w:szCs w:val="20"/>
          <w:lang w:val="de-DE"/>
        </w:rPr>
        <w:t>NIP</w:t>
      </w:r>
      <w:r w:rsidRPr="006C4B43">
        <w:rPr>
          <w:rFonts w:cs="Tahoma"/>
          <w:szCs w:val="20"/>
          <w:lang w:val="de-DE"/>
        </w:rPr>
        <w:tab/>
        <w:t>524-24-42-164</w:t>
      </w:r>
    </w:p>
    <w:p w:rsidR="00FA21A2" w:rsidRPr="006C4B43" w:rsidRDefault="00FA21A2" w:rsidP="00FA21A2">
      <w:pPr>
        <w:tabs>
          <w:tab w:val="right" w:pos="7371"/>
        </w:tabs>
        <w:ind w:left="644"/>
        <w:rPr>
          <w:rFonts w:cs="Tahoma"/>
          <w:szCs w:val="20"/>
          <w:lang w:val="de-DE"/>
        </w:rPr>
      </w:pPr>
    </w:p>
    <w:p w:rsidR="00FA21A2" w:rsidRDefault="00FA21A2" w:rsidP="00FA21A2">
      <w:pPr>
        <w:pStyle w:val="spis2"/>
        <w:ind w:left="426" w:hanging="426"/>
      </w:pPr>
      <w:bookmarkStart w:id="3" w:name="_Toc509840967"/>
      <w:bookmarkStart w:id="4" w:name="_Toc509574059"/>
      <w:r w:rsidRPr="00E863B6">
        <w:t>Czas trwania Spółki</w:t>
      </w:r>
      <w:bookmarkEnd w:id="3"/>
    </w:p>
    <w:p w:rsidR="00FA21A2" w:rsidRPr="006D07D1" w:rsidRDefault="00FA21A2" w:rsidP="00FA21A2">
      <w:pPr>
        <w:rPr>
          <w:szCs w:val="20"/>
        </w:rPr>
      </w:pPr>
    </w:p>
    <w:p w:rsidR="00FA21A2" w:rsidRPr="006D07D1" w:rsidRDefault="00FA21A2" w:rsidP="00FA21A2">
      <w:pPr>
        <w:ind w:left="426"/>
        <w:rPr>
          <w:szCs w:val="20"/>
        </w:rPr>
      </w:pPr>
      <w:r w:rsidRPr="006D07D1">
        <w:rPr>
          <w:szCs w:val="20"/>
        </w:rPr>
        <w:t>Czas trwania Spółki jest nieograniczony.</w:t>
      </w:r>
      <w:bookmarkEnd w:id="4"/>
    </w:p>
    <w:p w:rsidR="00FA21A2" w:rsidRPr="006C4B43" w:rsidRDefault="00FA21A2" w:rsidP="00FA21A2">
      <w:pPr>
        <w:rPr>
          <w:rFonts w:eastAsia="Arial Unicode MS" w:cs="Tahoma"/>
          <w:szCs w:val="20"/>
        </w:rPr>
      </w:pPr>
    </w:p>
    <w:p w:rsidR="00FA21A2" w:rsidRDefault="00FA21A2" w:rsidP="00FA21A2">
      <w:pPr>
        <w:pStyle w:val="spis2"/>
        <w:ind w:left="426" w:hanging="426"/>
      </w:pPr>
      <w:bookmarkStart w:id="5" w:name="_Toc509840968"/>
      <w:bookmarkStart w:id="6" w:name="_Toc509574060"/>
      <w:r w:rsidRPr="00E863B6">
        <w:t>Okres objęty sprawozdaniem finansowym</w:t>
      </w:r>
      <w:bookmarkEnd w:id="5"/>
    </w:p>
    <w:p w:rsidR="00FA21A2" w:rsidRDefault="00FA21A2" w:rsidP="00FA21A2">
      <w:pPr>
        <w:ind w:left="426"/>
        <w:rPr>
          <w:szCs w:val="20"/>
        </w:rPr>
      </w:pPr>
    </w:p>
    <w:p w:rsidR="00FA21A2" w:rsidRPr="006D07D1" w:rsidRDefault="00FA21A2" w:rsidP="00FA21A2">
      <w:pPr>
        <w:ind w:left="426"/>
        <w:rPr>
          <w:szCs w:val="20"/>
        </w:rPr>
      </w:pPr>
      <w:r>
        <w:rPr>
          <w:szCs w:val="20"/>
        </w:rPr>
        <w:t xml:space="preserve">Okres objęty sprawozdaniem finansowym: </w:t>
      </w:r>
      <w:r w:rsidRPr="006D07D1">
        <w:rPr>
          <w:szCs w:val="20"/>
        </w:rPr>
        <w:t>1 stycznia 2017  – 31 grudnia 2017 roku. Okresem porównawczym jest rok 2016.</w:t>
      </w:r>
      <w:bookmarkEnd w:id="6"/>
    </w:p>
    <w:p w:rsidR="00FA21A2" w:rsidRPr="006C4B43" w:rsidRDefault="00FA21A2" w:rsidP="00FA21A2">
      <w:pPr>
        <w:rPr>
          <w:rFonts w:eastAsia="Arial Unicode MS" w:cs="Tahoma"/>
          <w:szCs w:val="20"/>
        </w:rPr>
      </w:pPr>
    </w:p>
    <w:p w:rsidR="00FA21A2" w:rsidRPr="00E863B6" w:rsidRDefault="00FA21A2" w:rsidP="00FA21A2">
      <w:pPr>
        <w:pStyle w:val="spis2"/>
        <w:ind w:left="426" w:hanging="426"/>
      </w:pPr>
      <w:bookmarkStart w:id="7" w:name="_Toc509574061"/>
      <w:bookmarkStart w:id="8" w:name="_Toc509840969"/>
      <w:r w:rsidRPr="00E863B6">
        <w:t>Informacje dotyczące składu osobowego Zarządu oraz Rady Nadzorczej Emitenta</w:t>
      </w:r>
      <w:bookmarkEnd w:id="7"/>
      <w:bookmarkEnd w:id="8"/>
    </w:p>
    <w:p w:rsidR="00FA21A2" w:rsidRPr="006C4B43" w:rsidRDefault="00FA21A2" w:rsidP="00FA21A2">
      <w:pPr>
        <w:pStyle w:val="Akapitzlist"/>
        <w:rPr>
          <w:rFonts w:cs="Tahoma"/>
          <w:szCs w:val="20"/>
        </w:rPr>
      </w:pPr>
    </w:p>
    <w:p w:rsidR="00FA21A2" w:rsidRPr="006C4B43" w:rsidRDefault="00FA21A2" w:rsidP="00FA21A2">
      <w:pPr>
        <w:ind w:left="644"/>
        <w:rPr>
          <w:rFonts w:eastAsia="Arial Unicode MS" w:cs="Tahoma"/>
          <w:szCs w:val="20"/>
        </w:rPr>
      </w:pPr>
      <w:r w:rsidRPr="006C4B43">
        <w:rPr>
          <w:rFonts w:eastAsia="Arial Unicode MS" w:cs="Tahoma"/>
          <w:szCs w:val="20"/>
        </w:rPr>
        <w:t>Na dzień 31 grudnia 2017 roku jak również na dzień publikacji niniejszego raportu okresowego skład</w:t>
      </w:r>
    </w:p>
    <w:p w:rsidR="00FA21A2" w:rsidRPr="006C4B43" w:rsidRDefault="00FA21A2" w:rsidP="00FA21A2">
      <w:pPr>
        <w:ind w:left="644"/>
        <w:rPr>
          <w:rFonts w:eastAsia="Arial Unicode MS" w:cs="Tahoma"/>
          <w:szCs w:val="20"/>
        </w:rPr>
      </w:pPr>
      <w:r w:rsidRPr="006C4B43">
        <w:rPr>
          <w:rFonts w:eastAsia="Arial Unicode MS" w:cs="Tahoma"/>
          <w:szCs w:val="20"/>
        </w:rPr>
        <w:t>Zarządu jest następujący:</w:t>
      </w:r>
    </w:p>
    <w:p w:rsidR="00FA21A2" w:rsidRPr="006C4B43" w:rsidRDefault="00FA21A2" w:rsidP="00FA21A2">
      <w:pPr>
        <w:ind w:left="644"/>
        <w:rPr>
          <w:rFonts w:eastAsia="Arial Unicode MS" w:cs="Tahoma"/>
          <w:szCs w:val="20"/>
        </w:rPr>
      </w:pPr>
      <w:r w:rsidRPr="006C4B43">
        <w:rPr>
          <w:rFonts w:eastAsia="Arial Unicode MS" w:cs="Tahoma"/>
          <w:szCs w:val="20"/>
        </w:rPr>
        <w:t>Pan Piotr Czachorowski – Prezes Zarządu</w:t>
      </w:r>
    </w:p>
    <w:p w:rsidR="00FA21A2" w:rsidRPr="006C4B43" w:rsidRDefault="00FA21A2" w:rsidP="00FA21A2">
      <w:pPr>
        <w:ind w:left="644"/>
        <w:rPr>
          <w:rFonts w:eastAsia="Arial Unicode MS" w:cs="Tahoma"/>
          <w:szCs w:val="20"/>
        </w:rPr>
      </w:pPr>
      <w:r w:rsidRPr="006C4B43">
        <w:rPr>
          <w:rFonts w:eastAsia="Arial Unicode MS" w:cs="Tahoma"/>
          <w:szCs w:val="20"/>
        </w:rPr>
        <w:t>Pani Agnieszka Donica – Członek Zarządu</w:t>
      </w:r>
    </w:p>
    <w:p w:rsidR="00FA21A2" w:rsidRDefault="00FA21A2" w:rsidP="00FA21A2">
      <w:pPr>
        <w:ind w:left="644"/>
        <w:rPr>
          <w:rFonts w:eastAsia="Arial Unicode MS" w:cs="Tahoma"/>
          <w:szCs w:val="20"/>
        </w:rPr>
      </w:pPr>
    </w:p>
    <w:p w:rsidR="00FA21A2" w:rsidRPr="006C4B43" w:rsidRDefault="00FA21A2" w:rsidP="00FA21A2">
      <w:pPr>
        <w:ind w:left="644"/>
        <w:rPr>
          <w:rFonts w:eastAsia="Arial Unicode MS" w:cs="Tahoma"/>
          <w:szCs w:val="20"/>
        </w:rPr>
      </w:pPr>
    </w:p>
    <w:p w:rsidR="00FA21A2" w:rsidRPr="006C4B43" w:rsidRDefault="00FA21A2" w:rsidP="00FA21A2">
      <w:pPr>
        <w:ind w:left="644"/>
        <w:rPr>
          <w:rFonts w:eastAsia="Arial Unicode MS" w:cs="Tahoma"/>
          <w:szCs w:val="20"/>
        </w:rPr>
      </w:pPr>
      <w:r w:rsidRPr="006C4B43">
        <w:rPr>
          <w:rFonts w:eastAsia="Arial Unicode MS" w:cs="Tahoma"/>
          <w:szCs w:val="20"/>
        </w:rPr>
        <w:t>Na dzień 31 grudnia 2017 roku jak również na dzień publikacji niniejszego raportu okresowego skład</w:t>
      </w:r>
    </w:p>
    <w:p w:rsidR="00FA21A2" w:rsidRPr="006C4B43" w:rsidRDefault="00FA21A2" w:rsidP="00FA21A2">
      <w:pPr>
        <w:ind w:left="644"/>
        <w:rPr>
          <w:rFonts w:eastAsia="Arial Unicode MS" w:cs="Tahoma"/>
          <w:szCs w:val="20"/>
        </w:rPr>
      </w:pPr>
      <w:r w:rsidRPr="006C4B43">
        <w:rPr>
          <w:rFonts w:eastAsia="Arial Unicode MS" w:cs="Tahoma"/>
          <w:szCs w:val="20"/>
        </w:rPr>
        <w:t>Rady Nadzorczej prezentuje się następująco:</w:t>
      </w:r>
    </w:p>
    <w:p w:rsidR="00FA21A2" w:rsidRPr="006C4B43" w:rsidRDefault="00FA21A2" w:rsidP="00FA21A2">
      <w:pPr>
        <w:ind w:left="644"/>
        <w:rPr>
          <w:rFonts w:eastAsia="Arial Unicode MS" w:cs="Tahoma"/>
          <w:szCs w:val="20"/>
        </w:rPr>
      </w:pPr>
    </w:p>
    <w:p w:rsidR="00FA21A2" w:rsidRPr="00E863B6" w:rsidRDefault="00FA21A2" w:rsidP="00FA21A2">
      <w:pPr>
        <w:ind w:left="708"/>
        <w:rPr>
          <w:szCs w:val="20"/>
        </w:rPr>
      </w:pPr>
      <w:r w:rsidRPr="00E863B6">
        <w:rPr>
          <w:szCs w:val="20"/>
        </w:rPr>
        <w:t>Pan Bartosz Czachorowski – Przewodniczący Rady Nadzorczej</w:t>
      </w:r>
    </w:p>
    <w:p w:rsidR="00FA21A2" w:rsidRPr="00E863B6" w:rsidRDefault="00FA21A2" w:rsidP="00FA21A2">
      <w:pPr>
        <w:ind w:left="708"/>
        <w:rPr>
          <w:szCs w:val="20"/>
        </w:rPr>
      </w:pPr>
      <w:r w:rsidRPr="00E863B6">
        <w:rPr>
          <w:szCs w:val="20"/>
        </w:rPr>
        <w:t>Pan Witold Jesionowski – Członek Rady Nadzorczej</w:t>
      </w:r>
    </w:p>
    <w:p w:rsidR="00FA21A2" w:rsidRPr="00E863B6" w:rsidRDefault="00FA21A2" w:rsidP="00FA21A2">
      <w:pPr>
        <w:ind w:left="708"/>
        <w:rPr>
          <w:szCs w:val="20"/>
        </w:rPr>
      </w:pPr>
      <w:r w:rsidRPr="00E863B6">
        <w:rPr>
          <w:szCs w:val="20"/>
        </w:rPr>
        <w:t xml:space="preserve">Pan Aleksander </w:t>
      </w:r>
      <w:proofErr w:type="spellStart"/>
      <w:r w:rsidRPr="00E863B6">
        <w:rPr>
          <w:szCs w:val="20"/>
        </w:rPr>
        <w:t>Molczyk</w:t>
      </w:r>
      <w:proofErr w:type="spellEnd"/>
      <w:r w:rsidRPr="00E863B6">
        <w:rPr>
          <w:szCs w:val="20"/>
        </w:rPr>
        <w:t xml:space="preserve"> – Członek Rady Nadzorczej</w:t>
      </w:r>
    </w:p>
    <w:p w:rsidR="00FA21A2" w:rsidRPr="00E863B6" w:rsidRDefault="00FA21A2" w:rsidP="00FA21A2">
      <w:pPr>
        <w:ind w:left="708"/>
        <w:rPr>
          <w:szCs w:val="20"/>
        </w:rPr>
      </w:pPr>
      <w:r w:rsidRPr="00E863B6">
        <w:rPr>
          <w:szCs w:val="20"/>
        </w:rPr>
        <w:t>Pan Jacek Czeladko – Członek Rady Nadzorczej</w:t>
      </w:r>
    </w:p>
    <w:p w:rsidR="00FA21A2" w:rsidRPr="00E863B6" w:rsidRDefault="00FA21A2" w:rsidP="00FA21A2">
      <w:pPr>
        <w:ind w:left="708"/>
        <w:rPr>
          <w:szCs w:val="20"/>
        </w:rPr>
      </w:pPr>
      <w:r w:rsidRPr="00E863B6">
        <w:rPr>
          <w:szCs w:val="20"/>
        </w:rPr>
        <w:t xml:space="preserve">Pan Adam </w:t>
      </w:r>
      <w:proofErr w:type="spellStart"/>
      <w:r w:rsidRPr="00E863B6">
        <w:rPr>
          <w:szCs w:val="20"/>
        </w:rPr>
        <w:t>Rosz</w:t>
      </w:r>
      <w:proofErr w:type="spellEnd"/>
      <w:r w:rsidRPr="00E863B6">
        <w:rPr>
          <w:szCs w:val="20"/>
        </w:rPr>
        <w:t xml:space="preserve"> – Członek Rady Nadzorczej</w:t>
      </w:r>
    </w:p>
    <w:p w:rsidR="00FA21A2" w:rsidRPr="006C4B43" w:rsidRDefault="00FA21A2" w:rsidP="00FA21A2">
      <w:pPr>
        <w:ind w:left="644"/>
        <w:rPr>
          <w:rFonts w:eastAsia="Arial Unicode MS" w:cs="Tahoma"/>
          <w:szCs w:val="20"/>
        </w:rPr>
      </w:pPr>
    </w:p>
    <w:p w:rsidR="00FA21A2" w:rsidRPr="006C4B43" w:rsidRDefault="00FA21A2" w:rsidP="00FA21A2">
      <w:pPr>
        <w:ind w:left="644"/>
        <w:rPr>
          <w:rFonts w:eastAsia="Arial Unicode MS" w:cs="Tahoma"/>
          <w:szCs w:val="20"/>
        </w:rPr>
      </w:pPr>
    </w:p>
    <w:p w:rsidR="00FA21A2" w:rsidRDefault="00FA21A2" w:rsidP="00FA21A2">
      <w:pPr>
        <w:pStyle w:val="spis2"/>
        <w:ind w:left="426" w:hanging="426"/>
      </w:pPr>
      <w:bookmarkStart w:id="9" w:name="_Toc509840970"/>
      <w:bookmarkStart w:id="10" w:name="_Toc509574062"/>
      <w:r>
        <w:t>W</w:t>
      </w:r>
      <w:r w:rsidRPr="00E863B6">
        <w:t>ewnętrzne jednostki organizacyjne</w:t>
      </w:r>
      <w:bookmarkEnd w:id="9"/>
    </w:p>
    <w:p w:rsidR="00FA21A2" w:rsidRDefault="00FA21A2" w:rsidP="00FA21A2">
      <w:pPr>
        <w:ind w:left="426"/>
      </w:pPr>
    </w:p>
    <w:p w:rsidR="00FA21A2" w:rsidRPr="00E863B6" w:rsidRDefault="00FA21A2" w:rsidP="00FA21A2">
      <w:pPr>
        <w:ind w:left="426"/>
      </w:pPr>
      <w:r w:rsidRPr="00E863B6">
        <w:t>W skład Krynica Vitamin Spółka Akcyjna nie wchodzą wewnętrzne jednostki organizacyjne sporządzające samodzielnie sprawozdania finansowe.</w:t>
      </w:r>
      <w:bookmarkEnd w:id="10"/>
    </w:p>
    <w:p w:rsidR="00FA21A2" w:rsidRDefault="00FA21A2" w:rsidP="00FA21A2">
      <w:pPr>
        <w:pStyle w:val="spis2"/>
        <w:ind w:left="426" w:hanging="426"/>
      </w:pPr>
      <w:bookmarkStart w:id="11" w:name="_Toc509573992"/>
      <w:bookmarkStart w:id="12" w:name="_Toc509574063"/>
      <w:bookmarkStart w:id="13" w:name="_Toc509840971"/>
      <w:bookmarkStart w:id="14" w:name="_Toc509574064"/>
      <w:bookmarkEnd w:id="11"/>
      <w:bookmarkEnd w:id="12"/>
      <w:r>
        <w:lastRenderedPageBreak/>
        <w:t>Skonsolidowane sprawozdanie finansowe</w:t>
      </w:r>
      <w:bookmarkEnd w:id="13"/>
    </w:p>
    <w:p w:rsidR="00FA21A2" w:rsidRDefault="00FA21A2" w:rsidP="00FA21A2">
      <w:pPr>
        <w:ind w:left="426"/>
      </w:pPr>
    </w:p>
    <w:p w:rsidR="00FA21A2" w:rsidRDefault="00FA21A2" w:rsidP="00FA21A2">
      <w:pPr>
        <w:ind w:left="426"/>
      </w:pPr>
      <w:r w:rsidRPr="00E863B6">
        <w:t>Krynica</w:t>
      </w:r>
      <w:r w:rsidRPr="00EB6EA6">
        <w:t xml:space="preserve"> Vitamin Spółka Akcyjna jest jednostką dominującą i sporządza skonsolidowane sprawozdanie finansowe.</w:t>
      </w:r>
      <w:bookmarkStart w:id="15" w:name="_Toc509573994"/>
      <w:bookmarkStart w:id="16" w:name="_Toc509574065"/>
      <w:bookmarkStart w:id="17" w:name="_Toc509574066"/>
      <w:bookmarkEnd w:id="14"/>
      <w:bookmarkEnd w:id="15"/>
      <w:bookmarkEnd w:id="16"/>
    </w:p>
    <w:p w:rsidR="00FA21A2" w:rsidRDefault="00FA21A2" w:rsidP="00FA21A2">
      <w:pPr>
        <w:pStyle w:val="spis2"/>
        <w:ind w:left="426" w:hanging="426"/>
      </w:pPr>
      <w:bookmarkStart w:id="18" w:name="_Toc509840972"/>
      <w:r>
        <w:t>P</w:t>
      </w:r>
      <w:r w:rsidRPr="00E863B6">
        <w:t>ołączenie z innymi spółkami</w:t>
      </w:r>
      <w:bookmarkEnd w:id="18"/>
    </w:p>
    <w:p w:rsidR="00FA21A2" w:rsidRDefault="00FA21A2" w:rsidP="00FA21A2"/>
    <w:p w:rsidR="00FA21A2" w:rsidRPr="00E863B6" w:rsidRDefault="00FA21A2" w:rsidP="00FA21A2">
      <w:pPr>
        <w:ind w:left="426"/>
      </w:pPr>
      <w:r w:rsidRPr="00E863B6">
        <w:t>W trakcie roku obrotowego zakończonego 31 grudnia 2017 roku nie nastąpiło połączenie z innymi spółkami.</w:t>
      </w:r>
      <w:bookmarkStart w:id="19" w:name="_Toc509574067"/>
      <w:bookmarkEnd w:id="17"/>
      <w:bookmarkEnd w:id="19"/>
    </w:p>
    <w:p w:rsidR="00FA21A2" w:rsidRDefault="00FA21A2" w:rsidP="00FA21A2">
      <w:pPr>
        <w:pStyle w:val="spis2"/>
        <w:ind w:left="426" w:hanging="426"/>
      </w:pPr>
      <w:bookmarkStart w:id="20" w:name="_Toc509573997"/>
      <w:bookmarkStart w:id="21" w:name="_Toc509574068"/>
      <w:bookmarkStart w:id="22" w:name="_Toc509840973"/>
      <w:bookmarkStart w:id="23" w:name="_Toc509574069"/>
      <w:bookmarkEnd w:id="20"/>
      <w:bookmarkEnd w:id="21"/>
      <w:r>
        <w:t>Założenie kontynuacji działalności</w:t>
      </w:r>
      <w:bookmarkEnd w:id="22"/>
    </w:p>
    <w:p w:rsidR="00FA21A2" w:rsidRDefault="00FA21A2" w:rsidP="00FA21A2"/>
    <w:p w:rsidR="00FA21A2" w:rsidRDefault="00FA21A2" w:rsidP="00FA21A2">
      <w:pPr>
        <w:ind w:left="426"/>
      </w:pPr>
      <w:r w:rsidRPr="00E863B6">
        <w:t>Sprawozdanie finansowe zostało sporządzone przy założeniu kontynuacji działalności przez Spółkę w dającej się przewidzieć przyszłości oraz przy założeniu, że nie istnieją okoliczności wskazujące na zagrożenie kontynuacji działalności przez Spółkę.</w:t>
      </w:r>
      <w:bookmarkEnd w:id="23"/>
    </w:p>
    <w:p w:rsidR="00FA21A2" w:rsidRDefault="00FA21A2" w:rsidP="00FA21A2">
      <w:pPr>
        <w:pStyle w:val="spis2"/>
        <w:ind w:left="426" w:hanging="426"/>
      </w:pPr>
      <w:bookmarkStart w:id="24" w:name="_Toc509573999"/>
      <w:bookmarkStart w:id="25" w:name="_Toc509574070"/>
      <w:bookmarkStart w:id="26" w:name="_Toc509840974"/>
      <w:bookmarkStart w:id="27" w:name="_Toc509574071"/>
      <w:bookmarkEnd w:id="24"/>
      <w:bookmarkEnd w:id="25"/>
      <w:r>
        <w:t>Porównywalność danych</w:t>
      </w:r>
      <w:bookmarkEnd w:id="26"/>
    </w:p>
    <w:p w:rsidR="00FA21A2" w:rsidRDefault="00FA21A2" w:rsidP="00FA21A2"/>
    <w:p w:rsidR="00FA21A2" w:rsidRPr="00EB6EA6" w:rsidRDefault="00FA21A2" w:rsidP="00FA21A2">
      <w:pPr>
        <w:ind w:left="426"/>
      </w:pPr>
      <w:r w:rsidRPr="00E863B6">
        <w:t>Sprawozdania</w:t>
      </w:r>
      <w:r w:rsidRPr="00EB6EA6">
        <w:t xml:space="preserve"> finansowe podlegały przekształceniu w celu zapewnienia porównywalności danych.</w:t>
      </w:r>
      <w:bookmarkEnd w:id="27"/>
      <w:r w:rsidRPr="00EB6EA6">
        <w:t xml:space="preserve"> </w:t>
      </w:r>
      <w:bookmarkStart w:id="28" w:name="_Toc509574072"/>
      <w:r w:rsidRPr="00E863B6">
        <w:t>Przekształceniu</w:t>
      </w:r>
      <w:r w:rsidRPr="00EB6EA6">
        <w:t xml:space="preserve"> podlegały bilansowe i wynikowe dane porównawcze za rok 2016. Przyczyną są korekty wyniku lat ubiegłych zaprezentowane w punktach 28. i 30. na stronach 73-74.</w:t>
      </w:r>
      <w:bookmarkEnd w:id="28"/>
    </w:p>
    <w:p w:rsidR="00FA21A2" w:rsidRDefault="00FA21A2" w:rsidP="00FA21A2">
      <w:pPr>
        <w:pStyle w:val="spis2"/>
        <w:ind w:left="426" w:hanging="426"/>
      </w:pPr>
      <w:bookmarkStart w:id="29" w:name="_Toc509574002"/>
      <w:bookmarkStart w:id="30" w:name="_Toc509574073"/>
      <w:bookmarkStart w:id="31" w:name="_Toc509840975"/>
      <w:bookmarkStart w:id="32" w:name="_Toc509574074"/>
      <w:bookmarkEnd w:id="29"/>
      <w:bookmarkEnd w:id="30"/>
      <w:r>
        <w:t>Inne korekty</w:t>
      </w:r>
      <w:bookmarkEnd w:id="31"/>
    </w:p>
    <w:p w:rsidR="00FA21A2" w:rsidRDefault="00FA21A2" w:rsidP="00FA21A2"/>
    <w:p w:rsidR="00FA21A2" w:rsidRPr="00EB6EA6" w:rsidRDefault="00FA21A2" w:rsidP="00FA21A2">
      <w:pPr>
        <w:ind w:left="426"/>
      </w:pPr>
      <w:r w:rsidRPr="00EB6EA6">
        <w:t xml:space="preserve">W przedstawionym sprawozdaniu finansowym lub porównywalnych danych finansowych nie dokonano korekt wynikających z zastrzeżeń w opiniach podmiotów uprawnionych do badania o sprawozdaniach </w:t>
      </w:r>
      <w:r w:rsidRPr="00E863B6">
        <w:t>finansowych</w:t>
      </w:r>
      <w:r w:rsidRPr="00EB6EA6">
        <w:t xml:space="preserve"> za lata, za które sprawozdanie finansowe lub porównywalne dane finansowe zostały zamieszczone w raporcie</w:t>
      </w:r>
      <w:bookmarkEnd w:id="32"/>
      <w:r>
        <w:t>.</w:t>
      </w:r>
    </w:p>
    <w:p w:rsidR="00FA21A2" w:rsidRDefault="00FA21A2" w:rsidP="00FA21A2">
      <w:pPr>
        <w:pStyle w:val="spis2"/>
        <w:ind w:left="426" w:hanging="426"/>
      </w:pPr>
      <w:bookmarkStart w:id="33" w:name="_Toc509574004"/>
      <w:bookmarkStart w:id="34" w:name="_Toc509574075"/>
      <w:bookmarkStart w:id="35" w:name="_Toc509840976"/>
      <w:bookmarkStart w:id="36" w:name="_Toc509574076"/>
      <w:bookmarkEnd w:id="33"/>
      <w:bookmarkEnd w:id="34"/>
      <w:r>
        <w:t>Polityka rachunkowości</w:t>
      </w:r>
      <w:bookmarkEnd w:id="35"/>
    </w:p>
    <w:p w:rsidR="00FA21A2" w:rsidRDefault="00FA21A2" w:rsidP="00FA21A2"/>
    <w:p w:rsidR="00FA21A2" w:rsidRPr="00EB6EA6" w:rsidRDefault="00FA21A2" w:rsidP="00FA21A2">
      <w:pPr>
        <w:ind w:left="426"/>
      </w:pPr>
      <w:r w:rsidRPr="00EB6EA6">
        <w:t xml:space="preserve">Omówienie przyjętych zasad (polityki) rachunkowości, w tym metod wyceny aktywów </w:t>
      </w:r>
      <w:r w:rsidRPr="00EB6EA6">
        <w:br/>
        <w:t>i pasywów (także amortyzacji), pomiaru wyniku finansowego oraz sposobu sporządzenia sprawozdania finansowego w zakresie, w jakim ustawa pozostawia jednostce prawo wyboru. tytuł</w:t>
      </w:r>
      <w:bookmarkEnd w:id="36"/>
    </w:p>
    <w:p w:rsidR="00FA21A2" w:rsidRPr="00E863B6" w:rsidRDefault="00FA21A2" w:rsidP="00FA21A2">
      <w:pPr>
        <w:rPr>
          <w:rFonts w:cs="Tahoma"/>
          <w:b/>
          <w:caps/>
          <w:szCs w:val="20"/>
        </w:rPr>
      </w:pPr>
      <w:bookmarkStart w:id="37" w:name="_Toc34046556"/>
      <w:bookmarkStart w:id="38" w:name="_Toc34046690"/>
    </w:p>
    <w:p w:rsidR="00FA21A2" w:rsidRPr="00E863B6" w:rsidRDefault="00FA21A2" w:rsidP="00FA21A2">
      <w:pPr>
        <w:pStyle w:val="spis3"/>
      </w:pPr>
      <w:bookmarkStart w:id="39" w:name="_Toc509574077"/>
      <w:bookmarkStart w:id="40" w:name="_Toc509840977"/>
      <w:r w:rsidRPr="00E863B6">
        <w:t>Wartości niematerialne i prawne</w:t>
      </w:r>
      <w:bookmarkEnd w:id="37"/>
      <w:bookmarkEnd w:id="38"/>
      <w:bookmarkEnd w:id="39"/>
      <w:bookmarkEnd w:id="40"/>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Wartości niematerialne i prawne są wyceniane według cen nabycia lub kosztów wytworzenia, pomniejszonych o odpisy amortyzacyjne oraz o odpisy z tytułu trwałej utraty wartości.</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Stawki amortyzacyjne ustalone zostały z uwzględnieniem okresu ekonomicznej użyteczności wartości niematerialnych i prawnych. Odzwierciedlają faktyczny okres ich użytkowania. Wartości niematerialne amortyzuje się metodą liniową.</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Roczne stawki amortyzacyjne kształtują się następująco:</w:t>
      </w:r>
    </w:p>
    <w:p w:rsidR="00FA21A2" w:rsidRPr="006C4B43" w:rsidRDefault="00FA21A2" w:rsidP="00FA21A2">
      <w:pPr>
        <w:rPr>
          <w:rFonts w:cs="Tahoma"/>
          <w:szCs w:val="20"/>
        </w:rPr>
      </w:pPr>
    </w:p>
    <w:p w:rsidR="00FA21A2" w:rsidRPr="006C4B43" w:rsidRDefault="00FA21A2" w:rsidP="00FA21A2">
      <w:pPr>
        <w:ind w:left="567"/>
        <w:rPr>
          <w:rFonts w:cs="Tahoma"/>
          <w:szCs w:val="20"/>
        </w:rPr>
      </w:pPr>
      <w:r w:rsidRPr="006C4B43">
        <w:rPr>
          <w:rFonts w:cs="Tahoma"/>
          <w:szCs w:val="20"/>
        </w:rPr>
        <w:t>patenty, licencje, znaki firmowe</w:t>
      </w:r>
      <w:r w:rsidRPr="006C4B43">
        <w:rPr>
          <w:rFonts w:cs="Tahoma"/>
          <w:szCs w:val="20"/>
        </w:rPr>
        <w:tab/>
      </w:r>
      <w:r w:rsidRPr="006C4B43">
        <w:rPr>
          <w:rFonts w:cs="Tahoma"/>
          <w:szCs w:val="20"/>
        </w:rPr>
        <w:tab/>
      </w:r>
      <w:r w:rsidRPr="006C4B43">
        <w:rPr>
          <w:rFonts w:cs="Tahoma"/>
          <w:szCs w:val="20"/>
        </w:rPr>
        <w:tab/>
      </w:r>
      <w:r w:rsidRPr="006C4B43">
        <w:rPr>
          <w:rFonts w:cs="Tahoma"/>
          <w:szCs w:val="20"/>
        </w:rPr>
        <w:tab/>
        <w:t>6,70 %</w:t>
      </w:r>
    </w:p>
    <w:p w:rsidR="00FA21A2" w:rsidRPr="006C4B43" w:rsidRDefault="00FA21A2" w:rsidP="00FA21A2">
      <w:pPr>
        <w:ind w:left="567"/>
        <w:rPr>
          <w:rFonts w:cs="Tahoma"/>
          <w:szCs w:val="20"/>
        </w:rPr>
      </w:pPr>
      <w:r w:rsidRPr="006C4B43">
        <w:rPr>
          <w:rFonts w:cs="Tahoma"/>
          <w:szCs w:val="20"/>
        </w:rPr>
        <w:t>oprogramowanie komputerowe</w:t>
      </w:r>
      <w:r w:rsidRPr="006C4B43">
        <w:rPr>
          <w:rFonts w:cs="Tahoma"/>
          <w:szCs w:val="20"/>
        </w:rPr>
        <w:tab/>
      </w:r>
      <w:r w:rsidRPr="006C4B43">
        <w:rPr>
          <w:rFonts w:cs="Tahoma"/>
          <w:szCs w:val="20"/>
        </w:rPr>
        <w:tab/>
      </w:r>
      <w:r w:rsidRPr="006C4B43">
        <w:rPr>
          <w:rFonts w:cs="Tahoma"/>
          <w:szCs w:val="20"/>
        </w:rPr>
        <w:tab/>
      </w:r>
      <w:r w:rsidRPr="006C4B43">
        <w:rPr>
          <w:rFonts w:cs="Tahoma"/>
          <w:szCs w:val="20"/>
        </w:rPr>
        <w:tab/>
        <w:t>20 %</w:t>
      </w:r>
    </w:p>
    <w:p w:rsidR="00FA21A2" w:rsidRPr="006C4B43" w:rsidRDefault="00FA21A2" w:rsidP="00FA21A2">
      <w:pPr>
        <w:ind w:left="567"/>
        <w:rPr>
          <w:rFonts w:cs="Tahoma"/>
          <w:szCs w:val="20"/>
        </w:rPr>
      </w:pPr>
      <w:r w:rsidRPr="006C4B43">
        <w:rPr>
          <w:rFonts w:cs="Tahoma"/>
          <w:szCs w:val="20"/>
        </w:rPr>
        <w:t>inne wartości niematerialne i prawne</w:t>
      </w:r>
      <w:r w:rsidRPr="006C4B43">
        <w:rPr>
          <w:rFonts w:cs="Tahoma"/>
          <w:szCs w:val="20"/>
        </w:rPr>
        <w:tab/>
      </w:r>
      <w:r w:rsidRPr="006C4B43">
        <w:rPr>
          <w:rFonts w:cs="Tahoma"/>
          <w:szCs w:val="20"/>
        </w:rPr>
        <w:tab/>
      </w:r>
      <w:r w:rsidRPr="006C4B43">
        <w:rPr>
          <w:rFonts w:cs="Tahoma"/>
          <w:szCs w:val="20"/>
        </w:rPr>
        <w:tab/>
        <w:t>50 %</w:t>
      </w:r>
    </w:p>
    <w:p w:rsidR="00FA21A2" w:rsidRPr="006C4B43" w:rsidRDefault="00FA21A2" w:rsidP="00FA21A2">
      <w:pPr>
        <w:rPr>
          <w:rFonts w:cs="Tahoma"/>
          <w:szCs w:val="20"/>
        </w:rPr>
      </w:pP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Wartości niematerialne i prawne o wartości jednostkowej do 3.500 złotych amortyzowane są jednorazowo w momencie oddania do użytkowania.</w:t>
      </w:r>
    </w:p>
    <w:p w:rsidR="00FA21A2" w:rsidRPr="006C4B43" w:rsidRDefault="00FA21A2" w:rsidP="00FA21A2">
      <w:pPr>
        <w:rPr>
          <w:rFonts w:cs="Tahoma"/>
          <w:szCs w:val="20"/>
        </w:rPr>
      </w:pPr>
    </w:p>
    <w:p w:rsidR="00FA21A2" w:rsidRPr="00E863B6" w:rsidRDefault="00FA21A2" w:rsidP="00FA21A2">
      <w:pPr>
        <w:pStyle w:val="spis3"/>
      </w:pPr>
      <w:bookmarkStart w:id="41" w:name="_Toc34046557"/>
      <w:bookmarkStart w:id="42" w:name="_Toc34046691"/>
      <w:bookmarkStart w:id="43" w:name="_Toc509574078"/>
      <w:bookmarkStart w:id="44" w:name="_Toc509840978"/>
      <w:r w:rsidRPr="00E863B6">
        <w:t>Środki trwa</w:t>
      </w:r>
      <w:bookmarkEnd w:id="41"/>
      <w:bookmarkEnd w:id="42"/>
      <w:r w:rsidRPr="00E863B6">
        <w:t>łe</w:t>
      </w:r>
      <w:bookmarkEnd w:id="43"/>
      <w:bookmarkEnd w:id="44"/>
    </w:p>
    <w:p w:rsidR="00FA21A2" w:rsidRPr="006C4B43" w:rsidRDefault="00FA21A2" w:rsidP="00FA21A2">
      <w:pPr>
        <w:spacing w:before="180"/>
        <w:rPr>
          <w:rFonts w:cs="Tahoma"/>
          <w:szCs w:val="20"/>
        </w:rPr>
      </w:pPr>
      <w:r w:rsidRPr="006C4B43">
        <w:rPr>
          <w:rFonts w:cs="Tahoma"/>
          <w:szCs w:val="20"/>
        </w:rPr>
        <w:t>W pozycji tej ujęte zostały rzeczowe aktywa trwałe i zrównane z nimi, o przewidywanym okresie ekonomicznej użyteczności dłuższym niż rok, kompletne, zdatne do użytku i przeznaczone na potrzeby jednostki.</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lastRenderedPageBreak/>
        <w:t>Grunty wyceniane są według cen nabycia pomniejszonych o odpisy z tytułu trwałej utraty wartości. Środki trwałe, inne niż grunty wyceniane są według cen nabycia lub kosztów wytworzenia pomniejszonych o odpisy umorzeniowe oraz o odpisy z tytułu trwałej utraty wartości.</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Wartość początkowa środków trwałych podlega podwyższeniu o wartość nakładów poniesionych na ich ulepszenie (przebudowę, rozbudowę, modernizację, rekonstrukcję). Natomiast koszty napraw, przeglądów, opłaty eksploatacyjne, wpływają na wynik finansowy okresu sprawozdawczego, w którym zostały poniesione.</w:t>
      </w:r>
    </w:p>
    <w:p w:rsidR="00FA21A2" w:rsidRPr="006C4B43" w:rsidRDefault="00FA21A2" w:rsidP="00FA21A2">
      <w:pPr>
        <w:rPr>
          <w:rFonts w:cs="Tahoma"/>
          <w:szCs w:val="20"/>
        </w:rPr>
      </w:pPr>
      <w:r w:rsidRPr="006C4B43">
        <w:rPr>
          <w:rFonts w:cs="Tahoma"/>
          <w:szCs w:val="20"/>
        </w:rPr>
        <w:t>Wartość początkowa środków trwałych pomniejszona została o odpisy amortyzacyjne. Stawki amortyzacyjne ustalone zostały z uwzględnieniem okresu użyteczności środków trwałych i odzwierciedlają faktyczne zużycie środków trwałych.</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 xml:space="preserve">W poszczególnych grupach stosowane są następujące stawki i metody amortyzacji: </w:t>
      </w:r>
    </w:p>
    <w:p w:rsidR="00FA21A2" w:rsidRPr="006C4B43" w:rsidRDefault="00FA21A2" w:rsidP="00FA21A2">
      <w:pPr>
        <w:rPr>
          <w:rFonts w:cs="Tahoma"/>
          <w:szCs w:val="20"/>
        </w:rPr>
      </w:pPr>
    </w:p>
    <w:tbl>
      <w:tblPr>
        <w:tblW w:w="0" w:type="auto"/>
        <w:tblLayout w:type="fixed"/>
        <w:tblLook w:val="0000" w:firstRow="0" w:lastRow="0" w:firstColumn="0" w:lastColumn="0" w:noHBand="0" w:noVBand="0"/>
      </w:tblPr>
      <w:tblGrid>
        <w:gridCol w:w="3261"/>
        <w:gridCol w:w="2976"/>
        <w:gridCol w:w="2268"/>
      </w:tblGrid>
      <w:tr w:rsidR="00FA21A2" w:rsidRPr="006C4B43" w:rsidTr="006D3597">
        <w:trPr>
          <w:trHeight w:val="428"/>
        </w:trPr>
        <w:tc>
          <w:tcPr>
            <w:tcW w:w="3261" w:type="dxa"/>
          </w:tcPr>
          <w:p w:rsidR="00FA21A2" w:rsidRPr="006C4B43" w:rsidRDefault="00FA21A2" w:rsidP="006D3597">
            <w:pPr>
              <w:tabs>
                <w:tab w:val="left" w:pos="3969"/>
              </w:tabs>
              <w:rPr>
                <w:rFonts w:cs="Tahoma"/>
                <w:b/>
                <w:szCs w:val="20"/>
              </w:rPr>
            </w:pPr>
            <w:r w:rsidRPr="006C4B43">
              <w:rPr>
                <w:rFonts w:cs="Tahoma"/>
                <w:b/>
                <w:szCs w:val="20"/>
              </w:rPr>
              <w:t>Rodzaj środków trwałych</w:t>
            </w:r>
          </w:p>
        </w:tc>
        <w:tc>
          <w:tcPr>
            <w:tcW w:w="2976" w:type="dxa"/>
          </w:tcPr>
          <w:p w:rsidR="00FA21A2" w:rsidRPr="006C4B43" w:rsidRDefault="00FA21A2" w:rsidP="006D3597">
            <w:pPr>
              <w:tabs>
                <w:tab w:val="left" w:pos="3969"/>
              </w:tabs>
              <w:rPr>
                <w:rFonts w:cs="Tahoma"/>
                <w:b/>
                <w:szCs w:val="20"/>
              </w:rPr>
            </w:pPr>
            <w:r w:rsidRPr="006C4B43">
              <w:rPr>
                <w:rFonts w:cs="Tahoma"/>
                <w:b/>
                <w:szCs w:val="20"/>
              </w:rPr>
              <w:t>Metoda amortyzacji</w:t>
            </w:r>
          </w:p>
        </w:tc>
        <w:tc>
          <w:tcPr>
            <w:tcW w:w="2268" w:type="dxa"/>
          </w:tcPr>
          <w:p w:rsidR="00FA21A2" w:rsidRPr="006C4B43" w:rsidRDefault="00FA21A2" w:rsidP="006D3597">
            <w:pPr>
              <w:tabs>
                <w:tab w:val="left" w:pos="3969"/>
              </w:tabs>
              <w:rPr>
                <w:rFonts w:cs="Tahoma"/>
                <w:b/>
                <w:szCs w:val="20"/>
              </w:rPr>
            </w:pPr>
            <w:r w:rsidRPr="006C4B43">
              <w:rPr>
                <w:rFonts w:cs="Tahoma"/>
                <w:b/>
                <w:szCs w:val="20"/>
              </w:rPr>
              <w:t>Stawka amortyzacyjna</w:t>
            </w:r>
          </w:p>
        </w:tc>
      </w:tr>
      <w:tr w:rsidR="00FA21A2" w:rsidRPr="006C4B43" w:rsidTr="006D3597">
        <w:trPr>
          <w:trHeight w:val="309"/>
        </w:trPr>
        <w:tc>
          <w:tcPr>
            <w:tcW w:w="3261" w:type="dxa"/>
          </w:tcPr>
          <w:p w:rsidR="00FA21A2" w:rsidRPr="006C4B43" w:rsidRDefault="00FA21A2" w:rsidP="006D3597">
            <w:pPr>
              <w:tabs>
                <w:tab w:val="left" w:pos="3969"/>
              </w:tabs>
              <w:rPr>
                <w:rFonts w:cs="Tahoma"/>
                <w:szCs w:val="20"/>
              </w:rPr>
            </w:pPr>
            <w:r w:rsidRPr="006C4B43">
              <w:rPr>
                <w:rFonts w:cs="Tahoma"/>
                <w:szCs w:val="20"/>
              </w:rPr>
              <w:t>Prawo wieczystego użytkowania gruntów</w:t>
            </w:r>
          </w:p>
        </w:tc>
        <w:tc>
          <w:tcPr>
            <w:tcW w:w="2976" w:type="dxa"/>
          </w:tcPr>
          <w:p w:rsidR="00FA21A2" w:rsidRPr="006C4B43" w:rsidRDefault="00FA21A2" w:rsidP="006D3597">
            <w:pPr>
              <w:tabs>
                <w:tab w:val="left" w:pos="3969"/>
              </w:tabs>
              <w:rPr>
                <w:rFonts w:cs="Tahoma"/>
                <w:szCs w:val="20"/>
              </w:rPr>
            </w:pPr>
            <w:r w:rsidRPr="006C4B43">
              <w:rPr>
                <w:rFonts w:cs="Tahoma"/>
                <w:szCs w:val="20"/>
              </w:rPr>
              <w:t>metoda liniowa</w:t>
            </w:r>
          </w:p>
        </w:tc>
        <w:tc>
          <w:tcPr>
            <w:tcW w:w="2268" w:type="dxa"/>
          </w:tcPr>
          <w:p w:rsidR="00FA21A2" w:rsidRPr="006C4B43" w:rsidRDefault="00FA21A2" w:rsidP="006D3597">
            <w:pPr>
              <w:pStyle w:val="Tekstkomentarza"/>
              <w:tabs>
                <w:tab w:val="left" w:pos="3969"/>
              </w:tabs>
              <w:jc w:val="center"/>
              <w:rPr>
                <w:rFonts w:eastAsia="Times New Roman" w:cs="Tahoma"/>
                <w:lang w:val="pl-PL" w:eastAsia="en-US"/>
              </w:rPr>
            </w:pPr>
            <w:r w:rsidRPr="006C4B43">
              <w:rPr>
                <w:rFonts w:eastAsia="Times New Roman" w:cs="Tahoma"/>
                <w:lang w:val="pl-PL" w:eastAsia="en-US"/>
              </w:rPr>
              <w:t xml:space="preserve">Brak amortyzacji </w:t>
            </w:r>
          </w:p>
        </w:tc>
      </w:tr>
      <w:tr w:rsidR="00FA21A2" w:rsidRPr="006C4B43" w:rsidTr="006D3597">
        <w:trPr>
          <w:trHeight w:val="309"/>
        </w:trPr>
        <w:tc>
          <w:tcPr>
            <w:tcW w:w="3261" w:type="dxa"/>
          </w:tcPr>
          <w:p w:rsidR="00FA21A2" w:rsidRPr="006C4B43" w:rsidRDefault="00FA21A2" w:rsidP="006D3597">
            <w:pPr>
              <w:tabs>
                <w:tab w:val="left" w:pos="3969"/>
              </w:tabs>
              <w:rPr>
                <w:rFonts w:cs="Tahoma"/>
                <w:szCs w:val="20"/>
              </w:rPr>
            </w:pPr>
            <w:r w:rsidRPr="006C4B43">
              <w:rPr>
                <w:rFonts w:cs="Tahoma"/>
                <w:szCs w:val="20"/>
              </w:rPr>
              <w:t>Budynki i budowle</w:t>
            </w:r>
          </w:p>
        </w:tc>
        <w:tc>
          <w:tcPr>
            <w:tcW w:w="2976" w:type="dxa"/>
          </w:tcPr>
          <w:p w:rsidR="00FA21A2" w:rsidRPr="006C4B43" w:rsidRDefault="00FA21A2" w:rsidP="006D3597">
            <w:pPr>
              <w:tabs>
                <w:tab w:val="left" w:pos="3969"/>
              </w:tabs>
              <w:rPr>
                <w:rFonts w:cs="Tahoma"/>
                <w:szCs w:val="20"/>
              </w:rPr>
            </w:pPr>
            <w:r w:rsidRPr="006C4B43">
              <w:rPr>
                <w:rFonts w:cs="Tahoma"/>
                <w:szCs w:val="20"/>
              </w:rPr>
              <w:t>metoda liniowa</w:t>
            </w:r>
          </w:p>
        </w:tc>
        <w:tc>
          <w:tcPr>
            <w:tcW w:w="2268" w:type="dxa"/>
          </w:tcPr>
          <w:p w:rsidR="00FA21A2" w:rsidRPr="006C4B43" w:rsidRDefault="00FA21A2" w:rsidP="006D3597">
            <w:pPr>
              <w:pStyle w:val="Tekstkomentarza"/>
              <w:tabs>
                <w:tab w:val="left" w:pos="3969"/>
              </w:tabs>
              <w:jc w:val="center"/>
              <w:rPr>
                <w:rFonts w:eastAsia="Times New Roman" w:cs="Tahoma"/>
                <w:lang w:val="pl-PL" w:eastAsia="en-US"/>
              </w:rPr>
            </w:pPr>
            <w:r w:rsidRPr="006C4B43">
              <w:rPr>
                <w:rFonts w:eastAsia="Times New Roman" w:cs="Tahoma"/>
                <w:lang w:val="pl-PL" w:eastAsia="en-US"/>
              </w:rPr>
              <w:t>2,50 – 4,50%</w:t>
            </w:r>
          </w:p>
        </w:tc>
      </w:tr>
      <w:tr w:rsidR="00FA21A2" w:rsidRPr="006C4B43" w:rsidTr="006D3597">
        <w:trPr>
          <w:trHeight w:val="309"/>
        </w:trPr>
        <w:tc>
          <w:tcPr>
            <w:tcW w:w="3261" w:type="dxa"/>
          </w:tcPr>
          <w:p w:rsidR="00FA21A2" w:rsidRPr="006C4B43" w:rsidRDefault="00FA21A2" w:rsidP="006D3597">
            <w:pPr>
              <w:tabs>
                <w:tab w:val="left" w:pos="3969"/>
              </w:tabs>
              <w:rPr>
                <w:rFonts w:cs="Tahoma"/>
                <w:szCs w:val="20"/>
              </w:rPr>
            </w:pPr>
            <w:r w:rsidRPr="006C4B43">
              <w:rPr>
                <w:rFonts w:cs="Tahoma"/>
                <w:szCs w:val="20"/>
              </w:rPr>
              <w:t>Maszyny i urządzenia</w:t>
            </w:r>
          </w:p>
        </w:tc>
        <w:tc>
          <w:tcPr>
            <w:tcW w:w="2976" w:type="dxa"/>
          </w:tcPr>
          <w:p w:rsidR="00FA21A2" w:rsidRPr="006C4B43" w:rsidRDefault="00FA21A2" w:rsidP="006D3597">
            <w:pPr>
              <w:tabs>
                <w:tab w:val="left" w:pos="3969"/>
              </w:tabs>
              <w:rPr>
                <w:rFonts w:cs="Tahoma"/>
                <w:szCs w:val="20"/>
              </w:rPr>
            </w:pPr>
            <w:r w:rsidRPr="006C4B43">
              <w:rPr>
                <w:rFonts w:cs="Tahoma"/>
                <w:szCs w:val="20"/>
              </w:rPr>
              <w:t>metoda liniowa</w:t>
            </w:r>
          </w:p>
        </w:tc>
        <w:tc>
          <w:tcPr>
            <w:tcW w:w="2268" w:type="dxa"/>
          </w:tcPr>
          <w:p w:rsidR="00FA21A2" w:rsidRPr="006C4B43" w:rsidRDefault="00FA21A2" w:rsidP="006D3597">
            <w:pPr>
              <w:tabs>
                <w:tab w:val="left" w:pos="3969"/>
              </w:tabs>
              <w:jc w:val="center"/>
              <w:rPr>
                <w:rFonts w:cs="Tahoma"/>
                <w:szCs w:val="20"/>
              </w:rPr>
            </w:pPr>
            <w:r w:rsidRPr="006C4B43">
              <w:rPr>
                <w:rFonts w:cs="Tahoma"/>
                <w:szCs w:val="20"/>
              </w:rPr>
              <w:t>10 - 20%</w:t>
            </w:r>
          </w:p>
        </w:tc>
      </w:tr>
      <w:tr w:rsidR="00FA21A2" w:rsidRPr="006C4B43" w:rsidTr="006D3597">
        <w:trPr>
          <w:trHeight w:val="309"/>
        </w:trPr>
        <w:tc>
          <w:tcPr>
            <w:tcW w:w="3261" w:type="dxa"/>
          </w:tcPr>
          <w:p w:rsidR="00FA21A2" w:rsidRPr="006C4B43" w:rsidRDefault="00FA21A2" w:rsidP="006D3597">
            <w:pPr>
              <w:tabs>
                <w:tab w:val="left" w:pos="3969"/>
              </w:tabs>
              <w:rPr>
                <w:rFonts w:cs="Tahoma"/>
                <w:szCs w:val="20"/>
              </w:rPr>
            </w:pPr>
            <w:r w:rsidRPr="006C4B43">
              <w:rPr>
                <w:rFonts w:cs="Tahoma"/>
                <w:szCs w:val="20"/>
              </w:rPr>
              <w:t>Komputery</w:t>
            </w:r>
          </w:p>
        </w:tc>
        <w:tc>
          <w:tcPr>
            <w:tcW w:w="2976" w:type="dxa"/>
          </w:tcPr>
          <w:p w:rsidR="00FA21A2" w:rsidRPr="006C4B43" w:rsidRDefault="00FA21A2" w:rsidP="006D3597">
            <w:pPr>
              <w:pStyle w:val="Tekstkomentarza"/>
              <w:tabs>
                <w:tab w:val="left" w:pos="3969"/>
              </w:tabs>
              <w:rPr>
                <w:rFonts w:eastAsia="Times New Roman" w:cs="Tahoma"/>
                <w:lang w:val="pl-PL" w:eastAsia="en-US"/>
              </w:rPr>
            </w:pPr>
            <w:r w:rsidRPr="006C4B43">
              <w:rPr>
                <w:rFonts w:eastAsia="Times New Roman" w:cs="Tahoma"/>
                <w:lang w:val="pl-PL" w:eastAsia="en-US"/>
              </w:rPr>
              <w:t>metoda liniowa</w:t>
            </w:r>
          </w:p>
        </w:tc>
        <w:tc>
          <w:tcPr>
            <w:tcW w:w="2268" w:type="dxa"/>
          </w:tcPr>
          <w:p w:rsidR="00FA21A2" w:rsidRPr="006C4B43" w:rsidRDefault="00FA21A2" w:rsidP="006D3597">
            <w:pPr>
              <w:tabs>
                <w:tab w:val="left" w:pos="3969"/>
              </w:tabs>
              <w:jc w:val="center"/>
              <w:rPr>
                <w:rFonts w:cs="Tahoma"/>
                <w:szCs w:val="20"/>
              </w:rPr>
            </w:pPr>
            <w:r w:rsidRPr="006C4B43">
              <w:rPr>
                <w:rFonts w:cs="Tahoma"/>
                <w:szCs w:val="20"/>
              </w:rPr>
              <w:t>30%</w:t>
            </w:r>
          </w:p>
        </w:tc>
      </w:tr>
      <w:tr w:rsidR="00FA21A2" w:rsidRPr="006C4B43" w:rsidTr="006D3597">
        <w:trPr>
          <w:trHeight w:val="309"/>
        </w:trPr>
        <w:tc>
          <w:tcPr>
            <w:tcW w:w="3261" w:type="dxa"/>
          </w:tcPr>
          <w:p w:rsidR="00FA21A2" w:rsidRPr="006C4B43" w:rsidRDefault="00FA21A2" w:rsidP="006D3597">
            <w:pPr>
              <w:tabs>
                <w:tab w:val="left" w:pos="3969"/>
              </w:tabs>
              <w:rPr>
                <w:rFonts w:cs="Tahoma"/>
                <w:szCs w:val="20"/>
              </w:rPr>
            </w:pPr>
            <w:r w:rsidRPr="006C4B43">
              <w:rPr>
                <w:rFonts w:cs="Tahoma"/>
                <w:szCs w:val="20"/>
              </w:rPr>
              <w:t>Środki transportu</w:t>
            </w:r>
          </w:p>
        </w:tc>
        <w:tc>
          <w:tcPr>
            <w:tcW w:w="2976" w:type="dxa"/>
          </w:tcPr>
          <w:p w:rsidR="00FA21A2" w:rsidRPr="006C4B43" w:rsidRDefault="00FA21A2" w:rsidP="006D3597">
            <w:pPr>
              <w:tabs>
                <w:tab w:val="left" w:pos="3969"/>
              </w:tabs>
              <w:rPr>
                <w:rFonts w:cs="Tahoma"/>
                <w:szCs w:val="20"/>
              </w:rPr>
            </w:pPr>
            <w:r w:rsidRPr="006C4B43">
              <w:rPr>
                <w:rFonts w:cs="Tahoma"/>
                <w:szCs w:val="20"/>
              </w:rPr>
              <w:t>metoda liniowa</w:t>
            </w:r>
          </w:p>
        </w:tc>
        <w:tc>
          <w:tcPr>
            <w:tcW w:w="2268" w:type="dxa"/>
          </w:tcPr>
          <w:p w:rsidR="00FA21A2" w:rsidRPr="006C4B43" w:rsidRDefault="00FA21A2" w:rsidP="006D3597">
            <w:pPr>
              <w:tabs>
                <w:tab w:val="left" w:pos="3969"/>
              </w:tabs>
              <w:jc w:val="center"/>
              <w:rPr>
                <w:rFonts w:cs="Tahoma"/>
                <w:szCs w:val="20"/>
              </w:rPr>
            </w:pPr>
            <w:r w:rsidRPr="006C4B43">
              <w:rPr>
                <w:rFonts w:cs="Tahoma"/>
                <w:szCs w:val="20"/>
              </w:rPr>
              <w:t>20%</w:t>
            </w:r>
          </w:p>
        </w:tc>
      </w:tr>
      <w:tr w:rsidR="00FA21A2" w:rsidRPr="006C4B43" w:rsidTr="006D3597">
        <w:trPr>
          <w:trHeight w:val="309"/>
        </w:trPr>
        <w:tc>
          <w:tcPr>
            <w:tcW w:w="3261" w:type="dxa"/>
          </w:tcPr>
          <w:p w:rsidR="00FA21A2" w:rsidRPr="006C4B43" w:rsidRDefault="00FA21A2" w:rsidP="006D3597">
            <w:pPr>
              <w:tabs>
                <w:tab w:val="left" w:pos="3969"/>
              </w:tabs>
              <w:rPr>
                <w:rFonts w:cs="Tahoma"/>
                <w:szCs w:val="20"/>
              </w:rPr>
            </w:pPr>
            <w:r w:rsidRPr="006C4B43">
              <w:rPr>
                <w:rFonts w:cs="Tahoma"/>
                <w:szCs w:val="20"/>
              </w:rPr>
              <w:t>Pozostałe środki trwałe</w:t>
            </w:r>
          </w:p>
        </w:tc>
        <w:tc>
          <w:tcPr>
            <w:tcW w:w="2976" w:type="dxa"/>
          </w:tcPr>
          <w:p w:rsidR="00FA21A2" w:rsidRPr="006C4B43" w:rsidRDefault="00FA21A2" w:rsidP="006D3597">
            <w:pPr>
              <w:tabs>
                <w:tab w:val="left" w:pos="3969"/>
              </w:tabs>
              <w:rPr>
                <w:rFonts w:cs="Tahoma"/>
                <w:szCs w:val="20"/>
              </w:rPr>
            </w:pPr>
            <w:r w:rsidRPr="006C4B43">
              <w:rPr>
                <w:rFonts w:cs="Tahoma"/>
                <w:szCs w:val="20"/>
              </w:rPr>
              <w:t>metoda liniowa</w:t>
            </w:r>
          </w:p>
        </w:tc>
        <w:tc>
          <w:tcPr>
            <w:tcW w:w="2268" w:type="dxa"/>
          </w:tcPr>
          <w:p w:rsidR="00FA21A2" w:rsidRPr="006C4B43" w:rsidRDefault="00FA21A2" w:rsidP="006D3597">
            <w:pPr>
              <w:tabs>
                <w:tab w:val="left" w:pos="3969"/>
              </w:tabs>
              <w:jc w:val="center"/>
              <w:rPr>
                <w:rFonts w:cs="Tahoma"/>
                <w:szCs w:val="20"/>
              </w:rPr>
            </w:pPr>
            <w:r w:rsidRPr="006C4B43">
              <w:rPr>
                <w:rFonts w:cs="Tahoma"/>
                <w:szCs w:val="20"/>
              </w:rPr>
              <w:t>10 - 50%</w:t>
            </w:r>
          </w:p>
        </w:tc>
      </w:tr>
      <w:tr w:rsidR="00FA21A2" w:rsidRPr="006C4B43" w:rsidTr="006D3597">
        <w:trPr>
          <w:trHeight w:val="309"/>
        </w:trPr>
        <w:tc>
          <w:tcPr>
            <w:tcW w:w="3261" w:type="dxa"/>
          </w:tcPr>
          <w:p w:rsidR="00FA21A2" w:rsidRPr="006C4B43" w:rsidRDefault="00FA21A2" w:rsidP="006D3597">
            <w:pPr>
              <w:tabs>
                <w:tab w:val="left" w:pos="3969"/>
              </w:tabs>
              <w:rPr>
                <w:rFonts w:cs="Tahoma"/>
                <w:szCs w:val="20"/>
              </w:rPr>
            </w:pPr>
            <w:r w:rsidRPr="006C4B43">
              <w:rPr>
                <w:rFonts w:cs="Tahoma"/>
                <w:szCs w:val="20"/>
              </w:rPr>
              <w:t>Inwestycje w obcych środkach trwałych (nieruchomości)</w:t>
            </w:r>
          </w:p>
        </w:tc>
        <w:tc>
          <w:tcPr>
            <w:tcW w:w="2976" w:type="dxa"/>
          </w:tcPr>
          <w:p w:rsidR="00FA21A2" w:rsidRPr="006C4B43" w:rsidRDefault="00FA21A2" w:rsidP="006D3597">
            <w:pPr>
              <w:tabs>
                <w:tab w:val="left" w:pos="3969"/>
              </w:tabs>
              <w:rPr>
                <w:rFonts w:cs="Tahoma"/>
                <w:szCs w:val="20"/>
              </w:rPr>
            </w:pPr>
            <w:r w:rsidRPr="006C4B43">
              <w:rPr>
                <w:rFonts w:cs="Tahoma"/>
                <w:szCs w:val="20"/>
              </w:rPr>
              <w:t xml:space="preserve">metoda liniowa </w:t>
            </w:r>
          </w:p>
        </w:tc>
        <w:tc>
          <w:tcPr>
            <w:tcW w:w="2268" w:type="dxa"/>
          </w:tcPr>
          <w:p w:rsidR="00FA21A2" w:rsidRPr="006C4B43" w:rsidRDefault="00FA21A2" w:rsidP="006D3597">
            <w:pPr>
              <w:tabs>
                <w:tab w:val="left" w:pos="3969"/>
              </w:tabs>
              <w:jc w:val="center"/>
              <w:rPr>
                <w:rFonts w:cs="Tahoma"/>
                <w:szCs w:val="20"/>
              </w:rPr>
            </w:pPr>
            <w:r w:rsidRPr="006C4B43">
              <w:rPr>
                <w:rFonts w:cs="Tahoma"/>
                <w:szCs w:val="20"/>
              </w:rPr>
              <w:t>2,5%</w:t>
            </w:r>
          </w:p>
        </w:tc>
      </w:tr>
      <w:tr w:rsidR="00FA21A2" w:rsidRPr="006C4B43" w:rsidTr="006D3597">
        <w:trPr>
          <w:trHeight w:val="309"/>
        </w:trPr>
        <w:tc>
          <w:tcPr>
            <w:tcW w:w="3261" w:type="dxa"/>
          </w:tcPr>
          <w:p w:rsidR="00FA21A2" w:rsidRPr="006C4B43" w:rsidRDefault="00FA21A2" w:rsidP="006D3597">
            <w:pPr>
              <w:pStyle w:val="Stopka"/>
              <w:tabs>
                <w:tab w:val="clear" w:pos="284"/>
                <w:tab w:val="left" w:pos="3969"/>
              </w:tabs>
              <w:spacing w:before="60"/>
              <w:rPr>
                <w:rFonts w:eastAsia="Times New Roman" w:cs="Tahoma"/>
                <w:lang w:val="pl-PL" w:eastAsia="en-US"/>
              </w:rPr>
            </w:pPr>
            <w:r w:rsidRPr="006C4B43">
              <w:rPr>
                <w:rFonts w:eastAsia="Times New Roman" w:cs="Tahoma"/>
                <w:lang w:val="pl-PL" w:eastAsia="en-US"/>
              </w:rPr>
              <w:t>Środki trwałe o wartości poniżej 3.500 PLN</w:t>
            </w:r>
          </w:p>
        </w:tc>
        <w:tc>
          <w:tcPr>
            <w:tcW w:w="2976" w:type="dxa"/>
          </w:tcPr>
          <w:p w:rsidR="00FA21A2" w:rsidRPr="006C4B43" w:rsidRDefault="00FA21A2" w:rsidP="006D3597">
            <w:pPr>
              <w:tabs>
                <w:tab w:val="left" w:pos="3969"/>
              </w:tabs>
              <w:rPr>
                <w:rFonts w:cs="Tahoma"/>
                <w:szCs w:val="20"/>
              </w:rPr>
            </w:pPr>
            <w:r w:rsidRPr="006C4B43">
              <w:rPr>
                <w:rFonts w:cs="Tahoma"/>
                <w:szCs w:val="20"/>
              </w:rPr>
              <w:t>jednorazowo w momencie oddania do użytkowania</w:t>
            </w:r>
          </w:p>
        </w:tc>
        <w:tc>
          <w:tcPr>
            <w:tcW w:w="2268" w:type="dxa"/>
          </w:tcPr>
          <w:p w:rsidR="00FA21A2" w:rsidRPr="006C4B43" w:rsidRDefault="00FA21A2" w:rsidP="006D3597">
            <w:pPr>
              <w:tabs>
                <w:tab w:val="left" w:pos="3969"/>
              </w:tabs>
              <w:jc w:val="center"/>
              <w:rPr>
                <w:rFonts w:cs="Tahoma"/>
                <w:szCs w:val="20"/>
                <w:highlight w:val="yellow"/>
              </w:rPr>
            </w:pPr>
            <w:r w:rsidRPr="006C4B43">
              <w:rPr>
                <w:rFonts w:cs="Tahoma"/>
                <w:szCs w:val="20"/>
              </w:rPr>
              <w:t>100 %</w:t>
            </w:r>
          </w:p>
        </w:tc>
      </w:tr>
    </w:tbl>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Środki trwałe są ujmowane w ewidencji środków trwałych i amortyzowane począwszy od następnego miesiąca po miesiącu w którym zostały ujęte w ewidencji.</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Grunty nie są amortyzowane.</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W przypadku wystąpienia przyczyn powodujących trwałą utratę wartości środków trwałych, stosowne odpisy aktualizujące pomniejszają wartość bilansową środków trwałych. Odpisy aktualizujące spowodowane trwałą utratą wartości obciążają pozostałe koszty operacyjne.</w:t>
      </w:r>
    </w:p>
    <w:p w:rsidR="00FA21A2" w:rsidRPr="006C4B43" w:rsidRDefault="00FA21A2" w:rsidP="00FA21A2">
      <w:pPr>
        <w:rPr>
          <w:rFonts w:cs="Tahoma"/>
          <w:szCs w:val="20"/>
        </w:rPr>
      </w:pPr>
    </w:p>
    <w:p w:rsidR="00FA21A2" w:rsidRPr="00E863B6" w:rsidRDefault="00FA21A2" w:rsidP="00FA21A2">
      <w:pPr>
        <w:pStyle w:val="Nagwek3"/>
        <w:numPr>
          <w:ilvl w:val="1"/>
          <w:numId w:val="9"/>
        </w:numPr>
        <w:ind w:left="993" w:hanging="567"/>
      </w:pPr>
      <w:bookmarkStart w:id="45" w:name="_Toc34046558"/>
      <w:bookmarkStart w:id="46" w:name="_Toc34046692"/>
      <w:bookmarkStart w:id="47" w:name="_Toc509574079"/>
      <w:r w:rsidRPr="00E863B6">
        <w:t>Środki trwałe w budowie</w:t>
      </w:r>
      <w:bookmarkEnd w:id="45"/>
      <w:bookmarkEnd w:id="46"/>
      <w:bookmarkEnd w:id="47"/>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 xml:space="preserve">W pozycji tej ujęte zostały zaliczane do aktywów trwałych środki trwałe w okresie ich budowy, montażu lub ulepszenia już istniejącego środka trwałego. </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Cena nabycia i koszt wytworzenia środków trwałych w budowie obejmuje ogół kosztów poniesionych przez jednostkę za okres budowy, montażu, przystosowania i ulepszenia, do dnia bilansowego lub przyjęcia do używania. Wartość środków trwałych w budowie powiększają różnice kursowe oraz odsetki od zobowiązań, służących finansowaniu zakupu lub budowy środka trwałego za okres realizacji inwestycji. Różnice kursowe oraz odsetki od zobowiązań po oddaniu środków trwałych w budowie do użytkowania obciążają koszty operacji finansowych.</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 xml:space="preserve">Wartość środków trwałych w budowie pomniejsza się o odpisy aktualizujące w wypadku wystąpienia okoliczności wskazujących na trwałą utratę ich wartości. </w:t>
      </w:r>
    </w:p>
    <w:p w:rsidR="00FA21A2" w:rsidRPr="006C4B43" w:rsidRDefault="00FA21A2" w:rsidP="00FA21A2">
      <w:pPr>
        <w:rPr>
          <w:rFonts w:cs="Tahoma"/>
          <w:szCs w:val="20"/>
        </w:rPr>
      </w:pPr>
    </w:p>
    <w:p w:rsidR="00FA21A2" w:rsidRPr="006C4B43" w:rsidRDefault="00FA21A2" w:rsidP="00FA21A2">
      <w:pPr>
        <w:tabs>
          <w:tab w:val="left" w:pos="9072"/>
        </w:tabs>
        <w:rPr>
          <w:rFonts w:cs="Tahoma"/>
          <w:szCs w:val="20"/>
        </w:rPr>
      </w:pPr>
      <w:bookmarkStart w:id="48" w:name="_Toc34046559"/>
      <w:bookmarkStart w:id="49" w:name="_Toc34046693"/>
      <w:r w:rsidRPr="006C4B43">
        <w:rPr>
          <w:rFonts w:cs="Tahoma"/>
          <w:szCs w:val="20"/>
        </w:rPr>
        <w:t>Środki trwałe w budowie nie są amortyzowane do momentu zakończenia ich budowy i oddania do używania.</w:t>
      </w:r>
    </w:p>
    <w:p w:rsidR="00FA21A2" w:rsidRPr="006C4B43" w:rsidRDefault="00FA21A2" w:rsidP="00FA21A2">
      <w:pPr>
        <w:tabs>
          <w:tab w:val="left" w:pos="9072"/>
        </w:tabs>
        <w:rPr>
          <w:rFonts w:cs="Tahoma"/>
          <w:b/>
          <w:snapToGrid w:val="0"/>
          <w:szCs w:val="20"/>
        </w:rPr>
      </w:pPr>
    </w:p>
    <w:p w:rsidR="00FA21A2" w:rsidRPr="00E863B6" w:rsidRDefault="00FA21A2" w:rsidP="00FA21A2">
      <w:pPr>
        <w:pStyle w:val="spis3"/>
      </w:pPr>
      <w:bookmarkStart w:id="50" w:name="_Toc509574009"/>
      <w:bookmarkStart w:id="51" w:name="_Toc509574080"/>
      <w:bookmarkStart w:id="52" w:name="_Toc509574010"/>
      <w:bookmarkStart w:id="53" w:name="_Toc509574081"/>
      <w:bookmarkStart w:id="54" w:name="_Toc509574011"/>
      <w:bookmarkStart w:id="55" w:name="_Toc509574082"/>
      <w:bookmarkStart w:id="56" w:name="_Toc509574012"/>
      <w:bookmarkStart w:id="57" w:name="_Toc509574083"/>
      <w:bookmarkStart w:id="58" w:name="_Toc509574013"/>
      <w:bookmarkStart w:id="59" w:name="_Toc509574084"/>
      <w:bookmarkStart w:id="60" w:name="_Toc509574014"/>
      <w:bookmarkStart w:id="61" w:name="_Toc509574085"/>
      <w:bookmarkStart w:id="62" w:name="_Toc509574015"/>
      <w:bookmarkStart w:id="63" w:name="_Toc509574086"/>
      <w:bookmarkStart w:id="64" w:name="_Toc509574016"/>
      <w:bookmarkStart w:id="65" w:name="_Toc509574087"/>
      <w:bookmarkStart w:id="66" w:name="_Toc509574017"/>
      <w:bookmarkStart w:id="67" w:name="_Toc509574088"/>
      <w:bookmarkStart w:id="68" w:name="_Toc509574018"/>
      <w:bookmarkStart w:id="69" w:name="_Toc509574089"/>
      <w:bookmarkStart w:id="70" w:name="_Toc509574019"/>
      <w:bookmarkStart w:id="71" w:name="_Toc509574090"/>
      <w:bookmarkStart w:id="72" w:name="_Toc509574020"/>
      <w:bookmarkStart w:id="73" w:name="_Toc509574091"/>
      <w:bookmarkStart w:id="74" w:name="_Toc509574092"/>
      <w:bookmarkStart w:id="75" w:name="_Toc5098409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E863B6">
        <w:t>Leasing</w:t>
      </w:r>
      <w:bookmarkEnd w:id="74"/>
      <w:bookmarkEnd w:id="75"/>
    </w:p>
    <w:p w:rsidR="00FA21A2" w:rsidRPr="006C4B43" w:rsidRDefault="00FA21A2" w:rsidP="00FA21A2">
      <w:pPr>
        <w:tabs>
          <w:tab w:val="left" w:pos="9072"/>
        </w:tabs>
        <w:rPr>
          <w:rFonts w:cs="Tahoma"/>
          <w:bCs/>
          <w:snapToGrid w:val="0"/>
          <w:szCs w:val="20"/>
        </w:rPr>
      </w:pPr>
    </w:p>
    <w:p w:rsidR="00FA21A2" w:rsidRPr="006C4B43" w:rsidRDefault="00FA21A2" w:rsidP="00FA21A2">
      <w:pPr>
        <w:spacing w:line="260" w:lineRule="atLeast"/>
        <w:rPr>
          <w:rFonts w:cs="Tahoma"/>
          <w:szCs w:val="20"/>
        </w:rPr>
      </w:pPr>
      <w:r w:rsidRPr="006C4B43">
        <w:rPr>
          <w:rFonts w:cs="Tahoma"/>
          <w:szCs w:val="20"/>
        </w:rPr>
        <w:lastRenderedPageBreak/>
        <w:t>Spółka jest stroną umów leasingowych na podstawie, których przyjmuje do odpłatnego używania lub pobierania pożytków obce środki trwałe lub wartości niematerialne i prawne przez uzgodniony okres.</w:t>
      </w:r>
    </w:p>
    <w:p w:rsidR="00FA21A2" w:rsidRPr="006C4B43" w:rsidRDefault="00FA21A2" w:rsidP="00FA21A2">
      <w:pPr>
        <w:spacing w:line="260" w:lineRule="atLeast"/>
        <w:rPr>
          <w:rFonts w:cs="Tahoma"/>
          <w:szCs w:val="20"/>
          <w:highlight w:val="yellow"/>
        </w:rPr>
      </w:pPr>
    </w:p>
    <w:p w:rsidR="00FA21A2" w:rsidRPr="006C4B43" w:rsidRDefault="00FA21A2" w:rsidP="00FA21A2">
      <w:pPr>
        <w:pStyle w:val="tekst"/>
        <w:spacing w:after="0" w:line="260" w:lineRule="atLeast"/>
        <w:rPr>
          <w:rFonts w:cs="Tahoma"/>
        </w:rPr>
      </w:pPr>
      <w:r w:rsidRPr="006C4B43">
        <w:rPr>
          <w:rFonts w:cs="Tahoma"/>
        </w:rPr>
        <w:t xml:space="preserve">W przypadku umów leasingu, na mocy których następuje przeniesienie zasadniczo całego ryzyka i pożytków wynikających z tytułu posiadania aktywów będących przedmiotem umowy (art. 3 ust. 4 ustawy o rachunkowości), przedmiot leasingu jest ujmowany w aktywach jako środek trwały i jednocześnie ujmowane jest zobowiązanie w kwocie równej sumie minimalnych opłat leasingowych ustalonej na dzień rozpoczęcia leasingu. Opłaty leasingowe są dzielone między koszty finansowe i zmniejszenie salda zobowiązania w sposób umożliwiający uzyskanie stałej stopy odsetek od pozostałego do spłaty zobowiązania. Koszty finansowe ujmowane są bezpośrednio w rachunku zysków i strat. </w:t>
      </w:r>
    </w:p>
    <w:p w:rsidR="00FA21A2" w:rsidRPr="006C4B43" w:rsidRDefault="00FA21A2" w:rsidP="00FA21A2">
      <w:pPr>
        <w:rPr>
          <w:rFonts w:cs="Tahoma"/>
          <w:szCs w:val="20"/>
          <w:highlight w:val="yellow"/>
        </w:rPr>
      </w:pPr>
    </w:p>
    <w:p w:rsidR="00FA21A2" w:rsidRPr="006C4B43" w:rsidRDefault="00FA21A2" w:rsidP="00FA21A2">
      <w:pPr>
        <w:rPr>
          <w:rFonts w:cs="Tahoma"/>
          <w:szCs w:val="20"/>
        </w:rPr>
      </w:pPr>
      <w:r w:rsidRPr="006C4B43">
        <w:rPr>
          <w:rFonts w:cs="Tahoma"/>
          <w:szCs w:val="20"/>
        </w:rPr>
        <w:t>Środki trwałe będące przedmiotem umowy leasingu finansowego są amortyzowane w sposób określony dla własnych środków trwałych. Jednakże gdy brak jest pewności co do przejścia prawa własności przedmiotu umowy, wówczas środki trwałe używane na podstawie umów leasingu finansowego są amortyzowane przez krótszy z dwóch okresów: przewidywany okres użytkowania lub okres trwania leasingu.</w:t>
      </w:r>
    </w:p>
    <w:p w:rsidR="00FA21A2" w:rsidRPr="006C4B43" w:rsidRDefault="00FA21A2" w:rsidP="00FA21A2">
      <w:pPr>
        <w:rPr>
          <w:rFonts w:cs="Tahoma"/>
          <w:szCs w:val="20"/>
        </w:rPr>
      </w:pPr>
    </w:p>
    <w:p w:rsidR="00FA21A2" w:rsidRPr="006C4B43" w:rsidRDefault="00FA21A2" w:rsidP="00FA21A2">
      <w:pPr>
        <w:tabs>
          <w:tab w:val="left" w:pos="9072"/>
        </w:tabs>
        <w:rPr>
          <w:rFonts w:cs="Tahoma"/>
          <w:bCs/>
          <w:snapToGrid w:val="0"/>
          <w:szCs w:val="20"/>
        </w:rPr>
      </w:pPr>
      <w:r w:rsidRPr="006C4B43">
        <w:rPr>
          <w:rFonts w:cs="Tahoma"/>
          <w:szCs w:val="20"/>
        </w:rPr>
        <w:t>Opłaty leasingowe z tytułu umów, które nie spełniają warunków umowy leasingu finansowego, ujmowane są jako koszty w rachunku zysków i strat metodą liniową przez okres trwania leasingu. W roku 2017 umowy tego typu nie występowały.</w:t>
      </w:r>
    </w:p>
    <w:p w:rsidR="00FA21A2" w:rsidRPr="006C4B43" w:rsidRDefault="00FA21A2" w:rsidP="00FA21A2">
      <w:pPr>
        <w:tabs>
          <w:tab w:val="left" w:pos="9072"/>
        </w:tabs>
        <w:rPr>
          <w:rFonts w:cs="Tahoma"/>
          <w:b/>
          <w:bCs/>
          <w:szCs w:val="20"/>
        </w:rPr>
      </w:pPr>
    </w:p>
    <w:p w:rsidR="00FA21A2" w:rsidRPr="00EB6EA6" w:rsidRDefault="00FA21A2" w:rsidP="00FA21A2">
      <w:pPr>
        <w:pStyle w:val="spis3"/>
      </w:pPr>
      <w:bookmarkStart w:id="76" w:name="_Toc509574093"/>
      <w:bookmarkStart w:id="77" w:name="_Toc509840980"/>
      <w:r w:rsidRPr="00EB6EA6">
        <w:t>Inwestycje w nieruchomości oraz wartości niematerialne i prawne</w:t>
      </w:r>
      <w:bookmarkEnd w:id="76"/>
      <w:bookmarkEnd w:id="77"/>
    </w:p>
    <w:p w:rsidR="00FA21A2" w:rsidRPr="006C4B43" w:rsidRDefault="00FA21A2" w:rsidP="00FA21A2">
      <w:pPr>
        <w:rPr>
          <w:rFonts w:cs="Tahoma"/>
          <w:szCs w:val="20"/>
        </w:rPr>
      </w:pPr>
    </w:p>
    <w:p w:rsidR="00FA21A2" w:rsidRPr="006C4B43" w:rsidRDefault="00FA21A2" w:rsidP="00FA21A2">
      <w:pPr>
        <w:rPr>
          <w:rFonts w:cs="Tahoma"/>
          <w:iCs/>
          <w:szCs w:val="20"/>
        </w:rPr>
      </w:pPr>
      <w:r w:rsidRPr="006C4B43">
        <w:rPr>
          <w:rFonts w:cs="Tahoma"/>
          <w:szCs w:val="20"/>
        </w:rPr>
        <w:t xml:space="preserve">Inwestycje w nieruchomości oraz w wartości niematerialne i prawne wyceniane są według </w:t>
      </w:r>
      <w:r w:rsidRPr="006C4B43">
        <w:rPr>
          <w:rFonts w:cs="Tahoma"/>
          <w:iCs/>
          <w:szCs w:val="20"/>
        </w:rPr>
        <w:t>zasad stosowanych do środków trwałych oraz wartości niematerialnych i prawnych lub według ceny rynkowej bądź inaczej określonej wartości godziwej.</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Do inwestycji w nieruchomości oraz wartości niematerialne i prawne zalicza się grunty, prawo wieczystego użytkowania gruntu, budynki i budowle oraz wartości niematerialne i prawne, których Spółka nie używa na własne potrzeby, ale które zostały nabyte lub wytworzone w celu przynoszenia korzyści w postaci przyrostu wartości lub przychodów z wynajmu.</w:t>
      </w:r>
    </w:p>
    <w:p w:rsidR="00FA21A2" w:rsidRPr="006C4B43" w:rsidRDefault="00FA21A2" w:rsidP="00FA21A2">
      <w:pPr>
        <w:rPr>
          <w:rFonts w:cs="Tahoma"/>
          <w:szCs w:val="20"/>
        </w:rPr>
      </w:pPr>
    </w:p>
    <w:p w:rsidR="00FA21A2" w:rsidRPr="00EB6EA6" w:rsidRDefault="00FA21A2" w:rsidP="00FA21A2">
      <w:pPr>
        <w:pStyle w:val="spis3"/>
      </w:pPr>
      <w:bookmarkStart w:id="78" w:name="_Toc509574094"/>
      <w:bookmarkStart w:id="79" w:name="_Toc509840981"/>
      <w:r w:rsidRPr="00EB6EA6">
        <w:t>Udziały w innych jednostkach oraz inne inwestycje zaliczone do aktywów trwałych</w:t>
      </w:r>
      <w:bookmarkEnd w:id="78"/>
      <w:bookmarkEnd w:id="79"/>
      <w:r w:rsidRPr="00EB6EA6">
        <w:t xml:space="preserve"> </w:t>
      </w:r>
    </w:p>
    <w:p w:rsidR="00FA21A2" w:rsidRPr="006C4B43" w:rsidRDefault="00FA21A2" w:rsidP="00FA21A2">
      <w:pPr>
        <w:rPr>
          <w:rFonts w:cs="Tahoma"/>
          <w:snapToGrid w:val="0"/>
          <w:szCs w:val="20"/>
        </w:rPr>
      </w:pPr>
    </w:p>
    <w:p w:rsidR="00FA21A2" w:rsidRPr="006C4B43" w:rsidRDefault="00FA21A2" w:rsidP="00FA21A2">
      <w:pPr>
        <w:rPr>
          <w:rFonts w:cs="Tahoma"/>
          <w:szCs w:val="20"/>
        </w:rPr>
      </w:pPr>
      <w:r w:rsidRPr="006C4B43">
        <w:rPr>
          <w:rFonts w:cs="Tahoma"/>
          <w:szCs w:val="20"/>
        </w:rPr>
        <w:t>Udziały w innych jednostkach oraz inne niż wymienione w pkt 8(e) inwestycje zaliczone do aktywów trwałych wyceniane są według cen nabycia pomniejszonych o odpisy z tytułu trwałej utraty wartości lub według wartości godziwej.</w:t>
      </w:r>
    </w:p>
    <w:p w:rsidR="00FA21A2" w:rsidRPr="006C4B43" w:rsidRDefault="00FA21A2" w:rsidP="00FA21A2">
      <w:pPr>
        <w:rPr>
          <w:rFonts w:cs="Tahoma"/>
          <w:szCs w:val="20"/>
        </w:rPr>
      </w:pPr>
    </w:p>
    <w:p w:rsidR="00FA21A2" w:rsidRPr="006C4B43" w:rsidRDefault="00FA21A2" w:rsidP="00FA21A2">
      <w:pPr>
        <w:rPr>
          <w:rFonts w:cs="Tahoma"/>
          <w:snapToGrid w:val="0"/>
          <w:szCs w:val="20"/>
        </w:rPr>
      </w:pPr>
      <w:r w:rsidRPr="006C4B43">
        <w:rPr>
          <w:rFonts w:cs="Tahoma"/>
          <w:szCs w:val="20"/>
        </w:rPr>
        <w:t>Skutki zmian wartości godziwych inwestycji powodujące wzrost ich wartości zwiększają kapitał z aktualizacji wyceny. Skutki obniżenia wartości wyżej wymienionych inwestycji uprzednio przeszacowanych zmniejszają kapitał z aktualizacji wyceny do wysokości kwoty, która wcześniej została odniesiona na ten kapitał, a pozostała kwota ujmowana jest jako koszt finansowy w rachunku zysków i strat. Skutki obniżenia wartości wspomnianych inwestycji poniżej ich cen nabycia lub kosztów wytworzenia ujmowane są bezpośrednio jako koszt finansowy w rachunku zysków i strat.</w:t>
      </w:r>
    </w:p>
    <w:p w:rsidR="00FA21A2" w:rsidRPr="006C4B43" w:rsidRDefault="00FA21A2" w:rsidP="00FA21A2">
      <w:pPr>
        <w:tabs>
          <w:tab w:val="left" w:pos="9072"/>
        </w:tabs>
        <w:rPr>
          <w:rFonts w:cs="Tahoma"/>
          <w:b/>
          <w:snapToGrid w:val="0"/>
          <w:szCs w:val="20"/>
        </w:rPr>
      </w:pPr>
    </w:p>
    <w:p w:rsidR="00FA21A2" w:rsidRPr="00EB6EA6" w:rsidRDefault="00FA21A2" w:rsidP="00FA21A2">
      <w:pPr>
        <w:pStyle w:val="spis3"/>
      </w:pPr>
      <w:bookmarkStart w:id="80" w:name="_Toc509574095"/>
      <w:bookmarkStart w:id="81" w:name="_Toc509840982"/>
      <w:r w:rsidRPr="00EB6EA6">
        <w:t>Zapasy</w:t>
      </w:r>
      <w:bookmarkEnd w:id="48"/>
      <w:bookmarkEnd w:id="49"/>
      <w:bookmarkEnd w:id="80"/>
      <w:bookmarkEnd w:id="81"/>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Zapasy są wyceniane według cen nabycia lub kosztów wytworzenia nie wyższych od cen ich sprzedaży netto na dzień bilansowy.</w:t>
      </w:r>
    </w:p>
    <w:p w:rsidR="00FA21A2" w:rsidRPr="006C4B43" w:rsidRDefault="00FA21A2" w:rsidP="00FA21A2">
      <w:pPr>
        <w:pStyle w:val="toa"/>
        <w:tabs>
          <w:tab w:val="clear" w:pos="9000"/>
          <w:tab w:val="clear" w:pos="9360"/>
        </w:tabs>
        <w:suppressAutoHyphens w:val="0"/>
        <w:rPr>
          <w:rFonts w:asciiTheme="minorHAnsi" w:hAnsiTheme="minorHAnsi" w:cs="Tahoma"/>
          <w:sz w:val="20"/>
          <w:lang w:val="pl-PL"/>
        </w:rPr>
      </w:pPr>
    </w:p>
    <w:p w:rsidR="00FA21A2" w:rsidRPr="006C4B43" w:rsidRDefault="00FA21A2" w:rsidP="00FA21A2">
      <w:pPr>
        <w:rPr>
          <w:rFonts w:cs="Tahoma"/>
          <w:i/>
          <w:szCs w:val="20"/>
        </w:rPr>
      </w:pPr>
      <w:r w:rsidRPr="006C4B43">
        <w:rPr>
          <w:rFonts w:cs="Tahoma"/>
          <w:i/>
          <w:szCs w:val="20"/>
        </w:rPr>
        <w:t>Materiały</w:t>
      </w:r>
    </w:p>
    <w:p w:rsidR="00FA21A2" w:rsidRPr="006C4B43" w:rsidRDefault="00FA21A2" w:rsidP="00FA21A2">
      <w:pPr>
        <w:rPr>
          <w:rFonts w:cs="Tahoma"/>
          <w:szCs w:val="20"/>
        </w:rPr>
      </w:pPr>
      <w:r w:rsidRPr="006C4B43">
        <w:rPr>
          <w:rFonts w:cs="Tahoma"/>
          <w:szCs w:val="20"/>
        </w:rPr>
        <w:t xml:space="preserve">W ciągu roku obrotowego materiały produkcyjne ujmowane są w cenach zakupu. </w:t>
      </w:r>
    </w:p>
    <w:p w:rsidR="00FA21A2" w:rsidRPr="006C4B43" w:rsidRDefault="00FA21A2" w:rsidP="00FA21A2">
      <w:pPr>
        <w:pStyle w:val="Zwykytekst"/>
        <w:rPr>
          <w:rFonts w:asciiTheme="minorHAnsi" w:hAnsiTheme="minorHAnsi" w:cs="Tahoma"/>
        </w:rPr>
      </w:pPr>
    </w:p>
    <w:p w:rsidR="00FA21A2" w:rsidRPr="006C4B43" w:rsidRDefault="00FA21A2" w:rsidP="00FA21A2">
      <w:pPr>
        <w:pStyle w:val="Zwykytekst"/>
        <w:rPr>
          <w:rFonts w:asciiTheme="minorHAnsi" w:hAnsiTheme="minorHAnsi" w:cs="Tahoma"/>
        </w:rPr>
      </w:pPr>
      <w:r w:rsidRPr="006C4B43">
        <w:rPr>
          <w:rFonts w:asciiTheme="minorHAnsi" w:hAnsiTheme="minorHAnsi" w:cs="Tahoma"/>
        </w:rPr>
        <w:t>Koszt standardowy materiałów obejmuje cenę zakupu materiałów (bez naliczonego podatku od towarów i usług).</w:t>
      </w:r>
    </w:p>
    <w:p w:rsidR="00FA21A2" w:rsidRPr="006C4B43" w:rsidRDefault="00FA21A2" w:rsidP="00FA21A2">
      <w:pPr>
        <w:rPr>
          <w:rFonts w:cs="Tahoma"/>
          <w:b/>
          <w:szCs w:val="20"/>
        </w:rPr>
      </w:pPr>
    </w:p>
    <w:p w:rsidR="00FA21A2" w:rsidRPr="006C4B43" w:rsidRDefault="00FA21A2" w:rsidP="00FA21A2">
      <w:pPr>
        <w:rPr>
          <w:rFonts w:cs="Tahoma"/>
          <w:i/>
          <w:szCs w:val="20"/>
        </w:rPr>
      </w:pPr>
      <w:r w:rsidRPr="006C4B43">
        <w:rPr>
          <w:rFonts w:cs="Tahoma"/>
          <w:i/>
          <w:szCs w:val="20"/>
        </w:rPr>
        <w:t xml:space="preserve">Produkty gotowe </w:t>
      </w:r>
    </w:p>
    <w:p w:rsidR="00FA21A2" w:rsidRPr="006C4B43" w:rsidRDefault="00FA21A2" w:rsidP="00FA21A2">
      <w:pPr>
        <w:rPr>
          <w:rFonts w:cs="Tahoma"/>
          <w:szCs w:val="20"/>
        </w:rPr>
      </w:pPr>
      <w:r w:rsidRPr="006C4B43">
        <w:rPr>
          <w:rFonts w:cs="Tahoma"/>
          <w:szCs w:val="20"/>
        </w:rPr>
        <w:t xml:space="preserve">Wyroby gotowe są wycenione według rzeczywistego kosztu wytworzenia. </w:t>
      </w:r>
    </w:p>
    <w:p w:rsidR="00FA21A2" w:rsidRPr="006C4B43" w:rsidRDefault="00FA21A2" w:rsidP="00FA21A2">
      <w:pPr>
        <w:rPr>
          <w:rFonts w:cs="Tahoma"/>
          <w:b/>
          <w:snapToGrid w:val="0"/>
          <w:color w:val="000000"/>
          <w:szCs w:val="20"/>
        </w:rPr>
      </w:pPr>
    </w:p>
    <w:p w:rsidR="00FA21A2" w:rsidRPr="006C4B43" w:rsidRDefault="00FA21A2" w:rsidP="00FA21A2">
      <w:pPr>
        <w:pStyle w:val="Zwykytekst"/>
        <w:rPr>
          <w:rFonts w:asciiTheme="minorHAnsi" w:hAnsiTheme="minorHAnsi" w:cs="Tahoma"/>
        </w:rPr>
      </w:pPr>
      <w:r w:rsidRPr="006C4B43">
        <w:rPr>
          <w:rFonts w:asciiTheme="minorHAnsi" w:hAnsiTheme="minorHAnsi" w:cs="Tahoma"/>
        </w:rPr>
        <w:t>W przypadku stwierdzenia utraty przydatności składników aktywów obrotowych Spółka zobowiązana jest do dokonania oceny ich wartości i ujęcia odpisu aktualizacyjnego w ciężar kosztów operacyjnych.</w:t>
      </w:r>
    </w:p>
    <w:p w:rsidR="00FA21A2" w:rsidRPr="006C4B43" w:rsidRDefault="00FA21A2" w:rsidP="00FA21A2">
      <w:pPr>
        <w:pStyle w:val="Zwykytekst"/>
        <w:rPr>
          <w:rFonts w:asciiTheme="minorHAnsi" w:hAnsiTheme="minorHAnsi" w:cs="Tahoma"/>
        </w:rPr>
      </w:pPr>
    </w:p>
    <w:p w:rsidR="00FA21A2" w:rsidRPr="006C4B43" w:rsidRDefault="00FA21A2" w:rsidP="00FA21A2">
      <w:pPr>
        <w:pStyle w:val="Zwykytekst"/>
        <w:rPr>
          <w:rFonts w:asciiTheme="minorHAnsi" w:hAnsiTheme="minorHAnsi" w:cs="Tahoma"/>
        </w:rPr>
      </w:pPr>
      <w:r w:rsidRPr="006C4B43">
        <w:rPr>
          <w:rFonts w:asciiTheme="minorHAnsi" w:hAnsiTheme="minorHAnsi" w:cs="Tahoma"/>
        </w:rPr>
        <w:t>Koszt wytworzenia produktu obejmuje:</w:t>
      </w:r>
    </w:p>
    <w:p w:rsidR="00FA21A2" w:rsidRPr="006C4B43" w:rsidRDefault="00FA21A2" w:rsidP="00FA21A2">
      <w:pPr>
        <w:pStyle w:val="Zwykytekst"/>
        <w:numPr>
          <w:ilvl w:val="0"/>
          <w:numId w:val="5"/>
        </w:numPr>
        <w:rPr>
          <w:rFonts w:asciiTheme="minorHAnsi" w:hAnsiTheme="minorHAnsi" w:cs="Tahoma"/>
        </w:rPr>
      </w:pPr>
      <w:r w:rsidRPr="006C4B43">
        <w:rPr>
          <w:rFonts w:asciiTheme="minorHAnsi" w:hAnsiTheme="minorHAnsi" w:cs="Tahoma"/>
        </w:rPr>
        <w:t xml:space="preserve">koszty pozostające w bezpośrednim związku z danym produktem. Koszty bezpośrednie obejmują wartość zużytych materiałów bezpośrednich, energii oraz robocizny bezpośredniej </w:t>
      </w:r>
    </w:p>
    <w:p w:rsidR="00FA21A2" w:rsidRPr="006C4B43" w:rsidRDefault="00FA21A2" w:rsidP="00FA21A2">
      <w:pPr>
        <w:pStyle w:val="Zwykytekst"/>
        <w:numPr>
          <w:ilvl w:val="0"/>
          <w:numId w:val="5"/>
        </w:numPr>
        <w:rPr>
          <w:rFonts w:asciiTheme="minorHAnsi" w:hAnsiTheme="minorHAnsi" w:cs="Tahoma"/>
        </w:rPr>
      </w:pPr>
      <w:r w:rsidRPr="006C4B43">
        <w:rPr>
          <w:rFonts w:asciiTheme="minorHAnsi" w:hAnsiTheme="minorHAnsi" w:cs="Tahoma"/>
        </w:rPr>
        <w:t>uzasadnioną część kosztów pośrednich produkcji.</w:t>
      </w:r>
    </w:p>
    <w:p w:rsidR="00FA21A2" w:rsidRPr="006C4B43" w:rsidRDefault="00FA21A2" w:rsidP="00FA21A2">
      <w:pPr>
        <w:rPr>
          <w:rFonts w:cs="Tahoma"/>
          <w:b/>
          <w:snapToGrid w:val="0"/>
          <w:color w:val="000000"/>
          <w:szCs w:val="20"/>
        </w:rPr>
      </w:pPr>
    </w:p>
    <w:p w:rsidR="00FA21A2" w:rsidRPr="00D4561D" w:rsidRDefault="00FA21A2" w:rsidP="00FA21A2">
      <w:pPr>
        <w:rPr>
          <w:rFonts w:cs="Tahoma"/>
          <w:snapToGrid w:val="0"/>
          <w:color w:val="000000"/>
          <w:szCs w:val="20"/>
        </w:rPr>
      </w:pPr>
      <w:r w:rsidRPr="00D4561D">
        <w:rPr>
          <w:rFonts w:cs="Tahoma"/>
          <w:snapToGrid w:val="0"/>
          <w:color w:val="000000"/>
          <w:szCs w:val="20"/>
        </w:rPr>
        <w:t>Cena nabycia towarów lub koszt wytworzenia produktów w roku obrotowym nie były powiększane o odsetki ani różnice kursowe.</w:t>
      </w:r>
    </w:p>
    <w:p w:rsidR="00FA21A2" w:rsidRPr="006C4B43" w:rsidRDefault="00FA21A2" w:rsidP="00FA21A2">
      <w:pPr>
        <w:rPr>
          <w:rFonts w:cs="Tahoma"/>
          <w:b/>
          <w:snapToGrid w:val="0"/>
          <w:color w:val="000000"/>
          <w:szCs w:val="20"/>
        </w:rPr>
      </w:pPr>
    </w:p>
    <w:p w:rsidR="00FA21A2" w:rsidRPr="00EB6EA6" w:rsidRDefault="00FA21A2" w:rsidP="00FA21A2">
      <w:pPr>
        <w:pStyle w:val="spis3"/>
      </w:pPr>
      <w:bookmarkStart w:id="82" w:name="_Toc509574096"/>
      <w:bookmarkStart w:id="83" w:name="_Toc509840983"/>
      <w:r w:rsidRPr="00EB6EA6">
        <w:t>Należności</w:t>
      </w:r>
      <w:bookmarkEnd w:id="82"/>
      <w:bookmarkEnd w:id="83"/>
    </w:p>
    <w:p w:rsidR="00FA21A2" w:rsidRPr="006C4B43" w:rsidRDefault="00FA21A2" w:rsidP="00FA21A2">
      <w:pPr>
        <w:rPr>
          <w:rFonts w:cs="Tahoma"/>
          <w:szCs w:val="20"/>
          <w:u w:val="single"/>
        </w:rPr>
      </w:pPr>
    </w:p>
    <w:p w:rsidR="00FA21A2" w:rsidRPr="006C4B43" w:rsidRDefault="00FA21A2" w:rsidP="00FA21A2">
      <w:pPr>
        <w:rPr>
          <w:rFonts w:cs="Tahoma"/>
          <w:b/>
          <w:szCs w:val="20"/>
        </w:rPr>
      </w:pPr>
      <w:r w:rsidRPr="006C4B43">
        <w:rPr>
          <w:rFonts w:cs="Tahoma"/>
          <w:szCs w:val="20"/>
        </w:rPr>
        <w:t>Na dzień bilansowy należności wycenia się w kwocie wymaganej zapłaty, z zachowaniem zasady ostrożności.</w:t>
      </w:r>
    </w:p>
    <w:p w:rsidR="00FA21A2" w:rsidRPr="006C4B43" w:rsidRDefault="00FA21A2" w:rsidP="00FA21A2">
      <w:pPr>
        <w:rPr>
          <w:rFonts w:cs="Tahoma"/>
          <w:snapToGrid w:val="0"/>
          <w:color w:val="000000"/>
          <w:szCs w:val="20"/>
        </w:rPr>
      </w:pPr>
    </w:p>
    <w:p w:rsidR="00FA21A2" w:rsidRPr="006C4B43" w:rsidRDefault="00FA21A2" w:rsidP="00FA21A2">
      <w:pPr>
        <w:spacing w:after="120"/>
        <w:rPr>
          <w:rFonts w:cs="Tahoma"/>
          <w:snapToGrid w:val="0"/>
          <w:color w:val="000000"/>
          <w:szCs w:val="20"/>
        </w:rPr>
      </w:pPr>
      <w:r w:rsidRPr="006C4B43">
        <w:rPr>
          <w:rFonts w:cs="Tahoma"/>
          <w:snapToGrid w:val="0"/>
          <w:color w:val="000000"/>
          <w:szCs w:val="20"/>
        </w:rPr>
        <w:t>Wartość należności aktualizuje się uwzględniając stopień prawdopodobieństwa ich zapłaty poprzez dokonanie odpisu aktualizującego. Wysokość odpisu aktualizującego ustala się następująco:</w:t>
      </w:r>
    </w:p>
    <w:p w:rsidR="00FA21A2" w:rsidRPr="006C4B43" w:rsidRDefault="00FA21A2" w:rsidP="00FA21A2">
      <w:pPr>
        <w:numPr>
          <w:ilvl w:val="0"/>
          <w:numId w:val="2"/>
        </w:numPr>
        <w:tabs>
          <w:tab w:val="clear" w:pos="1273"/>
          <w:tab w:val="num" w:pos="284"/>
        </w:tabs>
        <w:ind w:left="284" w:hanging="283"/>
        <w:rPr>
          <w:rFonts w:cs="Tahoma"/>
          <w:snapToGrid w:val="0"/>
          <w:color w:val="000000"/>
          <w:szCs w:val="20"/>
        </w:rPr>
      </w:pPr>
      <w:r w:rsidRPr="006C4B43">
        <w:rPr>
          <w:rFonts w:cs="Tahoma"/>
          <w:snapToGrid w:val="0"/>
          <w:color w:val="000000"/>
          <w:szCs w:val="20"/>
        </w:rPr>
        <w:t>od dłużników postawionych w stan likwidacji lub upadłości – do wysokości należności nie objętej zabezpieczeniem,</w:t>
      </w:r>
    </w:p>
    <w:p w:rsidR="00FA21A2" w:rsidRPr="006C4B43" w:rsidRDefault="00FA21A2" w:rsidP="00FA21A2">
      <w:pPr>
        <w:numPr>
          <w:ilvl w:val="0"/>
          <w:numId w:val="2"/>
        </w:numPr>
        <w:tabs>
          <w:tab w:val="clear" w:pos="1273"/>
          <w:tab w:val="num" w:pos="284"/>
        </w:tabs>
        <w:ind w:left="284" w:hanging="283"/>
        <w:rPr>
          <w:rFonts w:cs="Tahoma"/>
          <w:snapToGrid w:val="0"/>
          <w:color w:val="000000"/>
          <w:szCs w:val="20"/>
        </w:rPr>
      </w:pPr>
      <w:r w:rsidRPr="006C4B43">
        <w:rPr>
          <w:rFonts w:cs="Tahoma"/>
          <w:snapToGrid w:val="0"/>
          <w:color w:val="000000"/>
          <w:szCs w:val="20"/>
        </w:rPr>
        <w:t>od dłużników w przypadku oddalenia wniosku o ogłoszenie upadłości – w wysokości 100 % należności,</w:t>
      </w:r>
    </w:p>
    <w:p w:rsidR="00FA21A2" w:rsidRPr="006C4B43" w:rsidRDefault="00FA21A2" w:rsidP="00FA21A2">
      <w:pPr>
        <w:numPr>
          <w:ilvl w:val="0"/>
          <w:numId w:val="2"/>
        </w:numPr>
        <w:tabs>
          <w:tab w:val="clear" w:pos="1273"/>
          <w:tab w:val="num" w:pos="284"/>
        </w:tabs>
        <w:ind w:left="284" w:hanging="283"/>
        <w:rPr>
          <w:rFonts w:cs="Tahoma"/>
          <w:snapToGrid w:val="0"/>
          <w:color w:val="000000"/>
          <w:szCs w:val="20"/>
        </w:rPr>
      </w:pPr>
      <w:r w:rsidRPr="006C4B43">
        <w:rPr>
          <w:rFonts w:cs="Tahoma"/>
          <w:snapToGrid w:val="0"/>
          <w:color w:val="000000"/>
          <w:szCs w:val="20"/>
        </w:rPr>
        <w:t>kwestionowanych lub z których zapłatą dłużnik zalega, a spłata należności nie jest prawdopodobna – do wysokości należności nie objętej zabezpieczeniem,</w:t>
      </w:r>
    </w:p>
    <w:p w:rsidR="00FA21A2" w:rsidRPr="006C4B43" w:rsidRDefault="00FA21A2" w:rsidP="00FA21A2">
      <w:pPr>
        <w:numPr>
          <w:ilvl w:val="0"/>
          <w:numId w:val="2"/>
        </w:numPr>
        <w:tabs>
          <w:tab w:val="clear" w:pos="1273"/>
          <w:tab w:val="num" w:pos="284"/>
        </w:tabs>
        <w:ind w:left="284" w:hanging="283"/>
        <w:rPr>
          <w:rFonts w:cs="Tahoma"/>
          <w:snapToGrid w:val="0"/>
          <w:color w:val="000000"/>
          <w:szCs w:val="20"/>
        </w:rPr>
      </w:pPr>
      <w:r w:rsidRPr="006C4B43">
        <w:rPr>
          <w:rFonts w:cs="Tahoma"/>
          <w:snapToGrid w:val="0"/>
          <w:color w:val="000000"/>
          <w:szCs w:val="20"/>
        </w:rPr>
        <w:t>stanowiących równowartość kwot podwyższających należności – do wysokości tych kwot, przeterminowanych lub nieprzeterminowanych o znacznym stopniu prawdopodobieństwa nieściągalności, oraz</w:t>
      </w:r>
    </w:p>
    <w:p w:rsidR="00FA21A2" w:rsidRPr="006C4B43" w:rsidRDefault="00FA21A2" w:rsidP="00FA21A2">
      <w:pPr>
        <w:numPr>
          <w:ilvl w:val="0"/>
          <w:numId w:val="2"/>
        </w:numPr>
        <w:tabs>
          <w:tab w:val="clear" w:pos="1273"/>
          <w:tab w:val="num" w:pos="284"/>
        </w:tabs>
        <w:ind w:left="284" w:hanging="283"/>
        <w:rPr>
          <w:rFonts w:cs="Tahoma"/>
          <w:snapToGrid w:val="0"/>
          <w:color w:val="000000"/>
          <w:szCs w:val="20"/>
        </w:rPr>
      </w:pPr>
      <w:r w:rsidRPr="006C4B43">
        <w:rPr>
          <w:rFonts w:cs="Tahoma"/>
          <w:snapToGrid w:val="0"/>
          <w:color w:val="000000"/>
          <w:szCs w:val="20"/>
        </w:rPr>
        <w:t>których indywidualna ocena ujawnia ryzyko nieściągalności.</w:t>
      </w:r>
    </w:p>
    <w:p w:rsidR="00FA21A2" w:rsidRPr="006C4B43" w:rsidRDefault="00FA21A2" w:rsidP="00FA21A2">
      <w:pPr>
        <w:rPr>
          <w:rFonts w:cs="Tahoma"/>
          <w:snapToGrid w:val="0"/>
          <w:color w:val="000000"/>
          <w:szCs w:val="20"/>
        </w:rPr>
      </w:pPr>
    </w:p>
    <w:p w:rsidR="00FA21A2" w:rsidRPr="006C4B43" w:rsidRDefault="00FA21A2" w:rsidP="00FA21A2">
      <w:pPr>
        <w:rPr>
          <w:rFonts w:cs="Tahoma"/>
          <w:szCs w:val="20"/>
        </w:rPr>
      </w:pPr>
      <w:r w:rsidRPr="006C4B43">
        <w:rPr>
          <w:rFonts w:cs="Tahoma"/>
          <w:snapToGrid w:val="0"/>
          <w:color w:val="000000"/>
          <w:szCs w:val="20"/>
        </w:rPr>
        <w:t>Odpisy aktualizujące wartość należności zalicza się do pozostałych kosztów operacyjnych</w:t>
      </w:r>
      <w:r w:rsidRPr="006C4B43">
        <w:rPr>
          <w:rFonts w:cs="Tahoma"/>
          <w:szCs w:val="20"/>
        </w:rPr>
        <w:t xml:space="preserve"> lub do kosztów finansowych - zależnie od rodzaju należności, której dotyczy odpis aktualizujący</w:t>
      </w:r>
      <w:r w:rsidRPr="006C4B43">
        <w:rPr>
          <w:rFonts w:cs="Tahoma"/>
          <w:snapToGrid w:val="0"/>
          <w:color w:val="000000"/>
          <w:szCs w:val="20"/>
        </w:rPr>
        <w:t>.</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Należności umorzone, przedawnione lub nieściągalne zmniejszają dokonane uprzednio odpisy aktualizujące ich wartość. Należności umorzone, przedawnione lub nieściągalne, od których nie dokonano odpisów aktualizujących ich wartość lub dokonano odpisów w niepełnej wysokości, zalicza się odpowiednio do pozostałych kosztów operacyjnych lub kosztów finansowych.</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Na dzień bilansowy wycenia się wyrażone w walutach obcych składniki aktywów po obowiązującym na ten dzień średnim kursie ustalonym dla danej waluty przez Narodowy Bank Polski.</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Wyrażone w walutach obcych operacje gospodarcze ujmuje się w księgach rachunkowych na dzień ich przeprowadzenia odpowiednio po kursie kupna walut stosowanych przez bank, z którego usług korzysta Spółka w przypadku operacji sprzedaży walut oraz operacji zapłaty należności lub średnim ustalonym dla danej waluty przez Narodowy Bank Polski na ten dzień, chyba że w zgłoszeniu celnym lub w innym wiążącym jednostkę dokumencie ustalony został inny kurs  w przypadku pozostałych operacji.</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Powstałe z przeliczenia różnice kursowe zalicza się odpowiednio do przychodów lub kosztów finansowych lub w przypadkach określonych przepisami, kapitalizuje się w wartości aktywów.</w:t>
      </w:r>
    </w:p>
    <w:p w:rsidR="00FA21A2" w:rsidRPr="006C4B43" w:rsidRDefault="00FA21A2" w:rsidP="00FA21A2">
      <w:pPr>
        <w:rPr>
          <w:rFonts w:cs="Tahoma"/>
          <w:b/>
          <w:szCs w:val="20"/>
        </w:rPr>
      </w:pPr>
    </w:p>
    <w:p w:rsidR="00FA21A2" w:rsidRPr="00EB6EA6" w:rsidRDefault="00FA21A2" w:rsidP="00FA21A2">
      <w:pPr>
        <w:pStyle w:val="spis3"/>
      </w:pPr>
      <w:bookmarkStart w:id="84" w:name="_Toc509574097"/>
      <w:bookmarkStart w:id="85" w:name="_Toc509840984"/>
      <w:r w:rsidRPr="00EB6EA6">
        <w:t>Zobowiązania</w:t>
      </w:r>
      <w:bookmarkEnd w:id="84"/>
      <w:bookmarkEnd w:id="85"/>
    </w:p>
    <w:p w:rsidR="00FA21A2" w:rsidRPr="006C4B43" w:rsidRDefault="00FA21A2" w:rsidP="00FA21A2">
      <w:pPr>
        <w:rPr>
          <w:rFonts w:cs="Tahoma"/>
          <w:szCs w:val="20"/>
          <w:u w:val="single"/>
        </w:rPr>
      </w:pPr>
    </w:p>
    <w:p w:rsidR="00FA21A2" w:rsidRPr="006C4B43" w:rsidRDefault="00FA21A2" w:rsidP="00FA21A2">
      <w:pPr>
        <w:rPr>
          <w:rFonts w:cs="Tahoma"/>
          <w:szCs w:val="20"/>
        </w:rPr>
      </w:pPr>
      <w:r w:rsidRPr="006C4B43">
        <w:rPr>
          <w:rFonts w:cs="Tahoma"/>
          <w:szCs w:val="20"/>
        </w:rPr>
        <w:t>Za zobowiązania uznaje się wynikający z przeszłych zdarzeń obowiązek wykonania świadczeń o wiarygodnie określonej wartości, które spowodują wykorzystanie już posiadanych lub przyszłych aktywów Spółki.</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Na dzień powstania zobowiązania wycenia się według wartości nominalnej. Na dzień bilansowy obowiązania wycenia się w kwocie wymaga</w:t>
      </w:r>
      <w:r>
        <w:rPr>
          <w:rFonts w:cs="Tahoma"/>
          <w:szCs w:val="20"/>
        </w:rPr>
        <w:t xml:space="preserve">nej </w:t>
      </w:r>
      <w:r w:rsidRPr="006C4B43">
        <w:rPr>
          <w:rFonts w:cs="Tahoma"/>
          <w:szCs w:val="20"/>
        </w:rPr>
        <w:t xml:space="preserve">zapłaty. </w:t>
      </w:r>
    </w:p>
    <w:p w:rsidR="00FA21A2" w:rsidRPr="006C4B43" w:rsidRDefault="00FA21A2" w:rsidP="00FA21A2">
      <w:pPr>
        <w:pStyle w:val="Tekstpodstawowywcity"/>
        <w:ind w:left="0" w:firstLine="0"/>
        <w:jc w:val="left"/>
        <w:rPr>
          <w:rFonts w:cs="Tahoma"/>
        </w:rPr>
      </w:pPr>
    </w:p>
    <w:p w:rsidR="00FA21A2" w:rsidRPr="006C4B43" w:rsidRDefault="00FA21A2" w:rsidP="00FA21A2">
      <w:pPr>
        <w:pStyle w:val="Tekstpodstawowywcity"/>
        <w:ind w:left="0" w:firstLine="0"/>
        <w:rPr>
          <w:rFonts w:cs="Tahoma"/>
        </w:rPr>
      </w:pPr>
      <w:r w:rsidRPr="006C4B43">
        <w:rPr>
          <w:rFonts w:cs="Tahoma"/>
        </w:rPr>
        <w:lastRenderedPageBreak/>
        <w:t>Na dzień bilansowy wycenia się wyrażone w walutach obcych składniki pasywów po obowiązującym na ten dzień średnim kursie ustalonym dla danej waluty przez Narodowy Bank Polski.</w:t>
      </w:r>
    </w:p>
    <w:p w:rsidR="00FA21A2" w:rsidRPr="006C4B43" w:rsidRDefault="00FA21A2" w:rsidP="00FA21A2">
      <w:pPr>
        <w:pStyle w:val="Tekstpodstawowywcity"/>
        <w:ind w:left="0" w:firstLine="0"/>
        <w:rPr>
          <w:rFonts w:cs="Tahoma"/>
        </w:rPr>
      </w:pPr>
    </w:p>
    <w:p w:rsidR="00FA21A2" w:rsidRPr="006C4B43" w:rsidRDefault="00FA21A2" w:rsidP="00FA21A2">
      <w:pPr>
        <w:pStyle w:val="Tekstpodstawowywcity"/>
        <w:ind w:left="0" w:firstLine="0"/>
        <w:rPr>
          <w:rFonts w:cs="Tahoma"/>
        </w:rPr>
      </w:pPr>
      <w:r w:rsidRPr="006C4B43">
        <w:rPr>
          <w:rFonts w:cs="Tahoma"/>
        </w:rPr>
        <w:t>Wyrażone w walutach obcych operacje gospodarcze ujmuje się w księgach rachunkowych na dzień ich przeprowadzenia po kursie sprzedaży walut stosowanych przez bank, z którego usług korzysta jednostka w przypadku operacji kupna walut oraz operacji zapłaty zobowiązań, natomiast dla pozostałych operacji po kursie średnim ustalonym dla danej waluty przez Narodowy Bank Polski na ten dzień, chyba że w zgłoszeniu celnym lub innym wiążącym jednostkę dokumencie ustalony został inny kurs.</w:t>
      </w:r>
    </w:p>
    <w:p w:rsidR="00FA21A2" w:rsidRPr="006C4B43" w:rsidRDefault="00FA21A2" w:rsidP="00FA21A2">
      <w:pPr>
        <w:pStyle w:val="tekst"/>
        <w:spacing w:after="0" w:line="260" w:lineRule="atLeast"/>
        <w:rPr>
          <w:rFonts w:cs="Tahoma"/>
        </w:rPr>
      </w:pPr>
    </w:p>
    <w:p w:rsidR="00FA21A2" w:rsidRPr="006C4B43" w:rsidRDefault="00FA21A2" w:rsidP="00FA21A2">
      <w:pPr>
        <w:pStyle w:val="Tekstpodstawowywcity"/>
        <w:ind w:left="0" w:firstLine="0"/>
        <w:rPr>
          <w:rFonts w:cs="Tahoma"/>
        </w:rPr>
      </w:pPr>
      <w:r w:rsidRPr="006C4B43">
        <w:rPr>
          <w:rFonts w:cs="Tahoma"/>
        </w:rPr>
        <w:t>Powstałe z przeliczenia różnice kursowe zalicza się odpowiednio do przychodów lub kosztów finansowych lub, w przypadkach określonych przepisami, kapitalizuje się w wartości aktywów.</w:t>
      </w:r>
    </w:p>
    <w:p w:rsidR="00FA21A2" w:rsidRDefault="00FA21A2" w:rsidP="00FA21A2">
      <w:pPr>
        <w:rPr>
          <w:rFonts w:cs="Tahoma"/>
          <w:b/>
          <w:szCs w:val="20"/>
        </w:rPr>
      </w:pPr>
    </w:p>
    <w:p w:rsidR="00FA21A2" w:rsidRPr="00AB01B2" w:rsidRDefault="00FA21A2" w:rsidP="00FA21A2">
      <w:pPr>
        <w:pStyle w:val="Tekstpodstawowywcity"/>
        <w:ind w:left="0" w:firstLine="0"/>
        <w:rPr>
          <w:rFonts w:cs="Arial"/>
          <w:i/>
        </w:rPr>
      </w:pPr>
      <w:r w:rsidRPr="00AB01B2">
        <w:rPr>
          <w:rFonts w:cs="Arial"/>
          <w:i/>
        </w:rPr>
        <w:t>Zobowiązania finansowe</w:t>
      </w:r>
    </w:p>
    <w:p w:rsidR="00FA21A2" w:rsidRPr="00AB01B2" w:rsidRDefault="00FA21A2" w:rsidP="00FA21A2">
      <w:pPr>
        <w:pStyle w:val="Tekstpodstawowywcity"/>
        <w:ind w:left="0" w:firstLine="0"/>
        <w:rPr>
          <w:rFonts w:cs="Arial"/>
        </w:rPr>
      </w:pPr>
      <w:r w:rsidRPr="00AB01B2">
        <w:rPr>
          <w:rFonts w:cs="Arial"/>
        </w:rPr>
        <w:t>Zobowiązania finansowe inne niż instrumenty pochodne zabezpieczające, wykazywane są w następujących pozycjach sprawozdania z sytuacji finansowej:</w:t>
      </w:r>
    </w:p>
    <w:p w:rsidR="00FA21A2" w:rsidRPr="00AB01B2" w:rsidRDefault="00FA21A2" w:rsidP="00FA21A2">
      <w:pPr>
        <w:pStyle w:val="Tekstpodstawowywcity"/>
        <w:numPr>
          <w:ilvl w:val="0"/>
          <w:numId w:val="7"/>
        </w:numPr>
        <w:rPr>
          <w:rFonts w:cs="Arial"/>
        </w:rPr>
      </w:pPr>
      <w:r w:rsidRPr="00AB01B2">
        <w:rPr>
          <w:rFonts w:cs="Arial"/>
        </w:rPr>
        <w:t>kredyty, pożyczki, inne instrumenty dłużne,</w:t>
      </w:r>
    </w:p>
    <w:p w:rsidR="00FA21A2" w:rsidRPr="00AB01B2" w:rsidRDefault="00FA21A2" w:rsidP="00FA21A2">
      <w:pPr>
        <w:pStyle w:val="Tekstpodstawowywcity"/>
        <w:numPr>
          <w:ilvl w:val="0"/>
          <w:numId w:val="7"/>
        </w:numPr>
        <w:rPr>
          <w:rFonts w:cs="Arial"/>
        </w:rPr>
      </w:pPr>
      <w:r w:rsidRPr="00AB01B2">
        <w:rPr>
          <w:rFonts w:cs="Arial"/>
        </w:rPr>
        <w:t>leasing finansowy,</w:t>
      </w:r>
    </w:p>
    <w:p w:rsidR="00FA21A2" w:rsidRPr="00AB01B2" w:rsidRDefault="00FA21A2" w:rsidP="00FA21A2">
      <w:pPr>
        <w:pStyle w:val="Tekstpodstawowywcity"/>
        <w:numPr>
          <w:ilvl w:val="0"/>
          <w:numId w:val="7"/>
        </w:numPr>
        <w:rPr>
          <w:rFonts w:cs="Arial"/>
        </w:rPr>
      </w:pPr>
      <w:r w:rsidRPr="00AB01B2">
        <w:rPr>
          <w:rFonts w:cs="Arial"/>
        </w:rPr>
        <w:t>zobowiązania z tytułu dostaw i usług oraz pozostałe zobowiązania oraz</w:t>
      </w:r>
    </w:p>
    <w:p w:rsidR="00FA21A2" w:rsidRPr="00AB01B2" w:rsidRDefault="00FA21A2" w:rsidP="00FA21A2">
      <w:pPr>
        <w:pStyle w:val="Tekstpodstawowywcity"/>
        <w:numPr>
          <w:ilvl w:val="0"/>
          <w:numId w:val="7"/>
        </w:numPr>
        <w:rPr>
          <w:rFonts w:cs="Arial"/>
        </w:rPr>
      </w:pPr>
      <w:r w:rsidRPr="00AB01B2">
        <w:rPr>
          <w:rFonts w:cs="Arial"/>
        </w:rPr>
        <w:t>pochodne instrumenty finansowe.</w:t>
      </w:r>
    </w:p>
    <w:p w:rsidR="00FA21A2" w:rsidRPr="00AB01B2" w:rsidRDefault="00FA21A2" w:rsidP="00FA21A2">
      <w:pPr>
        <w:pStyle w:val="Tekstpodstawowywcity"/>
        <w:ind w:left="0" w:firstLine="0"/>
        <w:rPr>
          <w:rFonts w:cs="Arial"/>
        </w:rPr>
      </w:pPr>
      <w:r w:rsidRPr="00AB01B2">
        <w:rPr>
          <w:rFonts w:cs="Arial"/>
        </w:rPr>
        <w:t xml:space="preserve">Zobowiązania finansowe wyceniane są według wartości wymagającej zapłaty (nominalnej) ze względu na nieistotność różnic między nią a zamortyzowanym kosztem. Do kategorii zobowiązań finansowych wycenianych w wartości godziwej przez wynik finansowy </w:t>
      </w:r>
      <w:r>
        <w:rPr>
          <w:rFonts w:cs="Arial"/>
        </w:rPr>
        <w:t>Spółki</w:t>
      </w:r>
      <w:r w:rsidRPr="00AB01B2">
        <w:rPr>
          <w:rFonts w:cs="Arial"/>
        </w:rPr>
        <w:t xml:space="preserve"> zalicza instrumenty pochodne inne niż instrumenty zabezpieczające. Krótkoterminowe zobowiązania z tytułu dostaw i usług wyceniane są w wartości wymagającej zapłaty ze względu na nieznaczące efekty dyskonta.</w:t>
      </w:r>
    </w:p>
    <w:p w:rsidR="00FA21A2" w:rsidRPr="00AB01B2" w:rsidRDefault="00FA21A2" w:rsidP="00FA21A2">
      <w:pPr>
        <w:pStyle w:val="Tekstpodstawowywcity"/>
        <w:ind w:left="0" w:firstLine="0"/>
        <w:rPr>
          <w:rFonts w:cs="Arial"/>
        </w:rPr>
      </w:pPr>
      <w:r w:rsidRPr="00AB01B2">
        <w:rPr>
          <w:rFonts w:cs="Arial"/>
        </w:rPr>
        <w:t>Zyski i straty z wyceny zobowiązań finansowych ujmowane są w wyniku finansowym w działalności finansowej.</w:t>
      </w:r>
    </w:p>
    <w:p w:rsidR="00FA21A2" w:rsidRPr="006C4B43" w:rsidRDefault="00FA21A2" w:rsidP="00FA21A2">
      <w:pPr>
        <w:rPr>
          <w:rFonts w:cs="Tahoma"/>
          <w:b/>
          <w:szCs w:val="20"/>
        </w:rPr>
      </w:pPr>
    </w:p>
    <w:p w:rsidR="00FA21A2" w:rsidRPr="00EB6EA6" w:rsidRDefault="00FA21A2" w:rsidP="00FA21A2">
      <w:pPr>
        <w:pStyle w:val="spis3"/>
      </w:pPr>
      <w:bookmarkStart w:id="86" w:name="_Toc509574098"/>
      <w:bookmarkStart w:id="87" w:name="_Toc509840985"/>
      <w:r w:rsidRPr="00EB6EA6">
        <w:t>Środki pieniężne</w:t>
      </w:r>
      <w:bookmarkEnd w:id="86"/>
      <w:bookmarkEnd w:id="87"/>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 xml:space="preserve">Środki pieniężne w banku i w kasie wycenia się według wartości nominalnej. </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Środki pieniężne w walutach obcych wycenia się w ich wartości nominalnej przeliczonej na złote polskie. Wyrażone w walutach obcych operacje gospodarcze ujmuje się w księgach rachunkowych na dzień ich przeprowadzenia po kursie kupna walut stosowanych przez bank, z którego usług korzysta jednostka w przypadku operacji sprzedaży walut oraz operacji zapłaty należności, natomiast dla pozostałych operacji po kursie średnim ustalonym dla danej waluty przez Narodowy Bank Polski na ten dzień, chyba że w zgłoszeniu celnym lub innym wiążącym jednostkę dokumencie ustalony został inny kurs.</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 xml:space="preserve">Na dzień bilansowy wycenia się wyrażone w walutach obcych składniki aktywów po obowiązującym na ten dzień średnim kursie ustalonym dla danej waluty przez Narodowy Bank Polski. </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Dodatnie i ujemne różnice kursowe powstałe z przeliczenia na koniec roku obrotowego środków pieniężnych w walutach obcych na złote polskie zalicza się odpowiednio do przychodów lub kosztów finansowych.</w:t>
      </w:r>
    </w:p>
    <w:p w:rsidR="00FA21A2" w:rsidRPr="006C4B43" w:rsidRDefault="00FA21A2" w:rsidP="00FA21A2">
      <w:pPr>
        <w:rPr>
          <w:rFonts w:cs="Tahoma"/>
          <w:szCs w:val="20"/>
        </w:rPr>
      </w:pPr>
    </w:p>
    <w:p w:rsidR="00FA21A2" w:rsidRPr="00EB6EA6" w:rsidRDefault="00FA21A2" w:rsidP="00FA21A2">
      <w:pPr>
        <w:pStyle w:val="spis3"/>
      </w:pPr>
      <w:bookmarkStart w:id="88" w:name="_Toc509574099"/>
      <w:bookmarkStart w:id="89" w:name="_Toc509840986"/>
      <w:r w:rsidRPr="00EB6EA6">
        <w:t>Inwestycje krótkoterminowe</w:t>
      </w:r>
      <w:bookmarkEnd w:id="88"/>
      <w:bookmarkEnd w:id="89"/>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 xml:space="preserve">Inwestycje krótkoterminowe, z wyłączeniem środków pieniężnych i instrumentów finansowych, wyceniane są według ceny (wartości) rynkowej albo według ceny nabycia lub ceny (wartości) rynkowej, zależnie od tego, która z nich jest niższa, a krótkoterminowe inwestycje, dla których nie istnieje aktywny rynek w wartości godziwej. </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Skutki wzrostu lub obniżenia wartości inwestycji krótkoterminowych wycenionych według cen (wartości) rynkowych zalicza się odpowiednio do przychodów lub kosztów finansowych.</w:t>
      </w:r>
    </w:p>
    <w:p w:rsidR="00FA21A2" w:rsidRPr="006C4B43" w:rsidRDefault="00FA21A2" w:rsidP="00FA21A2">
      <w:pPr>
        <w:rPr>
          <w:rFonts w:cs="Tahoma"/>
          <w:szCs w:val="20"/>
        </w:rPr>
      </w:pPr>
    </w:p>
    <w:p w:rsidR="00FA21A2" w:rsidRPr="00EB6EA6" w:rsidRDefault="00FA21A2" w:rsidP="00FA21A2">
      <w:pPr>
        <w:pStyle w:val="spis3"/>
      </w:pPr>
      <w:bookmarkStart w:id="90" w:name="_Toc509574100"/>
      <w:bookmarkStart w:id="91" w:name="_Toc509840987"/>
      <w:r w:rsidRPr="00EB6EA6">
        <w:t>Różnice kursowe</w:t>
      </w:r>
      <w:bookmarkEnd w:id="90"/>
      <w:bookmarkEnd w:id="91"/>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lastRenderedPageBreak/>
        <w:t>Na dzień bilansowy wycenione zostały wyrażone w walutach obcych składniki aktywów (z wyłączeniem udziałów w jednostkach podporządkowanych wycenianych metodą praw własności) i pasywów – po obowiązującym na ten dzień średnim kursie ustalonym dla danej waluty przez Narodowy Bank Polski.</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 xml:space="preserve">Różnice kursowe, dotyczące innych niż rzeczowe składniki majątku trwałego, pozostałych aktywów i pasywów wyrażonych w walutach obcych, powstałe na dzień wyceny oraz przy zapłacie należności i zobowiązań w walutach obcych, zalicza się odpowiednio do przychodów lub kosztów finansowych. </w:t>
      </w:r>
    </w:p>
    <w:p w:rsidR="00FA21A2" w:rsidRPr="006C4B43" w:rsidRDefault="00FA21A2" w:rsidP="00FA21A2">
      <w:pPr>
        <w:rPr>
          <w:rFonts w:cs="Tahoma"/>
          <w:szCs w:val="20"/>
        </w:rPr>
      </w:pPr>
    </w:p>
    <w:p w:rsidR="00FA21A2" w:rsidRPr="00EB6EA6" w:rsidRDefault="00FA21A2" w:rsidP="00FA21A2">
      <w:pPr>
        <w:pStyle w:val="spis3"/>
      </w:pPr>
      <w:bookmarkStart w:id="92" w:name="_Toc509574101"/>
      <w:bookmarkStart w:id="93" w:name="_Toc509840988"/>
      <w:r w:rsidRPr="00EB6EA6">
        <w:t>Kapitał własny</w:t>
      </w:r>
      <w:bookmarkEnd w:id="92"/>
      <w:bookmarkEnd w:id="93"/>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Kapitał podstawowy jest ujmowany w wysokości określonej w statucie i wpisanej w rejestrze sądowym. Zadeklarowane lecz niewniesione wkłady kapitałowe ujmowane są jako należne wkłady na poczet kapitału.</w:t>
      </w:r>
    </w:p>
    <w:p w:rsidR="00FA21A2" w:rsidRPr="006C4B43" w:rsidRDefault="00FA21A2" w:rsidP="00FA21A2">
      <w:pPr>
        <w:rPr>
          <w:rFonts w:cs="Tahoma"/>
          <w:szCs w:val="20"/>
        </w:rPr>
      </w:pPr>
    </w:p>
    <w:p w:rsidR="00FA21A2" w:rsidRPr="006C4B43" w:rsidRDefault="00FA21A2" w:rsidP="00FA21A2">
      <w:pPr>
        <w:spacing w:before="180"/>
        <w:rPr>
          <w:rFonts w:cs="Tahoma"/>
          <w:szCs w:val="20"/>
        </w:rPr>
      </w:pPr>
      <w:r w:rsidRPr="006C4B43">
        <w:rPr>
          <w:rFonts w:cs="Tahoma"/>
          <w:szCs w:val="20"/>
        </w:rPr>
        <w:t>Na dzień bilansowy kapitał zakładowy wykazuje się w wysokości określonej w umowie i zarejestrowanej w Krajowym Rejestrze Sądowym. Kapitał akcyjny wykazywany jest w wartości nominalnej wyemitowanych i zarejestrowanych akcji. Na dzień 31 grudnia 2017 roku kapitał akcyjny w kwocie 18 377 719,50 złotych tworzyło 12 251 813 akcji o równej wartości nominalnej 1,50 złotych każda.</w:t>
      </w:r>
    </w:p>
    <w:p w:rsidR="00FA21A2" w:rsidRPr="006C4B43" w:rsidRDefault="00FA21A2" w:rsidP="00FA21A2">
      <w:pPr>
        <w:spacing w:before="180"/>
        <w:rPr>
          <w:rFonts w:cs="Tahoma"/>
          <w:szCs w:val="20"/>
        </w:rPr>
      </w:pPr>
      <w:r w:rsidRPr="006C4B43">
        <w:rPr>
          <w:rFonts w:cs="Tahoma"/>
          <w:i/>
          <w:iCs/>
          <w:szCs w:val="20"/>
        </w:rPr>
        <w:t>Kapitał zapasowy</w:t>
      </w:r>
      <w:r w:rsidRPr="006C4B43">
        <w:rPr>
          <w:rFonts w:cs="Tahoma"/>
          <w:szCs w:val="20"/>
        </w:rPr>
        <w:t xml:space="preserve"> Spółki tworzony jest z podziału zysku i nadwyżki ceny sprzedaży akcji ponad wartość nominalną.</w:t>
      </w:r>
    </w:p>
    <w:p w:rsidR="00FA21A2" w:rsidRPr="006C4B43" w:rsidRDefault="00FA21A2" w:rsidP="00FA21A2">
      <w:pPr>
        <w:rPr>
          <w:rFonts w:cs="Tahoma"/>
          <w:szCs w:val="20"/>
          <w:u w:val="single"/>
        </w:rPr>
      </w:pPr>
    </w:p>
    <w:p w:rsidR="00FA21A2" w:rsidRPr="006C4B43" w:rsidRDefault="00FA21A2" w:rsidP="00FA21A2">
      <w:pPr>
        <w:rPr>
          <w:rFonts w:cs="Tahoma"/>
          <w:szCs w:val="20"/>
        </w:rPr>
      </w:pPr>
      <w:r w:rsidRPr="006C4B43">
        <w:rPr>
          <w:rFonts w:cs="Tahoma"/>
          <w:i/>
          <w:iCs/>
          <w:szCs w:val="20"/>
        </w:rPr>
        <w:t>Zysk lub strata z lat ubiegłych</w:t>
      </w:r>
      <w:r w:rsidRPr="006C4B43">
        <w:rPr>
          <w:rFonts w:cs="Tahoma"/>
          <w:szCs w:val="20"/>
        </w:rPr>
        <w:t xml:space="preserve"> odzwierciedla nierozliczony wynik z lat poprzednich, a także skutki korekt zmian zasad rachunkowości i błędów podstawowych dotyczących lat poprzednich, a ujawnionych w bieżącym roku obrotowym.</w:t>
      </w:r>
    </w:p>
    <w:p w:rsidR="00FA21A2" w:rsidRPr="006C4B43" w:rsidRDefault="00FA21A2" w:rsidP="00FA21A2">
      <w:pPr>
        <w:rPr>
          <w:rFonts w:cs="Tahoma"/>
          <w:b/>
          <w:szCs w:val="20"/>
        </w:rPr>
      </w:pPr>
    </w:p>
    <w:p w:rsidR="00FA21A2" w:rsidRPr="00EB6EA6" w:rsidRDefault="00FA21A2" w:rsidP="00FA21A2">
      <w:pPr>
        <w:pStyle w:val="spis3"/>
      </w:pPr>
      <w:bookmarkStart w:id="94" w:name="_Toc509574102"/>
      <w:bookmarkStart w:id="95" w:name="_Toc509840989"/>
      <w:r w:rsidRPr="00EB6EA6">
        <w:t>Rezerwy</w:t>
      </w:r>
      <w:bookmarkEnd w:id="94"/>
      <w:bookmarkEnd w:id="95"/>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 xml:space="preserve">Rezerwy są to zobowiązania, których termin wymagalności lub kwota nie są pewne. Tworzy się je na pewne lub prawdopodobne przyszłe zobowiązania w ciężar pozostałych kosztów operacyjnych, kosztów finansowych, strat nadzwyczajnych, zależnie od okoliczności z którymi przyszłe zobowiązania się wiążą. </w:t>
      </w:r>
    </w:p>
    <w:p w:rsidR="00FA21A2" w:rsidRPr="006C4B43" w:rsidRDefault="00FA21A2" w:rsidP="00FA21A2">
      <w:pPr>
        <w:rPr>
          <w:rFonts w:cs="Tahoma"/>
          <w:b/>
          <w:szCs w:val="20"/>
        </w:rPr>
      </w:pPr>
    </w:p>
    <w:p w:rsidR="00FA21A2" w:rsidRPr="006C4B43" w:rsidRDefault="00FA21A2" w:rsidP="00FA21A2">
      <w:pPr>
        <w:spacing w:line="260" w:lineRule="atLeast"/>
        <w:rPr>
          <w:rFonts w:cs="Tahoma"/>
          <w:szCs w:val="20"/>
        </w:rPr>
      </w:pPr>
      <w:r w:rsidRPr="006C4B43">
        <w:rPr>
          <w:rFonts w:cs="Tahoma"/>
          <w:szCs w:val="20"/>
        </w:rPr>
        <w:t>Rezerwy wycenia się według uzasadnionej oraz w sposób wiarygodny oszacowanej wartości.</w:t>
      </w:r>
    </w:p>
    <w:p w:rsidR="00FA21A2" w:rsidRPr="006C4B43" w:rsidRDefault="00FA21A2" w:rsidP="00FA21A2">
      <w:pPr>
        <w:pStyle w:val="Tekstpodstawowywcity"/>
        <w:rPr>
          <w:rFonts w:cs="Tahoma"/>
        </w:rPr>
      </w:pPr>
    </w:p>
    <w:p w:rsidR="00FA21A2" w:rsidRPr="006C4B43" w:rsidRDefault="00FA21A2" w:rsidP="00FA21A2">
      <w:pPr>
        <w:rPr>
          <w:rFonts w:cs="Tahoma"/>
          <w:szCs w:val="20"/>
        </w:rPr>
      </w:pPr>
      <w:r w:rsidRPr="006C4B43">
        <w:rPr>
          <w:rFonts w:cs="Tahoma"/>
          <w:szCs w:val="20"/>
        </w:rPr>
        <w:t>Spółka tworzy m.in. rezerwy na świadczenia emerytalno-rentowe pracowników</w:t>
      </w:r>
      <w:r>
        <w:rPr>
          <w:rFonts w:cs="Tahoma"/>
          <w:szCs w:val="20"/>
        </w:rPr>
        <w:t>.</w:t>
      </w:r>
    </w:p>
    <w:p w:rsidR="00FA21A2" w:rsidRPr="006C4B43" w:rsidRDefault="00FA21A2" w:rsidP="00FA21A2">
      <w:pPr>
        <w:rPr>
          <w:rFonts w:cs="Tahoma"/>
          <w:szCs w:val="20"/>
        </w:rPr>
      </w:pPr>
    </w:p>
    <w:p w:rsidR="00FA21A2" w:rsidRPr="00EB6EA6" w:rsidRDefault="00FA21A2" w:rsidP="00FA21A2">
      <w:pPr>
        <w:pStyle w:val="spis3"/>
      </w:pPr>
      <w:bookmarkStart w:id="96" w:name="_Toc509574103"/>
      <w:bookmarkStart w:id="97" w:name="_Toc509840990"/>
      <w:r w:rsidRPr="00EB6EA6">
        <w:t>Zobowiązania warunkowe - pozabilansowe</w:t>
      </w:r>
      <w:bookmarkEnd w:id="96"/>
      <w:bookmarkEnd w:id="97"/>
      <w:r w:rsidRPr="00EB6EA6">
        <w:t xml:space="preserve"> </w:t>
      </w:r>
    </w:p>
    <w:p w:rsidR="00FA21A2" w:rsidRPr="006C4B43" w:rsidRDefault="00FA21A2" w:rsidP="00FA21A2">
      <w:pPr>
        <w:spacing w:before="180"/>
        <w:rPr>
          <w:rFonts w:cs="Tahoma"/>
          <w:szCs w:val="20"/>
        </w:rPr>
      </w:pPr>
      <w:r w:rsidRPr="006C4B43">
        <w:rPr>
          <w:rFonts w:cs="Tahoma"/>
          <w:szCs w:val="20"/>
        </w:rPr>
        <w:t>Za zobowiązania warunkowe Spółka uznaje potencjalny przyszły obowiązek wykonania świadczeń, których powstanie jest uzależnione od zaistnienia określonych zdarzeń.</w:t>
      </w:r>
    </w:p>
    <w:p w:rsidR="00FA21A2" w:rsidRPr="006C4B43" w:rsidRDefault="00FA21A2" w:rsidP="00FA21A2">
      <w:pPr>
        <w:rPr>
          <w:rFonts w:cs="Tahoma"/>
          <w:b/>
          <w:snapToGrid w:val="0"/>
          <w:color w:val="000000"/>
          <w:szCs w:val="20"/>
        </w:rPr>
      </w:pPr>
    </w:p>
    <w:p w:rsidR="00FA21A2" w:rsidRPr="00EB6EA6" w:rsidRDefault="00FA21A2" w:rsidP="00FA21A2">
      <w:pPr>
        <w:pStyle w:val="spis3"/>
      </w:pPr>
      <w:bookmarkStart w:id="98" w:name="_Toc509574104"/>
      <w:bookmarkStart w:id="99" w:name="_Toc509840991"/>
      <w:r w:rsidRPr="00EB6EA6">
        <w:t>Rozliczenia międzyokresowe</w:t>
      </w:r>
      <w:bookmarkEnd w:id="98"/>
      <w:bookmarkEnd w:id="99"/>
    </w:p>
    <w:p w:rsidR="00FA21A2" w:rsidRPr="006C4B43" w:rsidRDefault="00FA21A2" w:rsidP="00FA21A2">
      <w:pPr>
        <w:spacing w:before="180"/>
        <w:rPr>
          <w:rFonts w:cs="Tahoma"/>
          <w:snapToGrid w:val="0"/>
          <w:color w:val="000000"/>
          <w:szCs w:val="20"/>
        </w:rPr>
      </w:pPr>
      <w:r w:rsidRPr="006C4B43">
        <w:rPr>
          <w:rFonts w:cs="Tahoma"/>
          <w:snapToGrid w:val="0"/>
          <w:color w:val="000000"/>
          <w:szCs w:val="20"/>
        </w:rPr>
        <w:t>Rozliczenia międzyokresowe czynne dotyczą poniesionych przez Spółkę kosztów dotyczących przyszłych okresów sprawozdawczych,</w:t>
      </w:r>
      <w:r w:rsidRPr="006C4B43">
        <w:rPr>
          <w:rFonts w:cs="Tahoma"/>
          <w:szCs w:val="20"/>
        </w:rPr>
        <w:t xml:space="preserve"> a w szczególności</w:t>
      </w:r>
      <w:r w:rsidRPr="006C4B43">
        <w:rPr>
          <w:rFonts w:cs="Tahoma"/>
          <w:snapToGrid w:val="0"/>
          <w:color w:val="000000"/>
          <w:szCs w:val="20"/>
        </w:rPr>
        <w:t>:</w:t>
      </w:r>
    </w:p>
    <w:p w:rsidR="00FA21A2" w:rsidRPr="006C4B43" w:rsidRDefault="00FA21A2" w:rsidP="00FA21A2">
      <w:pPr>
        <w:numPr>
          <w:ilvl w:val="0"/>
          <w:numId w:val="2"/>
        </w:numPr>
        <w:tabs>
          <w:tab w:val="clear" w:pos="1273"/>
          <w:tab w:val="num" w:pos="426"/>
        </w:tabs>
        <w:ind w:left="426" w:hanging="425"/>
        <w:rPr>
          <w:rFonts w:cs="Tahoma"/>
          <w:snapToGrid w:val="0"/>
          <w:color w:val="000000"/>
          <w:szCs w:val="20"/>
        </w:rPr>
      </w:pPr>
      <w:r w:rsidRPr="006C4B43">
        <w:rPr>
          <w:rFonts w:cs="Tahoma"/>
          <w:snapToGrid w:val="0"/>
          <w:color w:val="000000"/>
          <w:szCs w:val="20"/>
        </w:rPr>
        <w:t>długoterminowe, które dotyczą przyszłych okresów sprawozdawczych i trwają dłużej niż 12 miesięcy od dnia bilansowego,</w:t>
      </w:r>
    </w:p>
    <w:p w:rsidR="00FA21A2" w:rsidRPr="006C4B43" w:rsidRDefault="00FA21A2" w:rsidP="00FA21A2">
      <w:pPr>
        <w:numPr>
          <w:ilvl w:val="0"/>
          <w:numId w:val="2"/>
        </w:numPr>
        <w:tabs>
          <w:tab w:val="clear" w:pos="1273"/>
          <w:tab w:val="num" w:pos="426"/>
        </w:tabs>
        <w:ind w:left="426" w:hanging="425"/>
        <w:rPr>
          <w:rFonts w:cs="Tahoma"/>
          <w:snapToGrid w:val="0"/>
          <w:color w:val="000000"/>
          <w:szCs w:val="20"/>
        </w:rPr>
      </w:pPr>
      <w:r w:rsidRPr="006C4B43">
        <w:rPr>
          <w:rFonts w:cs="Tahoma"/>
          <w:snapToGrid w:val="0"/>
          <w:color w:val="000000"/>
          <w:szCs w:val="20"/>
        </w:rPr>
        <w:t>krótkoterminowe, które dotyczą przyszłych okresów sprawozdawczych i trwają nie dłużej niż 12 miesięcy od dnia bilansowego.</w:t>
      </w:r>
    </w:p>
    <w:p w:rsidR="00FA21A2" w:rsidRPr="006C4B43" w:rsidRDefault="00FA21A2" w:rsidP="00FA21A2">
      <w:pPr>
        <w:tabs>
          <w:tab w:val="num" w:pos="426"/>
        </w:tabs>
        <w:rPr>
          <w:rFonts w:cs="Tahoma"/>
          <w:snapToGrid w:val="0"/>
          <w:color w:val="000000"/>
          <w:szCs w:val="20"/>
        </w:rPr>
      </w:pPr>
    </w:p>
    <w:p w:rsidR="00FA21A2" w:rsidRPr="006C4B43" w:rsidRDefault="00FA21A2" w:rsidP="00FA21A2">
      <w:pPr>
        <w:rPr>
          <w:rFonts w:cs="Tahoma"/>
          <w:szCs w:val="20"/>
        </w:rPr>
      </w:pPr>
      <w:r w:rsidRPr="006C4B43">
        <w:rPr>
          <w:rFonts w:cs="Tahoma"/>
          <w:szCs w:val="20"/>
        </w:rPr>
        <w:t>Za bierne rozliczenia międzyokresowe kosztów Spółka uznaje prawdopodobne zobowiązania przypadające na bieżący okres sprawozdawczy, wynikające w szczególności:</w:t>
      </w:r>
    </w:p>
    <w:p w:rsidR="00FA21A2" w:rsidRPr="006C4B43" w:rsidRDefault="00FA21A2" w:rsidP="00FA21A2">
      <w:pPr>
        <w:numPr>
          <w:ilvl w:val="0"/>
          <w:numId w:val="3"/>
        </w:numPr>
        <w:tabs>
          <w:tab w:val="clear" w:pos="1273"/>
          <w:tab w:val="num" w:pos="426"/>
        </w:tabs>
        <w:spacing w:before="120"/>
        <w:ind w:left="426" w:hanging="426"/>
        <w:rPr>
          <w:rFonts w:cs="Tahoma"/>
          <w:szCs w:val="20"/>
        </w:rPr>
      </w:pPr>
      <w:r w:rsidRPr="006C4B43">
        <w:rPr>
          <w:rFonts w:cs="Tahoma"/>
          <w:szCs w:val="20"/>
        </w:rPr>
        <w:t>ze świadczeń wykonanych na rzecz Spółki przez kontrahentów, lecz nie zafakturowanych do dnia bilansowego, jeżeli kwota zobowiązania jest znana lub możliwa do oszacowania w sposób wiarygodny,</w:t>
      </w:r>
    </w:p>
    <w:p w:rsidR="00FA21A2" w:rsidRPr="006C4B43" w:rsidRDefault="00FA21A2" w:rsidP="00FA21A2">
      <w:pPr>
        <w:numPr>
          <w:ilvl w:val="0"/>
          <w:numId w:val="3"/>
        </w:numPr>
        <w:tabs>
          <w:tab w:val="clear" w:pos="1273"/>
          <w:tab w:val="num" w:pos="426"/>
        </w:tabs>
        <w:ind w:left="426" w:hanging="426"/>
        <w:rPr>
          <w:rFonts w:cs="Tahoma"/>
          <w:szCs w:val="20"/>
        </w:rPr>
      </w:pPr>
      <w:r w:rsidRPr="006C4B43">
        <w:rPr>
          <w:rFonts w:cs="Tahoma"/>
          <w:szCs w:val="20"/>
        </w:rPr>
        <w:t>z obowiązku wykonania, związanych z bieżącą działalnością przyszłych świadczeń, możliwych do oszacowania w sposób wiarygodny na podstawie danych planistycznych lub na podstawie realizacji produkcji.</w:t>
      </w:r>
    </w:p>
    <w:p w:rsidR="00FA21A2" w:rsidRPr="006C4B43" w:rsidRDefault="00FA21A2" w:rsidP="00FA21A2">
      <w:pPr>
        <w:rPr>
          <w:rFonts w:cs="Tahoma"/>
          <w:snapToGrid w:val="0"/>
          <w:color w:val="000000"/>
          <w:szCs w:val="20"/>
        </w:rPr>
      </w:pPr>
    </w:p>
    <w:p w:rsidR="00FA21A2" w:rsidRPr="006C4B43" w:rsidRDefault="00FA21A2" w:rsidP="00FA21A2">
      <w:pPr>
        <w:rPr>
          <w:rFonts w:cs="Tahoma"/>
          <w:snapToGrid w:val="0"/>
          <w:color w:val="000000"/>
          <w:szCs w:val="20"/>
        </w:rPr>
      </w:pPr>
      <w:r w:rsidRPr="006C4B43">
        <w:rPr>
          <w:rFonts w:cs="Tahoma"/>
          <w:snapToGrid w:val="0"/>
          <w:color w:val="000000"/>
          <w:szCs w:val="20"/>
        </w:rPr>
        <w:lastRenderedPageBreak/>
        <w:t>Powyższe bierne rozliczeni</w:t>
      </w:r>
      <w:r>
        <w:rPr>
          <w:rFonts w:cs="Tahoma"/>
          <w:snapToGrid w:val="0"/>
          <w:color w:val="000000"/>
          <w:szCs w:val="20"/>
        </w:rPr>
        <w:t>a</w:t>
      </w:r>
      <w:r w:rsidRPr="006C4B43">
        <w:rPr>
          <w:rFonts w:cs="Tahoma"/>
          <w:snapToGrid w:val="0"/>
          <w:color w:val="000000"/>
          <w:szCs w:val="20"/>
        </w:rPr>
        <w:t xml:space="preserve"> międzyokresowe prezentowane są w pozycji rozliczeń międzyokresowych w pasywach Spółki.</w:t>
      </w:r>
    </w:p>
    <w:p w:rsidR="00FA21A2" w:rsidRPr="006C4B43" w:rsidRDefault="00FA21A2" w:rsidP="00FA21A2">
      <w:pPr>
        <w:rPr>
          <w:rFonts w:cs="Tahoma"/>
          <w:snapToGrid w:val="0"/>
          <w:color w:val="000000"/>
          <w:szCs w:val="20"/>
        </w:rPr>
      </w:pPr>
    </w:p>
    <w:p w:rsidR="00FA21A2" w:rsidRPr="006C4B43" w:rsidRDefault="00FA21A2" w:rsidP="00FA21A2">
      <w:pPr>
        <w:rPr>
          <w:rFonts w:cs="Tahoma"/>
          <w:snapToGrid w:val="0"/>
          <w:color w:val="000000"/>
          <w:szCs w:val="20"/>
        </w:rPr>
      </w:pPr>
      <w:r w:rsidRPr="006C4B43">
        <w:rPr>
          <w:rFonts w:cs="Tahoma"/>
          <w:snapToGrid w:val="0"/>
          <w:color w:val="000000"/>
          <w:szCs w:val="20"/>
        </w:rPr>
        <w:t>Odpisy czynnych i biernych rozliczeń międzyokresowych kosztów następują stosownie do upływu czasu lub wielkości świadczeń.</w:t>
      </w:r>
    </w:p>
    <w:p w:rsidR="00FA21A2" w:rsidRPr="006C4B43" w:rsidRDefault="00FA21A2" w:rsidP="00FA21A2">
      <w:pPr>
        <w:rPr>
          <w:rFonts w:cs="Tahoma"/>
          <w:snapToGrid w:val="0"/>
          <w:color w:val="000000"/>
          <w:szCs w:val="20"/>
        </w:rPr>
      </w:pPr>
    </w:p>
    <w:p w:rsidR="00FA21A2" w:rsidRPr="006C4B43" w:rsidRDefault="00FA21A2" w:rsidP="00FA21A2">
      <w:pPr>
        <w:rPr>
          <w:rFonts w:cs="Tahoma"/>
          <w:snapToGrid w:val="0"/>
          <w:color w:val="000000"/>
          <w:szCs w:val="20"/>
        </w:rPr>
      </w:pPr>
      <w:r w:rsidRPr="006C4B43">
        <w:rPr>
          <w:rFonts w:cs="Tahoma"/>
          <w:snapToGrid w:val="0"/>
          <w:color w:val="000000"/>
          <w:szCs w:val="20"/>
        </w:rPr>
        <w:t>W biernych rozliczeniach międzyokresowych Spółka ujmuje również otrzymane dotacje do środków trwałych i rozlicza ją w pozostałe przychody operacyjne proporcjonalnie do amortyzacji sfinansowanych składników aktywów.</w:t>
      </w:r>
    </w:p>
    <w:p w:rsidR="00FA21A2" w:rsidRPr="006C4B43" w:rsidRDefault="00FA21A2" w:rsidP="00FA21A2">
      <w:pPr>
        <w:rPr>
          <w:rFonts w:cs="Tahoma"/>
          <w:b/>
          <w:szCs w:val="20"/>
        </w:rPr>
      </w:pPr>
    </w:p>
    <w:p w:rsidR="00FA21A2" w:rsidRPr="00EB6EA6" w:rsidRDefault="00FA21A2" w:rsidP="00FA21A2">
      <w:pPr>
        <w:pStyle w:val="spis3"/>
      </w:pPr>
      <w:bookmarkStart w:id="100" w:name="_Toc509574105"/>
      <w:bookmarkStart w:id="101" w:name="_Toc509840992"/>
      <w:r w:rsidRPr="00EB6EA6">
        <w:t>Podatek odroczony</w:t>
      </w:r>
      <w:bookmarkEnd w:id="100"/>
      <w:bookmarkEnd w:id="101"/>
    </w:p>
    <w:p w:rsidR="00FA21A2" w:rsidRPr="006C4B43" w:rsidRDefault="00FA21A2" w:rsidP="00FA21A2">
      <w:pPr>
        <w:rPr>
          <w:rFonts w:cs="Tahoma"/>
          <w:b/>
          <w:szCs w:val="20"/>
        </w:rPr>
      </w:pPr>
    </w:p>
    <w:p w:rsidR="00FA21A2" w:rsidRPr="006C4B43" w:rsidRDefault="00FA21A2" w:rsidP="00FA21A2">
      <w:pPr>
        <w:rPr>
          <w:rFonts w:cs="Tahoma"/>
          <w:snapToGrid w:val="0"/>
          <w:color w:val="000000"/>
          <w:szCs w:val="20"/>
          <w:u w:val="single"/>
        </w:rPr>
      </w:pPr>
      <w:r w:rsidRPr="006C4B43">
        <w:rPr>
          <w:rFonts w:cs="Tahoma"/>
          <w:szCs w:val="20"/>
        </w:rPr>
        <w:t>Odroczony podatek dochodowy jest ustalany w stosunku do wszystkich różnic przejściowych występujących na dzień bilansowy między wartością podatkową aktywów i pasywów, a ich wartością bilansową wykazaną w sprawozdaniu finansowym.</w:t>
      </w:r>
    </w:p>
    <w:p w:rsidR="00FA21A2" w:rsidRPr="006C4B43" w:rsidRDefault="00FA21A2" w:rsidP="00FA21A2">
      <w:pPr>
        <w:rPr>
          <w:rFonts w:cs="Tahoma"/>
          <w:snapToGrid w:val="0"/>
          <w:color w:val="000000"/>
          <w:szCs w:val="20"/>
          <w:u w:val="single"/>
        </w:rPr>
      </w:pPr>
    </w:p>
    <w:p w:rsidR="00FA21A2" w:rsidRPr="006C4B43" w:rsidRDefault="00FA21A2" w:rsidP="00FA21A2">
      <w:pPr>
        <w:rPr>
          <w:rFonts w:cs="Tahoma"/>
          <w:i/>
          <w:iCs/>
          <w:snapToGrid w:val="0"/>
          <w:color w:val="000000"/>
          <w:szCs w:val="20"/>
        </w:rPr>
      </w:pPr>
      <w:r w:rsidRPr="006C4B43">
        <w:rPr>
          <w:rFonts w:cs="Tahoma"/>
          <w:i/>
          <w:iCs/>
          <w:snapToGrid w:val="0"/>
          <w:color w:val="000000"/>
          <w:szCs w:val="20"/>
        </w:rPr>
        <w:t xml:space="preserve">Aktywa z tytułu podatku dochodowego </w:t>
      </w:r>
    </w:p>
    <w:p w:rsidR="00FA21A2" w:rsidRPr="006C4B43" w:rsidRDefault="00FA21A2" w:rsidP="00FA21A2">
      <w:pPr>
        <w:rPr>
          <w:rFonts w:cs="Tahoma"/>
          <w:snapToGrid w:val="0"/>
          <w:color w:val="000000"/>
          <w:szCs w:val="20"/>
        </w:rPr>
      </w:pPr>
    </w:p>
    <w:p w:rsidR="00FA21A2" w:rsidRPr="006C4B43" w:rsidRDefault="00FA21A2" w:rsidP="00FA21A2">
      <w:pPr>
        <w:rPr>
          <w:rFonts w:cs="Tahoma"/>
          <w:snapToGrid w:val="0"/>
          <w:color w:val="000000"/>
          <w:szCs w:val="20"/>
        </w:rPr>
      </w:pPr>
      <w:r w:rsidRPr="006C4B43">
        <w:rPr>
          <w:rFonts w:cs="Tahoma"/>
          <w:snapToGrid w:val="0"/>
          <w:color w:val="000000"/>
          <w:szCs w:val="20"/>
        </w:rPr>
        <w:t xml:space="preserve">Aktywa z tytułu podatku odroczonego ustala się w wysokości kwoty przewidzianej w przyszłości do odliczenia od podatku dochodowego, w związku z ujemnymi różnicami przejściowymi, które spowodują w przyszłości zmniejszenie podstawy obliczenia podatku dochodowego oraz straty możliwej do odliczenia, przy zachowaniu zasady ostrożności. </w:t>
      </w:r>
    </w:p>
    <w:p w:rsidR="00FA21A2" w:rsidRPr="006C4B43" w:rsidRDefault="00FA21A2" w:rsidP="00FA21A2">
      <w:pPr>
        <w:rPr>
          <w:rFonts w:cs="Tahoma"/>
          <w:b/>
          <w:snapToGrid w:val="0"/>
          <w:color w:val="000000"/>
          <w:szCs w:val="20"/>
        </w:rPr>
      </w:pPr>
    </w:p>
    <w:p w:rsidR="00FA21A2" w:rsidRPr="006C4B43" w:rsidRDefault="00FA21A2" w:rsidP="00FA21A2">
      <w:pPr>
        <w:rPr>
          <w:rFonts w:cs="Tahoma"/>
          <w:i/>
          <w:iCs/>
          <w:snapToGrid w:val="0"/>
          <w:color w:val="000000"/>
          <w:szCs w:val="20"/>
        </w:rPr>
      </w:pPr>
    </w:p>
    <w:p w:rsidR="00FA21A2" w:rsidRPr="006C4B43" w:rsidRDefault="00FA21A2" w:rsidP="00FA21A2">
      <w:pPr>
        <w:rPr>
          <w:rFonts w:cs="Tahoma"/>
          <w:i/>
          <w:iCs/>
          <w:snapToGrid w:val="0"/>
          <w:color w:val="000000"/>
          <w:szCs w:val="20"/>
        </w:rPr>
      </w:pPr>
      <w:r w:rsidRPr="006C4B43">
        <w:rPr>
          <w:rFonts w:cs="Tahoma"/>
          <w:i/>
          <w:iCs/>
          <w:snapToGrid w:val="0"/>
          <w:color w:val="000000"/>
          <w:szCs w:val="20"/>
        </w:rPr>
        <w:t>Rezerwa z tytułu odroczonego podatku dochodowego</w:t>
      </w:r>
    </w:p>
    <w:p w:rsidR="00FA21A2" w:rsidRPr="006C4B43" w:rsidRDefault="00FA21A2" w:rsidP="00FA21A2">
      <w:pPr>
        <w:rPr>
          <w:rFonts w:cs="Tahoma"/>
          <w:snapToGrid w:val="0"/>
          <w:color w:val="000000"/>
          <w:szCs w:val="20"/>
        </w:rPr>
      </w:pPr>
    </w:p>
    <w:p w:rsidR="00FA21A2" w:rsidRPr="006C4B43" w:rsidRDefault="00FA21A2" w:rsidP="00FA21A2">
      <w:pPr>
        <w:rPr>
          <w:rFonts w:cs="Tahoma"/>
          <w:snapToGrid w:val="0"/>
          <w:color w:val="000000"/>
          <w:szCs w:val="20"/>
        </w:rPr>
      </w:pPr>
      <w:r w:rsidRPr="006C4B43">
        <w:rPr>
          <w:rFonts w:cs="Tahoma"/>
          <w:snapToGrid w:val="0"/>
          <w:color w:val="000000"/>
          <w:szCs w:val="20"/>
        </w:rPr>
        <w:t xml:space="preserve">Rezerwę z tytułu podatku odroczonego tworzy się w wysokości kwoty podatku dochodowego, wymagającej w przyszłości zapłaty, w związku z dodatnimi różnicami przejściowymi, które spowodują w przyszłości zwiększenie podstawy obliczenia podatku dochodowego. </w:t>
      </w:r>
    </w:p>
    <w:p w:rsidR="00FA21A2" w:rsidRPr="006C4B43" w:rsidRDefault="00FA21A2" w:rsidP="00FA21A2">
      <w:pPr>
        <w:rPr>
          <w:rFonts w:cs="Tahoma"/>
          <w:snapToGrid w:val="0"/>
          <w:color w:val="000000"/>
          <w:szCs w:val="20"/>
        </w:rPr>
      </w:pPr>
    </w:p>
    <w:p w:rsidR="00FA21A2" w:rsidRPr="006C4B43" w:rsidRDefault="00FA21A2" w:rsidP="00FA21A2">
      <w:pPr>
        <w:rPr>
          <w:rFonts w:cs="Tahoma"/>
          <w:snapToGrid w:val="0"/>
          <w:color w:val="000000"/>
          <w:szCs w:val="20"/>
        </w:rPr>
      </w:pPr>
      <w:r w:rsidRPr="006C4B43">
        <w:rPr>
          <w:rFonts w:cs="Tahoma"/>
          <w:snapToGrid w:val="0"/>
          <w:color w:val="000000"/>
          <w:szCs w:val="20"/>
        </w:rPr>
        <w:t xml:space="preserve">Przy ustalaniu wysokości aktywów i rezerwy z tytułu podatku dochodowego uwzględnia się stawki podatku dochodowego obowiązujące w roku powstania obowiązku podatkowego. </w:t>
      </w:r>
    </w:p>
    <w:p w:rsidR="00FA21A2" w:rsidRPr="006C4B43" w:rsidRDefault="00FA21A2" w:rsidP="00FA21A2">
      <w:pPr>
        <w:tabs>
          <w:tab w:val="left" w:pos="9072"/>
        </w:tabs>
        <w:rPr>
          <w:rFonts w:cs="Tahoma"/>
          <w:b/>
          <w:snapToGrid w:val="0"/>
          <w:color w:val="000000"/>
          <w:szCs w:val="20"/>
        </w:rPr>
      </w:pPr>
    </w:p>
    <w:p w:rsidR="00FA21A2" w:rsidRPr="006C4B43" w:rsidRDefault="00FA21A2" w:rsidP="00FA21A2">
      <w:pPr>
        <w:tabs>
          <w:tab w:val="left" w:pos="9072"/>
        </w:tabs>
        <w:rPr>
          <w:rFonts w:cs="Tahoma"/>
          <w:b/>
          <w:snapToGrid w:val="0"/>
          <w:color w:val="000000"/>
          <w:szCs w:val="20"/>
        </w:rPr>
      </w:pPr>
      <w:r w:rsidRPr="006C4B43">
        <w:rPr>
          <w:rFonts w:cs="Tahoma"/>
          <w:szCs w:val="20"/>
        </w:rPr>
        <w:t>Rezerwa i aktywa z tytułu odroczonego podatku dochodowego wykazywane są w bilansie oddzielnie.</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Wpływający na wynik finansowy podatek dochodowy za dany okres sprawozdawczy obejmuje część bieżącą i część odroczoną.</w:t>
      </w:r>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Wykazywana w rachunku zysków i strat część odroczona stanowi różnicę pomiędzy stanem rezerw i aktywów z tytułu podatku odroczonego na koniec i początek okresu sprawozdawczego, z tym, że rezerwy i aktywa dotyczące operacji rozliczanych z kapitałem własnym, odnosi się również na kapitał własny.</w:t>
      </w:r>
    </w:p>
    <w:p w:rsidR="00FA21A2" w:rsidRPr="006C4B43" w:rsidRDefault="00FA21A2" w:rsidP="00FA21A2">
      <w:pPr>
        <w:rPr>
          <w:rFonts w:cs="Tahoma"/>
          <w:szCs w:val="20"/>
        </w:rPr>
      </w:pPr>
    </w:p>
    <w:p w:rsidR="00FA21A2" w:rsidRPr="00EB6EA6" w:rsidRDefault="00FA21A2" w:rsidP="00FA21A2">
      <w:pPr>
        <w:pStyle w:val="spis3"/>
      </w:pPr>
      <w:bookmarkStart w:id="102" w:name="_Toc509574106"/>
      <w:bookmarkStart w:id="103" w:name="_Toc509840993"/>
      <w:r w:rsidRPr="00EB6EA6">
        <w:t>Fundusze specjalne</w:t>
      </w:r>
      <w:bookmarkEnd w:id="102"/>
      <w:bookmarkEnd w:id="103"/>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 xml:space="preserve">Jednostka nie tworzy Zakładowego Funduszu Świadczeń Socjalnych </w:t>
      </w:r>
    </w:p>
    <w:p w:rsidR="00FA21A2" w:rsidRPr="006C4B43" w:rsidRDefault="00FA21A2" w:rsidP="00FA21A2">
      <w:pPr>
        <w:rPr>
          <w:rFonts w:cs="Tahoma"/>
          <w:b/>
          <w:szCs w:val="20"/>
        </w:rPr>
      </w:pPr>
    </w:p>
    <w:p w:rsidR="00FA21A2" w:rsidRPr="00EB6EA6" w:rsidRDefault="00FA21A2" w:rsidP="00FA21A2">
      <w:pPr>
        <w:pStyle w:val="spis3"/>
      </w:pPr>
      <w:bookmarkStart w:id="104" w:name="_Toc509574107"/>
      <w:bookmarkStart w:id="105" w:name="_Toc509840994"/>
      <w:r w:rsidRPr="00EB6EA6">
        <w:t>Przychody, koszty, wynik finansowy</w:t>
      </w:r>
      <w:bookmarkEnd w:id="104"/>
      <w:bookmarkEnd w:id="105"/>
    </w:p>
    <w:p w:rsidR="00FA21A2" w:rsidRPr="006C4B43" w:rsidRDefault="00FA21A2" w:rsidP="00FA21A2">
      <w:pPr>
        <w:rPr>
          <w:rFonts w:cs="Tahoma"/>
          <w:szCs w:val="20"/>
        </w:rPr>
      </w:pPr>
    </w:p>
    <w:p w:rsidR="00FA21A2" w:rsidRPr="006C4B43" w:rsidRDefault="00FA21A2" w:rsidP="00FA21A2">
      <w:pPr>
        <w:rPr>
          <w:rFonts w:cs="Tahoma"/>
          <w:b/>
          <w:iCs/>
          <w:szCs w:val="20"/>
        </w:rPr>
      </w:pPr>
      <w:r w:rsidRPr="006C4B43">
        <w:rPr>
          <w:rFonts w:cs="Tahoma"/>
          <w:b/>
          <w:iCs/>
          <w:szCs w:val="20"/>
        </w:rPr>
        <w:t>Przychody i zyski</w:t>
      </w:r>
    </w:p>
    <w:p w:rsidR="00FA21A2" w:rsidRPr="006C4B43" w:rsidRDefault="00FA21A2" w:rsidP="00FA21A2">
      <w:pPr>
        <w:rPr>
          <w:rFonts w:cs="Tahoma"/>
          <w:b/>
          <w:iCs/>
          <w:szCs w:val="20"/>
        </w:rPr>
      </w:pPr>
    </w:p>
    <w:p w:rsidR="00FA21A2" w:rsidRPr="006C4B43" w:rsidRDefault="00FA21A2" w:rsidP="00FA21A2">
      <w:pPr>
        <w:rPr>
          <w:rFonts w:cs="Tahoma"/>
          <w:szCs w:val="20"/>
        </w:rPr>
      </w:pPr>
      <w:r w:rsidRPr="006C4B43">
        <w:rPr>
          <w:rFonts w:cs="Tahoma"/>
          <w:szCs w:val="20"/>
        </w:rPr>
        <w:t>Za przychody i zyski Spółka uznaje uprawdopodobnione powstanie w okresie sprawozdawczym korzyści ekonomicznych, o wiarygodnie określonej wartości, w formie zwiększenia wartości aktywów, albo zmniejszenia wartości zobowiązań, które doprowadzą do wzrostu kapitału własnego lub zmniejszenia jego niedoboru w inny sposób niż wniesienie wkładów przez udziałowców lub właścicieli.</w:t>
      </w:r>
    </w:p>
    <w:p w:rsidR="00FA21A2" w:rsidRPr="006C4B43" w:rsidRDefault="00FA21A2" w:rsidP="00FA21A2">
      <w:pPr>
        <w:rPr>
          <w:rFonts w:cs="Tahoma"/>
          <w:b/>
          <w:iCs/>
          <w:szCs w:val="20"/>
        </w:rPr>
      </w:pPr>
    </w:p>
    <w:p w:rsidR="00FA21A2" w:rsidRPr="006C4B43" w:rsidRDefault="00FA21A2" w:rsidP="00FA21A2">
      <w:pPr>
        <w:rPr>
          <w:rFonts w:cs="Tahoma"/>
          <w:b/>
          <w:iCs/>
          <w:szCs w:val="20"/>
        </w:rPr>
      </w:pPr>
      <w:r w:rsidRPr="006C4B43">
        <w:rPr>
          <w:rFonts w:cs="Tahoma"/>
          <w:b/>
          <w:iCs/>
          <w:szCs w:val="20"/>
        </w:rPr>
        <w:t>Koszty i straty</w:t>
      </w:r>
    </w:p>
    <w:p w:rsidR="00FA21A2" w:rsidRPr="006C4B43" w:rsidRDefault="00FA21A2" w:rsidP="00FA21A2">
      <w:pPr>
        <w:rPr>
          <w:rFonts w:cs="Tahoma"/>
          <w:b/>
          <w:iCs/>
          <w:szCs w:val="20"/>
        </w:rPr>
      </w:pPr>
    </w:p>
    <w:p w:rsidR="00FA21A2" w:rsidRPr="006C4B43" w:rsidRDefault="00FA21A2" w:rsidP="00FA21A2">
      <w:pPr>
        <w:rPr>
          <w:rFonts w:cs="Tahoma"/>
          <w:szCs w:val="20"/>
        </w:rPr>
      </w:pPr>
      <w:r w:rsidRPr="006C4B43">
        <w:rPr>
          <w:rFonts w:cs="Tahoma"/>
          <w:szCs w:val="20"/>
        </w:rPr>
        <w:t xml:space="preserve">Przez koszty i straty jednostka rozumie uprawdopodobnione zmniejszenia w okresie sprawozdawczym korzyści ekonomicznych, o wiarygodnie określonej wartości, w formie zmniejszenia wartości aktywów, albo zwiększenia wartości zobowiązań i rezerw, które doprowadzą do zmniejszenia kapitału własnego lub zwiększenia jego niedoboru w inny sposób niż wycofanie środków przez udziałowców lub właścicieli. </w:t>
      </w:r>
    </w:p>
    <w:p w:rsidR="00FA21A2" w:rsidRPr="006C4B43" w:rsidRDefault="00FA21A2" w:rsidP="00FA21A2">
      <w:pPr>
        <w:rPr>
          <w:rFonts w:cs="Tahoma"/>
          <w:i/>
          <w:iCs/>
          <w:szCs w:val="20"/>
        </w:rPr>
      </w:pPr>
    </w:p>
    <w:p w:rsidR="00FA21A2" w:rsidRPr="006C4B43" w:rsidRDefault="00FA21A2" w:rsidP="00FA21A2">
      <w:pPr>
        <w:rPr>
          <w:rFonts w:cs="Tahoma"/>
          <w:b/>
          <w:iCs/>
          <w:szCs w:val="20"/>
        </w:rPr>
      </w:pPr>
      <w:r w:rsidRPr="006C4B43">
        <w:rPr>
          <w:rFonts w:cs="Tahoma"/>
          <w:b/>
          <w:iCs/>
          <w:szCs w:val="20"/>
        </w:rPr>
        <w:t>Wynik finansowy</w:t>
      </w:r>
    </w:p>
    <w:p w:rsidR="00FA21A2" w:rsidRPr="006C4B43" w:rsidRDefault="00FA21A2" w:rsidP="00FA21A2">
      <w:pPr>
        <w:rPr>
          <w:rFonts w:cs="Tahoma"/>
          <w:b/>
          <w:iCs/>
          <w:szCs w:val="20"/>
        </w:rPr>
      </w:pPr>
    </w:p>
    <w:p w:rsidR="00FA21A2" w:rsidRPr="006C4B43" w:rsidRDefault="00FA21A2" w:rsidP="00FA21A2">
      <w:pPr>
        <w:rPr>
          <w:rFonts w:cs="Tahoma"/>
          <w:szCs w:val="20"/>
        </w:rPr>
      </w:pPr>
      <w:r w:rsidRPr="006C4B43">
        <w:rPr>
          <w:rFonts w:cs="Tahoma"/>
          <w:szCs w:val="20"/>
        </w:rPr>
        <w:t>Na wynik finansowy netto składają się:</w:t>
      </w:r>
    </w:p>
    <w:p w:rsidR="00FA21A2" w:rsidRPr="006C4B43" w:rsidRDefault="00FA21A2" w:rsidP="00FA21A2">
      <w:pPr>
        <w:numPr>
          <w:ilvl w:val="0"/>
          <w:numId w:val="4"/>
        </w:numPr>
        <w:tabs>
          <w:tab w:val="clear" w:pos="1273"/>
          <w:tab w:val="num" w:pos="426"/>
        </w:tabs>
        <w:spacing w:before="120"/>
        <w:ind w:left="426" w:hanging="425"/>
        <w:rPr>
          <w:rFonts w:cs="Tahoma"/>
          <w:szCs w:val="20"/>
        </w:rPr>
      </w:pPr>
      <w:r w:rsidRPr="006C4B43">
        <w:rPr>
          <w:rFonts w:cs="Tahoma"/>
          <w:szCs w:val="20"/>
        </w:rPr>
        <w:t xml:space="preserve">wynik działalności operacyjnej, w tym z tytułu pozostałych przychodów i kosztów operacyjnych </w:t>
      </w:r>
      <w:r w:rsidRPr="006C4B43">
        <w:rPr>
          <w:rFonts w:cs="Tahoma"/>
          <w:szCs w:val="20"/>
        </w:rPr>
        <w:br/>
        <w:t xml:space="preserve">(pośrednio związanych z działalnością operacyjną jednostki), </w:t>
      </w:r>
    </w:p>
    <w:p w:rsidR="00FA21A2" w:rsidRPr="006C4B43" w:rsidRDefault="00FA21A2" w:rsidP="00FA21A2">
      <w:pPr>
        <w:numPr>
          <w:ilvl w:val="0"/>
          <w:numId w:val="4"/>
        </w:numPr>
        <w:tabs>
          <w:tab w:val="clear" w:pos="1273"/>
          <w:tab w:val="num" w:pos="426"/>
        </w:tabs>
        <w:ind w:left="426" w:hanging="425"/>
        <w:rPr>
          <w:rFonts w:cs="Tahoma"/>
          <w:szCs w:val="20"/>
        </w:rPr>
      </w:pPr>
      <w:r w:rsidRPr="006C4B43">
        <w:rPr>
          <w:rFonts w:cs="Tahoma"/>
          <w:szCs w:val="20"/>
        </w:rPr>
        <w:t xml:space="preserve">wynik operacji finansowych, </w:t>
      </w:r>
    </w:p>
    <w:p w:rsidR="00FA21A2" w:rsidRPr="006C4B43" w:rsidRDefault="00FA21A2" w:rsidP="00FA21A2">
      <w:pPr>
        <w:numPr>
          <w:ilvl w:val="0"/>
          <w:numId w:val="4"/>
        </w:numPr>
        <w:tabs>
          <w:tab w:val="clear" w:pos="1273"/>
          <w:tab w:val="num" w:pos="426"/>
        </w:tabs>
        <w:ind w:left="426" w:hanging="425"/>
        <w:rPr>
          <w:rFonts w:cs="Tahoma"/>
          <w:szCs w:val="20"/>
        </w:rPr>
      </w:pPr>
      <w:r w:rsidRPr="006C4B43">
        <w:rPr>
          <w:rFonts w:cs="Tahoma"/>
          <w:szCs w:val="20"/>
        </w:rPr>
        <w:t xml:space="preserve">wynik operacji nadzwyczajnych (powstałych na skutek zdarzeń trudnych do przewidzenia, poza działalnością operacyjną jednostki i nie związanych z ogólnym ryzykiem jej prowadzenia), </w:t>
      </w:r>
    </w:p>
    <w:p w:rsidR="00FA21A2" w:rsidRPr="006C4B43" w:rsidRDefault="00FA21A2" w:rsidP="00FA21A2">
      <w:pPr>
        <w:numPr>
          <w:ilvl w:val="0"/>
          <w:numId w:val="4"/>
        </w:numPr>
        <w:tabs>
          <w:tab w:val="clear" w:pos="1273"/>
          <w:tab w:val="num" w:pos="426"/>
        </w:tabs>
        <w:ind w:left="426" w:hanging="425"/>
        <w:rPr>
          <w:rFonts w:cs="Tahoma"/>
          <w:szCs w:val="20"/>
        </w:rPr>
      </w:pPr>
      <w:r w:rsidRPr="006C4B43">
        <w:rPr>
          <w:rFonts w:cs="Tahoma"/>
          <w:szCs w:val="20"/>
        </w:rPr>
        <w:t>obowiązkowe obciążenia wyniku finansowego z tytułu podatku dochodowego, którego podatnikiem jest jednostka, i płatności z nim zrównanych, na podstawie odrębnych przepisów.</w:t>
      </w:r>
    </w:p>
    <w:p w:rsidR="00FA21A2" w:rsidRPr="006C4B43" w:rsidRDefault="00FA21A2" w:rsidP="00FA21A2">
      <w:pPr>
        <w:rPr>
          <w:rFonts w:cs="Tahoma"/>
          <w:b/>
          <w:szCs w:val="20"/>
        </w:rPr>
      </w:pPr>
    </w:p>
    <w:p w:rsidR="00FA21A2" w:rsidRPr="00DF6479" w:rsidRDefault="00FA21A2" w:rsidP="00FA21A2">
      <w:pPr>
        <w:pStyle w:val="spis3"/>
      </w:pPr>
      <w:bookmarkStart w:id="106" w:name="_Toc509574108"/>
      <w:bookmarkStart w:id="107" w:name="_Toc509840995"/>
      <w:r w:rsidRPr="00DF6479">
        <w:t>Dywidendy</w:t>
      </w:r>
      <w:bookmarkEnd w:id="106"/>
      <w:bookmarkEnd w:id="107"/>
    </w:p>
    <w:p w:rsidR="00FA21A2" w:rsidRPr="006C4B43" w:rsidRDefault="00FA21A2" w:rsidP="00FA21A2">
      <w:pPr>
        <w:rPr>
          <w:rFonts w:cs="Tahoma"/>
          <w:szCs w:val="20"/>
        </w:rPr>
      </w:pPr>
    </w:p>
    <w:p w:rsidR="00FA21A2" w:rsidRPr="006C4B43" w:rsidRDefault="00FA21A2" w:rsidP="00FA21A2">
      <w:pPr>
        <w:rPr>
          <w:rFonts w:cs="Tahoma"/>
          <w:szCs w:val="20"/>
        </w:rPr>
      </w:pPr>
      <w:r w:rsidRPr="006C4B43">
        <w:rPr>
          <w:rFonts w:cs="Tahoma"/>
          <w:szCs w:val="20"/>
        </w:rPr>
        <w:t>Należne dywidendy zalicza się do przychodów finansowych na dzień powzięcia przez Walne Zgromadzenie , w którą jednostka zainwestowała, uchwały o podziale zysku, chyba że w uchwale określono inny dzień prawa do dywidendy.</w:t>
      </w:r>
    </w:p>
    <w:p w:rsidR="00FA21A2" w:rsidRPr="006C4B43" w:rsidRDefault="00FA21A2" w:rsidP="00FA21A2">
      <w:pPr>
        <w:rPr>
          <w:rFonts w:cs="Tahoma"/>
          <w:szCs w:val="20"/>
        </w:rPr>
      </w:pPr>
    </w:p>
    <w:p w:rsidR="00FA21A2" w:rsidRDefault="00FA21A2" w:rsidP="00FA21A2">
      <w:pPr>
        <w:pStyle w:val="spis2"/>
      </w:pPr>
      <w:bookmarkStart w:id="108" w:name="_Toc509840996"/>
      <w:bookmarkStart w:id="109" w:name="_Toc509574109"/>
      <w:r>
        <w:t>15901</w:t>
      </w:r>
      <w:r w:rsidRPr="00E863B6">
        <w:t>Średnie kursy wymiany złotego</w:t>
      </w:r>
      <w:bookmarkEnd w:id="108"/>
    </w:p>
    <w:p w:rsidR="00FA21A2" w:rsidRDefault="00FA21A2" w:rsidP="00FA21A2"/>
    <w:p w:rsidR="00FA21A2" w:rsidRPr="00E863B6" w:rsidRDefault="00FA21A2" w:rsidP="00FA21A2">
      <w:pPr>
        <w:ind w:left="283"/>
      </w:pPr>
      <w:r w:rsidRPr="00E863B6">
        <w:t>Średnie kursy wymiany złotego, w okresach objętych sprawozdaniem finansowym i porównywalnymi danymi finansowymi, w stosunku do euro, ustalanych przez Narodowy Bank Polski: </w:t>
      </w:r>
      <w:r w:rsidRPr="00E863B6">
        <w:br/>
        <w:t>- kurs obowiązujący na ostatni dzień każdego okresu:</w:t>
      </w:r>
      <w:bookmarkEnd w:id="109"/>
      <w:r w:rsidRPr="00E863B6">
        <w:t xml:space="preserve"> </w:t>
      </w:r>
    </w:p>
    <w:p w:rsidR="00FA21A2" w:rsidRPr="006C4B43" w:rsidRDefault="00FA21A2" w:rsidP="00FA21A2">
      <w:pPr>
        <w:rPr>
          <w:rFonts w:cs="Tahoma"/>
          <w:b/>
          <w:szCs w:val="20"/>
        </w:rPr>
      </w:pPr>
    </w:p>
    <w:p w:rsidR="00FA21A2" w:rsidRPr="006C4B43" w:rsidRDefault="00FA21A2" w:rsidP="00FA21A2">
      <w:pPr>
        <w:ind w:left="283"/>
        <w:rPr>
          <w:rFonts w:cs="Tahoma"/>
          <w:szCs w:val="20"/>
        </w:rPr>
      </w:pPr>
      <w:r w:rsidRPr="006C4B43">
        <w:rPr>
          <w:rFonts w:cs="Tahoma"/>
          <w:szCs w:val="20"/>
        </w:rPr>
        <w:t>31.12.2017</w:t>
      </w:r>
    </w:p>
    <w:p w:rsidR="00FA21A2" w:rsidRPr="006C4B43" w:rsidRDefault="00FA21A2" w:rsidP="00FA21A2">
      <w:pPr>
        <w:ind w:left="283"/>
        <w:rPr>
          <w:rFonts w:cs="Tahoma"/>
          <w:szCs w:val="20"/>
        </w:rPr>
      </w:pPr>
      <w:r w:rsidRPr="006C4B43">
        <w:rPr>
          <w:rFonts w:cs="Tahoma"/>
          <w:szCs w:val="20"/>
        </w:rPr>
        <w:t>Tabela nr 251/A/NBP/2017 z dnia 2017-12-29    4,1709  PLN/EUR</w:t>
      </w:r>
    </w:p>
    <w:p w:rsidR="00FA21A2" w:rsidRPr="006C4B43" w:rsidRDefault="00FA21A2" w:rsidP="00FA21A2">
      <w:pPr>
        <w:ind w:left="283"/>
        <w:rPr>
          <w:rFonts w:cs="Tahoma"/>
          <w:szCs w:val="20"/>
        </w:rPr>
      </w:pPr>
    </w:p>
    <w:p w:rsidR="00FA21A2" w:rsidRPr="006C4B43" w:rsidRDefault="00FA21A2" w:rsidP="00FA21A2">
      <w:pPr>
        <w:ind w:left="283"/>
        <w:rPr>
          <w:rFonts w:cs="Tahoma"/>
          <w:szCs w:val="20"/>
        </w:rPr>
      </w:pPr>
      <w:r w:rsidRPr="006C4B43">
        <w:rPr>
          <w:rFonts w:cs="Tahoma"/>
          <w:szCs w:val="20"/>
        </w:rPr>
        <w:t>31.12-2016</w:t>
      </w:r>
    </w:p>
    <w:p w:rsidR="00FA21A2" w:rsidRPr="006C4B43" w:rsidRDefault="00FA21A2" w:rsidP="00FA21A2">
      <w:pPr>
        <w:ind w:left="283"/>
        <w:rPr>
          <w:rFonts w:cs="Tahoma"/>
          <w:szCs w:val="20"/>
        </w:rPr>
      </w:pPr>
      <w:r w:rsidRPr="006C4B43">
        <w:rPr>
          <w:rFonts w:cs="Tahoma"/>
          <w:szCs w:val="20"/>
        </w:rPr>
        <w:t>Tabela nr 252/A/NBP/2016 z dnia 2016-12-30    4,4240 PLN/EUR</w:t>
      </w:r>
    </w:p>
    <w:p w:rsidR="00FA21A2" w:rsidRPr="006C4B43" w:rsidRDefault="00FA21A2" w:rsidP="00FA21A2">
      <w:pPr>
        <w:rPr>
          <w:rFonts w:cs="Tahoma"/>
          <w:szCs w:val="20"/>
        </w:rPr>
      </w:pPr>
    </w:p>
    <w:p w:rsidR="00FA21A2" w:rsidRPr="006C4B43" w:rsidRDefault="00FA21A2" w:rsidP="00FA21A2">
      <w:pPr>
        <w:ind w:left="283"/>
        <w:rPr>
          <w:rFonts w:cs="Tahoma"/>
          <w:b/>
          <w:szCs w:val="20"/>
        </w:rPr>
      </w:pPr>
      <w:r w:rsidRPr="006C4B43">
        <w:rPr>
          <w:rFonts w:cs="Tahoma"/>
          <w:b/>
          <w:szCs w:val="20"/>
        </w:rPr>
        <w:t>-kurs średni w każdym okresie, obliczony jako średnia arytmetyczna kursów obowiązujących na ostatni dzień każdego miesiąca w danym okresie:</w:t>
      </w:r>
    </w:p>
    <w:p w:rsidR="00FA21A2" w:rsidRPr="006C4B43" w:rsidRDefault="00FA21A2" w:rsidP="00FA21A2">
      <w:pPr>
        <w:ind w:left="283"/>
        <w:rPr>
          <w:rFonts w:cs="Tahoma"/>
          <w:b/>
          <w:szCs w:val="20"/>
        </w:rPr>
      </w:pPr>
    </w:p>
    <w:p w:rsidR="00FA21A2" w:rsidRPr="006C4B43" w:rsidRDefault="00FA21A2" w:rsidP="00FA21A2">
      <w:pPr>
        <w:spacing w:line="360" w:lineRule="auto"/>
        <w:ind w:left="283"/>
        <w:rPr>
          <w:rFonts w:cs="Tahoma"/>
          <w:szCs w:val="20"/>
        </w:rPr>
      </w:pPr>
      <w:r w:rsidRPr="006C4B43">
        <w:rPr>
          <w:rFonts w:cs="Tahoma"/>
          <w:szCs w:val="20"/>
          <w:u w:val="single"/>
        </w:rPr>
        <w:t>rok 2017:</w:t>
      </w:r>
      <w:r w:rsidRPr="006C4B43">
        <w:rPr>
          <w:rFonts w:cs="Tahoma"/>
          <w:szCs w:val="20"/>
        </w:rPr>
        <w:t xml:space="preserve">   4,2447 PLN/EUR</w:t>
      </w:r>
    </w:p>
    <w:p w:rsidR="00FA21A2" w:rsidRPr="006C4B43" w:rsidRDefault="00FA21A2" w:rsidP="00FA21A2">
      <w:pPr>
        <w:spacing w:line="360" w:lineRule="auto"/>
        <w:ind w:left="283"/>
        <w:rPr>
          <w:rFonts w:cs="Tahoma"/>
          <w:szCs w:val="20"/>
        </w:rPr>
      </w:pPr>
      <w:r w:rsidRPr="006C4B43">
        <w:rPr>
          <w:rFonts w:cs="Tahoma"/>
          <w:szCs w:val="20"/>
          <w:u w:val="single"/>
        </w:rPr>
        <w:t>rok 2016:</w:t>
      </w:r>
      <w:r w:rsidRPr="006C4B43">
        <w:rPr>
          <w:rFonts w:cs="Tahoma"/>
          <w:szCs w:val="20"/>
        </w:rPr>
        <w:t xml:space="preserve">   4,3757 PLN/EUR</w:t>
      </w:r>
    </w:p>
    <w:p w:rsidR="00FA21A2" w:rsidRPr="006C4B43" w:rsidRDefault="00FA21A2" w:rsidP="00FA21A2">
      <w:pPr>
        <w:rPr>
          <w:rFonts w:cs="Tahoma"/>
          <w:szCs w:val="20"/>
        </w:rPr>
      </w:pPr>
    </w:p>
    <w:p w:rsidR="00FA21A2" w:rsidRPr="006C4B43" w:rsidRDefault="00FA21A2" w:rsidP="00FA21A2">
      <w:pPr>
        <w:ind w:left="283"/>
        <w:rPr>
          <w:rFonts w:cs="Tahoma"/>
          <w:b/>
          <w:szCs w:val="20"/>
        </w:rPr>
      </w:pPr>
      <w:r w:rsidRPr="006C4B43">
        <w:rPr>
          <w:rFonts w:cs="Tahoma"/>
          <w:b/>
          <w:szCs w:val="20"/>
        </w:rPr>
        <w:t>- najwyższy i najniższy kurs w każdym okresie:</w:t>
      </w:r>
    </w:p>
    <w:p w:rsidR="00FA21A2" w:rsidRPr="006C4B43" w:rsidRDefault="00FA21A2" w:rsidP="00FA21A2">
      <w:pPr>
        <w:ind w:left="283"/>
        <w:rPr>
          <w:rFonts w:cs="Tahoma"/>
          <w:b/>
          <w:szCs w:val="20"/>
        </w:rPr>
      </w:pPr>
    </w:p>
    <w:p w:rsidR="00FA21A2" w:rsidRPr="006C4B43" w:rsidRDefault="00FA21A2" w:rsidP="00FA21A2">
      <w:pPr>
        <w:spacing w:line="360" w:lineRule="auto"/>
        <w:ind w:left="283"/>
        <w:rPr>
          <w:rFonts w:cs="Tahoma"/>
          <w:szCs w:val="20"/>
          <w:u w:val="single"/>
        </w:rPr>
      </w:pPr>
      <w:r w:rsidRPr="006C4B43">
        <w:rPr>
          <w:rFonts w:cs="Tahoma"/>
          <w:szCs w:val="20"/>
          <w:u w:val="single"/>
        </w:rPr>
        <w:t>rok 2017:</w:t>
      </w:r>
    </w:p>
    <w:p w:rsidR="00FA21A2" w:rsidRPr="006C4B43" w:rsidRDefault="00FA21A2" w:rsidP="00FA21A2">
      <w:pPr>
        <w:spacing w:line="360" w:lineRule="auto"/>
        <w:ind w:left="283"/>
        <w:rPr>
          <w:rFonts w:cs="Tahoma"/>
          <w:szCs w:val="20"/>
        </w:rPr>
      </w:pPr>
      <w:r w:rsidRPr="006C4B43">
        <w:rPr>
          <w:rFonts w:cs="Tahoma"/>
          <w:szCs w:val="20"/>
        </w:rPr>
        <w:t>- najwyższy:  Tabela nr 1/A/NBP/2017</w:t>
      </w:r>
      <w:r w:rsidRPr="006C4B43">
        <w:rPr>
          <w:rFonts w:cs="Tahoma"/>
          <w:szCs w:val="20"/>
        </w:rPr>
        <w:tab/>
        <w:t>4,4157 PLN/EUR</w:t>
      </w:r>
    </w:p>
    <w:p w:rsidR="00FA21A2" w:rsidRPr="006C4B43" w:rsidRDefault="00FA21A2" w:rsidP="00FA21A2">
      <w:pPr>
        <w:spacing w:line="360" w:lineRule="auto"/>
        <w:ind w:left="283"/>
        <w:rPr>
          <w:rFonts w:cs="Tahoma"/>
          <w:szCs w:val="20"/>
        </w:rPr>
      </w:pPr>
      <w:r w:rsidRPr="006C4B43">
        <w:rPr>
          <w:rFonts w:cs="Tahoma"/>
          <w:szCs w:val="20"/>
        </w:rPr>
        <w:t>- najniższy:    Tabela nr 251/A/NBP/2017</w:t>
      </w:r>
      <w:r w:rsidRPr="006C4B43">
        <w:rPr>
          <w:rFonts w:cs="Tahoma"/>
          <w:szCs w:val="20"/>
        </w:rPr>
        <w:tab/>
        <w:t>4,1709 PLN/EUR</w:t>
      </w:r>
    </w:p>
    <w:p w:rsidR="00FA21A2" w:rsidRPr="006C4B43" w:rsidRDefault="00FA21A2" w:rsidP="00FA21A2">
      <w:pPr>
        <w:ind w:left="283"/>
        <w:rPr>
          <w:rFonts w:cs="Tahoma"/>
          <w:b/>
          <w:szCs w:val="20"/>
        </w:rPr>
      </w:pPr>
    </w:p>
    <w:p w:rsidR="00FA21A2" w:rsidRPr="006C4B43" w:rsidRDefault="00FA21A2" w:rsidP="00FA21A2">
      <w:pPr>
        <w:spacing w:line="360" w:lineRule="auto"/>
        <w:ind w:left="283"/>
        <w:rPr>
          <w:rFonts w:cs="Tahoma"/>
          <w:szCs w:val="20"/>
          <w:u w:val="single"/>
        </w:rPr>
      </w:pPr>
      <w:r w:rsidRPr="006C4B43">
        <w:rPr>
          <w:rFonts w:cs="Tahoma"/>
          <w:szCs w:val="20"/>
          <w:u w:val="single"/>
        </w:rPr>
        <w:t xml:space="preserve">rok 2016: </w:t>
      </w:r>
    </w:p>
    <w:p w:rsidR="00FA21A2" w:rsidRPr="006C4B43" w:rsidRDefault="00FA21A2" w:rsidP="00FA21A2">
      <w:pPr>
        <w:spacing w:line="360" w:lineRule="auto"/>
        <w:ind w:left="283"/>
        <w:rPr>
          <w:rFonts w:cs="Tahoma"/>
          <w:szCs w:val="20"/>
        </w:rPr>
      </w:pPr>
      <w:r w:rsidRPr="006C4B43">
        <w:rPr>
          <w:rFonts w:cs="Tahoma"/>
          <w:szCs w:val="20"/>
        </w:rPr>
        <w:t>- najwyższy Tabela nr 019/A/NBP/2016 z dnia 2016-01-29    4,4405 PLN/EUR</w:t>
      </w:r>
    </w:p>
    <w:p w:rsidR="00FA21A2" w:rsidRPr="006C4B43" w:rsidRDefault="00FA21A2" w:rsidP="00FA21A2">
      <w:pPr>
        <w:spacing w:line="360" w:lineRule="auto"/>
        <w:ind w:left="283"/>
        <w:rPr>
          <w:rFonts w:cs="Tahoma"/>
          <w:szCs w:val="20"/>
        </w:rPr>
      </w:pPr>
      <w:r w:rsidRPr="006C4B43">
        <w:rPr>
          <w:rFonts w:cs="Tahoma"/>
          <w:szCs w:val="20"/>
        </w:rPr>
        <w:t>- najniższy Tabela nr 062/A/NBP/2016  z dnia 2016-03-31     4,2684 PLN/EUR</w:t>
      </w:r>
    </w:p>
    <w:p w:rsidR="002558C2" w:rsidRDefault="00FA21A2">
      <w:bookmarkStart w:id="110" w:name="_GoBack"/>
      <w:bookmarkEnd w:id="110"/>
    </w:p>
    <w:sectPr w:rsidR="002558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15B5A"/>
    <w:multiLevelType w:val="hybridMultilevel"/>
    <w:tmpl w:val="C596BBD8"/>
    <w:lvl w:ilvl="0" w:tplc="FFFFFFFF">
      <w:start w:val="1"/>
      <w:numFmt w:val="bullet"/>
      <w:lvlText w:val="-"/>
      <w:lvlJc w:val="left"/>
      <w:pPr>
        <w:tabs>
          <w:tab w:val="num" w:pos="1273"/>
        </w:tabs>
        <w:ind w:left="1273" w:hanging="705"/>
      </w:pPr>
      <w:rPr>
        <w:rFonts w:hint="default"/>
      </w:rPr>
    </w:lvl>
    <w:lvl w:ilvl="1" w:tplc="FFFFFFFF" w:tentative="1">
      <w:start w:val="1"/>
      <w:numFmt w:val="bullet"/>
      <w:lvlText w:val="o"/>
      <w:lvlJc w:val="left"/>
      <w:pPr>
        <w:tabs>
          <w:tab w:val="num" w:pos="2008"/>
        </w:tabs>
        <w:ind w:left="2008" w:hanging="360"/>
      </w:pPr>
      <w:rPr>
        <w:rFonts w:ascii="Courier New" w:hAnsi="Courier New" w:hint="default"/>
      </w:rPr>
    </w:lvl>
    <w:lvl w:ilvl="2" w:tplc="FFFFFFFF" w:tentative="1">
      <w:start w:val="1"/>
      <w:numFmt w:val="bullet"/>
      <w:lvlText w:val=""/>
      <w:lvlJc w:val="left"/>
      <w:pPr>
        <w:tabs>
          <w:tab w:val="num" w:pos="2728"/>
        </w:tabs>
        <w:ind w:left="2728" w:hanging="360"/>
      </w:pPr>
      <w:rPr>
        <w:rFonts w:ascii="Wingdings" w:hAnsi="Wingdings" w:hint="default"/>
      </w:rPr>
    </w:lvl>
    <w:lvl w:ilvl="3" w:tplc="FFFFFFFF" w:tentative="1">
      <w:start w:val="1"/>
      <w:numFmt w:val="bullet"/>
      <w:lvlText w:val=""/>
      <w:lvlJc w:val="left"/>
      <w:pPr>
        <w:tabs>
          <w:tab w:val="num" w:pos="3448"/>
        </w:tabs>
        <w:ind w:left="3448" w:hanging="360"/>
      </w:pPr>
      <w:rPr>
        <w:rFonts w:ascii="Symbol" w:hAnsi="Symbol" w:hint="default"/>
      </w:rPr>
    </w:lvl>
    <w:lvl w:ilvl="4" w:tplc="FFFFFFFF" w:tentative="1">
      <w:start w:val="1"/>
      <w:numFmt w:val="bullet"/>
      <w:lvlText w:val="o"/>
      <w:lvlJc w:val="left"/>
      <w:pPr>
        <w:tabs>
          <w:tab w:val="num" w:pos="4168"/>
        </w:tabs>
        <w:ind w:left="4168" w:hanging="360"/>
      </w:pPr>
      <w:rPr>
        <w:rFonts w:ascii="Courier New" w:hAnsi="Courier New" w:hint="default"/>
      </w:rPr>
    </w:lvl>
    <w:lvl w:ilvl="5" w:tplc="FFFFFFFF" w:tentative="1">
      <w:start w:val="1"/>
      <w:numFmt w:val="bullet"/>
      <w:lvlText w:val=""/>
      <w:lvlJc w:val="left"/>
      <w:pPr>
        <w:tabs>
          <w:tab w:val="num" w:pos="4888"/>
        </w:tabs>
        <w:ind w:left="4888" w:hanging="360"/>
      </w:pPr>
      <w:rPr>
        <w:rFonts w:ascii="Wingdings" w:hAnsi="Wingdings" w:hint="default"/>
      </w:rPr>
    </w:lvl>
    <w:lvl w:ilvl="6" w:tplc="FFFFFFFF" w:tentative="1">
      <w:start w:val="1"/>
      <w:numFmt w:val="bullet"/>
      <w:lvlText w:val=""/>
      <w:lvlJc w:val="left"/>
      <w:pPr>
        <w:tabs>
          <w:tab w:val="num" w:pos="5608"/>
        </w:tabs>
        <w:ind w:left="5608" w:hanging="360"/>
      </w:pPr>
      <w:rPr>
        <w:rFonts w:ascii="Symbol" w:hAnsi="Symbol" w:hint="default"/>
      </w:rPr>
    </w:lvl>
    <w:lvl w:ilvl="7" w:tplc="FFFFFFFF" w:tentative="1">
      <w:start w:val="1"/>
      <w:numFmt w:val="bullet"/>
      <w:lvlText w:val="o"/>
      <w:lvlJc w:val="left"/>
      <w:pPr>
        <w:tabs>
          <w:tab w:val="num" w:pos="6328"/>
        </w:tabs>
        <w:ind w:left="6328" w:hanging="360"/>
      </w:pPr>
      <w:rPr>
        <w:rFonts w:ascii="Courier New" w:hAnsi="Courier New" w:hint="default"/>
      </w:rPr>
    </w:lvl>
    <w:lvl w:ilvl="8" w:tplc="FFFFFFFF" w:tentative="1">
      <w:start w:val="1"/>
      <w:numFmt w:val="bullet"/>
      <w:lvlText w:val=""/>
      <w:lvlJc w:val="left"/>
      <w:pPr>
        <w:tabs>
          <w:tab w:val="num" w:pos="7048"/>
        </w:tabs>
        <w:ind w:left="7048" w:hanging="360"/>
      </w:pPr>
      <w:rPr>
        <w:rFonts w:ascii="Wingdings" w:hAnsi="Wingdings" w:hint="default"/>
      </w:rPr>
    </w:lvl>
  </w:abstractNum>
  <w:abstractNum w:abstractNumId="1" w15:restartNumberingAfterBreak="0">
    <w:nsid w:val="167A6EC9"/>
    <w:multiLevelType w:val="hybridMultilevel"/>
    <w:tmpl w:val="131C6178"/>
    <w:lvl w:ilvl="0" w:tplc="A75020FE">
      <w:start w:val="1"/>
      <w:numFmt w:val="upperRoman"/>
      <w:pStyle w:val="Tytu"/>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FA5504"/>
    <w:multiLevelType w:val="multilevel"/>
    <w:tmpl w:val="EC9A96AE"/>
    <w:lvl w:ilvl="0">
      <w:start w:val="1"/>
      <w:numFmt w:val="decimal"/>
      <w:lvlText w:val="%1."/>
      <w:lvlJc w:val="left"/>
      <w:pPr>
        <w:ind w:left="360" w:hanging="360"/>
      </w:pPr>
      <w:rPr>
        <w:color w:val="auto"/>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956CA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 w15:restartNumberingAfterBreak="0">
    <w:nsid w:val="2E7A2832"/>
    <w:multiLevelType w:val="hybridMultilevel"/>
    <w:tmpl w:val="893C583C"/>
    <w:lvl w:ilvl="0" w:tplc="FFFFFFFF">
      <w:start w:val="1"/>
      <w:numFmt w:val="bullet"/>
      <w:lvlText w:val="-"/>
      <w:lvlJc w:val="left"/>
      <w:pPr>
        <w:tabs>
          <w:tab w:val="num" w:pos="1273"/>
        </w:tabs>
        <w:ind w:left="1273" w:hanging="705"/>
      </w:pPr>
      <w:rPr>
        <w:rFonts w:hint="default"/>
      </w:rPr>
    </w:lvl>
    <w:lvl w:ilvl="1" w:tplc="FFFFFFFF" w:tentative="1">
      <w:start w:val="1"/>
      <w:numFmt w:val="bullet"/>
      <w:lvlText w:val="o"/>
      <w:lvlJc w:val="left"/>
      <w:pPr>
        <w:tabs>
          <w:tab w:val="num" w:pos="2008"/>
        </w:tabs>
        <w:ind w:left="2008" w:hanging="360"/>
      </w:pPr>
      <w:rPr>
        <w:rFonts w:ascii="Courier New" w:hAnsi="Courier New" w:hint="default"/>
      </w:rPr>
    </w:lvl>
    <w:lvl w:ilvl="2" w:tplc="FFFFFFFF" w:tentative="1">
      <w:start w:val="1"/>
      <w:numFmt w:val="bullet"/>
      <w:lvlText w:val=""/>
      <w:lvlJc w:val="left"/>
      <w:pPr>
        <w:tabs>
          <w:tab w:val="num" w:pos="2728"/>
        </w:tabs>
        <w:ind w:left="2728" w:hanging="360"/>
      </w:pPr>
      <w:rPr>
        <w:rFonts w:ascii="Wingdings" w:hAnsi="Wingdings" w:hint="default"/>
      </w:rPr>
    </w:lvl>
    <w:lvl w:ilvl="3" w:tplc="FFFFFFFF" w:tentative="1">
      <w:start w:val="1"/>
      <w:numFmt w:val="bullet"/>
      <w:lvlText w:val=""/>
      <w:lvlJc w:val="left"/>
      <w:pPr>
        <w:tabs>
          <w:tab w:val="num" w:pos="3448"/>
        </w:tabs>
        <w:ind w:left="3448" w:hanging="360"/>
      </w:pPr>
      <w:rPr>
        <w:rFonts w:ascii="Symbol" w:hAnsi="Symbol" w:hint="default"/>
      </w:rPr>
    </w:lvl>
    <w:lvl w:ilvl="4" w:tplc="FFFFFFFF" w:tentative="1">
      <w:start w:val="1"/>
      <w:numFmt w:val="bullet"/>
      <w:lvlText w:val="o"/>
      <w:lvlJc w:val="left"/>
      <w:pPr>
        <w:tabs>
          <w:tab w:val="num" w:pos="4168"/>
        </w:tabs>
        <w:ind w:left="4168" w:hanging="360"/>
      </w:pPr>
      <w:rPr>
        <w:rFonts w:ascii="Courier New" w:hAnsi="Courier New" w:hint="default"/>
      </w:rPr>
    </w:lvl>
    <w:lvl w:ilvl="5" w:tplc="FFFFFFFF" w:tentative="1">
      <w:start w:val="1"/>
      <w:numFmt w:val="bullet"/>
      <w:lvlText w:val=""/>
      <w:lvlJc w:val="left"/>
      <w:pPr>
        <w:tabs>
          <w:tab w:val="num" w:pos="4888"/>
        </w:tabs>
        <w:ind w:left="4888" w:hanging="360"/>
      </w:pPr>
      <w:rPr>
        <w:rFonts w:ascii="Wingdings" w:hAnsi="Wingdings" w:hint="default"/>
      </w:rPr>
    </w:lvl>
    <w:lvl w:ilvl="6" w:tplc="FFFFFFFF" w:tentative="1">
      <w:start w:val="1"/>
      <w:numFmt w:val="bullet"/>
      <w:lvlText w:val=""/>
      <w:lvlJc w:val="left"/>
      <w:pPr>
        <w:tabs>
          <w:tab w:val="num" w:pos="5608"/>
        </w:tabs>
        <w:ind w:left="5608" w:hanging="360"/>
      </w:pPr>
      <w:rPr>
        <w:rFonts w:ascii="Symbol" w:hAnsi="Symbol" w:hint="default"/>
      </w:rPr>
    </w:lvl>
    <w:lvl w:ilvl="7" w:tplc="FFFFFFFF" w:tentative="1">
      <w:start w:val="1"/>
      <w:numFmt w:val="bullet"/>
      <w:lvlText w:val="o"/>
      <w:lvlJc w:val="left"/>
      <w:pPr>
        <w:tabs>
          <w:tab w:val="num" w:pos="6328"/>
        </w:tabs>
        <w:ind w:left="6328" w:hanging="360"/>
      </w:pPr>
      <w:rPr>
        <w:rFonts w:ascii="Courier New" w:hAnsi="Courier New" w:hint="default"/>
      </w:rPr>
    </w:lvl>
    <w:lvl w:ilvl="8" w:tplc="FFFFFFFF" w:tentative="1">
      <w:start w:val="1"/>
      <w:numFmt w:val="bullet"/>
      <w:lvlText w:val=""/>
      <w:lvlJc w:val="left"/>
      <w:pPr>
        <w:tabs>
          <w:tab w:val="num" w:pos="7048"/>
        </w:tabs>
        <w:ind w:left="7048" w:hanging="360"/>
      </w:pPr>
      <w:rPr>
        <w:rFonts w:ascii="Wingdings" w:hAnsi="Wingdings" w:hint="default"/>
      </w:rPr>
    </w:lvl>
  </w:abstractNum>
  <w:abstractNum w:abstractNumId="5" w15:restartNumberingAfterBreak="0">
    <w:nsid w:val="452A250C"/>
    <w:multiLevelType w:val="multilevel"/>
    <w:tmpl w:val="0415001F"/>
    <w:lvl w:ilvl="0">
      <w:start w:val="1"/>
      <w:numFmt w:val="decimal"/>
      <w:pStyle w:val="spis2"/>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545E77"/>
    <w:multiLevelType w:val="multilevel"/>
    <w:tmpl w:val="123ABBE0"/>
    <w:lvl w:ilvl="0">
      <w:start w:val="1"/>
      <w:numFmt w:val="bullet"/>
      <w:lvlText w:val=""/>
      <w:lvlJc w:val="left"/>
      <w:pPr>
        <w:tabs>
          <w:tab w:val="num" w:pos="644"/>
        </w:tabs>
        <w:ind w:left="644" w:hanging="360"/>
      </w:pPr>
      <w:rPr>
        <w:rFonts w:ascii="Symbol" w:hAnsi="Symbol" w:hint="default"/>
      </w:rPr>
    </w:lvl>
    <w:lvl w:ilvl="1">
      <w:start w:val="1"/>
      <w:numFmt w:val="lowerLetter"/>
      <w:lvlText w:val="%2)"/>
      <w:lvlJc w:val="left"/>
      <w:pPr>
        <w:tabs>
          <w:tab w:val="num" w:pos="1004"/>
        </w:tabs>
        <w:ind w:left="1004" w:hanging="360"/>
      </w:pPr>
      <w:rPr>
        <w:rFonts w:cs="Times New Roman" w:hint="default"/>
      </w:rPr>
    </w:lvl>
    <w:lvl w:ilvl="2">
      <w:start w:val="1"/>
      <w:numFmt w:val="lowerRoman"/>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7" w15:restartNumberingAfterBreak="0">
    <w:nsid w:val="663B42BD"/>
    <w:multiLevelType w:val="multilevel"/>
    <w:tmpl w:val="0834F1A6"/>
    <w:lvl w:ilvl="0">
      <w:start w:val="11"/>
      <w:numFmt w:val="decimal"/>
      <w:lvlText w:val="%1."/>
      <w:lvlJc w:val="left"/>
      <w:pPr>
        <w:ind w:left="786" w:hanging="360"/>
      </w:pPr>
      <w:rPr>
        <w:rFonts w:hint="default"/>
      </w:rPr>
    </w:lvl>
    <w:lvl w:ilvl="1">
      <w:start w:val="1"/>
      <w:numFmt w:val="decimal"/>
      <w:pStyle w:val="spis3"/>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690E038F"/>
    <w:multiLevelType w:val="hybridMultilevel"/>
    <w:tmpl w:val="7188E2FC"/>
    <w:lvl w:ilvl="0" w:tplc="FFFFFFFF">
      <w:start w:val="1"/>
      <w:numFmt w:val="bullet"/>
      <w:lvlText w:val="-"/>
      <w:lvlJc w:val="left"/>
      <w:pPr>
        <w:tabs>
          <w:tab w:val="num" w:pos="1273"/>
        </w:tabs>
        <w:ind w:left="1273" w:hanging="705"/>
      </w:pPr>
      <w:rPr>
        <w:rFonts w:hint="default"/>
      </w:rPr>
    </w:lvl>
    <w:lvl w:ilvl="1" w:tplc="FFFFFFFF" w:tentative="1">
      <w:start w:val="1"/>
      <w:numFmt w:val="bullet"/>
      <w:lvlText w:val="o"/>
      <w:lvlJc w:val="left"/>
      <w:pPr>
        <w:tabs>
          <w:tab w:val="num" w:pos="2008"/>
        </w:tabs>
        <w:ind w:left="2008" w:hanging="360"/>
      </w:pPr>
      <w:rPr>
        <w:rFonts w:ascii="Courier New" w:hAnsi="Courier New" w:hint="default"/>
      </w:rPr>
    </w:lvl>
    <w:lvl w:ilvl="2" w:tplc="FFFFFFFF" w:tentative="1">
      <w:start w:val="1"/>
      <w:numFmt w:val="bullet"/>
      <w:lvlText w:val=""/>
      <w:lvlJc w:val="left"/>
      <w:pPr>
        <w:tabs>
          <w:tab w:val="num" w:pos="2728"/>
        </w:tabs>
        <w:ind w:left="2728" w:hanging="360"/>
      </w:pPr>
      <w:rPr>
        <w:rFonts w:ascii="Wingdings" w:hAnsi="Wingdings" w:hint="default"/>
      </w:rPr>
    </w:lvl>
    <w:lvl w:ilvl="3" w:tplc="FFFFFFFF" w:tentative="1">
      <w:start w:val="1"/>
      <w:numFmt w:val="bullet"/>
      <w:lvlText w:val=""/>
      <w:lvlJc w:val="left"/>
      <w:pPr>
        <w:tabs>
          <w:tab w:val="num" w:pos="3448"/>
        </w:tabs>
        <w:ind w:left="3448" w:hanging="360"/>
      </w:pPr>
      <w:rPr>
        <w:rFonts w:ascii="Symbol" w:hAnsi="Symbol" w:hint="default"/>
      </w:rPr>
    </w:lvl>
    <w:lvl w:ilvl="4" w:tplc="FFFFFFFF" w:tentative="1">
      <w:start w:val="1"/>
      <w:numFmt w:val="bullet"/>
      <w:lvlText w:val="o"/>
      <w:lvlJc w:val="left"/>
      <w:pPr>
        <w:tabs>
          <w:tab w:val="num" w:pos="4168"/>
        </w:tabs>
        <w:ind w:left="4168" w:hanging="360"/>
      </w:pPr>
      <w:rPr>
        <w:rFonts w:ascii="Courier New" w:hAnsi="Courier New" w:hint="default"/>
      </w:rPr>
    </w:lvl>
    <w:lvl w:ilvl="5" w:tplc="FFFFFFFF" w:tentative="1">
      <w:start w:val="1"/>
      <w:numFmt w:val="bullet"/>
      <w:lvlText w:val=""/>
      <w:lvlJc w:val="left"/>
      <w:pPr>
        <w:tabs>
          <w:tab w:val="num" w:pos="4888"/>
        </w:tabs>
        <w:ind w:left="4888" w:hanging="360"/>
      </w:pPr>
      <w:rPr>
        <w:rFonts w:ascii="Wingdings" w:hAnsi="Wingdings" w:hint="default"/>
      </w:rPr>
    </w:lvl>
    <w:lvl w:ilvl="6" w:tplc="FFFFFFFF" w:tentative="1">
      <w:start w:val="1"/>
      <w:numFmt w:val="bullet"/>
      <w:lvlText w:val=""/>
      <w:lvlJc w:val="left"/>
      <w:pPr>
        <w:tabs>
          <w:tab w:val="num" w:pos="5608"/>
        </w:tabs>
        <w:ind w:left="5608" w:hanging="360"/>
      </w:pPr>
      <w:rPr>
        <w:rFonts w:ascii="Symbol" w:hAnsi="Symbol" w:hint="default"/>
      </w:rPr>
    </w:lvl>
    <w:lvl w:ilvl="7" w:tplc="FFFFFFFF" w:tentative="1">
      <w:start w:val="1"/>
      <w:numFmt w:val="bullet"/>
      <w:lvlText w:val="o"/>
      <w:lvlJc w:val="left"/>
      <w:pPr>
        <w:tabs>
          <w:tab w:val="num" w:pos="6328"/>
        </w:tabs>
        <w:ind w:left="6328" w:hanging="360"/>
      </w:pPr>
      <w:rPr>
        <w:rFonts w:ascii="Courier New" w:hAnsi="Courier New" w:hint="default"/>
      </w:rPr>
    </w:lvl>
    <w:lvl w:ilvl="8" w:tplc="FFFFFFFF"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7896580A"/>
    <w:multiLevelType w:val="hybridMultilevel"/>
    <w:tmpl w:val="6AC4435A"/>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8"/>
  </w:num>
  <w:num w:numId="5">
    <w:abstractNumId w:val="3"/>
  </w:num>
  <w:num w:numId="6">
    <w:abstractNumId w:val="6"/>
  </w:num>
  <w:num w:numId="7">
    <w:abstractNumId w:val="9"/>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A2"/>
    <w:rsid w:val="00381CC9"/>
    <w:rsid w:val="00934800"/>
    <w:rsid w:val="00FA21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41E9C-F79E-472A-B74B-9776283F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21A2"/>
    <w:pPr>
      <w:spacing w:after="0" w:line="240" w:lineRule="auto"/>
      <w:jc w:val="both"/>
    </w:pPr>
    <w:rPr>
      <w:rFonts w:eastAsia="Times New Roman" w:cs="Times New Roman"/>
      <w:sz w:val="20"/>
      <w:szCs w:val="24"/>
      <w:lang w:eastAsia="pl-PL"/>
    </w:rPr>
  </w:style>
  <w:style w:type="paragraph" w:styleId="Nagwek1">
    <w:name w:val="heading 1"/>
    <w:basedOn w:val="Normalny"/>
    <w:next w:val="Normalny"/>
    <w:link w:val="Nagwek1Znak"/>
    <w:uiPriority w:val="9"/>
    <w:qFormat/>
    <w:rsid w:val="00FA21A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nhideWhenUsed/>
    <w:qFormat/>
    <w:rsid w:val="00FA21A2"/>
    <w:pPr>
      <w:keepNext/>
      <w:keepLines/>
      <w:spacing w:before="40"/>
      <w:outlineLvl w:val="2"/>
    </w:pPr>
    <w:rPr>
      <w:rFonts w:ascii="Calibri" w:eastAsiaTheme="majorEastAsia" w:hAnsi="Calibri" w:cstheme="maj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FA21A2"/>
    <w:rPr>
      <w:rFonts w:ascii="Calibri" w:eastAsiaTheme="majorEastAsia" w:hAnsi="Calibri" w:cstheme="majorBidi"/>
      <w:sz w:val="20"/>
      <w:szCs w:val="24"/>
      <w:lang w:eastAsia="pl-PL"/>
    </w:rPr>
  </w:style>
  <w:style w:type="paragraph" w:customStyle="1" w:styleId="toa">
    <w:name w:val="toa"/>
    <w:basedOn w:val="Normalny"/>
    <w:uiPriority w:val="99"/>
    <w:rsid w:val="00FA21A2"/>
    <w:pPr>
      <w:tabs>
        <w:tab w:val="left" w:pos="9000"/>
        <w:tab w:val="right" w:pos="9360"/>
      </w:tabs>
      <w:suppressAutoHyphens/>
    </w:pPr>
    <w:rPr>
      <w:rFonts w:ascii="CG Times" w:hAnsi="CG Times"/>
      <w:sz w:val="22"/>
      <w:szCs w:val="20"/>
      <w:lang w:val="en-US" w:eastAsia="en-US"/>
    </w:rPr>
  </w:style>
  <w:style w:type="paragraph" w:styleId="Stopka">
    <w:name w:val="footer"/>
    <w:basedOn w:val="Normalny"/>
    <w:link w:val="StopkaZnak"/>
    <w:uiPriority w:val="99"/>
    <w:rsid w:val="00FA21A2"/>
    <w:pPr>
      <w:tabs>
        <w:tab w:val="left" w:pos="284"/>
      </w:tabs>
    </w:pPr>
    <w:rPr>
      <w:rFonts w:eastAsia="Calibri"/>
      <w:szCs w:val="20"/>
      <w:lang w:val="en-US"/>
    </w:rPr>
  </w:style>
  <w:style w:type="character" w:customStyle="1" w:styleId="StopkaZnak">
    <w:name w:val="Stopka Znak"/>
    <w:basedOn w:val="Domylnaczcionkaakapitu"/>
    <w:link w:val="Stopka"/>
    <w:uiPriority w:val="99"/>
    <w:rsid w:val="00FA21A2"/>
    <w:rPr>
      <w:rFonts w:eastAsia="Calibri" w:cs="Times New Roman"/>
      <w:sz w:val="20"/>
      <w:szCs w:val="20"/>
      <w:lang w:val="en-US" w:eastAsia="pl-PL"/>
    </w:rPr>
  </w:style>
  <w:style w:type="paragraph" w:styleId="Tekstkomentarza">
    <w:name w:val="annotation text"/>
    <w:basedOn w:val="Normalny"/>
    <w:link w:val="TekstkomentarzaZnak"/>
    <w:semiHidden/>
    <w:rsid w:val="00FA21A2"/>
    <w:rPr>
      <w:rFonts w:eastAsia="Calibri"/>
      <w:szCs w:val="20"/>
      <w:lang w:val="en-US"/>
    </w:rPr>
  </w:style>
  <w:style w:type="character" w:customStyle="1" w:styleId="TekstkomentarzaZnak">
    <w:name w:val="Tekst komentarza Znak"/>
    <w:basedOn w:val="Domylnaczcionkaakapitu"/>
    <w:link w:val="Tekstkomentarza"/>
    <w:semiHidden/>
    <w:rsid w:val="00FA21A2"/>
    <w:rPr>
      <w:rFonts w:eastAsia="Calibri" w:cs="Times New Roman"/>
      <w:sz w:val="20"/>
      <w:szCs w:val="20"/>
      <w:lang w:val="en-US" w:eastAsia="pl-PL"/>
    </w:rPr>
  </w:style>
  <w:style w:type="paragraph" w:customStyle="1" w:styleId="tekst">
    <w:name w:val="tekst"/>
    <w:basedOn w:val="Normalny"/>
    <w:uiPriority w:val="99"/>
    <w:rsid w:val="00FA21A2"/>
    <w:pPr>
      <w:spacing w:after="120"/>
    </w:pPr>
    <w:rPr>
      <w:szCs w:val="20"/>
      <w:lang w:eastAsia="en-US"/>
    </w:rPr>
  </w:style>
  <w:style w:type="paragraph" w:styleId="Zwykytekst">
    <w:name w:val="Plain Text"/>
    <w:basedOn w:val="Normalny"/>
    <w:link w:val="ZwykytekstZnak"/>
    <w:uiPriority w:val="99"/>
    <w:rsid w:val="00FA21A2"/>
    <w:rPr>
      <w:rFonts w:ascii="Courier New" w:eastAsia="Calibri" w:hAnsi="Courier New"/>
      <w:szCs w:val="20"/>
    </w:rPr>
  </w:style>
  <w:style w:type="character" w:customStyle="1" w:styleId="ZwykytekstZnak">
    <w:name w:val="Zwykły tekst Znak"/>
    <w:basedOn w:val="Domylnaczcionkaakapitu"/>
    <w:link w:val="Zwykytekst"/>
    <w:uiPriority w:val="99"/>
    <w:rsid w:val="00FA21A2"/>
    <w:rPr>
      <w:rFonts w:ascii="Courier New" w:eastAsia="Calibri" w:hAnsi="Courier New" w:cs="Times New Roman"/>
      <w:sz w:val="20"/>
      <w:szCs w:val="20"/>
      <w:lang w:eastAsia="pl-PL"/>
    </w:rPr>
  </w:style>
  <w:style w:type="paragraph" w:styleId="Tekstpodstawowywcity">
    <w:name w:val="Body Text Indent"/>
    <w:basedOn w:val="Normalny"/>
    <w:link w:val="TekstpodstawowywcityZnak"/>
    <w:uiPriority w:val="99"/>
    <w:rsid w:val="00FA21A2"/>
    <w:pPr>
      <w:numPr>
        <w:ilvl w:val="12"/>
      </w:numPr>
      <w:ind w:left="425" w:hanging="425"/>
    </w:pPr>
    <w:rPr>
      <w:rFonts w:eastAsia="Calibri"/>
      <w:szCs w:val="20"/>
    </w:rPr>
  </w:style>
  <w:style w:type="character" w:customStyle="1" w:styleId="TekstpodstawowywcityZnak">
    <w:name w:val="Tekst podstawowy wcięty Znak"/>
    <w:basedOn w:val="Domylnaczcionkaakapitu"/>
    <w:link w:val="Tekstpodstawowywcity"/>
    <w:uiPriority w:val="99"/>
    <w:rsid w:val="00FA21A2"/>
    <w:rPr>
      <w:rFonts w:eastAsia="Calibri" w:cs="Times New Roman"/>
      <w:sz w:val="20"/>
      <w:szCs w:val="20"/>
      <w:lang w:eastAsia="pl-PL"/>
    </w:rPr>
  </w:style>
  <w:style w:type="paragraph" w:styleId="Akapitzlist">
    <w:name w:val="List Paragraph"/>
    <w:basedOn w:val="Normalny"/>
    <w:link w:val="AkapitzlistZnak"/>
    <w:uiPriority w:val="34"/>
    <w:qFormat/>
    <w:rsid w:val="00FA21A2"/>
    <w:pPr>
      <w:ind w:left="720"/>
      <w:contextualSpacing/>
    </w:pPr>
  </w:style>
  <w:style w:type="character" w:customStyle="1" w:styleId="AkapitzlistZnak">
    <w:name w:val="Akapit z listą Znak"/>
    <w:basedOn w:val="Domylnaczcionkaakapitu"/>
    <w:link w:val="Akapitzlist"/>
    <w:uiPriority w:val="34"/>
    <w:rsid w:val="00FA21A2"/>
    <w:rPr>
      <w:rFonts w:eastAsia="Times New Roman" w:cs="Times New Roman"/>
      <w:sz w:val="20"/>
      <w:szCs w:val="24"/>
      <w:lang w:eastAsia="pl-PL"/>
    </w:rPr>
  </w:style>
  <w:style w:type="paragraph" w:styleId="Tytu">
    <w:name w:val="Title"/>
    <w:basedOn w:val="Normalny"/>
    <w:next w:val="Normalny"/>
    <w:link w:val="TytuZnak"/>
    <w:qFormat/>
    <w:rsid w:val="00FA21A2"/>
    <w:pPr>
      <w:numPr>
        <w:numId w:val="8"/>
      </w:numPr>
      <w:contextualSpacing/>
    </w:pPr>
    <w:rPr>
      <w:rFonts w:ascii="Calibri" w:eastAsiaTheme="majorEastAsia" w:hAnsi="Calibri" w:cstheme="majorBidi"/>
      <w:b/>
      <w:spacing w:val="-10"/>
      <w:kern w:val="28"/>
      <w:szCs w:val="56"/>
    </w:rPr>
  </w:style>
  <w:style w:type="character" w:customStyle="1" w:styleId="TytuZnak">
    <w:name w:val="Tytuł Znak"/>
    <w:basedOn w:val="Domylnaczcionkaakapitu"/>
    <w:link w:val="Tytu"/>
    <w:rsid w:val="00FA21A2"/>
    <w:rPr>
      <w:rFonts w:ascii="Calibri" w:eastAsiaTheme="majorEastAsia" w:hAnsi="Calibri" w:cstheme="majorBidi"/>
      <w:b/>
      <w:spacing w:val="-10"/>
      <w:kern w:val="28"/>
      <w:sz w:val="20"/>
      <w:szCs w:val="56"/>
      <w:lang w:eastAsia="pl-PL"/>
    </w:rPr>
  </w:style>
  <w:style w:type="paragraph" w:customStyle="1" w:styleId="Spis1">
    <w:name w:val="Spis 1"/>
    <w:basedOn w:val="Tytu"/>
    <w:link w:val="Spis1Znak"/>
    <w:qFormat/>
    <w:rsid w:val="00FA21A2"/>
    <w:pPr>
      <w:ind w:left="426"/>
    </w:pPr>
  </w:style>
  <w:style w:type="paragraph" w:customStyle="1" w:styleId="spis2">
    <w:name w:val="spis 2"/>
    <w:basedOn w:val="Nagwek1"/>
    <w:link w:val="spis2Znak"/>
    <w:qFormat/>
    <w:rsid w:val="00FA21A2"/>
    <w:pPr>
      <w:numPr>
        <w:numId w:val="10"/>
      </w:numPr>
      <w:spacing w:before="120"/>
    </w:pPr>
    <w:rPr>
      <w:rFonts w:ascii="Calibri" w:hAnsi="Calibri"/>
      <w:color w:val="000000" w:themeColor="text1"/>
      <w:sz w:val="20"/>
    </w:rPr>
  </w:style>
  <w:style w:type="character" w:customStyle="1" w:styleId="Spis1Znak">
    <w:name w:val="Spis 1 Znak"/>
    <w:basedOn w:val="TytuZnak"/>
    <w:link w:val="Spis1"/>
    <w:rsid w:val="00FA21A2"/>
    <w:rPr>
      <w:rFonts w:ascii="Calibri" w:eastAsiaTheme="majorEastAsia" w:hAnsi="Calibri" w:cstheme="majorBidi"/>
      <w:b/>
      <w:spacing w:val="-10"/>
      <w:kern w:val="28"/>
      <w:sz w:val="20"/>
      <w:szCs w:val="56"/>
      <w:lang w:eastAsia="pl-PL"/>
    </w:rPr>
  </w:style>
  <w:style w:type="paragraph" w:customStyle="1" w:styleId="spis3">
    <w:name w:val="spis 3"/>
    <w:basedOn w:val="Nagwek3"/>
    <w:link w:val="spis3Znak"/>
    <w:qFormat/>
    <w:rsid w:val="00FA21A2"/>
    <w:pPr>
      <w:numPr>
        <w:ilvl w:val="1"/>
        <w:numId w:val="9"/>
      </w:numPr>
      <w:ind w:left="993" w:hanging="567"/>
    </w:pPr>
  </w:style>
  <w:style w:type="character" w:customStyle="1" w:styleId="spis2Znak">
    <w:name w:val="spis 2 Znak"/>
    <w:basedOn w:val="Nagwek1Znak"/>
    <w:link w:val="spis2"/>
    <w:rsid w:val="00FA21A2"/>
    <w:rPr>
      <w:rFonts w:ascii="Calibri" w:eastAsiaTheme="majorEastAsia" w:hAnsi="Calibri" w:cstheme="majorBidi"/>
      <w:color w:val="000000" w:themeColor="text1"/>
      <w:sz w:val="20"/>
      <w:szCs w:val="32"/>
      <w:lang w:eastAsia="pl-PL"/>
    </w:rPr>
  </w:style>
  <w:style w:type="character" w:customStyle="1" w:styleId="spis3Znak">
    <w:name w:val="spis 3 Znak"/>
    <w:basedOn w:val="Nagwek3Znak"/>
    <w:link w:val="spis3"/>
    <w:rsid w:val="00FA21A2"/>
    <w:rPr>
      <w:rFonts w:ascii="Calibri" w:eastAsiaTheme="majorEastAsia" w:hAnsi="Calibri" w:cstheme="majorBidi"/>
      <w:sz w:val="20"/>
      <w:szCs w:val="24"/>
      <w:lang w:eastAsia="pl-PL"/>
    </w:rPr>
  </w:style>
  <w:style w:type="character" w:customStyle="1" w:styleId="Nagwek1Znak">
    <w:name w:val="Nagłówek 1 Znak"/>
    <w:basedOn w:val="Domylnaczcionkaakapitu"/>
    <w:link w:val="Nagwek1"/>
    <w:uiPriority w:val="9"/>
    <w:rsid w:val="00FA21A2"/>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3553</Words>
  <Characters>21320</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Sokolewicz</dc:creator>
  <cp:keywords/>
  <dc:description/>
  <cp:lastModifiedBy>Michał Sokolewicz</cp:lastModifiedBy>
  <cp:revision>1</cp:revision>
  <dcterms:created xsi:type="dcterms:W3CDTF">2018-03-26T20:27:00Z</dcterms:created>
  <dcterms:modified xsi:type="dcterms:W3CDTF">2018-03-26T20:29:00Z</dcterms:modified>
</cp:coreProperties>
</file>