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995D9" w14:textId="77777777" w:rsidR="00D315B4" w:rsidRDefault="00D315B4" w:rsidP="00D315B4">
      <w:pPr>
        <w:pStyle w:val="Default"/>
      </w:pPr>
    </w:p>
    <w:p w14:paraId="5A16AE5A" w14:textId="606D05CD" w:rsidR="00D315B4" w:rsidRDefault="00D315B4" w:rsidP="00C176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Polityka Wynagrodzeń Członków Zarządu i Rady Nadzorczej</w:t>
      </w:r>
    </w:p>
    <w:p w14:paraId="332B9620" w14:textId="518484E1" w:rsidR="00D315B4" w:rsidRDefault="00D315B4" w:rsidP="00C176F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NEUCA S.A.</w:t>
      </w:r>
    </w:p>
    <w:p w14:paraId="4765D455" w14:textId="77777777" w:rsidR="00C21397" w:rsidRDefault="00C21397" w:rsidP="00C176F9">
      <w:pPr>
        <w:pStyle w:val="Default"/>
        <w:jc w:val="center"/>
        <w:rPr>
          <w:b/>
          <w:bCs/>
          <w:sz w:val="28"/>
          <w:szCs w:val="28"/>
        </w:rPr>
      </w:pPr>
    </w:p>
    <w:p w14:paraId="7CE688D1" w14:textId="0DEEA600" w:rsidR="00C21397" w:rsidRDefault="00C21397" w:rsidP="00C176F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tekst uchwalony </w:t>
      </w:r>
      <w:r w:rsidR="00586DE0">
        <w:rPr>
          <w:b/>
          <w:bCs/>
          <w:sz w:val="28"/>
          <w:szCs w:val="28"/>
        </w:rPr>
        <w:t>16 maja</w:t>
      </w:r>
      <w:r>
        <w:rPr>
          <w:b/>
          <w:bCs/>
          <w:sz w:val="28"/>
          <w:szCs w:val="28"/>
        </w:rPr>
        <w:t xml:space="preserve"> 2024 roku -</w:t>
      </w:r>
    </w:p>
    <w:p w14:paraId="3801E5B4" w14:textId="77777777" w:rsidR="00C176F9" w:rsidRDefault="00C176F9" w:rsidP="00C176F9">
      <w:pPr>
        <w:pStyle w:val="Default"/>
        <w:jc w:val="both"/>
        <w:rPr>
          <w:b/>
          <w:bCs/>
          <w:sz w:val="23"/>
          <w:szCs w:val="23"/>
        </w:rPr>
      </w:pPr>
    </w:p>
    <w:p w14:paraId="2A2B24E4" w14:textId="5E33DCBB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b/>
          <w:bCs/>
          <w:sz w:val="23"/>
          <w:szCs w:val="23"/>
        </w:rPr>
        <w:t>I</w:t>
      </w:r>
      <w:r w:rsidR="00C176F9">
        <w:rPr>
          <w:b/>
          <w:bCs/>
          <w:sz w:val="23"/>
          <w:szCs w:val="23"/>
        </w:rPr>
        <w:t>.</w:t>
      </w:r>
      <w:r w:rsidRPr="00C176F9">
        <w:rPr>
          <w:b/>
          <w:bCs/>
          <w:sz w:val="23"/>
          <w:szCs w:val="23"/>
        </w:rPr>
        <w:t xml:space="preserve"> Cel Polityki </w:t>
      </w:r>
    </w:p>
    <w:p w14:paraId="5432FB72" w14:textId="3BD60701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Polityka wynagrodzeń Członków Zarządu i Rady Nadzorczej NEUCA S.A., zwana dalej „Polityką”, określa podstawy, zasady i procedury ustalania, naliczania i wypłacania wynagrodzeń dla Członków Zarządu, oraz Członków Rady Nadzorczej. Rozwiązania przyjęte w Polityce wynagrodzeń powinny przyczyniać się do realizacji strategii biznesowej, długoterminowych interesów, oraz stabilności Spółki. </w:t>
      </w:r>
    </w:p>
    <w:p w14:paraId="6F520041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42E51C3B" w14:textId="112FBC28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b/>
          <w:bCs/>
          <w:sz w:val="23"/>
          <w:szCs w:val="23"/>
        </w:rPr>
        <w:t xml:space="preserve">Definicje pojęć. </w:t>
      </w:r>
    </w:p>
    <w:p w14:paraId="6A78D8C6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1. Spółka – NEUCA S.A. z siedzibą w Toruniu; </w:t>
      </w:r>
    </w:p>
    <w:p w14:paraId="39211FDD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2. GK NEUCA – Grupa Kapitałowa NEUCA </w:t>
      </w:r>
    </w:p>
    <w:p w14:paraId="46D02565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3. Zarząd – Zarząd Spółki; </w:t>
      </w:r>
    </w:p>
    <w:p w14:paraId="3A3771CD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4. Rada – Rada Nadzorcza Spółki; </w:t>
      </w:r>
    </w:p>
    <w:p w14:paraId="7C15A4B4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5. Komitet – Komitet Audytu powołany przez Radę Nadzorczą Spółki; </w:t>
      </w:r>
    </w:p>
    <w:p w14:paraId="655C886C" w14:textId="42598E90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6. </w:t>
      </w:r>
      <w:r w:rsidR="00C21397">
        <w:rPr>
          <w:sz w:val="23"/>
          <w:szCs w:val="23"/>
        </w:rPr>
        <w:t>Obszar</w:t>
      </w:r>
      <w:r w:rsidR="00C21397" w:rsidRPr="00C176F9">
        <w:rPr>
          <w:sz w:val="23"/>
          <w:szCs w:val="23"/>
        </w:rPr>
        <w:t xml:space="preserve"> </w:t>
      </w:r>
      <w:r w:rsidRPr="00C176F9">
        <w:rPr>
          <w:sz w:val="23"/>
          <w:szCs w:val="23"/>
        </w:rPr>
        <w:t xml:space="preserve">– część struktury organizacyjnej Spółki kierowana przez jednego z Członków Zarządu, zgodnie z wewnętrznym podziałem zadań i odpowiedzialności pomiędzy Członkami Zarządu; </w:t>
      </w:r>
    </w:p>
    <w:p w14:paraId="29EA7AF7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7. Ustawa – Ustawa z dnia 29 lipca 2005 r. o ofercie publicznej i warunkach wprowadzania instrumentów finansowych do zorganizowanego systemu obrotu oraz o spółkach publicznych ( Dz. U. 2019.623 tj.); </w:t>
      </w:r>
    </w:p>
    <w:p w14:paraId="237C2681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8. Zatrudnienie – świadczenie pracy, świadczenie usług, lub pełnienie funkcji przez Członka Zarządu na rzecz Spółki na podstawie innego stosunku prawnego. </w:t>
      </w:r>
    </w:p>
    <w:p w14:paraId="7299AA8D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CDDF55B" w14:textId="0C30CD06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b/>
          <w:bCs/>
          <w:sz w:val="23"/>
          <w:szCs w:val="23"/>
        </w:rPr>
        <w:t>II</w:t>
      </w:r>
      <w:r w:rsidR="00C176F9">
        <w:rPr>
          <w:b/>
          <w:bCs/>
          <w:sz w:val="23"/>
          <w:szCs w:val="23"/>
        </w:rPr>
        <w:t>.</w:t>
      </w:r>
      <w:r w:rsidRPr="00C176F9">
        <w:rPr>
          <w:b/>
          <w:bCs/>
          <w:sz w:val="23"/>
          <w:szCs w:val="23"/>
        </w:rPr>
        <w:t xml:space="preserve"> Wynagrodzenia Członków Zarządu. </w:t>
      </w:r>
    </w:p>
    <w:p w14:paraId="0333E927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1A1AA3BD" w14:textId="473624F0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b/>
          <w:bCs/>
          <w:sz w:val="23"/>
          <w:szCs w:val="23"/>
        </w:rPr>
        <w:t xml:space="preserve">1. Podstawy prawne wynagradzania Członków Zarządu. </w:t>
      </w:r>
    </w:p>
    <w:p w14:paraId="0B0850EC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</w:p>
    <w:p w14:paraId="5915173E" w14:textId="77777777" w:rsidR="00D315B4" w:rsidRPr="00C176F9" w:rsidRDefault="00D315B4" w:rsidP="00C176F9">
      <w:pPr>
        <w:pStyle w:val="Default"/>
        <w:spacing w:line="276" w:lineRule="auto"/>
        <w:jc w:val="both"/>
        <w:rPr>
          <w:sz w:val="23"/>
          <w:szCs w:val="23"/>
        </w:rPr>
      </w:pPr>
      <w:r w:rsidRPr="00C176F9">
        <w:rPr>
          <w:sz w:val="23"/>
          <w:szCs w:val="23"/>
        </w:rPr>
        <w:t xml:space="preserve">Podstawą prawną wynagradzania Członków Zarządu Spółki jest stosunek prawny łączący Członka Zarządu ze Spółką i podmiotami z GK NEUCA. W ramach negocjacji ustalany jest sposób współpracy Członka Zarządu ze Spółką i podmiotami z GK NEUCA. We współpracy stosowane są umowy: zlecenia, kontraktu menedżerskiego, świadczenia usług, zawierane na czas nieokreślony, lub na czas sprawowania funkcji Członka Zarządu, z możliwością wypowiedzenia z zachowaniem 6 – miesięcznego okresu wypowiedzenia. </w:t>
      </w:r>
    </w:p>
    <w:p w14:paraId="466566B0" w14:textId="00BF14CA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sz w:val="23"/>
          <w:szCs w:val="23"/>
        </w:rPr>
        <w:t xml:space="preserve">Członek Zarządu wyrażając zgodę na pełnienie funkcji, może określić preferowaną formę stosunku prawnego stanowiącego podstawę współpracy ze Spółką i podmiotami z GK NEUCA. Rada, w ramach negocjacji z Członkiem Zarządu, określa podstawy prawne nawiązanego stosunku prawnego, oraz zasady wynagradzania Członka Zarządu. Określenie podstawy prawnej współpracy Członka Zarządu następuje w drodze uchwały Rady. Rada, ustalając </w:t>
      </w:r>
      <w:r w:rsidRPr="00C176F9">
        <w:rPr>
          <w:color w:val="auto"/>
          <w:sz w:val="23"/>
          <w:szCs w:val="23"/>
        </w:rPr>
        <w:t xml:space="preserve">podstawy prawne wynagradzania Członków Zarządu, opiera się na ustalonej między stronami (tj. Spółką, podmiotami z GK NEUCA i Członkiem Zarządu) faktycznej treści ekonomicznej łączącego Strony stosunku prawnego. Rada może ustalić różne podstawy prawne nawiązanej współpracy dla poszczególnych Członków Zarządu, jak również różne podstawy dla wynagradzania danego Członka Zarządu w </w:t>
      </w:r>
      <w:r w:rsidRPr="00C176F9">
        <w:rPr>
          <w:color w:val="auto"/>
          <w:sz w:val="23"/>
          <w:szCs w:val="23"/>
        </w:rPr>
        <w:lastRenderedPageBreak/>
        <w:t xml:space="preserve">związku ze współpracą ze Spółką, podmiotami z GK NEUCA i w związku z bezpośrednim kierowaniem </w:t>
      </w:r>
      <w:r w:rsidR="00C21397">
        <w:rPr>
          <w:color w:val="auto"/>
          <w:sz w:val="23"/>
          <w:szCs w:val="23"/>
        </w:rPr>
        <w:t>Obszarem</w:t>
      </w:r>
      <w:r w:rsidRPr="00C176F9">
        <w:rPr>
          <w:color w:val="auto"/>
          <w:sz w:val="23"/>
          <w:szCs w:val="23"/>
        </w:rPr>
        <w:t xml:space="preserve">. </w:t>
      </w:r>
    </w:p>
    <w:p w14:paraId="3B2141C8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2. Elementy wynagrodzenia Członków Zarządu. </w:t>
      </w:r>
    </w:p>
    <w:p w14:paraId="05E57951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4F6BBBDE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Niezależnie od formy prawnej będącej podstawą współpracy Członka Zarządu ze Spółką, lub podmiotami z GK NEUCA Członek Zarządu otrzymuje od Spółki wynagrodzenie pieniężne z tytułu zarządzania Spółką w stałej wysokości, oraz w wyjątkowych wypadkach w części zmiennej opisanej poniżej. Rada uchwałą określa podstawowe elementy wynagrodzenia pieniężnego Członka Zarządu, w tym wysokość wynagrodzenia stałego i zmiennego, oraz zasady zależności wynagrodzenia zmiennego od wyników finansowych. </w:t>
      </w:r>
    </w:p>
    <w:p w14:paraId="73130A43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Ponadto, Członek Zarządu może otrzymywać od Spółki lub podmiotów z GK NEUCA: wynagrodzenie za czas niezdolności do współpracy wskutek choroby – w wysokości maksymalnie 100% wynagrodzenia obliczonego jako przeciętne miesięczne wynagrodzenie wypłacone za okres 12 miesięcy kalendarzowych poprzedzających miesiąc, w którym powstała niezdolność do pracy, jak również w przypadku wypłaty zasiłku chorobowego na zasadach wynikających z przepisów prawa – świadczenie uzupełniające do wysokości maksymalnie 100% wynagrodzenia obliczonego jako przeciętne miesięczne wynagrodzenie wypłacone za okres 12 miesięcy kalendarzowych poprzedzających miesiąc, w którym powstała niezdolność do pracy. O przyznaniu ww. składników decyduje Rada w uchwale. </w:t>
      </w:r>
    </w:p>
    <w:p w14:paraId="3C7DABA5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Rada może również przyznać Członkowi Zarządu prawo do innych świadczeń pieniężnych i niepieniężnych. </w:t>
      </w:r>
    </w:p>
    <w:p w14:paraId="1FE2DCE1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3C2EA3CC" w14:textId="1D09E6AB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Część stała wynagrodzenia Członka Zarządu. </w:t>
      </w:r>
    </w:p>
    <w:p w14:paraId="644E8E31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Każdy z Członków Zarządu Spółki otrzymuje wynagrodzenie stałe, wypłacane miesięcznie w wysokości określonej w uchwale Rady i w terminie wypłacania wynagrodzenia pracownikom i współpracownikom Spółki i podmiotów z GK NEUCA. Kwota wynagrodzenia wypłacanego miesięcznie jest określana w wysokości brutto w umowie łączącej strony. </w:t>
      </w:r>
    </w:p>
    <w:p w14:paraId="0A5893E5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34B1D9C6" w14:textId="5D406466" w:rsidR="00D315B4" w:rsidRDefault="00D315B4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Część zmienna wynagrodzenia Członka Zarządu. </w:t>
      </w:r>
    </w:p>
    <w:p w14:paraId="1ED92CD2" w14:textId="77777777" w:rsidR="00C176F9" w:rsidRP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25FC50F4" w14:textId="3D8D4121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a) W sytuacji gdy okres współpracy Członka Zarządu w danym roku kalendarzowym jest krótszy niż 12 miesięcy – wyłącznie w przypadku pierwszego i ostatniego roku współpracy Członka Zarządu ze Spółką i podmiotami z GK NEUCA - Członek Zarządu może otrzymywać wynagrodzenie zmienne, które jest uzależnione od wyników finansowych zarówno wyników Spółki, lub GK NEUCA, lub też wyników </w:t>
      </w:r>
      <w:r w:rsidR="007C3757">
        <w:rPr>
          <w:color w:val="auto"/>
          <w:sz w:val="23"/>
          <w:szCs w:val="23"/>
        </w:rPr>
        <w:t>Obszaru</w:t>
      </w:r>
      <w:r w:rsidRPr="00C176F9">
        <w:rPr>
          <w:color w:val="auto"/>
          <w:sz w:val="23"/>
          <w:szCs w:val="23"/>
        </w:rPr>
        <w:t xml:space="preserve">, którym bezpośrednio kieruje dany Członek Zarządu. Wysokość wynagrodzenia zmiennego ustalana jest w przedziale od 20-40% wynagrodzenia stałego danego Członka Zarządu. </w:t>
      </w:r>
    </w:p>
    <w:p w14:paraId="7AB17730" w14:textId="76A92D75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Szczegółowe zasady ustalania, naliczania i wypłacania wynagrodzenia zmiennego ustala Rada w uchwałach. Rada w uchwale określa podstawowe elementy wynagrodzenia pieniężnego Członka Zarządu, w tym wysokość wynagrodzenia. Część zmienna wynagrodzenia jest wypłacana po zamknięciu roku obrotowego, za który wynagrodzenie to jest naliczane i wypłacane na podstawie danych ze sprawozdania finansowego, potwierdzonych przez sprawozdanie biegłego rewidenta. </w:t>
      </w:r>
    </w:p>
    <w:p w14:paraId="6BED6C7C" w14:textId="77777777" w:rsidR="00C176F9" w:rsidRDefault="00C176F9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</w:p>
    <w:p w14:paraId="05366CA5" w14:textId="0C9930AF" w:rsidR="00D315B4" w:rsidRPr="00C176F9" w:rsidRDefault="00D315B4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b) Członek Zarządu może otrzymać również nagrodę pieniężną, na podstawie uchwały Rady, która określa jej wysokość i sposób wypłaty. </w:t>
      </w:r>
    </w:p>
    <w:p w14:paraId="3B416A8F" w14:textId="77777777" w:rsidR="00C176F9" w:rsidRDefault="00C176F9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</w:p>
    <w:p w14:paraId="13F2A154" w14:textId="0E67B2C2" w:rsidR="00D315B4" w:rsidRPr="00C176F9" w:rsidRDefault="00D315B4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c) Członek Zarządu otrzymuje również prawo do uczestniczenia w programach motywacyjnych obowiązujących w Spółce, na zasadach określanych każdorazowo w Regulaminie Programu Motywacyjnego obowiązującego w Spółce, uchwalanego i zmienianego uchwałą Walnego Zgromadzenia Akcjonariuszy Spółki. Szczegółowe warunki uczestniczenia Członków Zarządu w programach motywacyjnych w tym okresy, w których Członek Zarządu nabywa uprawnienia do otrzymania warrantów subskrypcyjnych, zasady zamiany tych instrumentów finansowych na akcje są określone szczegółowo w Regulaminie Programu Motywacyjnego i bezpośrednio związane ze wzrostem wartości Spółki na Giełdzie Papierów Wartościowych. </w:t>
      </w:r>
    </w:p>
    <w:p w14:paraId="731ACF52" w14:textId="77777777" w:rsidR="00C176F9" w:rsidRDefault="00C176F9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</w:p>
    <w:p w14:paraId="5E23CD82" w14:textId="57A1BE9F" w:rsidR="00D315B4" w:rsidRPr="00C176F9" w:rsidRDefault="00D315B4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d) Członek Zarządu otrzymuje również prawo do korzystania z określonego majątku Spółki. </w:t>
      </w:r>
    </w:p>
    <w:p w14:paraId="500F4E55" w14:textId="77777777" w:rsidR="00C176F9" w:rsidRDefault="00C176F9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</w:p>
    <w:p w14:paraId="1E8FE4B2" w14:textId="66907CC4" w:rsidR="00D315B4" w:rsidRPr="00C176F9" w:rsidRDefault="00D315B4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e) Członek Zarządu otrzymuje również prawo do dodatkowego ubezpieczenia. </w:t>
      </w:r>
    </w:p>
    <w:p w14:paraId="1C1B2BF5" w14:textId="77777777" w:rsidR="00C176F9" w:rsidRDefault="00C176F9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</w:p>
    <w:p w14:paraId="11454CCB" w14:textId="763CF8A1" w:rsidR="00D315B4" w:rsidRPr="00C176F9" w:rsidRDefault="00D315B4" w:rsidP="00C176F9">
      <w:pPr>
        <w:pStyle w:val="Default"/>
        <w:spacing w:after="71"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f) Członek Zarządu otrzymuje również prawo do korzystania z dodatkowych świadczeń pozapłacowych (np. benefity) uruchomionych dla osób zatrudnionych w Spółce i stale współpracujących ze Spółką. </w:t>
      </w:r>
    </w:p>
    <w:p w14:paraId="065E4B4F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2A9FD034" w14:textId="59720608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g) Członek Zarządu może otrzymać również prawo do uczestniczenia na zasadach ogólnych w funkcjonujących w Spółce programach emerytalno-rentowych, w przypadku ich wprowadzenia w Spółce. </w:t>
      </w:r>
    </w:p>
    <w:p w14:paraId="5003272B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24027304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Zasady naliczania i wypłacania wynagrodzenia zmiennego przysługującego Członkowi Zarządu określają szczegółowo uchwały Rady. </w:t>
      </w:r>
    </w:p>
    <w:p w14:paraId="297A19AD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0D03247E" w14:textId="6A7BC67A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3. Niepieniężne świadczenia dla Członka Zarządu. </w:t>
      </w:r>
    </w:p>
    <w:p w14:paraId="4C9BA68D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0A515295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Każdy z Członków Zarządu Spółki może otrzymywać również świadczenia niepieniężne od Spółki, na podstawie uchwały Rady. Zakres i zasady świadczeń niepieniężnych przysługujących Członkowi Zarządu określają szczegółowo uchwały Rady. </w:t>
      </w:r>
    </w:p>
    <w:p w14:paraId="151F0A2F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6CD9CC0F" w14:textId="4C37D624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4. Zmiana wysokości wynagrodzenia. </w:t>
      </w:r>
    </w:p>
    <w:p w14:paraId="7A76428C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2CC88689" w14:textId="77777777" w:rsid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Prezes Zarządu, oraz każdy z Członków Zarządu może, w uzasadnionych przypadkach, wystąpić do Rady z wnioskiem o zmianę nawiązanego stosunku współpracy, oraz o zmianę zasad wynagradzania Członka Zarządu, w tym również ustalenia innej wartości części stałej oraz części zmiennej wynagrodzenia, a także innego zakresu i innej wartości świadczeń niepieniężnych. </w:t>
      </w:r>
    </w:p>
    <w:p w14:paraId="16DBFE70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3FE269CE" w14:textId="3F83B084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>III</w:t>
      </w:r>
      <w:r w:rsidR="00C176F9">
        <w:rPr>
          <w:b/>
          <w:bCs/>
          <w:color w:val="auto"/>
          <w:sz w:val="23"/>
          <w:szCs w:val="23"/>
        </w:rPr>
        <w:t>.</w:t>
      </w:r>
      <w:r w:rsidRPr="00C176F9">
        <w:rPr>
          <w:b/>
          <w:bCs/>
          <w:color w:val="auto"/>
          <w:sz w:val="23"/>
          <w:szCs w:val="23"/>
        </w:rPr>
        <w:t xml:space="preserve"> Wynagrodzenia Członków Rady. </w:t>
      </w:r>
    </w:p>
    <w:p w14:paraId="6C01E850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1. Podstawy prawne wynagradzania Członków Rady. </w:t>
      </w:r>
    </w:p>
    <w:p w14:paraId="203A3528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4160F2D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Wyłączną podstawą prawną wynagradzania Członków Rady z tytułu sprawowania funkcji w organie nadzorczym są uchwały Walnego Zgromadzenia. Zasady wynagradzania Członka Rady </w:t>
      </w:r>
      <w:r w:rsidRPr="00C176F9">
        <w:rPr>
          <w:color w:val="auto"/>
          <w:sz w:val="23"/>
          <w:szCs w:val="23"/>
        </w:rPr>
        <w:lastRenderedPageBreak/>
        <w:t xml:space="preserve">mogą być określone w uchwale powołującej do pełnienia funkcji Członka Rady, lub w uchwale odrębnej. </w:t>
      </w:r>
    </w:p>
    <w:p w14:paraId="0D5134C6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2. Elementy wynagrodzenia Członków Rady. </w:t>
      </w:r>
    </w:p>
    <w:p w14:paraId="7F625A7B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B36169E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Członek Rady może otrzymywać od Spółki wynagrodzenie z tytułu sprawowania funkcji w organie nadzorczym ustalane uchwałą Walnego Zgromadzenia, w następujący sposób: </w:t>
      </w:r>
    </w:p>
    <w:p w14:paraId="34B6F0A0" w14:textId="77777777" w:rsidR="00C176F9" w:rsidRDefault="00C176F9" w:rsidP="00C176F9">
      <w:pPr>
        <w:pStyle w:val="Default"/>
        <w:spacing w:after="68" w:line="276" w:lineRule="auto"/>
        <w:jc w:val="both"/>
        <w:rPr>
          <w:color w:val="auto"/>
          <w:sz w:val="23"/>
          <w:szCs w:val="23"/>
        </w:rPr>
      </w:pPr>
    </w:p>
    <w:p w14:paraId="650EA801" w14:textId="3A178E32" w:rsidR="00D315B4" w:rsidRPr="00C176F9" w:rsidRDefault="00D315B4" w:rsidP="00C176F9">
      <w:pPr>
        <w:pStyle w:val="Default"/>
        <w:spacing w:after="68"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a) Przewodniczący i Wiceprzewodniczący Rady mogą otrzymywać wynagrodzenie w formie stałej, zryczałtowanej miesięcznie kwoty brutto; </w:t>
      </w:r>
    </w:p>
    <w:p w14:paraId="7E500AE5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b) Pozostali Członkowie Rady mogą otrzymywać wynagrodzenie za odbyte posiedzenie Rady w równych wysokościach. </w:t>
      </w:r>
    </w:p>
    <w:p w14:paraId="5FBEFFE8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3D6C45EB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Przewodniczący i Wiceprzewodniczący Rady mogą otrzymywać wynagrodzenie wyższe od pozostałych Członków Rady, uwzględniające dodatkowy nakład pracy z tytułu sprawowanych funkcji. </w:t>
      </w:r>
    </w:p>
    <w:p w14:paraId="728BA2D4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7DC30BA7" w14:textId="693A0982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 xml:space="preserve">3. Wynagrodzenie Członków Komitetu. </w:t>
      </w:r>
    </w:p>
    <w:p w14:paraId="3EA30A37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0FCBC643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Członek Rady, będący również Członkiem Komitetu, może otrzymywać wynagrodzenie dodatkowe za odbyte posiedzenie Komitetu, w równych wysokościach, ustalane uchwałą Walnego Zgromadzenia. </w:t>
      </w:r>
    </w:p>
    <w:p w14:paraId="040C7682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54DC4FD2" w14:textId="7AF31C67" w:rsidR="00E22A3C" w:rsidRDefault="00E22A3C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IV Zasady wspólne dotyczące wynagrodzeń Zarządu i Rady Nadzorczej  </w:t>
      </w:r>
    </w:p>
    <w:p w14:paraId="1781A97F" w14:textId="6F086E39" w:rsidR="00D315B4" w:rsidRPr="00C176F9" w:rsidRDefault="00E22A3C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</w:t>
      </w:r>
      <w:r w:rsidR="00D315B4" w:rsidRPr="00C176F9">
        <w:rPr>
          <w:b/>
          <w:bCs/>
          <w:color w:val="auto"/>
          <w:sz w:val="23"/>
          <w:szCs w:val="23"/>
        </w:rPr>
        <w:t xml:space="preserve">. Ograniczenie wynagrodzenia. </w:t>
      </w:r>
    </w:p>
    <w:p w14:paraId="6450269B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71E5EE5C" w14:textId="317960D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Członkowie Zarządu z tytułu zarządzania Spółką i ewentualnie kierowania </w:t>
      </w:r>
      <w:r w:rsidR="007C3757">
        <w:rPr>
          <w:color w:val="auto"/>
          <w:sz w:val="23"/>
          <w:szCs w:val="23"/>
        </w:rPr>
        <w:t>Obszarem</w:t>
      </w:r>
      <w:r w:rsidRPr="00C176F9">
        <w:rPr>
          <w:color w:val="auto"/>
          <w:sz w:val="23"/>
          <w:szCs w:val="23"/>
        </w:rPr>
        <w:t xml:space="preserve">, oraz sprawowania funkcji w organie zarządczym, a także Członkowie Rady z tytułu sprawowania funkcji w organie nadzorczym, nie mogą otrzymywać od Spółki innego wynagrodzenia pieniężnego i niepieniężnego, niż opisane w niniejszej Polityce. </w:t>
      </w:r>
    </w:p>
    <w:p w14:paraId="27B5A583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1CF62866" w14:textId="1884F3BF" w:rsidR="00D315B4" w:rsidRPr="00C176F9" w:rsidRDefault="00E22A3C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</w:t>
      </w:r>
      <w:r w:rsidR="00D315B4" w:rsidRPr="00C176F9">
        <w:rPr>
          <w:b/>
          <w:bCs/>
          <w:color w:val="auto"/>
          <w:sz w:val="23"/>
          <w:szCs w:val="23"/>
        </w:rPr>
        <w:t xml:space="preserve">. Uwzględnienie warunków pracy i płacy innych pracowników. </w:t>
      </w:r>
    </w:p>
    <w:p w14:paraId="2A7896F7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6F444743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Spółka w swojej działalności podstawowej funkcjonuje w oparciu o rozbudowane zasoby osobowe, świadczące pracę/usługi na podstawie umów o pracę lub umów cywilnych, zawieranych również z osobami prowadzącymi działalność gospodarczą. </w:t>
      </w:r>
    </w:p>
    <w:p w14:paraId="296EC4C3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Wykorzystanie różnych form współpracy z kadrą ekspercką, umożliwia elastyczny dobór kadr i szybkie reagowanie na ciągle zmieniające się realia gospodarcze związane z dostępnością zasobów osobowych na rynku pracy w danym czasie, co w szczególności jest charakterystyczne dla sektora, w którym działa Spółka. </w:t>
      </w:r>
    </w:p>
    <w:p w14:paraId="61850577" w14:textId="77777777" w:rsid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Umożliwia również dostosowanie warunków pracy i wynagradzania kadry eksperckiej do realizowanych zadań, w szczególności ścisłe powiązanie wielkości wynagrodzenia z uzyskiwanymi przez Spółkę efektami ekonomicznymi. </w:t>
      </w:r>
    </w:p>
    <w:p w14:paraId="07A3DDEF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4D3D3BC9" w14:textId="472F9640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Możliwość zatrudniania Członków Zarządu na podobnych zasadach, tj. możliwość ich umocowania nie tylko na podstawie uchwał Rady, ale również w oparciu o umowy o pracę zawierane na czas </w:t>
      </w:r>
      <w:r w:rsidRPr="00C176F9">
        <w:rPr>
          <w:color w:val="auto"/>
          <w:sz w:val="23"/>
          <w:szCs w:val="23"/>
        </w:rPr>
        <w:lastRenderedPageBreak/>
        <w:t xml:space="preserve">nieokreślony, lub umowy cywilne zawierane na czas nieokreślony, z możliwością ich rozwiązania za wypowiedzeniem wynoszącym maksymalnie sześć miesięcy, podkreśla dużą elastyczność Spółki w obszarze formalno-prawnego podejścia do zatrudnienia. </w:t>
      </w:r>
    </w:p>
    <w:p w14:paraId="412B6FBA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Członkowie Zarządu, podobnie jak i inni, kluczowi pracownicy i współpracownicy Spółki, mogą mieć ustalony dodatkowo zakaz konkurencji po ustaniu stosunku współpracy na okres nie dłuższy niż 12 miesięcy - z obowiązkiem wypłaty przez Spółkę odszkodowania za ten okres, w wysokości nie wyższej niż równowartość kwoty całkowitego wynagrodzenia brutto, wypłaconego lub należnego za rok poprzedzający rok, w którym następuje ustanie współpracy. Stosowany podział wynagrodzenia pieniężnego Członków Zarządu na część stałą i zmienną, której wysokość uzależniona jest od efektów ekonomicznych Spółki i wyników jej poszczególnych struktur organizacyjnych w jeszcze większym zakresie niż w przypadku innych pracowników (u których dominuje część stała wynagrodzenia) zachęca Członków Zarządu do podejmowania działań skutkujących osiąganiem przez Spółkę coraz lepszych efektów ekonomicznych, przy zapewnieniu stabilności jej działania w dłuższych okresach. </w:t>
      </w:r>
    </w:p>
    <w:p w14:paraId="3A6A0704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Ustalenie stałego wynagrodzenia ryczałtowego dla Członków Rady daje gwarancję należytego i ciągłego funkcjonowania Rady jako organu nadzoru, w którym jego Członkowie - nie będąc bezpośrednio uzależnieni od wyniku finansowego - bez zbędnych ryzyk będą sprawowali nadzór nad bieżącą działalności Spółki, oraz działaniami Zarządu i jego Członków. </w:t>
      </w:r>
    </w:p>
    <w:p w14:paraId="0D3B87F9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109BF322" w14:textId="3F879F7C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>V</w:t>
      </w:r>
      <w:r w:rsidR="00C176F9">
        <w:rPr>
          <w:b/>
          <w:bCs/>
          <w:color w:val="auto"/>
          <w:sz w:val="23"/>
          <w:szCs w:val="23"/>
        </w:rPr>
        <w:t>.</w:t>
      </w:r>
      <w:r w:rsidRPr="00C176F9">
        <w:rPr>
          <w:b/>
          <w:bCs/>
          <w:color w:val="auto"/>
          <w:sz w:val="23"/>
          <w:szCs w:val="23"/>
        </w:rPr>
        <w:t xml:space="preserve"> Upoważnienie od Walnego Zgromadzenia. </w:t>
      </w:r>
    </w:p>
    <w:p w14:paraId="49CB0830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Walne Zgromadzenie upoważnia Radę do uszczegółowienia elementów Polityki. </w:t>
      </w:r>
    </w:p>
    <w:p w14:paraId="0D05F30E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Rada na podstawie niniejszego upoważnienia może również zadecydować o uszczegółowieniu niniejszej Polityki poprzez uchwalenie regulaminu premiowania Zarządu. </w:t>
      </w:r>
    </w:p>
    <w:p w14:paraId="384A1CDB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W sytuacji zagrożenia stabilności finansowej Spółki i braku możliwości zagwarantowania jej rentowności, wynikających z braku realizacji założeń budżetowych w istotnym zakresie, a także w sytuacji zaistnienia innych okoliczności uniemożliwiających, lub znacznie utrudniających funkcjonowanie Spółki lub jej części na dotychczasowych zasadach, Rada może czasowo odstąpić od stosowania Polityki w całości lub części. Odstąpienie od stosowania Polityki nie może być uchwalone jednorazowo na okres dłuższy niż trzy lata obrotowe. </w:t>
      </w:r>
    </w:p>
    <w:p w14:paraId="68DD57B8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0E41BCF4" w14:textId="7F1BD3B8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>V</w:t>
      </w:r>
      <w:r w:rsidR="00E22A3C">
        <w:rPr>
          <w:b/>
          <w:bCs/>
          <w:color w:val="auto"/>
          <w:sz w:val="23"/>
          <w:szCs w:val="23"/>
        </w:rPr>
        <w:t>I</w:t>
      </w:r>
      <w:r w:rsidR="00C176F9">
        <w:rPr>
          <w:b/>
          <w:bCs/>
          <w:color w:val="auto"/>
          <w:sz w:val="23"/>
          <w:szCs w:val="23"/>
        </w:rPr>
        <w:t>.</w:t>
      </w:r>
      <w:r w:rsidRPr="00C176F9">
        <w:rPr>
          <w:b/>
          <w:bCs/>
          <w:color w:val="auto"/>
          <w:sz w:val="23"/>
          <w:szCs w:val="23"/>
        </w:rPr>
        <w:t xml:space="preserve"> Sprawozdania o wynagrodzeniach. </w:t>
      </w:r>
    </w:p>
    <w:p w14:paraId="1560023D" w14:textId="77777777" w:rsid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Rada zobowiązana jest do sporządzania corocznego sprawozdania o wynagrodzeniach, przedstawiającego kompleksowy przegląd wynagrodzeń, w tym wszystkich świadczeń, niezależnie od ich formy, otrzymanych przez poszczególnych Członków Zarządu i Rady, lub należnych poszczególnym Członkom Zarządu i Rady w ostatnim roku obrotowym, zgodnie z Polityką. </w:t>
      </w:r>
      <w:r w:rsidR="00C176F9">
        <w:rPr>
          <w:color w:val="auto"/>
          <w:sz w:val="23"/>
          <w:szCs w:val="23"/>
        </w:rPr>
        <w:t xml:space="preserve"> </w:t>
      </w:r>
    </w:p>
    <w:p w14:paraId="5AD6897C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52958904" w14:textId="1F42A592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Po raz pierwszy ww. sprawozdanie o wynagrodzeniach zostanie sporządzone łącznie za lata 2019 i 2020. </w:t>
      </w:r>
    </w:p>
    <w:p w14:paraId="4DB639B7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Za informacje zawarte w sprawozdaniu o wynagrodzeniach odpowiadają Członkowie Rady. </w:t>
      </w:r>
    </w:p>
    <w:p w14:paraId="0EE5C1B9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62D10475" w14:textId="736543C5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Sprawozdanie o wynagrodzeniach w odniesieniu do każdego Członka Zarządu i Rady musi zawierać m.in.: </w:t>
      </w:r>
    </w:p>
    <w:p w14:paraId="07A4FAB0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1. Wysokość całkowitego wynagrodzenia w podziale na składniki, o których mowa w art.90 d ust.3 pkt 1 Ustawy, oraz wzajemne proporcje między tymi składnikami wynagrodzenia; </w:t>
      </w:r>
    </w:p>
    <w:p w14:paraId="5F31E0EA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2. Wyjaśnienie sposobu, w jaki całkowite wynagrodzenie jest zgodne z przyjętą Polityką, w tym w jaki sposób przyczynia się do osiągnięcia długoterminowych wyników Spółki; </w:t>
      </w:r>
    </w:p>
    <w:p w14:paraId="178E6CF1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lastRenderedPageBreak/>
        <w:t xml:space="preserve">3. Informacje na temat sposobu, w jaki zostały zastosowane kryteria dotyczące wyników; </w:t>
      </w:r>
    </w:p>
    <w:p w14:paraId="4DF61DA9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4. Informacje o zmianie, w ujęciu rocznym, wynagrodzenia, wyników Spółki, oraz średniego wynagrodzenia pracowników Spółki niebędących Członkami Zarządu ani Rady, w okresie co najmniej pięciu ostatnich lat obrotowych, w ujęciu łącznym, w sposób umożliwiający porównanie; </w:t>
      </w:r>
    </w:p>
    <w:p w14:paraId="75DCBA80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5. Wysokość wynagrodzenia od podmiotów należących do tej samej grupy kapitałowej w rozumieniu ustawy z dnia 29 września 1994r. o rachunkowości (Dz.U. z2019r. poz.351, 1495, 1571, 1655 i1680); </w:t>
      </w:r>
    </w:p>
    <w:p w14:paraId="2FEBC619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6. Liczbę przyznanych, lub zaoferowanych instrumentów finansowych, oraz główne warunki wykonywania praw z tych instrumentów, w tym cenę i datę wykonania, oraz ich zmiany; </w:t>
      </w:r>
    </w:p>
    <w:p w14:paraId="031B81D4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7. Informacje na temat korzystania z możliwości żądania zwrotu zmiennych składników wynagrodzenia; </w:t>
      </w:r>
    </w:p>
    <w:p w14:paraId="51506633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8. Informacje dotyczące odstępstw od procedury wdrażania Polityki oraz odstępstw zastosowanych zgodnie z art. 90f Ustawy, w tym wyjaśnienie przesłanek i trybu, oraz wskazanie elementów, od których zastosowano odstępstwa. </w:t>
      </w:r>
    </w:p>
    <w:p w14:paraId="4B01C1C3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146D979C" w14:textId="6CB40F1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>VI</w:t>
      </w:r>
      <w:r w:rsidR="00E22A3C">
        <w:rPr>
          <w:b/>
          <w:bCs/>
          <w:color w:val="auto"/>
          <w:sz w:val="23"/>
          <w:szCs w:val="23"/>
        </w:rPr>
        <w:t>I</w:t>
      </w:r>
      <w:r w:rsidR="00C176F9">
        <w:rPr>
          <w:b/>
          <w:bCs/>
          <w:color w:val="auto"/>
          <w:sz w:val="23"/>
          <w:szCs w:val="23"/>
        </w:rPr>
        <w:t>.</w:t>
      </w:r>
      <w:r w:rsidRPr="00C176F9">
        <w:rPr>
          <w:b/>
          <w:bCs/>
          <w:color w:val="auto"/>
          <w:sz w:val="23"/>
          <w:szCs w:val="23"/>
        </w:rPr>
        <w:t xml:space="preserve"> Ustalenie i realizacja postanowień Polityki. Rozstrzyganie konfliktów. </w:t>
      </w:r>
    </w:p>
    <w:p w14:paraId="66B9BABA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4B5E076D" w14:textId="1D732E08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Polityka jako akt prawa wewnętrznego Spółki powstała w standardowym dla Spółki procesie, z udziałem obsługi prawnej i właściwych Członków Zarządu, odpowiedzialnych za bieżące funkcjonowanie organów korporacyjnych i struktur organizacyjnych, wraz z opiniującym udziałem Rady. </w:t>
      </w:r>
    </w:p>
    <w:p w14:paraId="714FAC92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Ostateczną decyzję w sprawie przyjęcia Polityki podejmuje Walne Zgromadzenie. </w:t>
      </w:r>
    </w:p>
    <w:p w14:paraId="3E7A800A" w14:textId="77777777" w:rsid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Za wdrożenie Polityki i nadzór nad jej przestrzeganiem odpowiedzialny jest Zarząd. Rada zobowiązana jest do ogólnego nadzoru nad realizacją Polityki. Rada przygotowując sprawozdanie dokonuje równocześnie kompleksowego przeglądu Polityki. </w:t>
      </w:r>
    </w:p>
    <w:p w14:paraId="5E904A25" w14:textId="18598CC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Podmioty realizujące Politykę zobowiązane są do badania możliwości zaistnienia konfliktu interesów związanych z Polityką, biorąc pod uwagę postanowienia dokumentów wewnętrznych Spółki. </w:t>
      </w:r>
    </w:p>
    <w:p w14:paraId="60795AC3" w14:textId="77777777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 xml:space="preserve">Uchwalany przez Radę Regulamin, powinien zawierać postanowienia nakierowane na unikanie konfliktu interesów związanych z Polityką, jak również pozwalające na rozstrzyganie ewentualnych sporów wynikających z Polityki i zarządzanie takimi konfliktami. </w:t>
      </w:r>
    </w:p>
    <w:p w14:paraId="1033DD61" w14:textId="77777777" w:rsidR="00C176F9" w:rsidRDefault="00C176F9" w:rsidP="00C176F9">
      <w:pPr>
        <w:pStyle w:val="Default"/>
        <w:spacing w:line="276" w:lineRule="auto"/>
        <w:jc w:val="both"/>
        <w:rPr>
          <w:b/>
          <w:bCs/>
          <w:color w:val="auto"/>
          <w:sz w:val="23"/>
          <w:szCs w:val="23"/>
        </w:rPr>
      </w:pPr>
    </w:p>
    <w:p w14:paraId="2A9BC534" w14:textId="6886BDF5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b/>
          <w:bCs/>
          <w:color w:val="auto"/>
          <w:sz w:val="23"/>
          <w:szCs w:val="23"/>
        </w:rPr>
        <w:t>VII</w:t>
      </w:r>
      <w:r w:rsidR="00E22A3C">
        <w:rPr>
          <w:b/>
          <w:bCs/>
          <w:color w:val="auto"/>
          <w:sz w:val="23"/>
          <w:szCs w:val="23"/>
        </w:rPr>
        <w:t>I</w:t>
      </w:r>
      <w:r w:rsidR="00C176F9">
        <w:rPr>
          <w:b/>
          <w:bCs/>
          <w:color w:val="auto"/>
          <w:sz w:val="23"/>
          <w:szCs w:val="23"/>
        </w:rPr>
        <w:t>.</w:t>
      </w:r>
      <w:r w:rsidRPr="00C176F9">
        <w:rPr>
          <w:b/>
          <w:bCs/>
          <w:color w:val="auto"/>
          <w:sz w:val="23"/>
          <w:szCs w:val="23"/>
        </w:rPr>
        <w:t xml:space="preserve"> Obowiązywanie Polityki. </w:t>
      </w:r>
    </w:p>
    <w:p w14:paraId="7E731543" w14:textId="77777777" w:rsidR="00C176F9" w:rsidRDefault="00C176F9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</w:p>
    <w:p w14:paraId="34E937FA" w14:textId="3F688A32" w:rsidR="00D315B4" w:rsidRPr="00C176F9" w:rsidRDefault="00D315B4" w:rsidP="00C176F9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176F9">
        <w:rPr>
          <w:color w:val="auto"/>
          <w:sz w:val="23"/>
          <w:szCs w:val="23"/>
        </w:rPr>
        <w:t>Postanowienia niniejszej Polityki w zakresie dotyczącym Członków Zarządu obowiązują od dnia przyjęcia</w:t>
      </w:r>
      <w:r w:rsidR="007C3757">
        <w:rPr>
          <w:color w:val="auto"/>
          <w:sz w:val="23"/>
          <w:szCs w:val="23"/>
        </w:rPr>
        <w:t xml:space="preserve"> zaktualizowanej treści</w:t>
      </w:r>
      <w:r w:rsidRPr="00C176F9">
        <w:rPr>
          <w:color w:val="auto"/>
          <w:sz w:val="23"/>
          <w:szCs w:val="23"/>
        </w:rPr>
        <w:t xml:space="preserve"> Polityki uchwałą Walnego Zgromadzenia Akcjonariuszy Spółki. Do określania, wyliczania i wypłacania wynagrodzeń za rok obrotowy 202</w:t>
      </w:r>
      <w:r w:rsidR="007C3757">
        <w:rPr>
          <w:color w:val="auto"/>
          <w:sz w:val="23"/>
          <w:szCs w:val="23"/>
        </w:rPr>
        <w:t>4</w:t>
      </w:r>
      <w:r w:rsidRPr="00C176F9">
        <w:rPr>
          <w:color w:val="auto"/>
          <w:sz w:val="23"/>
          <w:szCs w:val="23"/>
        </w:rPr>
        <w:t>, zarówno w części stałej, jak i zmiennej, stosuje się zasady ustalone uchwałami Rady Nadzorczej, podjętymi przed dniem wejścia w życie</w:t>
      </w:r>
      <w:r w:rsidR="007C3757">
        <w:rPr>
          <w:color w:val="auto"/>
          <w:sz w:val="23"/>
          <w:szCs w:val="23"/>
        </w:rPr>
        <w:t xml:space="preserve"> aktualizacji</w:t>
      </w:r>
      <w:r w:rsidRPr="00C176F9">
        <w:rPr>
          <w:color w:val="auto"/>
          <w:sz w:val="23"/>
          <w:szCs w:val="23"/>
        </w:rPr>
        <w:t xml:space="preserve"> niniejszej Polityki, uwzględniając zasadę praw nabytych. </w:t>
      </w:r>
    </w:p>
    <w:p w14:paraId="252AA220" w14:textId="602FEFCC" w:rsidR="000E097F" w:rsidRPr="00C176F9" w:rsidRDefault="00D315B4" w:rsidP="00C176F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176F9">
        <w:rPr>
          <w:rFonts w:ascii="Times New Roman" w:hAnsi="Times New Roman" w:cs="Times New Roman"/>
          <w:sz w:val="23"/>
          <w:szCs w:val="23"/>
        </w:rPr>
        <w:t>Postanowienia niniejszej Polityki w zakresie dotyczącym Członków Rady Nadzorczej obowiązują od dnia przyjęcia</w:t>
      </w:r>
      <w:r w:rsidR="007C3757">
        <w:rPr>
          <w:rFonts w:ascii="Times New Roman" w:hAnsi="Times New Roman" w:cs="Times New Roman"/>
          <w:sz w:val="23"/>
          <w:szCs w:val="23"/>
        </w:rPr>
        <w:t xml:space="preserve"> zaktualizowanej treści</w:t>
      </w:r>
      <w:r w:rsidRPr="00C176F9">
        <w:rPr>
          <w:rFonts w:ascii="Times New Roman" w:hAnsi="Times New Roman" w:cs="Times New Roman"/>
          <w:sz w:val="23"/>
          <w:szCs w:val="23"/>
        </w:rPr>
        <w:t xml:space="preserve"> Polityki uchwałą Walnego Zgromadzenia Akcjonariuszy. Do określania, wyliczania i wypłacania wynagrodzenia Członków Rady Nadzorczej za rok obrotowy 202</w:t>
      </w:r>
      <w:r w:rsidR="007C3757">
        <w:rPr>
          <w:rFonts w:ascii="Times New Roman" w:hAnsi="Times New Roman" w:cs="Times New Roman"/>
          <w:sz w:val="23"/>
          <w:szCs w:val="23"/>
        </w:rPr>
        <w:t>4</w:t>
      </w:r>
      <w:r w:rsidRPr="00C176F9">
        <w:rPr>
          <w:rFonts w:ascii="Times New Roman" w:hAnsi="Times New Roman" w:cs="Times New Roman"/>
          <w:sz w:val="23"/>
          <w:szCs w:val="23"/>
        </w:rPr>
        <w:t xml:space="preserve"> stosuje się zasady dotychczasowe, chyba że Walne Zgromadzenie uzna, iż są one sprzeczne z podstawowymi zasadami niniejszej Polityki.</w:t>
      </w:r>
    </w:p>
    <w:sectPr w:rsidR="000E097F" w:rsidRPr="00C1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A6BF6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EF0D9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56D54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62E4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C691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718D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9B642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5828C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3A04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82B20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D78E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F09EF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9625081">
    <w:abstractNumId w:val="7"/>
  </w:num>
  <w:num w:numId="2" w16cid:durableId="1465468629">
    <w:abstractNumId w:val="11"/>
  </w:num>
  <w:num w:numId="3" w16cid:durableId="458374953">
    <w:abstractNumId w:val="10"/>
  </w:num>
  <w:num w:numId="4" w16cid:durableId="1370834798">
    <w:abstractNumId w:val="3"/>
  </w:num>
  <w:num w:numId="5" w16cid:durableId="253056828">
    <w:abstractNumId w:val="4"/>
  </w:num>
  <w:num w:numId="6" w16cid:durableId="1580408095">
    <w:abstractNumId w:val="6"/>
  </w:num>
  <w:num w:numId="7" w16cid:durableId="1389374896">
    <w:abstractNumId w:val="8"/>
  </w:num>
  <w:num w:numId="8" w16cid:durableId="1929734685">
    <w:abstractNumId w:val="5"/>
  </w:num>
  <w:num w:numId="9" w16cid:durableId="424154616">
    <w:abstractNumId w:val="9"/>
  </w:num>
  <w:num w:numId="10" w16cid:durableId="28653663">
    <w:abstractNumId w:val="2"/>
  </w:num>
  <w:num w:numId="11" w16cid:durableId="1296452632">
    <w:abstractNumId w:val="0"/>
  </w:num>
  <w:num w:numId="12" w16cid:durableId="207527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B4"/>
    <w:rsid w:val="000E097F"/>
    <w:rsid w:val="00586DE0"/>
    <w:rsid w:val="007C3757"/>
    <w:rsid w:val="00C176F9"/>
    <w:rsid w:val="00C21397"/>
    <w:rsid w:val="00D315B4"/>
    <w:rsid w:val="00E2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4CC3"/>
  <w15:chartTrackingRefBased/>
  <w15:docId w15:val="{F765F1F5-DB31-4C23-931F-C9613F8B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C213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7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7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7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2398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r.pr. Marcin Gajewski</dc:creator>
  <cp:keywords/>
  <dc:description/>
  <cp:lastModifiedBy>r.pr. Marcin Gajewski</cp:lastModifiedBy>
  <cp:revision>3</cp:revision>
  <dcterms:created xsi:type="dcterms:W3CDTF">2024-03-20T14:27:00Z</dcterms:created>
  <dcterms:modified xsi:type="dcterms:W3CDTF">2024-04-08T10:36:00Z</dcterms:modified>
</cp:coreProperties>
</file>