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F75" w:rsidRDefault="00F91F75" w:rsidP="00DA2634">
      <w:pPr>
        <w:spacing w:after="0" w:line="240" w:lineRule="auto"/>
        <w:jc w:val="center"/>
        <w:rPr>
          <w:rFonts w:ascii="Varela Round" w:hAnsi="Varela Round" w:cs="Varela Round"/>
          <w:b/>
          <w:sz w:val="24"/>
          <w:szCs w:val="24"/>
        </w:rPr>
      </w:pPr>
      <w:bookmarkStart w:id="0" w:name="_GoBack"/>
      <w:bookmarkEnd w:id="0"/>
      <w:r>
        <w:rPr>
          <w:rFonts w:ascii="Varela Round" w:hAnsi="Varela Round" w:cs="Varela Round"/>
          <w:b/>
          <w:sz w:val="24"/>
          <w:szCs w:val="24"/>
        </w:rPr>
        <w:t>RAPORT NIEZALEŻNEGO BIEGŁEGO REWIDENTA Z WYKONANIA USŁUGI ATESTACYJNEJ DAJĄCEJ RACJONALNĄ PEWNOŚĆ W ZAKRESIE OCENY SPRAWOZDANIA O WYNAGRODZENIACH</w:t>
      </w:r>
    </w:p>
    <w:p w:rsidR="00F91F75" w:rsidRDefault="00F91F75" w:rsidP="00DA2634">
      <w:pPr>
        <w:spacing w:after="0" w:line="240" w:lineRule="auto"/>
        <w:rPr>
          <w:rFonts w:ascii="Varela Round" w:hAnsi="Varela Round" w:cs="Varela Round"/>
          <w:b/>
          <w:sz w:val="24"/>
          <w:szCs w:val="24"/>
        </w:rPr>
      </w:pPr>
    </w:p>
    <w:p w:rsidR="00F91F75" w:rsidRDefault="00F91F75" w:rsidP="00DA2634">
      <w:pPr>
        <w:spacing w:after="0" w:line="240" w:lineRule="auto"/>
        <w:rPr>
          <w:rFonts w:ascii="Varela Round" w:hAnsi="Varela Round" w:cs="Varela Round"/>
          <w:b/>
          <w:sz w:val="20"/>
          <w:szCs w:val="20"/>
        </w:rPr>
      </w:pPr>
      <w:r>
        <w:rPr>
          <w:rFonts w:ascii="Varela Round" w:hAnsi="Varela Round" w:cs="Varela Round"/>
          <w:b/>
          <w:sz w:val="20"/>
          <w:szCs w:val="20"/>
        </w:rPr>
        <w:t xml:space="preserve">Dla Walnego Zgromadzenia Akcjonariuszy i Rady Nadzorczej ULMA </w:t>
      </w:r>
      <w:proofErr w:type="spellStart"/>
      <w:r>
        <w:rPr>
          <w:rFonts w:ascii="Varela Round" w:hAnsi="Varela Round" w:cs="Varela Round"/>
          <w:b/>
          <w:sz w:val="20"/>
          <w:szCs w:val="20"/>
        </w:rPr>
        <w:t>Construccion</w:t>
      </w:r>
      <w:proofErr w:type="spellEnd"/>
      <w:r>
        <w:rPr>
          <w:rFonts w:ascii="Varela Round" w:hAnsi="Varela Round" w:cs="Varela Round"/>
          <w:b/>
          <w:sz w:val="20"/>
          <w:szCs w:val="20"/>
        </w:rPr>
        <w:t xml:space="preserve"> Polska S.A. </w:t>
      </w:r>
    </w:p>
    <w:p w:rsidR="00F91F75" w:rsidRDefault="00F91F75" w:rsidP="00DA2634">
      <w:pPr>
        <w:spacing w:after="0" w:line="240" w:lineRule="auto"/>
        <w:ind w:right="-11"/>
        <w:rPr>
          <w:rFonts w:ascii="Varela Round" w:hAnsi="Varela Round" w:cs="Varela Round"/>
          <w:sz w:val="18"/>
          <w:szCs w:val="18"/>
        </w:rPr>
      </w:pPr>
    </w:p>
    <w:p w:rsidR="00F91F75" w:rsidRDefault="00F91F75" w:rsidP="00DA2634">
      <w:pPr>
        <w:pBdr>
          <w:bottom w:val="single" w:sz="4" w:space="1" w:color="1F3864" w:themeColor="accent1" w:themeShade="80"/>
        </w:pBdr>
        <w:spacing w:after="0" w:line="240" w:lineRule="auto"/>
        <w:ind w:left="11" w:right="-11"/>
        <w:rPr>
          <w:rFonts w:ascii="Varela Round" w:hAnsi="Varela Round" w:cs="Varela Round"/>
          <w:b/>
        </w:rPr>
      </w:pPr>
      <w:r>
        <w:rPr>
          <w:rFonts w:ascii="Varela Round" w:hAnsi="Varela Round" w:cs="Varela Round"/>
          <w:b/>
        </w:rPr>
        <w:t>WSTĘP</w:t>
      </w:r>
    </w:p>
    <w:p w:rsidR="00F91F75" w:rsidRDefault="00F91F75" w:rsidP="00DA2634">
      <w:pPr>
        <w:spacing w:after="0" w:line="240" w:lineRule="auto"/>
        <w:ind w:right="-11"/>
        <w:jc w:val="both"/>
        <w:rPr>
          <w:rFonts w:ascii="Varela Round" w:hAnsi="Varela Round" w:cs="Varela Round"/>
          <w:sz w:val="20"/>
          <w:szCs w:val="20"/>
        </w:rPr>
      </w:pPr>
      <w:r>
        <w:rPr>
          <w:rFonts w:ascii="Varela Round" w:hAnsi="Varela Round" w:cs="Varela Round"/>
          <w:sz w:val="18"/>
          <w:szCs w:val="18"/>
        </w:rPr>
        <w:br/>
      </w:r>
      <w:r>
        <w:rPr>
          <w:rFonts w:ascii="Varela Round" w:hAnsi="Varela Round" w:cs="Varela Round"/>
          <w:sz w:val="20"/>
          <w:szCs w:val="20"/>
        </w:rPr>
        <w:t xml:space="preserve">Zostaliśmy zaangażowani do dokonania oceny załączonego sprawozdania o wynagrodzeniach członków Zarządu i Rady Nadzorczej ULMA </w:t>
      </w:r>
      <w:proofErr w:type="spellStart"/>
      <w:r>
        <w:rPr>
          <w:rFonts w:ascii="Varela Round" w:hAnsi="Varela Round" w:cs="Varela Round"/>
          <w:sz w:val="20"/>
          <w:szCs w:val="20"/>
        </w:rPr>
        <w:t>Construccion</w:t>
      </w:r>
      <w:proofErr w:type="spellEnd"/>
      <w:r>
        <w:rPr>
          <w:rFonts w:ascii="Varela Round" w:hAnsi="Varela Round" w:cs="Varela Round"/>
          <w:sz w:val="20"/>
          <w:szCs w:val="20"/>
        </w:rPr>
        <w:t xml:space="preserve"> Polska S.A., (dalej jako „Spółka”) za rok 2021 (dalej „Sprawozdanie o wynagrodzeniach”) w zakresie kompletności zamieszczonych w nim informacji wymaganych na podstawie art. 90g ust. 1 - 5 oraz 8 ustawy z dnia 29 lipca 2005 roku o ofercie publicznej i warunkach wprowadzania instrumentów finansowych do zorganizowanego systemu obrotu oraz o spółkach publicznych (t. j. Dz. U. z 2020 r. poz. 2080  – dalej „Ustawa o ofercie publicznej”)</w:t>
      </w:r>
    </w:p>
    <w:p w:rsidR="00F91F75" w:rsidRDefault="00F91F75" w:rsidP="00DA2634">
      <w:pPr>
        <w:spacing w:after="0" w:line="240" w:lineRule="auto"/>
        <w:ind w:right="-11"/>
        <w:jc w:val="both"/>
        <w:rPr>
          <w:rFonts w:ascii="Varela Round" w:hAnsi="Varela Round" w:cs="Varela Round"/>
          <w:sz w:val="18"/>
          <w:szCs w:val="18"/>
        </w:rPr>
      </w:pPr>
    </w:p>
    <w:p w:rsidR="00F91F75" w:rsidRDefault="00F91F75" w:rsidP="00DA2634">
      <w:pPr>
        <w:pBdr>
          <w:bottom w:val="single" w:sz="4" w:space="1" w:color="1F3864" w:themeColor="accent1" w:themeShade="80"/>
        </w:pBdr>
        <w:spacing w:after="0" w:line="240" w:lineRule="auto"/>
        <w:ind w:right="-11"/>
        <w:jc w:val="both"/>
        <w:rPr>
          <w:rFonts w:ascii="Varela Round" w:hAnsi="Varela Round" w:cs="Varela Round"/>
          <w:b/>
        </w:rPr>
      </w:pPr>
      <w:r>
        <w:rPr>
          <w:rFonts w:ascii="Varela Round" w:hAnsi="Varela Round" w:cs="Varela Round"/>
          <w:b/>
        </w:rPr>
        <w:t>IDENTYFIKACJA KRYTERIÓW I OPIS PRZEDMIOTU USŁUGI</w:t>
      </w:r>
    </w:p>
    <w:p w:rsidR="00F91F75" w:rsidRDefault="00F91F75" w:rsidP="00DA2634">
      <w:pPr>
        <w:spacing w:after="0" w:line="240" w:lineRule="auto"/>
        <w:ind w:right="-11"/>
        <w:jc w:val="both"/>
        <w:rPr>
          <w:rFonts w:ascii="Varela Round" w:hAnsi="Varela Round" w:cs="Varela Round"/>
          <w:b/>
          <w:sz w:val="18"/>
          <w:szCs w:val="18"/>
        </w:rPr>
      </w:pPr>
    </w:p>
    <w:p w:rsidR="00F91F75" w:rsidRDefault="00F91F75" w:rsidP="00DA2634">
      <w:pPr>
        <w:pBdr>
          <w:bottom w:val="single" w:sz="4" w:space="1" w:color="1F3864" w:themeColor="accent1" w:themeShade="80"/>
        </w:pBdr>
        <w:spacing w:after="0" w:line="240" w:lineRule="auto"/>
        <w:jc w:val="both"/>
        <w:rPr>
          <w:rFonts w:ascii="Varela Round" w:hAnsi="Varela Round" w:cs="Varela Round"/>
          <w:sz w:val="20"/>
          <w:szCs w:val="20"/>
        </w:rPr>
      </w:pPr>
      <w:r>
        <w:rPr>
          <w:rFonts w:ascii="Varela Round" w:hAnsi="Varela Round" w:cs="Varela Round"/>
          <w:sz w:val="20"/>
          <w:szCs w:val="20"/>
        </w:rPr>
        <w:t xml:space="preserve">Sprawozdanie o wynagrodzeniach zostało sporządzone przez Radę Nadzorczą w celu spełnienia wymogów art. 90g ust. 1 Ustawy o ofercie publicznej. Mające zastosowanie wymogi dotyczące Sprawozdania o wynagrodzeniach są zawarte w Ustawie o ofercie publicznej. </w:t>
      </w:r>
    </w:p>
    <w:p w:rsidR="00F91F75" w:rsidRDefault="00F91F75" w:rsidP="00DA2634">
      <w:pPr>
        <w:pBdr>
          <w:bottom w:val="single" w:sz="4" w:space="1" w:color="1F3864" w:themeColor="accent1" w:themeShade="80"/>
        </w:pBdr>
        <w:spacing w:after="0" w:line="240" w:lineRule="auto"/>
        <w:jc w:val="both"/>
        <w:rPr>
          <w:rFonts w:ascii="Varela Round" w:hAnsi="Varela Round" w:cs="Varela Round"/>
          <w:sz w:val="20"/>
          <w:szCs w:val="20"/>
        </w:rPr>
      </w:pPr>
    </w:p>
    <w:p w:rsidR="00F91F75" w:rsidRDefault="00F91F75" w:rsidP="00DA2634">
      <w:pPr>
        <w:pBdr>
          <w:bottom w:val="single" w:sz="4" w:space="1" w:color="1F3864" w:themeColor="accent1" w:themeShade="80"/>
        </w:pBdr>
        <w:spacing w:after="0" w:line="240" w:lineRule="auto"/>
        <w:jc w:val="both"/>
        <w:rPr>
          <w:rFonts w:ascii="Varela Round" w:hAnsi="Varela Round" w:cs="Varela Round"/>
          <w:sz w:val="20"/>
          <w:szCs w:val="20"/>
        </w:rPr>
      </w:pPr>
      <w:r>
        <w:rPr>
          <w:rFonts w:ascii="Varela Round" w:hAnsi="Varela Round" w:cs="Varela Round"/>
          <w:sz w:val="20"/>
          <w:szCs w:val="20"/>
        </w:rPr>
        <w:t xml:space="preserve">Wymogi opisane w zdaniu poprzednim określają podstawę sporządzenia sprawozdania o wynagrodzeniach i stanowią, naszym zdaniem, odpowiednie kryteria do sformułowania przez nas wniosku dającego racjonalną pewność. </w:t>
      </w:r>
    </w:p>
    <w:p w:rsidR="00F91F75" w:rsidRDefault="00F91F75" w:rsidP="00DA2634">
      <w:pPr>
        <w:pBdr>
          <w:bottom w:val="single" w:sz="4" w:space="1" w:color="1F3864" w:themeColor="accent1" w:themeShade="80"/>
        </w:pBdr>
        <w:spacing w:after="0" w:line="240" w:lineRule="auto"/>
        <w:jc w:val="both"/>
        <w:rPr>
          <w:rFonts w:ascii="Varela Round" w:hAnsi="Varela Round" w:cs="Varela Round"/>
          <w:sz w:val="20"/>
          <w:szCs w:val="20"/>
        </w:rPr>
      </w:pPr>
    </w:p>
    <w:p w:rsidR="00F91F75" w:rsidRDefault="00F91F75" w:rsidP="00DA2634">
      <w:pPr>
        <w:pBdr>
          <w:bottom w:val="single" w:sz="4" w:space="1" w:color="1F3864" w:themeColor="accent1" w:themeShade="80"/>
        </w:pBdr>
        <w:spacing w:after="0" w:line="240" w:lineRule="auto"/>
        <w:jc w:val="both"/>
        <w:rPr>
          <w:rFonts w:ascii="Varela Round" w:hAnsi="Varela Round" w:cs="Varela Round"/>
          <w:sz w:val="20"/>
          <w:szCs w:val="20"/>
        </w:rPr>
      </w:pPr>
      <w:r>
        <w:rPr>
          <w:rFonts w:ascii="Varela Round" w:hAnsi="Varela Round" w:cs="Varela Round"/>
          <w:sz w:val="20"/>
          <w:szCs w:val="20"/>
        </w:rPr>
        <w:t xml:space="preserve">Zgodnie z wymogami art. 90g ust. 10 Ustawy o ofercie publicznej, Sprawozdanie o wynagrodzeniach poddaje się ocenie biegłego rewidenta w zakresie zamieszczenia w nim informacji wymaganych na podstawie art. 90g ust. 1 - 5 oraz 8 Ustawy o ofercie publicznej. Niniejszy raport stanowi spełnienie tego wymogu. </w:t>
      </w:r>
    </w:p>
    <w:p w:rsidR="00F91F75" w:rsidRDefault="00F91F75" w:rsidP="00DA2634">
      <w:pPr>
        <w:pBdr>
          <w:bottom w:val="single" w:sz="4" w:space="1" w:color="1F3864" w:themeColor="accent1" w:themeShade="80"/>
        </w:pBdr>
        <w:spacing w:after="0" w:line="240" w:lineRule="auto"/>
        <w:jc w:val="both"/>
        <w:rPr>
          <w:rFonts w:ascii="Varela Round" w:hAnsi="Varela Round" w:cs="Varela Round"/>
          <w:sz w:val="20"/>
          <w:szCs w:val="20"/>
        </w:rPr>
      </w:pPr>
    </w:p>
    <w:p w:rsidR="00DA2634" w:rsidRDefault="00F91F75" w:rsidP="00DA2634">
      <w:pPr>
        <w:pBdr>
          <w:bottom w:val="single" w:sz="4" w:space="1" w:color="1F3864" w:themeColor="accent1" w:themeShade="80"/>
        </w:pBdr>
        <w:spacing w:after="0" w:line="240" w:lineRule="auto"/>
        <w:jc w:val="both"/>
        <w:rPr>
          <w:rFonts w:ascii="Varela Round" w:hAnsi="Varela Round" w:cs="Varela Round"/>
          <w:sz w:val="20"/>
          <w:szCs w:val="20"/>
        </w:rPr>
      </w:pPr>
      <w:r>
        <w:rPr>
          <w:rFonts w:ascii="Varela Round" w:hAnsi="Varela Round" w:cs="Varela Round"/>
          <w:sz w:val="20"/>
          <w:szCs w:val="20"/>
        </w:rPr>
        <w:t xml:space="preserve">Przez ocenę biegłego rewidenta, o której mowa w zdaniu poprzedzającym i stanowiącą podstawę do sformułowania przez nas wniosku dającego racjonalną pewność, rozumiemy ocenę czy, we wszystkich istotnych aspektach, zakres informacji zaprezentowanych w Sprawozdaniu o wynagrodzeniach jest kompletny, a informacje zostały ujawnione ze szczegółowością wymaganą przez Ustawę o ofercie publicznej. </w:t>
      </w:r>
    </w:p>
    <w:p w:rsidR="00DA2634" w:rsidRDefault="00DA2634" w:rsidP="00DA2634">
      <w:pPr>
        <w:pBdr>
          <w:bottom w:val="single" w:sz="4" w:space="1" w:color="1F3864" w:themeColor="accent1" w:themeShade="80"/>
        </w:pBdr>
        <w:spacing w:after="0" w:line="240" w:lineRule="auto"/>
        <w:jc w:val="both"/>
        <w:rPr>
          <w:rFonts w:ascii="Varela Round" w:hAnsi="Varela Round" w:cs="Varela Round"/>
          <w:sz w:val="20"/>
          <w:szCs w:val="20"/>
        </w:rPr>
      </w:pPr>
    </w:p>
    <w:p w:rsidR="00F91F75" w:rsidRDefault="00F91F75" w:rsidP="00DA2634">
      <w:pPr>
        <w:pBdr>
          <w:bottom w:val="single" w:sz="4" w:space="1" w:color="1F3864" w:themeColor="accent1" w:themeShade="80"/>
        </w:pBdr>
        <w:spacing w:after="0" w:line="240" w:lineRule="auto"/>
        <w:jc w:val="both"/>
        <w:rPr>
          <w:rFonts w:ascii="Varela Round" w:hAnsi="Varela Round" w:cs="Varela Round"/>
          <w:b/>
          <w:sz w:val="20"/>
          <w:szCs w:val="20"/>
        </w:rPr>
      </w:pPr>
      <w:r>
        <w:rPr>
          <w:rFonts w:ascii="Varela Round" w:hAnsi="Varela Round" w:cs="Varela Round"/>
          <w:sz w:val="20"/>
          <w:szCs w:val="20"/>
        </w:rPr>
        <w:t>Dodatkowo nasza ocena obejmuje ustalenie czy informacje zaprezentowane w Sprawozdaniu o wynagrodzeniach są zgodne, we wszystkich istotnych aspektach, ze stanem faktycznym, nie pomijają znaczących faktów oraz nie zawierają istotnych zniekształceń.</w:t>
      </w:r>
    </w:p>
    <w:p w:rsidR="00DA2634" w:rsidRDefault="00DA2634" w:rsidP="00DA2634">
      <w:pPr>
        <w:pBdr>
          <w:bottom w:val="single" w:sz="4" w:space="1" w:color="1F3864" w:themeColor="accent1" w:themeShade="80"/>
        </w:pBdr>
        <w:spacing w:after="0" w:line="240" w:lineRule="auto"/>
        <w:jc w:val="both"/>
        <w:rPr>
          <w:rFonts w:ascii="Varela Round" w:hAnsi="Varela Round" w:cs="Varela Round"/>
          <w:b/>
          <w:sz w:val="18"/>
          <w:szCs w:val="18"/>
        </w:rPr>
      </w:pPr>
    </w:p>
    <w:p w:rsidR="00F91F75" w:rsidRDefault="00F91F75" w:rsidP="00DA2634">
      <w:pPr>
        <w:pBdr>
          <w:bottom w:val="single" w:sz="4" w:space="1" w:color="1F3864" w:themeColor="accent1" w:themeShade="80"/>
        </w:pBdr>
        <w:spacing w:after="0" w:line="240" w:lineRule="auto"/>
        <w:jc w:val="both"/>
        <w:rPr>
          <w:rFonts w:ascii="Varela Round" w:hAnsi="Varela Round" w:cs="Varela Round"/>
          <w:b/>
          <w:sz w:val="18"/>
          <w:szCs w:val="18"/>
        </w:rPr>
      </w:pPr>
      <w:r>
        <w:rPr>
          <w:rFonts w:ascii="Varela Round" w:hAnsi="Varela Round" w:cs="Varela Round"/>
          <w:b/>
        </w:rPr>
        <w:t xml:space="preserve">ODPOWIEDZIALNOŚĆ CZŁONKÓW RADY NADZORCZEJ </w:t>
      </w:r>
    </w:p>
    <w:p w:rsidR="00F91F75" w:rsidRDefault="00F91F75" w:rsidP="00DA2634">
      <w:pPr>
        <w:spacing w:after="0" w:line="240" w:lineRule="auto"/>
        <w:jc w:val="both"/>
        <w:rPr>
          <w:rFonts w:ascii="Varela Round" w:hAnsi="Varela Round" w:cs="Varela Round"/>
          <w:sz w:val="20"/>
          <w:szCs w:val="20"/>
        </w:rPr>
      </w:pPr>
      <w:r>
        <w:rPr>
          <w:rFonts w:ascii="Varela Round" w:hAnsi="Varela Round" w:cs="Varela Round"/>
          <w:sz w:val="18"/>
          <w:szCs w:val="18"/>
        </w:rPr>
        <w:br/>
      </w:r>
      <w:r>
        <w:rPr>
          <w:rFonts w:ascii="Varela Round" w:hAnsi="Varela Round" w:cs="Varela Round"/>
          <w:sz w:val="20"/>
          <w:szCs w:val="20"/>
        </w:rPr>
        <w:t xml:space="preserve">Zgodnie z Ustawą o ofercie publicznej za sporządzenie Sprawozdania o wynagrodzeniach zgodnie z obowiązującymi przepisami prawa, w szczególności za jego kompletność i informacje w nim zawarte odpowiedzialni są Członkowie Rady Nadzorczej Spółki. </w:t>
      </w:r>
    </w:p>
    <w:p w:rsidR="00F91F75" w:rsidRDefault="00F91F75" w:rsidP="00DA2634">
      <w:pPr>
        <w:spacing w:after="0" w:line="240" w:lineRule="auto"/>
        <w:jc w:val="both"/>
        <w:rPr>
          <w:rFonts w:ascii="Varela Round" w:hAnsi="Varela Round" w:cs="Varela Round"/>
          <w:sz w:val="20"/>
          <w:szCs w:val="20"/>
        </w:rPr>
      </w:pPr>
    </w:p>
    <w:p w:rsidR="00F91F75" w:rsidRDefault="00F91F75" w:rsidP="00DA2634">
      <w:pPr>
        <w:spacing w:after="0" w:line="240" w:lineRule="auto"/>
        <w:jc w:val="both"/>
        <w:rPr>
          <w:rFonts w:ascii="Varela Round" w:hAnsi="Varela Round" w:cs="Varela Round"/>
          <w:sz w:val="20"/>
          <w:szCs w:val="20"/>
        </w:rPr>
      </w:pPr>
      <w:r>
        <w:rPr>
          <w:rFonts w:ascii="Varela Round" w:hAnsi="Varela Round" w:cs="Varela Round"/>
          <w:sz w:val="20"/>
          <w:szCs w:val="20"/>
        </w:rPr>
        <w:t>Odpowiedzialność Rady Nadzorczej Spółki obejmuje wybór i zastosowanie odpowiednich metod przygotowania danych finansowych i informacji niefinansowych oraz zaprojektowanie, wdrożenie i utrzymanie systemów i procesów kontroli wewnętrznej zapewniających sporządzenie Sprawozdania o wynagrodzeniach wolnego od istotnych zniekształceń spowodowanych oszustwem lub błędem oraz spełniając</w:t>
      </w:r>
      <w:r w:rsidR="00DA2634">
        <w:rPr>
          <w:rFonts w:ascii="Varela Round" w:hAnsi="Varela Round" w:cs="Varela Round"/>
          <w:sz w:val="20"/>
          <w:szCs w:val="20"/>
        </w:rPr>
        <w:t>ego mające zastosowanie wymogi.</w:t>
      </w:r>
    </w:p>
    <w:p w:rsidR="00F91F75" w:rsidRDefault="00F91F75" w:rsidP="00DA2634">
      <w:pPr>
        <w:pStyle w:val="Nagwek1"/>
        <w:pBdr>
          <w:bottom w:val="single" w:sz="4" w:space="1" w:color="1F3864" w:themeColor="accent1" w:themeShade="80"/>
        </w:pBdr>
        <w:spacing w:after="0" w:line="240" w:lineRule="auto"/>
        <w:ind w:left="0" w:firstLine="0"/>
        <w:jc w:val="both"/>
        <w:rPr>
          <w:rFonts w:ascii="Varela Round" w:hAnsi="Varela Round" w:cs="Varela Round"/>
          <w:b/>
          <w:i w:val="0"/>
          <w:color w:val="auto"/>
          <w:sz w:val="22"/>
        </w:rPr>
      </w:pPr>
      <w:r>
        <w:rPr>
          <w:rFonts w:ascii="Varela Round" w:hAnsi="Varela Round" w:cs="Varela Round"/>
          <w:b/>
          <w:i w:val="0"/>
          <w:color w:val="auto"/>
          <w:sz w:val="22"/>
        </w:rPr>
        <w:lastRenderedPageBreak/>
        <w:t>ODPOWIEDZIALNOŚĆ BIEGŁEGO REWIDENTA</w:t>
      </w:r>
    </w:p>
    <w:p w:rsidR="00F91F75" w:rsidRDefault="00F91F75" w:rsidP="00DA2634">
      <w:pPr>
        <w:spacing w:after="0" w:line="240" w:lineRule="auto"/>
        <w:jc w:val="both"/>
        <w:rPr>
          <w:rFonts w:ascii="Varela Round" w:eastAsiaTheme="minorEastAsia" w:hAnsi="Varela Round" w:cs="Varela Round"/>
          <w:sz w:val="20"/>
          <w:szCs w:val="20"/>
        </w:rPr>
      </w:pPr>
      <w:r>
        <w:rPr>
          <w:rFonts w:ascii="Varela Round" w:hAnsi="Varela Round" w:cs="Varela Round"/>
          <w:sz w:val="18"/>
          <w:szCs w:val="18"/>
        </w:rPr>
        <w:br/>
      </w:r>
      <w:r>
        <w:rPr>
          <w:rFonts w:ascii="Varela Round" w:eastAsiaTheme="minorEastAsia" w:hAnsi="Varela Round" w:cs="Varela Round"/>
          <w:sz w:val="20"/>
          <w:szCs w:val="20"/>
        </w:rPr>
        <w:t>Naszym celem była ocena kompletności informacji zamieszczonych w załączonym sprawozdaniu</w:t>
      </w:r>
      <w:r w:rsidR="00DA2634">
        <w:rPr>
          <w:rFonts w:ascii="Varela Round" w:eastAsiaTheme="minorEastAsia" w:hAnsi="Varela Round" w:cs="Varela Round"/>
          <w:sz w:val="20"/>
          <w:szCs w:val="20"/>
        </w:rPr>
        <w:t xml:space="preserve"> </w:t>
      </w:r>
      <w:r>
        <w:rPr>
          <w:rFonts w:ascii="Varela Round" w:eastAsiaTheme="minorEastAsia" w:hAnsi="Varela Round" w:cs="Varela Round"/>
          <w:sz w:val="20"/>
          <w:szCs w:val="20"/>
        </w:rPr>
        <w:t>o wynagrodzeniach względem kryterium określonym w sekcji „Identyfikacja kryteriów i opis</w:t>
      </w:r>
      <w:r w:rsidR="00DA2634">
        <w:rPr>
          <w:rFonts w:ascii="Varela Round" w:eastAsiaTheme="minorEastAsia" w:hAnsi="Varela Round" w:cs="Varela Round"/>
          <w:sz w:val="20"/>
          <w:szCs w:val="20"/>
        </w:rPr>
        <w:t xml:space="preserve"> </w:t>
      </w:r>
      <w:r>
        <w:rPr>
          <w:rFonts w:ascii="Varela Round" w:eastAsiaTheme="minorEastAsia" w:hAnsi="Varela Round" w:cs="Varela Round"/>
          <w:sz w:val="20"/>
          <w:szCs w:val="20"/>
        </w:rPr>
        <w:t>przedmiotu usługi” i wyrażenie na podstawie uzyskanych dowodów niezależnego wniosku z wykonanej usługi atestacyjnej dającej racjonalną pewność.</w:t>
      </w:r>
    </w:p>
    <w:p w:rsidR="00F91F75" w:rsidRDefault="00F91F75" w:rsidP="00DA2634">
      <w:pPr>
        <w:spacing w:after="0" w:line="240" w:lineRule="auto"/>
        <w:jc w:val="both"/>
        <w:rPr>
          <w:rFonts w:ascii="Varela Round" w:eastAsiaTheme="minorEastAsia" w:hAnsi="Varela Round" w:cs="Varela Round"/>
          <w:sz w:val="20"/>
          <w:szCs w:val="20"/>
        </w:rPr>
      </w:pPr>
    </w:p>
    <w:p w:rsidR="00F91F75" w:rsidRDefault="00F91F75" w:rsidP="00DA2634">
      <w:pPr>
        <w:spacing w:after="0" w:line="240" w:lineRule="auto"/>
        <w:jc w:val="both"/>
        <w:rPr>
          <w:rFonts w:ascii="Varela Round" w:eastAsiaTheme="minorEastAsia" w:hAnsi="Varela Round" w:cs="Varela Round"/>
          <w:sz w:val="20"/>
          <w:szCs w:val="20"/>
        </w:rPr>
      </w:pPr>
      <w:r>
        <w:rPr>
          <w:rFonts w:ascii="Varela Round" w:eastAsiaTheme="minorEastAsia" w:hAnsi="Varela Round" w:cs="Varela Round"/>
          <w:sz w:val="20"/>
          <w:szCs w:val="20"/>
        </w:rPr>
        <w:t xml:space="preserve">Nasze prace atestacyjne przeprowadziliśmy zgodnie z regulacjami Krajowego Standardu Usług Atestacyjnych Innych niż Badanie i Przegląd 3000 (Z) w brzmieniu Międzynarodowego Standardu Usług Atestacyjnych 3000 (zmienionego) – „Usługi atestacyjne inne niż badania lub przeglądy historycznych informacji finansowych”, przyjętego uchwałą nr 3436/52e/2019 Krajowej Rady Biegłych Rewidentów z dnia 8 kwietnia 2019 roku, z późniejszymi zmianami (dalej: „KSUA 3000 (Z)”). </w:t>
      </w:r>
    </w:p>
    <w:p w:rsidR="00F91F75" w:rsidRDefault="00F91F75" w:rsidP="00DA2634">
      <w:pPr>
        <w:spacing w:after="0" w:line="240" w:lineRule="auto"/>
        <w:jc w:val="both"/>
        <w:rPr>
          <w:rFonts w:ascii="Varela Round" w:eastAsiaTheme="minorEastAsia" w:hAnsi="Varela Round" w:cs="Varela Round"/>
          <w:sz w:val="20"/>
          <w:szCs w:val="20"/>
        </w:rPr>
      </w:pPr>
    </w:p>
    <w:p w:rsidR="00F91F75" w:rsidRDefault="00F91F75" w:rsidP="00DA2634">
      <w:pPr>
        <w:spacing w:after="0" w:line="240" w:lineRule="auto"/>
        <w:jc w:val="both"/>
        <w:rPr>
          <w:rFonts w:ascii="Varela Round" w:eastAsiaTheme="minorEastAsia" w:hAnsi="Varela Round" w:cs="Varela Round"/>
          <w:sz w:val="20"/>
          <w:szCs w:val="20"/>
        </w:rPr>
      </w:pPr>
      <w:r>
        <w:rPr>
          <w:rFonts w:ascii="Varela Round" w:eastAsiaTheme="minorEastAsia" w:hAnsi="Varela Round" w:cs="Varela Round"/>
          <w:sz w:val="20"/>
          <w:szCs w:val="20"/>
        </w:rPr>
        <w:t>Standard ten nakłada na biegłego rewidenta obowiązek zaplanowania i wykonania procedur</w:t>
      </w:r>
      <w:r w:rsidR="00DA2634">
        <w:rPr>
          <w:rFonts w:ascii="Varela Round" w:eastAsiaTheme="minorEastAsia" w:hAnsi="Varela Round" w:cs="Varela Round"/>
          <w:sz w:val="20"/>
          <w:szCs w:val="20"/>
        </w:rPr>
        <w:t xml:space="preserve"> </w:t>
      </w:r>
      <w:r>
        <w:rPr>
          <w:rFonts w:ascii="Varela Round" w:eastAsiaTheme="minorEastAsia" w:hAnsi="Varela Round" w:cs="Varela Round"/>
          <w:sz w:val="20"/>
          <w:szCs w:val="20"/>
        </w:rPr>
        <w:t xml:space="preserve">w taki sposób, aby uzyskać racjonalną pewność, że Sprawozdanie o </w:t>
      </w:r>
      <w:r w:rsidR="00DA2634">
        <w:rPr>
          <w:rFonts w:ascii="Varela Round" w:eastAsiaTheme="minorEastAsia" w:hAnsi="Varela Round" w:cs="Varela Round"/>
          <w:sz w:val="20"/>
          <w:szCs w:val="20"/>
        </w:rPr>
        <w:t>w</w:t>
      </w:r>
      <w:r>
        <w:rPr>
          <w:rFonts w:ascii="Varela Round" w:eastAsiaTheme="minorEastAsia" w:hAnsi="Varela Round" w:cs="Varela Round"/>
          <w:sz w:val="20"/>
          <w:szCs w:val="20"/>
        </w:rPr>
        <w:t>ynagrodzeniach zostało przygotowane kompletnie zgodnie z określonymi kryteriami.</w:t>
      </w:r>
    </w:p>
    <w:p w:rsidR="00F91F75" w:rsidRDefault="00F91F75" w:rsidP="00DA2634">
      <w:pPr>
        <w:spacing w:after="0" w:line="240" w:lineRule="auto"/>
        <w:jc w:val="both"/>
        <w:rPr>
          <w:rFonts w:ascii="Varela Round" w:hAnsi="Varela Round" w:cs="Varela Round"/>
          <w:sz w:val="18"/>
          <w:szCs w:val="18"/>
        </w:rPr>
      </w:pPr>
    </w:p>
    <w:p w:rsidR="00F91F75" w:rsidRDefault="00F91F75" w:rsidP="00DA2634">
      <w:pPr>
        <w:spacing w:after="0" w:line="240" w:lineRule="auto"/>
        <w:jc w:val="both"/>
        <w:rPr>
          <w:rFonts w:ascii="Varela Round" w:hAnsi="Varela Round" w:cs="Varela Round"/>
          <w:sz w:val="20"/>
          <w:szCs w:val="20"/>
        </w:rPr>
      </w:pPr>
      <w:r>
        <w:rPr>
          <w:rFonts w:ascii="Varela Round" w:hAnsi="Varela Round" w:cs="Varela Round"/>
          <w:sz w:val="20"/>
          <w:szCs w:val="20"/>
        </w:rPr>
        <w:t xml:space="preserve">Racjonalna pewność jest wysokim poziomem pewności, ale nie gwarantuje, że usługa przeprowadzona zgodnie z KSUA 3000 (Z) zawsze wykryje istniejące istotne zniekształcenie. </w:t>
      </w:r>
    </w:p>
    <w:p w:rsidR="00F91F75" w:rsidRDefault="00F91F75" w:rsidP="00DA2634">
      <w:pPr>
        <w:spacing w:after="0" w:line="240" w:lineRule="auto"/>
        <w:jc w:val="both"/>
        <w:rPr>
          <w:rFonts w:ascii="Varela Round" w:hAnsi="Varela Round" w:cs="Varela Round"/>
          <w:sz w:val="20"/>
          <w:szCs w:val="20"/>
        </w:rPr>
      </w:pPr>
    </w:p>
    <w:p w:rsidR="00F91F75" w:rsidRDefault="00F91F75" w:rsidP="00DA2634">
      <w:pPr>
        <w:spacing w:after="0" w:line="240" w:lineRule="auto"/>
        <w:jc w:val="both"/>
        <w:rPr>
          <w:rFonts w:ascii="Varela Round" w:hAnsi="Varela Round" w:cs="Varela Round"/>
          <w:sz w:val="20"/>
          <w:szCs w:val="20"/>
        </w:rPr>
      </w:pPr>
      <w:r>
        <w:rPr>
          <w:rFonts w:ascii="Varela Round" w:hAnsi="Varela Round" w:cs="Varela Round"/>
          <w:sz w:val="20"/>
          <w:szCs w:val="20"/>
        </w:rPr>
        <w:t>Wybór procedur zależy od osądu biegłego rewidenta, w tym od jego oszacowania ryzyka wystąpienia istotnych zniekształceń spowodowanych oszustwem lub błędem. Przeprowadzając oszacowanie tego ryzyka biegły rewident bierze pod uwagę kontrolę wewnętrzną związaną ze sporządzeniem kompletnego sprawozdania w celu zaplanowania stosownych procedur, które mają zapewnić biegłemu rewidentowi wystarczające i odpowiednie do okoliczności dowody. Ocena funkcjonowania systemu kontroli wewnętrznej nie została przeprowadzona w celu wyrażenia wniosku na temat skuteczności jej działania.</w:t>
      </w:r>
    </w:p>
    <w:p w:rsidR="00F91F75" w:rsidRDefault="00F91F75" w:rsidP="00DA2634">
      <w:pPr>
        <w:spacing w:after="0" w:line="240" w:lineRule="auto"/>
        <w:jc w:val="both"/>
        <w:rPr>
          <w:rFonts w:ascii="Varela Round" w:hAnsi="Varela Round" w:cs="Varela Round"/>
          <w:sz w:val="20"/>
          <w:szCs w:val="20"/>
        </w:rPr>
      </w:pPr>
    </w:p>
    <w:p w:rsidR="00F91F75" w:rsidRDefault="00F91F75" w:rsidP="00DA2634">
      <w:pPr>
        <w:pBdr>
          <w:bottom w:val="single" w:sz="4" w:space="1" w:color="1F3864" w:themeColor="accent1" w:themeShade="80"/>
        </w:pBdr>
        <w:spacing w:after="0" w:line="240" w:lineRule="auto"/>
        <w:jc w:val="both"/>
        <w:rPr>
          <w:rFonts w:ascii="Varela Round" w:hAnsi="Varela Round" w:cs="Varela Round"/>
          <w:bCs/>
          <w:iCs/>
        </w:rPr>
      </w:pPr>
      <w:r>
        <w:rPr>
          <w:rFonts w:ascii="Varela Round" w:hAnsi="Varela Round" w:cs="Varela Round"/>
          <w:b/>
        </w:rPr>
        <w:t>WYMOGI ETYCZNE, W TYM NIEZALEŻNOŚĆ</w:t>
      </w:r>
    </w:p>
    <w:p w:rsidR="00F91F75" w:rsidRDefault="00F91F75" w:rsidP="00DA2634">
      <w:pPr>
        <w:spacing w:after="0" w:line="240" w:lineRule="auto"/>
        <w:jc w:val="both"/>
        <w:rPr>
          <w:rFonts w:ascii="Varela Round" w:hAnsi="Varela Round" w:cs="Varela Round"/>
          <w:sz w:val="20"/>
          <w:szCs w:val="20"/>
        </w:rPr>
      </w:pPr>
      <w:r>
        <w:rPr>
          <w:rFonts w:ascii="Varela Round" w:hAnsi="Varela Round" w:cs="Varela Round"/>
          <w:sz w:val="18"/>
          <w:szCs w:val="18"/>
        </w:rPr>
        <w:br/>
      </w:r>
      <w:r>
        <w:rPr>
          <w:rFonts w:ascii="Varela Round" w:hAnsi="Varela Round" w:cs="Varela Round"/>
          <w:sz w:val="20"/>
          <w:szCs w:val="20"/>
        </w:rPr>
        <w:t>Przeprowadzając usługę atestacyjną biegły rewident i firma audytorska przestrzegali wymogów niezależności i innych wymogów etycznych określonych w Międzynarodowym kodeksie etyki zawodowych księgowych (w tym w Międzynarodowych standardach niezależności) Rady Międzynarodowych Standardów Etycznych dla Księgowych, przyjętym uchwałą Krajowej Rady Biegłych Rewidentów nr 3431/52a/2019 z dnia 25 marca 2019 roku w sprawie zasad etyki zawodowej biegłych rewidentów (dalej kodeks IESBA). Kodeks IESBA oparty jest na podstawowych zasadach dotyczących uczciwości, obiek</w:t>
      </w:r>
      <w:r w:rsidR="00DA2634">
        <w:rPr>
          <w:rFonts w:ascii="Varela Round" w:hAnsi="Varela Round" w:cs="Varela Round"/>
          <w:sz w:val="20"/>
          <w:szCs w:val="20"/>
        </w:rPr>
        <w:t xml:space="preserve">tywizmu, zawodowych kompetencji </w:t>
      </w:r>
      <w:r>
        <w:rPr>
          <w:rFonts w:ascii="Varela Round" w:hAnsi="Varela Round" w:cs="Varela Round"/>
          <w:sz w:val="20"/>
          <w:szCs w:val="20"/>
        </w:rPr>
        <w:t>i należytej staranności, zachowania poufności oraz profesjonalnego postępowania. Przestrzegaliśmy również innych wymogów niezależności i etyki, które mają zastosowanie dla niniejszej usługi atestacyjnej w Polsce.</w:t>
      </w:r>
    </w:p>
    <w:p w:rsidR="00F91F75" w:rsidRDefault="00F91F75" w:rsidP="00DA2634">
      <w:pPr>
        <w:spacing w:after="0" w:line="240" w:lineRule="auto"/>
        <w:rPr>
          <w:rFonts w:ascii="Varela Round" w:hAnsi="Varela Round" w:cs="Varela Round"/>
          <w:sz w:val="18"/>
          <w:szCs w:val="18"/>
        </w:rPr>
      </w:pPr>
    </w:p>
    <w:p w:rsidR="00F91F75" w:rsidRDefault="00F91F75" w:rsidP="00DA2634">
      <w:pPr>
        <w:pBdr>
          <w:bottom w:val="single" w:sz="4" w:space="1" w:color="1F3864" w:themeColor="accent1" w:themeShade="80"/>
        </w:pBdr>
        <w:spacing w:after="0" w:line="240" w:lineRule="auto"/>
        <w:jc w:val="both"/>
        <w:rPr>
          <w:rFonts w:ascii="Varela Round" w:hAnsi="Varela Round" w:cs="Varela Round"/>
          <w:b/>
        </w:rPr>
      </w:pPr>
      <w:r>
        <w:rPr>
          <w:rFonts w:ascii="Varela Round" w:hAnsi="Varela Round" w:cs="Varela Round"/>
          <w:b/>
        </w:rPr>
        <w:t>WYMOGI KONTROLI JAKOŚCI</w:t>
      </w:r>
    </w:p>
    <w:p w:rsidR="00F91F75" w:rsidRDefault="00F91F75" w:rsidP="00DA2634">
      <w:pPr>
        <w:spacing w:after="0" w:line="240" w:lineRule="auto"/>
        <w:jc w:val="both"/>
        <w:rPr>
          <w:rFonts w:ascii="Varela Round" w:hAnsi="Varela Round" w:cs="Varela Round"/>
          <w:sz w:val="20"/>
          <w:szCs w:val="20"/>
        </w:rPr>
      </w:pPr>
      <w:r>
        <w:rPr>
          <w:rFonts w:ascii="Varela Round" w:hAnsi="Varela Round" w:cs="Varela Round"/>
          <w:sz w:val="18"/>
          <w:szCs w:val="18"/>
        </w:rPr>
        <w:br/>
      </w:r>
      <w:r>
        <w:rPr>
          <w:rFonts w:ascii="Varela Round" w:hAnsi="Varela Round" w:cs="Varela Round"/>
          <w:sz w:val="20"/>
          <w:szCs w:val="20"/>
        </w:rPr>
        <w:t>Firma audytorska stosuje Krajowe Standardy Kontroli Jakości w brzmieniu Międzynarodowego Standardu Kontroli Jakości 1 - „Kontrola jakości firm przeprowadzających badania i przeglądy sprawozdań finansowych oraz wykonujących inne zlecenia usług atestacyjnych i pokrewnych” przyjęte uchwałą nr 2040/37a/2018 Krajowej Rady Biegłych Rewidentów z dnia 3 marca 2018 roku, z późniejszymi zmianami (dalej KSKJ).</w:t>
      </w:r>
    </w:p>
    <w:p w:rsidR="00F91F75" w:rsidRDefault="00F91F75" w:rsidP="00DA2634">
      <w:pPr>
        <w:spacing w:after="0" w:line="240" w:lineRule="auto"/>
        <w:jc w:val="both"/>
        <w:rPr>
          <w:rFonts w:ascii="Varela Round" w:hAnsi="Varela Round" w:cs="Varela Round"/>
          <w:sz w:val="20"/>
          <w:szCs w:val="20"/>
        </w:rPr>
      </w:pPr>
      <w:r>
        <w:rPr>
          <w:rFonts w:ascii="Varela Round" w:hAnsi="Varela Round" w:cs="Varela Round"/>
          <w:sz w:val="20"/>
          <w:szCs w:val="20"/>
        </w:rPr>
        <w:t>Zgodnie z wymogami KSKJ firma audytorska utrzymuje kompleksowy system kontroli jakości obejmujący udokumentowane polityki i procedury odnośnie zgodności z wymogami etycznymi, standardami zawodowymi oraz mającymi zastosowanie wymogami prawnymi i regulacyjnymi.</w:t>
      </w:r>
    </w:p>
    <w:p w:rsidR="00DA2634" w:rsidRDefault="00DA2634" w:rsidP="00DA2634">
      <w:pPr>
        <w:spacing w:after="0" w:line="240" w:lineRule="auto"/>
        <w:jc w:val="both"/>
        <w:rPr>
          <w:rFonts w:ascii="Varela Round" w:hAnsi="Varela Round" w:cs="Varela Round"/>
          <w:sz w:val="20"/>
          <w:szCs w:val="20"/>
        </w:rPr>
      </w:pPr>
    </w:p>
    <w:p w:rsidR="00F91F75" w:rsidRDefault="00F91F75" w:rsidP="00DA2634">
      <w:pPr>
        <w:pStyle w:val="Nagwek1"/>
        <w:pBdr>
          <w:bottom w:val="single" w:sz="4" w:space="1" w:color="1F3864" w:themeColor="accent1" w:themeShade="80"/>
        </w:pBdr>
        <w:spacing w:after="0" w:line="240" w:lineRule="auto"/>
        <w:ind w:left="0" w:firstLine="0"/>
        <w:jc w:val="both"/>
        <w:rPr>
          <w:rFonts w:ascii="Varela Round" w:hAnsi="Varela Round" w:cs="Varela Round"/>
          <w:b/>
          <w:i w:val="0"/>
          <w:color w:val="auto"/>
          <w:sz w:val="22"/>
        </w:rPr>
      </w:pPr>
      <w:r>
        <w:rPr>
          <w:rFonts w:ascii="Varela Round" w:hAnsi="Varela Round" w:cs="Varela Round"/>
          <w:b/>
          <w:i w:val="0"/>
          <w:color w:val="auto"/>
          <w:sz w:val="22"/>
        </w:rPr>
        <w:t xml:space="preserve">PODSUMOWANIE WYKONANYCH PRAC ORAZ OGRANICZENIA NASZYCH PROCEDUR  </w:t>
      </w:r>
    </w:p>
    <w:p w:rsidR="00F91F75" w:rsidRDefault="00F91F75" w:rsidP="00DA2634">
      <w:pPr>
        <w:spacing w:after="0" w:line="240" w:lineRule="auto"/>
        <w:jc w:val="both"/>
        <w:rPr>
          <w:rFonts w:ascii="Varela Round" w:hAnsi="Varela Round" w:cs="Varela Round"/>
          <w:sz w:val="20"/>
          <w:szCs w:val="20"/>
        </w:rPr>
      </w:pPr>
      <w:r>
        <w:rPr>
          <w:rFonts w:ascii="Varela Round" w:hAnsi="Varela Round" w:cs="Varela Round"/>
          <w:sz w:val="18"/>
          <w:szCs w:val="18"/>
        </w:rPr>
        <w:br/>
      </w:r>
      <w:r>
        <w:rPr>
          <w:rFonts w:ascii="Varela Round" w:hAnsi="Varela Round" w:cs="Varela Round"/>
          <w:sz w:val="20"/>
          <w:szCs w:val="20"/>
        </w:rPr>
        <w:t xml:space="preserve">Zaplanowane i przeprowadzone przez nas procedury obejmowały w szczególności: </w:t>
      </w:r>
    </w:p>
    <w:p w:rsidR="00F91F75" w:rsidRDefault="00F91F75" w:rsidP="00DA2634">
      <w:pPr>
        <w:pStyle w:val="Akapitzlist"/>
        <w:numPr>
          <w:ilvl w:val="0"/>
          <w:numId w:val="1"/>
        </w:numPr>
        <w:spacing w:after="0" w:line="240" w:lineRule="auto"/>
        <w:ind w:left="426" w:hanging="426"/>
        <w:rPr>
          <w:rFonts w:ascii="Varela Round" w:hAnsi="Varela Round" w:cs="Varela Round"/>
          <w:color w:val="auto"/>
          <w:sz w:val="20"/>
          <w:szCs w:val="20"/>
        </w:rPr>
      </w:pPr>
      <w:r>
        <w:rPr>
          <w:rFonts w:ascii="Varela Round" w:hAnsi="Varela Round" w:cs="Varela Round"/>
          <w:color w:val="auto"/>
          <w:sz w:val="20"/>
          <w:szCs w:val="20"/>
        </w:rPr>
        <w:t xml:space="preserve">zapoznanie się z treścią Sprawozdania o wynagrodzeniach i porównanie zawartych w nim informacji do mających zastosowanie wymogów; </w:t>
      </w:r>
    </w:p>
    <w:p w:rsidR="00F91F75" w:rsidRDefault="00F91F75" w:rsidP="00DA2634">
      <w:pPr>
        <w:pStyle w:val="Akapitzlist"/>
        <w:numPr>
          <w:ilvl w:val="0"/>
          <w:numId w:val="1"/>
        </w:numPr>
        <w:spacing w:after="0" w:line="240" w:lineRule="auto"/>
        <w:ind w:left="426" w:hanging="426"/>
        <w:rPr>
          <w:rFonts w:ascii="Varela Round" w:hAnsi="Varela Round" w:cs="Varela Round"/>
          <w:color w:val="auto"/>
          <w:sz w:val="20"/>
          <w:szCs w:val="20"/>
        </w:rPr>
      </w:pPr>
      <w:r>
        <w:rPr>
          <w:rFonts w:ascii="Varela Round" w:hAnsi="Varela Round" w:cs="Varela Round"/>
          <w:color w:val="auto"/>
          <w:sz w:val="20"/>
          <w:szCs w:val="20"/>
        </w:rPr>
        <w:t>zapoznanie się z uchwałami Walnego Zgromadzenia Spółki dotyczącymi polityki wynagrodzeń Członków Zarządu i Rady Nadzorczej oraz uszczegóławiającymi je uchwałami Rady Nadzorczej oraz tam, gdzie uznaliśmy to za stosowne, z innymi dokumentami regulującymi kwestie wynagrodzeń objętych wymogiem ujawnień w Sprawozdaniu o wynagrodzeniach;</w:t>
      </w:r>
    </w:p>
    <w:p w:rsidR="00F91F75" w:rsidRDefault="00F91F75" w:rsidP="00DA2634">
      <w:pPr>
        <w:pStyle w:val="Akapitzlist"/>
        <w:numPr>
          <w:ilvl w:val="0"/>
          <w:numId w:val="1"/>
        </w:numPr>
        <w:spacing w:after="0" w:line="240" w:lineRule="auto"/>
        <w:ind w:left="426" w:hanging="426"/>
        <w:rPr>
          <w:rFonts w:ascii="Varela Round" w:hAnsi="Varela Round" w:cs="Varela Round"/>
          <w:color w:val="auto"/>
          <w:sz w:val="20"/>
          <w:szCs w:val="20"/>
        </w:rPr>
      </w:pPr>
      <w:r>
        <w:rPr>
          <w:rFonts w:ascii="Varela Round" w:hAnsi="Varela Round" w:cs="Varela Round"/>
          <w:color w:val="auto"/>
          <w:sz w:val="20"/>
          <w:szCs w:val="20"/>
        </w:rPr>
        <w:t>zrozumienie procedur przyjętych przez Radę Nadzorczą, w celu sporządzenia Sprawozdania o wynagrodzeniach, w tym zrozumienie odnośnych procedur kontroli wewnętrznej w stopniu w jakim niezbędne jest to do oceny ryzyka wystąpienia istotnych zniekształceń lub pominięcia znaczących informacji;</w:t>
      </w:r>
    </w:p>
    <w:p w:rsidR="00F91F75" w:rsidRDefault="00F91F75" w:rsidP="00DA2634">
      <w:pPr>
        <w:pStyle w:val="Akapitzlist"/>
        <w:numPr>
          <w:ilvl w:val="0"/>
          <w:numId w:val="1"/>
        </w:numPr>
        <w:spacing w:after="0" w:line="240" w:lineRule="auto"/>
        <w:ind w:left="426" w:hanging="426"/>
        <w:rPr>
          <w:rFonts w:ascii="Varela Round" w:hAnsi="Varela Round" w:cs="Varela Round"/>
          <w:color w:val="auto"/>
          <w:sz w:val="20"/>
          <w:szCs w:val="20"/>
        </w:rPr>
      </w:pPr>
      <w:r>
        <w:rPr>
          <w:rFonts w:ascii="Varela Round" w:hAnsi="Varela Round" w:cs="Varela Round"/>
          <w:color w:val="auto"/>
          <w:sz w:val="20"/>
          <w:szCs w:val="20"/>
        </w:rPr>
        <w:t>ustalenie, poprzez porównanie do dokumentów korporacyjnych, listy osób odnośnie do których istnieje wymóg zamieszczania informacji w Sprawozdaniu o wynagrodzeniach i ustalenie, poprzez zapytania osób odpowiedzialnych za przygotowanie tego sprawozdania, a tam, gdzie uznaliśmy to za stosowne, również bezpośrednio osób których dotyczy wymóg zamieszczenia informacji, czy wszystkie informacje przewidziane kryteriami dotyczącymi sporządzenia Sprawozdania o wynagrodzeniach zostały ujawnione;</w:t>
      </w:r>
    </w:p>
    <w:p w:rsidR="00F91F75" w:rsidRDefault="00F91F75" w:rsidP="00DA2634">
      <w:pPr>
        <w:pStyle w:val="Akapitzlist"/>
        <w:numPr>
          <w:ilvl w:val="0"/>
          <w:numId w:val="1"/>
        </w:numPr>
        <w:spacing w:after="0" w:line="240" w:lineRule="auto"/>
        <w:ind w:left="426" w:hanging="426"/>
        <w:rPr>
          <w:rFonts w:ascii="Varela Round" w:hAnsi="Varela Round" w:cs="Varela Round"/>
          <w:color w:val="auto"/>
          <w:sz w:val="20"/>
          <w:szCs w:val="20"/>
        </w:rPr>
      </w:pPr>
      <w:r>
        <w:rPr>
          <w:rFonts w:ascii="Varela Round" w:hAnsi="Varela Round" w:cs="Varela Round"/>
          <w:color w:val="auto"/>
          <w:sz w:val="20"/>
          <w:szCs w:val="20"/>
        </w:rPr>
        <w:t>uzgodnienie danych finansowych o wynagrodzeniach przedstawionych w Sprawozdaniu o wynagrodzeniach do ksiąg rachunkowych Spółki, a tam gdzie uznaliśmy to za stosowne, do innych właściwych dokumentów źródłowych;</w:t>
      </w:r>
    </w:p>
    <w:p w:rsidR="00F91F75" w:rsidRDefault="00F91F75" w:rsidP="00DA2634">
      <w:pPr>
        <w:pStyle w:val="Akapitzlist"/>
        <w:numPr>
          <w:ilvl w:val="0"/>
          <w:numId w:val="1"/>
        </w:numPr>
        <w:spacing w:after="0" w:line="240" w:lineRule="auto"/>
        <w:ind w:left="426" w:hanging="426"/>
        <w:rPr>
          <w:rFonts w:ascii="Varela Round" w:hAnsi="Varela Round" w:cs="Varela Round"/>
          <w:color w:val="auto"/>
          <w:sz w:val="20"/>
          <w:szCs w:val="20"/>
        </w:rPr>
      </w:pPr>
      <w:r>
        <w:rPr>
          <w:rFonts w:ascii="Varela Round" w:hAnsi="Varela Round" w:cs="Varela Round"/>
          <w:color w:val="auto"/>
          <w:sz w:val="20"/>
          <w:szCs w:val="20"/>
        </w:rPr>
        <w:t xml:space="preserve">uzgodnienie z odpowiednimi dokumentami źródłowymi, czy informacje niefinansowe wymagane do ujawnienia w Sprawozdaniu o wynagrodzeniach znajdują poparcie w tych dokumentach źródłowych i nie pomijają istotnych faktów. </w:t>
      </w:r>
    </w:p>
    <w:p w:rsidR="00F91F75" w:rsidRDefault="00F91F75" w:rsidP="00DA2634">
      <w:pPr>
        <w:spacing w:after="0" w:line="240" w:lineRule="auto"/>
        <w:ind w:left="426" w:hanging="426"/>
        <w:jc w:val="both"/>
        <w:rPr>
          <w:rFonts w:ascii="Varela Round" w:hAnsi="Varela Round" w:cs="Varela Round"/>
          <w:sz w:val="18"/>
          <w:szCs w:val="18"/>
        </w:rPr>
      </w:pPr>
    </w:p>
    <w:p w:rsidR="00F91F75" w:rsidRDefault="00F91F75" w:rsidP="00DA2634">
      <w:pPr>
        <w:spacing w:after="0" w:line="240" w:lineRule="auto"/>
        <w:jc w:val="both"/>
        <w:rPr>
          <w:rFonts w:ascii="Varela Round" w:hAnsi="Varela Round" w:cs="Varela Round"/>
          <w:sz w:val="20"/>
          <w:szCs w:val="20"/>
        </w:rPr>
      </w:pPr>
      <w:r>
        <w:rPr>
          <w:rFonts w:ascii="Varela Round" w:hAnsi="Varela Round" w:cs="Varela Round"/>
          <w:sz w:val="20"/>
          <w:szCs w:val="20"/>
        </w:rPr>
        <w:t>Nasze procedury miały wyłącznie na celu uzyskanie dowodów, że informacje zamieszczone przez Radę Nadzorczą w sprawozdaniu o wynagrodzeniach pod kątem ich kompletności są zgodne z mającymi zastosowanie wymogami. Celem naszych prac nie była ocena wystarczalności informacji umieszczonych w Sprawozdaniu o wynagrodzeniach pod kątem celu przygotowania Sprawozdania o wynagrodzeniach ani ocena poprawności i rzetelności informacji w nim zawartych, w szczególności co do ujawnionych kwot, w tym dokonanych za poprzednie lata szacunków, liczb, dat, ujęcia w podziale, sposobów alokacji, zgodności z</w:t>
      </w:r>
      <w:r w:rsidR="00DA2634">
        <w:rPr>
          <w:rFonts w:ascii="Varela Round" w:hAnsi="Varela Round" w:cs="Varela Round"/>
          <w:sz w:val="20"/>
          <w:szCs w:val="20"/>
        </w:rPr>
        <w:t xml:space="preserve"> przyjętą polityką wynagrodzeń.</w:t>
      </w:r>
    </w:p>
    <w:p w:rsidR="00DA2634" w:rsidRDefault="00DA2634" w:rsidP="00DA2634">
      <w:pPr>
        <w:spacing w:after="0" w:line="240" w:lineRule="auto"/>
        <w:jc w:val="both"/>
        <w:rPr>
          <w:rFonts w:ascii="Varela Round" w:hAnsi="Varela Round" w:cs="Varela Round"/>
          <w:sz w:val="20"/>
          <w:szCs w:val="20"/>
        </w:rPr>
      </w:pPr>
    </w:p>
    <w:p w:rsidR="00F91F75" w:rsidRDefault="00F91F75" w:rsidP="00DA2634">
      <w:pPr>
        <w:spacing w:after="0" w:line="240" w:lineRule="auto"/>
        <w:jc w:val="both"/>
        <w:rPr>
          <w:rFonts w:ascii="Varela Round" w:hAnsi="Varela Round" w:cs="Varela Round"/>
          <w:sz w:val="20"/>
          <w:szCs w:val="20"/>
        </w:rPr>
      </w:pPr>
      <w:r>
        <w:rPr>
          <w:rFonts w:ascii="Varela Round" w:hAnsi="Varela Round" w:cs="Varela Round"/>
          <w:sz w:val="20"/>
          <w:szCs w:val="20"/>
        </w:rPr>
        <w:t>Sprawozdanie o wynagrodzeniach nie podlegało badaniu w rozumieniu Krajowych Standardów Badania. W trakcie wykonanych procedur atestacyjnych nie przeprowadziliśmy badania ani przeglądu informacji wykorzystanych do sporządzenia sprawozdania o wynagrodzeniach i dlatego nie przyjmujemy odpowiedzialności za wydanie lub aktualizację jakichkolwiek raportów lub opinii o historycznych informacjach finansowych Spółki.</w:t>
      </w:r>
    </w:p>
    <w:p w:rsidR="00F91F75" w:rsidRDefault="00F91F75" w:rsidP="00DA2634">
      <w:pPr>
        <w:spacing w:after="0" w:line="240" w:lineRule="auto"/>
        <w:jc w:val="both"/>
        <w:rPr>
          <w:rFonts w:ascii="Varela Round" w:hAnsi="Varela Round" w:cs="Varela Round"/>
          <w:sz w:val="20"/>
          <w:szCs w:val="20"/>
        </w:rPr>
      </w:pPr>
    </w:p>
    <w:p w:rsidR="00F91F75" w:rsidRDefault="00F91F75" w:rsidP="00DA2634">
      <w:pPr>
        <w:spacing w:after="0" w:line="240" w:lineRule="auto"/>
        <w:jc w:val="both"/>
        <w:rPr>
          <w:rFonts w:ascii="Varela Round" w:hAnsi="Varela Round" w:cs="Varela Round"/>
          <w:sz w:val="20"/>
          <w:szCs w:val="20"/>
        </w:rPr>
      </w:pPr>
      <w:r>
        <w:rPr>
          <w:rFonts w:ascii="Varela Round" w:hAnsi="Varela Round" w:cs="Varela Round"/>
          <w:sz w:val="20"/>
          <w:szCs w:val="20"/>
        </w:rPr>
        <w:t>Uważamy, że uzyskane przez nas dowody stanowią wystarczającą i odpowiednią podstawę do wyrażenia przez nas poniższego wniosku.</w:t>
      </w:r>
    </w:p>
    <w:p w:rsidR="00F91F75" w:rsidRDefault="00F91F75" w:rsidP="00DA2634">
      <w:pPr>
        <w:spacing w:after="0" w:line="240" w:lineRule="auto"/>
        <w:jc w:val="both"/>
        <w:rPr>
          <w:rFonts w:ascii="Varela Round" w:hAnsi="Varela Round" w:cs="Varela Round"/>
          <w:sz w:val="18"/>
          <w:szCs w:val="18"/>
        </w:rPr>
      </w:pPr>
    </w:p>
    <w:p w:rsidR="00F91F75" w:rsidRDefault="00F91F75" w:rsidP="00DA2634">
      <w:pPr>
        <w:pBdr>
          <w:bottom w:val="single" w:sz="4" w:space="1" w:color="1F3864" w:themeColor="accent1" w:themeShade="80"/>
        </w:pBdr>
        <w:spacing w:after="0" w:line="240" w:lineRule="auto"/>
        <w:jc w:val="both"/>
        <w:rPr>
          <w:rFonts w:ascii="Varela Round" w:hAnsi="Varela Round" w:cs="Varela Round"/>
          <w:b/>
        </w:rPr>
      </w:pPr>
      <w:r>
        <w:rPr>
          <w:rFonts w:ascii="Varela Round" w:hAnsi="Varela Round" w:cs="Varela Round"/>
          <w:b/>
          <w:bCs/>
        </w:rPr>
        <w:t>WNIOSEK</w:t>
      </w:r>
    </w:p>
    <w:p w:rsidR="00F91F75" w:rsidRDefault="00F91F75" w:rsidP="00DA2634">
      <w:pPr>
        <w:spacing w:after="0" w:line="240" w:lineRule="auto"/>
        <w:jc w:val="both"/>
        <w:rPr>
          <w:rFonts w:ascii="Varela Round" w:hAnsi="Varela Round" w:cs="Varela Round"/>
          <w:sz w:val="20"/>
          <w:szCs w:val="20"/>
        </w:rPr>
      </w:pPr>
      <w:r>
        <w:rPr>
          <w:rFonts w:ascii="Varela Round" w:hAnsi="Varela Round" w:cs="Varela Round"/>
          <w:sz w:val="18"/>
          <w:szCs w:val="18"/>
        </w:rPr>
        <w:br/>
      </w:r>
      <w:r>
        <w:rPr>
          <w:rFonts w:ascii="Varela Round" w:hAnsi="Varela Round" w:cs="Varela Round"/>
          <w:sz w:val="20"/>
          <w:szCs w:val="20"/>
        </w:rPr>
        <w:t xml:space="preserve">Podstawę sformułowania wniosku biegłego rewidenta stanowią kwestie opisane powyżej, dlatego wniosek powinien być czytany z uwzględnieniem tych kwestii. </w:t>
      </w:r>
    </w:p>
    <w:p w:rsidR="00F91F75" w:rsidRDefault="00F91F75" w:rsidP="00DA2634">
      <w:pPr>
        <w:spacing w:after="0" w:line="240" w:lineRule="auto"/>
        <w:jc w:val="both"/>
        <w:rPr>
          <w:rFonts w:ascii="Varela Round" w:hAnsi="Varela Round" w:cs="Varela Round"/>
          <w:sz w:val="20"/>
          <w:szCs w:val="20"/>
        </w:rPr>
      </w:pPr>
      <w:r>
        <w:rPr>
          <w:rFonts w:ascii="Varela Round" w:hAnsi="Varela Round" w:cs="Varela Round"/>
          <w:sz w:val="20"/>
          <w:szCs w:val="20"/>
        </w:rPr>
        <w:t>Naszym zdaniem załączone Sprawozdanie o wynagrodzeniach, we wszystkich istotnych aspektach, zawiera wszystkie elementy wymienione w art. 90g ust. 1 - 5 oraz 8 Ustawy o ofercie publicznej.</w:t>
      </w:r>
    </w:p>
    <w:p w:rsidR="00DA2634" w:rsidRDefault="00DA2634">
      <w:pPr>
        <w:spacing w:line="259" w:lineRule="auto"/>
        <w:rPr>
          <w:rFonts w:ascii="Varela Round" w:hAnsi="Varela Round" w:cs="Varela Round"/>
          <w:b/>
          <w:bCs/>
        </w:rPr>
      </w:pPr>
      <w:r>
        <w:rPr>
          <w:rFonts w:ascii="Varela Round" w:hAnsi="Varela Round" w:cs="Varela Round"/>
          <w:b/>
          <w:bCs/>
        </w:rPr>
        <w:br w:type="page"/>
      </w:r>
    </w:p>
    <w:p w:rsidR="00F91F75" w:rsidRDefault="00F91F75" w:rsidP="00DA2634">
      <w:pPr>
        <w:pBdr>
          <w:bottom w:val="single" w:sz="4" w:space="1" w:color="1F3864" w:themeColor="accent1" w:themeShade="80"/>
        </w:pBdr>
        <w:spacing w:after="0" w:line="240" w:lineRule="auto"/>
        <w:jc w:val="both"/>
        <w:rPr>
          <w:rFonts w:ascii="Varela Round" w:hAnsi="Varela Round" w:cs="Varela Round"/>
          <w:b/>
          <w:bCs/>
        </w:rPr>
      </w:pPr>
      <w:r>
        <w:rPr>
          <w:rFonts w:ascii="Varela Round" w:hAnsi="Varela Round" w:cs="Varela Round"/>
          <w:b/>
          <w:bCs/>
        </w:rPr>
        <w:lastRenderedPageBreak/>
        <w:br/>
        <w:t xml:space="preserve">OGRANICZENIA ZASTOSOWANIA </w:t>
      </w:r>
    </w:p>
    <w:p w:rsidR="00F91F75" w:rsidRDefault="00F91F75" w:rsidP="00DA2634">
      <w:pPr>
        <w:spacing w:after="0" w:line="240" w:lineRule="auto"/>
        <w:jc w:val="both"/>
        <w:rPr>
          <w:rFonts w:ascii="Varela Round" w:hAnsi="Varela Round" w:cs="Varela Round"/>
          <w:sz w:val="18"/>
          <w:szCs w:val="18"/>
        </w:rPr>
      </w:pPr>
    </w:p>
    <w:p w:rsidR="00F91F75" w:rsidRDefault="00F91F75" w:rsidP="00DA2634">
      <w:pPr>
        <w:spacing w:after="0" w:line="240" w:lineRule="auto"/>
        <w:jc w:val="both"/>
        <w:rPr>
          <w:rFonts w:ascii="Varela Round" w:hAnsi="Varela Round" w:cs="Varela Round"/>
          <w:sz w:val="20"/>
          <w:szCs w:val="20"/>
        </w:rPr>
      </w:pPr>
      <w:r>
        <w:rPr>
          <w:rFonts w:ascii="Varela Round" w:hAnsi="Varela Round" w:cs="Varela Round"/>
          <w:sz w:val="20"/>
          <w:szCs w:val="20"/>
        </w:rPr>
        <w:t xml:space="preserve">Niniejszy raport został sporządzony przez Trustway Audit sp. z o.o. dla Walnego Zgromadzenia Akcjonariuszy i Rady Nadzorczej ULMA </w:t>
      </w:r>
      <w:proofErr w:type="spellStart"/>
      <w:r>
        <w:rPr>
          <w:rFonts w:ascii="Varela Round" w:hAnsi="Varela Round" w:cs="Varela Round"/>
          <w:sz w:val="20"/>
          <w:szCs w:val="20"/>
        </w:rPr>
        <w:t>Construccion</w:t>
      </w:r>
      <w:proofErr w:type="spellEnd"/>
      <w:r>
        <w:rPr>
          <w:rFonts w:ascii="Varela Round" w:hAnsi="Varela Round" w:cs="Varela Round"/>
          <w:sz w:val="20"/>
          <w:szCs w:val="20"/>
        </w:rPr>
        <w:t xml:space="preserve"> Polska S.A. i jest przeznaczony wyłącznie w celu opisanym w części „Identyfikacja kryteriów i opis przedmiotu usługi” i nie powinien być wykorzys</w:t>
      </w:r>
      <w:r w:rsidR="00DA2634">
        <w:rPr>
          <w:rFonts w:ascii="Varela Round" w:hAnsi="Varela Round" w:cs="Varela Round"/>
          <w:sz w:val="20"/>
          <w:szCs w:val="20"/>
        </w:rPr>
        <w:t>tywany w żadnych innych celach.</w:t>
      </w:r>
    </w:p>
    <w:p w:rsidR="00DA2634" w:rsidRDefault="00DA2634" w:rsidP="00DA2634">
      <w:pPr>
        <w:spacing w:after="0" w:line="240" w:lineRule="auto"/>
        <w:jc w:val="both"/>
        <w:rPr>
          <w:rFonts w:ascii="Varela Round" w:hAnsi="Varela Round" w:cs="Varela Round"/>
          <w:sz w:val="20"/>
          <w:szCs w:val="20"/>
        </w:rPr>
      </w:pPr>
    </w:p>
    <w:p w:rsidR="00F91F75" w:rsidRDefault="00F91F75" w:rsidP="00DA2634">
      <w:pPr>
        <w:spacing w:after="0" w:line="240" w:lineRule="auto"/>
        <w:jc w:val="both"/>
        <w:rPr>
          <w:rFonts w:ascii="Varela Round" w:hAnsi="Varela Round" w:cs="Varela Round"/>
          <w:sz w:val="20"/>
          <w:szCs w:val="20"/>
        </w:rPr>
      </w:pPr>
      <w:r>
        <w:rPr>
          <w:rFonts w:ascii="Varela Round" w:hAnsi="Varela Round" w:cs="Varela Round"/>
          <w:sz w:val="20"/>
          <w:szCs w:val="20"/>
          <w:lang w:val="en-GB"/>
        </w:rPr>
        <w:t xml:space="preserve">Trustway Audit sp. z </w:t>
      </w:r>
      <w:proofErr w:type="spellStart"/>
      <w:r>
        <w:rPr>
          <w:rFonts w:ascii="Varela Round" w:hAnsi="Varela Round" w:cs="Varela Round"/>
          <w:sz w:val="20"/>
          <w:szCs w:val="20"/>
          <w:lang w:val="en-GB"/>
        </w:rPr>
        <w:t>o.o</w:t>
      </w:r>
      <w:proofErr w:type="spellEnd"/>
      <w:r>
        <w:rPr>
          <w:rFonts w:ascii="Varela Round" w:hAnsi="Varela Round" w:cs="Varela Round"/>
          <w:sz w:val="20"/>
          <w:szCs w:val="20"/>
          <w:lang w:val="en-GB"/>
        </w:rPr>
        <w:t xml:space="preserve">.  </w:t>
      </w:r>
      <w:r>
        <w:rPr>
          <w:rFonts w:ascii="Varela Round" w:hAnsi="Varela Round" w:cs="Varela Round"/>
          <w:sz w:val="20"/>
          <w:szCs w:val="20"/>
        </w:rPr>
        <w:t>nie przyjmuje w związku z tym raportem żadnej odpowiedzialności wynikającej z relacji umownych i pozaumownych (w tym z tytułu zaniedbania) w odniesieniu do stron trzecich w kontekście niniejszego raportu. Powyższe nie zwalnia nas z odpowiedzialności w sytuacjach, w których takie zwolnienie jest wyłączone z mocy prawa.</w:t>
      </w:r>
    </w:p>
    <w:p w:rsidR="00DA2634" w:rsidRDefault="00DA2634" w:rsidP="00DA2634">
      <w:pPr>
        <w:spacing w:after="0" w:line="240" w:lineRule="auto"/>
        <w:jc w:val="both"/>
        <w:rPr>
          <w:rFonts w:ascii="Varela Round" w:hAnsi="Varela Round" w:cs="Varela Round"/>
          <w:sz w:val="20"/>
          <w:szCs w:val="20"/>
        </w:rPr>
      </w:pPr>
    </w:p>
    <w:p w:rsidR="00F91F75" w:rsidRDefault="00F91F75" w:rsidP="00DA2634">
      <w:pPr>
        <w:pBdr>
          <w:bottom w:val="single" w:sz="4" w:space="1" w:color="1F3864" w:themeColor="accent1" w:themeShade="80"/>
        </w:pBdr>
        <w:spacing w:after="0" w:line="240" w:lineRule="auto"/>
        <w:jc w:val="both"/>
        <w:rPr>
          <w:rFonts w:ascii="Varela Round" w:hAnsi="Varela Round" w:cs="Varela Round"/>
          <w:b/>
          <w:bCs/>
        </w:rPr>
      </w:pPr>
      <w:r>
        <w:rPr>
          <w:rFonts w:ascii="Varela Round" w:hAnsi="Varela Round" w:cs="Varela Round"/>
          <w:b/>
          <w:bCs/>
        </w:rPr>
        <w:t>INNE SPRAWY</w:t>
      </w:r>
    </w:p>
    <w:p w:rsidR="00F91F75" w:rsidRDefault="00F91F75" w:rsidP="00DA2634">
      <w:pPr>
        <w:spacing w:after="0" w:line="240" w:lineRule="auto"/>
        <w:jc w:val="both"/>
        <w:rPr>
          <w:rFonts w:ascii="Varela Round" w:hAnsi="Varela Round" w:cs="Varela Round"/>
          <w:sz w:val="20"/>
          <w:szCs w:val="20"/>
        </w:rPr>
      </w:pPr>
    </w:p>
    <w:p w:rsidR="00F91F75" w:rsidRDefault="00F91F75" w:rsidP="00DA2634">
      <w:pPr>
        <w:spacing w:after="0" w:line="240" w:lineRule="auto"/>
        <w:jc w:val="both"/>
        <w:rPr>
          <w:rFonts w:ascii="Varela Round" w:hAnsi="Varela Round" w:cs="Varela Round"/>
          <w:sz w:val="20"/>
          <w:szCs w:val="20"/>
        </w:rPr>
      </w:pPr>
      <w:r>
        <w:rPr>
          <w:rFonts w:ascii="Varela Round" w:hAnsi="Varela Round" w:cs="Varela Round"/>
          <w:sz w:val="20"/>
          <w:szCs w:val="20"/>
        </w:rPr>
        <w:t>Zarząd Spółki jest odpowiedzialny za zamieszczenie Sprawozdania o wynagrodzeniach na stronie internetowej Spółki i za udostępnienie go bezpłatnie przez co najmniej 10 lat od daty walnego zgromadzenia, na którym podjęto uchwałę opiniującą Sprawozdanie o wynagrodzeniach oraz za rzetelność informacji na stronie internetowej Spółki. Zakres wykonanej przez nas pracy nie obejmuje oceny tych kwestii. W związku z tym nie ponosimy żadnej odpowiedzialności za jakiekolwiek zmiany, które mogły zostać wprowadzone do informacji będących przedmiotem naszej oceny lub za jakiekolwiek różnice, jeżeli takie są, między informacjami objętymi wydanym przez nas raportem, a informacjami przedstawionymi na stronie internetowej Spółki.</w:t>
      </w:r>
    </w:p>
    <w:p w:rsidR="00F91F75" w:rsidRDefault="00F91F75" w:rsidP="00DA2634">
      <w:pPr>
        <w:spacing w:after="0" w:line="240" w:lineRule="auto"/>
        <w:jc w:val="both"/>
        <w:rPr>
          <w:rFonts w:ascii="Varela Round" w:hAnsi="Varela Round" w:cs="Varela Round"/>
          <w:sz w:val="20"/>
          <w:szCs w:val="20"/>
        </w:rPr>
      </w:pPr>
      <w:r>
        <w:rPr>
          <w:rFonts w:ascii="Varela Round" w:hAnsi="Varela Round" w:cs="Varela Round"/>
          <w:sz w:val="20"/>
          <w:szCs w:val="20"/>
        </w:rPr>
        <w:t>Działający w imieniu Trustway Audit sp. z o.o. z siedzibą w Warszawie,</w:t>
      </w:r>
      <w:r w:rsidR="00DA2634">
        <w:rPr>
          <w:rFonts w:ascii="Varela Round" w:hAnsi="Varela Round" w:cs="Varela Round"/>
          <w:sz w:val="20"/>
          <w:szCs w:val="20"/>
        </w:rPr>
        <w:br/>
      </w:r>
      <w:r>
        <w:rPr>
          <w:rFonts w:ascii="Varela Round" w:hAnsi="Varela Round" w:cs="Varela Round"/>
          <w:sz w:val="20"/>
          <w:szCs w:val="20"/>
        </w:rPr>
        <w:t xml:space="preserve">ul. Okopowa 47/45, 01-059 Warszawa, wpisanej na listę firm audytorskich pod numerem 3846 </w:t>
      </w:r>
    </w:p>
    <w:p w:rsidR="00F91F75" w:rsidRDefault="00F91F75" w:rsidP="00DA2634">
      <w:pPr>
        <w:spacing w:after="0" w:line="240" w:lineRule="auto"/>
        <w:rPr>
          <w:rFonts w:ascii="Varela Round" w:hAnsi="Varela Round" w:cs="Varela Round"/>
          <w:iCs/>
          <w:sz w:val="20"/>
          <w:szCs w:val="20"/>
        </w:rPr>
      </w:pPr>
    </w:p>
    <w:p w:rsidR="00F91F75" w:rsidRDefault="00DA2634" w:rsidP="00DA2634">
      <w:pPr>
        <w:spacing w:after="0" w:line="240" w:lineRule="auto"/>
        <w:rPr>
          <w:rFonts w:ascii="Varela Round" w:hAnsi="Varela Round" w:cs="Varela Round"/>
          <w:iCs/>
          <w:sz w:val="20"/>
          <w:szCs w:val="20"/>
        </w:rPr>
      </w:pPr>
      <w:r>
        <w:rPr>
          <w:rFonts w:ascii="Varela Round" w:hAnsi="Varela Round" w:cs="Varela Round"/>
          <w:iCs/>
          <w:sz w:val="20"/>
          <w:szCs w:val="20"/>
        </w:rPr>
        <w:t>Podpisano kwalifikowanym</w:t>
      </w:r>
    </w:p>
    <w:p w:rsidR="00DA2634" w:rsidRDefault="00DA2634" w:rsidP="00DA2634">
      <w:pPr>
        <w:spacing w:after="0" w:line="240" w:lineRule="auto"/>
        <w:rPr>
          <w:rFonts w:ascii="Varela Round" w:hAnsi="Varela Round" w:cs="Varela Round"/>
          <w:iCs/>
          <w:sz w:val="20"/>
          <w:szCs w:val="20"/>
        </w:rPr>
      </w:pPr>
    </w:p>
    <w:p w:rsidR="00F91F75" w:rsidRDefault="00F91F75" w:rsidP="00DA2634">
      <w:pPr>
        <w:spacing w:after="0" w:line="240" w:lineRule="auto"/>
        <w:rPr>
          <w:rFonts w:ascii="Varela Round" w:hAnsi="Varela Round" w:cs="Varela Round"/>
          <w:iCs/>
          <w:sz w:val="20"/>
          <w:szCs w:val="20"/>
        </w:rPr>
      </w:pPr>
      <w:r>
        <w:rPr>
          <w:rFonts w:ascii="Varela Round" w:hAnsi="Varela Round" w:cs="Varela Round"/>
          <w:iCs/>
          <w:sz w:val="20"/>
          <w:szCs w:val="20"/>
        </w:rPr>
        <w:t>podpisem elektronicznym</w:t>
      </w:r>
    </w:p>
    <w:p w:rsidR="00922E57" w:rsidRDefault="00922E57" w:rsidP="00DA2634">
      <w:pPr>
        <w:spacing w:after="0" w:line="240" w:lineRule="auto"/>
      </w:pPr>
    </w:p>
    <w:sectPr w:rsidR="00922E57" w:rsidSect="00B757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arela Round">
    <w:altName w:val="Courier New"/>
    <w:charset w:val="EE"/>
    <w:family w:val="auto"/>
    <w:pitch w:val="variable"/>
    <w:sig w:usb0="00000000" w:usb1="00000003" w:usb2="00000000" w:usb3="00000000" w:csb0="000001B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A477E"/>
    <w:multiLevelType w:val="hybridMultilevel"/>
    <w:tmpl w:val="0316B79A"/>
    <w:lvl w:ilvl="0" w:tplc="B5224BE6">
      <w:start w:val="1"/>
      <w:numFmt w:val="bullet"/>
      <w:lvlText w:val=""/>
      <w:lvlJc w:val="left"/>
      <w:pPr>
        <w:ind w:left="720" w:hanging="360"/>
      </w:pPr>
      <w:rPr>
        <w:rFonts w:ascii="Wingdings" w:hAnsi="Wingdings"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F75"/>
    <w:rsid w:val="00655756"/>
    <w:rsid w:val="00922E57"/>
    <w:rsid w:val="00B75751"/>
    <w:rsid w:val="00D748AC"/>
    <w:rsid w:val="00DA2634"/>
    <w:rsid w:val="00F91F7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1BCC"/>
  <w15:chartTrackingRefBased/>
  <w15:docId w15:val="{902B9142-37CF-4087-9A65-0626210B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1F75"/>
    <w:pPr>
      <w:spacing w:line="256" w:lineRule="auto"/>
    </w:pPr>
    <w:rPr>
      <w:lang w:val="pl-PL"/>
    </w:rPr>
  </w:style>
  <w:style w:type="paragraph" w:styleId="Nagwek1">
    <w:name w:val="heading 1"/>
    <w:next w:val="Normalny"/>
    <w:link w:val="Nagwek1Znak"/>
    <w:uiPriority w:val="9"/>
    <w:qFormat/>
    <w:rsid w:val="00F91F75"/>
    <w:pPr>
      <w:keepNext/>
      <w:keepLines/>
      <w:spacing w:after="125" w:line="256" w:lineRule="auto"/>
      <w:ind w:left="10" w:hanging="10"/>
      <w:outlineLvl w:val="0"/>
    </w:pPr>
    <w:rPr>
      <w:rFonts w:ascii="Times New Roman" w:eastAsia="Times New Roman" w:hAnsi="Times New Roman" w:cs="Times New Roman"/>
      <w:i/>
      <w:color w:val="000000"/>
      <w:sz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91F75"/>
    <w:rPr>
      <w:rFonts w:ascii="Times New Roman" w:eastAsia="Times New Roman" w:hAnsi="Times New Roman" w:cs="Times New Roman"/>
      <w:i/>
      <w:color w:val="000000"/>
      <w:sz w:val="24"/>
      <w:lang w:val="pl-PL" w:eastAsia="pl-PL"/>
    </w:rPr>
  </w:style>
  <w:style w:type="paragraph" w:styleId="Akapitzlist">
    <w:name w:val="List Paragraph"/>
    <w:basedOn w:val="Normalny"/>
    <w:uiPriority w:val="34"/>
    <w:qFormat/>
    <w:rsid w:val="00F91F75"/>
    <w:pPr>
      <w:spacing w:after="64" w:line="266" w:lineRule="auto"/>
      <w:ind w:left="720" w:hanging="10"/>
      <w:contextualSpacing/>
      <w:jc w:val="both"/>
    </w:pPr>
    <w:rPr>
      <w:rFonts w:ascii="Times New Roman" w:eastAsia="Times New Roman" w:hAnsi="Times New Roman" w:cs="Times New Roman"/>
      <w:color w:val="000000"/>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28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1686</Words>
  <Characters>9616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witold czyż</dc:creator>
  <cp:keywords/>
  <dc:description/>
  <cp:lastModifiedBy>Krzysztof Burczaniuk</cp:lastModifiedBy>
  <cp:revision>3</cp:revision>
  <dcterms:created xsi:type="dcterms:W3CDTF">2022-04-08T08:26:00Z</dcterms:created>
  <dcterms:modified xsi:type="dcterms:W3CDTF">2022-04-13T11:16:00Z</dcterms:modified>
</cp:coreProperties>
</file>