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0BEFE" w14:textId="77777777" w:rsidR="009A0E85" w:rsidRPr="00C83217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3E9C5B5B" w14:textId="77777777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DE6D6B6" w14:textId="5E9E5E40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92A612" w14:textId="20FA052A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2A4E337" w14:textId="7AAD8F57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608D3CE" w14:textId="0BB24D2C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474176" w14:textId="12A739B7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5DDFE6" w14:textId="106339CC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9AD0646" w14:textId="0DD689FE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A789196" w14:textId="7E763028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227ABA" w14:textId="20CADF5B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E758DD" w14:textId="4348CF9B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51456C" w14:textId="57E13173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32F439" w14:textId="3ED01AAE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09C554F" w14:textId="18819836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0F0BB93" w14:textId="77777777" w:rsidR="00D61464" w:rsidRPr="008C5022" w:rsidRDefault="00D61464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FB9EE15" w14:textId="0F698382" w:rsidR="0026287B" w:rsidRPr="008C5022" w:rsidRDefault="00824917" w:rsidP="0026287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5022">
        <w:rPr>
          <w:rFonts w:asciiTheme="minorHAnsi" w:hAnsiTheme="minorHAnsi" w:cstheme="minorHAnsi"/>
          <w:b/>
          <w:sz w:val="28"/>
          <w:szCs w:val="28"/>
        </w:rPr>
        <w:t xml:space="preserve">SPRAWOZDANIE RADY NADZORCZEJ </w:t>
      </w:r>
      <w:r w:rsidR="004F5006" w:rsidRPr="008C5022">
        <w:rPr>
          <w:rFonts w:asciiTheme="minorHAnsi" w:hAnsiTheme="minorHAnsi" w:cstheme="minorHAnsi"/>
          <w:b/>
          <w:sz w:val="28"/>
          <w:szCs w:val="28"/>
        </w:rPr>
        <w:t>O WYNAGRODZENIACH CZŁONKÓW</w:t>
      </w:r>
      <w:r w:rsidR="0026287B" w:rsidRPr="008C50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5006" w:rsidRPr="008C5022">
        <w:rPr>
          <w:rFonts w:asciiTheme="minorHAnsi" w:hAnsiTheme="minorHAnsi" w:cstheme="minorHAnsi"/>
          <w:b/>
          <w:sz w:val="28"/>
          <w:szCs w:val="28"/>
        </w:rPr>
        <w:t>ZARZĄDU ORAZ RADY NADZORCZEJ</w:t>
      </w:r>
      <w:r w:rsidR="0026287B" w:rsidRPr="008C50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C5022">
        <w:rPr>
          <w:rFonts w:asciiTheme="minorHAnsi" w:hAnsiTheme="minorHAnsi" w:cstheme="minorHAnsi"/>
          <w:b/>
          <w:sz w:val="28"/>
          <w:szCs w:val="28"/>
        </w:rPr>
        <w:t xml:space="preserve">ULMA </w:t>
      </w:r>
      <w:r w:rsidR="0026287B" w:rsidRPr="008C5022">
        <w:rPr>
          <w:rFonts w:asciiTheme="minorHAnsi" w:hAnsiTheme="minorHAnsi" w:cstheme="minorHAnsi"/>
          <w:b/>
          <w:sz w:val="28"/>
          <w:szCs w:val="28"/>
        </w:rPr>
        <w:t>CONSTRUCCION POLSKA S.A.</w:t>
      </w:r>
    </w:p>
    <w:p w14:paraId="5AEF6236" w14:textId="241B731F" w:rsidR="00824917" w:rsidRPr="008C5022" w:rsidRDefault="00824917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C5022">
        <w:rPr>
          <w:rFonts w:asciiTheme="minorHAnsi" w:hAnsiTheme="minorHAnsi" w:cstheme="minorHAnsi"/>
          <w:b/>
          <w:sz w:val="28"/>
          <w:szCs w:val="28"/>
        </w:rPr>
        <w:t xml:space="preserve"> ZA </w:t>
      </w:r>
      <w:r w:rsidR="00803C47">
        <w:rPr>
          <w:rFonts w:asciiTheme="minorHAnsi" w:hAnsiTheme="minorHAnsi" w:cstheme="minorHAnsi"/>
          <w:b/>
          <w:sz w:val="28"/>
          <w:szCs w:val="28"/>
        </w:rPr>
        <w:t>ROK</w:t>
      </w:r>
      <w:r w:rsidR="00803C47" w:rsidRPr="008C50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5006" w:rsidRPr="008C5022">
        <w:rPr>
          <w:rFonts w:asciiTheme="minorHAnsi" w:hAnsiTheme="minorHAnsi" w:cstheme="minorHAnsi"/>
          <w:b/>
          <w:sz w:val="28"/>
          <w:szCs w:val="28"/>
        </w:rPr>
        <w:t>202</w:t>
      </w:r>
      <w:r w:rsidR="00430584">
        <w:rPr>
          <w:rFonts w:asciiTheme="minorHAnsi" w:hAnsiTheme="minorHAnsi" w:cstheme="minorHAnsi"/>
          <w:b/>
          <w:sz w:val="28"/>
          <w:szCs w:val="28"/>
        </w:rPr>
        <w:t>1</w:t>
      </w:r>
    </w:p>
    <w:p w14:paraId="3DB79062" w14:textId="462AD625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4661B69" w14:textId="0C368069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1E8F9F6" w14:textId="01CA2697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33728A0" w14:textId="361E5DB1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5FD186E" w14:textId="199F1898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77F3086" w14:textId="35754C16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FF4C5CD" w14:textId="67649F8D" w:rsidR="009A0E85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A49C3AF" w14:textId="500A43CD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D7E378" w14:textId="2DCD515E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8B74503" w14:textId="7A89B87E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077B422" w14:textId="1DA32C77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ED8E60" w14:textId="0178F297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FF393D" w14:textId="1B26A6E5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DD6088" w14:textId="0AEF2DF3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4C2746F" w14:textId="66A46274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B61DB39" w14:textId="2C321619" w:rsidR="00635B93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86853E" w14:textId="77777777" w:rsidR="00635B93" w:rsidRPr="008C5022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B99EA65" w14:textId="2AC1E761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D6410A" w14:textId="1589FD71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CCA599" w14:textId="6AF9DEB5" w:rsidR="009A0E85" w:rsidRPr="008C5022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E1B6D3" w14:textId="125363CE" w:rsidR="009A0E85" w:rsidRPr="008C5022" w:rsidRDefault="0081382D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C5022">
        <w:rPr>
          <w:rFonts w:asciiTheme="minorHAnsi" w:hAnsiTheme="minorHAnsi" w:cstheme="minorHAnsi"/>
          <w:b/>
        </w:rPr>
        <w:t xml:space="preserve">Data </w:t>
      </w:r>
      <w:r w:rsidR="00D97B76">
        <w:rPr>
          <w:rFonts w:asciiTheme="minorHAnsi" w:hAnsiTheme="minorHAnsi" w:cstheme="minorHAnsi"/>
          <w:b/>
        </w:rPr>
        <w:t>07</w:t>
      </w:r>
      <w:r w:rsidRPr="008C5022">
        <w:rPr>
          <w:rFonts w:asciiTheme="minorHAnsi" w:hAnsiTheme="minorHAnsi" w:cstheme="minorHAnsi"/>
          <w:b/>
        </w:rPr>
        <w:t>.</w:t>
      </w:r>
      <w:r w:rsidR="00D97B76" w:rsidRPr="008C5022">
        <w:rPr>
          <w:rFonts w:asciiTheme="minorHAnsi" w:hAnsiTheme="minorHAnsi" w:cstheme="minorHAnsi"/>
          <w:b/>
        </w:rPr>
        <w:t>0</w:t>
      </w:r>
      <w:r w:rsidR="00D97B76">
        <w:rPr>
          <w:rFonts w:asciiTheme="minorHAnsi" w:hAnsiTheme="minorHAnsi" w:cstheme="minorHAnsi"/>
          <w:b/>
        </w:rPr>
        <w:t>4</w:t>
      </w:r>
      <w:r w:rsidRPr="008C5022">
        <w:rPr>
          <w:rFonts w:asciiTheme="minorHAnsi" w:hAnsiTheme="minorHAnsi" w:cstheme="minorHAnsi"/>
          <w:b/>
        </w:rPr>
        <w:t>.2021</w:t>
      </w:r>
    </w:p>
    <w:p w14:paraId="2B7D2D32" w14:textId="552D01F9" w:rsidR="009A0E85" w:rsidRDefault="009A0E85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B19BFA" w14:textId="06ACA468" w:rsidR="00635B93" w:rsidRDefault="00635B93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82BCCB3" w14:textId="77777777" w:rsidR="00635B93" w:rsidRPr="008C5022" w:rsidRDefault="00635B93" w:rsidP="0026287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D2B1C7" w14:textId="77777777" w:rsidR="00132C85" w:rsidRPr="008C5022" w:rsidRDefault="00132C85" w:rsidP="00132C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C5022">
        <w:rPr>
          <w:rFonts w:asciiTheme="minorHAnsi" w:hAnsiTheme="minorHAnsi" w:cstheme="minorHAnsi"/>
          <w:b/>
          <w:bCs/>
          <w:sz w:val="22"/>
          <w:szCs w:val="22"/>
        </w:rPr>
        <w:t>Spis treści</w:t>
      </w:r>
    </w:p>
    <w:sdt>
      <w:sdtPr>
        <w:rPr>
          <w:rFonts w:asciiTheme="minorHAnsi" w:hAnsiTheme="minorHAnsi" w:cstheme="minorHAnsi"/>
          <w:b/>
          <w:bCs/>
        </w:rPr>
        <w:id w:val="160202498"/>
        <w:docPartObj>
          <w:docPartGallery w:val="Table of Contents"/>
          <w:docPartUnique/>
        </w:docPartObj>
      </w:sdtPr>
      <w:sdtEndPr/>
      <w:sdtContent>
        <w:p w14:paraId="21DD1168" w14:textId="0A493701" w:rsidR="00132C85" w:rsidRPr="008C5022" w:rsidRDefault="00132C85" w:rsidP="00132C85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342A9678" w14:textId="04CCE091" w:rsidR="00132C85" w:rsidRPr="008C5022" w:rsidRDefault="00334CF9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s-CL" w:eastAsia="es-CL"/>
            </w:rPr>
          </w:pPr>
          <w:r w:rsidRPr="008C5022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8C5022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8C5022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67928435" w:history="1">
            <w:r w:rsidR="00132C85" w:rsidRPr="008C5022">
              <w:rPr>
                <w:rStyle w:val="Hipercze"/>
                <w:rFonts w:asciiTheme="minorHAnsi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1</w:t>
            </w:r>
            <w:r w:rsidR="00132C85" w:rsidRPr="008C5022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s-CL" w:eastAsia="es-CL"/>
              </w:rPr>
              <w:tab/>
            </w:r>
            <w:r w:rsidR="00132C85" w:rsidRPr="008C5022">
              <w:rPr>
                <w:rStyle w:val="Hipercze"/>
                <w:rFonts w:asciiTheme="minorHAnsi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Wprowadzenie</w: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_Toc67928435 \h </w:instrTex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35B9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DB4DBD" w14:textId="0431B5CA" w:rsidR="00132C85" w:rsidRPr="008C5022" w:rsidRDefault="001363A9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s-CL" w:eastAsia="es-CL"/>
            </w:rPr>
          </w:pPr>
          <w:hyperlink w:anchor="_Toc67928436" w:history="1">
            <w:r w:rsidR="00132C85" w:rsidRPr="008C5022">
              <w:rPr>
                <w:rStyle w:val="Hipercze"/>
                <w:rFonts w:asciiTheme="minorHAnsi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2</w:t>
            </w:r>
            <w:r w:rsidR="00132C85" w:rsidRPr="008C5022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s-CL" w:eastAsia="es-CL"/>
              </w:rPr>
              <w:tab/>
            </w:r>
            <w:r w:rsidR="00132C85" w:rsidRPr="008C5022">
              <w:rPr>
                <w:rStyle w:val="Hipercze"/>
                <w:rFonts w:asciiTheme="minorHAnsi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Sprawozdanie o wynagrodzeniach w odniesieniu do każdego Członka Zarządu i Rady Nadzorczej</w: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_Toc67928436 \h </w:instrTex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35B9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4224D3" w14:textId="608D3DC2" w:rsidR="00132C85" w:rsidRPr="008C5022" w:rsidRDefault="001363A9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val="es-CL" w:eastAsia="es-CL"/>
            </w:rPr>
          </w:pPr>
          <w:hyperlink w:anchor="_Toc67928437" w:history="1">
            <w:r w:rsidR="00132C85" w:rsidRPr="008C5022">
              <w:rPr>
                <w:rStyle w:val="Hipercze"/>
                <w:rFonts w:asciiTheme="minorHAnsi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3</w:t>
            </w:r>
            <w:r w:rsidR="00132C85" w:rsidRPr="008C5022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val="es-CL" w:eastAsia="es-CL"/>
              </w:rPr>
              <w:tab/>
            </w:r>
            <w:r w:rsidR="00132C85" w:rsidRPr="008C5022">
              <w:rPr>
                <w:rStyle w:val="Hipercze"/>
                <w:rFonts w:asciiTheme="minorHAnsi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Wnioski</w: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_Toc67928437 \h </w:instrTex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35B93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11</w:t>
            </w:r>
            <w:r w:rsidR="00132C85" w:rsidRPr="008C5022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652BAC" w14:textId="0990DE7C" w:rsidR="00334CF9" w:rsidRPr="008C5022" w:rsidRDefault="00334CF9">
          <w:pPr>
            <w:rPr>
              <w:rFonts w:asciiTheme="minorHAnsi" w:hAnsiTheme="minorHAnsi" w:cstheme="minorHAnsi"/>
            </w:rPr>
          </w:pPr>
          <w:r w:rsidRPr="008C5022">
            <w:rPr>
              <w:rFonts w:asciiTheme="minorHAnsi" w:hAnsiTheme="minorHAnsi" w:cstheme="minorHAnsi"/>
              <w:b/>
              <w:bCs/>
              <w:sz w:val="22"/>
              <w:szCs w:val="22"/>
            </w:rPr>
            <w:fldChar w:fldCharType="end"/>
          </w:r>
        </w:p>
      </w:sdtContent>
    </w:sdt>
    <w:p w14:paraId="26051D61" w14:textId="6B48AFEE" w:rsidR="00635B93" w:rsidRDefault="00635B93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D5BEBA" w14:textId="737B7EAD" w:rsidR="006801DE" w:rsidRPr="008C5022" w:rsidRDefault="006801DE" w:rsidP="006801DE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67928435"/>
      <w:r w:rsidRPr="008C502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Wprowadzenie</w:t>
      </w:r>
      <w:bookmarkEnd w:id="1"/>
      <w:r w:rsidRPr="008C502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63B7B9CB" w14:textId="77777777" w:rsidR="006801DE" w:rsidRPr="008C5022" w:rsidRDefault="006801DE" w:rsidP="000B0FF3"/>
    <w:p w14:paraId="52EBC2D5" w14:textId="5BC9B133" w:rsidR="004F5006" w:rsidRPr="008C5022" w:rsidRDefault="004F5006" w:rsidP="004F5006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Rada Nadzorcza ULMA Construccion Polska S.A. z siedzibą w Koszajcu (dalej: „Spółka”), działając w celu wykonania obowiązku przewidzianego przepisem art. 90g </w:t>
      </w:r>
      <w:r w:rsidR="00595C3B">
        <w:rPr>
          <w:rFonts w:asciiTheme="minorHAnsi" w:hAnsiTheme="minorHAnsi" w:cstheme="minorHAnsi"/>
        </w:rPr>
        <w:t>u</w:t>
      </w:r>
      <w:r w:rsidRPr="008C5022">
        <w:rPr>
          <w:rFonts w:asciiTheme="minorHAnsi" w:hAnsiTheme="minorHAnsi" w:cstheme="minorHAnsi"/>
        </w:rPr>
        <w:t xml:space="preserve">stawy </w:t>
      </w:r>
      <w:r w:rsidR="00595C3B">
        <w:rPr>
          <w:rFonts w:asciiTheme="minorHAnsi" w:hAnsiTheme="minorHAnsi" w:cstheme="minorHAnsi"/>
        </w:rPr>
        <w:t xml:space="preserve">z dnia 29 lipca 2005 r. </w:t>
      </w:r>
      <w:r w:rsidR="00A56507" w:rsidRPr="008C5022">
        <w:rPr>
          <w:rFonts w:asciiTheme="minorHAnsi" w:hAnsiTheme="minorHAnsi" w:cstheme="minorHAnsi"/>
        </w:rPr>
        <w:t>o ofercie publicznej i </w:t>
      </w:r>
      <w:r w:rsidRPr="008C5022">
        <w:rPr>
          <w:rFonts w:asciiTheme="minorHAnsi" w:hAnsiTheme="minorHAnsi" w:cstheme="minorHAnsi"/>
        </w:rPr>
        <w:t>warunkach wprowadzania instrumentów finansowych do zorganizowanego systemu obr</w:t>
      </w:r>
      <w:r w:rsidR="00A56507" w:rsidRPr="008C5022">
        <w:rPr>
          <w:rFonts w:asciiTheme="minorHAnsi" w:hAnsiTheme="minorHAnsi" w:cstheme="minorHAnsi"/>
        </w:rPr>
        <w:t>otu oraz o </w:t>
      </w:r>
      <w:r w:rsidRPr="008C5022">
        <w:rPr>
          <w:rFonts w:asciiTheme="minorHAnsi" w:hAnsiTheme="minorHAnsi" w:cstheme="minorHAnsi"/>
        </w:rPr>
        <w:t>spółkach publicznych</w:t>
      </w:r>
      <w:r w:rsidR="00595C3B">
        <w:rPr>
          <w:rFonts w:asciiTheme="minorHAnsi" w:hAnsiTheme="minorHAnsi" w:cstheme="minorHAnsi"/>
        </w:rPr>
        <w:t xml:space="preserve"> ( </w:t>
      </w:r>
      <w:r w:rsidR="00595C3B" w:rsidRPr="00595C3B">
        <w:rPr>
          <w:rFonts w:asciiTheme="minorHAnsi" w:hAnsiTheme="minorHAnsi" w:cstheme="minorHAnsi"/>
        </w:rPr>
        <w:t>t. j. Dz. U. z 2020 r. poz. 2080  – dalej „Ustawa”)</w:t>
      </w:r>
      <w:r w:rsidRPr="008C5022">
        <w:rPr>
          <w:rFonts w:asciiTheme="minorHAnsi" w:hAnsiTheme="minorHAnsi" w:cstheme="minorHAnsi"/>
        </w:rPr>
        <w:t>, niniejszym przedkłada sprawozdanie o wynagrodzeniach członków Zarządu i Rady nadzorczej ULMA Construccion Polska S.A. celem zaopiniowania przez Zwyczajne Walne Zgromadzenie.</w:t>
      </w:r>
    </w:p>
    <w:p w14:paraId="399E47D6" w14:textId="77777777" w:rsidR="004F5006" w:rsidRPr="008C5022" w:rsidRDefault="004F5006" w:rsidP="004F5006">
      <w:pPr>
        <w:spacing w:line="276" w:lineRule="auto"/>
        <w:jc w:val="both"/>
        <w:rPr>
          <w:rFonts w:asciiTheme="minorHAnsi" w:hAnsiTheme="minorHAnsi" w:cstheme="minorHAnsi"/>
        </w:rPr>
      </w:pPr>
    </w:p>
    <w:p w14:paraId="0836AA26" w14:textId="01CB82BE" w:rsidR="004F5006" w:rsidRDefault="004F5006" w:rsidP="004F5006">
      <w:pPr>
        <w:spacing w:line="276" w:lineRule="auto"/>
        <w:jc w:val="both"/>
        <w:rPr>
          <w:rFonts w:asciiTheme="minorHAnsi" w:hAnsiTheme="minorHAnsi" w:cstheme="minorHAnsi"/>
        </w:rPr>
      </w:pPr>
      <w:r w:rsidRPr="00B046D4">
        <w:rPr>
          <w:rFonts w:asciiTheme="minorHAnsi" w:hAnsiTheme="minorHAnsi" w:cstheme="minorHAnsi"/>
        </w:rPr>
        <w:t>Zgodnie z art. 36 ust. 2 Ustawy o zmianie ustawy o ofercie publicznej i warunkach wprowadzania instrumentów finansowych do zorganizowanego systemu obrotu oraz o spółkach publicznych oraz niektórych innych ustaw (Dz.U. z 2019 r. poz. 2217), sprawozdanie zostało sporządzone łącznie za lata obrotowe 2019</w:t>
      </w:r>
      <w:r w:rsidR="00430584" w:rsidRPr="00B046D4">
        <w:rPr>
          <w:rFonts w:asciiTheme="minorHAnsi" w:hAnsiTheme="minorHAnsi" w:cstheme="minorHAnsi"/>
        </w:rPr>
        <w:t>, 2020</w:t>
      </w:r>
      <w:r w:rsidRPr="00B046D4">
        <w:rPr>
          <w:rFonts w:asciiTheme="minorHAnsi" w:hAnsiTheme="minorHAnsi" w:cstheme="minorHAnsi"/>
        </w:rPr>
        <w:t xml:space="preserve"> oraz 202</w:t>
      </w:r>
      <w:r w:rsidR="00430584" w:rsidRPr="00B046D4">
        <w:rPr>
          <w:rFonts w:asciiTheme="minorHAnsi" w:hAnsiTheme="minorHAnsi" w:cstheme="minorHAnsi"/>
        </w:rPr>
        <w:t>1</w:t>
      </w:r>
      <w:r w:rsidRPr="00B046D4">
        <w:rPr>
          <w:rFonts w:asciiTheme="minorHAnsi" w:hAnsiTheme="minorHAnsi" w:cstheme="minorHAnsi"/>
        </w:rPr>
        <w:t>.</w:t>
      </w:r>
    </w:p>
    <w:p w14:paraId="269E436E" w14:textId="208D99FF" w:rsidR="00BB6AB8" w:rsidRPr="008C5022" w:rsidRDefault="00BB6AB8" w:rsidP="004F5006">
      <w:pPr>
        <w:spacing w:line="276" w:lineRule="auto"/>
        <w:jc w:val="both"/>
        <w:rPr>
          <w:rFonts w:asciiTheme="minorHAnsi" w:hAnsiTheme="minorHAnsi" w:cstheme="minorHAnsi"/>
        </w:rPr>
      </w:pPr>
    </w:p>
    <w:p w14:paraId="60844C88" w14:textId="77777777" w:rsidR="00BB6AB8" w:rsidRPr="008C5022" w:rsidRDefault="00BB6AB8" w:rsidP="00BB6AB8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Polityka Wynagrodzeń została opracowana w oparciu o:</w:t>
      </w:r>
    </w:p>
    <w:p w14:paraId="4E78DD3D" w14:textId="77777777" w:rsidR="00BB6AB8" w:rsidRPr="008C5022" w:rsidRDefault="00BB6AB8" w:rsidP="00BB6AB8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1. Art. 90d Ustawy o ofercie publicznej;</w:t>
      </w:r>
    </w:p>
    <w:p w14:paraId="7359869A" w14:textId="5A43693A" w:rsidR="00BB6AB8" w:rsidRPr="008C5022" w:rsidRDefault="00BB6AB8" w:rsidP="00BB6AB8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2. Dyrektywę Parlamentu Europejskiego i Rady (UE) 2017/828 z dnia 17 maja 2017 r. zmieniającą</w:t>
      </w:r>
      <w:r w:rsidR="00BF52A3" w:rsidRPr="008C5022">
        <w:rPr>
          <w:rFonts w:asciiTheme="minorHAnsi" w:hAnsiTheme="minorHAnsi" w:cstheme="minorHAnsi"/>
        </w:rPr>
        <w:t xml:space="preserve"> </w:t>
      </w:r>
      <w:r w:rsidRPr="008C5022">
        <w:rPr>
          <w:rFonts w:asciiTheme="minorHAnsi" w:hAnsiTheme="minorHAnsi" w:cstheme="minorHAnsi"/>
        </w:rPr>
        <w:t>dyrektywę 2007/36/WE w zakresie zachęcania akcjonariuszy do długoterminowego zaangażowania.</w:t>
      </w:r>
    </w:p>
    <w:p w14:paraId="342A1945" w14:textId="77777777" w:rsidR="00293AFD" w:rsidRPr="008C5022" w:rsidRDefault="00293AFD" w:rsidP="004F5006">
      <w:pPr>
        <w:spacing w:line="276" w:lineRule="auto"/>
        <w:jc w:val="both"/>
        <w:rPr>
          <w:rFonts w:asciiTheme="minorHAnsi" w:hAnsiTheme="minorHAnsi" w:cstheme="minorHAnsi"/>
        </w:rPr>
      </w:pPr>
    </w:p>
    <w:p w14:paraId="67B2E79C" w14:textId="2295C960" w:rsidR="00FB68D7" w:rsidRPr="008C5022" w:rsidRDefault="00293AFD" w:rsidP="004F5006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Polityka Wynagrodzeń członków Zarządu i Rady Nadzorczej Spółki została przyjęta przez Zwyczajne Walne Zgromadzenie Spółki </w:t>
      </w:r>
      <w:r w:rsidR="000A2C24">
        <w:rPr>
          <w:rFonts w:asciiTheme="minorHAnsi" w:hAnsiTheme="minorHAnsi" w:cstheme="minorHAnsi"/>
        </w:rPr>
        <w:t xml:space="preserve">uchwałą nr 19/2020 z dnia 6 maja </w:t>
      </w:r>
      <w:r w:rsidRPr="008C5022">
        <w:rPr>
          <w:rFonts w:asciiTheme="minorHAnsi" w:hAnsiTheme="minorHAnsi" w:cstheme="minorHAnsi"/>
        </w:rPr>
        <w:t>2020</w:t>
      </w:r>
      <w:r w:rsidR="000A2C24">
        <w:rPr>
          <w:rFonts w:asciiTheme="minorHAnsi" w:hAnsiTheme="minorHAnsi" w:cstheme="minorHAnsi"/>
        </w:rPr>
        <w:t xml:space="preserve"> roku </w:t>
      </w:r>
      <w:r w:rsidRPr="008C5022">
        <w:rPr>
          <w:rFonts w:asciiTheme="minorHAnsi" w:hAnsiTheme="minorHAnsi" w:cstheme="minorHAnsi"/>
        </w:rPr>
        <w:t xml:space="preserve"> i weszła w życie z dniem 1-go stycznia 2021 roku. </w:t>
      </w:r>
    </w:p>
    <w:p w14:paraId="61E699BF" w14:textId="77777777" w:rsidR="00FB68D7" w:rsidRPr="008C5022" w:rsidRDefault="00FB68D7" w:rsidP="004F5006">
      <w:pPr>
        <w:spacing w:line="276" w:lineRule="auto"/>
        <w:jc w:val="both"/>
        <w:rPr>
          <w:rFonts w:asciiTheme="minorHAnsi" w:hAnsiTheme="minorHAnsi" w:cstheme="minorHAnsi"/>
        </w:rPr>
      </w:pPr>
    </w:p>
    <w:p w14:paraId="59F17BB1" w14:textId="25E1DC21" w:rsidR="00022440" w:rsidRPr="008C5022" w:rsidRDefault="00022440" w:rsidP="00022440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Z uwagi na powyższe, w okresie sprawozdawczym obejmującym lata obrotowe 2019 oraz 2020 członkowie organów Spółki nie byli wynagradzani na podstawie Polityki Wynagrodzeń, lecz zgodnie z </w:t>
      </w:r>
      <w:r w:rsidR="00C41F4A">
        <w:rPr>
          <w:rFonts w:asciiTheme="minorHAnsi" w:hAnsiTheme="minorHAnsi" w:cstheme="minorHAnsi"/>
        </w:rPr>
        <w:t xml:space="preserve">wcześniejszą </w:t>
      </w:r>
      <w:r w:rsidRPr="008C5022">
        <w:rPr>
          <w:rFonts w:asciiTheme="minorHAnsi" w:hAnsiTheme="minorHAnsi" w:cstheme="minorHAnsi"/>
        </w:rPr>
        <w:t xml:space="preserve">praktyką. </w:t>
      </w:r>
    </w:p>
    <w:p w14:paraId="58263929" w14:textId="455E7E66" w:rsidR="00AA17E6" w:rsidRPr="008C5022" w:rsidRDefault="00AA17E6" w:rsidP="00022440">
      <w:pPr>
        <w:spacing w:line="276" w:lineRule="auto"/>
        <w:jc w:val="both"/>
        <w:rPr>
          <w:rFonts w:asciiTheme="minorHAnsi" w:hAnsiTheme="minorHAnsi" w:cstheme="minorHAnsi"/>
        </w:rPr>
      </w:pPr>
    </w:p>
    <w:p w14:paraId="10DB7990" w14:textId="64C69788" w:rsidR="00A26382" w:rsidRPr="008C5022" w:rsidRDefault="000B0FF3" w:rsidP="00022440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Zgodnie z </w:t>
      </w:r>
      <w:r w:rsidR="00C41F4A">
        <w:rPr>
          <w:rFonts w:asciiTheme="minorHAnsi" w:hAnsiTheme="minorHAnsi" w:cstheme="minorHAnsi"/>
        </w:rPr>
        <w:t xml:space="preserve">wcześniejszą </w:t>
      </w:r>
      <w:r w:rsidRPr="008C5022">
        <w:rPr>
          <w:rFonts w:asciiTheme="minorHAnsi" w:hAnsiTheme="minorHAnsi" w:cstheme="minorHAnsi"/>
        </w:rPr>
        <w:t xml:space="preserve">praktyką, członkowie Zarządu otrzymywali wynagrodzenie stałe oraz premię roczną </w:t>
      </w:r>
      <w:r w:rsidR="006016EF" w:rsidRPr="008C5022">
        <w:rPr>
          <w:rFonts w:asciiTheme="minorHAnsi" w:hAnsiTheme="minorHAnsi" w:cstheme="minorHAnsi"/>
        </w:rPr>
        <w:t>za realizację celów zarządczych określonych w rocznym budżecie.</w:t>
      </w:r>
      <w:r w:rsidRPr="008C5022">
        <w:rPr>
          <w:rFonts w:asciiTheme="minorHAnsi" w:hAnsiTheme="minorHAnsi" w:cstheme="minorHAnsi"/>
        </w:rPr>
        <w:t xml:space="preserve"> Wynagrodzenie stałe uwzględniało zakres obowiązków danego członka Zarządu (w tym w szczególności fakt zarządzania określonym Pionem), jego </w:t>
      </w:r>
      <w:r w:rsidR="00BF52A3" w:rsidRPr="008C5022">
        <w:rPr>
          <w:rFonts w:asciiTheme="minorHAnsi" w:hAnsiTheme="minorHAnsi" w:cstheme="minorHAnsi"/>
        </w:rPr>
        <w:t>kompetencje, odpowiedzialność i </w:t>
      </w:r>
      <w:r w:rsidRPr="008C5022">
        <w:rPr>
          <w:rFonts w:asciiTheme="minorHAnsi" w:hAnsiTheme="minorHAnsi" w:cstheme="minorHAnsi"/>
        </w:rPr>
        <w:t>wpływ na działalność Spółki i realizację jej strategii biznesowej.</w:t>
      </w:r>
    </w:p>
    <w:p w14:paraId="130E332F" w14:textId="77777777" w:rsidR="00A26382" w:rsidRPr="008C5022" w:rsidRDefault="00A26382" w:rsidP="00A263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B6EAE6A" w14:textId="695711A4" w:rsidR="00A26382" w:rsidRDefault="00B64300" w:rsidP="00A263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roku 20</w:t>
      </w:r>
      <w:r>
        <w:rPr>
          <w:rFonts w:asciiTheme="minorHAnsi" w:hAnsiTheme="minorHAnsi" w:cstheme="minorHAnsi"/>
        </w:rPr>
        <w:t>20</w:t>
      </w:r>
      <w:r w:rsidRPr="008C50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="00A26382" w:rsidRPr="008C5022">
        <w:rPr>
          <w:rFonts w:asciiTheme="minorHAnsi" w:hAnsiTheme="minorHAnsi" w:cstheme="minorHAnsi"/>
        </w:rPr>
        <w:t xml:space="preserve">a </w:t>
      </w:r>
      <w:r w:rsidR="001C31D7">
        <w:rPr>
          <w:rFonts w:asciiTheme="minorHAnsi" w:hAnsiTheme="minorHAnsi" w:cstheme="minorHAnsi"/>
        </w:rPr>
        <w:t>rok</w:t>
      </w:r>
      <w:r w:rsidR="00A26382" w:rsidRPr="008C5022">
        <w:rPr>
          <w:rFonts w:asciiTheme="minorHAnsi" w:hAnsiTheme="minorHAnsi" w:cstheme="minorHAnsi"/>
        </w:rPr>
        <w:t xml:space="preserve"> obrotow</w:t>
      </w:r>
      <w:r w:rsidR="001C31D7">
        <w:rPr>
          <w:rFonts w:asciiTheme="minorHAnsi" w:hAnsiTheme="minorHAnsi" w:cstheme="minorHAnsi"/>
        </w:rPr>
        <w:t>y</w:t>
      </w:r>
      <w:r w:rsidR="00A26382" w:rsidRPr="008C5022">
        <w:rPr>
          <w:rFonts w:asciiTheme="minorHAnsi" w:hAnsiTheme="minorHAnsi" w:cstheme="minorHAnsi"/>
        </w:rPr>
        <w:t xml:space="preserve"> 2019 członkom Zarządu nie zostały przyznane ani wypłacone premie za realizację celów zarządczych. W roku 2019 r. zostało wypłacone wynagrodzenie zmienne za realizację budżetu rocznego w roku 2018.</w:t>
      </w:r>
    </w:p>
    <w:p w14:paraId="4C4CA01C" w14:textId="77777777" w:rsidR="00C41F4A" w:rsidRPr="008C5022" w:rsidRDefault="00C41F4A" w:rsidP="00A263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14C9885" w14:textId="54A84922" w:rsidR="006016EF" w:rsidRDefault="001C31D7" w:rsidP="00A263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roku 20</w:t>
      </w:r>
      <w:r>
        <w:rPr>
          <w:rFonts w:asciiTheme="minorHAnsi" w:hAnsiTheme="minorHAnsi" w:cstheme="minorHAnsi"/>
        </w:rPr>
        <w:t>21</w:t>
      </w:r>
      <w:r w:rsidRPr="008C5022"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t xml:space="preserve"> za rok</w:t>
      </w:r>
      <w:r w:rsidRPr="008C5022">
        <w:rPr>
          <w:rFonts w:asciiTheme="minorHAnsi" w:hAnsiTheme="minorHAnsi" w:cstheme="minorHAnsi"/>
        </w:rPr>
        <w:t xml:space="preserve"> obrotow</w:t>
      </w:r>
      <w:r>
        <w:rPr>
          <w:rFonts w:asciiTheme="minorHAnsi" w:hAnsiTheme="minorHAnsi" w:cstheme="minorHAnsi"/>
        </w:rPr>
        <w:t>y</w:t>
      </w:r>
      <w:r w:rsidRPr="008C5022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20</w:t>
      </w:r>
      <w:r w:rsidRPr="008C5022">
        <w:rPr>
          <w:rFonts w:asciiTheme="minorHAnsi" w:hAnsiTheme="minorHAnsi" w:cstheme="minorHAnsi"/>
        </w:rPr>
        <w:t xml:space="preserve"> zostało wypłacone wynagrodzenie zmienne za realizację budżetu rocznego w roku 20</w:t>
      </w:r>
      <w:r>
        <w:rPr>
          <w:rFonts w:asciiTheme="minorHAnsi" w:hAnsiTheme="minorHAnsi" w:cstheme="minorHAnsi"/>
        </w:rPr>
        <w:t>20</w:t>
      </w:r>
      <w:r w:rsidRPr="008C5022">
        <w:rPr>
          <w:rFonts w:asciiTheme="minorHAnsi" w:hAnsiTheme="minorHAnsi" w:cstheme="minorHAnsi"/>
        </w:rPr>
        <w:t>.</w:t>
      </w:r>
    </w:p>
    <w:p w14:paraId="24773101" w14:textId="77777777" w:rsidR="00B64300" w:rsidRPr="008C5022" w:rsidRDefault="00B64300" w:rsidP="00A263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38B2BED" w14:textId="4B5F985F" w:rsidR="00A26382" w:rsidRPr="008C5022" w:rsidRDefault="00A26382">
      <w:pPr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Członkom Zarządu przysługiwały w latach 2019-202</w:t>
      </w:r>
      <w:r w:rsidR="001C31D7">
        <w:rPr>
          <w:rFonts w:asciiTheme="minorHAnsi" w:hAnsiTheme="minorHAnsi" w:cstheme="minorHAnsi"/>
        </w:rPr>
        <w:t>1</w:t>
      </w:r>
      <w:r w:rsidRPr="008C5022">
        <w:rPr>
          <w:rFonts w:asciiTheme="minorHAnsi" w:hAnsiTheme="minorHAnsi" w:cstheme="minorHAnsi"/>
        </w:rPr>
        <w:t xml:space="preserve"> świadczenia dodatkowe opisane w pkt 2 niniejszego Sprawozdania.</w:t>
      </w:r>
    </w:p>
    <w:p w14:paraId="30F84299" w14:textId="0DE2649A" w:rsidR="00205F31" w:rsidRPr="008C5022" w:rsidRDefault="00776A4E" w:rsidP="00776A4E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67928436"/>
      <w:r w:rsidRPr="008C502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Sprawozdanie o wynagrodzeniach w odniesieniu do każdego Członka Zarządu i Rady Nadzorczej</w:t>
      </w:r>
      <w:bookmarkEnd w:id="2"/>
      <w:r w:rsidRPr="008C502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18DD7EE9" w14:textId="77777777" w:rsidR="002D5080" w:rsidRDefault="002D5080" w:rsidP="00D2781A">
      <w:pPr>
        <w:spacing w:line="276" w:lineRule="auto"/>
        <w:jc w:val="both"/>
        <w:rPr>
          <w:rFonts w:asciiTheme="minorHAnsi" w:hAnsiTheme="minorHAnsi" w:cstheme="minorHAnsi"/>
        </w:rPr>
      </w:pPr>
    </w:p>
    <w:p w14:paraId="08698D39" w14:textId="43B88545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W związku z pełnieniem funkcji w Organach ich członkowie uprawnieni są do otrzymywania następujących kategorii świadczeń:</w:t>
      </w:r>
    </w:p>
    <w:p w14:paraId="6D3FF738" w14:textId="77777777" w:rsid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</w:p>
    <w:p w14:paraId="545B6B0B" w14:textId="69EE1246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D2781A">
        <w:rPr>
          <w:rFonts w:asciiTheme="minorHAnsi" w:hAnsiTheme="minorHAnsi" w:cstheme="minorHAnsi"/>
        </w:rPr>
        <w:t>złonkowie Zarządu:</w:t>
      </w:r>
    </w:p>
    <w:p w14:paraId="52266CB2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(a) Wynagrodzenie Stałe;</w:t>
      </w:r>
    </w:p>
    <w:p w14:paraId="2724D17E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(b) Wynagrodzenie Zmienne;</w:t>
      </w:r>
    </w:p>
    <w:p w14:paraId="4A8586AB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(c) Świadczenia Dodatkowe;</w:t>
      </w:r>
    </w:p>
    <w:p w14:paraId="7F8C3B4A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(d) zwrot kosztów związanych ze sprawowaniem zarządu.</w:t>
      </w:r>
    </w:p>
    <w:p w14:paraId="685E8F16" w14:textId="77777777" w:rsid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</w:p>
    <w:p w14:paraId="41CB78AC" w14:textId="49FC1FD8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D2781A">
        <w:rPr>
          <w:rFonts w:asciiTheme="minorHAnsi" w:hAnsiTheme="minorHAnsi" w:cstheme="minorHAnsi"/>
        </w:rPr>
        <w:t>złonkowie Rady Nadzorczej:</w:t>
      </w:r>
    </w:p>
    <w:p w14:paraId="35E142D0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(a) Wynagrodzenie Stałe;</w:t>
      </w:r>
    </w:p>
    <w:p w14:paraId="1DCD07B9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(b) Świadczenia Dodatkowe;</w:t>
      </w:r>
    </w:p>
    <w:p w14:paraId="413A2DC7" w14:textId="675B2B9C" w:rsidR="00776A4E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  <w:r w:rsidRPr="00D2781A">
        <w:rPr>
          <w:rFonts w:asciiTheme="minorHAnsi" w:hAnsiTheme="minorHAnsi" w:cstheme="minorHAnsi"/>
        </w:rPr>
        <w:t>(c) zwrot kosztów związanych ze sprawowaniem nadzoru</w:t>
      </w:r>
      <w:r w:rsidR="002D5080">
        <w:rPr>
          <w:rFonts w:asciiTheme="minorHAnsi" w:hAnsiTheme="minorHAnsi" w:cstheme="minorHAnsi"/>
        </w:rPr>
        <w:t>.</w:t>
      </w:r>
    </w:p>
    <w:p w14:paraId="56B2771E" w14:textId="77777777" w:rsidR="00D2781A" w:rsidRPr="00D2781A" w:rsidRDefault="00D2781A" w:rsidP="00D2781A">
      <w:pPr>
        <w:spacing w:line="276" w:lineRule="auto"/>
        <w:jc w:val="both"/>
        <w:rPr>
          <w:rFonts w:asciiTheme="minorHAnsi" w:hAnsiTheme="minorHAnsi" w:cstheme="minorHAnsi"/>
        </w:rPr>
      </w:pPr>
    </w:p>
    <w:p w14:paraId="67C37385" w14:textId="7FA442A2" w:rsidR="002D5080" w:rsidRPr="002D5080" w:rsidRDefault="002D5080" w:rsidP="002D5080">
      <w:pPr>
        <w:spacing w:line="276" w:lineRule="auto"/>
        <w:jc w:val="both"/>
        <w:rPr>
          <w:rFonts w:asciiTheme="minorHAnsi" w:hAnsiTheme="minorHAnsi" w:cstheme="minorHAnsi"/>
        </w:rPr>
      </w:pPr>
      <w:r w:rsidRPr="002D5080">
        <w:rPr>
          <w:rFonts w:asciiTheme="minorHAnsi" w:hAnsiTheme="minorHAnsi" w:cstheme="minorHAnsi"/>
        </w:rPr>
        <w:t xml:space="preserve">Wymienione </w:t>
      </w:r>
      <w:r>
        <w:rPr>
          <w:rFonts w:asciiTheme="minorHAnsi" w:hAnsiTheme="minorHAnsi" w:cstheme="minorHAnsi"/>
        </w:rPr>
        <w:t xml:space="preserve">powyżej </w:t>
      </w:r>
      <w:r w:rsidRPr="002D5080">
        <w:rPr>
          <w:rFonts w:asciiTheme="minorHAnsi" w:hAnsiTheme="minorHAnsi" w:cstheme="minorHAnsi"/>
        </w:rPr>
        <w:t>kategorie świadczeń należnych poszczególnym członkom Organów mają</w:t>
      </w:r>
    </w:p>
    <w:p w14:paraId="4E497D05" w14:textId="55A69297" w:rsidR="002D5080" w:rsidRDefault="002D5080" w:rsidP="002D5080">
      <w:pPr>
        <w:spacing w:line="276" w:lineRule="auto"/>
        <w:jc w:val="both"/>
        <w:rPr>
          <w:rFonts w:asciiTheme="minorHAnsi" w:hAnsiTheme="minorHAnsi" w:cstheme="minorHAnsi"/>
        </w:rPr>
      </w:pPr>
      <w:r w:rsidRPr="002D5080">
        <w:rPr>
          <w:rFonts w:asciiTheme="minorHAnsi" w:hAnsiTheme="minorHAnsi" w:cstheme="minorHAnsi"/>
        </w:rPr>
        <w:t>charakter nieobligatoryjny co oznacza, że konkretni członkowie Organów otrzymywać mogą niektóre,</w:t>
      </w:r>
      <w:r>
        <w:rPr>
          <w:rFonts w:asciiTheme="minorHAnsi" w:hAnsiTheme="minorHAnsi" w:cstheme="minorHAnsi"/>
        </w:rPr>
        <w:t xml:space="preserve"> </w:t>
      </w:r>
      <w:r w:rsidRPr="002D5080">
        <w:rPr>
          <w:rFonts w:asciiTheme="minorHAnsi" w:hAnsiTheme="minorHAnsi" w:cstheme="minorHAnsi"/>
        </w:rPr>
        <w:t>bądź wszystkie z nich. Możliwa jest również sytuacja, w której poszczególni członkowie Organów</w:t>
      </w:r>
      <w:r>
        <w:rPr>
          <w:rFonts w:asciiTheme="minorHAnsi" w:hAnsiTheme="minorHAnsi" w:cstheme="minorHAnsi"/>
        </w:rPr>
        <w:t xml:space="preserve"> </w:t>
      </w:r>
      <w:r w:rsidRPr="002D5080">
        <w:rPr>
          <w:rFonts w:asciiTheme="minorHAnsi" w:hAnsiTheme="minorHAnsi" w:cstheme="minorHAnsi"/>
        </w:rPr>
        <w:t>zrezygnują – tymczasowo, bądź na stałe – z części lub całości świadczeń należnych im od Spółki z tytułu</w:t>
      </w:r>
      <w:r>
        <w:rPr>
          <w:rFonts w:asciiTheme="minorHAnsi" w:hAnsiTheme="minorHAnsi" w:cstheme="minorHAnsi"/>
        </w:rPr>
        <w:t xml:space="preserve"> </w:t>
      </w:r>
      <w:r w:rsidRPr="002D5080">
        <w:rPr>
          <w:rFonts w:asciiTheme="minorHAnsi" w:hAnsiTheme="minorHAnsi" w:cstheme="minorHAnsi"/>
        </w:rPr>
        <w:t>zasiadania w jej Organach, a w takim wypadku pełnienie przez daną osobę w Organie funkcji będzie</w:t>
      </w:r>
      <w:r>
        <w:rPr>
          <w:rFonts w:asciiTheme="minorHAnsi" w:hAnsiTheme="minorHAnsi" w:cstheme="minorHAnsi"/>
        </w:rPr>
        <w:t xml:space="preserve"> </w:t>
      </w:r>
      <w:r w:rsidRPr="002D5080">
        <w:rPr>
          <w:rFonts w:asciiTheme="minorHAnsi" w:hAnsiTheme="minorHAnsi" w:cstheme="minorHAnsi"/>
        </w:rPr>
        <w:t>odbywało się na zasadach ad honorem</w:t>
      </w:r>
      <w:r w:rsidR="005139C9">
        <w:rPr>
          <w:rFonts w:asciiTheme="minorHAnsi" w:hAnsiTheme="minorHAnsi" w:cstheme="minorHAnsi"/>
        </w:rPr>
        <w:t>.</w:t>
      </w:r>
    </w:p>
    <w:p w14:paraId="71892487" w14:textId="77777777" w:rsidR="002D5080" w:rsidRDefault="002D5080" w:rsidP="00822E05">
      <w:pPr>
        <w:spacing w:line="276" w:lineRule="auto"/>
        <w:jc w:val="both"/>
        <w:rPr>
          <w:rFonts w:asciiTheme="minorHAnsi" w:hAnsiTheme="minorHAnsi" w:cstheme="minorHAnsi"/>
        </w:rPr>
      </w:pPr>
    </w:p>
    <w:p w14:paraId="1F0CAA62" w14:textId="63643ACF" w:rsidR="00822E05" w:rsidRPr="00822E05" w:rsidRDefault="00822E05" w:rsidP="00822E05">
      <w:pPr>
        <w:spacing w:line="276" w:lineRule="auto"/>
        <w:jc w:val="both"/>
        <w:rPr>
          <w:rFonts w:asciiTheme="minorHAnsi" w:hAnsiTheme="minorHAnsi" w:cstheme="minorHAnsi"/>
        </w:rPr>
      </w:pPr>
      <w:r w:rsidRPr="00822E05">
        <w:rPr>
          <w:rFonts w:asciiTheme="minorHAnsi" w:hAnsiTheme="minorHAnsi" w:cstheme="minorHAnsi"/>
        </w:rPr>
        <w:t xml:space="preserve">Kształtując wysokość elementów świadczeń przyznawanych członkom Organów </w:t>
      </w:r>
      <w:r w:rsidR="002D5080">
        <w:rPr>
          <w:rFonts w:asciiTheme="minorHAnsi" w:hAnsiTheme="minorHAnsi" w:cstheme="minorHAnsi"/>
        </w:rPr>
        <w:t xml:space="preserve">Spółki </w:t>
      </w:r>
      <w:r w:rsidRPr="00822E05">
        <w:rPr>
          <w:rFonts w:asciiTheme="minorHAnsi" w:hAnsiTheme="minorHAnsi" w:cstheme="minorHAnsi"/>
        </w:rPr>
        <w:t>uwzględni</w:t>
      </w:r>
      <w:r w:rsidR="002D5080">
        <w:rPr>
          <w:rFonts w:asciiTheme="minorHAnsi" w:hAnsiTheme="minorHAnsi" w:cstheme="minorHAnsi"/>
        </w:rPr>
        <w:t>a</w:t>
      </w:r>
      <w:r w:rsidRPr="00822E05">
        <w:rPr>
          <w:rFonts w:asciiTheme="minorHAnsi" w:hAnsiTheme="minorHAnsi" w:cstheme="minorHAnsi"/>
        </w:rPr>
        <w:t xml:space="preserve"> </w:t>
      </w:r>
      <w:r w:rsidR="002D5080">
        <w:rPr>
          <w:rFonts w:asciiTheme="minorHAnsi" w:hAnsiTheme="minorHAnsi" w:cstheme="minorHAnsi"/>
        </w:rPr>
        <w:t xml:space="preserve">się </w:t>
      </w:r>
      <w:r w:rsidRPr="00822E05">
        <w:rPr>
          <w:rFonts w:asciiTheme="minorHAnsi" w:hAnsiTheme="minorHAnsi" w:cstheme="minorHAnsi"/>
        </w:rPr>
        <w:t>w szczególności następujące zasady:</w:t>
      </w:r>
    </w:p>
    <w:p w14:paraId="4C9AE409" w14:textId="77777777" w:rsidR="00D2781A" w:rsidRDefault="00D2781A" w:rsidP="00822E05">
      <w:pPr>
        <w:spacing w:line="276" w:lineRule="auto"/>
        <w:jc w:val="both"/>
        <w:rPr>
          <w:rFonts w:asciiTheme="minorHAnsi" w:hAnsiTheme="minorHAnsi" w:cstheme="minorHAnsi"/>
        </w:rPr>
      </w:pPr>
    </w:p>
    <w:p w14:paraId="43F12933" w14:textId="1731105C" w:rsidR="00822E05" w:rsidRDefault="00822E05" w:rsidP="002D5080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</w:rPr>
      </w:pPr>
      <w:r w:rsidRPr="00D97B76">
        <w:rPr>
          <w:rFonts w:asciiTheme="minorHAnsi" w:hAnsiTheme="minorHAnsi" w:cstheme="minorHAnsi"/>
        </w:rPr>
        <w:t>w wypadku Wynagrodzenia Stałego – zakres obowiązków danego członka Organu, jego kompetencje i odpowiedzialność, wpływ na działalność Spółki i realizację jej strategii biznesowej oraz interesów, w tym w szczególności fakt zarządzania określonym Pionem. Wynagrodzenie Stałe nie jest uzależnione od wyników osiąganych przez Spółkę;</w:t>
      </w:r>
    </w:p>
    <w:p w14:paraId="1A5F3021" w14:textId="77777777" w:rsidR="002D5080" w:rsidRPr="00D97B76" w:rsidRDefault="002D5080" w:rsidP="00D97B76">
      <w:pPr>
        <w:pStyle w:val="Akapitzlist"/>
        <w:ind w:left="426" w:hanging="426"/>
        <w:jc w:val="both"/>
        <w:rPr>
          <w:rFonts w:asciiTheme="minorHAnsi" w:hAnsiTheme="minorHAnsi" w:cstheme="minorHAnsi"/>
        </w:rPr>
      </w:pPr>
    </w:p>
    <w:p w14:paraId="6F8912E0" w14:textId="77777777" w:rsidR="00376C5A" w:rsidRDefault="00376C5A" w:rsidP="00D97B76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15C65AD4" w14:textId="504D683F" w:rsidR="00822E05" w:rsidRPr="00D97B76" w:rsidRDefault="00822E05" w:rsidP="00D97B7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</w:rPr>
      </w:pPr>
      <w:r w:rsidRPr="00D97B76">
        <w:rPr>
          <w:rFonts w:asciiTheme="minorHAnsi" w:hAnsiTheme="minorHAnsi" w:cstheme="minorHAnsi"/>
        </w:rPr>
        <w:t xml:space="preserve">w wypadku Wynagrodzenia Zmiennego – realizację, odpowiednio, krótko-, średnio- </w:t>
      </w:r>
      <w:r w:rsidR="00D2781A" w:rsidRPr="00D97B76">
        <w:rPr>
          <w:rFonts w:asciiTheme="minorHAnsi" w:hAnsiTheme="minorHAnsi" w:cstheme="minorHAnsi"/>
        </w:rPr>
        <w:t>i</w:t>
      </w:r>
      <w:r w:rsidRPr="00D97B76">
        <w:rPr>
          <w:rFonts w:asciiTheme="minorHAnsi" w:hAnsiTheme="minorHAnsi" w:cstheme="minorHAnsi"/>
        </w:rPr>
        <w:t xml:space="preserve"> długoterminowych zadań wynikających ze strategii biznesowej Spółki oraz związanych z realizacją jej interesów. Celem, któremu służy przyznanie Wynagrodzenia Zmiennego lub jego elementu, może być w szczególności nagrodzenie za osiągnięcie zadań o charakterze ilościowym lub jakościowym;</w:t>
      </w:r>
    </w:p>
    <w:p w14:paraId="18152796" w14:textId="77777777" w:rsidR="00376C5A" w:rsidRDefault="00376C5A" w:rsidP="00D97B76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6C61FC73" w14:textId="44A51606" w:rsidR="00822E05" w:rsidRPr="00D97B76" w:rsidRDefault="00822E05" w:rsidP="00D97B7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</w:rPr>
      </w:pPr>
      <w:r w:rsidRPr="00D97B76">
        <w:rPr>
          <w:rFonts w:asciiTheme="minorHAnsi" w:hAnsiTheme="minorHAnsi" w:cstheme="minorHAnsi"/>
        </w:rPr>
        <w:t xml:space="preserve"> w wypadku Świadczeń Dodatkowych – wpływ danego świadczenia na możliwość i efektywność wykonywania funkcji przez członka Organu, w tym poprzez zapewnienie innych niż </w:t>
      </w:r>
      <w:r w:rsidRPr="00D97B76">
        <w:rPr>
          <w:rFonts w:asciiTheme="minorHAnsi" w:hAnsiTheme="minorHAnsi" w:cstheme="minorHAnsi"/>
        </w:rPr>
        <w:lastRenderedPageBreak/>
        <w:t xml:space="preserve">wynagrodzenie pieniężne czynników mobilizujących i motywujących do pełnienia powierzonej mu funkcji. Świadczenia Dodatkowe obejmować mogą, w szczególności, możliwość korzystania ze </w:t>
      </w:r>
      <w:r w:rsidR="006F4BC0" w:rsidRPr="00D97B76">
        <w:rPr>
          <w:rFonts w:asciiTheme="minorHAnsi" w:hAnsiTheme="minorHAnsi" w:cstheme="minorHAnsi"/>
        </w:rPr>
        <w:t>składników,</w:t>
      </w:r>
      <w:r w:rsidRPr="00D97B76">
        <w:rPr>
          <w:rFonts w:asciiTheme="minorHAnsi" w:hAnsiTheme="minorHAnsi" w:cstheme="minorHAnsi"/>
        </w:rPr>
        <w:t xml:space="preserve"> do których Spółce przysługuje tytuł prawny (w tym z takich narzędzi pracy jak samochód służbowy, komputer czy telefon komórkowy), pokrycie kosztów podróży, zapewnienie świadczeń zdrowotnych, sportowych, artystycznych lub edukacyjnych, czy też pokrycie składek z tytułu umowy ubezpieczenia.</w:t>
      </w:r>
    </w:p>
    <w:p w14:paraId="61AC2AD0" w14:textId="77777777" w:rsidR="00822E05" w:rsidRPr="00822E05" w:rsidRDefault="00822E05" w:rsidP="00822E05">
      <w:pPr>
        <w:spacing w:line="276" w:lineRule="auto"/>
        <w:jc w:val="both"/>
        <w:rPr>
          <w:rFonts w:asciiTheme="minorHAnsi" w:hAnsiTheme="minorHAnsi" w:cstheme="minorHAnsi"/>
        </w:rPr>
      </w:pPr>
    </w:p>
    <w:p w14:paraId="7AB28A9E" w14:textId="72551D5A" w:rsidR="00776A4E" w:rsidRPr="008C5022" w:rsidRDefault="00776A4E" w:rsidP="00776A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>Wysokość całkowitego wynagrodzenia w podziale na składniki, o których mowa w art. 90d ust. 3 pkt 1</w:t>
      </w:r>
      <w:r w:rsidR="00BB6AB8" w:rsidRPr="008C5022">
        <w:rPr>
          <w:rFonts w:asciiTheme="minorHAnsi" w:hAnsiTheme="minorHAnsi" w:cstheme="minorHAnsi"/>
          <w:b/>
          <w:bCs/>
        </w:rPr>
        <w:t xml:space="preserve"> </w:t>
      </w:r>
      <w:r w:rsidRPr="008C5022">
        <w:rPr>
          <w:rFonts w:asciiTheme="minorHAnsi" w:hAnsiTheme="minorHAnsi" w:cstheme="minorHAnsi"/>
          <w:b/>
          <w:bCs/>
        </w:rPr>
        <w:t xml:space="preserve">Ustawy o ofercie publicznej, oraz wzajemne proporcje między tymi składnikami wynagrodzenia </w:t>
      </w:r>
    </w:p>
    <w:p w14:paraId="58E02285" w14:textId="253783A6" w:rsidR="00022440" w:rsidRPr="008C5022" w:rsidRDefault="00022440" w:rsidP="0002244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C5B2D0B" w14:textId="77777777" w:rsidR="00022440" w:rsidRPr="008C5022" w:rsidRDefault="00022440" w:rsidP="00022440">
      <w:pPr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>Tabela nr 1 – Wynagrodzenia członków Zarządu i Rady Nadzorczej w roku obrotowym kończącym się 31 grudnia 2019 r.</w:t>
      </w:r>
    </w:p>
    <w:tbl>
      <w:tblPr>
        <w:tblStyle w:val="Tabela-Siatka1"/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992"/>
        <w:gridCol w:w="709"/>
        <w:gridCol w:w="567"/>
        <w:gridCol w:w="567"/>
        <w:gridCol w:w="1030"/>
        <w:gridCol w:w="1096"/>
      </w:tblGrid>
      <w:tr w:rsidR="008C5022" w:rsidRPr="008C5022" w14:paraId="14052110" w14:textId="77777777" w:rsidTr="006016EF">
        <w:trPr>
          <w:trHeight w:val="288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BC428" w14:textId="77777777" w:rsidR="00022440" w:rsidRPr="008C5022" w:rsidRDefault="00022440" w:rsidP="000224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0FF1C" w14:textId="77777777" w:rsidR="00022440" w:rsidRPr="008C5022" w:rsidRDefault="00022440" w:rsidP="000224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7A114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B2FD0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63D91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4CFF2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A62D1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D8E9E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5022" w:rsidRPr="008C5022" w14:paraId="1E8FE362" w14:textId="77777777" w:rsidTr="00B93A56">
        <w:trPr>
          <w:trHeight w:val="288"/>
        </w:trPr>
        <w:tc>
          <w:tcPr>
            <w:tcW w:w="1418" w:type="dxa"/>
            <w:vMerge w:val="restart"/>
            <w:noWrap/>
            <w:vAlign w:val="center"/>
            <w:hideMark/>
          </w:tcPr>
          <w:p w14:paraId="23D22F3E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  <w:p w14:paraId="516B1B7D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693" w:type="dxa"/>
            <w:gridSpan w:val="3"/>
            <w:vAlign w:val="center"/>
            <w:hideMark/>
          </w:tcPr>
          <w:p w14:paraId="150A6C92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Wynagrodzenie stałe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4BF3CE9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Wynagrodzenie zmienne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14:paraId="63486CFC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Świadczenia nietypowe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14:paraId="6C89F75B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wydatki emerytalne</w:t>
            </w:r>
          </w:p>
        </w:tc>
        <w:tc>
          <w:tcPr>
            <w:tcW w:w="1030" w:type="dxa"/>
            <w:vMerge w:val="restart"/>
            <w:textDirection w:val="btLr"/>
            <w:vAlign w:val="center"/>
            <w:hideMark/>
          </w:tcPr>
          <w:p w14:paraId="03E348E9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Całkowite wynagrodzenie</w:t>
            </w:r>
          </w:p>
        </w:tc>
        <w:tc>
          <w:tcPr>
            <w:tcW w:w="1096" w:type="dxa"/>
            <w:vMerge w:val="restart"/>
            <w:textDirection w:val="btLr"/>
            <w:vAlign w:val="center"/>
            <w:hideMark/>
          </w:tcPr>
          <w:p w14:paraId="4170C705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Proporcja wynagrodzenia stałego i zmiennego</w:t>
            </w:r>
          </w:p>
        </w:tc>
      </w:tr>
      <w:tr w:rsidR="008C5022" w:rsidRPr="008C5022" w14:paraId="5237B1B2" w14:textId="77777777" w:rsidTr="00B93A56">
        <w:trPr>
          <w:cantSplit/>
          <w:trHeight w:val="1444"/>
        </w:trPr>
        <w:tc>
          <w:tcPr>
            <w:tcW w:w="1418" w:type="dxa"/>
            <w:vMerge/>
            <w:hideMark/>
          </w:tcPr>
          <w:p w14:paraId="1112F4E8" w14:textId="77777777" w:rsidR="00022440" w:rsidRPr="008C5022" w:rsidRDefault="00022440" w:rsidP="000224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14:paraId="1F4A14A4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wynagrodzenie podstawowe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78069F6E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Świadczenia dodatkowe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311F4695" w14:textId="77777777" w:rsidR="00022440" w:rsidRPr="008C5022" w:rsidRDefault="00022440" w:rsidP="00B93A5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świadczenia zw. z rozwiązaniem stosunku pracy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17E39347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Zmienne roczne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1095D9C5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zmienne wieloletnie</w:t>
            </w:r>
          </w:p>
        </w:tc>
        <w:tc>
          <w:tcPr>
            <w:tcW w:w="567" w:type="dxa"/>
            <w:vMerge/>
            <w:vAlign w:val="center"/>
            <w:hideMark/>
          </w:tcPr>
          <w:p w14:paraId="5FD01F46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E4CAFEC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14:paraId="6F05D55C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4DD72873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C5022" w:rsidRPr="008C5022" w14:paraId="7D7B4D10" w14:textId="77777777" w:rsidTr="006016EF">
        <w:trPr>
          <w:trHeight w:val="962"/>
        </w:trPr>
        <w:tc>
          <w:tcPr>
            <w:tcW w:w="1418" w:type="dxa"/>
            <w:hideMark/>
          </w:tcPr>
          <w:p w14:paraId="3DA8E569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Rodolfo Muñiz</w:t>
            </w:r>
          </w:p>
          <w:p w14:paraId="1375CEA1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 xml:space="preserve"> Prezes Zarządu</w:t>
            </w:r>
          </w:p>
        </w:tc>
        <w:tc>
          <w:tcPr>
            <w:tcW w:w="992" w:type="dxa"/>
          </w:tcPr>
          <w:p w14:paraId="2984B607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744 000,00</w:t>
            </w:r>
          </w:p>
        </w:tc>
        <w:tc>
          <w:tcPr>
            <w:tcW w:w="851" w:type="dxa"/>
          </w:tcPr>
          <w:p w14:paraId="63480594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574 519,66</w:t>
            </w:r>
          </w:p>
        </w:tc>
        <w:tc>
          <w:tcPr>
            <w:tcW w:w="850" w:type="dxa"/>
          </w:tcPr>
          <w:p w14:paraId="5D0AF334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14:paraId="0820F613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117 000,00</w:t>
            </w:r>
          </w:p>
        </w:tc>
        <w:tc>
          <w:tcPr>
            <w:tcW w:w="709" w:type="dxa"/>
            <w:noWrap/>
          </w:tcPr>
          <w:p w14:paraId="738CE4C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7F30C69B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0D402A50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30" w:type="dxa"/>
            <w:noWrap/>
          </w:tcPr>
          <w:p w14:paraId="71A3F83B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1 435 519,66</w:t>
            </w:r>
          </w:p>
        </w:tc>
        <w:tc>
          <w:tcPr>
            <w:tcW w:w="1096" w:type="dxa"/>
            <w:hideMark/>
          </w:tcPr>
          <w:p w14:paraId="3A76DFFA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91,8 %</w:t>
            </w:r>
          </w:p>
        </w:tc>
      </w:tr>
      <w:tr w:rsidR="008C5022" w:rsidRPr="008C5022" w14:paraId="10ADC460" w14:textId="77777777" w:rsidTr="006016EF">
        <w:trPr>
          <w:trHeight w:val="962"/>
        </w:trPr>
        <w:tc>
          <w:tcPr>
            <w:tcW w:w="1418" w:type="dxa"/>
            <w:hideMark/>
          </w:tcPr>
          <w:p w14:paraId="7E485772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Krzysztof Orzełowski</w:t>
            </w:r>
          </w:p>
          <w:p w14:paraId="384F9B56" w14:textId="33BEB073" w:rsidR="00022440" w:rsidRPr="008C5022" w:rsidRDefault="00022440" w:rsidP="00B1362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 xml:space="preserve">Członek Zarządu - Dyrektor </w:t>
            </w:r>
            <w:r w:rsidR="00B13620">
              <w:rPr>
                <w:rFonts w:asciiTheme="minorHAnsi" w:hAnsiTheme="minorHAnsi" w:cstheme="minorHAnsi"/>
                <w:sz w:val="16"/>
                <w:szCs w:val="16"/>
              </w:rPr>
              <w:t>Relacji Rynkowych</w:t>
            </w:r>
          </w:p>
        </w:tc>
        <w:tc>
          <w:tcPr>
            <w:tcW w:w="992" w:type="dxa"/>
          </w:tcPr>
          <w:p w14:paraId="610713DF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384 000,00</w:t>
            </w:r>
          </w:p>
        </w:tc>
        <w:tc>
          <w:tcPr>
            <w:tcW w:w="851" w:type="dxa"/>
          </w:tcPr>
          <w:p w14:paraId="679245D9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1 396,02</w:t>
            </w:r>
          </w:p>
        </w:tc>
        <w:tc>
          <w:tcPr>
            <w:tcW w:w="850" w:type="dxa"/>
          </w:tcPr>
          <w:p w14:paraId="718E8EFD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14:paraId="0510751A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112 000,00</w:t>
            </w:r>
          </w:p>
        </w:tc>
        <w:tc>
          <w:tcPr>
            <w:tcW w:w="709" w:type="dxa"/>
            <w:noWrap/>
          </w:tcPr>
          <w:p w14:paraId="63691D37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5292BEB7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62AB565C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30" w:type="dxa"/>
            <w:noWrap/>
          </w:tcPr>
          <w:p w14:paraId="621CE62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497 396,02</w:t>
            </w:r>
          </w:p>
        </w:tc>
        <w:tc>
          <w:tcPr>
            <w:tcW w:w="1096" w:type="dxa"/>
            <w:hideMark/>
          </w:tcPr>
          <w:p w14:paraId="09B5709C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77,5 %</w:t>
            </w:r>
          </w:p>
        </w:tc>
      </w:tr>
      <w:tr w:rsidR="008C5022" w:rsidRPr="008C5022" w14:paraId="281A204C" w14:textId="77777777" w:rsidTr="006016EF">
        <w:trPr>
          <w:trHeight w:val="962"/>
        </w:trPr>
        <w:tc>
          <w:tcPr>
            <w:tcW w:w="1418" w:type="dxa"/>
            <w:hideMark/>
          </w:tcPr>
          <w:p w14:paraId="75535716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Andrzej Sterczyński</w:t>
            </w:r>
          </w:p>
          <w:p w14:paraId="1940DA62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Zarządu - Dyrektor Finansowy</w:t>
            </w:r>
          </w:p>
        </w:tc>
        <w:tc>
          <w:tcPr>
            <w:tcW w:w="992" w:type="dxa"/>
          </w:tcPr>
          <w:p w14:paraId="6806B0F3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441 000,00</w:t>
            </w:r>
          </w:p>
        </w:tc>
        <w:tc>
          <w:tcPr>
            <w:tcW w:w="851" w:type="dxa"/>
          </w:tcPr>
          <w:p w14:paraId="63BF41D4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1 551,41</w:t>
            </w:r>
          </w:p>
        </w:tc>
        <w:tc>
          <w:tcPr>
            <w:tcW w:w="850" w:type="dxa"/>
          </w:tcPr>
          <w:p w14:paraId="3B4D3CE7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14:paraId="1D26506C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126 000,00</w:t>
            </w:r>
          </w:p>
        </w:tc>
        <w:tc>
          <w:tcPr>
            <w:tcW w:w="709" w:type="dxa"/>
            <w:noWrap/>
          </w:tcPr>
          <w:p w14:paraId="61E8054A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1D1FE1B8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6B2310A8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30" w:type="dxa"/>
            <w:noWrap/>
          </w:tcPr>
          <w:p w14:paraId="3B42DB7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568 551,41</w:t>
            </w:r>
          </w:p>
        </w:tc>
        <w:tc>
          <w:tcPr>
            <w:tcW w:w="1096" w:type="dxa"/>
            <w:hideMark/>
          </w:tcPr>
          <w:p w14:paraId="0EE952CC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77,8 %</w:t>
            </w:r>
          </w:p>
        </w:tc>
      </w:tr>
      <w:tr w:rsidR="008C5022" w:rsidRPr="008C5022" w14:paraId="64377146" w14:textId="77777777" w:rsidTr="006016EF">
        <w:trPr>
          <w:trHeight w:val="962"/>
        </w:trPr>
        <w:tc>
          <w:tcPr>
            <w:tcW w:w="1418" w:type="dxa"/>
            <w:hideMark/>
          </w:tcPr>
          <w:p w14:paraId="0D55C254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Giordano Weschenfelder</w:t>
            </w:r>
          </w:p>
          <w:p w14:paraId="2E0CC544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Zarządu - Dyrektor Naczelny*</w:t>
            </w:r>
          </w:p>
        </w:tc>
        <w:tc>
          <w:tcPr>
            <w:tcW w:w="992" w:type="dxa"/>
          </w:tcPr>
          <w:p w14:paraId="3AF896BF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174 680,00</w:t>
            </w:r>
          </w:p>
        </w:tc>
        <w:tc>
          <w:tcPr>
            <w:tcW w:w="851" w:type="dxa"/>
          </w:tcPr>
          <w:p w14:paraId="6DBBFD7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119 654,67</w:t>
            </w:r>
          </w:p>
        </w:tc>
        <w:tc>
          <w:tcPr>
            <w:tcW w:w="850" w:type="dxa"/>
          </w:tcPr>
          <w:p w14:paraId="5FF6D302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14:paraId="1B09D06A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91 320,00</w:t>
            </w:r>
          </w:p>
        </w:tc>
        <w:tc>
          <w:tcPr>
            <w:tcW w:w="709" w:type="dxa"/>
            <w:noWrap/>
          </w:tcPr>
          <w:p w14:paraId="628D406E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5FEDB89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3DCE6F23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30" w:type="dxa"/>
            <w:noWrap/>
          </w:tcPr>
          <w:p w14:paraId="338A711A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385 654,67</w:t>
            </w:r>
          </w:p>
        </w:tc>
        <w:tc>
          <w:tcPr>
            <w:tcW w:w="1096" w:type="dxa"/>
            <w:hideMark/>
          </w:tcPr>
          <w:p w14:paraId="6121AEB0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76,3 %</w:t>
            </w:r>
          </w:p>
        </w:tc>
      </w:tr>
      <w:tr w:rsidR="008C5022" w:rsidRPr="008C5022" w14:paraId="20CC71D2" w14:textId="77777777" w:rsidTr="006016EF">
        <w:trPr>
          <w:trHeight w:val="962"/>
        </w:trPr>
        <w:tc>
          <w:tcPr>
            <w:tcW w:w="1418" w:type="dxa"/>
            <w:hideMark/>
          </w:tcPr>
          <w:p w14:paraId="175A5D87" w14:textId="77777777" w:rsidR="0083556C" w:rsidRPr="008C5022" w:rsidRDefault="0083556C" w:rsidP="008355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Michał Markowski</w:t>
            </w:r>
          </w:p>
          <w:p w14:paraId="58DA80EF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Rady Nadzorczej</w:t>
            </w:r>
          </w:p>
        </w:tc>
        <w:tc>
          <w:tcPr>
            <w:tcW w:w="992" w:type="dxa"/>
          </w:tcPr>
          <w:p w14:paraId="5191268B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36 000,00</w:t>
            </w:r>
          </w:p>
        </w:tc>
        <w:tc>
          <w:tcPr>
            <w:tcW w:w="851" w:type="dxa"/>
          </w:tcPr>
          <w:p w14:paraId="4880748B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90,00</w:t>
            </w:r>
          </w:p>
        </w:tc>
        <w:tc>
          <w:tcPr>
            <w:tcW w:w="850" w:type="dxa"/>
          </w:tcPr>
          <w:p w14:paraId="0303CE5E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14:paraId="4410A5C5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709" w:type="dxa"/>
            <w:noWrap/>
          </w:tcPr>
          <w:p w14:paraId="4DB44432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17A9038A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49F982A6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30" w:type="dxa"/>
            <w:noWrap/>
          </w:tcPr>
          <w:p w14:paraId="0415F905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36 090,00</w:t>
            </w:r>
          </w:p>
        </w:tc>
        <w:tc>
          <w:tcPr>
            <w:tcW w:w="1096" w:type="dxa"/>
            <w:hideMark/>
          </w:tcPr>
          <w:p w14:paraId="59FED8B5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  <w:tr w:rsidR="008C5022" w:rsidRPr="008C5022" w14:paraId="0FC1CD7D" w14:textId="77777777" w:rsidTr="006016EF">
        <w:trPr>
          <w:trHeight w:val="962"/>
        </w:trPr>
        <w:tc>
          <w:tcPr>
            <w:tcW w:w="1418" w:type="dxa"/>
            <w:hideMark/>
          </w:tcPr>
          <w:p w14:paraId="3D56F5EF" w14:textId="77777777" w:rsidR="0083556C" w:rsidRPr="008C5022" w:rsidRDefault="0083556C" w:rsidP="008355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Andrzej Kozłowski</w:t>
            </w:r>
          </w:p>
          <w:p w14:paraId="097232E5" w14:textId="63B66115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Rady Nadzorczej</w:t>
            </w:r>
          </w:p>
        </w:tc>
        <w:tc>
          <w:tcPr>
            <w:tcW w:w="992" w:type="dxa"/>
          </w:tcPr>
          <w:p w14:paraId="7D17242C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25 741,95</w:t>
            </w:r>
          </w:p>
        </w:tc>
        <w:tc>
          <w:tcPr>
            <w:tcW w:w="851" w:type="dxa"/>
          </w:tcPr>
          <w:p w14:paraId="7BD3B9E5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48F8799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14:paraId="1151A05F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709" w:type="dxa"/>
            <w:noWrap/>
          </w:tcPr>
          <w:p w14:paraId="0382214D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324430B5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567" w:type="dxa"/>
            <w:noWrap/>
          </w:tcPr>
          <w:p w14:paraId="7D0D7042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030" w:type="dxa"/>
            <w:noWrap/>
          </w:tcPr>
          <w:p w14:paraId="07989262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25 741,95</w:t>
            </w:r>
          </w:p>
        </w:tc>
        <w:tc>
          <w:tcPr>
            <w:tcW w:w="1096" w:type="dxa"/>
            <w:hideMark/>
          </w:tcPr>
          <w:p w14:paraId="03347D91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</w:tbl>
    <w:p w14:paraId="18F4F587" w14:textId="4F4A380D" w:rsidR="00022440" w:rsidRPr="008C5022" w:rsidRDefault="00022440" w:rsidP="00022440">
      <w:pPr>
        <w:jc w:val="both"/>
        <w:rPr>
          <w:rFonts w:asciiTheme="minorHAnsi" w:hAnsiTheme="minorHAnsi" w:cstheme="minorHAnsi"/>
          <w:sz w:val="20"/>
          <w:szCs w:val="20"/>
        </w:rPr>
      </w:pPr>
      <w:r w:rsidRPr="008C5022">
        <w:rPr>
          <w:rFonts w:asciiTheme="minorHAnsi" w:hAnsiTheme="minorHAnsi" w:cstheme="minorHAnsi"/>
          <w:sz w:val="20"/>
          <w:szCs w:val="20"/>
        </w:rPr>
        <w:t xml:space="preserve">* Pan </w:t>
      </w:r>
      <w:r w:rsidR="00B13620" w:rsidRPr="00B13620">
        <w:rPr>
          <w:rFonts w:asciiTheme="minorHAnsi" w:hAnsiTheme="minorHAnsi" w:cstheme="minorHAnsi"/>
          <w:sz w:val="20"/>
          <w:szCs w:val="20"/>
        </w:rPr>
        <w:t>Giordano Weschenfelder</w:t>
      </w:r>
      <w:r w:rsidRPr="008C5022">
        <w:rPr>
          <w:rFonts w:asciiTheme="minorHAnsi" w:hAnsiTheme="minorHAnsi" w:cstheme="minorHAnsi"/>
          <w:sz w:val="20"/>
          <w:szCs w:val="20"/>
        </w:rPr>
        <w:t xml:space="preserve"> został powołany z dniem 30 maja 2019r</w:t>
      </w:r>
    </w:p>
    <w:p w14:paraId="087C009B" w14:textId="6318B538" w:rsidR="00022440" w:rsidRDefault="00022440" w:rsidP="00022440">
      <w:pPr>
        <w:jc w:val="both"/>
        <w:rPr>
          <w:rFonts w:asciiTheme="minorHAnsi" w:hAnsiTheme="minorHAnsi" w:cstheme="minorHAnsi"/>
          <w:b/>
          <w:bCs/>
        </w:rPr>
      </w:pPr>
    </w:p>
    <w:p w14:paraId="45ED11B1" w14:textId="32CC7FCE" w:rsidR="002D5080" w:rsidRDefault="002D5080" w:rsidP="00022440">
      <w:pPr>
        <w:jc w:val="both"/>
        <w:rPr>
          <w:rFonts w:asciiTheme="minorHAnsi" w:hAnsiTheme="minorHAnsi" w:cstheme="minorHAnsi"/>
          <w:b/>
          <w:bCs/>
        </w:rPr>
      </w:pPr>
    </w:p>
    <w:p w14:paraId="6A4FC6C5" w14:textId="1189519B" w:rsidR="002D5080" w:rsidRDefault="002D5080" w:rsidP="00022440">
      <w:pPr>
        <w:jc w:val="both"/>
        <w:rPr>
          <w:rFonts w:asciiTheme="minorHAnsi" w:hAnsiTheme="minorHAnsi" w:cstheme="minorHAnsi"/>
          <w:b/>
          <w:bCs/>
        </w:rPr>
      </w:pPr>
    </w:p>
    <w:p w14:paraId="5C0C5936" w14:textId="60C74568" w:rsidR="002D5080" w:rsidRDefault="002D5080" w:rsidP="00022440">
      <w:pPr>
        <w:jc w:val="both"/>
        <w:rPr>
          <w:rFonts w:asciiTheme="minorHAnsi" w:hAnsiTheme="minorHAnsi" w:cstheme="minorHAnsi"/>
          <w:b/>
          <w:bCs/>
        </w:rPr>
      </w:pPr>
    </w:p>
    <w:p w14:paraId="57BE89FC" w14:textId="43C07545" w:rsidR="002D5080" w:rsidRDefault="002D5080" w:rsidP="00022440">
      <w:pPr>
        <w:jc w:val="both"/>
        <w:rPr>
          <w:rFonts w:asciiTheme="minorHAnsi" w:hAnsiTheme="minorHAnsi" w:cstheme="minorHAnsi"/>
          <w:b/>
          <w:bCs/>
        </w:rPr>
      </w:pPr>
    </w:p>
    <w:p w14:paraId="495FA10C" w14:textId="77777777" w:rsidR="002D5080" w:rsidRPr="008C5022" w:rsidRDefault="002D5080" w:rsidP="00022440">
      <w:pPr>
        <w:jc w:val="both"/>
        <w:rPr>
          <w:rFonts w:asciiTheme="minorHAnsi" w:hAnsiTheme="minorHAnsi" w:cstheme="minorHAnsi"/>
          <w:b/>
          <w:bCs/>
        </w:rPr>
      </w:pPr>
    </w:p>
    <w:p w14:paraId="44AFC6ED" w14:textId="77777777" w:rsidR="00022440" w:rsidRPr="008C5022" w:rsidRDefault="00022440" w:rsidP="00022440">
      <w:pPr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  <w:b/>
          <w:bCs/>
        </w:rPr>
        <w:lastRenderedPageBreak/>
        <w:t>Tabela nr 2 – Wynagrodzenia członków Zarządu i Rady Nadzorczej w roku obrotowym kończącym się 31 grudnia 2020 r.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709"/>
        <w:gridCol w:w="709"/>
        <w:gridCol w:w="817"/>
        <w:gridCol w:w="567"/>
        <w:gridCol w:w="567"/>
        <w:gridCol w:w="1134"/>
        <w:gridCol w:w="1167"/>
      </w:tblGrid>
      <w:tr w:rsidR="008C5022" w:rsidRPr="008C5022" w14:paraId="5E3C705E" w14:textId="77777777" w:rsidTr="00B93A56">
        <w:trPr>
          <w:trHeight w:val="288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F3CE1" w14:textId="77777777" w:rsidR="00022440" w:rsidRPr="008C5022" w:rsidRDefault="00022440" w:rsidP="000224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F41DB" w14:textId="77777777" w:rsidR="00022440" w:rsidRPr="008C5022" w:rsidRDefault="00022440" w:rsidP="000224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E3849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23E88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5C48C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1D9DE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FFD87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E02C0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5022" w:rsidRPr="008C5022" w14:paraId="45878BEE" w14:textId="77777777" w:rsidTr="00B93A56">
        <w:trPr>
          <w:trHeight w:val="288"/>
        </w:trPr>
        <w:tc>
          <w:tcPr>
            <w:tcW w:w="1418" w:type="dxa"/>
            <w:vMerge w:val="restart"/>
            <w:noWrap/>
            <w:vAlign w:val="center"/>
            <w:hideMark/>
          </w:tcPr>
          <w:p w14:paraId="4FAFA036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  <w:p w14:paraId="1FA21E32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693" w:type="dxa"/>
            <w:gridSpan w:val="3"/>
            <w:vAlign w:val="center"/>
            <w:hideMark/>
          </w:tcPr>
          <w:p w14:paraId="296D3131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Wynagrodzenie stałe</w:t>
            </w:r>
          </w:p>
        </w:tc>
        <w:tc>
          <w:tcPr>
            <w:tcW w:w="1526" w:type="dxa"/>
            <w:gridSpan w:val="2"/>
            <w:vAlign w:val="center"/>
            <w:hideMark/>
          </w:tcPr>
          <w:p w14:paraId="5D04F426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Wynagrodzenie zmienne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14:paraId="22173D5C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Świadczenia nietypowe</w:t>
            </w:r>
          </w:p>
        </w:tc>
        <w:tc>
          <w:tcPr>
            <w:tcW w:w="567" w:type="dxa"/>
            <w:vMerge w:val="restart"/>
            <w:textDirection w:val="btLr"/>
            <w:vAlign w:val="center"/>
            <w:hideMark/>
          </w:tcPr>
          <w:p w14:paraId="7099A6F2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wydatki emerytalne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51A6786A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Całkowite wynagrodzenie</w:t>
            </w:r>
          </w:p>
        </w:tc>
        <w:tc>
          <w:tcPr>
            <w:tcW w:w="1167" w:type="dxa"/>
            <w:vMerge w:val="restart"/>
            <w:textDirection w:val="btLr"/>
            <w:vAlign w:val="center"/>
            <w:hideMark/>
          </w:tcPr>
          <w:p w14:paraId="7A6666ED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Proporcja wynagrodzenia stałego i zmiennego</w:t>
            </w:r>
          </w:p>
        </w:tc>
      </w:tr>
      <w:tr w:rsidR="008C5022" w:rsidRPr="008C5022" w14:paraId="6A8FC9EA" w14:textId="77777777" w:rsidTr="00B93A56">
        <w:trPr>
          <w:cantSplit/>
          <w:trHeight w:val="1587"/>
        </w:trPr>
        <w:tc>
          <w:tcPr>
            <w:tcW w:w="1418" w:type="dxa"/>
            <w:vMerge/>
            <w:hideMark/>
          </w:tcPr>
          <w:p w14:paraId="7C1010C9" w14:textId="77777777" w:rsidR="00022440" w:rsidRPr="008C5022" w:rsidRDefault="00022440" w:rsidP="0002244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14:paraId="0F60DB5F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wynagrodzenie podstawowe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11CC71CE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Świadczenia dodatkowe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6B369857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świadczenia zw. z rozwiązaniem stosunku pracy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287F3DC3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Zmienne roczne</w:t>
            </w:r>
          </w:p>
        </w:tc>
        <w:tc>
          <w:tcPr>
            <w:tcW w:w="817" w:type="dxa"/>
            <w:textDirection w:val="btLr"/>
            <w:vAlign w:val="center"/>
            <w:hideMark/>
          </w:tcPr>
          <w:p w14:paraId="34713AEE" w14:textId="77777777" w:rsidR="00022440" w:rsidRPr="008C5022" w:rsidRDefault="00022440" w:rsidP="0002244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zmienne wieloletnie</w:t>
            </w:r>
          </w:p>
        </w:tc>
        <w:tc>
          <w:tcPr>
            <w:tcW w:w="567" w:type="dxa"/>
            <w:vMerge/>
            <w:vAlign w:val="center"/>
            <w:hideMark/>
          </w:tcPr>
          <w:p w14:paraId="76EE952C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9DDBB96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72340D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14:paraId="5A437FEF" w14:textId="77777777" w:rsidR="00022440" w:rsidRPr="008C5022" w:rsidRDefault="00022440" w:rsidP="000224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C5022" w:rsidRPr="008C5022" w14:paraId="338C3728" w14:textId="77777777" w:rsidTr="00B93A56">
        <w:trPr>
          <w:trHeight w:val="839"/>
        </w:trPr>
        <w:tc>
          <w:tcPr>
            <w:tcW w:w="1418" w:type="dxa"/>
            <w:hideMark/>
          </w:tcPr>
          <w:p w14:paraId="29420AE6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Rodolfo Muñiz</w:t>
            </w:r>
          </w:p>
          <w:p w14:paraId="65A8DAD1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 xml:space="preserve"> Prezes Zarządu</w:t>
            </w:r>
          </w:p>
        </w:tc>
        <w:tc>
          <w:tcPr>
            <w:tcW w:w="992" w:type="dxa"/>
          </w:tcPr>
          <w:p w14:paraId="19DF65C9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826 800,00</w:t>
            </w:r>
          </w:p>
        </w:tc>
        <w:tc>
          <w:tcPr>
            <w:tcW w:w="992" w:type="dxa"/>
          </w:tcPr>
          <w:p w14:paraId="2A508C0A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459 979,25</w:t>
            </w:r>
          </w:p>
        </w:tc>
        <w:tc>
          <w:tcPr>
            <w:tcW w:w="709" w:type="dxa"/>
          </w:tcPr>
          <w:p w14:paraId="6F192210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</w:tcPr>
          <w:p w14:paraId="323CB620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17" w:type="dxa"/>
            <w:noWrap/>
          </w:tcPr>
          <w:p w14:paraId="5E23BC45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1BFA8A52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75992ACD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100BF176" w14:textId="77777777" w:rsidR="00022440" w:rsidRPr="00B93A56" w:rsidRDefault="00022440" w:rsidP="000224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1 286 779,25</w:t>
            </w:r>
          </w:p>
        </w:tc>
        <w:tc>
          <w:tcPr>
            <w:tcW w:w="1167" w:type="dxa"/>
            <w:hideMark/>
          </w:tcPr>
          <w:p w14:paraId="353B006D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  <w:tr w:rsidR="008C5022" w:rsidRPr="008C5022" w14:paraId="77D29D29" w14:textId="77777777" w:rsidTr="00B93A56">
        <w:trPr>
          <w:trHeight w:val="839"/>
        </w:trPr>
        <w:tc>
          <w:tcPr>
            <w:tcW w:w="1418" w:type="dxa"/>
            <w:hideMark/>
          </w:tcPr>
          <w:p w14:paraId="252CC00A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Krzysztof Orzełowski</w:t>
            </w:r>
          </w:p>
          <w:p w14:paraId="40D0168D" w14:textId="0D5A5A7A" w:rsidR="00022440" w:rsidRPr="008C5022" w:rsidRDefault="00022440" w:rsidP="00B1362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 xml:space="preserve">Członek Zarządu - Dyrektor </w:t>
            </w:r>
            <w:r w:rsidR="00B13620">
              <w:rPr>
                <w:rFonts w:asciiTheme="minorHAnsi" w:hAnsiTheme="minorHAnsi" w:cstheme="minorHAnsi"/>
                <w:sz w:val="16"/>
                <w:szCs w:val="16"/>
              </w:rPr>
              <w:t>Marketingu</w:t>
            </w:r>
          </w:p>
        </w:tc>
        <w:tc>
          <w:tcPr>
            <w:tcW w:w="992" w:type="dxa"/>
          </w:tcPr>
          <w:p w14:paraId="09FDEDAD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364 800,00</w:t>
            </w:r>
          </w:p>
        </w:tc>
        <w:tc>
          <w:tcPr>
            <w:tcW w:w="992" w:type="dxa"/>
          </w:tcPr>
          <w:p w14:paraId="6D93C024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2 107,95</w:t>
            </w:r>
          </w:p>
        </w:tc>
        <w:tc>
          <w:tcPr>
            <w:tcW w:w="709" w:type="dxa"/>
          </w:tcPr>
          <w:p w14:paraId="583F0B0E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</w:tcPr>
          <w:p w14:paraId="0597FA2C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17" w:type="dxa"/>
            <w:noWrap/>
          </w:tcPr>
          <w:p w14:paraId="3265148B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6AD1F8ED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14479389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18F3B6EE" w14:textId="77777777" w:rsidR="00022440" w:rsidRPr="00B93A56" w:rsidRDefault="00022440" w:rsidP="000224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366 907,95</w:t>
            </w:r>
          </w:p>
        </w:tc>
        <w:tc>
          <w:tcPr>
            <w:tcW w:w="1167" w:type="dxa"/>
            <w:hideMark/>
          </w:tcPr>
          <w:p w14:paraId="58BD78DD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  <w:tr w:rsidR="008C5022" w:rsidRPr="008C5022" w14:paraId="48F009E4" w14:textId="77777777" w:rsidTr="00B93A56">
        <w:trPr>
          <w:trHeight w:val="839"/>
        </w:trPr>
        <w:tc>
          <w:tcPr>
            <w:tcW w:w="1418" w:type="dxa"/>
            <w:hideMark/>
          </w:tcPr>
          <w:p w14:paraId="65E416CB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Andrzej Sterczyński</w:t>
            </w:r>
          </w:p>
          <w:p w14:paraId="7A4B4EF9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Zarządu - Dyrektor Finansowy</w:t>
            </w:r>
          </w:p>
        </w:tc>
        <w:tc>
          <w:tcPr>
            <w:tcW w:w="992" w:type="dxa"/>
          </w:tcPr>
          <w:p w14:paraId="36218F82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418 950,00</w:t>
            </w:r>
          </w:p>
        </w:tc>
        <w:tc>
          <w:tcPr>
            <w:tcW w:w="992" w:type="dxa"/>
          </w:tcPr>
          <w:p w14:paraId="408B3B2E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2 272,63</w:t>
            </w:r>
          </w:p>
        </w:tc>
        <w:tc>
          <w:tcPr>
            <w:tcW w:w="709" w:type="dxa"/>
          </w:tcPr>
          <w:p w14:paraId="386A1C18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</w:tcPr>
          <w:p w14:paraId="59C48A07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17" w:type="dxa"/>
            <w:noWrap/>
          </w:tcPr>
          <w:p w14:paraId="63F0090E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0A98481D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0F1334D7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6EDEC756" w14:textId="77777777" w:rsidR="00022440" w:rsidRPr="00B93A56" w:rsidRDefault="00022440" w:rsidP="000224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421 222,63</w:t>
            </w:r>
          </w:p>
        </w:tc>
        <w:tc>
          <w:tcPr>
            <w:tcW w:w="1167" w:type="dxa"/>
            <w:hideMark/>
          </w:tcPr>
          <w:p w14:paraId="73922706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  <w:tr w:rsidR="008C5022" w:rsidRPr="008C5022" w14:paraId="7EB37D26" w14:textId="77777777" w:rsidTr="00B93A56">
        <w:trPr>
          <w:trHeight w:val="839"/>
        </w:trPr>
        <w:tc>
          <w:tcPr>
            <w:tcW w:w="1418" w:type="dxa"/>
            <w:hideMark/>
          </w:tcPr>
          <w:p w14:paraId="3BB83B48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Giordano Weschenfelder</w:t>
            </w:r>
          </w:p>
          <w:p w14:paraId="25C70FA0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Zarządu - Dyrektor Naczelny</w:t>
            </w:r>
          </w:p>
        </w:tc>
        <w:tc>
          <w:tcPr>
            <w:tcW w:w="992" w:type="dxa"/>
          </w:tcPr>
          <w:p w14:paraId="60AF3820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454 831,87</w:t>
            </w:r>
          </w:p>
        </w:tc>
        <w:tc>
          <w:tcPr>
            <w:tcW w:w="992" w:type="dxa"/>
          </w:tcPr>
          <w:p w14:paraId="3D091D02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185 781,43</w:t>
            </w:r>
          </w:p>
        </w:tc>
        <w:tc>
          <w:tcPr>
            <w:tcW w:w="709" w:type="dxa"/>
          </w:tcPr>
          <w:p w14:paraId="21AAB975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</w:tcPr>
          <w:p w14:paraId="2D998E47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17" w:type="dxa"/>
            <w:noWrap/>
          </w:tcPr>
          <w:p w14:paraId="76F40C49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0B884C33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06E007CA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5B9779E4" w14:textId="77777777" w:rsidR="00022440" w:rsidRPr="00B93A56" w:rsidRDefault="00022440" w:rsidP="000224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640 613,30</w:t>
            </w:r>
          </w:p>
        </w:tc>
        <w:tc>
          <w:tcPr>
            <w:tcW w:w="1167" w:type="dxa"/>
            <w:hideMark/>
          </w:tcPr>
          <w:p w14:paraId="5D2C11CB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  <w:tr w:rsidR="008C5022" w:rsidRPr="008C5022" w14:paraId="48E6C32D" w14:textId="77777777" w:rsidTr="00B93A56">
        <w:trPr>
          <w:trHeight w:val="839"/>
        </w:trPr>
        <w:tc>
          <w:tcPr>
            <w:tcW w:w="1418" w:type="dxa"/>
            <w:hideMark/>
          </w:tcPr>
          <w:p w14:paraId="46D503EE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Michał Markowski</w:t>
            </w:r>
          </w:p>
          <w:p w14:paraId="7504954E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Rady Nadzorczej</w:t>
            </w:r>
          </w:p>
        </w:tc>
        <w:tc>
          <w:tcPr>
            <w:tcW w:w="992" w:type="dxa"/>
          </w:tcPr>
          <w:p w14:paraId="4BE0B4FD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36 526,91</w:t>
            </w:r>
          </w:p>
        </w:tc>
        <w:tc>
          <w:tcPr>
            <w:tcW w:w="992" w:type="dxa"/>
          </w:tcPr>
          <w:p w14:paraId="068C3E3B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540,00</w:t>
            </w:r>
          </w:p>
        </w:tc>
        <w:tc>
          <w:tcPr>
            <w:tcW w:w="709" w:type="dxa"/>
          </w:tcPr>
          <w:p w14:paraId="4D3C1BA0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</w:tcPr>
          <w:p w14:paraId="15FC99D3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17" w:type="dxa"/>
            <w:noWrap/>
          </w:tcPr>
          <w:p w14:paraId="16A5FF2F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793B6525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</w:tcPr>
          <w:p w14:paraId="76A429AF" w14:textId="77777777" w:rsidR="00022440" w:rsidRPr="00B93A56" w:rsidRDefault="00022440" w:rsidP="000224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12E0187C" w14:textId="77777777" w:rsidR="00022440" w:rsidRPr="00B93A56" w:rsidRDefault="00022440" w:rsidP="000224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37 066,91</w:t>
            </w:r>
          </w:p>
        </w:tc>
        <w:tc>
          <w:tcPr>
            <w:tcW w:w="1167" w:type="dxa"/>
            <w:hideMark/>
          </w:tcPr>
          <w:p w14:paraId="3A1814E7" w14:textId="77777777" w:rsidR="00022440" w:rsidRPr="008C5022" w:rsidRDefault="00022440" w:rsidP="0002244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</w:tbl>
    <w:p w14:paraId="5EDC4E2C" w14:textId="77777777" w:rsidR="00022440" w:rsidRPr="008C5022" w:rsidRDefault="00022440" w:rsidP="00776A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F5D7FD" w14:textId="414A1BC1" w:rsidR="00BB6AB8" w:rsidRDefault="00BB6AB8" w:rsidP="008249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1B39F03" w14:textId="5F6B6353" w:rsidR="00635B93" w:rsidRDefault="00635B93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84D423F" w14:textId="14C95DA4" w:rsidR="002F1C09" w:rsidRPr="008C5022" w:rsidRDefault="002F1C09" w:rsidP="002F1C09">
      <w:pPr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  <w:b/>
          <w:bCs/>
        </w:rPr>
        <w:lastRenderedPageBreak/>
        <w:t xml:space="preserve">Tabela nr </w:t>
      </w:r>
      <w:r>
        <w:rPr>
          <w:rFonts w:asciiTheme="minorHAnsi" w:hAnsiTheme="minorHAnsi" w:cstheme="minorHAnsi"/>
          <w:b/>
          <w:bCs/>
        </w:rPr>
        <w:t>3</w:t>
      </w:r>
      <w:r w:rsidRPr="008C5022">
        <w:rPr>
          <w:rFonts w:asciiTheme="minorHAnsi" w:hAnsiTheme="minorHAnsi" w:cstheme="minorHAnsi"/>
          <w:b/>
          <w:bCs/>
        </w:rPr>
        <w:t xml:space="preserve"> – Wynagrodzenia członków Zarządu i Rady Nadzorczej w roku obrotowym kończącym się 31 grudnia 202</w:t>
      </w:r>
      <w:r>
        <w:rPr>
          <w:rFonts w:asciiTheme="minorHAnsi" w:hAnsiTheme="minorHAnsi" w:cstheme="minorHAnsi"/>
          <w:b/>
          <w:bCs/>
        </w:rPr>
        <w:t>1</w:t>
      </w:r>
      <w:r w:rsidRPr="008C5022">
        <w:rPr>
          <w:rFonts w:asciiTheme="minorHAnsi" w:hAnsiTheme="minorHAnsi" w:cstheme="minorHAnsi"/>
          <w:b/>
          <w:bCs/>
        </w:rPr>
        <w:t xml:space="preserve"> r.</w:t>
      </w:r>
    </w:p>
    <w:tbl>
      <w:tblPr>
        <w:tblStyle w:val="Tabela-Siatka2"/>
        <w:tblW w:w="9500" w:type="dxa"/>
        <w:tblLayout w:type="fixed"/>
        <w:tblLook w:val="04A0" w:firstRow="1" w:lastRow="0" w:firstColumn="1" w:lastColumn="0" w:noHBand="0" w:noVBand="1"/>
      </w:tblPr>
      <w:tblGrid>
        <w:gridCol w:w="1418"/>
        <w:gridCol w:w="1100"/>
        <w:gridCol w:w="992"/>
        <w:gridCol w:w="179"/>
        <w:gridCol w:w="530"/>
        <w:gridCol w:w="888"/>
        <w:gridCol w:w="709"/>
        <w:gridCol w:w="671"/>
        <w:gridCol w:w="604"/>
        <w:gridCol w:w="1134"/>
        <w:gridCol w:w="1275"/>
      </w:tblGrid>
      <w:tr w:rsidR="002F1C09" w:rsidRPr="008C5022" w14:paraId="1D3FE597" w14:textId="77777777" w:rsidTr="00B93A56">
        <w:trPr>
          <w:trHeight w:val="288"/>
        </w:trPr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34C11" w14:textId="77777777" w:rsidR="002F1C09" w:rsidRPr="008C5022" w:rsidRDefault="002F1C09" w:rsidP="00B93A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A1891" w14:textId="77777777" w:rsidR="002F1C09" w:rsidRPr="008C5022" w:rsidRDefault="002F1C09" w:rsidP="00B93A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D5E32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3971B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8B2B5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CCA08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F6D8C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A6920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C09" w:rsidRPr="008C5022" w14:paraId="2F03E2AE" w14:textId="77777777" w:rsidTr="00B93A56">
        <w:trPr>
          <w:trHeight w:val="288"/>
        </w:trPr>
        <w:tc>
          <w:tcPr>
            <w:tcW w:w="1418" w:type="dxa"/>
            <w:vMerge w:val="restart"/>
            <w:noWrap/>
            <w:vAlign w:val="center"/>
            <w:hideMark/>
          </w:tcPr>
          <w:p w14:paraId="37579A2A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  <w:p w14:paraId="36C1FB99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801" w:type="dxa"/>
            <w:gridSpan w:val="4"/>
            <w:vAlign w:val="center"/>
            <w:hideMark/>
          </w:tcPr>
          <w:p w14:paraId="4ADDFB37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Wynagrodzenie stałe</w:t>
            </w:r>
          </w:p>
        </w:tc>
        <w:tc>
          <w:tcPr>
            <w:tcW w:w="1597" w:type="dxa"/>
            <w:gridSpan w:val="2"/>
            <w:vAlign w:val="center"/>
            <w:hideMark/>
          </w:tcPr>
          <w:p w14:paraId="40FB56A1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Wynagrodzenie zmienne</w:t>
            </w:r>
          </w:p>
        </w:tc>
        <w:tc>
          <w:tcPr>
            <w:tcW w:w="671" w:type="dxa"/>
            <w:vMerge w:val="restart"/>
            <w:textDirection w:val="btLr"/>
            <w:vAlign w:val="center"/>
            <w:hideMark/>
          </w:tcPr>
          <w:p w14:paraId="05373CAD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Świadczenia nietypowe</w:t>
            </w:r>
          </w:p>
        </w:tc>
        <w:tc>
          <w:tcPr>
            <w:tcW w:w="604" w:type="dxa"/>
            <w:vMerge w:val="restart"/>
            <w:textDirection w:val="btLr"/>
            <w:vAlign w:val="center"/>
            <w:hideMark/>
          </w:tcPr>
          <w:p w14:paraId="331F78B0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wydatki emerytalne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5965C87C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Całkowite wynagrodzenie</w:t>
            </w:r>
          </w:p>
        </w:tc>
        <w:tc>
          <w:tcPr>
            <w:tcW w:w="1275" w:type="dxa"/>
            <w:vMerge w:val="restart"/>
            <w:textDirection w:val="btLr"/>
            <w:vAlign w:val="center"/>
            <w:hideMark/>
          </w:tcPr>
          <w:p w14:paraId="30C92101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Proporcja wynagrodzenia stałego i zmiennego</w:t>
            </w:r>
          </w:p>
        </w:tc>
      </w:tr>
      <w:tr w:rsidR="002F1C09" w:rsidRPr="008C5022" w14:paraId="241D2924" w14:textId="77777777" w:rsidTr="00B93A56">
        <w:trPr>
          <w:cantSplit/>
          <w:trHeight w:val="1587"/>
        </w:trPr>
        <w:tc>
          <w:tcPr>
            <w:tcW w:w="1418" w:type="dxa"/>
            <w:vMerge/>
            <w:hideMark/>
          </w:tcPr>
          <w:p w14:paraId="431BF358" w14:textId="77777777" w:rsidR="002F1C09" w:rsidRPr="008C5022" w:rsidRDefault="002F1C09" w:rsidP="00B93A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extDirection w:val="btLr"/>
            <w:vAlign w:val="center"/>
            <w:hideMark/>
          </w:tcPr>
          <w:p w14:paraId="22535169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wynagrodzenie podstawowe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7166E5D5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Świadczenia dodatkowe</w:t>
            </w:r>
          </w:p>
        </w:tc>
        <w:tc>
          <w:tcPr>
            <w:tcW w:w="709" w:type="dxa"/>
            <w:gridSpan w:val="2"/>
            <w:textDirection w:val="btLr"/>
            <w:vAlign w:val="center"/>
            <w:hideMark/>
          </w:tcPr>
          <w:p w14:paraId="138C2188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świadczenia zw. z rozwiązaniem stosunku pracy</w:t>
            </w:r>
          </w:p>
        </w:tc>
        <w:tc>
          <w:tcPr>
            <w:tcW w:w="888" w:type="dxa"/>
            <w:textDirection w:val="btLr"/>
            <w:vAlign w:val="center"/>
            <w:hideMark/>
          </w:tcPr>
          <w:p w14:paraId="01EF0958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Zmienne roczne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4A462B84" w14:textId="77777777" w:rsidR="002F1C09" w:rsidRPr="008C5022" w:rsidRDefault="002F1C09" w:rsidP="00B93A5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022">
              <w:rPr>
                <w:rFonts w:asciiTheme="minorHAnsi" w:hAnsiTheme="minorHAnsi" w:cstheme="minorHAnsi"/>
                <w:sz w:val="20"/>
                <w:szCs w:val="20"/>
              </w:rPr>
              <w:t>zmienne wieloletnie</w:t>
            </w:r>
          </w:p>
        </w:tc>
        <w:tc>
          <w:tcPr>
            <w:tcW w:w="671" w:type="dxa"/>
            <w:vMerge/>
            <w:vAlign w:val="center"/>
            <w:hideMark/>
          </w:tcPr>
          <w:p w14:paraId="010049CA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vMerge/>
            <w:vAlign w:val="center"/>
            <w:hideMark/>
          </w:tcPr>
          <w:p w14:paraId="031B84E8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C66670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354B7D4" w14:textId="77777777" w:rsidR="002F1C09" w:rsidRPr="008C5022" w:rsidRDefault="002F1C09" w:rsidP="00B93A5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F1C09" w:rsidRPr="008C5022" w14:paraId="410C3748" w14:textId="77777777" w:rsidTr="00B93A56">
        <w:trPr>
          <w:trHeight w:val="839"/>
        </w:trPr>
        <w:tc>
          <w:tcPr>
            <w:tcW w:w="1418" w:type="dxa"/>
            <w:hideMark/>
          </w:tcPr>
          <w:p w14:paraId="0DC01DDA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Rodolfo Muñiz</w:t>
            </w:r>
          </w:p>
          <w:p w14:paraId="1E45EA85" w14:textId="77777777" w:rsidR="002F1C09" w:rsidRPr="008C5022" w:rsidRDefault="002F1C09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 xml:space="preserve"> Prezes Zarządu</w:t>
            </w:r>
          </w:p>
        </w:tc>
        <w:tc>
          <w:tcPr>
            <w:tcW w:w="1100" w:type="dxa"/>
          </w:tcPr>
          <w:p w14:paraId="7B42BE3D" w14:textId="58024646" w:rsidR="002F1C09" w:rsidRPr="00B93A56" w:rsidRDefault="00BE4A9C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1 358 400,00</w:t>
            </w:r>
          </w:p>
        </w:tc>
        <w:tc>
          <w:tcPr>
            <w:tcW w:w="992" w:type="dxa"/>
          </w:tcPr>
          <w:p w14:paraId="4A8926C4" w14:textId="5239268A" w:rsidR="002F1C09" w:rsidRPr="00B93A56" w:rsidRDefault="00BE4A9C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685 601,99</w:t>
            </w:r>
          </w:p>
        </w:tc>
        <w:tc>
          <w:tcPr>
            <w:tcW w:w="709" w:type="dxa"/>
            <w:gridSpan w:val="2"/>
          </w:tcPr>
          <w:p w14:paraId="0AA109BE" w14:textId="7CD87964" w:rsidR="002F1C09" w:rsidRPr="00B93A56" w:rsidRDefault="000B2C95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88" w:type="dxa"/>
            <w:noWrap/>
          </w:tcPr>
          <w:p w14:paraId="5EFF7E03" w14:textId="29D23EFB" w:rsidR="002F1C09" w:rsidRPr="00B93A56" w:rsidRDefault="00EE0040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0.00</w:t>
            </w:r>
          </w:p>
        </w:tc>
        <w:tc>
          <w:tcPr>
            <w:tcW w:w="709" w:type="dxa"/>
            <w:noWrap/>
          </w:tcPr>
          <w:p w14:paraId="0A921794" w14:textId="21E851BF" w:rsidR="002F1C09" w:rsidRPr="00B93A56" w:rsidRDefault="000B2C95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dxa"/>
            <w:noWrap/>
          </w:tcPr>
          <w:p w14:paraId="219F3E1E" w14:textId="6894DFEE" w:rsidR="002F1C09" w:rsidRPr="00B93A56" w:rsidRDefault="000B2C95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04" w:type="dxa"/>
            <w:noWrap/>
          </w:tcPr>
          <w:p w14:paraId="751EC4F6" w14:textId="325F9B9B" w:rsidR="002F1C09" w:rsidRPr="00B93A56" w:rsidRDefault="000B2C95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3876F6D2" w14:textId="5ACA4266" w:rsidR="002F1C09" w:rsidRPr="00B93A56" w:rsidRDefault="000B2C95" w:rsidP="000B2C9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2 044 001,99</w:t>
            </w:r>
          </w:p>
        </w:tc>
        <w:tc>
          <w:tcPr>
            <w:tcW w:w="1275" w:type="dxa"/>
            <w:hideMark/>
          </w:tcPr>
          <w:p w14:paraId="46E7AE08" w14:textId="5677793A" w:rsidR="002F1C09" w:rsidRPr="008C5022" w:rsidRDefault="002F1C09" w:rsidP="00B9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0%</w:t>
            </w:r>
          </w:p>
        </w:tc>
      </w:tr>
      <w:tr w:rsidR="000B2C95" w:rsidRPr="008C5022" w14:paraId="45DD1276" w14:textId="77777777" w:rsidTr="00B93A56">
        <w:trPr>
          <w:trHeight w:val="839"/>
        </w:trPr>
        <w:tc>
          <w:tcPr>
            <w:tcW w:w="1418" w:type="dxa"/>
            <w:hideMark/>
          </w:tcPr>
          <w:p w14:paraId="0CB19ED9" w14:textId="77777777" w:rsidR="000B2C95" w:rsidRPr="008C5022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Krzysztof Orzełowski</w:t>
            </w:r>
          </w:p>
          <w:p w14:paraId="1527AE92" w14:textId="03AB75E2" w:rsidR="000B2C95" w:rsidRPr="008C5022" w:rsidRDefault="000B2C95" w:rsidP="00B93A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 xml:space="preserve">Członek Zarządu - Dyrektor </w:t>
            </w:r>
            <w:r w:rsidR="00B93A56">
              <w:rPr>
                <w:rFonts w:asciiTheme="minorHAnsi" w:hAnsiTheme="minorHAnsi" w:cstheme="minorHAnsi"/>
                <w:sz w:val="16"/>
                <w:szCs w:val="16"/>
              </w:rPr>
              <w:t>Marketingu</w:t>
            </w:r>
          </w:p>
        </w:tc>
        <w:tc>
          <w:tcPr>
            <w:tcW w:w="1100" w:type="dxa"/>
          </w:tcPr>
          <w:p w14:paraId="2E60D24F" w14:textId="38EEBBF5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384 000,00</w:t>
            </w:r>
          </w:p>
        </w:tc>
        <w:tc>
          <w:tcPr>
            <w:tcW w:w="992" w:type="dxa"/>
          </w:tcPr>
          <w:p w14:paraId="5370EE2D" w14:textId="1A409A42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1 025,53</w:t>
            </w:r>
          </w:p>
        </w:tc>
        <w:tc>
          <w:tcPr>
            <w:tcW w:w="709" w:type="dxa"/>
            <w:gridSpan w:val="2"/>
          </w:tcPr>
          <w:p w14:paraId="2E6E0725" w14:textId="17B5F787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88" w:type="dxa"/>
            <w:noWrap/>
          </w:tcPr>
          <w:p w14:paraId="4E14E544" w14:textId="7DDE0349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25 600,00</w:t>
            </w:r>
          </w:p>
        </w:tc>
        <w:tc>
          <w:tcPr>
            <w:tcW w:w="709" w:type="dxa"/>
            <w:noWrap/>
          </w:tcPr>
          <w:p w14:paraId="12AC3ED8" w14:textId="3E5C605E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dxa"/>
            <w:noWrap/>
          </w:tcPr>
          <w:p w14:paraId="74F38F7A" w14:textId="78E9C1E6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04" w:type="dxa"/>
            <w:noWrap/>
          </w:tcPr>
          <w:p w14:paraId="3ED41F33" w14:textId="3AC086E5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6ABDC64F" w14:textId="3C9680F6" w:rsidR="000B2C95" w:rsidRPr="00B93A56" w:rsidRDefault="000B2C95" w:rsidP="000B2C9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410 625,53</w:t>
            </w:r>
          </w:p>
        </w:tc>
        <w:tc>
          <w:tcPr>
            <w:tcW w:w="1275" w:type="dxa"/>
            <w:hideMark/>
          </w:tcPr>
          <w:p w14:paraId="0D6DBC4A" w14:textId="6B703FA5" w:rsidR="000B2C95" w:rsidRPr="008C5022" w:rsidRDefault="000B2C95" w:rsidP="000B2C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 xml:space="preserve">Proporcja wyn. stałego </w:t>
            </w:r>
            <w:r w:rsidR="00B36A72">
              <w:rPr>
                <w:rFonts w:asciiTheme="minorHAnsi" w:hAnsiTheme="minorHAnsi" w:cstheme="minorHAnsi"/>
                <w:sz w:val="18"/>
                <w:szCs w:val="18"/>
              </w:rPr>
              <w:t>6,65</w:t>
            </w: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0B2C95" w:rsidRPr="008C5022" w14:paraId="58D7A9F4" w14:textId="77777777" w:rsidTr="00B93A56">
        <w:trPr>
          <w:trHeight w:val="839"/>
        </w:trPr>
        <w:tc>
          <w:tcPr>
            <w:tcW w:w="1418" w:type="dxa"/>
            <w:hideMark/>
          </w:tcPr>
          <w:p w14:paraId="4D1A1FD1" w14:textId="77777777" w:rsidR="000B2C95" w:rsidRPr="008C5022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Andrzej Sterczyński</w:t>
            </w:r>
          </w:p>
          <w:p w14:paraId="7E4384CA" w14:textId="77777777" w:rsidR="000B2C95" w:rsidRPr="008C5022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Zarządu - Dyrektor Finansowy</w:t>
            </w:r>
          </w:p>
        </w:tc>
        <w:tc>
          <w:tcPr>
            <w:tcW w:w="1100" w:type="dxa"/>
          </w:tcPr>
          <w:p w14:paraId="7F4A40DA" w14:textId="49F8E47D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454 500,00</w:t>
            </w:r>
          </w:p>
        </w:tc>
        <w:tc>
          <w:tcPr>
            <w:tcW w:w="992" w:type="dxa"/>
          </w:tcPr>
          <w:p w14:paraId="5EA6D49E" w14:textId="0CD450E5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1 385,13</w:t>
            </w:r>
          </w:p>
        </w:tc>
        <w:tc>
          <w:tcPr>
            <w:tcW w:w="709" w:type="dxa"/>
            <w:gridSpan w:val="2"/>
          </w:tcPr>
          <w:p w14:paraId="4137A11E" w14:textId="3AE5B5CF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88" w:type="dxa"/>
            <w:noWrap/>
          </w:tcPr>
          <w:p w14:paraId="0E2CCF12" w14:textId="1BB0EF33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29 400,00</w:t>
            </w:r>
          </w:p>
        </w:tc>
        <w:tc>
          <w:tcPr>
            <w:tcW w:w="709" w:type="dxa"/>
            <w:noWrap/>
          </w:tcPr>
          <w:p w14:paraId="6810B0D7" w14:textId="481B79A7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dxa"/>
            <w:noWrap/>
          </w:tcPr>
          <w:p w14:paraId="635D16FF" w14:textId="6116D881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04" w:type="dxa"/>
            <w:noWrap/>
          </w:tcPr>
          <w:p w14:paraId="05482E40" w14:textId="447CA8BA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3D22F929" w14:textId="33220E97" w:rsidR="000B2C95" w:rsidRPr="00B93A56" w:rsidRDefault="000B2C95" w:rsidP="000B2C9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485 285,13</w:t>
            </w:r>
          </w:p>
        </w:tc>
        <w:tc>
          <w:tcPr>
            <w:tcW w:w="1275" w:type="dxa"/>
            <w:hideMark/>
          </w:tcPr>
          <w:p w14:paraId="01BD5E4F" w14:textId="07695CD9" w:rsidR="000B2C95" w:rsidRPr="008C5022" w:rsidRDefault="000B2C95" w:rsidP="000B2C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 xml:space="preserve">Proporcja wyn. stałego </w:t>
            </w:r>
            <w:r w:rsidR="00B36A72">
              <w:rPr>
                <w:rFonts w:asciiTheme="minorHAnsi" w:hAnsiTheme="minorHAnsi" w:cstheme="minorHAnsi"/>
                <w:sz w:val="18"/>
                <w:szCs w:val="18"/>
              </w:rPr>
              <w:t>6,45</w:t>
            </w: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0B2C95" w:rsidRPr="008C5022" w14:paraId="4072EDB4" w14:textId="77777777" w:rsidTr="00B93A56">
        <w:trPr>
          <w:trHeight w:val="839"/>
        </w:trPr>
        <w:tc>
          <w:tcPr>
            <w:tcW w:w="1418" w:type="dxa"/>
            <w:hideMark/>
          </w:tcPr>
          <w:p w14:paraId="3CE8D47A" w14:textId="3D3AE962" w:rsidR="000B2C95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Marek Czupryński</w:t>
            </w:r>
            <w:r w:rsidR="00B13620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  <w:p w14:paraId="65FDDB48" w14:textId="671F756D" w:rsidR="000B2C95" w:rsidRPr="008C5022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Zarządu - Dyrektor Naczelny</w:t>
            </w:r>
          </w:p>
        </w:tc>
        <w:tc>
          <w:tcPr>
            <w:tcW w:w="1100" w:type="dxa"/>
          </w:tcPr>
          <w:p w14:paraId="56D24BF2" w14:textId="605CDF98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403 000,00</w:t>
            </w:r>
          </w:p>
        </w:tc>
        <w:tc>
          <w:tcPr>
            <w:tcW w:w="992" w:type="dxa"/>
          </w:tcPr>
          <w:p w14:paraId="5CB8673E" w14:textId="04AE7A08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11 627,4</w:t>
            </w:r>
          </w:p>
        </w:tc>
        <w:tc>
          <w:tcPr>
            <w:tcW w:w="709" w:type="dxa"/>
            <w:gridSpan w:val="2"/>
          </w:tcPr>
          <w:p w14:paraId="295D97AE" w14:textId="197C8FC8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88" w:type="dxa"/>
            <w:noWrap/>
          </w:tcPr>
          <w:p w14:paraId="0690C61B" w14:textId="4740AEBE" w:rsidR="000B2C95" w:rsidRPr="00B93A56" w:rsidRDefault="00EE0040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23 200,00</w:t>
            </w:r>
          </w:p>
        </w:tc>
        <w:tc>
          <w:tcPr>
            <w:tcW w:w="709" w:type="dxa"/>
            <w:noWrap/>
          </w:tcPr>
          <w:p w14:paraId="7B0CAFC1" w14:textId="744F881E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dxa"/>
            <w:noWrap/>
          </w:tcPr>
          <w:p w14:paraId="30BF76ED" w14:textId="2A25D412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04" w:type="dxa"/>
            <w:noWrap/>
          </w:tcPr>
          <w:p w14:paraId="3C4226A8" w14:textId="0845830B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50D1DC96" w14:textId="74DF3C87" w:rsidR="000B2C95" w:rsidRPr="00B93A56" w:rsidRDefault="000B2C95" w:rsidP="000B2C9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437 827,40</w:t>
            </w:r>
          </w:p>
        </w:tc>
        <w:tc>
          <w:tcPr>
            <w:tcW w:w="1275" w:type="dxa"/>
            <w:hideMark/>
          </w:tcPr>
          <w:p w14:paraId="1E08535E" w14:textId="77D84776" w:rsidR="000B2C95" w:rsidRPr="008C5022" w:rsidRDefault="000B2C95" w:rsidP="000B2C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 xml:space="preserve">Proporcja wyn. stałego </w:t>
            </w:r>
            <w:r w:rsidR="00B36A72">
              <w:rPr>
                <w:rFonts w:asciiTheme="minorHAnsi" w:hAnsiTheme="minorHAnsi" w:cstheme="minorHAnsi"/>
                <w:sz w:val="18"/>
                <w:szCs w:val="18"/>
              </w:rPr>
              <w:t>5,6</w:t>
            </w: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</w:tr>
      <w:tr w:rsidR="000B2C95" w:rsidRPr="008C5022" w14:paraId="47E260A7" w14:textId="77777777" w:rsidTr="00B93A56">
        <w:trPr>
          <w:trHeight w:val="839"/>
        </w:trPr>
        <w:tc>
          <w:tcPr>
            <w:tcW w:w="1418" w:type="dxa"/>
            <w:hideMark/>
          </w:tcPr>
          <w:p w14:paraId="1415E0D8" w14:textId="77777777" w:rsidR="000B2C95" w:rsidRPr="008C5022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Michał Markowski</w:t>
            </w:r>
          </w:p>
          <w:p w14:paraId="265F78C4" w14:textId="77777777" w:rsidR="000B2C95" w:rsidRPr="008C5022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5022">
              <w:rPr>
                <w:rFonts w:asciiTheme="minorHAnsi" w:hAnsiTheme="minorHAnsi" w:cstheme="minorHAnsi"/>
                <w:sz w:val="16"/>
                <w:szCs w:val="16"/>
              </w:rPr>
              <w:t>Członek Rady Nadzorczej</w:t>
            </w:r>
          </w:p>
        </w:tc>
        <w:tc>
          <w:tcPr>
            <w:tcW w:w="1100" w:type="dxa"/>
          </w:tcPr>
          <w:p w14:paraId="37A8B6D1" w14:textId="56E06A94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36 979,45</w:t>
            </w:r>
          </w:p>
        </w:tc>
        <w:tc>
          <w:tcPr>
            <w:tcW w:w="992" w:type="dxa"/>
          </w:tcPr>
          <w:p w14:paraId="5E7A51EE" w14:textId="1799FDEA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540,00</w:t>
            </w:r>
          </w:p>
        </w:tc>
        <w:tc>
          <w:tcPr>
            <w:tcW w:w="709" w:type="dxa"/>
            <w:gridSpan w:val="2"/>
          </w:tcPr>
          <w:p w14:paraId="15A607C8" w14:textId="5AA4AD5E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888" w:type="dxa"/>
            <w:noWrap/>
          </w:tcPr>
          <w:p w14:paraId="1D8541D9" w14:textId="7A9BD473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709" w:type="dxa"/>
            <w:noWrap/>
          </w:tcPr>
          <w:p w14:paraId="1C3BF288" w14:textId="47322FCC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71" w:type="dxa"/>
            <w:noWrap/>
          </w:tcPr>
          <w:p w14:paraId="42D416EF" w14:textId="6B606DDD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604" w:type="dxa"/>
            <w:noWrap/>
          </w:tcPr>
          <w:p w14:paraId="5D80AC42" w14:textId="6D639F6F" w:rsidR="000B2C95" w:rsidRPr="00B93A56" w:rsidRDefault="000B2C95" w:rsidP="000B2C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14:paraId="1B8F57D4" w14:textId="77777777" w:rsidR="000B2C95" w:rsidRPr="00B93A56" w:rsidRDefault="000B2C95" w:rsidP="000B2C9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3A5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37 519,45</w:t>
            </w:r>
          </w:p>
          <w:p w14:paraId="2C5D4D39" w14:textId="3A68B211" w:rsidR="000B2C95" w:rsidRPr="00B93A56" w:rsidRDefault="000B2C95" w:rsidP="000B2C9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hideMark/>
          </w:tcPr>
          <w:p w14:paraId="1268571B" w14:textId="77777777" w:rsidR="000B2C95" w:rsidRPr="008C5022" w:rsidRDefault="000B2C95" w:rsidP="000B2C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5022">
              <w:rPr>
                <w:rFonts w:asciiTheme="minorHAnsi" w:hAnsiTheme="minorHAnsi" w:cstheme="minorHAnsi"/>
                <w:sz w:val="18"/>
                <w:szCs w:val="18"/>
              </w:rPr>
              <w:t>Proporcja wyn. stałego 100 %</w:t>
            </w:r>
          </w:p>
        </w:tc>
      </w:tr>
    </w:tbl>
    <w:p w14:paraId="52A2C933" w14:textId="50A28E95" w:rsidR="002F1C09" w:rsidRPr="008C5022" w:rsidRDefault="00B13620" w:rsidP="002F1C0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3620">
        <w:rPr>
          <w:rFonts w:asciiTheme="minorHAnsi" w:hAnsiTheme="minorHAnsi" w:cstheme="minorHAnsi"/>
          <w:sz w:val="20"/>
          <w:szCs w:val="20"/>
        </w:rPr>
        <w:t>*Pan Marek Czupryński</w:t>
      </w:r>
      <w:r>
        <w:rPr>
          <w:rFonts w:asciiTheme="minorHAnsi" w:hAnsiTheme="minorHAnsi" w:cstheme="minorHAnsi"/>
        </w:rPr>
        <w:t xml:space="preserve"> </w:t>
      </w:r>
      <w:r w:rsidRPr="008C5022">
        <w:rPr>
          <w:rFonts w:asciiTheme="minorHAnsi" w:hAnsiTheme="minorHAnsi" w:cstheme="minorHAnsi"/>
          <w:sz w:val="20"/>
          <w:szCs w:val="20"/>
        </w:rPr>
        <w:t xml:space="preserve">został powołany z dniem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8C502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lutego </w:t>
      </w:r>
      <w:r w:rsidRPr="008C5022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 xml:space="preserve">21 </w:t>
      </w:r>
      <w:r w:rsidRPr="008C5022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31784C4" w14:textId="77777777" w:rsidR="002F1C09" w:rsidRDefault="002F1C09" w:rsidP="008249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4A96310" w14:textId="77777777" w:rsidR="002F1C09" w:rsidRPr="008C5022" w:rsidRDefault="002F1C09" w:rsidP="008249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2FB66A2" w14:textId="195C0335" w:rsidR="00091608" w:rsidRPr="008C5022" w:rsidRDefault="002D5080" w:rsidP="000B0FF3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C</w:t>
      </w:r>
      <w:r w:rsidR="00091608" w:rsidRPr="008C5022">
        <w:rPr>
          <w:rFonts w:asciiTheme="minorHAnsi" w:eastAsia="Calibri" w:hAnsiTheme="minorHAnsi" w:cstheme="minorHAnsi"/>
          <w:lang w:eastAsia="en-US"/>
        </w:rPr>
        <w:t xml:space="preserve">złonkom </w:t>
      </w:r>
      <w:r>
        <w:rPr>
          <w:rFonts w:asciiTheme="minorHAnsi" w:eastAsia="Calibri" w:hAnsiTheme="minorHAnsi" w:cstheme="minorHAnsi"/>
          <w:lang w:eastAsia="en-US"/>
        </w:rPr>
        <w:t>O</w:t>
      </w:r>
      <w:r w:rsidR="00091608" w:rsidRPr="008C5022">
        <w:rPr>
          <w:rFonts w:asciiTheme="minorHAnsi" w:eastAsia="Calibri" w:hAnsiTheme="minorHAnsi" w:cstheme="minorHAnsi"/>
          <w:lang w:eastAsia="en-US"/>
        </w:rPr>
        <w:t xml:space="preserve">rganów </w:t>
      </w:r>
      <w:r>
        <w:rPr>
          <w:rFonts w:asciiTheme="minorHAnsi" w:eastAsia="Calibri" w:hAnsiTheme="minorHAnsi" w:cstheme="minorHAnsi"/>
          <w:lang w:eastAsia="en-US"/>
        </w:rPr>
        <w:t xml:space="preserve">Spółki nie są przyznawane </w:t>
      </w:r>
      <w:r w:rsidR="00091608" w:rsidRPr="008C5022">
        <w:rPr>
          <w:rFonts w:asciiTheme="minorHAnsi" w:eastAsia="Calibri" w:hAnsiTheme="minorHAnsi" w:cstheme="minorHAnsi"/>
          <w:lang w:eastAsia="en-US"/>
        </w:rPr>
        <w:t>żadn</w:t>
      </w:r>
      <w:r>
        <w:rPr>
          <w:rFonts w:asciiTheme="minorHAnsi" w:eastAsia="Calibri" w:hAnsiTheme="minorHAnsi" w:cstheme="minorHAnsi"/>
          <w:lang w:eastAsia="en-US"/>
        </w:rPr>
        <w:t>e</w:t>
      </w:r>
      <w:r w:rsidR="00091608" w:rsidRPr="008C5022">
        <w:rPr>
          <w:rFonts w:asciiTheme="minorHAnsi" w:eastAsia="Calibri" w:hAnsiTheme="minorHAnsi" w:cstheme="minorHAnsi"/>
          <w:lang w:eastAsia="en-US"/>
        </w:rPr>
        <w:t xml:space="preserve"> świadcze</w:t>
      </w:r>
      <w:r>
        <w:rPr>
          <w:rFonts w:asciiTheme="minorHAnsi" w:eastAsia="Calibri" w:hAnsiTheme="minorHAnsi" w:cstheme="minorHAnsi"/>
          <w:lang w:eastAsia="en-US"/>
        </w:rPr>
        <w:t>nia</w:t>
      </w:r>
      <w:r w:rsidR="00091608" w:rsidRPr="008C5022">
        <w:rPr>
          <w:rFonts w:asciiTheme="minorHAnsi" w:eastAsia="Calibri" w:hAnsiTheme="minorHAnsi" w:cstheme="minorHAnsi"/>
          <w:lang w:eastAsia="en-US"/>
        </w:rPr>
        <w:t xml:space="preserve"> związan</w:t>
      </w:r>
      <w:r>
        <w:rPr>
          <w:rFonts w:asciiTheme="minorHAnsi" w:eastAsia="Calibri" w:hAnsiTheme="minorHAnsi" w:cstheme="minorHAnsi"/>
          <w:lang w:eastAsia="en-US"/>
        </w:rPr>
        <w:t>e</w:t>
      </w:r>
      <w:r w:rsidR="00091608" w:rsidRPr="008C5022">
        <w:rPr>
          <w:rFonts w:asciiTheme="minorHAnsi" w:eastAsia="Calibri" w:hAnsiTheme="minorHAnsi" w:cstheme="minorHAnsi"/>
          <w:lang w:eastAsia="en-US"/>
        </w:rPr>
        <w:t xml:space="preserve"> z uczestnictwem w dodatkowych programach emerytalno-rentowych lub programach wcześniejszych emerytur.</w:t>
      </w:r>
    </w:p>
    <w:p w14:paraId="421F110B" w14:textId="77777777" w:rsidR="00E61366" w:rsidRPr="008C5022" w:rsidRDefault="00E61366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96FF3FF" w14:textId="26D7CE63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 xml:space="preserve">Wyjaśnienie sposobu, w jaki całkowite wynagrodzenie jest zgodne z przyjętą polityką wynagrodzeń, w tym w jaki sposób przyczynia się do osiągnięcia długoterminowych wyników spółki </w:t>
      </w:r>
    </w:p>
    <w:p w14:paraId="16F061E5" w14:textId="325C893B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774126" w14:textId="32BCB642" w:rsidR="00C81F16" w:rsidRPr="008C5022" w:rsidRDefault="009D47EB" w:rsidP="00C81F1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Począwszy od dnia 1 stycznia 2021 roku </w:t>
      </w:r>
      <w:r w:rsidR="00C81F16" w:rsidRPr="008C5022">
        <w:rPr>
          <w:rFonts w:asciiTheme="minorHAnsi" w:hAnsiTheme="minorHAnsi" w:cstheme="minorHAnsi"/>
        </w:rPr>
        <w:t xml:space="preserve">Spółka wypłaca wynagrodzenie członkom Zarządu </w:t>
      </w:r>
      <w:r>
        <w:rPr>
          <w:rFonts w:asciiTheme="minorHAnsi" w:hAnsiTheme="minorHAnsi" w:cstheme="minorHAnsi"/>
        </w:rPr>
        <w:t xml:space="preserve">zgodnie z obowiązującą Polityką Wynagrodzeń oraz </w:t>
      </w:r>
      <w:r w:rsidR="00C81F16" w:rsidRPr="008C5022">
        <w:rPr>
          <w:rFonts w:asciiTheme="minorHAnsi" w:hAnsiTheme="minorHAnsi" w:cstheme="minorHAnsi"/>
        </w:rPr>
        <w:t xml:space="preserve">zgodnie z obowiązującymi </w:t>
      </w:r>
      <w:r w:rsidR="0083556C" w:rsidRPr="008C5022">
        <w:rPr>
          <w:rFonts w:asciiTheme="minorHAnsi" w:hAnsiTheme="minorHAnsi" w:cstheme="minorHAnsi"/>
        </w:rPr>
        <w:t>umowami o pracę</w:t>
      </w:r>
      <w:r w:rsidR="00C81F16" w:rsidRPr="008C5022">
        <w:rPr>
          <w:rFonts w:asciiTheme="minorHAnsi" w:hAnsiTheme="minorHAnsi" w:cstheme="minorHAnsi"/>
        </w:rPr>
        <w:t xml:space="preserve"> (w latach 2019 – 2020 nie obowiązywała Polityka Wynagrodzeń). Wynagrodzenie członków Zarządu przyczynia się do ich pełnego zaangażowania w sprawowaniu określonych funkcji, motywuje ich do realizacji celów biznesowych i wzrostu wartości Spółki dla akcjonariuszy. Wysokość wynagrodzenia jest adekwatna do zajmowanych stanowisk i pełnionych funkcji.</w:t>
      </w:r>
    </w:p>
    <w:p w14:paraId="7D1183E7" w14:textId="00F6F339" w:rsidR="00C81F16" w:rsidRPr="008C5022" w:rsidRDefault="00C81F16" w:rsidP="00C81F1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0967D0" w14:textId="1E1CF319" w:rsidR="00AB258A" w:rsidRPr="008C5022" w:rsidRDefault="00C81F16" w:rsidP="00C81F1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Członkowie Zarządu otrzymują wynagrodzenie stałe, ale także zmienne, którego otrzymanie determinują wskaźniki KPI bezpośrednio związane z sytuacją ekonomiczną Spółki. Dodatkowo część zmienna przyczynia się do tego, że Zarząd jest zainteresowany m.in. </w:t>
      </w:r>
      <w:r w:rsidRPr="008C5022">
        <w:rPr>
          <w:rFonts w:asciiTheme="minorHAnsi" w:hAnsiTheme="minorHAnsi" w:cstheme="minorHAnsi"/>
        </w:rPr>
        <w:lastRenderedPageBreak/>
        <w:t>rozwojem biznesu Spółki, oferty produktów dla klientów, jej pozycji rynkowej, wyników finansowych oraz kondycji finansowej i kapitałowej.</w:t>
      </w:r>
    </w:p>
    <w:p w14:paraId="57A6D641" w14:textId="36766317" w:rsidR="005B2DF0" w:rsidRPr="008C5022" w:rsidRDefault="005B2DF0" w:rsidP="00C81F1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6C43D46" w14:textId="2ECE9A79" w:rsidR="005B2DF0" w:rsidRPr="008C5022" w:rsidRDefault="005B2DF0" w:rsidP="005B2DF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Z kolei wynagrodzenie członków Rady Nadzorczej oparte wyłącznie o stałe wynagrodzenie zapewnia niezależność kontroli nad sytuacją ekonomiczną Spółki poprzez uniezależnienie wynagrodzenia od wyników Spółki. Jednocześnie odpowiednia kontrola, zapewnia stabilność i bezpieczeństwo </w:t>
      </w:r>
      <w:r w:rsidR="0052365A" w:rsidRPr="008C5022">
        <w:rPr>
          <w:rFonts w:asciiTheme="minorHAnsi" w:hAnsiTheme="minorHAnsi" w:cstheme="minorHAnsi"/>
        </w:rPr>
        <w:t>działalności</w:t>
      </w:r>
      <w:r w:rsidRPr="008C5022">
        <w:rPr>
          <w:rFonts w:asciiTheme="minorHAnsi" w:hAnsiTheme="minorHAnsi" w:cstheme="minorHAnsi"/>
        </w:rPr>
        <w:t>, co przekłada się na</w:t>
      </w:r>
      <w:r w:rsidR="0052365A" w:rsidRPr="008C5022">
        <w:rPr>
          <w:rFonts w:asciiTheme="minorHAnsi" w:hAnsiTheme="minorHAnsi" w:cstheme="minorHAnsi"/>
        </w:rPr>
        <w:t xml:space="preserve"> </w:t>
      </w:r>
      <w:r w:rsidRPr="008C5022">
        <w:rPr>
          <w:rFonts w:asciiTheme="minorHAnsi" w:hAnsiTheme="minorHAnsi" w:cstheme="minorHAnsi"/>
        </w:rPr>
        <w:t xml:space="preserve">realizację długoterminowych celów </w:t>
      </w:r>
      <w:r w:rsidR="0052365A" w:rsidRPr="008C5022">
        <w:rPr>
          <w:rFonts w:asciiTheme="minorHAnsi" w:hAnsiTheme="minorHAnsi" w:cstheme="minorHAnsi"/>
        </w:rPr>
        <w:t>biznesowych</w:t>
      </w:r>
      <w:r w:rsidRPr="008C5022">
        <w:rPr>
          <w:rFonts w:asciiTheme="minorHAnsi" w:hAnsiTheme="minorHAnsi" w:cstheme="minorHAnsi"/>
        </w:rPr>
        <w:t>.</w:t>
      </w:r>
    </w:p>
    <w:p w14:paraId="7B33FE1B" w14:textId="504D838B" w:rsidR="008C2FA7" w:rsidRPr="008C5022" w:rsidRDefault="008C2FA7" w:rsidP="008C2FA7">
      <w:pPr>
        <w:spacing w:after="200" w:line="276" w:lineRule="auto"/>
        <w:contextualSpacing/>
        <w:jc w:val="both"/>
        <w:rPr>
          <w:rFonts w:asciiTheme="minorHAnsi" w:hAnsiTheme="minorHAnsi" w:cstheme="minorHAnsi"/>
        </w:rPr>
      </w:pPr>
    </w:p>
    <w:p w14:paraId="5016B94E" w14:textId="568B1D00" w:rsidR="008C2FA7" w:rsidRPr="008C5022" w:rsidRDefault="008C2FA7" w:rsidP="00C832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 xml:space="preserve">Członkowie organów, którzy nie zostali wskazani </w:t>
      </w:r>
      <w:r w:rsidR="009D47EB">
        <w:rPr>
          <w:rFonts w:asciiTheme="minorHAnsi" w:hAnsiTheme="minorHAnsi" w:cstheme="minorHAnsi"/>
        </w:rPr>
        <w:t>w</w:t>
      </w:r>
      <w:r w:rsidRPr="008C5022">
        <w:rPr>
          <w:rFonts w:asciiTheme="minorHAnsi" w:hAnsiTheme="minorHAnsi" w:cstheme="minorHAnsi"/>
        </w:rPr>
        <w:t xml:space="preserve"> Tabelach </w:t>
      </w:r>
      <w:r w:rsidR="009D47EB">
        <w:rPr>
          <w:rFonts w:asciiTheme="minorHAnsi" w:hAnsiTheme="minorHAnsi" w:cstheme="minorHAnsi"/>
        </w:rPr>
        <w:t xml:space="preserve">zawierających dane </w:t>
      </w:r>
      <w:r w:rsidRPr="008C5022">
        <w:rPr>
          <w:rFonts w:asciiTheme="minorHAnsi" w:hAnsiTheme="minorHAnsi" w:cstheme="minorHAnsi"/>
        </w:rPr>
        <w:t>o wynagrodze</w:t>
      </w:r>
      <w:r w:rsidR="009D47EB">
        <w:rPr>
          <w:rFonts w:asciiTheme="minorHAnsi" w:hAnsiTheme="minorHAnsi" w:cstheme="minorHAnsi"/>
        </w:rPr>
        <w:t>niac</w:t>
      </w:r>
      <w:r w:rsidR="00635B93">
        <w:rPr>
          <w:rFonts w:asciiTheme="minorHAnsi" w:hAnsiTheme="minorHAnsi" w:cstheme="minorHAnsi"/>
        </w:rPr>
        <w:t>h</w:t>
      </w:r>
      <w:r w:rsidRPr="008C5022">
        <w:rPr>
          <w:rFonts w:asciiTheme="minorHAnsi" w:hAnsiTheme="minorHAnsi" w:cstheme="minorHAnsi"/>
        </w:rPr>
        <w:t xml:space="preserve">, tj. Pan Ander Ollo Odriozola, Pan Aitor Ayastuy </w:t>
      </w:r>
      <w:r w:rsidR="008C5022" w:rsidRPr="008C5022">
        <w:rPr>
          <w:rFonts w:asciiTheme="minorHAnsi" w:hAnsiTheme="minorHAnsi" w:cstheme="minorHAnsi"/>
        </w:rPr>
        <w:t>Ay</w:t>
      </w:r>
      <w:r w:rsidR="00D52431">
        <w:rPr>
          <w:rFonts w:asciiTheme="minorHAnsi" w:hAnsiTheme="minorHAnsi" w:cstheme="minorHAnsi"/>
        </w:rPr>
        <w:t>a</w:t>
      </w:r>
      <w:r w:rsidR="008C5022" w:rsidRPr="008C5022">
        <w:rPr>
          <w:rFonts w:asciiTheme="minorHAnsi" w:hAnsiTheme="minorHAnsi" w:cstheme="minorHAnsi"/>
        </w:rPr>
        <w:t>st</w:t>
      </w:r>
      <w:r w:rsidR="00D52431">
        <w:rPr>
          <w:rFonts w:asciiTheme="minorHAnsi" w:hAnsiTheme="minorHAnsi" w:cstheme="minorHAnsi"/>
        </w:rPr>
        <w:t>u</w:t>
      </w:r>
      <w:r w:rsidR="008C5022" w:rsidRPr="008C5022">
        <w:rPr>
          <w:rFonts w:asciiTheme="minorHAnsi" w:hAnsiTheme="minorHAnsi" w:cstheme="minorHAnsi"/>
        </w:rPr>
        <w:t>y</w:t>
      </w:r>
      <w:r w:rsidRPr="008C5022">
        <w:rPr>
          <w:rFonts w:asciiTheme="minorHAnsi" w:hAnsiTheme="minorHAnsi" w:cstheme="minorHAnsi"/>
        </w:rPr>
        <w:t>, Pan Iñaki Irizar Moyua, Pan</w:t>
      </w:r>
      <w:r w:rsidR="00D52431">
        <w:rPr>
          <w:rFonts w:asciiTheme="minorHAnsi" w:hAnsiTheme="minorHAnsi" w:cstheme="minorHAnsi"/>
        </w:rPr>
        <w:t xml:space="preserve"> Rafael Anduaga Lazcanoiturburu, </w:t>
      </w:r>
      <w:r w:rsidRPr="008C5022">
        <w:rPr>
          <w:rFonts w:asciiTheme="minorHAnsi" w:hAnsiTheme="minorHAnsi" w:cstheme="minorHAnsi"/>
        </w:rPr>
        <w:t>Pan José Joaquín Ugarte Azpiri</w:t>
      </w:r>
      <w:r w:rsidR="00D52431">
        <w:rPr>
          <w:rFonts w:asciiTheme="minorHAnsi" w:hAnsiTheme="minorHAnsi" w:cstheme="minorHAnsi"/>
        </w:rPr>
        <w:t xml:space="preserve"> oraz Pan Eñaut Eguidazu Aldalur</w:t>
      </w:r>
      <w:r w:rsidRPr="008C5022">
        <w:rPr>
          <w:rFonts w:asciiTheme="minorHAnsi" w:hAnsiTheme="minorHAnsi" w:cstheme="minorHAnsi"/>
        </w:rPr>
        <w:t xml:space="preserve"> </w:t>
      </w:r>
      <w:r w:rsidR="00D52431">
        <w:rPr>
          <w:rFonts w:asciiTheme="minorHAnsi" w:hAnsiTheme="minorHAnsi" w:cstheme="minorHAnsi"/>
        </w:rPr>
        <w:t xml:space="preserve">pełnili </w:t>
      </w:r>
      <w:r w:rsidR="00086754">
        <w:rPr>
          <w:rFonts w:asciiTheme="minorHAnsi" w:hAnsiTheme="minorHAnsi" w:cstheme="minorHAnsi"/>
        </w:rPr>
        <w:t>lub</w:t>
      </w:r>
      <w:r w:rsidR="00D52431">
        <w:rPr>
          <w:rFonts w:asciiTheme="minorHAnsi" w:hAnsiTheme="minorHAnsi" w:cstheme="minorHAnsi"/>
        </w:rPr>
        <w:t xml:space="preserve"> </w:t>
      </w:r>
      <w:r w:rsidRPr="008C5022">
        <w:rPr>
          <w:rFonts w:asciiTheme="minorHAnsi" w:hAnsiTheme="minorHAnsi" w:cstheme="minorHAnsi"/>
        </w:rPr>
        <w:t xml:space="preserve">pełnią swoje funkcje </w:t>
      </w:r>
      <w:r w:rsidRPr="00635B93">
        <w:rPr>
          <w:rFonts w:asciiTheme="minorHAnsi" w:hAnsiTheme="minorHAnsi" w:cstheme="minorHAnsi"/>
          <w:i/>
        </w:rPr>
        <w:t>ad honorem</w:t>
      </w:r>
      <w:r w:rsidRPr="008C5022">
        <w:rPr>
          <w:rFonts w:asciiTheme="minorHAnsi" w:hAnsiTheme="minorHAnsi" w:cstheme="minorHAnsi"/>
        </w:rPr>
        <w:t>, co znajduje umocowanie w Punkcie 4.2. Polityki Wynagrodzeń.</w:t>
      </w:r>
    </w:p>
    <w:p w14:paraId="640419FB" w14:textId="0C6590E5" w:rsidR="00FC6CF9" w:rsidRDefault="00FC6CF9" w:rsidP="00C81F1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746B72" w14:textId="77777777" w:rsidR="00FC6CF9" w:rsidRPr="008C5022" w:rsidRDefault="00FC6CF9" w:rsidP="00C81F1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EE84305" w14:textId="14A84CF5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>Informacje na temat sposobu, w jaki zostały zastosowane kryteria dotyczące wyników</w:t>
      </w:r>
    </w:p>
    <w:p w14:paraId="179D0788" w14:textId="7E36AC8B" w:rsidR="008C2FA7" w:rsidRPr="008C5022" w:rsidRDefault="008C2FA7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65C23B8" w14:textId="3EAA16A5" w:rsidR="00E73CF6" w:rsidRPr="008C5022" w:rsidRDefault="000B66B1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Wynagrodzenie za latach 2019 i 2020 w związku z brakiem realizacji budżetów rocznych w</w:t>
      </w:r>
      <w:r w:rsidR="0032584C" w:rsidRPr="008C5022">
        <w:rPr>
          <w:rFonts w:asciiTheme="minorHAnsi" w:hAnsiTheme="minorHAnsi" w:cstheme="minorHAnsi"/>
        </w:rPr>
        <w:t> </w:t>
      </w:r>
      <w:r w:rsidRPr="008C5022">
        <w:rPr>
          <w:rFonts w:asciiTheme="minorHAnsi" w:hAnsiTheme="minorHAnsi" w:cstheme="minorHAnsi"/>
        </w:rPr>
        <w:t xml:space="preserve">roku 2019 oraz 2020 </w:t>
      </w:r>
      <w:r w:rsidR="00245BE2">
        <w:rPr>
          <w:rFonts w:asciiTheme="minorHAnsi" w:hAnsiTheme="minorHAnsi" w:cstheme="minorHAnsi"/>
        </w:rPr>
        <w:t xml:space="preserve">nie zawierało </w:t>
      </w:r>
      <w:r w:rsidRPr="008C5022">
        <w:rPr>
          <w:rFonts w:asciiTheme="minorHAnsi" w:hAnsiTheme="minorHAnsi" w:cstheme="minorHAnsi"/>
        </w:rPr>
        <w:t>części wynagrodzenia uzależnionej od wyników</w:t>
      </w:r>
      <w:r w:rsidR="00BF52A3" w:rsidRPr="008C5022">
        <w:rPr>
          <w:rFonts w:asciiTheme="minorHAnsi" w:hAnsiTheme="minorHAnsi" w:cstheme="minorHAnsi"/>
        </w:rPr>
        <w:t>.</w:t>
      </w:r>
    </w:p>
    <w:p w14:paraId="42722C33" w14:textId="77777777" w:rsidR="00E73CF6" w:rsidRPr="008C5022" w:rsidRDefault="00E73CF6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889C919" w14:textId="168EE154" w:rsidR="000B66B1" w:rsidRPr="008C5022" w:rsidRDefault="00E73CF6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2019 zostało</w:t>
      </w:r>
      <w:r w:rsidR="00A26382" w:rsidRPr="008C5022">
        <w:rPr>
          <w:rFonts w:asciiTheme="minorHAnsi" w:hAnsiTheme="minorHAnsi" w:cstheme="minorHAnsi"/>
        </w:rPr>
        <w:t xml:space="preserve"> wypłacone</w:t>
      </w:r>
      <w:r w:rsidRPr="008C5022">
        <w:rPr>
          <w:rFonts w:asciiTheme="minorHAnsi" w:hAnsiTheme="minorHAnsi" w:cstheme="minorHAnsi"/>
        </w:rPr>
        <w:t xml:space="preserve"> wynagrodzenie zmienne za realizację budżetu rocznego w roku 2018</w:t>
      </w:r>
      <w:r w:rsidR="00A26382" w:rsidRPr="008C5022">
        <w:rPr>
          <w:rFonts w:asciiTheme="minorHAnsi" w:hAnsiTheme="minorHAnsi" w:cstheme="minorHAnsi"/>
        </w:rPr>
        <w:t>.</w:t>
      </w:r>
    </w:p>
    <w:p w14:paraId="5CF50249" w14:textId="77777777" w:rsidR="00FC6CF9" w:rsidRDefault="00FC6CF9" w:rsidP="00FC6CF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C756C0D" w14:textId="3B93F283" w:rsidR="00FC6CF9" w:rsidRPr="008C5022" w:rsidRDefault="00FC6CF9" w:rsidP="00FC6CF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21</w:t>
      </w:r>
      <w:r w:rsidRPr="008C5022">
        <w:rPr>
          <w:rFonts w:asciiTheme="minorHAnsi" w:hAnsiTheme="minorHAnsi" w:cstheme="minorHAnsi"/>
        </w:rPr>
        <w:t xml:space="preserve"> zostało wypłacone wynagrodzenie zmienne </w:t>
      </w:r>
      <w:r>
        <w:rPr>
          <w:rFonts w:asciiTheme="minorHAnsi" w:hAnsiTheme="minorHAnsi" w:cstheme="minorHAnsi"/>
        </w:rPr>
        <w:t xml:space="preserve">uznaniowe </w:t>
      </w:r>
      <w:r w:rsidRPr="008C5022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 xml:space="preserve">wyniki </w:t>
      </w:r>
      <w:r w:rsidRPr="008C5022">
        <w:rPr>
          <w:rFonts w:asciiTheme="minorHAnsi" w:hAnsiTheme="minorHAnsi" w:cstheme="minorHAnsi"/>
        </w:rPr>
        <w:t>roczne w roku 20</w:t>
      </w:r>
      <w:r>
        <w:rPr>
          <w:rFonts w:asciiTheme="minorHAnsi" w:hAnsiTheme="minorHAnsi" w:cstheme="minorHAnsi"/>
        </w:rPr>
        <w:t>20</w:t>
      </w:r>
      <w:r w:rsidR="00086754">
        <w:rPr>
          <w:rFonts w:asciiTheme="minorHAnsi" w:hAnsiTheme="minorHAnsi" w:cstheme="minorHAnsi"/>
        </w:rPr>
        <w:t>, natomiast</w:t>
      </w:r>
      <w:r w:rsidR="00D97B76">
        <w:rPr>
          <w:rFonts w:asciiTheme="minorHAnsi" w:hAnsiTheme="minorHAnsi" w:cstheme="minorHAnsi"/>
        </w:rPr>
        <w:t xml:space="preserve"> </w:t>
      </w:r>
      <w:r w:rsidR="00086754">
        <w:rPr>
          <w:rFonts w:asciiTheme="minorHAnsi" w:hAnsiTheme="minorHAnsi" w:cstheme="minorHAnsi"/>
        </w:rPr>
        <w:t>z</w:t>
      </w:r>
      <w:r w:rsidR="00D97B76" w:rsidRPr="00D97B76">
        <w:rPr>
          <w:rFonts w:asciiTheme="minorHAnsi" w:hAnsiTheme="minorHAnsi" w:cstheme="minorHAnsi"/>
        </w:rPr>
        <w:t>a rok 2021 nie zostały przyznan</w:t>
      </w:r>
      <w:r w:rsidR="00086754">
        <w:rPr>
          <w:rFonts w:asciiTheme="minorHAnsi" w:hAnsiTheme="minorHAnsi" w:cstheme="minorHAnsi"/>
        </w:rPr>
        <w:t>e</w:t>
      </w:r>
      <w:r w:rsidR="00D97B76" w:rsidRPr="00D97B76">
        <w:rPr>
          <w:rFonts w:asciiTheme="minorHAnsi" w:hAnsiTheme="minorHAnsi" w:cstheme="minorHAnsi"/>
        </w:rPr>
        <w:t xml:space="preserve"> element</w:t>
      </w:r>
      <w:r w:rsidR="00086754">
        <w:rPr>
          <w:rFonts w:asciiTheme="minorHAnsi" w:hAnsiTheme="minorHAnsi" w:cstheme="minorHAnsi"/>
        </w:rPr>
        <w:t>y zmienne</w:t>
      </w:r>
      <w:r w:rsidR="00D97B76" w:rsidRPr="00D97B76">
        <w:rPr>
          <w:rFonts w:asciiTheme="minorHAnsi" w:hAnsiTheme="minorHAnsi" w:cstheme="minorHAnsi"/>
        </w:rPr>
        <w:t xml:space="preserve"> należn</w:t>
      </w:r>
      <w:r w:rsidR="00086754">
        <w:rPr>
          <w:rFonts w:asciiTheme="minorHAnsi" w:hAnsiTheme="minorHAnsi" w:cstheme="minorHAnsi"/>
        </w:rPr>
        <w:t>e</w:t>
      </w:r>
      <w:r w:rsidR="00D97B76" w:rsidRPr="00D97B76">
        <w:rPr>
          <w:rFonts w:asciiTheme="minorHAnsi" w:hAnsiTheme="minorHAnsi" w:cstheme="minorHAnsi"/>
        </w:rPr>
        <w:t xml:space="preserve"> Członkom Zarządu</w:t>
      </w:r>
      <w:r w:rsidR="00086754">
        <w:rPr>
          <w:rFonts w:asciiTheme="minorHAnsi" w:hAnsiTheme="minorHAnsi" w:cstheme="minorHAnsi"/>
        </w:rPr>
        <w:t>.</w:t>
      </w:r>
    </w:p>
    <w:p w14:paraId="7E3DFB79" w14:textId="77777777" w:rsidR="00FC6CF9" w:rsidRPr="008C5022" w:rsidRDefault="00FC6CF9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88CDCF2" w14:textId="1E337AEE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 xml:space="preserve">Informacje o zmianie, w ujęciu rocznym, wynagrodzenia, wyników spółki oraz średniego wynagrodzenia pracowników spółki niebędących członkami Zarządu ani Rady Nadzorczej, w okresie </w:t>
      </w:r>
      <w:r w:rsidR="00BF52A3" w:rsidRPr="008C5022">
        <w:rPr>
          <w:rFonts w:asciiTheme="minorHAnsi" w:hAnsiTheme="minorHAnsi" w:cstheme="minorHAnsi"/>
          <w:b/>
          <w:bCs/>
        </w:rPr>
        <w:t>2019- 202</w:t>
      </w:r>
      <w:r w:rsidR="00FC6CF9">
        <w:rPr>
          <w:rFonts w:asciiTheme="minorHAnsi" w:hAnsiTheme="minorHAnsi" w:cstheme="minorHAnsi"/>
          <w:b/>
          <w:bCs/>
        </w:rPr>
        <w:t>1</w:t>
      </w:r>
      <w:r w:rsidR="00BF52A3" w:rsidRPr="008C5022">
        <w:rPr>
          <w:rFonts w:asciiTheme="minorHAnsi" w:hAnsiTheme="minorHAnsi" w:cstheme="minorHAnsi"/>
          <w:b/>
          <w:bCs/>
        </w:rPr>
        <w:t xml:space="preserve"> </w:t>
      </w:r>
      <w:r w:rsidRPr="008C5022">
        <w:rPr>
          <w:rFonts w:asciiTheme="minorHAnsi" w:hAnsiTheme="minorHAnsi" w:cstheme="minorHAnsi"/>
          <w:b/>
          <w:bCs/>
        </w:rPr>
        <w:t>w ujęciu łącznym</w:t>
      </w:r>
      <w:r w:rsidR="00BF52A3" w:rsidRPr="008C5022">
        <w:rPr>
          <w:rFonts w:asciiTheme="minorHAnsi" w:hAnsiTheme="minorHAnsi" w:cstheme="minorHAnsi"/>
          <w:b/>
          <w:bCs/>
        </w:rPr>
        <w:t>.</w:t>
      </w:r>
    </w:p>
    <w:p w14:paraId="23380101" w14:textId="723C496E" w:rsidR="00BD3F85" w:rsidRPr="008C5022" w:rsidRDefault="00BD3F85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D6FBB58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52730E16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22F04A25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77593359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3413C93B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761BA57C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1DA88A13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65C5B079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6C100D49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3EDAA8F9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6591313F" w14:textId="77777777" w:rsidR="00552287" w:rsidRDefault="00552287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0E1B2118" w14:textId="75F7F32A" w:rsidR="00635B93" w:rsidRDefault="00635B93">
      <w:pPr>
        <w:spacing w:after="200" w:line="276" w:lineRule="auto"/>
        <w:rPr>
          <w:rFonts w:ascii="Calibri" w:hAnsi="Calibri" w:cs="Calibri"/>
          <w:b/>
          <w:bCs/>
          <w:lang w:eastAsia="es-CL"/>
        </w:rPr>
      </w:pPr>
      <w:r>
        <w:rPr>
          <w:rFonts w:ascii="Calibri" w:hAnsi="Calibri" w:cs="Calibri"/>
          <w:b/>
          <w:bCs/>
          <w:lang w:eastAsia="es-CL"/>
        </w:rPr>
        <w:br w:type="page"/>
      </w:r>
    </w:p>
    <w:p w14:paraId="4E508553" w14:textId="196F35EC" w:rsidR="00BD3F85" w:rsidRPr="008C5022" w:rsidRDefault="00BD3F85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  <w:r w:rsidRPr="008C5022">
        <w:rPr>
          <w:rFonts w:ascii="Calibri" w:hAnsi="Calibri" w:cs="Calibri"/>
          <w:b/>
          <w:bCs/>
          <w:lang w:eastAsia="es-CL"/>
        </w:rPr>
        <w:lastRenderedPageBreak/>
        <w:t xml:space="preserve">Tabela nr </w:t>
      </w:r>
      <w:r w:rsidR="00086754">
        <w:rPr>
          <w:rFonts w:ascii="Calibri" w:hAnsi="Calibri" w:cs="Calibri"/>
          <w:b/>
          <w:bCs/>
          <w:lang w:eastAsia="es-CL"/>
        </w:rPr>
        <w:t>4</w:t>
      </w:r>
      <w:r w:rsidRPr="008C5022">
        <w:rPr>
          <w:rFonts w:ascii="Calibri" w:hAnsi="Calibri" w:cs="Calibri"/>
          <w:b/>
          <w:bCs/>
          <w:lang w:eastAsia="es-CL"/>
        </w:rPr>
        <w:t xml:space="preserve"> – informacja o zmianie, w ujęciu rocznym, wynagrodzenia, wyników spółki oraz średniego wynagrodzenia pracowników tej spółki niebędących członkami Zarządu ani Rady nadzorczej,</w:t>
      </w:r>
    </w:p>
    <w:p w14:paraId="39E08797" w14:textId="0BCCFEAF" w:rsidR="00BD3F85" w:rsidRDefault="00BD3F85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525333E0" w14:textId="77777777" w:rsidR="00D15950" w:rsidRPr="008C5022" w:rsidRDefault="00D15950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088"/>
        <w:gridCol w:w="1721"/>
        <w:gridCol w:w="1721"/>
        <w:gridCol w:w="1721"/>
        <w:gridCol w:w="1811"/>
      </w:tblGrid>
      <w:tr w:rsidR="00824CFC" w:rsidRPr="008C5022" w14:paraId="1ACE3585" w14:textId="77777777" w:rsidTr="00824CFC">
        <w:tc>
          <w:tcPr>
            <w:tcW w:w="2088" w:type="dxa"/>
            <w:vAlign w:val="center"/>
          </w:tcPr>
          <w:p w14:paraId="6C50226B" w14:textId="0D086584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>Kategoria</w:t>
            </w:r>
          </w:p>
        </w:tc>
        <w:tc>
          <w:tcPr>
            <w:tcW w:w="1721" w:type="dxa"/>
            <w:vAlign w:val="center"/>
          </w:tcPr>
          <w:p w14:paraId="31451C41" w14:textId="147C8441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>Rok obrotowy 2019 (PLN)</w:t>
            </w:r>
          </w:p>
        </w:tc>
        <w:tc>
          <w:tcPr>
            <w:tcW w:w="1721" w:type="dxa"/>
            <w:vAlign w:val="center"/>
          </w:tcPr>
          <w:p w14:paraId="59455CB4" w14:textId="7FCDC7F2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>Rok obrotowy 2020 (PLN)</w:t>
            </w:r>
          </w:p>
        </w:tc>
        <w:tc>
          <w:tcPr>
            <w:tcW w:w="1721" w:type="dxa"/>
            <w:vAlign w:val="center"/>
          </w:tcPr>
          <w:p w14:paraId="381B9D76" w14:textId="77777777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 xml:space="preserve">Rok obrotowy </w:t>
            </w:r>
          </w:p>
          <w:p w14:paraId="55024CB7" w14:textId="62E82B30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>2021 (PLN)</w:t>
            </w:r>
          </w:p>
        </w:tc>
        <w:tc>
          <w:tcPr>
            <w:tcW w:w="1811" w:type="dxa"/>
            <w:vAlign w:val="center"/>
          </w:tcPr>
          <w:p w14:paraId="7EEC3811" w14:textId="682A1F30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>Zmiana</w:t>
            </w:r>
          </w:p>
          <w:p w14:paraId="5445F4D3" w14:textId="2BE157A6" w:rsidR="00824CFC" w:rsidRPr="00FE77C1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lang w:eastAsia="es-CL"/>
              </w:rPr>
            </w:pPr>
            <w:r w:rsidRPr="00FE77C1">
              <w:rPr>
                <w:rFonts w:ascii="Calibri" w:hAnsi="Calibri" w:cs="Calibri"/>
                <w:b/>
                <w:bCs/>
                <w:sz w:val="22"/>
                <w:lang w:eastAsia="es-CL"/>
              </w:rPr>
              <w:t>(%)</w:t>
            </w:r>
          </w:p>
        </w:tc>
      </w:tr>
      <w:tr w:rsidR="00824CFC" w:rsidRPr="008C5022" w14:paraId="4A6E924B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73E7F43F" w14:textId="4241D15B" w:rsidR="00824CFC" w:rsidRPr="008C5022" w:rsidRDefault="00824CFC" w:rsidP="00824C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Liczba pracowników</w:t>
            </w:r>
          </w:p>
        </w:tc>
        <w:tc>
          <w:tcPr>
            <w:tcW w:w="1721" w:type="dxa"/>
            <w:vAlign w:val="center"/>
          </w:tcPr>
          <w:p w14:paraId="61C9778F" w14:textId="0CA98712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360</w:t>
            </w:r>
          </w:p>
        </w:tc>
        <w:tc>
          <w:tcPr>
            <w:tcW w:w="1721" w:type="dxa"/>
            <w:vAlign w:val="center"/>
          </w:tcPr>
          <w:p w14:paraId="24921949" w14:textId="046FABA5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361</w:t>
            </w:r>
          </w:p>
        </w:tc>
        <w:tc>
          <w:tcPr>
            <w:tcW w:w="1721" w:type="dxa"/>
            <w:vAlign w:val="center"/>
          </w:tcPr>
          <w:p w14:paraId="13E0DDDD" w14:textId="44E8C390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348</w:t>
            </w:r>
          </w:p>
        </w:tc>
        <w:tc>
          <w:tcPr>
            <w:tcW w:w="1811" w:type="dxa"/>
            <w:vAlign w:val="center"/>
          </w:tcPr>
          <w:p w14:paraId="34AC20AE" w14:textId="7C59A99F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-3,6%</w:t>
            </w:r>
          </w:p>
        </w:tc>
      </w:tr>
      <w:tr w:rsidR="00824CFC" w:rsidRPr="008C5022" w14:paraId="6D166190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0EEF3458" w14:textId="4A24D6FA" w:rsidR="00824CFC" w:rsidRPr="008C5022" w:rsidRDefault="00824CFC" w:rsidP="00824C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Średnie wynagrodzenia pracowników</w:t>
            </w:r>
          </w:p>
        </w:tc>
        <w:tc>
          <w:tcPr>
            <w:tcW w:w="1721" w:type="dxa"/>
            <w:vAlign w:val="center"/>
          </w:tcPr>
          <w:p w14:paraId="5B1846B5" w14:textId="2A78B65F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79</w:t>
            </w:r>
            <w:r w:rsidR="00B13620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519,20</w:t>
            </w:r>
          </w:p>
        </w:tc>
        <w:tc>
          <w:tcPr>
            <w:tcW w:w="1721" w:type="dxa"/>
            <w:vAlign w:val="center"/>
          </w:tcPr>
          <w:p w14:paraId="09B7D96E" w14:textId="053D742A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72</w:t>
            </w: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429,55</w:t>
            </w:r>
          </w:p>
        </w:tc>
        <w:tc>
          <w:tcPr>
            <w:tcW w:w="1721" w:type="dxa"/>
            <w:vAlign w:val="center"/>
          </w:tcPr>
          <w:p w14:paraId="6D1D130C" w14:textId="45B3761B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3737A8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77</w:t>
            </w: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Pr="003737A8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230,67</w:t>
            </w:r>
          </w:p>
        </w:tc>
        <w:tc>
          <w:tcPr>
            <w:tcW w:w="1811" w:type="dxa"/>
            <w:vAlign w:val="center"/>
          </w:tcPr>
          <w:p w14:paraId="0F709525" w14:textId="457C9DCC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6,63%</w:t>
            </w:r>
          </w:p>
        </w:tc>
      </w:tr>
      <w:tr w:rsidR="00824CFC" w:rsidRPr="008C5022" w14:paraId="5F071581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0EA9C933" w14:textId="4A89153D" w:rsidR="00824CFC" w:rsidRPr="008C5022" w:rsidRDefault="00824CFC" w:rsidP="00824C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  <w:t>Wynagrodzenie członków Zarządu</w:t>
            </w:r>
          </w:p>
        </w:tc>
        <w:tc>
          <w:tcPr>
            <w:tcW w:w="1721" w:type="dxa"/>
            <w:vAlign w:val="center"/>
          </w:tcPr>
          <w:p w14:paraId="15A0A9C5" w14:textId="0EFC30AF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2 887 121,76</w:t>
            </w:r>
          </w:p>
        </w:tc>
        <w:tc>
          <w:tcPr>
            <w:tcW w:w="1721" w:type="dxa"/>
            <w:vAlign w:val="center"/>
          </w:tcPr>
          <w:p w14:paraId="229874FB" w14:textId="4848D342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2 715 523,13</w:t>
            </w:r>
          </w:p>
        </w:tc>
        <w:tc>
          <w:tcPr>
            <w:tcW w:w="1721" w:type="dxa"/>
            <w:vAlign w:val="center"/>
          </w:tcPr>
          <w:p w14:paraId="4DCC97A6" w14:textId="634A46D1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AB4E6F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3 377 740,05</w:t>
            </w:r>
          </w:p>
        </w:tc>
        <w:tc>
          <w:tcPr>
            <w:tcW w:w="1811" w:type="dxa"/>
            <w:vAlign w:val="center"/>
          </w:tcPr>
          <w:p w14:paraId="3CE2ACAC" w14:textId="15286692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AB4E6F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24,39%</w:t>
            </w:r>
          </w:p>
        </w:tc>
      </w:tr>
      <w:tr w:rsidR="00824CFC" w:rsidRPr="008C5022" w14:paraId="26CE595C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2DD0D998" w14:textId="63BB1A75" w:rsidR="00824CFC" w:rsidRPr="008C5022" w:rsidRDefault="00824CFC" w:rsidP="00824C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  <w:t>Wynagrodzenie członków Rady Nadzorczej</w:t>
            </w:r>
          </w:p>
        </w:tc>
        <w:tc>
          <w:tcPr>
            <w:tcW w:w="1721" w:type="dxa"/>
            <w:vAlign w:val="center"/>
          </w:tcPr>
          <w:p w14:paraId="6E6E4A86" w14:textId="7BE465AA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61 831,95</w:t>
            </w:r>
          </w:p>
        </w:tc>
        <w:tc>
          <w:tcPr>
            <w:tcW w:w="1721" w:type="dxa"/>
            <w:vAlign w:val="center"/>
          </w:tcPr>
          <w:p w14:paraId="40386CFE" w14:textId="4274AE7D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37 066,91</w:t>
            </w:r>
          </w:p>
        </w:tc>
        <w:tc>
          <w:tcPr>
            <w:tcW w:w="1721" w:type="dxa"/>
            <w:vAlign w:val="center"/>
          </w:tcPr>
          <w:p w14:paraId="4FBA1EC5" w14:textId="4BFCEF90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AB4E6F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37 519,45</w:t>
            </w:r>
          </w:p>
        </w:tc>
        <w:tc>
          <w:tcPr>
            <w:tcW w:w="1811" w:type="dxa"/>
            <w:vAlign w:val="center"/>
          </w:tcPr>
          <w:p w14:paraId="323B44E2" w14:textId="57567177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AB4E6F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1,22%</w:t>
            </w:r>
          </w:p>
        </w:tc>
      </w:tr>
      <w:tr w:rsidR="00824CFC" w:rsidRPr="008C5022" w14:paraId="4D780E65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5546EE4B" w14:textId="4326A627" w:rsidR="00824CFC" w:rsidRPr="008C5022" w:rsidRDefault="00824CFC" w:rsidP="00824C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EBITDA (</w:t>
            </w: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eastAsia="es-CL"/>
              </w:rPr>
              <w:t>Spółka</w:t>
            </w: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)</w:t>
            </w:r>
          </w:p>
        </w:tc>
        <w:tc>
          <w:tcPr>
            <w:tcW w:w="1721" w:type="dxa"/>
            <w:vAlign w:val="center"/>
          </w:tcPr>
          <w:p w14:paraId="36E947E6" w14:textId="2667ACD7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89 769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1D30A537" w14:textId="2CFD36AE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53 406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6E3EED05" w14:textId="48F7F278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66 375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811" w:type="dxa"/>
            <w:vAlign w:val="center"/>
          </w:tcPr>
          <w:p w14:paraId="7F17C1F0" w14:textId="3D36FA15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24,28%</w:t>
            </w:r>
          </w:p>
        </w:tc>
      </w:tr>
      <w:tr w:rsidR="00824CFC" w:rsidRPr="008C5022" w14:paraId="6B24346F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11CD1C6D" w14:textId="0FF02FCB" w:rsidR="00824CFC" w:rsidRPr="008C5022" w:rsidRDefault="00824CFC" w:rsidP="00824CF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EBITDA (Grupa Kapitałowa)</w:t>
            </w:r>
          </w:p>
        </w:tc>
        <w:tc>
          <w:tcPr>
            <w:tcW w:w="1721" w:type="dxa"/>
            <w:vAlign w:val="center"/>
          </w:tcPr>
          <w:p w14:paraId="5236713B" w14:textId="6FCA110B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102 164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04C82C03" w14:textId="3F841A2C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70 282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0E4D1B3A" w14:textId="1D94225B" w:rsidR="00824CFC" w:rsidRPr="008C5022" w:rsidRDefault="00824CFC" w:rsidP="00824C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75 628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811" w:type="dxa"/>
            <w:vAlign w:val="center"/>
          </w:tcPr>
          <w:p w14:paraId="3F1A3306" w14:textId="7AFDCBDA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7,61%</w:t>
            </w:r>
          </w:p>
        </w:tc>
      </w:tr>
      <w:tr w:rsidR="00824CFC" w:rsidRPr="008C5022" w14:paraId="200CEFFC" w14:textId="77777777" w:rsidTr="00824CFC">
        <w:trPr>
          <w:trHeight w:val="488"/>
        </w:trPr>
        <w:tc>
          <w:tcPr>
            <w:tcW w:w="2088" w:type="dxa"/>
            <w:vAlign w:val="center"/>
          </w:tcPr>
          <w:p w14:paraId="66FC7C8F" w14:textId="73ABB739" w:rsidR="00824CFC" w:rsidRPr="008C5022" w:rsidRDefault="00824CFC" w:rsidP="00824CF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Zysk netto (Spółka)</w:t>
            </w:r>
          </w:p>
        </w:tc>
        <w:tc>
          <w:tcPr>
            <w:tcW w:w="1721" w:type="dxa"/>
            <w:vAlign w:val="center"/>
          </w:tcPr>
          <w:p w14:paraId="39D4594C" w14:textId="53660C58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43 499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7F436C10" w14:textId="15E733E7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11 205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58959427" w14:textId="7160CDC8" w:rsidR="00824CFC" w:rsidRPr="008C5022" w:rsidRDefault="00824CFC" w:rsidP="00824C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21 680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811" w:type="dxa"/>
            <w:vAlign w:val="center"/>
          </w:tcPr>
          <w:p w14:paraId="7D617D32" w14:textId="24E882FC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93,48%</w:t>
            </w:r>
          </w:p>
        </w:tc>
      </w:tr>
      <w:tr w:rsidR="00824CFC" w:rsidRPr="008C5022" w14:paraId="2E831249" w14:textId="77777777" w:rsidTr="00824CFC">
        <w:trPr>
          <w:trHeight w:val="489"/>
        </w:trPr>
        <w:tc>
          <w:tcPr>
            <w:tcW w:w="2088" w:type="dxa"/>
            <w:vAlign w:val="center"/>
          </w:tcPr>
          <w:p w14:paraId="42F3AC71" w14:textId="77777777" w:rsidR="00824CFC" w:rsidRPr="008C5022" w:rsidRDefault="00824CFC" w:rsidP="00824CF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Zysk netto</w:t>
            </w:r>
          </w:p>
          <w:p w14:paraId="0C9BCF5D" w14:textId="192B4FA5" w:rsidR="00824CFC" w:rsidRPr="008C5022" w:rsidRDefault="00824CFC" w:rsidP="00824CF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bCs/>
                <w:sz w:val="20"/>
                <w:szCs w:val="20"/>
                <w:lang w:val="es-CL" w:eastAsia="es-CL"/>
              </w:rPr>
              <w:t>(Grupa Katapiłowa)</w:t>
            </w:r>
          </w:p>
        </w:tc>
        <w:tc>
          <w:tcPr>
            <w:tcW w:w="1721" w:type="dxa"/>
            <w:vAlign w:val="center"/>
          </w:tcPr>
          <w:p w14:paraId="1FCAFE90" w14:textId="372708E0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46 201</w:t>
            </w:r>
            <w:r w:rsidR="00B13620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tys</w:t>
            </w:r>
          </w:p>
        </w:tc>
        <w:tc>
          <w:tcPr>
            <w:tcW w:w="1721" w:type="dxa"/>
            <w:vAlign w:val="center"/>
          </w:tcPr>
          <w:p w14:paraId="506ED01E" w14:textId="4AEDEB7E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 </w:t>
            </w:r>
            <w:r w:rsidRPr="008C5022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189</w:t>
            </w:r>
            <w:r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 xml:space="preserve">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721" w:type="dxa"/>
            <w:vAlign w:val="center"/>
          </w:tcPr>
          <w:p w14:paraId="4632E49E" w14:textId="7BC26A51" w:rsidR="00824CFC" w:rsidRPr="008C5022" w:rsidRDefault="00824CFC" w:rsidP="00824C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24 978 </w:t>
            </w:r>
            <w:r w:rsidR="00635B93"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  <w:t>tys</w:t>
            </w:r>
          </w:p>
        </w:tc>
        <w:tc>
          <w:tcPr>
            <w:tcW w:w="1811" w:type="dxa"/>
            <w:vAlign w:val="center"/>
          </w:tcPr>
          <w:p w14:paraId="29795372" w14:textId="1C2772C0" w:rsidR="00824CFC" w:rsidRPr="008C5022" w:rsidRDefault="00824CFC" w:rsidP="00824CF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23,72%</w:t>
            </w:r>
          </w:p>
        </w:tc>
      </w:tr>
    </w:tbl>
    <w:p w14:paraId="29148E51" w14:textId="2F736D60" w:rsidR="007E6859" w:rsidRPr="008C5022" w:rsidRDefault="007E6859" w:rsidP="00BB6AB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es-CL"/>
        </w:rPr>
      </w:pPr>
    </w:p>
    <w:p w14:paraId="21950032" w14:textId="35E8606B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4A260E" w14:textId="77777777" w:rsidR="009D47EB" w:rsidRDefault="009D47EB" w:rsidP="00564EC6">
      <w:pPr>
        <w:spacing w:line="23" w:lineRule="atLeast"/>
        <w:rPr>
          <w:rFonts w:asciiTheme="minorHAnsi" w:hAnsiTheme="minorHAnsi" w:cstheme="minorHAnsi"/>
          <w:b/>
          <w:bCs/>
        </w:rPr>
      </w:pPr>
    </w:p>
    <w:p w14:paraId="7E886C56" w14:textId="5182D59F" w:rsidR="00564EC6" w:rsidRPr="008C5022" w:rsidRDefault="00564EC6" w:rsidP="00564EC6">
      <w:pPr>
        <w:spacing w:line="23" w:lineRule="atLeast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>Wybrane dane i wskaźniki finansowe – Grupa Kapitałowa ULMA Construccion Polska S.A.</w:t>
      </w:r>
    </w:p>
    <w:p w14:paraId="03591F21" w14:textId="77777777" w:rsidR="0076320A" w:rsidRPr="008C5022" w:rsidRDefault="0076320A" w:rsidP="005D5A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073"/>
        <w:gridCol w:w="1073"/>
        <w:gridCol w:w="1073"/>
        <w:gridCol w:w="1587"/>
      </w:tblGrid>
      <w:tr w:rsidR="00824CFC" w:rsidRPr="008C5022" w14:paraId="7373BAD5" w14:textId="77777777" w:rsidTr="00824CFC">
        <w:trPr>
          <w:trHeight w:hRule="exact" w:val="532"/>
          <w:jc w:val="center"/>
        </w:trPr>
        <w:tc>
          <w:tcPr>
            <w:tcW w:w="4256" w:type="dxa"/>
            <w:shd w:val="clear" w:color="auto" w:fill="D9D9D9" w:themeFill="background1" w:themeFillShade="D9"/>
            <w:noWrap/>
            <w:vAlign w:val="center"/>
            <w:hideMark/>
          </w:tcPr>
          <w:p w14:paraId="02BB7F37" w14:textId="7799FD41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WYBRANE DANE FINANSOWE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0F77E4CF" w14:textId="67536D14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3105181A" w14:textId="719941F8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B7A63A8" w14:textId="7F2BD873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114DDF14" w14:textId="58732775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Zmiana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2021</w:t>
            </w: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</w:t>
            </w: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</w:p>
        </w:tc>
      </w:tr>
      <w:tr w:rsidR="00824CFC" w:rsidRPr="008C5022" w14:paraId="2DD7839E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  <w:hideMark/>
          </w:tcPr>
          <w:p w14:paraId="39D382E7" w14:textId="4FB6DC14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Łączne Przychody netto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3D38CA3A" w14:textId="068C7CC0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229 366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FD93AF3" w14:textId="3F6673D4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190 643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BB7596B" w14:textId="696EC88D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209 851</w:t>
            </w:r>
          </w:p>
        </w:tc>
        <w:tc>
          <w:tcPr>
            <w:tcW w:w="1587" w:type="dxa"/>
            <w:vAlign w:val="center"/>
          </w:tcPr>
          <w:p w14:paraId="13EE08E2" w14:textId="3D18E4BF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10,08%</w:t>
            </w:r>
          </w:p>
        </w:tc>
      </w:tr>
      <w:tr w:rsidR="00824CFC" w:rsidRPr="008C5022" w14:paraId="0583B39E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  <w:hideMark/>
          </w:tcPr>
          <w:p w14:paraId="3FE1231C" w14:textId="00C5C91F" w:rsidR="00824CFC" w:rsidRPr="00324E94" w:rsidRDefault="00824CFC" w:rsidP="00824CFC">
            <w:pPr>
              <w:spacing w:line="2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EBIT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56129C87" w14:textId="569A751D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59 049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73F388F" w14:textId="50BE3946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25 559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F699C44" w14:textId="5A10C407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31 962</w:t>
            </w:r>
          </w:p>
        </w:tc>
        <w:tc>
          <w:tcPr>
            <w:tcW w:w="1587" w:type="dxa"/>
            <w:vAlign w:val="center"/>
          </w:tcPr>
          <w:p w14:paraId="519CC022" w14:textId="7F0C3A31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25,05%</w:t>
            </w:r>
          </w:p>
        </w:tc>
      </w:tr>
      <w:tr w:rsidR="00824CFC" w:rsidRPr="008C5022" w14:paraId="3BC612C5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288E7104" w14:textId="4E589B86" w:rsidR="00824CFC" w:rsidRPr="008C5022" w:rsidRDefault="00824CFC" w:rsidP="00552287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 xml:space="preserve">Wskaźnik EBIT jako % od sprzedaży </w:t>
            </w:r>
          </w:p>
        </w:tc>
        <w:tc>
          <w:tcPr>
            <w:tcW w:w="1073" w:type="dxa"/>
            <w:vAlign w:val="center"/>
          </w:tcPr>
          <w:p w14:paraId="15552B61" w14:textId="7E8BCF8B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25,7%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D0BBF77" w14:textId="46F118F8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13,4%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BCEBDB" w14:textId="503D3595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15,23%</w:t>
            </w:r>
          </w:p>
        </w:tc>
        <w:tc>
          <w:tcPr>
            <w:tcW w:w="1587" w:type="dxa"/>
            <w:vAlign w:val="center"/>
          </w:tcPr>
          <w:p w14:paraId="78B1102A" w14:textId="2E12B600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13,66% </w:t>
            </w:r>
          </w:p>
        </w:tc>
      </w:tr>
      <w:tr w:rsidR="00824CFC" w:rsidRPr="008C5022" w14:paraId="64F993AD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637E0BF1" w14:textId="68C45114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EBITDA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368136E9" w14:textId="54A60AEB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102 164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E38AB14" w14:textId="040AE367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70 282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F07CFF2" w14:textId="573D6454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75 628</w:t>
            </w:r>
          </w:p>
        </w:tc>
        <w:tc>
          <w:tcPr>
            <w:tcW w:w="1587" w:type="dxa"/>
            <w:vAlign w:val="center"/>
          </w:tcPr>
          <w:p w14:paraId="59C13ACC" w14:textId="01E9F130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7,61%</w:t>
            </w:r>
          </w:p>
        </w:tc>
      </w:tr>
      <w:tr w:rsidR="00824CFC" w:rsidRPr="008C5022" w14:paraId="2ABDD624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55A33F72" w14:textId="5533A271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sz w:val="22"/>
                <w:szCs w:val="22"/>
              </w:rPr>
              <w:t>Wskaźnik EBITDA do sprzedaży %</w:t>
            </w:r>
          </w:p>
        </w:tc>
        <w:tc>
          <w:tcPr>
            <w:tcW w:w="1073" w:type="dxa"/>
            <w:vAlign w:val="center"/>
          </w:tcPr>
          <w:p w14:paraId="0A1A20CC" w14:textId="00FDCA4B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sz w:val="22"/>
                <w:szCs w:val="22"/>
              </w:rPr>
              <w:t>44,5%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2DB8D94" w14:textId="3631C55F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sz w:val="22"/>
                <w:szCs w:val="22"/>
              </w:rPr>
              <w:t>36,9%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BD345B4" w14:textId="693EC421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36,04%</w:t>
            </w:r>
          </w:p>
        </w:tc>
        <w:tc>
          <w:tcPr>
            <w:tcW w:w="1587" w:type="dxa"/>
            <w:vAlign w:val="center"/>
          </w:tcPr>
          <w:p w14:paraId="1325C330" w14:textId="559A3758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 -2,33%</w:t>
            </w:r>
          </w:p>
        </w:tc>
      </w:tr>
      <w:tr w:rsidR="00824CFC" w:rsidRPr="008C5022" w14:paraId="1D1149D6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5BF7A3FC" w14:textId="609A8E44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Zysk netto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7C1A55BC" w14:textId="23464875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46 201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3A1D37E" w14:textId="3D94F212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20 189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23B37C0" w14:textId="27F7091F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24 978</w:t>
            </w:r>
          </w:p>
        </w:tc>
        <w:tc>
          <w:tcPr>
            <w:tcW w:w="1587" w:type="dxa"/>
            <w:vAlign w:val="center"/>
          </w:tcPr>
          <w:p w14:paraId="64D6BCAE" w14:textId="6D1C0153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23,72%</w:t>
            </w:r>
          </w:p>
        </w:tc>
      </w:tr>
      <w:tr w:rsidR="00824CFC" w:rsidRPr="008C5022" w14:paraId="545D8418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3B4A5C6D" w14:textId="1D7AEBBD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Zysk netto jako % od sprzedaży</w:t>
            </w:r>
          </w:p>
        </w:tc>
        <w:tc>
          <w:tcPr>
            <w:tcW w:w="1073" w:type="dxa"/>
            <w:vAlign w:val="center"/>
          </w:tcPr>
          <w:p w14:paraId="5E956114" w14:textId="5A568699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20,1%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83DD15" w14:textId="1A4DF9A2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10,6%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2C54D44" w14:textId="4B25A9A7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11,90%</w:t>
            </w:r>
          </w:p>
        </w:tc>
        <w:tc>
          <w:tcPr>
            <w:tcW w:w="1587" w:type="dxa"/>
            <w:vAlign w:val="center"/>
          </w:tcPr>
          <w:p w14:paraId="5631ECFD" w14:textId="12DAA65C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 12,29%</w:t>
            </w:r>
          </w:p>
        </w:tc>
      </w:tr>
    </w:tbl>
    <w:p w14:paraId="0398F81D" w14:textId="69B60B43" w:rsidR="00EB3C1F" w:rsidRPr="008C5022" w:rsidRDefault="00EB3C1F" w:rsidP="005D5A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34834CB8" w14:textId="7F2C2EF4" w:rsidR="00635B93" w:rsidRDefault="00635B93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6515FF3" w14:textId="0D13064A" w:rsidR="00CB751C" w:rsidRPr="008C5022" w:rsidRDefault="00CB751C" w:rsidP="00CB751C">
      <w:pPr>
        <w:spacing w:line="23" w:lineRule="atLeast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lastRenderedPageBreak/>
        <w:t>Wybrane dane i wskaźniki finansowe – ULMA Construccion Polska S.A.</w:t>
      </w:r>
    </w:p>
    <w:p w14:paraId="0ADAC0E7" w14:textId="77777777" w:rsidR="00CB751C" w:rsidRPr="008C5022" w:rsidRDefault="00CB751C" w:rsidP="00CB75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073"/>
        <w:gridCol w:w="1073"/>
        <w:gridCol w:w="1073"/>
        <w:gridCol w:w="1587"/>
      </w:tblGrid>
      <w:tr w:rsidR="00824CFC" w:rsidRPr="008C5022" w14:paraId="0F5CA28C" w14:textId="77777777" w:rsidTr="00824CFC">
        <w:trPr>
          <w:trHeight w:hRule="exact" w:val="642"/>
          <w:jc w:val="center"/>
        </w:trPr>
        <w:tc>
          <w:tcPr>
            <w:tcW w:w="4256" w:type="dxa"/>
            <w:shd w:val="clear" w:color="auto" w:fill="D9D9D9" w:themeFill="background1" w:themeFillShade="D9"/>
            <w:noWrap/>
            <w:vAlign w:val="center"/>
            <w:hideMark/>
          </w:tcPr>
          <w:p w14:paraId="0527064F" w14:textId="31B62D6B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WYBRANE DANE FINANSOWE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0F814874" w14:textId="2CF8999E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451D99AC" w14:textId="4EF3C099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6BFE8E5B" w14:textId="5274CD93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1FA81C91" w14:textId="43587ED4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Zmiana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2021</w:t>
            </w: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r/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2020</w:t>
            </w:r>
            <w:r w:rsidRPr="008C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</w:p>
        </w:tc>
      </w:tr>
      <w:tr w:rsidR="00824CFC" w:rsidRPr="008C5022" w14:paraId="5FD0FE85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  <w:hideMark/>
          </w:tcPr>
          <w:p w14:paraId="6FD48D5A" w14:textId="173D77BE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Łączne Przychody netto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448314EE" w14:textId="582A1738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197 371</w:t>
            </w:r>
          </w:p>
        </w:tc>
        <w:tc>
          <w:tcPr>
            <w:tcW w:w="1073" w:type="dxa"/>
            <w:vAlign w:val="center"/>
          </w:tcPr>
          <w:p w14:paraId="763C438A" w14:textId="7AD0547F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154 551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EF2CD25" w14:textId="1C138431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183 423</w:t>
            </w:r>
          </w:p>
        </w:tc>
        <w:tc>
          <w:tcPr>
            <w:tcW w:w="1587" w:type="dxa"/>
            <w:vAlign w:val="center"/>
          </w:tcPr>
          <w:p w14:paraId="53B4F2BC" w14:textId="33C30F63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18,68%</w:t>
            </w:r>
          </w:p>
        </w:tc>
      </w:tr>
      <w:tr w:rsidR="00824CFC" w:rsidRPr="008C5022" w14:paraId="48A1704B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  <w:hideMark/>
          </w:tcPr>
          <w:p w14:paraId="43625986" w14:textId="54286B49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EBIT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2C88FD70" w14:textId="61C9A180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50 716</w:t>
            </w:r>
          </w:p>
        </w:tc>
        <w:tc>
          <w:tcPr>
            <w:tcW w:w="1073" w:type="dxa"/>
            <w:vAlign w:val="center"/>
          </w:tcPr>
          <w:p w14:paraId="46E5DAEC" w14:textId="1BE7D55C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12 995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4CEE87" w14:textId="5D321CA9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27 330</w:t>
            </w:r>
          </w:p>
        </w:tc>
        <w:tc>
          <w:tcPr>
            <w:tcW w:w="1587" w:type="dxa"/>
            <w:vAlign w:val="center"/>
          </w:tcPr>
          <w:p w14:paraId="1C677934" w14:textId="6682551C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110,31%</w:t>
            </w:r>
          </w:p>
        </w:tc>
      </w:tr>
      <w:tr w:rsidR="00824CFC" w:rsidRPr="008C5022" w14:paraId="12D6E618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4E9F9229" w14:textId="385334E7" w:rsidR="00824CFC" w:rsidRPr="008C5022" w:rsidRDefault="00824CFC" w:rsidP="00552287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 xml:space="preserve">Wskaźnik EBIT jako % od sprzedaży </w:t>
            </w:r>
          </w:p>
        </w:tc>
        <w:tc>
          <w:tcPr>
            <w:tcW w:w="1073" w:type="dxa"/>
            <w:vAlign w:val="center"/>
          </w:tcPr>
          <w:p w14:paraId="37571694" w14:textId="0F458365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25,7%</w:t>
            </w:r>
          </w:p>
        </w:tc>
        <w:tc>
          <w:tcPr>
            <w:tcW w:w="1073" w:type="dxa"/>
            <w:vAlign w:val="center"/>
          </w:tcPr>
          <w:p w14:paraId="256932FB" w14:textId="5F04AC26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8,4%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C8BD250" w14:textId="31080B95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14,90%</w:t>
            </w:r>
          </w:p>
        </w:tc>
        <w:tc>
          <w:tcPr>
            <w:tcW w:w="1587" w:type="dxa"/>
            <w:vAlign w:val="center"/>
          </w:tcPr>
          <w:p w14:paraId="5B1013DD" w14:textId="1CB12900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77,38%</w:t>
            </w:r>
          </w:p>
        </w:tc>
      </w:tr>
      <w:tr w:rsidR="00824CFC" w:rsidRPr="008C5022" w14:paraId="204C44B0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28890AA1" w14:textId="19BCFADA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EBITDA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52971C34" w14:textId="78CE6FA3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89 769</w:t>
            </w:r>
          </w:p>
        </w:tc>
        <w:tc>
          <w:tcPr>
            <w:tcW w:w="1073" w:type="dxa"/>
            <w:vAlign w:val="center"/>
          </w:tcPr>
          <w:p w14:paraId="4F674DAE" w14:textId="12D1FAA0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53 406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5F06A1D" w14:textId="537E9E9E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66 375</w:t>
            </w:r>
          </w:p>
        </w:tc>
        <w:tc>
          <w:tcPr>
            <w:tcW w:w="1587" w:type="dxa"/>
            <w:vAlign w:val="center"/>
          </w:tcPr>
          <w:p w14:paraId="5323D26B" w14:textId="3B980763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24,28%</w:t>
            </w:r>
          </w:p>
        </w:tc>
      </w:tr>
      <w:tr w:rsidR="00824CFC" w:rsidRPr="008C5022" w14:paraId="4E3EA3A2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28F3EA68" w14:textId="77777777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sz w:val="22"/>
                <w:szCs w:val="22"/>
              </w:rPr>
              <w:t>Wskaźnik EBITDA do sprzedaży %</w:t>
            </w:r>
          </w:p>
        </w:tc>
        <w:tc>
          <w:tcPr>
            <w:tcW w:w="1073" w:type="dxa"/>
            <w:vAlign w:val="center"/>
          </w:tcPr>
          <w:p w14:paraId="504B50D8" w14:textId="229DB807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sz w:val="22"/>
                <w:szCs w:val="22"/>
              </w:rPr>
              <w:t>45,5%</w:t>
            </w:r>
          </w:p>
        </w:tc>
        <w:tc>
          <w:tcPr>
            <w:tcW w:w="1073" w:type="dxa"/>
            <w:vAlign w:val="center"/>
          </w:tcPr>
          <w:p w14:paraId="51DBE9C9" w14:textId="3D68938A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b/>
                <w:sz w:val="22"/>
                <w:szCs w:val="22"/>
              </w:rPr>
              <w:t>34,6%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BFE8C09" w14:textId="526041B2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36,19%</w:t>
            </w:r>
          </w:p>
        </w:tc>
        <w:tc>
          <w:tcPr>
            <w:tcW w:w="1587" w:type="dxa"/>
            <w:vAlign w:val="center"/>
          </w:tcPr>
          <w:p w14:paraId="6F4F3F5C" w14:textId="51C5369C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4,59%</w:t>
            </w:r>
          </w:p>
        </w:tc>
      </w:tr>
      <w:tr w:rsidR="00824CFC" w:rsidRPr="008C5022" w14:paraId="18708480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0200143F" w14:textId="292CA813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Zysk netto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 xml:space="preserve"> k</w:t>
            </w:r>
            <w:r w:rsidR="00635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E94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  <w:tc>
          <w:tcPr>
            <w:tcW w:w="1073" w:type="dxa"/>
            <w:vAlign w:val="center"/>
          </w:tcPr>
          <w:p w14:paraId="06808AF1" w14:textId="17A9A91B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43 499</w:t>
            </w:r>
          </w:p>
        </w:tc>
        <w:tc>
          <w:tcPr>
            <w:tcW w:w="1073" w:type="dxa"/>
            <w:vAlign w:val="center"/>
          </w:tcPr>
          <w:p w14:paraId="53C44186" w14:textId="060D1AAA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11 205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8404A3C" w14:textId="15CCDC8F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21 680</w:t>
            </w:r>
          </w:p>
        </w:tc>
        <w:tc>
          <w:tcPr>
            <w:tcW w:w="1587" w:type="dxa"/>
            <w:vAlign w:val="center"/>
          </w:tcPr>
          <w:p w14:paraId="656CC28D" w14:textId="6F362447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93,48%</w:t>
            </w:r>
          </w:p>
        </w:tc>
      </w:tr>
      <w:tr w:rsidR="00824CFC" w:rsidRPr="008C5022" w14:paraId="769FAB48" w14:textId="77777777" w:rsidTr="00824CFC">
        <w:trPr>
          <w:trHeight w:val="537"/>
          <w:jc w:val="center"/>
        </w:trPr>
        <w:tc>
          <w:tcPr>
            <w:tcW w:w="4256" w:type="dxa"/>
            <w:shd w:val="clear" w:color="auto" w:fill="auto"/>
            <w:noWrap/>
            <w:vAlign w:val="center"/>
          </w:tcPr>
          <w:p w14:paraId="2F97DDD8" w14:textId="77777777" w:rsidR="00824CFC" w:rsidRPr="008C5022" w:rsidRDefault="00824CFC" w:rsidP="00824CFC">
            <w:pPr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Zysk netto jako % od sprzedaży</w:t>
            </w:r>
          </w:p>
        </w:tc>
        <w:tc>
          <w:tcPr>
            <w:tcW w:w="1073" w:type="dxa"/>
            <w:vAlign w:val="center"/>
          </w:tcPr>
          <w:p w14:paraId="345B85A9" w14:textId="62C92C00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22,0%</w:t>
            </w:r>
          </w:p>
        </w:tc>
        <w:tc>
          <w:tcPr>
            <w:tcW w:w="1073" w:type="dxa"/>
            <w:vAlign w:val="center"/>
          </w:tcPr>
          <w:p w14:paraId="006B4B68" w14:textId="733AA831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022">
              <w:rPr>
                <w:rFonts w:asciiTheme="minorHAnsi" w:hAnsiTheme="minorHAnsi" w:cstheme="minorHAnsi"/>
                <w:sz w:val="22"/>
                <w:szCs w:val="22"/>
              </w:rPr>
              <w:t>7,3%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F6C8EB0" w14:textId="0B1A98D4" w:rsidR="00824CFC" w:rsidRPr="008C5022" w:rsidRDefault="00824CFC" w:rsidP="00824CFC">
            <w:pPr>
              <w:spacing w:line="23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11,82%</w:t>
            </w:r>
          </w:p>
        </w:tc>
        <w:tc>
          <w:tcPr>
            <w:tcW w:w="1587" w:type="dxa"/>
            <w:vAlign w:val="center"/>
          </w:tcPr>
          <w:p w14:paraId="52AA9EEC" w14:textId="1665B930" w:rsidR="00824CFC" w:rsidRPr="008C5022" w:rsidRDefault="00824CFC" w:rsidP="00824CFC">
            <w:pPr>
              <w:pStyle w:val="Bezodstpw"/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61,91%</w:t>
            </w:r>
          </w:p>
        </w:tc>
      </w:tr>
    </w:tbl>
    <w:p w14:paraId="07DB0427" w14:textId="77777777" w:rsidR="00CB751C" w:rsidRPr="008C5022" w:rsidRDefault="00CB751C" w:rsidP="005D5A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37952AC3" w14:textId="77777777" w:rsidR="00E61366" w:rsidRPr="008C5022" w:rsidRDefault="00E61366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EDB7E0D" w14:textId="5455174E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 xml:space="preserve">Wysokość wynagrodzenia od podmiotów należących do tej samej grupy kapitałowej w rozumieniu ustawy z dnia 29 września 1994 r. o rachunkowości </w:t>
      </w:r>
    </w:p>
    <w:p w14:paraId="5F6BE0D4" w14:textId="77777777" w:rsidR="00022440" w:rsidRPr="008C5022" w:rsidRDefault="00022440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57F817B" w14:textId="2C28D1E9" w:rsidR="00BB6AB8" w:rsidRPr="008C5022" w:rsidRDefault="002835A5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latach obrotowych 2019</w:t>
      </w:r>
      <w:r w:rsidR="00803C47">
        <w:rPr>
          <w:rFonts w:asciiTheme="minorHAnsi" w:hAnsiTheme="minorHAnsi" w:cstheme="minorHAnsi"/>
        </w:rPr>
        <w:t>,</w:t>
      </w:r>
      <w:r w:rsidRPr="008C5022">
        <w:rPr>
          <w:rFonts w:asciiTheme="minorHAnsi" w:hAnsiTheme="minorHAnsi" w:cstheme="minorHAnsi"/>
        </w:rPr>
        <w:t xml:space="preserve"> 2020</w:t>
      </w:r>
      <w:r w:rsidR="00803C47">
        <w:rPr>
          <w:rFonts w:asciiTheme="minorHAnsi" w:hAnsiTheme="minorHAnsi" w:cstheme="minorHAnsi"/>
        </w:rPr>
        <w:t xml:space="preserve"> i 2021</w:t>
      </w:r>
      <w:r w:rsidRPr="008C5022">
        <w:rPr>
          <w:rFonts w:asciiTheme="minorHAnsi" w:hAnsiTheme="minorHAnsi" w:cstheme="minorHAnsi"/>
        </w:rPr>
        <w:t>, członkowie Zarządu oraz Rady Nadzorczej nie otrzymywali wynagrodzenia od podmiotów należących do grupy kapitałowej ULMA Construccion Polska S.A.</w:t>
      </w:r>
    </w:p>
    <w:p w14:paraId="4C3B566A" w14:textId="77777777" w:rsidR="002835A5" w:rsidRPr="008C5022" w:rsidRDefault="002835A5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8ECA0DD" w14:textId="4375AF8F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 xml:space="preserve">Liczba przyznanych lub zaoferowanych instrumentów finansowych oraz główne warunki wykonywania praw z tych instrumentów, w tym cenę i datę wykonania oraz ich zmiany </w:t>
      </w:r>
    </w:p>
    <w:p w14:paraId="14DCCD74" w14:textId="5A9EA01F" w:rsidR="00022440" w:rsidRPr="008C5022" w:rsidRDefault="00022440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B678054" w14:textId="077DDB9D" w:rsidR="002835A5" w:rsidRPr="008C5022" w:rsidRDefault="002835A5" w:rsidP="002835A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latach obrotowych 2019</w:t>
      </w:r>
      <w:r w:rsidR="00172431">
        <w:rPr>
          <w:rFonts w:asciiTheme="minorHAnsi" w:hAnsiTheme="minorHAnsi" w:cstheme="minorHAnsi"/>
        </w:rPr>
        <w:t>,</w:t>
      </w:r>
      <w:r w:rsidRPr="008C5022">
        <w:rPr>
          <w:rFonts w:asciiTheme="minorHAnsi" w:hAnsiTheme="minorHAnsi" w:cstheme="minorHAnsi"/>
        </w:rPr>
        <w:t xml:space="preserve"> 2020</w:t>
      </w:r>
      <w:r w:rsidR="00172431">
        <w:rPr>
          <w:rFonts w:asciiTheme="minorHAnsi" w:hAnsiTheme="minorHAnsi" w:cstheme="minorHAnsi"/>
        </w:rPr>
        <w:t xml:space="preserve"> i 2021</w:t>
      </w:r>
      <w:r w:rsidRPr="008C5022">
        <w:rPr>
          <w:rFonts w:asciiTheme="minorHAnsi" w:hAnsiTheme="minorHAnsi" w:cstheme="minorHAnsi"/>
        </w:rPr>
        <w:t>, członkom Zarządu oraz Rady Nadzorczej nie przyznano ani nie zaoferowano żadnych instrumentów finansowych.</w:t>
      </w:r>
    </w:p>
    <w:p w14:paraId="08E42A30" w14:textId="77777777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ADD0BC3" w14:textId="77777777" w:rsidR="00E61366" w:rsidRDefault="00E61366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4331621" w14:textId="40DDDFBC" w:rsidR="00BB6AB8" w:rsidRPr="008C5022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 xml:space="preserve">Informacje na temat korzystania z możliwości żądania zwrotu zmiennych składników wynagrodzenia </w:t>
      </w:r>
    </w:p>
    <w:p w14:paraId="4683D6F0" w14:textId="77777777" w:rsidR="00022440" w:rsidRPr="008C5022" w:rsidRDefault="00022440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A9CF7A" w14:textId="0A5F6526" w:rsidR="002835A5" w:rsidRPr="008C5022" w:rsidRDefault="002835A5" w:rsidP="002835A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W latach obrotowych 2019</w:t>
      </w:r>
      <w:r w:rsidR="00172431">
        <w:rPr>
          <w:rFonts w:asciiTheme="minorHAnsi" w:hAnsiTheme="minorHAnsi" w:cstheme="minorHAnsi"/>
        </w:rPr>
        <w:t>,</w:t>
      </w:r>
      <w:r w:rsidRPr="008C5022">
        <w:rPr>
          <w:rFonts w:asciiTheme="minorHAnsi" w:hAnsiTheme="minorHAnsi" w:cstheme="minorHAnsi"/>
        </w:rPr>
        <w:t xml:space="preserve"> </w:t>
      </w:r>
      <w:r w:rsidR="00172431">
        <w:rPr>
          <w:rFonts w:asciiTheme="minorHAnsi" w:hAnsiTheme="minorHAnsi" w:cstheme="minorHAnsi"/>
        </w:rPr>
        <w:t xml:space="preserve">2020 </w:t>
      </w:r>
      <w:r w:rsidRPr="008C5022">
        <w:rPr>
          <w:rFonts w:asciiTheme="minorHAnsi" w:hAnsiTheme="minorHAnsi" w:cstheme="minorHAnsi"/>
        </w:rPr>
        <w:t>i 202</w:t>
      </w:r>
      <w:r w:rsidR="00172431">
        <w:rPr>
          <w:rFonts w:asciiTheme="minorHAnsi" w:hAnsiTheme="minorHAnsi" w:cstheme="minorHAnsi"/>
        </w:rPr>
        <w:t>1</w:t>
      </w:r>
      <w:r w:rsidRPr="008C5022">
        <w:rPr>
          <w:rFonts w:asciiTheme="minorHAnsi" w:hAnsiTheme="minorHAnsi" w:cstheme="minorHAnsi"/>
        </w:rPr>
        <w:t xml:space="preserve"> nie żądano zwrotu żadnych zmiennych składników wynagrodzenia od członków Zarządu oraz Rady Nadzorczej.</w:t>
      </w:r>
    </w:p>
    <w:p w14:paraId="26E4CDA7" w14:textId="7F137E9E" w:rsidR="00BB6AB8" w:rsidRDefault="00BB6AB8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9ED813D" w14:textId="77777777" w:rsidR="00E61366" w:rsidRPr="008C5022" w:rsidRDefault="00E61366" w:rsidP="00BB6A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42C715" w14:textId="4DB842F0" w:rsidR="00BB6AB8" w:rsidRPr="008C5022" w:rsidRDefault="00BB6AB8" w:rsidP="000B0F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8C5022">
        <w:rPr>
          <w:rFonts w:asciiTheme="minorHAnsi" w:hAnsiTheme="minorHAnsi" w:cstheme="minorHAnsi"/>
          <w:b/>
          <w:bCs/>
        </w:rPr>
        <w:t>Informacje dotyczące odstępstw od procedury wdrażania polityki wynagrodzeń oraz odstępstw</w:t>
      </w:r>
      <w:r w:rsidR="00AB258A" w:rsidRPr="008C5022">
        <w:rPr>
          <w:rFonts w:asciiTheme="minorHAnsi" w:hAnsiTheme="minorHAnsi" w:cstheme="minorHAnsi"/>
          <w:b/>
          <w:bCs/>
        </w:rPr>
        <w:t xml:space="preserve"> </w:t>
      </w:r>
      <w:r w:rsidRPr="008C5022">
        <w:rPr>
          <w:rFonts w:asciiTheme="minorHAnsi" w:hAnsiTheme="minorHAnsi" w:cstheme="minorHAnsi"/>
          <w:b/>
          <w:bCs/>
        </w:rPr>
        <w:t>zastosowanych zgodnie z art. 90f Ustawy o ofercie publicznej, w tym wyjaśnienie przesłanek i trybu, oraz</w:t>
      </w:r>
      <w:r w:rsidR="00022440" w:rsidRPr="008C5022">
        <w:rPr>
          <w:rFonts w:asciiTheme="minorHAnsi" w:hAnsiTheme="minorHAnsi" w:cstheme="minorHAnsi"/>
          <w:b/>
          <w:bCs/>
        </w:rPr>
        <w:t xml:space="preserve"> </w:t>
      </w:r>
      <w:r w:rsidRPr="008C5022">
        <w:rPr>
          <w:rFonts w:asciiTheme="minorHAnsi" w:hAnsiTheme="minorHAnsi" w:cstheme="minorHAnsi"/>
          <w:b/>
          <w:bCs/>
        </w:rPr>
        <w:t>wskazanie elementów, od których zastosowano odstępstwa</w:t>
      </w:r>
    </w:p>
    <w:p w14:paraId="6BFEC770" w14:textId="77777777" w:rsidR="00BB6AB8" w:rsidRPr="008C5022" w:rsidRDefault="00BB6AB8" w:rsidP="008249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1FC23CE" w14:textId="27B3DB0F" w:rsidR="00E73CF6" w:rsidRPr="008C5022" w:rsidRDefault="00BF52A3" w:rsidP="006D327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Nie miały miejsca odstępstwa, o których mowa w art. 90g ust. 2 pkt 8 Ustawy o ofercie publicznej.</w:t>
      </w:r>
    </w:p>
    <w:p w14:paraId="30A2B9EE" w14:textId="77777777" w:rsidR="008C5022" w:rsidRDefault="008C5022">
      <w:pPr>
        <w:spacing w:after="200" w:line="276" w:lineRule="auto"/>
        <w:rPr>
          <w:rFonts w:asciiTheme="minorHAnsi" w:eastAsiaTheme="majorEastAsia" w:hAnsiTheme="minorHAnsi" w:cstheme="minorHAnsi"/>
          <w:b/>
          <w:bCs/>
        </w:rPr>
      </w:pPr>
      <w:bookmarkStart w:id="3" w:name="_Toc67928437"/>
      <w:r>
        <w:rPr>
          <w:rFonts w:asciiTheme="minorHAnsi" w:hAnsiTheme="minorHAnsi" w:cstheme="minorHAnsi"/>
          <w:b/>
          <w:bCs/>
        </w:rPr>
        <w:br w:type="page"/>
      </w:r>
    </w:p>
    <w:p w14:paraId="14EE3105" w14:textId="6EAE5293" w:rsidR="00BB6AB8" w:rsidRPr="008C5022" w:rsidRDefault="00BB6AB8" w:rsidP="000B0FF3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C502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Wnioski</w:t>
      </w:r>
      <w:bookmarkEnd w:id="3"/>
    </w:p>
    <w:p w14:paraId="46EDA2D9" w14:textId="77777777" w:rsidR="00E73CF6" w:rsidRPr="008C5022" w:rsidRDefault="00E73CF6" w:rsidP="000B0FF3"/>
    <w:p w14:paraId="72D1D888" w14:textId="10EDDF97" w:rsidR="00BB6AB8" w:rsidRPr="008C5022" w:rsidRDefault="00BB6AB8" w:rsidP="006D327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Rada Nadzorcza dokonała przeglądu wynagrodzeń i wszystkich świadczeń otrzymywanych przez poszczególnych członków Zarządu i Rady Nadzorczej pod kątem zgodności z</w:t>
      </w:r>
      <w:r w:rsidR="002639DC" w:rsidRPr="008C5022">
        <w:rPr>
          <w:rFonts w:asciiTheme="minorHAnsi" w:hAnsiTheme="minorHAnsi" w:cstheme="minorHAnsi"/>
        </w:rPr>
        <w:t> </w:t>
      </w:r>
      <w:r w:rsidRPr="008C5022">
        <w:rPr>
          <w:rFonts w:asciiTheme="minorHAnsi" w:hAnsiTheme="minorHAnsi" w:cstheme="minorHAnsi"/>
        </w:rPr>
        <w:t>obowiązującymi politykami (Polityką Wynagrodzeń)</w:t>
      </w:r>
      <w:r w:rsidR="004245D7" w:rsidRPr="008C5022">
        <w:rPr>
          <w:rFonts w:asciiTheme="minorHAnsi" w:hAnsiTheme="minorHAnsi" w:cstheme="minorHAnsi"/>
        </w:rPr>
        <w:t xml:space="preserve"> i stwierdza, że:</w:t>
      </w:r>
    </w:p>
    <w:p w14:paraId="4904D407" w14:textId="77777777" w:rsidR="00BB6AB8" w:rsidRPr="008C5022" w:rsidRDefault="00BB6AB8" w:rsidP="000B0FF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C5022">
        <w:rPr>
          <w:rFonts w:asciiTheme="minorHAnsi" w:hAnsiTheme="minorHAnsi" w:cstheme="minorHAnsi"/>
          <w:sz w:val="24"/>
          <w:szCs w:val="24"/>
        </w:rPr>
        <w:t>Wynagrodzenie wypłacane członkom Zarządu jest zgodne z obowiązującymi politykami i spełnia wszelkie wymogi przewidziane prawem.</w:t>
      </w:r>
    </w:p>
    <w:p w14:paraId="64706333" w14:textId="0664B345" w:rsidR="00D61464" w:rsidRPr="008C5022" w:rsidRDefault="00BB6AB8" w:rsidP="00D6146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C5022">
        <w:rPr>
          <w:rFonts w:asciiTheme="minorHAnsi" w:hAnsiTheme="minorHAnsi" w:cstheme="minorHAnsi"/>
          <w:sz w:val="24"/>
          <w:szCs w:val="24"/>
        </w:rPr>
        <w:t>Funkcjonująca Polityka Wynagr</w:t>
      </w:r>
      <w:r w:rsidR="00E7092B">
        <w:rPr>
          <w:rFonts w:asciiTheme="minorHAnsi" w:hAnsiTheme="minorHAnsi" w:cstheme="minorHAnsi"/>
          <w:sz w:val="24"/>
          <w:szCs w:val="24"/>
        </w:rPr>
        <w:t>odzeń</w:t>
      </w:r>
      <w:r w:rsidRPr="008C5022">
        <w:rPr>
          <w:rFonts w:asciiTheme="minorHAnsi" w:hAnsiTheme="minorHAnsi" w:cstheme="minorHAnsi"/>
          <w:sz w:val="24"/>
          <w:szCs w:val="24"/>
        </w:rPr>
        <w:t xml:space="preserve"> stanowi narzędzie do zarządzania wynagrodzeniami. Sprzyja prawidłowemu i skutecznemu zarządzaniu ryzykiem w</w:t>
      </w:r>
      <w:r w:rsidR="002639DC" w:rsidRPr="008C5022">
        <w:rPr>
          <w:rFonts w:asciiTheme="minorHAnsi" w:hAnsiTheme="minorHAnsi" w:cstheme="minorHAnsi"/>
          <w:sz w:val="24"/>
          <w:szCs w:val="24"/>
        </w:rPr>
        <w:t> </w:t>
      </w:r>
      <w:r w:rsidRPr="008C5022">
        <w:rPr>
          <w:rFonts w:asciiTheme="minorHAnsi" w:hAnsiTheme="minorHAnsi" w:cstheme="minorHAnsi"/>
          <w:sz w:val="24"/>
          <w:szCs w:val="24"/>
        </w:rPr>
        <w:t>Spółce i jej jednostkach zależnych i nie zachęca do podejmowania ryzyka, przekraczającego apetyt na ryzyko zatwierdzone przez Radę Nadzorczą, zachęca do szczególnej dbałości o długoterminowe dobro Spółki.</w:t>
      </w:r>
    </w:p>
    <w:p w14:paraId="4EF17B04" w14:textId="603E1A15" w:rsidR="00D61464" w:rsidRPr="008C5022" w:rsidRDefault="00BB6AB8" w:rsidP="00D6146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C5022">
        <w:rPr>
          <w:rFonts w:asciiTheme="minorHAnsi" w:hAnsiTheme="minorHAnsi" w:cstheme="minorHAnsi"/>
          <w:sz w:val="24"/>
          <w:szCs w:val="24"/>
        </w:rPr>
        <w:t xml:space="preserve"> Obowiązujące zasady wynagradzania umożliwiają prowadzenie elastycznej polityki zmiennych składników</w:t>
      </w:r>
      <w:r w:rsidR="00D61464" w:rsidRPr="008C5022">
        <w:rPr>
          <w:rFonts w:asciiTheme="minorHAnsi" w:hAnsiTheme="minorHAnsi" w:cstheme="minorHAnsi"/>
          <w:sz w:val="24"/>
          <w:szCs w:val="24"/>
        </w:rPr>
        <w:t xml:space="preserve"> </w:t>
      </w:r>
      <w:r w:rsidRPr="008C5022">
        <w:rPr>
          <w:rFonts w:asciiTheme="minorHAnsi" w:hAnsiTheme="minorHAnsi" w:cstheme="minorHAnsi"/>
          <w:sz w:val="24"/>
          <w:szCs w:val="24"/>
        </w:rPr>
        <w:t>wynagrodzenia m.in. dopuszczają szeroki katalog przesłanek, zarówno o charakterze ilościowym jak</w:t>
      </w:r>
      <w:r w:rsidR="00D61464" w:rsidRPr="008C5022">
        <w:rPr>
          <w:rFonts w:asciiTheme="minorHAnsi" w:hAnsiTheme="minorHAnsi" w:cstheme="minorHAnsi"/>
          <w:sz w:val="24"/>
          <w:szCs w:val="24"/>
        </w:rPr>
        <w:t xml:space="preserve"> i jakościowym, umożliwiający ograniczenie, a nawet niewypłacenie wynagrodzenia zmiennego (w tym również w zakresie części odroczonych) w przypadku trudnej sytuacji finansowej</w:t>
      </w:r>
      <w:r w:rsidR="00E7092B">
        <w:rPr>
          <w:rFonts w:asciiTheme="minorHAnsi" w:hAnsiTheme="minorHAnsi" w:cstheme="minorHAnsi"/>
          <w:sz w:val="24"/>
          <w:szCs w:val="24"/>
        </w:rPr>
        <w:t xml:space="preserve"> lub</w:t>
      </w:r>
      <w:r w:rsidR="00D61464" w:rsidRPr="008C5022">
        <w:rPr>
          <w:rFonts w:asciiTheme="minorHAnsi" w:hAnsiTheme="minorHAnsi" w:cstheme="minorHAnsi"/>
          <w:sz w:val="24"/>
          <w:szCs w:val="24"/>
        </w:rPr>
        <w:t xml:space="preserve"> kapitałowej Spółki.</w:t>
      </w:r>
    </w:p>
    <w:p w14:paraId="17F13657" w14:textId="6D345007" w:rsidR="00BB6AB8" w:rsidRPr="008C5022" w:rsidRDefault="00D61464" w:rsidP="000B0FF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C5022">
        <w:rPr>
          <w:rFonts w:asciiTheme="minorHAnsi" w:hAnsiTheme="minorHAnsi" w:cstheme="minorHAnsi"/>
          <w:sz w:val="24"/>
          <w:szCs w:val="24"/>
        </w:rPr>
        <w:t>Rada Nadzorcza kierując się ostrożnym i stabilnym zarządzaniem ryzykiem, kapitałem i płynnością oraz szczególną dbałością o długoterminowe dobro Spółki, interes akcjonariuszy, ocenia pozytywnie funkcjonowanie Polityki Wynagr</w:t>
      </w:r>
      <w:r w:rsidR="00E7092B">
        <w:rPr>
          <w:rFonts w:asciiTheme="minorHAnsi" w:hAnsiTheme="minorHAnsi" w:cstheme="minorHAnsi"/>
          <w:sz w:val="24"/>
          <w:szCs w:val="24"/>
        </w:rPr>
        <w:t>odzeń</w:t>
      </w:r>
      <w:r w:rsidRPr="008C5022">
        <w:rPr>
          <w:rFonts w:asciiTheme="minorHAnsi" w:hAnsiTheme="minorHAnsi" w:cstheme="minorHAnsi"/>
          <w:sz w:val="24"/>
          <w:szCs w:val="24"/>
        </w:rPr>
        <w:t xml:space="preserve"> i zgodność wynagradzania członków Zarządu i Rady Nadzorczej z obowiązującą w Spółce</w:t>
      </w:r>
      <w:r w:rsidR="00E7092B">
        <w:rPr>
          <w:rFonts w:asciiTheme="minorHAnsi" w:hAnsiTheme="minorHAnsi" w:cstheme="minorHAnsi"/>
          <w:sz w:val="24"/>
          <w:szCs w:val="24"/>
        </w:rPr>
        <w:t xml:space="preserve"> Polityką Wynagrodzeń, która została zatwierdzona przez </w:t>
      </w:r>
      <w:r w:rsidR="00552287">
        <w:rPr>
          <w:rFonts w:asciiTheme="minorHAnsi" w:hAnsiTheme="minorHAnsi" w:cstheme="minorHAnsi"/>
          <w:sz w:val="24"/>
          <w:szCs w:val="24"/>
        </w:rPr>
        <w:t xml:space="preserve">Walne </w:t>
      </w:r>
      <w:r w:rsidR="00E7092B">
        <w:rPr>
          <w:rFonts w:asciiTheme="minorHAnsi" w:hAnsiTheme="minorHAnsi" w:cstheme="minorHAnsi"/>
          <w:sz w:val="24"/>
          <w:szCs w:val="24"/>
        </w:rPr>
        <w:t>Zgromadzenie</w:t>
      </w:r>
      <w:r w:rsidR="00552287">
        <w:rPr>
          <w:rFonts w:asciiTheme="minorHAnsi" w:hAnsiTheme="minorHAnsi" w:cstheme="minorHAnsi"/>
          <w:sz w:val="24"/>
          <w:szCs w:val="24"/>
        </w:rPr>
        <w:t xml:space="preserve"> Akcjonariuszy</w:t>
      </w:r>
      <w:r w:rsidR="00E7092B">
        <w:rPr>
          <w:rFonts w:asciiTheme="minorHAnsi" w:hAnsiTheme="minorHAnsi" w:cstheme="minorHAnsi"/>
          <w:sz w:val="24"/>
          <w:szCs w:val="24"/>
        </w:rPr>
        <w:t xml:space="preserve"> Spółki</w:t>
      </w:r>
      <w:r w:rsidRPr="008C5022">
        <w:rPr>
          <w:rFonts w:asciiTheme="minorHAnsi" w:hAnsiTheme="minorHAnsi" w:cstheme="minorHAnsi"/>
          <w:sz w:val="24"/>
          <w:szCs w:val="24"/>
        </w:rPr>
        <w:t>.</w:t>
      </w:r>
    </w:p>
    <w:p w14:paraId="0EC0DE5B" w14:textId="77777777" w:rsidR="00BB6AB8" w:rsidRPr="008C5022" w:rsidRDefault="00BB6AB8" w:rsidP="0082491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5689F0F" w14:textId="5535DF35" w:rsidR="00824917" w:rsidRPr="008C5022" w:rsidRDefault="00A56507" w:rsidP="00C8321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8C5022">
        <w:rPr>
          <w:rFonts w:asciiTheme="minorHAnsi" w:hAnsiTheme="minorHAnsi" w:cstheme="minorHAnsi"/>
        </w:rPr>
        <w:t>Niniejsze s</w:t>
      </w:r>
      <w:r w:rsidR="00824917" w:rsidRPr="008C5022">
        <w:rPr>
          <w:rFonts w:asciiTheme="minorHAnsi" w:hAnsiTheme="minorHAnsi" w:cstheme="minorHAnsi"/>
        </w:rPr>
        <w:t>prawozdanie zostało sporządzone i</w:t>
      </w:r>
      <w:r w:rsidR="0055378E" w:rsidRPr="008C5022">
        <w:rPr>
          <w:rFonts w:asciiTheme="minorHAnsi" w:hAnsiTheme="minorHAnsi" w:cstheme="minorHAnsi"/>
        </w:rPr>
        <w:t xml:space="preserve"> zatwierdzone przez</w:t>
      </w:r>
      <w:r w:rsidR="00824917" w:rsidRPr="008C5022">
        <w:rPr>
          <w:rFonts w:asciiTheme="minorHAnsi" w:hAnsiTheme="minorHAnsi" w:cstheme="minorHAnsi"/>
        </w:rPr>
        <w:t xml:space="preserve"> Radę Nadzorczą w składzie:</w:t>
      </w:r>
    </w:p>
    <w:p w14:paraId="29AAD59F" w14:textId="77777777" w:rsidR="00824917" w:rsidRPr="008C5022" w:rsidRDefault="00824917" w:rsidP="00824917">
      <w:pPr>
        <w:jc w:val="both"/>
        <w:rPr>
          <w:rFonts w:asciiTheme="minorHAnsi" w:hAnsiTheme="minorHAnsi" w:cstheme="minorHAnsi"/>
          <w:u w:val="single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83"/>
      </w:tblGrid>
      <w:tr w:rsidR="00552287" w:rsidRPr="001637E7" w14:paraId="1DDB3E85" w14:textId="77777777" w:rsidTr="00635B93">
        <w:trPr>
          <w:trHeight w:val="586"/>
        </w:trPr>
        <w:tc>
          <w:tcPr>
            <w:tcW w:w="6307" w:type="dxa"/>
          </w:tcPr>
          <w:p w14:paraId="0F77A210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>Aitor Ayastuy Ayastuy</w:t>
            </w:r>
          </w:p>
          <w:p w14:paraId="7B90E86C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 xml:space="preserve">– </w:t>
            </w:r>
            <w:r w:rsidRPr="008C5022">
              <w:rPr>
                <w:rFonts w:asciiTheme="minorHAnsi" w:hAnsiTheme="minorHAnsi" w:cstheme="minorHAnsi"/>
              </w:rPr>
              <w:t>Przewodniczący Rady Nadzorczej</w:t>
            </w:r>
          </w:p>
          <w:p w14:paraId="01316250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</w:tcPr>
          <w:p w14:paraId="5E9539E7" w14:textId="77777777" w:rsidR="00552287" w:rsidRPr="00552287" w:rsidRDefault="00552287" w:rsidP="00635B93">
            <w:pPr>
              <w:rPr>
                <w:rFonts w:asciiTheme="minorHAnsi" w:hAnsiTheme="minorHAnsi" w:cstheme="minorHAnsi"/>
              </w:rPr>
            </w:pPr>
          </w:p>
        </w:tc>
      </w:tr>
      <w:tr w:rsidR="00552287" w:rsidRPr="001637E7" w14:paraId="0F11EEC8" w14:textId="77777777" w:rsidTr="00635B93">
        <w:trPr>
          <w:trHeight w:val="586"/>
        </w:trPr>
        <w:tc>
          <w:tcPr>
            <w:tcW w:w="6307" w:type="dxa"/>
          </w:tcPr>
          <w:p w14:paraId="7EFA2CF5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>Iñaki Irizar Moyua</w:t>
            </w:r>
          </w:p>
          <w:p w14:paraId="5E9BBF7E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 xml:space="preserve">– </w:t>
            </w:r>
            <w:r w:rsidRPr="008C5022">
              <w:rPr>
                <w:rFonts w:asciiTheme="minorHAnsi" w:hAnsiTheme="minorHAnsi" w:cstheme="minorHAnsi"/>
              </w:rPr>
              <w:t>Wiceprzewodniczący Rady Nadzorczej</w:t>
            </w:r>
          </w:p>
          <w:p w14:paraId="180E34CB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</w:tcPr>
          <w:p w14:paraId="740C186C" w14:textId="77777777" w:rsidR="00552287" w:rsidRPr="00552287" w:rsidRDefault="00552287" w:rsidP="00635B93">
            <w:pPr>
              <w:rPr>
                <w:rFonts w:asciiTheme="minorHAnsi" w:hAnsiTheme="minorHAnsi" w:cstheme="minorHAnsi"/>
              </w:rPr>
            </w:pPr>
          </w:p>
        </w:tc>
      </w:tr>
      <w:tr w:rsidR="00552287" w:rsidRPr="001637E7" w14:paraId="72CECBC3" w14:textId="77777777" w:rsidTr="00635B93">
        <w:trPr>
          <w:trHeight w:val="586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8C3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>Rafael Anduaga Lazcanoiturburu</w:t>
            </w:r>
          </w:p>
          <w:p w14:paraId="76485CF7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 xml:space="preserve">– </w:t>
            </w:r>
            <w:r w:rsidRPr="008C5022">
              <w:rPr>
                <w:rFonts w:asciiTheme="minorHAnsi" w:hAnsiTheme="minorHAnsi" w:cstheme="minorHAnsi"/>
              </w:rPr>
              <w:t>Członek Rady Nadzorczej</w:t>
            </w:r>
          </w:p>
          <w:p w14:paraId="51235E8C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393" w14:textId="77777777" w:rsidR="00552287" w:rsidRPr="00552287" w:rsidRDefault="00552287" w:rsidP="00635B93">
            <w:pPr>
              <w:rPr>
                <w:rFonts w:asciiTheme="minorHAnsi" w:hAnsiTheme="minorHAnsi" w:cstheme="minorHAnsi"/>
              </w:rPr>
            </w:pPr>
          </w:p>
        </w:tc>
      </w:tr>
      <w:tr w:rsidR="00552287" w:rsidRPr="001637E7" w14:paraId="2B84CF61" w14:textId="77777777" w:rsidTr="00635B93">
        <w:trPr>
          <w:trHeight w:val="586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E1F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2287">
              <w:rPr>
                <w:rFonts w:asciiTheme="minorHAnsi" w:hAnsiTheme="minorHAnsi" w:cstheme="minorHAnsi"/>
              </w:rPr>
              <w:t>Eñaut Eguidazu Aldalur</w:t>
            </w:r>
          </w:p>
          <w:p w14:paraId="7F34FC7C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  <w:r w:rsidRPr="00552287">
              <w:rPr>
                <w:rFonts w:asciiTheme="minorHAnsi" w:hAnsiTheme="minorHAnsi" w:cstheme="minorHAnsi"/>
              </w:rPr>
              <w:t>–</w:t>
            </w:r>
            <w:r w:rsidRPr="00552287">
              <w:rPr>
                <w:rFonts w:asciiTheme="minorHAnsi" w:hAnsiTheme="minorHAnsi" w:cstheme="minorHAnsi"/>
                <w:b/>
              </w:rPr>
              <w:t xml:space="preserve"> </w:t>
            </w:r>
            <w:r w:rsidRPr="008C5022">
              <w:rPr>
                <w:rFonts w:asciiTheme="minorHAnsi" w:hAnsiTheme="minorHAnsi" w:cstheme="minorHAnsi"/>
              </w:rPr>
              <w:t>Członek Rady Nadzorczej</w:t>
            </w:r>
          </w:p>
          <w:p w14:paraId="2EC72E37" w14:textId="77777777" w:rsidR="00552287" w:rsidRPr="00552287" w:rsidRDefault="00552287" w:rsidP="00635B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6A1" w14:textId="77777777" w:rsidR="00552287" w:rsidRPr="00552287" w:rsidRDefault="00552287" w:rsidP="00635B93">
            <w:pPr>
              <w:rPr>
                <w:rFonts w:asciiTheme="minorHAnsi" w:hAnsiTheme="minorHAnsi" w:cstheme="minorHAnsi"/>
              </w:rPr>
            </w:pPr>
          </w:p>
        </w:tc>
      </w:tr>
      <w:tr w:rsidR="00552287" w:rsidRPr="001637E7" w14:paraId="5217B2ED" w14:textId="77777777" w:rsidTr="00635B93">
        <w:trPr>
          <w:trHeight w:val="586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B41" w14:textId="77777777" w:rsidR="00552287" w:rsidRDefault="00552287" w:rsidP="00635B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802D67">
              <w:rPr>
                <w:rFonts w:asciiTheme="minorHAnsi" w:hAnsiTheme="minorHAnsi" w:cstheme="minorHAnsi"/>
                <w:lang w:val="es-ES"/>
              </w:rPr>
              <w:t>Michał Markowski</w:t>
            </w:r>
          </w:p>
          <w:p w14:paraId="29C93D3D" w14:textId="77777777" w:rsidR="00552287" w:rsidRDefault="00552287" w:rsidP="00635B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802D67">
              <w:rPr>
                <w:rFonts w:asciiTheme="minorHAnsi" w:hAnsiTheme="minorHAnsi" w:cstheme="minorHAnsi"/>
                <w:lang w:val="es-ES"/>
              </w:rPr>
              <w:t xml:space="preserve">– </w:t>
            </w:r>
            <w:r w:rsidRPr="008C5022">
              <w:rPr>
                <w:rFonts w:asciiTheme="minorHAnsi" w:hAnsiTheme="minorHAnsi" w:cstheme="minorHAnsi"/>
              </w:rPr>
              <w:t>Członek Rady Nadzorczej</w:t>
            </w:r>
          </w:p>
          <w:p w14:paraId="283F11B9" w14:textId="77777777" w:rsidR="00552287" w:rsidRPr="00802D67" w:rsidRDefault="00552287" w:rsidP="00635B93">
            <w:pPr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167" w14:textId="77777777" w:rsidR="00552287" w:rsidRPr="00802D67" w:rsidRDefault="00552287" w:rsidP="00635B93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6719F2F1" w14:textId="3C7FDF19" w:rsidR="00A56507" w:rsidRPr="008C5022" w:rsidRDefault="00A56507" w:rsidP="00CF7BD3">
      <w:pPr>
        <w:rPr>
          <w:rFonts w:asciiTheme="minorHAnsi" w:hAnsiTheme="minorHAnsi" w:cstheme="minorHAnsi"/>
        </w:rPr>
      </w:pPr>
    </w:p>
    <w:p w14:paraId="278EC0CD" w14:textId="77777777" w:rsidR="00AB258A" w:rsidRPr="008C5022" w:rsidRDefault="00AB258A" w:rsidP="00CF7BD3">
      <w:pPr>
        <w:rPr>
          <w:rFonts w:asciiTheme="minorHAnsi" w:hAnsiTheme="minorHAnsi" w:cstheme="minorHAnsi"/>
        </w:rPr>
      </w:pPr>
    </w:p>
    <w:sectPr w:rsidR="00AB258A" w:rsidRPr="008C5022" w:rsidSect="00635B93">
      <w:footerReference w:type="default" r:id="rId8"/>
      <w:pgSz w:w="11906" w:h="16838"/>
      <w:pgMar w:top="993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6626B" w14:textId="77777777" w:rsidR="00B13620" w:rsidRDefault="00B13620" w:rsidP="00833336">
      <w:r>
        <w:separator/>
      </w:r>
    </w:p>
  </w:endnote>
  <w:endnote w:type="continuationSeparator" w:id="0">
    <w:p w14:paraId="30B1366A" w14:textId="77777777" w:rsidR="00B13620" w:rsidRDefault="00B13620" w:rsidP="0083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25116205"/>
      <w:docPartObj>
        <w:docPartGallery w:val="Page Numbers (Bottom of Page)"/>
        <w:docPartUnique/>
      </w:docPartObj>
    </w:sdtPr>
    <w:sdtEndPr/>
    <w:sdtContent>
      <w:p w14:paraId="6FF4071F" w14:textId="7AE1A57F" w:rsidR="00B13620" w:rsidRPr="001363A9" w:rsidRDefault="00B13620">
        <w:pPr>
          <w:pStyle w:val="Stopka"/>
          <w:jc w:val="right"/>
          <w:rPr>
            <w:sz w:val="20"/>
          </w:rPr>
        </w:pPr>
        <w:r w:rsidRPr="001363A9">
          <w:rPr>
            <w:rFonts w:asciiTheme="minorHAnsi" w:hAnsiTheme="minorHAnsi" w:cstheme="minorHAnsi"/>
            <w:sz w:val="20"/>
          </w:rPr>
          <w:fldChar w:fldCharType="begin"/>
        </w:r>
        <w:r w:rsidRPr="001363A9">
          <w:rPr>
            <w:rFonts w:asciiTheme="minorHAnsi" w:hAnsiTheme="minorHAnsi" w:cstheme="minorHAnsi"/>
            <w:sz w:val="20"/>
          </w:rPr>
          <w:instrText>PAGE   \* MERGEFORMAT</w:instrText>
        </w:r>
        <w:r w:rsidRPr="001363A9">
          <w:rPr>
            <w:rFonts w:asciiTheme="minorHAnsi" w:hAnsiTheme="minorHAnsi" w:cstheme="minorHAnsi"/>
            <w:sz w:val="20"/>
          </w:rPr>
          <w:fldChar w:fldCharType="separate"/>
        </w:r>
        <w:r w:rsidR="001363A9">
          <w:rPr>
            <w:rFonts w:asciiTheme="minorHAnsi" w:hAnsiTheme="minorHAnsi" w:cstheme="minorHAnsi"/>
            <w:noProof/>
            <w:sz w:val="20"/>
          </w:rPr>
          <w:t>1</w:t>
        </w:r>
        <w:r w:rsidRPr="001363A9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61888CE" w14:textId="77777777" w:rsidR="00B13620" w:rsidRDefault="00B13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C238" w14:textId="77777777" w:rsidR="00B13620" w:rsidRDefault="00B13620" w:rsidP="00833336">
      <w:r>
        <w:separator/>
      </w:r>
    </w:p>
  </w:footnote>
  <w:footnote w:type="continuationSeparator" w:id="0">
    <w:p w14:paraId="0A8F26C8" w14:textId="77777777" w:rsidR="00B13620" w:rsidRDefault="00B13620" w:rsidP="0083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414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1063DE"/>
    <w:multiLevelType w:val="hybridMultilevel"/>
    <w:tmpl w:val="1C4AA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17B8"/>
    <w:multiLevelType w:val="hybridMultilevel"/>
    <w:tmpl w:val="2B3E63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24BEC"/>
    <w:multiLevelType w:val="hybridMultilevel"/>
    <w:tmpl w:val="8292B898"/>
    <w:lvl w:ilvl="0" w:tplc="969C5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638A"/>
    <w:multiLevelType w:val="hybridMultilevel"/>
    <w:tmpl w:val="BE3C7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D5CC0"/>
    <w:multiLevelType w:val="hybridMultilevel"/>
    <w:tmpl w:val="B344ABFA"/>
    <w:lvl w:ilvl="0" w:tplc="E6D2A2A2">
      <w:start w:val="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7D9"/>
    <w:multiLevelType w:val="hybridMultilevel"/>
    <w:tmpl w:val="4C222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2CC9"/>
    <w:multiLevelType w:val="hybridMultilevel"/>
    <w:tmpl w:val="8E62C6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922BC"/>
    <w:multiLevelType w:val="hybridMultilevel"/>
    <w:tmpl w:val="7CFEB1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725621"/>
    <w:multiLevelType w:val="hybridMultilevel"/>
    <w:tmpl w:val="E3001B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9533107"/>
    <w:multiLevelType w:val="hybridMultilevel"/>
    <w:tmpl w:val="1ED42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60B54"/>
    <w:multiLevelType w:val="hybridMultilevel"/>
    <w:tmpl w:val="49A24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0"/>
    <w:lvlOverride w:ilvl="0">
      <w:startOverride w:val="53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17"/>
    <w:rsid w:val="000031A7"/>
    <w:rsid w:val="000109B1"/>
    <w:rsid w:val="00020593"/>
    <w:rsid w:val="0002202D"/>
    <w:rsid w:val="00022440"/>
    <w:rsid w:val="00031C73"/>
    <w:rsid w:val="000355A0"/>
    <w:rsid w:val="00037C49"/>
    <w:rsid w:val="000431A8"/>
    <w:rsid w:val="00080BE4"/>
    <w:rsid w:val="00086754"/>
    <w:rsid w:val="00091608"/>
    <w:rsid w:val="000A2C24"/>
    <w:rsid w:val="000B0FF3"/>
    <w:rsid w:val="000B2C95"/>
    <w:rsid w:val="000B66B1"/>
    <w:rsid w:val="000B7A67"/>
    <w:rsid w:val="000D2FB9"/>
    <w:rsid w:val="000E644F"/>
    <w:rsid w:val="000F2AC6"/>
    <w:rsid w:val="000F4854"/>
    <w:rsid w:val="00125EC4"/>
    <w:rsid w:val="00132C85"/>
    <w:rsid w:val="001363A9"/>
    <w:rsid w:val="00141797"/>
    <w:rsid w:val="001467AF"/>
    <w:rsid w:val="00164857"/>
    <w:rsid w:val="001659A8"/>
    <w:rsid w:val="00172431"/>
    <w:rsid w:val="001753F9"/>
    <w:rsid w:val="00175A04"/>
    <w:rsid w:val="00187100"/>
    <w:rsid w:val="001A4120"/>
    <w:rsid w:val="001B3779"/>
    <w:rsid w:val="001C31D7"/>
    <w:rsid w:val="001C4822"/>
    <w:rsid w:val="001C6958"/>
    <w:rsid w:val="001D01B7"/>
    <w:rsid w:val="001D3770"/>
    <w:rsid w:val="001D7D36"/>
    <w:rsid w:val="001E2DF2"/>
    <w:rsid w:val="001E52BA"/>
    <w:rsid w:val="00204E56"/>
    <w:rsid w:val="00205F31"/>
    <w:rsid w:val="00231673"/>
    <w:rsid w:val="00231F0A"/>
    <w:rsid w:val="00236F35"/>
    <w:rsid w:val="00245BE2"/>
    <w:rsid w:val="0026287B"/>
    <w:rsid w:val="002639DC"/>
    <w:rsid w:val="002835A5"/>
    <w:rsid w:val="00284063"/>
    <w:rsid w:val="00293AFD"/>
    <w:rsid w:val="002C52F6"/>
    <w:rsid w:val="002D5080"/>
    <w:rsid w:val="002E2551"/>
    <w:rsid w:val="002F1C09"/>
    <w:rsid w:val="002F1F54"/>
    <w:rsid w:val="002F68B1"/>
    <w:rsid w:val="00324E94"/>
    <w:rsid w:val="0032584C"/>
    <w:rsid w:val="00334CF9"/>
    <w:rsid w:val="00344366"/>
    <w:rsid w:val="00354454"/>
    <w:rsid w:val="0037371A"/>
    <w:rsid w:val="003737A8"/>
    <w:rsid w:val="00376C5A"/>
    <w:rsid w:val="0038015F"/>
    <w:rsid w:val="003B5993"/>
    <w:rsid w:val="003D1465"/>
    <w:rsid w:val="003D5342"/>
    <w:rsid w:val="003E3EE1"/>
    <w:rsid w:val="003E4D38"/>
    <w:rsid w:val="00411351"/>
    <w:rsid w:val="004245D7"/>
    <w:rsid w:val="00424A28"/>
    <w:rsid w:val="00430584"/>
    <w:rsid w:val="00450484"/>
    <w:rsid w:val="00453991"/>
    <w:rsid w:val="00475355"/>
    <w:rsid w:val="00490D1B"/>
    <w:rsid w:val="004D4E89"/>
    <w:rsid w:val="004F5006"/>
    <w:rsid w:val="00502020"/>
    <w:rsid w:val="00505105"/>
    <w:rsid w:val="005131C3"/>
    <w:rsid w:val="005139C9"/>
    <w:rsid w:val="0052365A"/>
    <w:rsid w:val="005455CC"/>
    <w:rsid w:val="00552287"/>
    <w:rsid w:val="005534B0"/>
    <w:rsid w:val="0055378E"/>
    <w:rsid w:val="005639AE"/>
    <w:rsid w:val="00564D43"/>
    <w:rsid w:val="00564EC6"/>
    <w:rsid w:val="005937CF"/>
    <w:rsid w:val="00595C3B"/>
    <w:rsid w:val="005A6BC7"/>
    <w:rsid w:val="005B2DF0"/>
    <w:rsid w:val="005B30C9"/>
    <w:rsid w:val="005D5AF3"/>
    <w:rsid w:val="005F13A4"/>
    <w:rsid w:val="006016EF"/>
    <w:rsid w:val="00604629"/>
    <w:rsid w:val="00635B93"/>
    <w:rsid w:val="00651C9D"/>
    <w:rsid w:val="00656DDB"/>
    <w:rsid w:val="006577D7"/>
    <w:rsid w:val="006801DE"/>
    <w:rsid w:val="006B2C0D"/>
    <w:rsid w:val="006D3273"/>
    <w:rsid w:val="006D5329"/>
    <w:rsid w:val="006D72B9"/>
    <w:rsid w:val="006E7B22"/>
    <w:rsid w:val="006F4BC0"/>
    <w:rsid w:val="0070246A"/>
    <w:rsid w:val="0072157F"/>
    <w:rsid w:val="00727DEB"/>
    <w:rsid w:val="0075516E"/>
    <w:rsid w:val="00757BFA"/>
    <w:rsid w:val="0076320A"/>
    <w:rsid w:val="00776A4E"/>
    <w:rsid w:val="00783066"/>
    <w:rsid w:val="00787949"/>
    <w:rsid w:val="007E1011"/>
    <w:rsid w:val="007E6859"/>
    <w:rsid w:val="007F01EE"/>
    <w:rsid w:val="00801F49"/>
    <w:rsid w:val="00803C47"/>
    <w:rsid w:val="008042FF"/>
    <w:rsid w:val="00805CCE"/>
    <w:rsid w:val="0081382D"/>
    <w:rsid w:val="00822E05"/>
    <w:rsid w:val="00824917"/>
    <w:rsid w:val="00824CFC"/>
    <w:rsid w:val="00833336"/>
    <w:rsid w:val="0083556C"/>
    <w:rsid w:val="00875325"/>
    <w:rsid w:val="0089318D"/>
    <w:rsid w:val="00894A53"/>
    <w:rsid w:val="008B18D9"/>
    <w:rsid w:val="008C2FA7"/>
    <w:rsid w:val="008C3D68"/>
    <w:rsid w:val="008C5022"/>
    <w:rsid w:val="008D5398"/>
    <w:rsid w:val="008D7033"/>
    <w:rsid w:val="008E01F0"/>
    <w:rsid w:val="008E2E07"/>
    <w:rsid w:val="008F10AB"/>
    <w:rsid w:val="00900406"/>
    <w:rsid w:val="0090210E"/>
    <w:rsid w:val="009237A2"/>
    <w:rsid w:val="00923876"/>
    <w:rsid w:val="0092487A"/>
    <w:rsid w:val="0095013F"/>
    <w:rsid w:val="00960BF7"/>
    <w:rsid w:val="0096370B"/>
    <w:rsid w:val="009736B6"/>
    <w:rsid w:val="009845D8"/>
    <w:rsid w:val="00997296"/>
    <w:rsid w:val="009A0E85"/>
    <w:rsid w:val="009C40D3"/>
    <w:rsid w:val="009C53EA"/>
    <w:rsid w:val="009D47EB"/>
    <w:rsid w:val="00A03D4A"/>
    <w:rsid w:val="00A26382"/>
    <w:rsid w:val="00A42B4F"/>
    <w:rsid w:val="00A47751"/>
    <w:rsid w:val="00A55589"/>
    <w:rsid w:val="00A56507"/>
    <w:rsid w:val="00A83D88"/>
    <w:rsid w:val="00A91C47"/>
    <w:rsid w:val="00AA081D"/>
    <w:rsid w:val="00AA17E6"/>
    <w:rsid w:val="00AA38FF"/>
    <w:rsid w:val="00AB1EFC"/>
    <w:rsid w:val="00AB258A"/>
    <w:rsid w:val="00AB4E6F"/>
    <w:rsid w:val="00AC22D2"/>
    <w:rsid w:val="00B00A93"/>
    <w:rsid w:val="00B046D4"/>
    <w:rsid w:val="00B04779"/>
    <w:rsid w:val="00B13620"/>
    <w:rsid w:val="00B35C52"/>
    <w:rsid w:val="00B36A72"/>
    <w:rsid w:val="00B64300"/>
    <w:rsid w:val="00B8126A"/>
    <w:rsid w:val="00B9189D"/>
    <w:rsid w:val="00B93A56"/>
    <w:rsid w:val="00B93D1F"/>
    <w:rsid w:val="00BA795A"/>
    <w:rsid w:val="00BB0B75"/>
    <w:rsid w:val="00BB6AB8"/>
    <w:rsid w:val="00BD3F85"/>
    <w:rsid w:val="00BE4A9C"/>
    <w:rsid w:val="00BF52A3"/>
    <w:rsid w:val="00BF79C3"/>
    <w:rsid w:val="00C10EFF"/>
    <w:rsid w:val="00C170ED"/>
    <w:rsid w:val="00C255B4"/>
    <w:rsid w:val="00C31E00"/>
    <w:rsid w:val="00C377D3"/>
    <w:rsid w:val="00C41F4A"/>
    <w:rsid w:val="00C66C2E"/>
    <w:rsid w:val="00C81F16"/>
    <w:rsid w:val="00C83217"/>
    <w:rsid w:val="00CB4A6D"/>
    <w:rsid w:val="00CB751C"/>
    <w:rsid w:val="00CF33FA"/>
    <w:rsid w:val="00CF7BD3"/>
    <w:rsid w:val="00CF7CD8"/>
    <w:rsid w:val="00D03F8E"/>
    <w:rsid w:val="00D156CF"/>
    <w:rsid w:val="00D15950"/>
    <w:rsid w:val="00D25BA0"/>
    <w:rsid w:val="00D2781A"/>
    <w:rsid w:val="00D52431"/>
    <w:rsid w:val="00D61464"/>
    <w:rsid w:val="00D649E3"/>
    <w:rsid w:val="00D64E3D"/>
    <w:rsid w:val="00D93566"/>
    <w:rsid w:val="00D94269"/>
    <w:rsid w:val="00D97B76"/>
    <w:rsid w:val="00DA4ACA"/>
    <w:rsid w:val="00DD37E3"/>
    <w:rsid w:val="00DE2AC8"/>
    <w:rsid w:val="00E41314"/>
    <w:rsid w:val="00E61366"/>
    <w:rsid w:val="00E7092B"/>
    <w:rsid w:val="00E7115D"/>
    <w:rsid w:val="00E73CF6"/>
    <w:rsid w:val="00EA03E7"/>
    <w:rsid w:val="00EB3C1F"/>
    <w:rsid w:val="00EB5B75"/>
    <w:rsid w:val="00EB770C"/>
    <w:rsid w:val="00EE0040"/>
    <w:rsid w:val="00EE7C40"/>
    <w:rsid w:val="00F2571F"/>
    <w:rsid w:val="00F25EF8"/>
    <w:rsid w:val="00F370B0"/>
    <w:rsid w:val="00F40436"/>
    <w:rsid w:val="00F433AF"/>
    <w:rsid w:val="00F66980"/>
    <w:rsid w:val="00F724A0"/>
    <w:rsid w:val="00F76DCC"/>
    <w:rsid w:val="00FA795F"/>
    <w:rsid w:val="00FB68D7"/>
    <w:rsid w:val="00FC6CF9"/>
    <w:rsid w:val="00FE4AB0"/>
    <w:rsid w:val="00FE77C1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D29D"/>
  <w15:docId w15:val="{894DDE7A-A81C-4885-9C7B-1180988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917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CF9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CF9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484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484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484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484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484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484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484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24917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24917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249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24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4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4917"/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9E3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9E3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9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E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9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90D1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4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4C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4CF9"/>
    <w:pPr>
      <w:spacing w:line="259" w:lineRule="auto"/>
      <w:outlineLvl w:val="9"/>
    </w:pPr>
    <w:rPr>
      <w:lang w:val="en-GB"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334CF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334CF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4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4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48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4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48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4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4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0484"/>
    <w:pPr>
      <w:spacing w:after="100"/>
    </w:pPr>
  </w:style>
  <w:style w:type="table" w:customStyle="1" w:styleId="Tabela-Siatka1">
    <w:name w:val="Tabela - Siatka1"/>
    <w:basedOn w:val="Standardowy"/>
    <w:next w:val="Tabela-Siatka"/>
    <w:uiPriority w:val="39"/>
    <w:rsid w:val="0002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2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3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33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33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336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EB3C1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B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5F42-AEAD-4796-9767-A6235F4E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2540</Words>
  <Characters>14482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Szeląg</dc:creator>
  <cp:lastModifiedBy>Krzysztof Burczaniuk</cp:lastModifiedBy>
  <cp:revision>2</cp:revision>
  <dcterms:created xsi:type="dcterms:W3CDTF">2022-04-08T08:09:00Z</dcterms:created>
  <dcterms:modified xsi:type="dcterms:W3CDTF">2022-04-08T08:09:00Z</dcterms:modified>
</cp:coreProperties>
</file>