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276" w:lineRule="auto"/>
        <w:jc w:val="both"/>
      </w:pPr>
      <w:bookmarkStart w:id="0" w:name="_GoBack"/>
      <w:bookmarkEnd w:id="0"/>
      <w:r>
        <w:t>W Statucie Spółki wprowadzono następujące zmiany:</w:t>
      </w:r>
    </w:p>
    <w:p>
      <w:pPr>
        <w:pStyle w:val="4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</w:pPr>
      <w:r>
        <w:rPr>
          <w:rFonts w:cstheme="minorHAnsi"/>
        </w:rPr>
        <w:t>§</w:t>
      </w:r>
      <w:r>
        <w:t xml:space="preserve"> 28 ust. 3 pkt 8 otrzymał brzmienie:</w:t>
      </w:r>
    </w:p>
    <w:p>
      <w:pPr>
        <w:pStyle w:val="4"/>
        <w:spacing w:after="120" w:line="276" w:lineRule="auto"/>
        <w:jc w:val="both"/>
        <w:rPr>
          <w:b/>
          <w:bCs/>
          <w:iCs/>
        </w:rPr>
      </w:pPr>
      <w:r>
        <w:rPr>
          <w:b/>
          <w:bCs/>
          <w:i/>
          <w:iCs/>
        </w:rPr>
        <w:t>„8) przekształcenie Spółki w spółkę z ograniczoną odpowiedzialnością; przy czym akcjonariusze głosujący za podjęciem takiej uchwały muszą jednocześnie reprezentować co najmniej 50 % kapitału zakładowego Spółki."</w:t>
      </w:r>
    </w:p>
    <w:p>
      <w:pPr>
        <w:spacing w:after="120" w:line="276" w:lineRule="auto"/>
        <w:jc w:val="both"/>
      </w:pPr>
      <w:r>
        <w:tab/>
      </w:r>
      <w:r>
        <w:t xml:space="preserve">dotychczasowe brzmienie </w:t>
      </w:r>
      <w:r>
        <w:rPr>
          <w:rFonts w:cstheme="minorHAnsi"/>
        </w:rPr>
        <w:t>§</w:t>
      </w:r>
      <w:r>
        <w:t xml:space="preserve"> 28 ust. 3 pkt 8:</w:t>
      </w:r>
    </w:p>
    <w:p>
      <w:pPr>
        <w:spacing w:after="120" w:line="276" w:lineRule="auto"/>
        <w:ind w:left="709" w:hanging="1"/>
        <w:jc w:val="both"/>
      </w:pPr>
      <w:r>
        <w:rPr>
          <w:b/>
          <w:bCs/>
          <w:i/>
          <w:iCs/>
        </w:rPr>
        <w:t>„8) przekształcenie Spółki w spółkę z ograniczoną odpowiedzialnością; przy czym w sprawach wymienionych w pkt 6, 7 oraz 8 akcjonariusze głosujący za podjęciem uchwały muszą jednocześnie reprezentować co najmniej 50 % kapitału zakładowego Spółki."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1037F"/>
    <w:multiLevelType w:val="multilevel"/>
    <w:tmpl w:val="3A51037F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D01"/>
    <w:rsid w:val="00B53997"/>
    <w:rsid w:val="00C95D01"/>
    <w:rsid w:val="00EE6902"/>
    <w:rsid w:val="45CB5D0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507</Characters>
  <Lines>4</Lines>
  <Paragraphs>1</Paragraphs>
  <TotalTime>0</TotalTime>
  <ScaleCrop>false</ScaleCrop>
  <LinksUpToDate>false</LinksUpToDate>
  <CharactersWithSpaces>590</CharactersWithSpaces>
  <Application>WPS Office_10.2.0.5820_F1E327BC-269C-435d-A152-05C5408002CA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2017-05-17T09:11:00Z</dcterms:created>
  <dc:creator>RKKW</dc:creator>
  <cp:lastModifiedBy>jarop</cp:lastModifiedBy>
  <dcterms:modified xsi:type="dcterms:W3CDTF">2017-05-17T17:00:25Z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1033-10.2.0.5820</vt:lpwstr>
  </property>
</Properties>
</file>